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D01BC36" w14:textId="6B283A10" w:rsidR="00DA2E39" w:rsidRPr="00FA2D9A" w:rsidRDefault="00DA2E39" w:rsidP="0043349F">
      <w:pPr>
        <w:pStyle w:val="Title"/>
        <w:rPr>
          <w:lang w:val="en-GB"/>
        </w:rPr>
      </w:pPr>
      <w:bookmarkStart w:id="0" w:name="_Hlk217284780"/>
      <w:bookmarkEnd w:id="0"/>
    </w:p>
    <w:p w14:paraId="7A1AB7F3" w14:textId="77777777" w:rsidR="00DA2E39" w:rsidRPr="00FA2D9A" w:rsidRDefault="00DA2E39" w:rsidP="0043349F">
      <w:pPr>
        <w:pStyle w:val="Title"/>
        <w:jc w:val="both"/>
        <w:rPr>
          <w:sz w:val="28"/>
          <w:szCs w:val="28"/>
          <w:lang w:val="en-GB"/>
        </w:rPr>
      </w:pPr>
    </w:p>
    <w:p w14:paraId="6E0FE939" w14:textId="0BCDC262" w:rsidR="00DA2E39" w:rsidRPr="00FA2D9A" w:rsidRDefault="00DA2E39" w:rsidP="0043349F">
      <w:pPr>
        <w:pStyle w:val="Title"/>
        <w:rPr>
          <w:sz w:val="28"/>
          <w:szCs w:val="28"/>
          <w:lang w:val="en-GB"/>
        </w:rPr>
      </w:pPr>
    </w:p>
    <w:p w14:paraId="73732AF6" w14:textId="77777777" w:rsidR="00DA2E39" w:rsidRPr="00FA2D9A" w:rsidRDefault="00DA2E39" w:rsidP="0043349F">
      <w:pPr>
        <w:pStyle w:val="Title"/>
        <w:rPr>
          <w:sz w:val="28"/>
          <w:szCs w:val="28"/>
          <w:lang w:val="en-GB"/>
        </w:rPr>
      </w:pPr>
    </w:p>
    <w:p w14:paraId="3F605EA9" w14:textId="1DD29E76" w:rsidR="00DA2E39" w:rsidRPr="00FA2D9A" w:rsidRDefault="002009B3" w:rsidP="0043349F">
      <w:pPr>
        <w:pStyle w:val="Title"/>
        <w:jc w:val="both"/>
        <w:rPr>
          <w:lang w:val="en-GB"/>
        </w:rPr>
      </w:pPr>
      <w:bookmarkStart w:id="1" w:name="_5n0v9v7umx2b" w:colFirst="0" w:colLast="0"/>
      <w:bookmarkStart w:id="2" w:name="_wrbp9qludxa0" w:colFirst="0" w:colLast="0"/>
      <w:bookmarkStart w:id="3" w:name="_Hlk216147737"/>
      <w:bookmarkEnd w:id="1"/>
      <w:bookmarkEnd w:id="2"/>
      <w:bookmarkEnd w:id="3"/>
      <w:r w:rsidRPr="00FA2D9A">
        <w:rPr>
          <w:noProof/>
          <w:lang w:val="en-GB"/>
        </w:rPr>
        <w:drawing>
          <wp:inline distT="0" distB="0" distL="0" distR="0" wp14:anchorId="3415D3F5" wp14:editId="44713598">
            <wp:extent cx="3224212" cy="1195075"/>
            <wp:effectExtent l="0" t="0" r="0" b="5080"/>
            <wp:docPr id="1776022836" name="Picture 1776022836"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22836" name="Picture 1776022836" descr="A close up of a logo&#10;&#10;AI-generated content may be incorrect."/>
                    <pic:cNvPicPr/>
                  </pic:nvPicPr>
                  <pic:blipFill>
                    <a:blip r:embed="rId7"/>
                    <a:stretch>
                      <a:fillRect/>
                    </a:stretch>
                  </pic:blipFill>
                  <pic:spPr>
                    <a:xfrm>
                      <a:off x="0" y="0"/>
                      <a:ext cx="3234909" cy="1199040"/>
                    </a:xfrm>
                    <a:prstGeom prst="rect">
                      <a:avLst/>
                    </a:prstGeom>
                  </pic:spPr>
                </pic:pic>
              </a:graphicData>
            </a:graphic>
          </wp:inline>
        </w:drawing>
      </w:r>
    </w:p>
    <w:p w14:paraId="6F1C5375" w14:textId="77777777" w:rsidR="00DA2E39" w:rsidRPr="00FA2D9A" w:rsidRDefault="00DA2E39" w:rsidP="0043349F">
      <w:pPr>
        <w:pStyle w:val="Title"/>
        <w:rPr>
          <w:lang w:val="en-GB"/>
        </w:rPr>
      </w:pPr>
    </w:p>
    <w:p w14:paraId="4E9B2B90" w14:textId="77777777" w:rsidR="003E0DCD" w:rsidRDefault="006B6651" w:rsidP="0043349F">
      <w:pPr>
        <w:pStyle w:val="Title"/>
        <w:rPr>
          <w:lang w:val="en-GB"/>
        </w:rPr>
      </w:pPr>
      <w:bookmarkStart w:id="4" w:name="_3add55h2h3e6" w:colFirst="0" w:colLast="0"/>
      <w:bookmarkStart w:id="5" w:name="_n1oo6pf4hokv" w:colFirst="0" w:colLast="0"/>
      <w:bookmarkEnd w:id="4"/>
      <w:bookmarkEnd w:id="5"/>
      <w:r w:rsidRPr="00FA2D9A">
        <w:rPr>
          <w:lang w:val="en-GB"/>
        </w:rPr>
        <w:t>FINANCIAL PERFORMANCE AND MANAGEMENT</w:t>
      </w:r>
      <w:r w:rsidR="003E0DCD">
        <w:rPr>
          <w:lang w:val="en-GB"/>
        </w:rPr>
        <w:t xml:space="preserve"> </w:t>
      </w:r>
    </w:p>
    <w:p w14:paraId="03300F65" w14:textId="77777777" w:rsidR="003E0DCD" w:rsidRDefault="003E0DCD" w:rsidP="0043349F">
      <w:pPr>
        <w:pStyle w:val="Title"/>
        <w:jc w:val="both"/>
        <w:rPr>
          <w:lang w:val="en-GB"/>
        </w:rPr>
      </w:pPr>
    </w:p>
    <w:p w14:paraId="56F1E6F7" w14:textId="19366787" w:rsidR="0082037F" w:rsidRPr="0082037F" w:rsidRDefault="003E0DCD" w:rsidP="0082037F">
      <w:pPr>
        <w:pStyle w:val="Title"/>
        <w:rPr>
          <w:lang w:val="en-GB"/>
        </w:rPr>
      </w:pPr>
      <w:r w:rsidRPr="003E0DCD">
        <w:rPr>
          <w:lang w:val="en-GB"/>
        </w:rPr>
        <w:t>TOPIC: STRATEGIC CFO CHALLENGE: SAVING A FAILING</w:t>
      </w:r>
      <w:r>
        <w:rPr>
          <w:lang w:val="en-GB"/>
        </w:rPr>
        <w:t xml:space="preserve"> </w:t>
      </w:r>
      <w:r w:rsidRPr="003E0DCD">
        <w:rPr>
          <w:lang w:val="en-GB"/>
        </w:rPr>
        <w:t>GLOBAL FIRM</w:t>
      </w:r>
    </w:p>
    <w:p w14:paraId="4321A407" w14:textId="453A2527" w:rsidR="003E0DCD" w:rsidRDefault="0082037F" w:rsidP="0082037F">
      <w:pPr>
        <w:pStyle w:val="Heading3"/>
        <w:jc w:val="center"/>
        <w:rPr>
          <w:noProof/>
        </w:rPr>
      </w:pPr>
      <w:r>
        <w:rPr>
          <w:noProof/>
        </w:rPr>
        <w:t>NAME : MAHIPALSINH RANVIRSINH GOHIL</w:t>
      </w:r>
    </w:p>
    <w:p w14:paraId="1BA6051B" w14:textId="0F9AE2BC" w:rsidR="0082037F" w:rsidRDefault="0082037F" w:rsidP="0082037F">
      <w:pPr>
        <w:pStyle w:val="Heading3"/>
        <w:jc w:val="center"/>
        <w:rPr>
          <w:lang w:val="en-GB"/>
        </w:rPr>
      </w:pPr>
      <w:r>
        <w:rPr>
          <w:lang w:val="en-GB"/>
        </w:rPr>
        <w:t>STUDENT ID : 2510635</w:t>
      </w:r>
    </w:p>
    <w:p w14:paraId="4489D076" w14:textId="514F7875" w:rsidR="0082037F" w:rsidRDefault="0082037F" w:rsidP="0082037F">
      <w:pPr>
        <w:pStyle w:val="Heading3"/>
        <w:jc w:val="center"/>
        <w:rPr>
          <w:lang w:val="en-GB"/>
        </w:rPr>
      </w:pPr>
      <w:r>
        <w:rPr>
          <w:lang w:val="en-GB"/>
        </w:rPr>
        <w:t>WORD COUNT : 5333</w:t>
      </w:r>
    </w:p>
    <w:p w14:paraId="74CB36C8" w14:textId="56E38423" w:rsidR="0082037F" w:rsidRDefault="0082037F" w:rsidP="0082037F">
      <w:pPr>
        <w:pStyle w:val="Heading3"/>
        <w:jc w:val="center"/>
        <w:rPr>
          <w:lang w:val="en-GB"/>
        </w:rPr>
      </w:pPr>
      <w:r>
        <w:rPr>
          <w:lang w:val="en-GB"/>
        </w:rPr>
        <w:t>MODULE NAME: FINANCIAL MANAGEMENT</w:t>
      </w:r>
    </w:p>
    <w:p w14:paraId="34A84B0B" w14:textId="225D6F31" w:rsidR="0082037F" w:rsidRDefault="0082037F" w:rsidP="0082037F">
      <w:pPr>
        <w:pStyle w:val="Heading3"/>
        <w:jc w:val="center"/>
        <w:rPr>
          <w:lang w:val="en-GB"/>
        </w:rPr>
      </w:pPr>
      <w:r>
        <w:rPr>
          <w:lang w:val="en-GB"/>
        </w:rPr>
        <w:t>MODULE CODE: LCMB7002</w:t>
      </w:r>
    </w:p>
    <w:p w14:paraId="05FFAD5D" w14:textId="1E03A12A" w:rsidR="0082037F" w:rsidRDefault="0082037F" w:rsidP="0082037F">
      <w:pPr>
        <w:pStyle w:val="Heading3"/>
        <w:jc w:val="center"/>
        <w:rPr>
          <w:lang w:val="en-GB"/>
        </w:rPr>
      </w:pPr>
      <w:r>
        <w:rPr>
          <w:lang w:val="en-GB"/>
        </w:rPr>
        <w:t>LECTURE NAME: SHENGFENG MEI</w:t>
      </w:r>
    </w:p>
    <w:p w14:paraId="3B0A3EA5" w14:textId="77777777" w:rsidR="0082037F" w:rsidRDefault="0082037F" w:rsidP="0043349F">
      <w:pPr>
        <w:rPr>
          <w:lang w:val="en-GB"/>
        </w:rPr>
      </w:pPr>
    </w:p>
    <w:p w14:paraId="19F6A695" w14:textId="77777777" w:rsidR="0082037F" w:rsidRDefault="0082037F" w:rsidP="0043349F">
      <w:pPr>
        <w:rPr>
          <w:lang w:val="en-GB"/>
        </w:rPr>
      </w:pPr>
    </w:p>
    <w:p w14:paraId="6709106D" w14:textId="77777777" w:rsidR="003E0DCD" w:rsidRDefault="003E0DCD" w:rsidP="0043349F">
      <w:pPr>
        <w:rPr>
          <w:lang w:val="en-GB"/>
        </w:rPr>
      </w:pPr>
    </w:p>
    <w:p w14:paraId="57D52A33" w14:textId="77777777" w:rsidR="002009B3" w:rsidRDefault="002009B3" w:rsidP="0043349F">
      <w:pPr>
        <w:pStyle w:val="Title"/>
        <w:rPr>
          <w:sz w:val="24"/>
          <w:szCs w:val="24"/>
          <w:lang w:val="en-GB"/>
        </w:rPr>
      </w:pPr>
    </w:p>
    <w:p w14:paraId="278CB43D" w14:textId="77777777" w:rsidR="002009B3" w:rsidRDefault="002009B3" w:rsidP="0043349F">
      <w:pPr>
        <w:pStyle w:val="Title"/>
        <w:rPr>
          <w:sz w:val="24"/>
          <w:szCs w:val="24"/>
          <w:lang w:val="en-GB"/>
        </w:rPr>
      </w:pPr>
    </w:p>
    <w:p w14:paraId="0211EF79" w14:textId="27C0B92D" w:rsidR="00456D41" w:rsidRPr="00456D41" w:rsidRDefault="00456D41" w:rsidP="0043349F">
      <w:pPr>
        <w:pStyle w:val="Title"/>
        <w:rPr>
          <w:sz w:val="24"/>
          <w:szCs w:val="24"/>
          <w:lang w:val="en-GB"/>
        </w:rPr>
      </w:pPr>
      <w:r w:rsidRPr="00456D41">
        <w:rPr>
          <w:sz w:val="24"/>
          <w:szCs w:val="24"/>
          <w:lang w:val="en-GB"/>
        </w:rPr>
        <w:t>Executive summary</w:t>
      </w:r>
    </w:p>
    <w:p w14:paraId="186C403B" w14:textId="77777777" w:rsidR="00080EDE" w:rsidRDefault="00080EDE" w:rsidP="0043349F">
      <w:pPr>
        <w:rPr>
          <w:lang w:val="en-GB"/>
        </w:rPr>
      </w:pPr>
      <w:r>
        <w:rPr>
          <w:lang w:val="en-GB"/>
        </w:rPr>
        <w:t>T</w:t>
      </w:r>
      <w:r w:rsidRPr="00FA2D9A">
        <w:rPr>
          <w:lang w:val="en-GB"/>
        </w:rPr>
        <w:t xml:space="preserve">he financial </w:t>
      </w:r>
      <w:r>
        <w:rPr>
          <w:lang w:val="en-GB"/>
        </w:rPr>
        <w:t>performance</w:t>
      </w:r>
      <w:r w:rsidRPr="00FA2D9A">
        <w:rPr>
          <w:lang w:val="en-GB"/>
        </w:rPr>
        <w:t xml:space="preserve"> of General Electronics after a new CFO </w:t>
      </w:r>
      <w:r>
        <w:rPr>
          <w:lang w:val="en-GB"/>
        </w:rPr>
        <w:t>is calculated and</w:t>
      </w:r>
      <w:r w:rsidRPr="00FA2D9A">
        <w:rPr>
          <w:lang w:val="en-GB"/>
        </w:rPr>
        <w:t xml:space="preserve"> assessed</w:t>
      </w:r>
      <w:r>
        <w:rPr>
          <w:lang w:val="en-GB"/>
        </w:rPr>
        <w:t xml:space="preserve"> i</w:t>
      </w:r>
      <w:r w:rsidRPr="00FA2D9A">
        <w:rPr>
          <w:lang w:val="en-GB"/>
        </w:rPr>
        <w:t xml:space="preserve">n this </w:t>
      </w:r>
      <w:r>
        <w:rPr>
          <w:lang w:val="en-GB"/>
        </w:rPr>
        <w:t>study</w:t>
      </w:r>
      <w:r w:rsidRPr="00FA2D9A">
        <w:rPr>
          <w:lang w:val="en-GB"/>
        </w:rPr>
        <w:t xml:space="preserve">. </w:t>
      </w:r>
      <w:r>
        <w:rPr>
          <w:lang w:val="en-GB"/>
        </w:rPr>
        <w:t xml:space="preserve">It specifically </w:t>
      </w:r>
      <w:r w:rsidRPr="00FA2D9A">
        <w:rPr>
          <w:lang w:val="en-GB"/>
        </w:rPr>
        <w:t>identifies fundamental weaknesses using ratio analysis, cash flow evaluation, predicting failure, restructuring alternatives, and capital budgeting</w:t>
      </w:r>
      <w:r>
        <w:rPr>
          <w:lang w:val="en-GB"/>
        </w:rPr>
        <w:t>. Aim behind this was</w:t>
      </w:r>
      <w:r w:rsidRPr="00FA2D9A">
        <w:rPr>
          <w:lang w:val="en-GB"/>
        </w:rPr>
        <w:t xml:space="preserve"> to suggest a financially feasible, ethical and scalability of strategies turnaround plan.</w:t>
      </w:r>
      <w:r>
        <w:rPr>
          <w:lang w:val="en-GB"/>
        </w:rPr>
        <w:t xml:space="preserve"> </w:t>
      </w:r>
    </w:p>
    <w:p w14:paraId="65B90F73" w14:textId="572E58B2" w:rsidR="00385C99" w:rsidRPr="00456D41" w:rsidRDefault="00385C99" w:rsidP="0043349F">
      <w:pPr>
        <w:pStyle w:val="Title"/>
        <w:rPr>
          <w:sz w:val="24"/>
          <w:szCs w:val="24"/>
          <w:lang w:val="en-GB"/>
        </w:rPr>
      </w:pPr>
    </w:p>
    <w:sdt>
      <w:sdtPr>
        <w:rPr>
          <w:rFonts w:ascii="Arial" w:eastAsia="Arial" w:hAnsi="Arial" w:cs="Arial"/>
          <w:b w:val="0"/>
          <w:bCs w:val="0"/>
          <w:color w:val="auto"/>
          <w:sz w:val="24"/>
          <w:szCs w:val="24"/>
          <w:lang w:val="en" w:eastAsia="en-GB"/>
        </w:rPr>
        <w:id w:val="-751959869"/>
        <w:docPartObj>
          <w:docPartGallery w:val="Table of Contents"/>
          <w:docPartUnique/>
        </w:docPartObj>
      </w:sdtPr>
      <w:sdtEndPr>
        <w:rPr>
          <w:noProof/>
        </w:rPr>
      </w:sdtEndPr>
      <w:sdtContent>
        <w:p w14:paraId="07928E04" w14:textId="77777777" w:rsidR="00385C99" w:rsidRPr="00FA2D9A" w:rsidRDefault="00385C99" w:rsidP="0043349F">
          <w:pPr>
            <w:pStyle w:val="TOCHeading"/>
            <w:spacing w:before="0" w:line="360" w:lineRule="auto"/>
            <w:jc w:val="center"/>
            <w:rPr>
              <w:rFonts w:ascii="Arial" w:hAnsi="Arial" w:cs="Arial"/>
              <w:color w:val="000000" w:themeColor="text1"/>
              <w:sz w:val="24"/>
              <w:szCs w:val="24"/>
            </w:rPr>
          </w:pPr>
          <w:r w:rsidRPr="00FA2D9A">
            <w:rPr>
              <w:rFonts w:ascii="Arial" w:hAnsi="Arial" w:cs="Arial"/>
              <w:color w:val="000000" w:themeColor="text1"/>
              <w:sz w:val="24"/>
              <w:szCs w:val="24"/>
            </w:rPr>
            <w:t>Table of Contents</w:t>
          </w:r>
        </w:p>
        <w:p w14:paraId="39B886A2" w14:textId="6C2C2112" w:rsidR="00EE5101" w:rsidRPr="00EE5101" w:rsidRDefault="00385C99" w:rsidP="00EE5101">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r w:rsidRPr="00C27FE4">
            <w:rPr>
              <w:rFonts w:ascii="Arial" w:hAnsi="Arial"/>
              <w:b w:val="0"/>
              <w:bCs w:val="0"/>
              <w:i w:val="0"/>
              <w:iCs w:val="0"/>
              <w:color w:val="000000" w:themeColor="text1"/>
            </w:rPr>
            <w:fldChar w:fldCharType="begin"/>
          </w:r>
          <w:r w:rsidRPr="00C27FE4">
            <w:rPr>
              <w:rFonts w:ascii="Arial" w:hAnsi="Arial"/>
              <w:b w:val="0"/>
              <w:bCs w:val="0"/>
              <w:i w:val="0"/>
              <w:iCs w:val="0"/>
              <w:color w:val="000000" w:themeColor="text1"/>
            </w:rPr>
            <w:instrText xml:space="preserve"> TOC \o "1-3" \h \z \u </w:instrText>
          </w:r>
          <w:r w:rsidRPr="00C27FE4">
            <w:rPr>
              <w:rFonts w:ascii="Arial" w:hAnsi="Arial"/>
              <w:b w:val="0"/>
              <w:bCs w:val="0"/>
              <w:i w:val="0"/>
              <w:iCs w:val="0"/>
              <w:color w:val="000000" w:themeColor="text1"/>
            </w:rPr>
            <w:fldChar w:fldCharType="separate"/>
          </w:r>
          <w:hyperlink w:anchor="_Toc217298003" w:history="1">
            <w:r w:rsidR="00EE5101" w:rsidRPr="00EE5101">
              <w:rPr>
                <w:rStyle w:val="Hyperlink"/>
                <w:rFonts w:ascii="Arial" w:hAnsi="Arial"/>
                <w:b w:val="0"/>
                <w:bCs w:val="0"/>
                <w:i w:val="0"/>
                <w:iCs w:val="0"/>
                <w:noProof/>
                <w:lang w:val="en-GB"/>
              </w:rPr>
              <w:t>1. Introduction</w:t>
            </w:r>
            <w:r w:rsidR="00EE5101" w:rsidRPr="00EE5101">
              <w:rPr>
                <w:rFonts w:ascii="Arial" w:hAnsi="Arial"/>
                <w:b w:val="0"/>
                <w:bCs w:val="0"/>
                <w:i w:val="0"/>
                <w:iCs w:val="0"/>
                <w:noProof/>
                <w:webHidden/>
              </w:rPr>
              <w:tab/>
            </w:r>
            <w:r w:rsidR="00EE5101" w:rsidRPr="00EE5101">
              <w:rPr>
                <w:rFonts w:ascii="Arial" w:hAnsi="Arial"/>
                <w:b w:val="0"/>
                <w:bCs w:val="0"/>
                <w:i w:val="0"/>
                <w:iCs w:val="0"/>
                <w:noProof/>
                <w:webHidden/>
              </w:rPr>
              <w:fldChar w:fldCharType="begin"/>
            </w:r>
            <w:r w:rsidR="00EE5101" w:rsidRPr="00EE5101">
              <w:rPr>
                <w:rFonts w:ascii="Arial" w:hAnsi="Arial"/>
                <w:b w:val="0"/>
                <w:bCs w:val="0"/>
                <w:i w:val="0"/>
                <w:iCs w:val="0"/>
                <w:noProof/>
                <w:webHidden/>
              </w:rPr>
              <w:instrText xml:space="preserve"> PAGEREF _Toc217298003 \h </w:instrText>
            </w:r>
            <w:r w:rsidR="00EE5101" w:rsidRPr="00EE5101">
              <w:rPr>
                <w:rFonts w:ascii="Arial" w:hAnsi="Arial"/>
                <w:b w:val="0"/>
                <w:bCs w:val="0"/>
                <w:i w:val="0"/>
                <w:iCs w:val="0"/>
                <w:noProof/>
                <w:webHidden/>
              </w:rPr>
            </w:r>
            <w:r w:rsidR="00EE5101" w:rsidRPr="00EE5101">
              <w:rPr>
                <w:rFonts w:ascii="Arial" w:hAnsi="Arial"/>
                <w:b w:val="0"/>
                <w:bCs w:val="0"/>
                <w:i w:val="0"/>
                <w:iCs w:val="0"/>
                <w:noProof/>
                <w:webHidden/>
              </w:rPr>
              <w:fldChar w:fldCharType="separate"/>
            </w:r>
            <w:r w:rsidR="00EE5101" w:rsidRPr="00EE5101">
              <w:rPr>
                <w:rFonts w:ascii="Arial" w:hAnsi="Arial"/>
                <w:b w:val="0"/>
                <w:bCs w:val="0"/>
                <w:i w:val="0"/>
                <w:iCs w:val="0"/>
                <w:noProof/>
                <w:webHidden/>
              </w:rPr>
              <w:t>5</w:t>
            </w:r>
            <w:r w:rsidR="00EE5101" w:rsidRPr="00EE5101">
              <w:rPr>
                <w:rFonts w:ascii="Arial" w:hAnsi="Arial"/>
                <w:b w:val="0"/>
                <w:bCs w:val="0"/>
                <w:i w:val="0"/>
                <w:iCs w:val="0"/>
                <w:noProof/>
                <w:webHidden/>
              </w:rPr>
              <w:fldChar w:fldCharType="end"/>
            </w:r>
          </w:hyperlink>
        </w:p>
        <w:p w14:paraId="7711CFBD" w14:textId="661DDFD6" w:rsidR="00EE5101" w:rsidRPr="00EE5101" w:rsidRDefault="00EE5101" w:rsidP="00EE5101">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8004" w:history="1">
            <w:r w:rsidRPr="00EE5101">
              <w:rPr>
                <w:rStyle w:val="Hyperlink"/>
                <w:rFonts w:ascii="Arial" w:hAnsi="Arial"/>
                <w:b w:val="0"/>
                <w:bCs w:val="0"/>
                <w:i w:val="0"/>
                <w:iCs w:val="0"/>
                <w:noProof/>
                <w:lang w:val="en-GB"/>
              </w:rPr>
              <w:t>2. Financial Health Check</w:t>
            </w:r>
            <w:r w:rsidRPr="00EE5101">
              <w:rPr>
                <w:rFonts w:ascii="Arial" w:hAnsi="Arial"/>
                <w:b w:val="0"/>
                <w:bCs w:val="0"/>
                <w:i w:val="0"/>
                <w:iCs w:val="0"/>
                <w:noProof/>
                <w:webHidden/>
              </w:rPr>
              <w:tab/>
            </w:r>
            <w:r w:rsidRPr="00EE5101">
              <w:rPr>
                <w:rFonts w:ascii="Arial" w:hAnsi="Arial"/>
                <w:b w:val="0"/>
                <w:bCs w:val="0"/>
                <w:i w:val="0"/>
                <w:iCs w:val="0"/>
                <w:noProof/>
                <w:webHidden/>
              </w:rPr>
              <w:fldChar w:fldCharType="begin"/>
            </w:r>
            <w:r w:rsidRPr="00EE5101">
              <w:rPr>
                <w:rFonts w:ascii="Arial" w:hAnsi="Arial"/>
                <w:b w:val="0"/>
                <w:bCs w:val="0"/>
                <w:i w:val="0"/>
                <w:iCs w:val="0"/>
                <w:noProof/>
                <w:webHidden/>
              </w:rPr>
              <w:instrText xml:space="preserve"> PAGEREF _Toc217298004 \h </w:instrText>
            </w:r>
            <w:r w:rsidRPr="00EE5101">
              <w:rPr>
                <w:rFonts w:ascii="Arial" w:hAnsi="Arial"/>
                <w:b w:val="0"/>
                <w:bCs w:val="0"/>
                <w:i w:val="0"/>
                <w:iCs w:val="0"/>
                <w:noProof/>
                <w:webHidden/>
              </w:rPr>
            </w:r>
            <w:r w:rsidRPr="00EE5101">
              <w:rPr>
                <w:rFonts w:ascii="Arial" w:hAnsi="Arial"/>
                <w:b w:val="0"/>
                <w:bCs w:val="0"/>
                <w:i w:val="0"/>
                <w:iCs w:val="0"/>
                <w:noProof/>
                <w:webHidden/>
              </w:rPr>
              <w:fldChar w:fldCharType="separate"/>
            </w:r>
            <w:r w:rsidRPr="00EE5101">
              <w:rPr>
                <w:rFonts w:ascii="Arial" w:hAnsi="Arial"/>
                <w:b w:val="0"/>
                <w:bCs w:val="0"/>
                <w:i w:val="0"/>
                <w:iCs w:val="0"/>
                <w:noProof/>
                <w:webHidden/>
              </w:rPr>
              <w:t>5</w:t>
            </w:r>
            <w:r w:rsidRPr="00EE5101">
              <w:rPr>
                <w:rFonts w:ascii="Arial" w:hAnsi="Arial"/>
                <w:b w:val="0"/>
                <w:bCs w:val="0"/>
                <w:i w:val="0"/>
                <w:iCs w:val="0"/>
                <w:noProof/>
                <w:webHidden/>
              </w:rPr>
              <w:fldChar w:fldCharType="end"/>
            </w:r>
          </w:hyperlink>
        </w:p>
        <w:p w14:paraId="015B6C2B" w14:textId="468C60D4"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05" w:history="1">
            <w:r w:rsidRPr="00EE5101">
              <w:rPr>
                <w:rStyle w:val="Hyperlink"/>
                <w:rFonts w:ascii="Arial" w:hAnsi="Arial"/>
                <w:b w:val="0"/>
                <w:bCs w:val="0"/>
                <w:noProof/>
                <w:sz w:val="24"/>
                <w:szCs w:val="24"/>
                <w:lang w:val="en-GB"/>
              </w:rPr>
              <w:t>2.1 Overview of Financial Performance</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_Toc217298005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5</w:t>
            </w:r>
            <w:r w:rsidRPr="00EE5101">
              <w:rPr>
                <w:rFonts w:ascii="Arial" w:hAnsi="Arial"/>
                <w:b w:val="0"/>
                <w:bCs w:val="0"/>
                <w:noProof/>
                <w:webHidden/>
                <w:sz w:val="24"/>
                <w:szCs w:val="24"/>
              </w:rPr>
              <w:fldChar w:fldCharType="end"/>
            </w:r>
          </w:hyperlink>
        </w:p>
        <w:p w14:paraId="2B514D51" w14:textId="40F428F9"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06" w:history="1">
            <w:r w:rsidRPr="00EE5101">
              <w:rPr>
                <w:rStyle w:val="Hyperlink"/>
                <w:rFonts w:ascii="Arial" w:hAnsi="Arial"/>
                <w:b w:val="0"/>
                <w:bCs w:val="0"/>
                <w:noProof/>
                <w:sz w:val="24"/>
                <w:szCs w:val="24"/>
                <w:lang w:val="en-GB"/>
              </w:rPr>
              <w:t>2.2 Profitability Ratio Analysis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_Toc217298006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5</w:t>
            </w:r>
            <w:r w:rsidRPr="00EE5101">
              <w:rPr>
                <w:rFonts w:ascii="Arial" w:hAnsi="Arial"/>
                <w:b w:val="0"/>
                <w:bCs w:val="0"/>
                <w:noProof/>
                <w:webHidden/>
                <w:sz w:val="24"/>
                <w:szCs w:val="24"/>
              </w:rPr>
              <w:fldChar w:fldCharType="end"/>
            </w:r>
          </w:hyperlink>
        </w:p>
        <w:p w14:paraId="690FEFE5" w14:textId="067B6E49"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07" w:history="1">
            <w:r w:rsidRPr="00EE5101">
              <w:rPr>
                <w:rStyle w:val="Hyperlink"/>
                <w:rFonts w:ascii="Arial" w:hAnsi="Arial"/>
                <w:noProof/>
                <w:sz w:val="24"/>
                <w:szCs w:val="24"/>
                <w:lang w:val="en-GB"/>
              </w:rPr>
              <w:t>2.2.1 Gross Margin</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_Toc217298007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6</w:t>
            </w:r>
            <w:r w:rsidRPr="00EE5101">
              <w:rPr>
                <w:rFonts w:ascii="Arial" w:hAnsi="Arial"/>
                <w:noProof/>
                <w:webHidden/>
                <w:sz w:val="24"/>
                <w:szCs w:val="24"/>
              </w:rPr>
              <w:fldChar w:fldCharType="end"/>
            </w:r>
          </w:hyperlink>
        </w:p>
        <w:p w14:paraId="237316DF" w14:textId="40B57F4E"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08" w:history="1">
            <w:r w:rsidRPr="00EE5101">
              <w:rPr>
                <w:rStyle w:val="Hyperlink"/>
                <w:rFonts w:ascii="Arial" w:hAnsi="Arial"/>
                <w:noProof/>
                <w:sz w:val="24"/>
                <w:szCs w:val="24"/>
                <w:lang w:val="en-GB"/>
              </w:rPr>
              <w:t>2.2.2 Operating Margin</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_Toc217298008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6</w:t>
            </w:r>
            <w:r w:rsidRPr="00EE5101">
              <w:rPr>
                <w:rFonts w:ascii="Arial" w:hAnsi="Arial"/>
                <w:noProof/>
                <w:webHidden/>
                <w:sz w:val="24"/>
                <w:szCs w:val="24"/>
              </w:rPr>
              <w:fldChar w:fldCharType="end"/>
            </w:r>
          </w:hyperlink>
        </w:p>
        <w:p w14:paraId="11412FBF" w14:textId="261F24A0"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09" w:history="1">
            <w:r w:rsidRPr="00EE5101">
              <w:rPr>
                <w:rStyle w:val="Hyperlink"/>
                <w:rFonts w:ascii="Arial" w:hAnsi="Arial"/>
                <w:noProof/>
                <w:sz w:val="24"/>
                <w:szCs w:val="24"/>
                <w:lang w:val="en-GB"/>
              </w:rPr>
              <w:t>2.2.3 Net Margin</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_Toc217298009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7</w:t>
            </w:r>
            <w:r w:rsidRPr="00EE5101">
              <w:rPr>
                <w:rFonts w:ascii="Arial" w:hAnsi="Arial"/>
                <w:noProof/>
                <w:webHidden/>
                <w:sz w:val="24"/>
                <w:szCs w:val="24"/>
              </w:rPr>
              <w:fldChar w:fldCharType="end"/>
            </w:r>
          </w:hyperlink>
        </w:p>
        <w:p w14:paraId="0CD177D9" w14:textId="331A6C60"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10" w:history="1">
            <w:r w:rsidRPr="00EE5101">
              <w:rPr>
                <w:rStyle w:val="Hyperlink"/>
                <w:rFonts w:ascii="Arial" w:hAnsi="Arial"/>
                <w:b w:val="0"/>
                <w:bCs w:val="0"/>
                <w:noProof/>
                <w:sz w:val="24"/>
                <w:szCs w:val="24"/>
                <w:lang w:val="en-GB"/>
              </w:rPr>
              <w:t>2.3 Liquidity Ratio Analysis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_Toc217298010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8</w:t>
            </w:r>
            <w:r w:rsidRPr="00EE5101">
              <w:rPr>
                <w:rFonts w:ascii="Arial" w:hAnsi="Arial"/>
                <w:b w:val="0"/>
                <w:bCs w:val="0"/>
                <w:noProof/>
                <w:webHidden/>
                <w:sz w:val="24"/>
                <w:szCs w:val="24"/>
              </w:rPr>
              <w:fldChar w:fldCharType="end"/>
            </w:r>
          </w:hyperlink>
        </w:p>
        <w:p w14:paraId="5AEF81EB" w14:textId="31A1367C"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11" w:history="1">
            <w:r w:rsidRPr="00EE5101">
              <w:rPr>
                <w:rStyle w:val="Hyperlink"/>
                <w:rFonts w:ascii="Arial" w:hAnsi="Arial"/>
                <w:noProof/>
                <w:sz w:val="24"/>
                <w:szCs w:val="24"/>
                <w:lang w:val="en-GB"/>
              </w:rPr>
              <w:t>2.3.1 Current Ratio</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_Toc217298011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8</w:t>
            </w:r>
            <w:r w:rsidRPr="00EE5101">
              <w:rPr>
                <w:rFonts w:ascii="Arial" w:hAnsi="Arial"/>
                <w:noProof/>
                <w:webHidden/>
                <w:sz w:val="24"/>
                <w:szCs w:val="24"/>
              </w:rPr>
              <w:fldChar w:fldCharType="end"/>
            </w:r>
          </w:hyperlink>
        </w:p>
        <w:p w14:paraId="3157F627" w14:textId="65793C7B"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12" w:history="1">
            <w:r w:rsidRPr="00EE5101">
              <w:rPr>
                <w:rStyle w:val="Hyperlink"/>
                <w:rFonts w:ascii="Arial" w:hAnsi="Arial"/>
                <w:noProof/>
                <w:sz w:val="24"/>
                <w:szCs w:val="24"/>
                <w:lang w:val="en-GB"/>
              </w:rPr>
              <w:t>2.3.2 Quick Ratio</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_Toc217298012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8</w:t>
            </w:r>
            <w:r w:rsidRPr="00EE5101">
              <w:rPr>
                <w:rFonts w:ascii="Arial" w:hAnsi="Arial"/>
                <w:noProof/>
                <w:webHidden/>
                <w:sz w:val="24"/>
                <w:szCs w:val="24"/>
              </w:rPr>
              <w:fldChar w:fldCharType="end"/>
            </w:r>
          </w:hyperlink>
        </w:p>
        <w:p w14:paraId="168B1195" w14:textId="0F02C3D1"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13" w:history="1">
            <w:r w:rsidRPr="00EE5101">
              <w:rPr>
                <w:rStyle w:val="Hyperlink"/>
                <w:rFonts w:ascii="Arial" w:hAnsi="Arial"/>
                <w:b w:val="0"/>
                <w:bCs w:val="0"/>
                <w:noProof/>
                <w:sz w:val="24"/>
                <w:szCs w:val="24"/>
                <w:lang w:val="en-GB"/>
              </w:rPr>
              <w:t>2.4 Efficiency (Working Capital) Ratio Analysis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_Toc217298013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9</w:t>
            </w:r>
            <w:r w:rsidRPr="00EE5101">
              <w:rPr>
                <w:rFonts w:ascii="Arial" w:hAnsi="Arial"/>
                <w:b w:val="0"/>
                <w:bCs w:val="0"/>
                <w:noProof/>
                <w:webHidden/>
                <w:sz w:val="24"/>
                <w:szCs w:val="24"/>
              </w:rPr>
              <w:fldChar w:fldCharType="end"/>
            </w:r>
          </w:hyperlink>
        </w:p>
        <w:p w14:paraId="702E4BAE" w14:textId="52D7AEA4"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14" w:history="1">
            <w:r w:rsidRPr="00EE5101">
              <w:rPr>
                <w:rStyle w:val="Hyperlink"/>
                <w:rFonts w:ascii="Arial" w:hAnsi="Arial"/>
                <w:noProof/>
                <w:sz w:val="24"/>
                <w:szCs w:val="24"/>
                <w:lang w:val="en-GB"/>
              </w:rPr>
              <w:t>2.4.1 Inventory Days</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_Toc217298014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9</w:t>
            </w:r>
            <w:r w:rsidRPr="00EE5101">
              <w:rPr>
                <w:rFonts w:ascii="Arial" w:hAnsi="Arial"/>
                <w:noProof/>
                <w:webHidden/>
                <w:sz w:val="24"/>
                <w:szCs w:val="24"/>
              </w:rPr>
              <w:fldChar w:fldCharType="end"/>
            </w:r>
          </w:hyperlink>
        </w:p>
        <w:p w14:paraId="3B1A4826" w14:textId="204EFEEC"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15" w:history="1">
            <w:r w:rsidRPr="00EE5101">
              <w:rPr>
                <w:rStyle w:val="Hyperlink"/>
                <w:rFonts w:ascii="Arial" w:hAnsi="Arial"/>
                <w:noProof/>
                <w:sz w:val="24"/>
                <w:szCs w:val="24"/>
                <w:lang w:val="en-GB"/>
              </w:rPr>
              <w:t>2.4.2 Receivable Days</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_Toc217298015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10</w:t>
            </w:r>
            <w:r w:rsidRPr="00EE5101">
              <w:rPr>
                <w:rFonts w:ascii="Arial" w:hAnsi="Arial"/>
                <w:noProof/>
                <w:webHidden/>
                <w:sz w:val="24"/>
                <w:szCs w:val="24"/>
              </w:rPr>
              <w:fldChar w:fldCharType="end"/>
            </w:r>
          </w:hyperlink>
        </w:p>
        <w:p w14:paraId="7A4EB00B" w14:textId="529921E3"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16" w:history="1">
            <w:r w:rsidRPr="00EE5101">
              <w:rPr>
                <w:rStyle w:val="Hyperlink"/>
                <w:rFonts w:ascii="Arial" w:hAnsi="Arial"/>
                <w:noProof/>
                <w:sz w:val="24"/>
                <w:szCs w:val="24"/>
                <w:lang w:val="en-GB"/>
              </w:rPr>
              <w:t>2.4.3 Payable Days</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_Toc217298016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10</w:t>
            </w:r>
            <w:r w:rsidRPr="00EE5101">
              <w:rPr>
                <w:rFonts w:ascii="Arial" w:hAnsi="Arial"/>
                <w:noProof/>
                <w:webHidden/>
                <w:sz w:val="24"/>
                <w:szCs w:val="24"/>
              </w:rPr>
              <w:fldChar w:fldCharType="end"/>
            </w:r>
          </w:hyperlink>
        </w:p>
        <w:p w14:paraId="37C498D2" w14:textId="790C7596"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17" w:history="1">
            <w:r w:rsidRPr="00EE5101">
              <w:rPr>
                <w:rStyle w:val="Hyperlink"/>
                <w:rFonts w:ascii="Arial" w:hAnsi="Arial"/>
                <w:b w:val="0"/>
                <w:bCs w:val="0"/>
                <w:noProof/>
                <w:sz w:val="24"/>
                <w:szCs w:val="24"/>
                <w:lang w:val="en-GB"/>
              </w:rPr>
              <w:t>2.5 Return Ratio Analysis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_Toc217298017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11</w:t>
            </w:r>
            <w:r w:rsidRPr="00EE5101">
              <w:rPr>
                <w:rFonts w:ascii="Arial" w:hAnsi="Arial"/>
                <w:b w:val="0"/>
                <w:bCs w:val="0"/>
                <w:noProof/>
                <w:webHidden/>
                <w:sz w:val="24"/>
                <w:szCs w:val="24"/>
              </w:rPr>
              <w:fldChar w:fldCharType="end"/>
            </w:r>
          </w:hyperlink>
        </w:p>
        <w:p w14:paraId="0C278FD3" w14:textId="448BDF2F"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18" w:history="1">
            <w:r w:rsidRPr="00EE5101">
              <w:rPr>
                <w:rStyle w:val="Hyperlink"/>
                <w:rFonts w:ascii="Arial" w:hAnsi="Arial"/>
                <w:noProof/>
                <w:sz w:val="24"/>
                <w:szCs w:val="24"/>
                <w:lang w:val="en-GB"/>
              </w:rPr>
              <w:t>2.5.1 Return on Assets (ROA)</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_Toc217298018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11</w:t>
            </w:r>
            <w:r w:rsidRPr="00EE5101">
              <w:rPr>
                <w:rFonts w:ascii="Arial" w:hAnsi="Arial"/>
                <w:noProof/>
                <w:webHidden/>
                <w:sz w:val="24"/>
                <w:szCs w:val="24"/>
              </w:rPr>
              <w:fldChar w:fldCharType="end"/>
            </w:r>
          </w:hyperlink>
        </w:p>
        <w:p w14:paraId="64C55BD4" w14:textId="5DC1F624"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19" w:history="1">
            <w:r w:rsidRPr="00EE5101">
              <w:rPr>
                <w:rStyle w:val="Hyperlink"/>
                <w:rFonts w:ascii="Arial" w:hAnsi="Arial"/>
                <w:noProof/>
                <w:sz w:val="24"/>
                <w:szCs w:val="24"/>
                <w:lang w:val="en-GB"/>
              </w:rPr>
              <w:t>2.5.2 Return on Equity (ROE)</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_Toc217298019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12</w:t>
            </w:r>
            <w:r w:rsidRPr="00EE5101">
              <w:rPr>
                <w:rFonts w:ascii="Arial" w:hAnsi="Arial"/>
                <w:noProof/>
                <w:webHidden/>
                <w:sz w:val="24"/>
                <w:szCs w:val="24"/>
              </w:rPr>
              <w:fldChar w:fldCharType="end"/>
            </w:r>
          </w:hyperlink>
        </w:p>
        <w:p w14:paraId="0260CD7A" w14:textId="02709814"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20" w:history="1">
            <w:r w:rsidRPr="00EE5101">
              <w:rPr>
                <w:rStyle w:val="Hyperlink"/>
                <w:rFonts w:ascii="Arial" w:hAnsi="Arial"/>
                <w:b w:val="0"/>
                <w:bCs w:val="0"/>
                <w:noProof/>
                <w:sz w:val="24"/>
                <w:szCs w:val="24"/>
                <w:lang w:val="en-GB"/>
              </w:rPr>
              <w:t>2.6 Capital Structure Ratio Analysis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_Toc217298020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12</w:t>
            </w:r>
            <w:r w:rsidRPr="00EE5101">
              <w:rPr>
                <w:rFonts w:ascii="Arial" w:hAnsi="Arial"/>
                <w:b w:val="0"/>
                <w:bCs w:val="0"/>
                <w:noProof/>
                <w:webHidden/>
                <w:sz w:val="24"/>
                <w:szCs w:val="24"/>
              </w:rPr>
              <w:fldChar w:fldCharType="end"/>
            </w:r>
          </w:hyperlink>
        </w:p>
        <w:p w14:paraId="56B785A7" w14:textId="3680D15B"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21" w:history="1">
            <w:r w:rsidRPr="00EE5101">
              <w:rPr>
                <w:rStyle w:val="Hyperlink"/>
                <w:rFonts w:ascii="Arial" w:hAnsi="Arial"/>
                <w:noProof/>
                <w:sz w:val="24"/>
                <w:szCs w:val="24"/>
                <w:lang w:val="en-GB"/>
              </w:rPr>
              <w:t>2.6.1 Debt-to-Equity Ratio</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_Toc217298021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12</w:t>
            </w:r>
            <w:r w:rsidRPr="00EE5101">
              <w:rPr>
                <w:rFonts w:ascii="Arial" w:hAnsi="Arial"/>
                <w:noProof/>
                <w:webHidden/>
                <w:sz w:val="24"/>
                <w:szCs w:val="24"/>
              </w:rPr>
              <w:fldChar w:fldCharType="end"/>
            </w:r>
          </w:hyperlink>
        </w:p>
        <w:p w14:paraId="598F4AAF" w14:textId="3385724F"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22" w:history="1">
            <w:r w:rsidRPr="00EE5101">
              <w:rPr>
                <w:rStyle w:val="Hyperlink"/>
                <w:rFonts w:ascii="Arial" w:hAnsi="Arial"/>
                <w:b w:val="0"/>
                <w:bCs w:val="0"/>
                <w:noProof/>
                <w:sz w:val="24"/>
                <w:szCs w:val="24"/>
                <w:lang w:val="en-GB"/>
              </w:rPr>
              <w:t>2.7 Cash Flow Analysis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_Toc217298022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13</w:t>
            </w:r>
            <w:r w:rsidRPr="00EE5101">
              <w:rPr>
                <w:rFonts w:ascii="Arial" w:hAnsi="Arial"/>
                <w:b w:val="0"/>
                <w:bCs w:val="0"/>
                <w:noProof/>
                <w:webHidden/>
                <w:sz w:val="24"/>
                <w:szCs w:val="24"/>
              </w:rPr>
              <w:fldChar w:fldCharType="end"/>
            </w:r>
          </w:hyperlink>
        </w:p>
        <w:p w14:paraId="69310572" w14:textId="23ED9486"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23" w:history="1">
            <w:r w:rsidRPr="00EE5101">
              <w:rPr>
                <w:rStyle w:val="Hyperlink"/>
                <w:rFonts w:ascii="Arial" w:hAnsi="Arial"/>
                <w:noProof/>
                <w:sz w:val="24"/>
                <w:szCs w:val="24"/>
                <w:lang w:val="en-GB"/>
              </w:rPr>
              <w:t>2.7.1 Operating Cash Flow Volatility</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_Toc217298023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13</w:t>
            </w:r>
            <w:r w:rsidRPr="00EE5101">
              <w:rPr>
                <w:rFonts w:ascii="Arial" w:hAnsi="Arial"/>
                <w:noProof/>
                <w:webHidden/>
                <w:sz w:val="24"/>
                <w:szCs w:val="24"/>
              </w:rPr>
              <w:fldChar w:fldCharType="end"/>
            </w:r>
          </w:hyperlink>
        </w:p>
        <w:p w14:paraId="18AAD982" w14:textId="5CDFFC09"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24" w:history="1">
            <w:r w:rsidRPr="00EE5101">
              <w:rPr>
                <w:rStyle w:val="Hyperlink"/>
                <w:rFonts w:ascii="Arial" w:hAnsi="Arial"/>
                <w:noProof/>
                <w:sz w:val="24"/>
                <w:szCs w:val="24"/>
                <w:lang w:val="en-GB"/>
              </w:rPr>
              <w:t>2.7.2 Role of Depreciation and Impairments</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_Toc217298024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13</w:t>
            </w:r>
            <w:r w:rsidRPr="00EE5101">
              <w:rPr>
                <w:rFonts w:ascii="Arial" w:hAnsi="Arial"/>
                <w:noProof/>
                <w:webHidden/>
                <w:sz w:val="24"/>
                <w:szCs w:val="24"/>
              </w:rPr>
              <w:fldChar w:fldCharType="end"/>
            </w:r>
          </w:hyperlink>
        </w:p>
        <w:p w14:paraId="6D6703B3" w14:textId="5AF04199"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25" w:history="1">
            <w:r w:rsidRPr="00EE5101">
              <w:rPr>
                <w:rStyle w:val="Hyperlink"/>
                <w:rFonts w:ascii="Arial" w:hAnsi="Arial"/>
                <w:noProof/>
                <w:sz w:val="24"/>
                <w:szCs w:val="24"/>
                <w:lang w:val="en-GB"/>
              </w:rPr>
              <w:t>2.7.3 Disconnect Between Accounting Losses and Cash Survival</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_Toc217298025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13</w:t>
            </w:r>
            <w:r w:rsidRPr="00EE5101">
              <w:rPr>
                <w:rFonts w:ascii="Arial" w:hAnsi="Arial"/>
                <w:noProof/>
                <w:webHidden/>
                <w:sz w:val="24"/>
                <w:szCs w:val="24"/>
              </w:rPr>
              <w:fldChar w:fldCharType="end"/>
            </w:r>
          </w:hyperlink>
        </w:p>
        <w:p w14:paraId="2405E211" w14:textId="0C91118C"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26" w:history="1">
            <w:r w:rsidRPr="00EE5101">
              <w:rPr>
                <w:rStyle w:val="Hyperlink"/>
                <w:rFonts w:ascii="Arial" w:hAnsi="Arial"/>
                <w:b w:val="0"/>
                <w:bCs w:val="0"/>
                <w:noProof/>
                <w:sz w:val="24"/>
                <w:szCs w:val="24"/>
                <w:lang w:val="en-GB"/>
              </w:rPr>
              <w:t>2.8 Corporate Failure Risk Assessment – Altman Z-Score</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_Toc217298026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13</w:t>
            </w:r>
            <w:r w:rsidRPr="00EE5101">
              <w:rPr>
                <w:rFonts w:ascii="Arial" w:hAnsi="Arial"/>
                <w:b w:val="0"/>
                <w:bCs w:val="0"/>
                <w:noProof/>
                <w:webHidden/>
                <w:sz w:val="24"/>
                <w:szCs w:val="24"/>
              </w:rPr>
              <w:fldChar w:fldCharType="end"/>
            </w:r>
          </w:hyperlink>
        </w:p>
        <w:p w14:paraId="10BE595B" w14:textId="1DBCB6FC"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27" w:history="1">
            <w:r w:rsidRPr="00EE5101">
              <w:rPr>
                <w:rStyle w:val="Hyperlink"/>
                <w:rFonts w:ascii="Arial" w:hAnsi="Arial"/>
                <w:noProof/>
                <w:sz w:val="24"/>
                <w:szCs w:val="24"/>
                <w:lang w:val="en-GB"/>
              </w:rPr>
              <w:t>2.8.1 Model Explanation</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_Toc217298027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13</w:t>
            </w:r>
            <w:r w:rsidRPr="00EE5101">
              <w:rPr>
                <w:rFonts w:ascii="Arial" w:hAnsi="Arial"/>
                <w:noProof/>
                <w:webHidden/>
                <w:sz w:val="24"/>
                <w:szCs w:val="24"/>
              </w:rPr>
              <w:fldChar w:fldCharType="end"/>
            </w:r>
          </w:hyperlink>
        </w:p>
        <w:p w14:paraId="7176ADDB" w14:textId="7100088E"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28" w:history="1">
            <w:r w:rsidRPr="00EE5101">
              <w:rPr>
                <w:rStyle w:val="Hyperlink"/>
                <w:rFonts w:ascii="Arial" w:hAnsi="Arial"/>
                <w:noProof/>
                <w:sz w:val="24"/>
                <w:szCs w:val="24"/>
                <w:lang w:val="en-GB"/>
              </w:rPr>
              <w:t>2.8.2 Five-Year Z-Score Trend Interpretation</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_Toc217298028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14</w:t>
            </w:r>
            <w:r w:rsidRPr="00EE5101">
              <w:rPr>
                <w:rFonts w:ascii="Arial" w:hAnsi="Arial"/>
                <w:noProof/>
                <w:webHidden/>
                <w:sz w:val="24"/>
                <w:szCs w:val="24"/>
              </w:rPr>
              <w:fldChar w:fldCharType="end"/>
            </w:r>
          </w:hyperlink>
        </w:p>
        <w:p w14:paraId="70F8946E" w14:textId="40F24E57"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29" w:history="1">
            <w:r w:rsidRPr="00EE5101">
              <w:rPr>
                <w:rStyle w:val="Hyperlink"/>
                <w:rFonts w:ascii="Arial" w:hAnsi="Arial"/>
                <w:noProof/>
                <w:sz w:val="24"/>
                <w:szCs w:val="24"/>
                <w:lang w:val="en-GB"/>
              </w:rPr>
              <w:t>2.8.3 Financial Risk Classification</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_Toc217298029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14</w:t>
            </w:r>
            <w:r w:rsidRPr="00EE5101">
              <w:rPr>
                <w:rFonts w:ascii="Arial" w:hAnsi="Arial"/>
                <w:noProof/>
                <w:webHidden/>
                <w:sz w:val="24"/>
                <w:szCs w:val="24"/>
              </w:rPr>
              <w:fldChar w:fldCharType="end"/>
            </w:r>
          </w:hyperlink>
        </w:p>
        <w:p w14:paraId="0B633321" w14:textId="6079ABA9" w:rsidR="00EE5101" w:rsidRPr="00EE5101" w:rsidRDefault="00EE5101" w:rsidP="00EE5101">
          <w:pPr>
            <w:pStyle w:val="TOC3"/>
            <w:tabs>
              <w:tab w:val="right" w:leader="dot" w:pos="9016"/>
            </w:tabs>
            <w:spacing w:before="120"/>
            <w:jc w:val="both"/>
            <w:rPr>
              <w:rFonts w:ascii="Arial" w:eastAsiaTheme="minorEastAsia" w:hAnsi="Arial"/>
              <w:noProof/>
              <w:kern w:val="2"/>
              <w:sz w:val="24"/>
              <w:szCs w:val="24"/>
              <w:lang w:val="en-IN" w:eastAsia="en-IN"/>
              <w14:ligatures w14:val="standardContextual"/>
            </w:rPr>
          </w:pPr>
          <w:hyperlink w:anchor="_Toc217298030" w:history="1">
            <w:r w:rsidRPr="00EE5101">
              <w:rPr>
                <w:rStyle w:val="Hyperlink"/>
                <w:rFonts w:ascii="Arial" w:hAnsi="Arial"/>
                <w:noProof/>
                <w:sz w:val="24"/>
                <w:szCs w:val="24"/>
                <w:lang w:val="en-GB"/>
              </w:rPr>
              <w:t>2.8.4 Implications for Creditors and Investors</w:t>
            </w:r>
            <w:r w:rsidRPr="00EE5101">
              <w:rPr>
                <w:rFonts w:ascii="Arial" w:hAnsi="Arial"/>
                <w:noProof/>
                <w:webHidden/>
                <w:sz w:val="24"/>
                <w:szCs w:val="24"/>
              </w:rPr>
              <w:tab/>
            </w:r>
            <w:r w:rsidRPr="00EE5101">
              <w:rPr>
                <w:rFonts w:ascii="Arial" w:hAnsi="Arial"/>
                <w:noProof/>
                <w:webHidden/>
                <w:sz w:val="24"/>
                <w:szCs w:val="24"/>
              </w:rPr>
              <w:fldChar w:fldCharType="begin"/>
            </w:r>
            <w:r w:rsidRPr="00EE5101">
              <w:rPr>
                <w:rFonts w:ascii="Arial" w:hAnsi="Arial"/>
                <w:noProof/>
                <w:webHidden/>
                <w:sz w:val="24"/>
                <w:szCs w:val="24"/>
              </w:rPr>
              <w:instrText xml:space="preserve"> PAGEREF _Toc217298030 \h </w:instrText>
            </w:r>
            <w:r w:rsidRPr="00EE5101">
              <w:rPr>
                <w:rFonts w:ascii="Arial" w:hAnsi="Arial"/>
                <w:noProof/>
                <w:webHidden/>
                <w:sz w:val="24"/>
                <w:szCs w:val="24"/>
              </w:rPr>
            </w:r>
            <w:r w:rsidRPr="00EE5101">
              <w:rPr>
                <w:rFonts w:ascii="Arial" w:hAnsi="Arial"/>
                <w:noProof/>
                <w:webHidden/>
                <w:sz w:val="24"/>
                <w:szCs w:val="24"/>
              </w:rPr>
              <w:fldChar w:fldCharType="separate"/>
            </w:r>
            <w:r w:rsidRPr="00EE5101">
              <w:rPr>
                <w:rFonts w:ascii="Arial" w:hAnsi="Arial"/>
                <w:noProof/>
                <w:webHidden/>
                <w:sz w:val="24"/>
                <w:szCs w:val="24"/>
              </w:rPr>
              <w:t>14</w:t>
            </w:r>
            <w:r w:rsidRPr="00EE5101">
              <w:rPr>
                <w:rFonts w:ascii="Arial" w:hAnsi="Arial"/>
                <w:noProof/>
                <w:webHidden/>
                <w:sz w:val="24"/>
                <w:szCs w:val="24"/>
              </w:rPr>
              <w:fldChar w:fldCharType="end"/>
            </w:r>
          </w:hyperlink>
        </w:p>
        <w:p w14:paraId="77AD3381" w14:textId="4C653494"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31" w:history="1">
            <w:r w:rsidRPr="00EE5101">
              <w:rPr>
                <w:rStyle w:val="Hyperlink"/>
                <w:rFonts w:ascii="Arial" w:hAnsi="Arial"/>
                <w:b w:val="0"/>
                <w:bCs w:val="0"/>
                <w:noProof/>
                <w:sz w:val="24"/>
                <w:szCs w:val="24"/>
                <w:lang w:val="en-GB"/>
              </w:rPr>
              <w:t>2.9 Summary of Financial Health Diagnosis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_Toc217298031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14</w:t>
            </w:r>
            <w:r w:rsidRPr="00EE5101">
              <w:rPr>
                <w:rFonts w:ascii="Arial" w:hAnsi="Arial"/>
                <w:b w:val="0"/>
                <w:bCs w:val="0"/>
                <w:noProof/>
                <w:webHidden/>
                <w:sz w:val="24"/>
                <w:szCs w:val="24"/>
              </w:rPr>
              <w:fldChar w:fldCharType="end"/>
            </w:r>
          </w:hyperlink>
        </w:p>
        <w:p w14:paraId="4A9DD6BF" w14:textId="289C0CAA" w:rsidR="00EE5101" w:rsidRPr="00EE5101" w:rsidRDefault="00EE5101" w:rsidP="00EE5101">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8032" w:history="1">
            <w:r w:rsidRPr="00EE5101">
              <w:rPr>
                <w:rStyle w:val="Hyperlink"/>
                <w:rFonts w:ascii="Arial" w:hAnsi="Arial"/>
                <w:b w:val="0"/>
                <w:bCs w:val="0"/>
                <w:i w:val="0"/>
                <w:iCs w:val="0"/>
                <w:noProof/>
                <w:lang w:val="en-GB"/>
              </w:rPr>
              <w:t>3. Working Capital Management Analysis</w:t>
            </w:r>
            <w:r w:rsidRPr="00EE5101">
              <w:rPr>
                <w:rFonts w:ascii="Arial" w:hAnsi="Arial"/>
                <w:b w:val="0"/>
                <w:bCs w:val="0"/>
                <w:i w:val="0"/>
                <w:iCs w:val="0"/>
                <w:noProof/>
                <w:webHidden/>
              </w:rPr>
              <w:tab/>
            </w:r>
            <w:r w:rsidRPr="00EE5101">
              <w:rPr>
                <w:rFonts w:ascii="Arial" w:hAnsi="Arial"/>
                <w:b w:val="0"/>
                <w:bCs w:val="0"/>
                <w:i w:val="0"/>
                <w:iCs w:val="0"/>
                <w:noProof/>
                <w:webHidden/>
              </w:rPr>
              <w:fldChar w:fldCharType="begin"/>
            </w:r>
            <w:r w:rsidRPr="00EE5101">
              <w:rPr>
                <w:rFonts w:ascii="Arial" w:hAnsi="Arial"/>
                <w:b w:val="0"/>
                <w:bCs w:val="0"/>
                <w:i w:val="0"/>
                <w:iCs w:val="0"/>
                <w:noProof/>
                <w:webHidden/>
              </w:rPr>
              <w:instrText xml:space="preserve"> PAGEREF _Toc217298032 \h </w:instrText>
            </w:r>
            <w:r w:rsidRPr="00EE5101">
              <w:rPr>
                <w:rFonts w:ascii="Arial" w:hAnsi="Arial"/>
                <w:b w:val="0"/>
                <w:bCs w:val="0"/>
                <w:i w:val="0"/>
                <w:iCs w:val="0"/>
                <w:noProof/>
                <w:webHidden/>
              </w:rPr>
            </w:r>
            <w:r w:rsidRPr="00EE5101">
              <w:rPr>
                <w:rFonts w:ascii="Arial" w:hAnsi="Arial"/>
                <w:b w:val="0"/>
                <w:bCs w:val="0"/>
                <w:i w:val="0"/>
                <w:iCs w:val="0"/>
                <w:noProof/>
                <w:webHidden/>
              </w:rPr>
              <w:fldChar w:fldCharType="separate"/>
            </w:r>
            <w:r w:rsidRPr="00EE5101">
              <w:rPr>
                <w:rFonts w:ascii="Arial" w:hAnsi="Arial"/>
                <w:b w:val="0"/>
                <w:bCs w:val="0"/>
                <w:i w:val="0"/>
                <w:iCs w:val="0"/>
                <w:noProof/>
                <w:webHidden/>
              </w:rPr>
              <w:t>15</w:t>
            </w:r>
            <w:r w:rsidRPr="00EE5101">
              <w:rPr>
                <w:rFonts w:ascii="Arial" w:hAnsi="Arial"/>
                <w:b w:val="0"/>
                <w:bCs w:val="0"/>
                <w:i w:val="0"/>
                <w:iCs w:val="0"/>
                <w:noProof/>
                <w:webHidden/>
              </w:rPr>
              <w:fldChar w:fldCharType="end"/>
            </w:r>
          </w:hyperlink>
        </w:p>
        <w:p w14:paraId="24443308" w14:textId="3039DAFE"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33" w:history="1">
            <w:r w:rsidRPr="00EE5101">
              <w:rPr>
                <w:rStyle w:val="Hyperlink"/>
                <w:rFonts w:ascii="Arial" w:hAnsi="Arial"/>
                <w:b w:val="0"/>
                <w:bCs w:val="0"/>
                <w:noProof/>
                <w:sz w:val="24"/>
                <w:szCs w:val="24"/>
                <w:lang w:val="en-GB"/>
              </w:rPr>
              <w:t>3.1 Cash Operating Cycle Assessment</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_Toc217298033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15</w:t>
            </w:r>
            <w:r w:rsidRPr="00EE5101">
              <w:rPr>
                <w:rFonts w:ascii="Arial" w:hAnsi="Arial"/>
                <w:b w:val="0"/>
                <w:bCs w:val="0"/>
                <w:noProof/>
                <w:webHidden/>
                <w:sz w:val="24"/>
                <w:szCs w:val="24"/>
              </w:rPr>
              <w:fldChar w:fldCharType="end"/>
            </w:r>
          </w:hyperlink>
        </w:p>
        <w:p w14:paraId="676684FB" w14:textId="43AA81B8"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34" w:history="1">
            <w:r w:rsidRPr="00EE5101">
              <w:rPr>
                <w:rStyle w:val="Hyperlink"/>
                <w:rFonts w:ascii="Arial" w:hAnsi="Arial"/>
                <w:b w:val="0"/>
                <w:bCs w:val="0"/>
                <w:noProof/>
                <w:sz w:val="24"/>
                <w:szCs w:val="24"/>
                <w:lang w:val="en-GB"/>
              </w:rPr>
              <w:t>3.2 Working Capital Risks in Consumer Electronics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_Toc217298034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15</w:t>
            </w:r>
            <w:r w:rsidRPr="00EE5101">
              <w:rPr>
                <w:rFonts w:ascii="Arial" w:hAnsi="Arial"/>
                <w:b w:val="0"/>
                <w:bCs w:val="0"/>
                <w:noProof/>
                <w:webHidden/>
                <w:sz w:val="24"/>
                <w:szCs w:val="24"/>
              </w:rPr>
              <w:fldChar w:fldCharType="end"/>
            </w:r>
          </w:hyperlink>
        </w:p>
        <w:p w14:paraId="63089189" w14:textId="37628E1F"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35" w:history="1">
            <w:r w:rsidRPr="00EE5101">
              <w:rPr>
                <w:rStyle w:val="Hyperlink"/>
                <w:rFonts w:ascii="Arial" w:hAnsi="Arial"/>
                <w:b w:val="0"/>
                <w:bCs w:val="0"/>
                <w:noProof/>
                <w:sz w:val="24"/>
                <w:szCs w:val="24"/>
                <w:lang w:val="en-GB"/>
              </w:rPr>
              <w:t>3.3 Liquidity Improvement Strategies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_Toc217298035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16</w:t>
            </w:r>
            <w:r w:rsidRPr="00EE5101">
              <w:rPr>
                <w:rFonts w:ascii="Arial" w:hAnsi="Arial"/>
                <w:b w:val="0"/>
                <w:bCs w:val="0"/>
                <w:noProof/>
                <w:webHidden/>
                <w:sz w:val="24"/>
                <w:szCs w:val="24"/>
              </w:rPr>
              <w:fldChar w:fldCharType="end"/>
            </w:r>
          </w:hyperlink>
        </w:p>
        <w:p w14:paraId="5AC41460" w14:textId="395DE50D"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36" w:history="1">
            <w:r w:rsidRPr="00EE5101">
              <w:rPr>
                <w:rStyle w:val="Hyperlink"/>
                <w:rFonts w:ascii="Arial" w:hAnsi="Arial"/>
                <w:b w:val="0"/>
                <w:bCs w:val="0"/>
                <w:noProof/>
                <w:sz w:val="24"/>
                <w:szCs w:val="24"/>
                <w:lang w:val="en-GB"/>
              </w:rPr>
              <w:t>3.4 Short-Term vs Long-Term Financing Choices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_Toc217298036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17</w:t>
            </w:r>
            <w:r w:rsidRPr="00EE5101">
              <w:rPr>
                <w:rFonts w:ascii="Arial" w:hAnsi="Arial"/>
                <w:b w:val="0"/>
                <w:bCs w:val="0"/>
                <w:noProof/>
                <w:webHidden/>
                <w:sz w:val="24"/>
                <w:szCs w:val="24"/>
              </w:rPr>
              <w:fldChar w:fldCharType="end"/>
            </w:r>
          </w:hyperlink>
        </w:p>
        <w:p w14:paraId="2F4E9E63" w14:textId="5807A0D5"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37" w:history="1">
            <w:r w:rsidRPr="00EE5101">
              <w:rPr>
                <w:rStyle w:val="Hyperlink"/>
                <w:rFonts w:ascii="Arial" w:hAnsi="Arial"/>
                <w:b w:val="0"/>
                <w:bCs w:val="0"/>
                <w:noProof/>
                <w:sz w:val="24"/>
                <w:szCs w:val="24"/>
                <w:lang w:val="en-GB"/>
              </w:rPr>
              <w:t>3.5 CFO Evaluation of Working Capital Reforms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_Toc217298037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17</w:t>
            </w:r>
            <w:r w:rsidRPr="00EE5101">
              <w:rPr>
                <w:rFonts w:ascii="Arial" w:hAnsi="Arial"/>
                <w:b w:val="0"/>
                <w:bCs w:val="0"/>
                <w:noProof/>
                <w:webHidden/>
                <w:sz w:val="24"/>
                <w:szCs w:val="24"/>
              </w:rPr>
              <w:fldChar w:fldCharType="end"/>
            </w:r>
          </w:hyperlink>
        </w:p>
        <w:p w14:paraId="761F0AF0" w14:textId="3D9F736E" w:rsidR="00EE5101" w:rsidRPr="00EE5101" w:rsidRDefault="00EE5101" w:rsidP="00EE5101">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8038" w:history="1">
            <w:r w:rsidRPr="00EE5101">
              <w:rPr>
                <w:rStyle w:val="Hyperlink"/>
                <w:rFonts w:ascii="Arial" w:hAnsi="Arial"/>
                <w:b w:val="0"/>
                <w:bCs w:val="0"/>
                <w:i w:val="0"/>
                <w:iCs w:val="0"/>
                <w:noProof/>
                <w:lang w:val="en-GB"/>
              </w:rPr>
              <w:t>4. Strategic Financial Restructuring Plan</w:t>
            </w:r>
            <w:r w:rsidRPr="00EE5101">
              <w:rPr>
                <w:rFonts w:ascii="Arial" w:hAnsi="Arial"/>
                <w:b w:val="0"/>
                <w:bCs w:val="0"/>
                <w:i w:val="0"/>
                <w:iCs w:val="0"/>
                <w:noProof/>
                <w:webHidden/>
              </w:rPr>
              <w:tab/>
            </w:r>
            <w:r w:rsidRPr="00EE5101">
              <w:rPr>
                <w:rFonts w:ascii="Arial" w:hAnsi="Arial"/>
                <w:b w:val="0"/>
                <w:bCs w:val="0"/>
                <w:i w:val="0"/>
                <w:iCs w:val="0"/>
                <w:noProof/>
                <w:webHidden/>
              </w:rPr>
              <w:fldChar w:fldCharType="begin"/>
            </w:r>
            <w:r w:rsidRPr="00EE5101">
              <w:rPr>
                <w:rFonts w:ascii="Arial" w:hAnsi="Arial"/>
                <w:b w:val="0"/>
                <w:bCs w:val="0"/>
                <w:i w:val="0"/>
                <w:iCs w:val="0"/>
                <w:noProof/>
                <w:webHidden/>
              </w:rPr>
              <w:instrText xml:space="preserve"> PAGEREF _Toc217298038 \h </w:instrText>
            </w:r>
            <w:r w:rsidRPr="00EE5101">
              <w:rPr>
                <w:rFonts w:ascii="Arial" w:hAnsi="Arial"/>
                <w:b w:val="0"/>
                <w:bCs w:val="0"/>
                <w:i w:val="0"/>
                <w:iCs w:val="0"/>
                <w:noProof/>
                <w:webHidden/>
              </w:rPr>
            </w:r>
            <w:r w:rsidRPr="00EE5101">
              <w:rPr>
                <w:rFonts w:ascii="Arial" w:hAnsi="Arial"/>
                <w:b w:val="0"/>
                <w:bCs w:val="0"/>
                <w:i w:val="0"/>
                <w:iCs w:val="0"/>
                <w:noProof/>
                <w:webHidden/>
              </w:rPr>
              <w:fldChar w:fldCharType="separate"/>
            </w:r>
            <w:r w:rsidRPr="00EE5101">
              <w:rPr>
                <w:rFonts w:ascii="Arial" w:hAnsi="Arial"/>
                <w:b w:val="0"/>
                <w:bCs w:val="0"/>
                <w:i w:val="0"/>
                <w:iCs w:val="0"/>
                <w:noProof/>
                <w:webHidden/>
              </w:rPr>
              <w:t>17</w:t>
            </w:r>
            <w:r w:rsidRPr="00EE5101">
              <w:rPr>
                <w:rFonts w:ascii="Arial" w:hAnsi="Arial"/>
                <w:b w:val="0"/>
                <w:bCs w:val="0"/>
                <w:i w:val="0"/>
                <w:iCs w:val="0"/>
                <w:noProof/>
                <w:webHidden/>
              </w:rPr>
              <w:fldChar w:fldCharType="end"/>
            </w:r>
          </w:hyperlink>
        </w:p>
        <w:p w14:paraId="1FF38443" w14:textId="3844623B"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39" w:history="1">
            <w:r w:rsidRPr="00EE5101">
              <w:rPr>
                <w:rStyle w:val="Hyperlink"/>
                <w:rFonts w:ascii="Arial" w:hAnsi="Arial"/>
                <w:b w:val="0"/>
                <w:bCs w:val="0"/>
                <w:noProof/>
                <w:sz w:val="24"/>
                <w:szCs w:val="24"/>
                <w:lang w:val="en-GB"/>
              </w:rPr>
              <w:t>4.1 Rationale for Financial Restructuring</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_Toc217298039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17</w:t>
            </w:r>
            <w:r w:rsidRPr="00EE5101">
              <w:rPr>
                <w:rFonts w:ascii="Arial" w:hAnsi="Arial"/>
                <w:b w:val="0"/>
                <w:bCs w:val="0"/>
                <w:noProof/>
                <w:webHidden/>
                <w:sz w:val="24"/>
                <w:szCs w:val="24"/>
              </w:rPr>
              <w:fldChar w:fldCharType="end"/>
            </w:r>
          </w:hyperlink>
        </w:p>
        <w:p w14:paraId="5C25C78B" w14:textId="6F1932D4"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40" w:history="1">
            <w:r w:rsidRPr="00EE5101">
              <w:rPr>
                <w:rStyle w:val="Hyperlink"/>
                <w:rFonts w:ascii="Arial" w:hAnsi="Arial"/>
                <w:b w:val="0"/>
                <w:bCs w:val="0"/>
                <w:noProof/>
                <w:sz w:val="24"/>
                <w:szCs w:val="24"/>
                <w:lang w:val="en-GB"/>
              </w:rPr>
              <w:t>4.2 Restructuring Options Evaluation</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_Toc217298040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18</w:t>
            </w:r>
            <w:r w:rsidRPr="00EE5101">
              <w:rPr>
                <w:rFonts w:ascii="Arial" w:hAnsi="Arial"/>
                <w:b w:val="0"/>
                <w:bCs w:val="0"/>
                <w:noProof/>
                <w:webHidden/>
                <w:sz w:val="24"/>
                <w:szCs w:val="24"/>
              </w:rPr>
              <w:fldChar w:fldCharType="end"/>
            </w:r>
          </w:hyperlink>
        </w:p>
        <w:p w14:paraId="30650B18" w14:textId="3F636A75"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41" w:history="1">
            <w:r w:rsidRPr="00EE5101">
              <w:rPr>
                <w:rStyle w:val="Hyperlink"/>
                <w:rFonts w:ascii="Arial" w:hAnsi="Arial"/>
                <w:b w:val="0"/>
                <w:bCs w:val="0"/>
                <w:noProof/>
                <w:sz w:val="24"/>
                <w:szCs w:val="24"/>
                <w:lang w:val="en-GB"/>
              </w:rPr>
              <w:t>4.3 Impact on Shareholder Value and Capital Structure</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_Toc217298041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18</w:t>
            </w:r>
            <w:r w:rsidRPr="00EE5101">
              <w:rPr>
                <w:rFonts w:ascii="Arial" w:hAnsi="Arial"/>
                <w:b w:val="0"/>
                <w:bCs w:val="0"/>
                <w:noProof/>
                <w:webHidden/>
                <w:sz w:val="24"/>
                <w:szCs w:val="24"/>
              </w:rPr>
              <w:fldChar w:fldCharType="end"/>
            </w:r>
          </w:hyperlink>
        </w:p>
        <w:p w14:paraId="2F676B44" w14:textId="37563D46"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42" w:history="1">
            <w:r w:rsidRPr="00EE5101">
              <w:rPr>
                <w:rStyle w:val="Hyperlink"/>
                <w:rFonts w:ascii="Arial" w:hAnsi="Arial"/>
                <w:b w:val="0"/>
                <w:bCs w:val="0"/>
                <w:noProof/>
                <w:sz w:val="24"/>
                <w:szCs w:val="24"/>
                <w:lang w:val="en-GB"/>
              </w:rPr>
              <w:t>4.4 Operational Flexibility and Strategic Control</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_Toc217298042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19</w:t>
            </w:r>
            <w:r w:rsidRPr="00EE5101">
              <w:rPr>
                <w:rFonts w:ascii="Arial" w:hAnsi="Arial"/>
                <w:b w:val="0"/>
                <w:bCs w:val="0"/>
                <w:noProof/>
                <w:webHidden/>
                <w:sz w:val="24"/>
                <w:szCs w:val="24"/>
              </w:rPr>
              <w:fldChar w:fldCharType="end"/>
            </w:r>
          </w:hyperlink>
        </w:p>
        <w:p w14:paraId="2D8AD77C" w14:textId="065AF55C"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43" w:history="1">
            <w:r w:rsidRPr="00EE5101">
              <w:rPr>
                <w:rStyle w:val="Hyperlink"/>
                <w:rFonts w:ascii="Arial" w:hAnsi="Arial"/>
                <w:b w:val="0"/>
                <w:bCs w:val="0"/>
                <w:noProof/>
                <w:sz w:val="24"/>
                <w:szCs w:val="24"/>
                <w:lang w:val="en-GB"/>
              </w:rPr>
              <w:t>4.5 International and Ethical Considerations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_Toc217298043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19</w:t>
            </w:r>
            <w:r w:rsidRPr="00EE5101">
              <w:rPr>
                <w:rFonts w:ascii="Arial" w:hAnsi="Arial"/>
                <w:b w:val="0"/>
                <w:bCs w:val="0"/>
                <w:noProof/>
                <w:webHidden/>
                <w:sz w:val="24"/>
                <w:szCs w:val="24"/>
              </w:rPr>
              <w:fldChar w:fldCharType="end"/>
            </w:r>
          </w:hyperlink>
        </w:p>
        <w:p w14:paraId="42798A56" w14:textId="51C9A5FC" w:rsidR="00EE5101" w:rsidRPr="00EE5101" w:rsidRDefault="00EE5101" w:rsidP="00EE5101">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8044" w:history="1">
            <w:r w:rsidRPr="00EE5101">
              <w:rPr>
                <w:rStyle w:val="Hyperlink"/>
                <w:rFonts w:ascii="Arial" w:hAnsi="Arial"/>
                <w:b w:val="0"/>
                <w:bCs w:val="0"/>
                <w:i w:val="0"/>
                <w:iCs w:val="0"/>
                <w:noProof/>
                <w:lang w:val="en-GB"/>
              </w:rPr>
              <w:t>5. Investment Appraisal and Capital Budgeting</w:t>
            </w:r>
            <w:r w:rsidRPr="00EE5101">
              <w:rPr>
                <w:rFonts w:ascii="Arial" w:hAnsi="Arial"/>
                <w:b w:val="0"/>
                <w:bCs w:val="0"/>
                <w:i w:val="0"/>
                <w:iCs w:val="0"/>
                <w:noProof/>
                <w:webHidden/>
              </w:rPr>
              <w:tab/>
            </w:r>
            <w:r w:rsidRPr="00EE5101">
              <w:rPr>
                <w:rFonts w:ascii="Arial" w:hAnsi="Arial"/>
                <w:b w:val="0"/>
                <w:bCs w:val="0"/>
                <w:i w:val="0"/>
                <w:iCs w:val="0"/>
                <w:noProof/>
                <w:webHidden/>
              </w:rPr>
              <w:fldChar w:fldCharType="begin"/>
            </w:r>
            <w:r w:rsidRPr="00EE5101">
              <w:rPr>
                <w:rFonts w:ascii="Arial" w:hAnsi="Arial"/>
                <w:b w:val="0"/>
                <w:bCs w:val="0"/>
                <w:i w:val="0"/>
                <w:iCs w:val="0"/>
                <w:noProof/>
                <w:webHidden/>
              </w:rPr>
              <w:instrText xml:space="preserve"> PAGEREF _Toc217298044 \h </w:instrText>
            </w:r>
            <w:r w:rsidRPr="00EE5101">
              <w:rPr>
                <w:rFonts w:ascii="Arial" w:hAnsi="Arial"/>
                <w:b w:val="0"/>
                <w:bCs w:val="0"/>
                <w:i w:val="0"/>
                <w:iCs w:val="0"/>
                <w:noProof/>
                <w:webHidden/>
              </w:rPr>
            </w:r>
            <w:r w:rsidRPr="00EE5101">
              <w:rPr>
                <w:rFonts w:ascii="Arial" w:hAnsi="Arial"/>
                <w:b w:val="0"/>
                <w:bCs w:val="0"/>
                <w:i w:val="0"/>
                <w:iCs w:val="0"/>
                <w:noProof/>
                <w:webHidden/>
              </w:rPr>
              <w:fldChar w:fldCharType="separate"/>
            </w:r>
            <w:r w:rsidRPr="00EE5101">
              <w:rPr>
                <w:rFonts w:ascii="Arial" w:hAnsi="Arial"/>
                <w:b w:val="0"/>
                <w:bCs w:val="0"/>
                <w:i w:val="0"/>
                <w:iCs w:val="0"/>
                <w:noProof/>
                <w:webHidden/>
              </w:rPr>
              <w:t>20</w:t>
            </w:r>
            <w:r w:rsidRPr="00EE5101">
              <w:rPr>
                <w:rFonts w:ascii="Arial" w:hAnsi="Arial"/>
                <w:b w:val="0"/>
                <w:bCs w:val="0"/>
                <w:i w:val="0"/>
                <w:iCs w:val="0"/>
                <w:noProof/>
                <w:webHidden/>
              </w:rPr>
              <w:fldChar w:fldCharType="end"/>
            </w:r>
          </w:hyperlink>
        </w:p>
        <w:p w14:paraId="4BBCDA5C" w14:textId="34C75169"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45" w:history="1">
            <w:r w:rsidRPr="00EE5101">
              <w:rPr>
                <w:rStyle w:val="Hyperlink"/>
                <w:rFonts w:ascii="Arial" w:hAnsi="Arial"/>
                <w:b w:val="0"/>
                <w:bCs w:val="0"/>
                <w:noProof/>
                <w:sz w:val="24"/>
                <w:szCs w:val="24"/>
                <w:lang w:val="en-GB"/>
              </w:rPr>
              <w:t>5.1 Capital Rationing Context</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_Toc217298045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20</w:t>
            </w:r>
            <w:r w:rsidRPr="00EE5101">
              <w:rPr>
                <w:rFonts w:ascii="Arial" w:hAnsi="Arial"/>
                <w:b w:val="0"/>
                <w:bCs w:val="0"/>
                <w:noProof/>
                <w:webHidden/>
                <w:sz w:val="24"/>
                <w:szCs w:val="24"/>
              </w:rPr>
              <w:fldChar w:fldCharType="end"/>
            </w:r>
          </w:hyperlink>
        </w:p>
        <w:p w14:paraId="2711E273" w14:textId="34AE80E2"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46" w:history="1">
            <w:r w:rsidRPr="00EE5101">
              <w:rPr>
                <w:rStyle w:val="Hyperlink"/>
                <w:rFonts w:ascii="Arial" w:hAnsi="Arial"/>
                <w:b w:val="0"/>
                <w:bCs w:val="0"/>
                <w:noProof/>
                <w:sz w:val="24"/>
                <w:szCs w:val="24"/>
                <w:lang w:val="en-GB"/>
              </w:rPr>
              <w:t>5.2 Project Cash Flow Profiles and Risk</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_Toc217298046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20</w:t>
            </w:r>
            <w:r w:rsidRPr="00EE5101">
              <w:rPr>
                <w:rFonts w:ascii="Arial" w:hAnsi="Arial"/>
                <w:b w:val="0"/>
                <w:bCs w:val="0"/>
                <w:noProof/>
                <w:webHidden/>
                <w:sz w:val="24"/>
                <w:szCs w:val="24"/>
              </w:rPr>
              <w:fldChar w:fldCharType="end"/>
            </w:r>
          </w:hyperlink>
        </w:p>
        <w:p w14:paraId="7429263F" w14:textId="1774DCAA"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47" w:history="1">
            <w:r w:rsidRPr="00EE5101">
              <w:rPr>
                <w:rStyle w:val="Hyperlink"/>
                <w:rFonts w:ascii="Arial" w:hAnsi="Arial"/>
                <w:b w:val="0"/>
                <w:bCs w:val="0"/>
                <w:noProof/>
                <w:sz w:val="24"/>
                <w:szCs w:val="24"/>
                <w:lang w:val="en-GB"/>
              </w:rPr>
              <w:t>5.3 Payback Period (PBP) Analysis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_Toc217298047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21</w:t>
            </w:r>
            <w:r w:rsidRPr="00EE5101">
              <w:rPr>
                <w:rFonts w:ascii="Arial" w:hAnsi="Arial"/>
                <w:b w:val="0"/>
                <w:bCs w:val="0"/>
                <w:noProof/>
                <w:webHidden/>
                <w:sz w:val="24"/>
                <w:szCs w:val="24"/>
              </w:rPr>
              <w:fldChar w:fldCharType="end"/>
            </w:r>
          </w:hyperlink>
        </w:p>
        <w:p w14:paraId="69AD423C" w14:textId="77226C3A"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48" w:history="1">
            <w:r w:rsidRPr="00EE5101">
              <w:rPr>
                <w:rStyle w:val="Hyperlink"/>
                <w:rFonts w:ascii="Arial" w:hAnsi="Arial"/>
                <w:b w:val="0"/>
                <w:bCs w:val="0"/>
                <w:noProof/>
                <w:sz w:val="24"/>
                <w:szCs w:val="24"/>
                <w:lang w:val="en-GB"/>
              </w:rPr>
              <w:t>5.4 Accounting Rate of Return (ARR)</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_Toc217298048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21</w:t>
            </w:r>
            <w:r w:rsidRPr="00EE5101">
              <w:rPr>
                <w:rFonts w:ascii="Arial" w:hAnsi="Arial"/>
                <w:b w:val="0"/>
                <w:bCs w:val="0"/>
                <w:noProof/>
                <w:webHidden/>
                <w:sz w:val="24"/>
                <w:szCs w:val="24"/>
              </w:rPr>
              <w:fldChar w:fldCharType="end"/>
            </w:r>
          </w:hyperlink>
        </w:p>
        <w:p w14:paraId="36D2E1AC" w14:textId="2EC58D6C"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49" w:history="1">
            <w:r w:rsidRPr="00EE5101">
              <w:rPr>
                <w:rStyle w:val="Hyperlink"/>
                <w:rFonts w:ascii="Arial" w:hAnsi="Arial"/>
                <w:b w:val="0"/>
                <w:bCs w:val="0"/>
                <w:noProof/>
                <w:sz w:val="24"/>
                <w:szCs w:val="24"/>
                <w:lang w:val="en-GB"/>
              </w:rPr>
              <w:t>5.5 Net Present Value (NPV) Analysis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_Toc217298049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21</w:t>
            </w:r>
            <w:r w:rsidRPr="00EE5101">
              <w:rPr>
                <w:rFonts w:ascii="Arial" w:hAnsi="Arial"/>
                <w:b w:val="0"/>
                <w:bCs w:val="0"/>
                <w:noProof/>
                <w:webHidden/>
                <w:sz w:val="24"/>
                <w:szCs w:val="24"/>
              </w:rPr>
              <w:fldChar w:fldCharType="end"/>
            </w:r>
          </w:hyperlink>
        </w:p>
        <w:p w14:paraId="53285036" w14:textId="09C79D56"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50" w:history="1">
            <w:r w:rsidRPr="00EE5101">
              <w:rPr>
                <w:rStyle w:val="Hyperlink"/>
                <w:rFonts w:ascii="Arial" w:hAnsi="Arial"/>
                <w:b w:val="0"/>
                <w:bCs w:val="0"/>
                <w:noProof/>
                <w:sz w:val="24"/>
                <w:szCs w:val="24"/>
                <w:lang w:val="en-GB"/>
              </w:rPr>
              <w:t>5.6 Internal Rate of Return (IRR) and Profitability Index (PI)</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_Toc217298050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22</w:t>
            </w:r>
            <w:r w:rsidRPr="00EE5101">
              <w:rPr>
                <w:rFonts w:ascii="Arial" w:hAnsi="Arial"/>
                <w:b w:val="0"/>
                <w:bCs w:val="0"/>
                <w:noProof/>
                <w:webHidden/>
                <w:sz w:val="24"/>
                <w:szCs w:val="24"/>
              </w:rPr>
              <w:fldChar w:fldCharType="end"/>
            </w:r>
          </w:hyperlink>
        </w:p>
        <w:p w14:paraId="4C9A0175" w14:textId="6F38A911"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51" w:history="1">
            <w:r w:rsidRPr="00EE5101">
              <w:rPr>
                <w:rStyle w:val="Hyperlink"/>
                <w:rFonts w:ascii="Arial" w:hAnsi="Arial"/>
                <w:b w:val="0"/>
                <w:bCs w:val="0"/>
                <w:noProof/>
                <w:sz w:val="24"/>
                <w:szCs w:val="24"/>
                <w:lang w:val="en-GB"/>
              </w:rPr>
              <w:t>5.7 Capital-Rationed Decision and Recommendation</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_Toc217298051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22</w:t>
            </w:r>
            <w:r w:rsidRPr="00EE5101">
              <w:rPr>
                <w:rFonts w:ascii="Arial" w:hAnsi="Arial"/>
                <w:b w:val="0"/>
                <w:bCs w:val="0"/>
                <w:noProof/>
                <w:webHidden/>
                <w:sz w:val="24"/>
                <w:szCs w:val="24"/>
              </w:rPr>
              <w:fldChar w:fldCharType="end"/>
            </w:r>
          </w:hyperlink>
        </w:p>
        <w:p w14:paraId="4B36B72D" w14:textId="79A357D5"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52" w:history="1">
            <w:r w:rsidRPr="00EE5101">
              <w:rPr>
                <w:rStyle w:val="Hyperlink"/>
                <w:rFonts w:ascii="Arial" w:hAnsi="Arial"/>
                <w:b w:val="0"/>
                <w:bCs w:val="0"/>
                <w:noProof/>
                <w:sz w:val="24"/>
                <w:szCs w:val="24"/>
                <w:lang w:val="en-GB"/>
              </w:rPr>
              <w:t>5.8 CFO Reflection on Investment Risk</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_Toc217298052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22</w:t>
            </w:r>
            <w:r w:rsidRPr="00EE5101">
              <w:rPr>
                <w:rFonts w:ascii="Arial" w:hAnsi="Arial"/>
                <w:b w:val="0"/>
                <w:bCs w:val="0"/>
                <w:noProof/>
                <w:webHidden/>
                <w:sz w:val="24"/>
                <w:szCs w:val="24"/>
              </w:rPr>
              <w:fldChar w:fldCharType="end"/>
            </w:r>
          </w:hyperlink>
        </w:p>
        <w:p w14:paraId="0D1E12BE" w14:textId="2658194F" w:rsidR="00EE5101" w:rsidRPr="00EE5101" w:rsidRDefault="00EE5101" w:rsidP="00EE5101">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8053" w:history="1">
            <w:r w:rsidRPr="00EE5101">
              <w:rPr>
                <w:rStyle w:val="Hyperlink"/>
                <w:rFonts w:ascii="Arial" w:hAnsi="Arial"/>
                <w:b w:val="0"/>
                <w:bCs w:val="0"/>
                <w:i w:val="0"/>
                <w:iCs w:val="0"/>
                <w:noProof/>
                <w:lang w:val="en-GB"/>
              </w:rPr>
              <w:t>6. Conclusion</w:t>
            </w:r>
            <w:r w:rsidRPr="00EE5101">
              <w:rPr>
                <w:rFonts w:ascii="Arial" w:hAnsi="Arial"/>
                <w:b w:val="0"/>
                <w:bCs w:val="0"/>
                <w:i w:val="0"/>
                <w:iCs w:val="0"/>
                <w:noProof/>
                <w:webHidden/>
              </w:rPr>
              <w:tab/>
            </w:r>
            <w:r w:rsidRPr="00EE5101">
              <w:rPr>
                <w:rFonts w:ascii="Arial" w:hAnsi="Arial"/>
                <w:b w:val="0"/>
                <w:bCs w:val="0"/>
                <w:i w:val="0"/>
                <w:iCs w:val="0"/>
                <w:noProof/>
                <w:webHidden/>
              </w:rPr>
              <w:fldChar w:fldCharType="begin"/>
            </w:r>
            <w:r w:rsidRPr="00EE5101">
              <w:rPr>
                <w:rFonts w:ascii="Arial" w:hAnsi="Arial"/>
                <w:b w:val="0"/>
                <w:bCs w:val="0"/>
                <w:i w:val="0"/>
                <w:iCs w:val="0"/>
                <w:noProof/>
                <w:webHidden/>
              </w:rPr>
              <w:instrText xml:space="preserve"> PAGEREF _Toc217298053 \h </w:instrText>
            </w:r>
            <w:r w:rsidRPr="00EE5101">
              <w:rPr>
                <w:rFonts w:ascii="Arial" w:hAnsi="Arial"/>
                <w:b w:val="0"/>
                <w:bCs w:val="0"/>
                <w:i w:val="0"/>
                <w:iCs w:val="0"/>
                <w:noProof/>
                <w:webHidden/>
              </w:rPr>
            </w:r>
            <w:r w:rsidRPr="00EE5101">
              <w:rPr>
                <w:rFonts w:ascii="Arial" w:hAnsi="Arial"/>
                <w:b w:val="0"/>
                <w:bCs w:val="0"/>
                <w:i w:val="0"/>
                <w:iCs w:val="0"/>
                <w:noProof/>
                <w:webHidden/>
              </w:rPr>
              <w:fldChar w:fldCharType="separate"/>
            </w:r>
            <w:r w:rsidRPr="00EE5101">
              <w:rPr>
                <w:rFonts w:ascii="Arial" w:hAnsi="Arial"/>
                <w:b w:val="0"/>
                <w:bCs w:val="0"/>
                <w:i w:val="0"/>
                <w:iCs w:val="0"/>
                <w:noProof/>
                <w:webHidden/>
              </w:rPr>
              <w:t>23</w:t>
            </w:r>
            <w:r w:rsidRPr="00EE5101">
              <w:rPr>
                <w:rFonts w:ascii="Arial" w:hAnsi="Arial"/>
                <w:b w:val="0"/>
                <w:bCs w:val="0"/>
                <w:i w:val="0"/>
                <w:iCs w:val="0"/>
                <w:noProof/>
                <w:webHidden/>
              </w:rPr>
              <w:fldChar w:fldCharType="end"/>
            </w:r>
          </w:hyperlink>
        </w:p>
        <w:p w14:paraId="55C1AAE2" w14:textId="680585E2" w:rsidR="00EE5101" w:rsidRPr="00EE5101" w:rsidRDefault="00EE5101" w:rsidP="00EE5101">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8054" w:history="1">
            <w:r w:rsidRPr="00EE5101">
              <w:rPr>
                <w:rStyle w:val="Hyperlink"/>
                <w:rFonts w:ascii="Arial" w:hAnsi="Arial"/>
                <w:b w:val="0"/>
                <w:bCs w:val="0"/>
                <w:i w:val="0"/>
                <w:iCs w:val="0"/>
                <w:noProof/>
                <w:lang w:val="en-GB"/>
              </w:rPr>
              <w:t>References</w:t>
            </w:r>
            <w:r w:rsidRPr="00EE5101">
              <w:rPr>
                <w:rFonts w:ascii="Arial" w:hAnsi="Arial"/>
                <w:b w:val="0"/>
                <w:bCs w:val="0"/>
                <w:i w:val="0"/>
                <w:iCs w:val="0"/>
                <w:noProof/>
                <w:webHidden/>
              </w:rPr>
              <w:tab/>
            </w:r>
            <w:r w:rsidRPr="00EE5101">
              <w:rPr>
                <w:rFonts w:ascii="Arial" w:hAnsi="Arial"/>
                <w:b w:val="0"/>
                <w:bCs w:val="0"/>
                <w:i w:val="0"/>
                <w:iCs w:val="0"/>
                <w:noProof/>
                <w:webHidden/>
              </w:rPr>
              <w:fldChar w:fldCharType="begin"/>
            </w:r>
            <w:r w:rsidRPr="00EE5101">
              <w:rPr>
                <w:rFonts w:ascii="Arial" w:hAnsi="Arial"/>
                <w:b w:val="0"/>
                <w:bCs w:val="0"/>
                <w:i w:val="0"/>
                <w:iCs w:val="0"/>
                <w:noProof/>
                <w:webHidden/>
              </w:rPr>
              <w:instrText xml:space="preserve"> PAGEREF _Toc217298054 \h </w:instrText>
            </w:r>
            <w:r w:rsidRPr="00EE5101">
              <w:rPr>
                <w:rFonts w:ascii="Arial" w:hAnsi="Arial"/>
                <w:b w:val="0"/>
                <w:bCs w:val="0"/>
                <w:i w:val="0"/>
                <w:iCs w:val="0"/>
                <w:noProof/>
                <w:webHidden/>
              </w:rPr>
            </w:r>
            <w:r w:rsidRPr="00EE5101">
              <w:rPr>
                <w:rFonts w:ascii="Arial" w:hAnsi="Arial"/>
                <w:b w:val="0"/>
                <w:bCs w:val="0"/>
                <w:i w:val="0"/>
                <w:iCs w:val="0"/>
                <w:noProof/>
                <w:webHidden/>
              </w:rPr>
              <w:fldChar w:fldCharType="separate"/>
            </w:r>
            <w:r w:rsidRPr="00EE5101">
              <w:rPr>
                <w:rFonts w:ascii="Arial" w:hAnsi="Arial"/>
                <w:b w:val="0"/>
                <w:bCs w:val="0"/>
                <w:i w:val="0"/>
                <w:iCs w:val="0"/>
                <w:noProof/>
                <w:webHidden/>
              </w:rPr>
              <w:t>24</w:t>
            </w:r>
            <w:r w:rsidRPr="00EE5101">
              <w:rPr>
                <w:rFonts w:ascii="Arial" w:hAnsi="Arial"/>
                <w:b w:val="0"/>
                <w:bCs w:val="0"/>
                <w:i w:val="0"/>
                <w:iCs w:val="0"/>
                <w:noProof/>
                <w:webHidden/>
              </w:rPr>
              <w:fldChar w:fldCharType="end"/>
            </w:r>
          </w:hyperlink>
        </w:p>
        <w:p w14:paraId="01C59239" w14:textId="67B6D63E" w:rsidR="00EE5101" w:rsidRPr="00EE5101" w:rsidRDefault="00EE5101" w:rsidP="00EE5101">
          <w:pPr>
            <w:pStyle w:val="TOC1"/>
            <w:tabs>
              <w:tab w:val="right" w:leader="dot" w:pos="9016"/>
            </w:tabs>
            <w:jc w:val="both"/>
            <w:rPr>
              <w:rFonts w:ascii="Arial" w:eastAsiaTheme="minorEastAsia" w:hAnsi="Arial"/>
              <w:b w:val="0"/>
              <w:bCs w:val="0"/>
              <w:i w:val="0"/>
              <w:iCs w:val="0"/>
              <w:noProof/>
              <w:kern w:val="2"/>
              <w:lang w:val="en-IN" w:eastAsia="en-IN"/>
              <w14:ligatures w14:val="standardContextual"/>
            </w:rPr>
          </w:pPr>
          <w:hyperlink w:anchor="_Toc217298055" w:history="1">
            <w:r w:rsidRPr="00EE5101">
              <w:rPr>
                <w:rStyle w:val="Hyperlink"/>
                <w:rFonts w:ascii="Arial" w:hAnsi="Arial"/>
                <w:b w:val="0"/>
                <w:bCs w:val="0"/>
                <w:i w:val="0"/>
                <w:iCs w:val="0"/>
                <w:noProof/>
                <w:lang w:val="en-GB"/>
              </w:rPr>
              <w:t>Appendices</w:t>
            </w:r>
            <w:r w:rsidRPr="00EE5101">
              <w:rPr>
                <w:rFonts w:ascii="Arial" w:hAnsi="Arial"/>
                <w:b w:val="0"/>
                <w:bCs w:val="0"/>
                <w:i w:val="0"/>
                <w:iCs w:val="0"/>
                <w:noProof/>
                <w:webHidden/>
              </w:rPr>
              <w:tab/>
            </w:r>
            <w:r w:rsidRPr="00EE5101">
              <w:rPr>
                <w:rFonts w:ascii="Arial" w:hAnsi="Arial"/>
                <w:b w:val="0"/>
                <w:bCs w:val="0"/>
                <w:i w:val="0"/>
                <w:iCs w:val="0"/>
                <w:noProof/>
                <w:webHidden/>
              </w:rPr>
              <w:fldChar w:fldCharType="begin"/>
            </w:r>
            <w:r w:rsidRPr="00EE5101">
              <w:rPr>
                <w:rFonts w:ascii="Arial" w:hAnsi="Arial"/>
                <w:b w:val="0"/>
                <w:bCs w:val="0"/>
                <w:i w:val="0"/>
                <w:iCs w:val="0"/>
                <w:noProof/>
                <w:webHidden/>
              </w:rPr>
              <w:instrText xml:space="preserve"> PAGEREF _Toc217298055 \h </w:instrText>
            </w:r>
            <w:r w:rsidRPr="00EE5101">
              <w:rPr>
                <w:rFonts w:ascii="Arial" w:hAnsi="Arial"/>
                <w:b w:val="0"/>
                <w:bCs w:val="0"/>
                <w:i w:val="0"/>
                <w:iCs w:val="0"/>
                <w:noProof/>
                <w:webHidden/>
              </w:rPr>
            </w:r>
            <w:r w:rsidRPr="00EE5101">
              <w:rPr>
                <w:rFonts w:ascii="Arial" w:hAnsi="Arial"/>
                <w:b w:val="0"/>
                <w:bCs w:val="0"/>
                <w:i w:val="0"/>
                <w:iCs w:val="0"/>
                <w:noProof/>
                <w:webHidden/>
              </w:rPr>
              <w:fldChar w:fldCharType="separate"/>
            </w:r>
            <w:r w:rsidRPr="00EE5101">
              <w:rPr>
                <w:rFonts w:ascii="Arial" w:hAnsi="Arial"/>
                <w:b w:val="0"/>
                <w:bCs w:val="0"/>
                <w:i w:val="0"/>
                <w:iCs w:val="0"/>
                <w:noProof/>
                <w:webHidden/>
              </w:rPr>
              <w:t>29</w:t>
            </w:r>
            <w:r w:rsidRPr="00EE5101">
              <w:rPr>
                <w:rFonts w:ascii="Arial" w:hAnsi="Arial"/>
                <w:b w:val="0"/>
                <w:bCs w:val="0"/>
                <w:i w:val="0"/>
                <w:iCs w:val="0"/>
                <w:noProof/>
                <w:webHidden/>
              </w:rPr>
              <w:fldChar w:fldCharType="end"/>
            </w:r>
          </w:hyperlink>
        </w:p>
        <w:p w14:paraId="13873A53" w14:textId="53769403"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56" w:history="1">
            <w:r w:rsidRPr="00EE5101">
              <w:rPr>
                <w:rStyle w:val="Hyperlink"/>
                <w:rFonts w:ascii="Arial" w:hAnsi="Arial"/>
                <w:b w:val="0"/>
                <w:bCs w:val="0"/>
                <w:noProof/>
                <w:sz w:val="24"/>
                <w:szCs w:val="24"/>
                <w:lang w:val="en-GB"/>
              </w:rPr>
              <w:t>Appendix 1: Full ratio tables (5 years)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_Toc217298056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29</w:t>
            </w:r>
            <w:r w:rsidRPr="00EE5101">
              <w:rPr>
                <w:rFonts w:ascii="Arial" w:hAnsi="Arial"/>
                <w:b w:val="0"/>
                <w:bCs w:val="0"/>
                <w:noProof/>
                <w:webHidden/>
                <w:sz w:val="24"/>
                <w:szCs w:val="24"/>
              </w:rPr>
              <w:fldChar w:fldCharType="end"/>
            </w:r>
          </w:hyperlink>
        </w:p>
        <w:p w14:paraId="45D53CAC" w14:textId="68F8BD21"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57" w:history="1">
            <w:r w:rsidRPr="00EE5101">
              <w:rPr>
                <w:rStyle w:val="Hyperlink"/>
                <w:rFonts w:ascii="Arial" w:hAnsi="Arial"/>
                <w:b w:val="0"/>
                <w:bCs w:val="0"/>
                <w:noProof/>
                <w:sz w:val="24"/>
                <w:szCs w:val="24"/>
                <w:lang w:val="en-GB"/>
              </w:rPr>
              <w:t>Appendix 2: Altman Z-Score calculations</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_Toc217298057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33</w:t>
            </w:r>
            <w:r w:rsidRPr="00EE5101">
              <w:rPr>
                <w:rFonts w:ascii="Arial" w:hAnsi="Arial"/>
                <w:b w:val="0"/>
                <w:bCs w:val="0"/>
                <w:noProof/>
                <w:webHidden/>
                <w:sz w:val="24"/>
                <w:szCs w:val="24"/>
              </w:rPr>
              <w:fldChar w:fldCharType="end"/>
            </w:r>
          </w:hyperlink>
        </w:p>
        <w:p w14:paraId="20857E02" w14:textId="29A2D7C5" w:rsidR="00EE5101" w:rsidRPr="00EE5101" w:rsidRDefault="00EE5101" w:rsidP="00EE5101">
          <w:pPr>
            <w:pStyle w:val="TOC2"/>
            <w:tabs>
              <w:tab w:val="right" w:leader="dot" w:pos="9016"/>
            </w:tabs>
            <w:jc w:val="both"/>
            <w:rPr>
              <w:rFonts w:ascii="Arial" w:eastAsiaTheme="minorEastAsia" w:hAnsi="Arial"/>
              <w:b w:val="0"/>
              <w:bCs w:val="0"/>
              <w:noProof/>
              <w:kern w:val="2"/>
              <w:sz w:val="24"/>
              <w:szCs w:val="24"/>
              <w:lang w:val="en-IN" w:eastAsia="en-IN"/>
              <w14:ligatures w14:val="standardContextual"/>
            </w:rPr>
          </w:pPr>
          <w:hyperlink w:anchor="_Toc217298058" w:history="1">
            <w:r w:rsidRPr="00EE5101">
              <w:rPr>
                <w:rStyle w:val="Hyperlink"/>
                <w:rFonts w:ascii="Arial" w:hAnsi="Arial"/>
                <w:b w:val="0"/>
                <w:bCs w:val="0"/>
                <w:noProof/>
                <w:sz w:val="24"/>
                <w:szCs w:val="24"/>
                <w:lang w:val="en-GB"/>
              </w:rPr>
              <w:t>Appendix 3: Investment appraisal</w:t>
            </w:r>
            <w:r w:rsidRPr="00EE5101">
              <w:rPr>
                <w:rFonts w:ascii="Arial" w:hAnsi="Arial"/>
                <w:b w:val="0"/>
                <w:bCs w:val="0"/>
                <w:noProof/>
                <w:webHidden/>
                <w:sz w:val="24"/>
                <w:szCs w:val="24"/>
              </w:rPr>
              <w:tab/>
            </w:r>
            <w:r w:rsidRPr="00EE5101">
              <w:rPr>
                <w:rFonts w:ascii="Arial" w:hAnsi="Arial"/>
                <w:b w:val="0"/>
                <w:bCs w:val="0"/>
                <w:noProof/>
                <w:webHidden/>
                <w:sz w:val="24"/>
                <w:szCs w:val="24"/>
              </w:rPr>
              <w:fldChar w:fldCharType="begin"/>
            </w:r>
            <w:r w:rsidRPr="00EE5101">
              <w:rPr>
                <w:rFonts w:ascii="Arial" w:hAnsi="Arial"/>
                <w:b w:val="0"/>
                <w:bCs w:val="0"/>
                <w:noProof/>
                <w:webHidden/>
                <w:sz w:val="24"/>
                <w:szCs w:val="24"/>
              </w:rPr>
              <w:instrText xml:space="preserve"> PAGEREF _Toc217298058 \h </w:instrText>
            </w:r>
            <w:r w:rsidRPr="00EE5101">
              <w:rPr>
                <w:rFonts w:ascii="Arial" w:hAnsi="Arial"/>
                <w:b w:val="0"/>
                <w:bCs w:val="0"/>
                <w:noProof/>
                <w:webHidden/>
                <w:sz w:val="24"/>
                <w:szCs w:val="24"/>
              </w:rPr>
            </w:r>
            <w:r w:rsidRPr="00EE5101">
              <w:rPr>
                <w:rFonts w:ascii="Arial" w:hAnsi="Arial"/>
                <w:b w:val="0"/>
                <w:bCs w:val="0"/>
                <w:noProof/>
                <w:webHidden/>
                <w:sz w:val="24"/>
                <w:szCs w:val="24"/>
              </w:rPr>
              <w:fldChar w:fldCharType="separate"/>
            </w:r>
            <w:r w:rsidRPr="00EE5101">
              <w:rPr>
                <w:rFonts w:ascii="Arial" w:hAnsi="Arial"/>
                <w:b w:val="0"/>
                <w:bCs w:val="0"/>
                <w:noProof/>
                <w:webHidden/>
                <w:sz w:val="24"/>
                <w:szCs w:val="24"/>
              </w:rPr>
              <w:t>37</w:t>
            </w:r>
            <w:r w:rsidRPr="00EE5101">
              <w:rPr>
                <w:rFonts w:ascii="Arial" w:hAnsi="Arial"/>
                <w:b w:val="0"/>
                <w:bCs w:val="0"/>
                <w:noProof/>
                <w:webHidden/>
                <w:sz w:val="24"/>
                <w:szCs w:val="24"/>
              </w:rPr>
              <w:fldChar w:fldCharType="end"/>
            </w:r>
          </w:hyperlink>
        </w:p>
        <w:p w14:paraId="6B3ED423" w14:textId="3C3FDF4E" w:rsidR="00385C99" w:rsidRPr="00C27FE4" w:rsidRDefault="00385C99" w:rsidP="00C27FE4">
          <w:r w:rsidRPr="00C27FE4">
            <w:rPr>
              <w:noProof/>
              <w:color w:val="000000" w:themeColor="text1"/>
            </w:rPr>
            <w:fldChar w:fldCharType="end"/>
          </w:r>
        </w:p>
      </w:sdtContent>
    </w:sdt>
    <w:p w14:paraId="645D3F3E" w14:textId="77777777" w:rsidR="00DA2E39" w:rsidRPr="00FA2D9A" w:rsidRDefault="00DA2E39" w:rsidP="0043349F">
      <w:pPr>
        <w:pStyle w:val="Title"/>
        <w:rPr>
          <w:sz w:val="24"/>
          <w:szCs w:val="24"/>
          <w:lang w:val="en-GB"/>
        </w:rPr>
      </w:pPr>
    </w:p>
    <w:p w14:paraId="68502987" w14:textId="77777777" w:rsidR="0062550F" w:rsidRPr="00FA2D9A" w:rsidRDefault="001465C6" w:rsidP="0043349F">
      <w:pPr>
        <w:rPr>
          <w:lang w:val="en-GB"/>
        </w:rPr>
      </w:pPr>
      <w:r w:rsidRPr="00FA2D9A">
        <w:rPr>
          <w:lang w:val="en-GB"/>
        </w:rPr>
        <w:br w:type="page"/>
      </w:r>
    </w:p>
    <w:p w14:paraId="6656117B" w14:textId="77777777" w:rsidR="0062550F" w:rsidRPr="00FA2D9A" w:rsidRDefault="001465C6" w:rsidP="0043349F">
      <w:pPr>
        <w:pStyle w:val="Heading1"/>
        <w:rPr>
          <w:lang w:val="en-GB"/>
        </w:rPr>
      </w:pPr>
      <w:bookmarkStart w:id="6" w:name="_v83iv0c3ck6i" w:colFirst="0" w:colLast="0"/>
      <w:bookmarkStart w:id="7" w:name="_Toc217298003"/>
      <w:bookmarkEnd w:id="6"/>
      <w:r w:rsidRPr="00FA2D9A">
        <w:rPr>
          <w:lang w:val="en-GB"/>
        </w:rPr>
        <w:lastRenderedPageBreak/>
        <w:t>1. Introduction</w:t>
      </w:r>
      <w:bookmarkEnd w:id="7"/>
    </w:p>
    <w:p w14:paraId="04509BE5" w14:textId="589F8E00" w:rsidR="00D178F8" w:rsidRDefault="00FF24DD" w:rsidP="0043349F">
      <w:pPr>
        <w:rPr>
          <w:lang w:val="en-GB"/>
        </w:rPr>
      </w:pPr>
      <w:r>
        <w:rPr>
          <w:lang w:val="en-GB"/>
        </w:rPr>
        <w:t xml:space="preserve">This report discusses the case study of </w:t>
      </w:r>
      <w:r w:rsidRPr="00FA2D9A">
        <w:rPr>
          <w:lang w:val="en-GB"/>
        </w:rPr>
        <w:t xml:space="preserve">General Electronics </w:t>
      </w:r>
      <w:r>
        <w:rPr>
          <w:lang w:val="en-GB"/>
        </w:rPr>
        <w:t xml:space="preserve">that </w:t>
      </w:r>
      <w:r w:rsidRPr="00FA2D9A">
        <w:rPr>
          <w:lang w:val="en-GB"/>
        </w:rPr>
        <w:t>has had a definite decline in financial performance over the past five years.</w:t>
      </w:r>
      <w:r w:rsidR="00BA1E78" w:rsidRPr="00BA1E78">
        <w:rPr>
          <w:lang w:val="en-GB"/>
        </w:rPr>
        <w:t xml:space="preserve"> </w:t>
      </w:r>
      <w:r w:rsidR="00BA1E78" w:rsidRPr="00FA2D9A">
        <w:rPr>
          <w:lang w:val="en-GB"/>
        </w:rPr>
        <w:t>Troubled</w:t>
      </w:r>
      <w:r w:rsidR="00BA1E78">
        <w:rPr>
          <w:lang w:val="en-GB"/>
        </w:rPr>
        <w:t xml:space="preserve"> </w:t>
      </w:r>
      <w:r w:rsidR="00BA1E78" w:rsidRPr="00FA2D9A">
        <w:rPr>
          <w:lang w:val="en-GB"/>
        </w:rPr>
        <w:t>companies that have restructured their debts improve financial flexibility and distort tax incentives</w:t>
      </w:r>
      <w:r w:rsidR="00BA1E78">
        <w:rPr>
          <w:lang w:val="en-GB"/>
        </w:rPr>
        <w:t xml:space="preserve">. </w:t>
      </w:r>
      <w:r w:rsidR="00BA1E78" w:rsidRPr="00FA2D9A">
        <w:rPr>
          <w:lang w:val="en-GB"/>
        </w:rPr>
        <w:t>It is</w:t>
      </w:r>
      <w:r w:rsidR="00BA1E78">
        <w:rPr>
          <w:lang w:val="en-GB"/>
        </w:rPr>
        <w:t xml:space="preserve">, therefore, a </w:t>
      </w:r>
      <w:r w:rsidR="00BA1E78" w:rsidRPr="00FA2D9A">
        <w:rPr>
          <w:lang w:val="en-GB"/>
        </w:rPr>
        <w:t>part of the responsibility of the company to uphold ethical standards to regain the long-term stakeholders' trust.</w:t>
      </w:r>
    </w:p>
    <w:p w14:paraId="2B03ED55" w14:textId="77777777" w:rsidR="00FF24DD" w:rsidRPr="00FA2D9A" w:rsidRDefault="00FF24DD" w:rsidP="0043349F">
      <w:pPr>
        <w:rPr>
          <w:lang w:val="en-GB"/>
        </w:rPr>
      </w:pPr>
    </w:p>
    <w:p w14:paraId="3313E4E1" w14:textId="77777777" w:rsidR="0062550F" w:rsidRPr="00FA2D9A" w:rsidRDefault="001465C6" w:rsidP="0043349F">
      <w:pPr>
        <w:pStyle w:val="Heading1"/>
        <w:rPr>
          <w:lang w:val="en-GB"/>
        </w:rPr>
      </w:pPr>
      <w:bookmarkStart w:id="8" w:name="_z3lulltye3ai" w:colFirst="0" w:colLast="0"/>
      <w:bookmarkStart w:id="9" w:name="_Toc217298004"/>
      <w:bookmarkEnd w:id="8"/>
      <w:r w:rsidRPr="00FA2D9A">
        <w:rPr>
          <w:lang w:val="en-GB"/>
        </w:rPr>
        <w:t>2. Financial Health Check</w:t>
      </w:r>
      <w:bookmarkEnd w:id="9"/>
    </w:p>
    <w:p w14:paraId="1D405CE3" w14:textId="77777777" w:rsidR="0062550F" w:rsidRPr="00FA2D9A" w:rsidRDefault="001465C6" w:rsidP="0043349F">
      <w:pPr>
        <w:pStyle w:val="Heading2"/>
        <w:rPr>
          <w:lang w:val="en-GB"/>
        </w:rPr>
      </w:pPr>
      <w:bookmarkStart w:id="10" w:name="_ps7x1jol6rmo" w:colFirst="0" w:colLast="0"/>
      <w:bookmarkStart w:id="11" w:name="_Toc217298005"/>
      <w:bookmarkEnd w:id="10"/>
      <w:r w:rsidRPr="00FA2D9A">
        <w:rPr>
          <w:lang w:val="en-GB"/>
        </w:rPr>
        <w:t>2.1 Overview of Financial Performance</w:t>
      </w:r>
      <w:bookmarkEnd w:id="11"/>
    </w:p>
    <w:p w14:paraId="49383F70" w14:textId="174D899D" w:rsidR="0062550F" w:rsidRPr="00FA2D9A" w:rsidRDefault="001465C6" w:rsidP="0043349F">
      <w:pPr>
        <w:rPr>
          <w:lang w:val="en-GB"/>
        </w:rPr>
      </w:pPr>
      <w:r w:rsidRPr="00FA2D9A">
        <w:rPr>
          <w:lang w:val="en-GB"/>
        </w:rPr>
        <w:t>The net sales dropped drastically in 2024, compared with 2020, from 614,680 million to 394,879 million, showing a long-term effect of demand shrinkage. The profitability deteriorated in the course of time, with net income changing to a loss of £24,029 million in 2024, against a profit of 38,572 million in 2020. This trend indicates underlying financial ill health as opposed to cyclical pressure, which is supported by the evidence that gradual revenue destruction is one of the major antecedents of corporate distress (Sethi and Mahadik, 2025).</w:t>
      </w:r>
    </w:p>
    <w:p w14:paraId="0DE696C3" w14:textId="77777777" w:rsidR="0062550F" w:rsidRPr="00FA2D9A" w:rsidRDefault="001465C6" w:rsidP="0043349F">
      <w:pPr>
        <w:pStyle w:val="Heading2"/>
        <w:rPr>
          <w:lang w:val="en-GB"/>
        </w:rPr>
      </w:pPr>
      <w:bookmarkStart w:id="12" w:name="_6kewxxizdhpe" w:colFirst="0" w:colLast="0"/>
      <w:bookmarkStart w:id="13" w:name="_Toc217298006"/>
      <w:bookmarkEnd w:id="12"/>
      <w:r w:rsidRPr="00FA2D9A">
        <w:rPr>
          <w:lang w:val="en-GB"/>
        </w:rPr>
        <w:t>2.2 Profitability Ratio Analysis</w:t>
      </w:r>
      <w:bookmarkEnd w:id="13"/>
    </w:p>
    <w:p w14:paraId="3970AFEC" w14:textId="58663E04" w:rsidR="004662DE" w:rsidRDefault="004662DE" w:rsidP="0043349F">
      <w:pPr>
        <w:rPr>
          <w:lang w:val="en-GB"/>
        </w:rPr>
      </w:pPr>
      <w:r w:rsidRPr="00FA2D9A">
        <w:rPr>
          <w:lang w:val="en-GB"/>
        </w:rPr>
        <w:t>[</w:t>
      </w:r>
      <w:r w:rsidRPr="00FA2D9A">
        <w:rPr>
          <w:b/>
          <w:bCs/>
          <w:i/>
          <w:iCs/>
          <w:lang w:val="en-GB"/>
        </w:rPr>
        <w:t>Refer to Appendix A for detailed ratio calculations (5 years)</w:t>
      </w:r>
      <w:r w:rsidRPr="00FA2D9A">
        <w:rPr>
          <w:lang w:val="en-GB"/>
        </w:rPr>
        <w:t>]</w:t>
      </w:r>
    </w:p>
    <w:tbl>
      <w:tblPr>
        <w:tblW w:w="9356" w:type="dxa"/>
        <w:jc w:val="center"/>
        <w:tblLook w:val="04A0" w:firstRow="1" w:lastRow="0" w:firstColumn="1" w:lastColumn="0" w:noHBand="0" w:noVBand="1"/>
      </w:tblPr>
      <w:tblGrid>
        <w:gridCol w:w="3544"/>
        <w:gridCol w:w="1134"/>
        <w:gridCol w:w="1120"/>
        <w:gridCol w:w="1148"/>
        <w:gridCol w:w="1134"/>
        <w:gridCol w:w="1276"/>
      </w:tblGrid>
      <w:tr w:rsidR="00BF5A34" w:rsidRPr="00BF5A34" w14:paraId="6EA80203" w14:textId="77777777" w:rsidTr="00BF5A34">
        <w:trPr>
          <w:trHeight w:val="450"/>
          <w:jc w:val="center"/>
        </w:trPr>
        <w:tc>
          <w:tcPr>
            <w:tcW w:w="3544" w:type="dxa"/>
            <w:tcBorders>
              <w:top w:val="nil"/>
              <w:left w:val="nil"/>
              <w:bottom w:val="nil"/>
              <w:right w:val="nil"/>
            </w:tcBorders>
            <w:shd w:val="clear" w:color="000000" w:fill="DAEEF3"/>
            <w:noWrap/>
            <w:vAlign w:val="bottom"/>
            <w:hideMark/>
          </w:tcPr>
          <w:p w14:paraId="4A0D0467" w14:textId="77777777" w:rsidR="00BF5A34" w:rsidRPr="00BF5A34" w:rsidRDefault="00BF5A34" w:rsidP="00BF5A34">
            <w:pPr>
              <w:jc w:val="center"/>
              <w:rPr>
                <w:rFonts w:eastAsia="Times New Roman"/>
                <w:b/>
                <w:bCs/>
                <w:color w:val="000000"/>
                <w:lang w:val="en-IN" w:eastAsia="en-IN"/>
              </w:rPr>
            </w:pPr>
            <w:r w:rsidRPr="00BF5A34">
              <w:rPr>
                <w:rFonts w:eastAsia="Times New Roman"/>
                <w:b/>
                <w:bCs/>
                <w:color w:val="000000"/>
                <w:lang w:val="en-IN" w:eastAsia="en-IN"/>
              </w:rPr>
              <w:t>Ratio</w:t>
            </w:r>
          </w:p>
        </w:tc>
        <w:tc>
          <w:tcPr>
            <w:tcW w:w="1134" w:type="dxa"/>
            <w:tcBorders>
              <w:top w:val="nil"/>
              <w:left w:val="nil"/>
              <w:bottom w:val="nil"/>
              <w:right w:val="nil"/>
            </w:tcBorders>
            <w:shd w:val="clear" w:color="000000" w:fill="DAEEF3"/>
            <w:noWrap/>
            <w:vAlign w:val="bottom"/>
            <w:hideMark/>
          </w:tcPr>
          <w:p w14:paraId="706EB8AF" w14:textId="77777777" w:rsidR="00BF5A34" w:rsidRPr="00BF5A34" w:rsidRDefault="00BF5A34" w:rsidP="00BF5A34">
            <w:pPr>
              <w:jc w:val="center"/>
              <w:rPr>
                <w:rFonts w:eastAsia="Times New Roman"/>
                <w:b/>
                <w:bCs/>
                <w:color w:val="000000"/>
                <w:lang w:val="en-IN" w:eastAsia="en-IN"/>
              </w:rPr>
            </w:pPr>
            <w:r w:rsidRPr="00BF5A34">
              <w:rPr>
                <w:rFonts w:eastAsia="Times New Roman"/>
                <w:b/>
                <w:bCs/>
                <w:color w:val="000000"/>
                <w:lang w:val="en-IN" w:eastAsia="en-IN"/>
              </w:rPr>
              <w:t>2020</w:t>
            </w:r>
          </w:p>
        </w:tc>
        <w:tc>
          <w:tcPr>
            <w:tcW w:w="1120" w:type="dxa"/>
            <w:tcBorders>
              <w:top w:val="nil"/>
              <w:left w:val="nil"/>
              <w:bottom w:val="nil"/>
              <w:right w:val="nil"/>
            </w:tcBorders>
            <w:shd w:val="clear" w:color="000000" w:fill="DAEEF3"/>
            <w:noWrap/>
            <w:vAlign w:val="bottom"/>
            <w:hideMark/>
          </w:tcPr>
          <w:p w14:paraId="62B00689" w14:textId="77777777" w:rsidR="00BF5A34" w:rsidRPr="00BF5A34" w:rsidRDefault="00BF5A34" w:rsidP="00BF5A34">
            <w:pPr>
              <w:jc w:val="center"/>
              <w:rPr>
                <w:rFonts w:eastAsia="Times New Roman"/>
                <w:b/>
                <w:bCs/>
                <w:color w:val="000000"/>
                <w:lang w:val="en-IN" w:eastAsia="en-IN"/>
              </w:rPr>
            </w:pPr>
            <w:r w:rsidRPr="00BF5A34">
              <w:rPr>
                <w:rFonts w:eastAsia="Times New Roman"/>
                <w:b/>
                <w:bCs/>
                <w:color w:val="000000"/>
                <w:lang w:val="en-IN" w:eastAsia="en-IN"/>
              </w:rPr>
              <w:t>2021</w:t>
            </w:r>
          </w:p>
        </w:tc>
        <w:tc>
          <w:tcPr>
            <w:tcW w:w="1148" w:type="dxa"/>
            <w:tcBorders>
              <w:top w:val="nil"/>
              <w:left w:val="nil"/>
              <w:bottom w:val="nil"/>
              <w:right w:val="nil"/>
            </w:tcBorders>
            <w:shd w:val="clear" w:color="000000" w:fill="DAEEF3"/>
            <w:noWrap/>
            <w:vAlign w:val="bottom"/>
            <w:hideMark/>
          </w:tcPr>
          <w:p w14:paraId="15F7A471" w14:textId="77777777" w:rsidR="00BF5A34" w:rsidRPr="00BF5A34" w:rsidRDefault="00BF5A34" w:rsidP="00BF5A34">
            <w:pPr>
              <w:jc w:val="center"/>
              <w:rPr>
                <w:rFonts w:eastAsia="Times New Roman"/>
                <w:b/>
                <w:bCs/>
                <w:color w:val="000000"/>
                <w:lang w:val="en-IN" w:eastAsia="en-IN"/>
              </w:rPr>
            </w:pPr>
            <w:r w:rsidRPr="00BF5A34">
              <w:rPr>
                <w:rFonts w:eastAsia="Times New Roman"/>
                <w:b/>
                <w:bCs/>
                <w:color w:val="000000"/>
                <w:lang w:val="en-IN" w:eastAsia="en-IN"/>
              </w:rPr>
              <w:t>2022</w:t>
            </w:r>
          </w:p>
        </w:tc>
        <w:tc>
          <w:tcPr>
            <w:tcW w:w="1134" w:type="dxa"/>
            <w:tcBorders>
              <w:top w:val="nil"/>
              <w:left w:val="nil"/>
              <w:bottom w:val="nil"/>
              <w:right w:val="nil"/>
            </w:tcBorders>
            <w:shd w:val="clear" w:color="000000" w:fill="DAEEF3"/>
            <w:noWrap/>
            <w:vAlign w:val="bottom"/>
            <w:hideMark/>
          </w:tcPr>
          <w:p w14:paraId="586C4164" w14:textId="77777777" w:rsidR="00BF5A34" w:rsidRPr="00BF5A34" w:rsidRDefault="00BF5A34" w:rsidP="00BF5A34">
            <w:pPr>
              <w:jc w:val="center"/>
              <w:rPr>
                <w:rFonts w:eastAsia="Times New Roman"/>
                <w:b/>
                <w:bCs/>
                <w:color w:val="000000"/>
                <w:lang w:val="en-IN" w:eastAsia="en-IN"/>
              </w:rPr>
            </w:pPr>
            <w:r w:rsidRPr="00BF5A34">
              <w:rPr>
                <w:rFonts w:eastAsia="Times New Roman"/>
                <w:b/>
                <w:bCs/>
                <w:color w:val="000000"/>
                <w:lang w:val="en-IN" w:eastAsia="en-IN"/>
              </w:rPr>
              <w:t>2023</w:t>
            </w:r>
          </w:p>
        </w:tc>
        <w:tc>
          <w:tcPr>
            <w:tcW w:w="1276" w:type="dxa"/>
            <w:tcBorders>
              <w:top w:val="nil"/>
              <w:left w:val="nil"/>
              <w:bottom w:val="nil"/>
              <w:right w:val="nil"/>
            </w:tcBorders>
            <w:shd w:val="clear" w:color="000000" w:fill="DAEEF3"/>
            <w:noWrap/>
            <w:vAlign w:val="bottom"/>
            <w:hideMark/>
          </w:tcPr>
          <w:p w14:paraId="4C1577F6" w14:textId="77777777" w:rsidR="00BF5A34" w:rsidRPr="00BF5A34" w:rsidRDefault="00BF5A34" w:rsidP="00BF5A34">
            <w:pPr>
              <w:jc w:val="center"/>
              <w:rPr>
                <w:rFonts w:eastAsia="Times New Roman"/>
                <w:b/>
                <w:bCs/>
                <w:color w:val="000000"/>
                <w:lang w:val="en-IN" w:eastAsia="en-IN"/>
              </w:rPr>
            </w:pPr>
            <w:r w:rsidRPr="00BF5A34">
              <w:rPr>
                <w:rFonts w:eastAsia="Times New Roman"/>
                <w:b/>
                <w:bCs/>
                <w:color w:val="000000"/>
                <w:lang w:val="en-IN" w:eastAsia="en-IN"/>
              </w:rPr>
              <w:t>2024</w:t>
            </w:r>
          </w:p>
        </w:tc>
      </w:tr>
      <w:tr w:rsidR="00BF5A34" w:rsidRPr="00BF5A34" w14:paraId="7F47306E" w14:textId="77777777" w:rsidTr="00BF5A34">
        <w:trPr>
          <w:trHeight w:val="278"/>
          <w:jc w:val="center"/>
        </w:trPr>
        <w:tc>
          <w:tcPr>
            <w:tcW w:w="3544" w:type="dxa"/>
            <w:tcBorders>
              <w:top w:val="nil"/>
              <w:left w:val="nil"/>
              <w:bottom w:val="nil"/>
              <w:right w:val="nil"/>
            </w:tcBorders>
            <w:noWrap/>
            <w:vAlign w:val="bottom"/>
            <w:hideMark/>
          </w:tcPr>
          <w:p w14:paraId="3E6231A3" w14:textId="77777777" w:rsidR="00BF5A34" w:rsidRPr="00BF5A34" w:rsidRDefault="00BF5A34" w:rsidP="00BF5A34">
            <w:pPr>
              <w:jc w:val="left"/>
              <w:rPr>
                <w:rFonts w:eastAsia="Times New Roman"/>
                <w:color w:val="000000"/>
                <w:lang w:val="en-IN" w:eastAsia="en-IN"/>
              </w:rPr>
            </w:pPr>
            <w:r w:rsidRPr="00BF5A34">
              <w:rPr>
                <w:rFonts w:eastAsia="Times New Roman"/>
                <w:color w:val="000000"/>
                <w:lang w:val="en-IN" w:eastAsia="en-IN"/>
              </w:rPr>
              <w:t>Gross Margin</w:t>
            </w:r>
          </w:p>
        </w:tc>
        <w:tc>
          <w:tcPr>
            <w:tcW w:w="1134" w:type="dxa"/>
            <w:tcBorders>
              <w:top w:val="nil"/>
              <w:left w:val="nil"/>
              <w:bottom w:val="nil"/>
              <w:right w:val="nil"/>
            </w:tcBorders>
            <w:noWrap/>
            <w:vAlign w:val="bottom"/>
            <w:hideMark/>
          </w:tcPr>
          <w:p w14:paraId="5817207E"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0.287</w:t>
            </w:r>
          </w:p>
        </w:tc>
        <w:tc>
          <w:tcPr>
            <w:tcW w:w="1120" w:type="dxa"/>
            <w:tcBorders>
              <w:top w:val="nil"/>
              <w:left w:val="nil"/>
              <w:bottom w:val="nil"/>
              <w:right w:val="nil"/>
            </w:tcBorders>
            <w:noWrap/>
            <w:vAlign w:val="bottom"/>
            <w:hideMark/>
          </w:tcPr>
          <w:p w14:paraId="0A46594B"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0.288</w:t>
            </w:r>
          </w:p>
        </w:tc>
        <w:tc>
          <w:tcPr>
            <w:tcW w:w="1148" w:type="dxa"/>
            <w:tcBorders>
              <w:top w:val="nil"/>
              <w:left w:val="nil"/>
              <w:bottom w:val="nil"/>
              <w:right w:val="nil"/>
            </w:tcBorders>
            <w:noWrap/>
            <w:vAlign w:val="bottom"/>
            <w:hideMark/>
          </w:tcPr>
          <w:p w14:paraId="47DC4BB7"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0.281</w:t>
            </w:r>
          </w:p>
        </w:tc>
        <w:tc>
          <w:tcPr>
            <w:tcW w:w="1134" w:type="dxa"/>
            <w:tcBorders>
              <w:top w:val="nil"/>
              <w:left w:val="nil"/>
              <w:bottom w:val="nil"/>
              <w:right w:val="nil"/>
            </w:tcBorders>
            <w:noWrap/>
            <w:vAlign w:val="bottom"/>
            <w:hideMark/>
          </w:tcPr>
          <w:p w14:paraId="69519188"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0.232</w:t>
            </w:r>
          </w:p>
        </w:tc>
        <w:tc>
          <w:tcPr>
            <w:tcW w:w="1276" w:type="dxa"/>
            <w:tcBorders>
              <w:top w:val="nil"/>
              <w:left w:val="nil"/>
              <w:bottom w:val="nil"/>
              <w:right w:val="nil"/>
            </w:tcBorders>
            <w:noWrap/>
            <w:vAlign w:val="bottom"/>
            <w:hideMark/>
          </w:tcPr>
          <w:p w14:paraId="7948F761"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0.289</w:t>
            </w:r>
          </w:p>
        </w:tc>
      </w:tr>
      <w:tr w:rsidR="00BF5A34" w:rsidRPr="00BF5A34" w14:paraId="1974921E" w14:textId="77777777" w:rsidTr="00BF5A34">
        <w:trPr>
          <w:trHeight w:val="278"/>
          <w:jc w:val="center"/>
        </w:trPr>
        <w:tc>
          <w:tcPr>
            <w:tcW w:w="3544" w:type="dxa"/>
            <w:tcBorders>
              <w:top w:val="nil"/>
              <w:left w:val="nil"/>
              <w:bottom w:val="nil"/>
              <w:right w:val="nil"/>
            </w:tcBorders>
            <w:noWrap/>
            <w:vAlign w:val="bottom"/>
            <w:hideMark/>
          </w:tcPr>
          <w:p w14:paraId="6919F740" w14:textId="77777777" w:rsidR="00BF5A34" w:rsidRPr="00BF5A34" w:rsidRDefault="00BF5A34" w:rsidP="00BF5A34">
            <w:pPr>
              <w:jc w:val="left"/>
              <w:rPr>
                <w:rFonts w:eastAsia="Times New Roman"/>
                <w:color w:val="000000"/>
                <w:lang w:val="en-IN" w:eastAsia="en-IN"/>
              </w:rPr>
            </w:pPr>
            <w:r w:rsidRPr="00BF5A34">
              <w:rPr>
                <w:rFonts w:eastAsia="Times New Roman"/>
                <w:color w:val="000000"/>
                <w:lang w:val="en-IN" w:eastAsia="en-IN"/>
              </w:rPr>
              <w:t>Operating Margin</w:t>
            </w:r>
          </w:p>
        </w:tc>
        <w:tc>
          <w:tcPr>
            <w:tcW w:w="1134" w:type="dxa"/>
            <w:tcBorders>
              <w:top w:val="nil"/>
              <w:left w:val="nil"/>
              <w:bottom w:val="nil"/>
              <w:right w:val="nil"/>
            </w:tcBorders>
            <w:noWrap/>
            <w:vAlign w:val="bottom"/>
            <w:hideMark/>
          </w:tcPr>
          <w:p w14:paraId="242F45DE"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0.061</w:t>
            </w:r>
          </w:p>
        </w:tc>
        <w:tc>
          <w:tcPr>
            <w:tcW w:w="1120" w:type="dxa"/>
            <w:tcBorders>
              <w:top w:val="nil"/>
              <w:left w:val="nil"/>
              <w:bottom w:val="nil"/>
              <w:right w:val="nil"/>
            </w:tcBorders>
            <w:noWrap/>
            <w:vAlign w:val="bottom"/>
            <w:hideMark/>
          </w:tcPr>
          <w:p w14:paraId="4498138A"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0.039</w:t>
            </w:r>
          </w:p>
        </w:tc>
        <w:tc>
          <w:tcPr>
            <w:tcW w:w="1148" w:type="dxa"/>
            <w:tcBorders>
              <w:top w:val="nil"/>
              <w:left w:val="nil"/>
              <w:bottom w:val="nil"/>
              <w:right w:val="nil"/>
            </w:tcBorders>
            <w:noWrap/>
            <w:vAlign w:val="bottom"/>
            <w:hideMark/>
          </w:tcPr>
          <w:p w14:paraId="19327053"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0.027</w:t>
            </w:r>
          </w:p>
        </w:tc>
        <w:tc>
          <w:tcPr>
            <w:tcW w:w="1134" w:type="dxa"/>
            <w:tcBorders>
              <w:top w:val="nil"/>
              <w:left w:val="nil"/>
              <w:bottom w:val="nil"/>
              <w:right w:val="nil"/>
            </w:tcBorders>
            <w:noWrap/>
            <w:vAlign w:val="bottom"/>
            <w:hideMark/>
          </w:tcPr>
          <w:p w14:paraId="3F0BD5CD"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-0.203</w:t>
            </w:r>
          </w:p>
        </w:tc>
        <w:tc>
          <w:tcPr>
            <w:tcW w:w="1276" w:type="dxa"/>
            <w:tcBorders>
              <w:top w:val="nil"/>
              <w:left w:val="nil"/>
              <w:bottom w:val="nil"/>
              <w:right w:val="nil"/>
            </w:tcBorders>
            <w:noWrap/>
            <w:vAlign w:val="bottom"/>
            <w:hideMark/>
          </w:tcPr>
          <w:p w14:paraId="4415F569"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-0.039</w:t>
            </w:r>
          </w:p>
        </w:tc>
      </w:tr>
      <w:tr w:rsidR="00BF5A34" w:rsidRPr="00BF5A34" w14:paraId="3969BC48" w14:textId="77777777" w:rsidTr="00BF5A34">
        <w:trPr>
          <w:trHeight w:val="278"/>
          <w:jc w:val="center"/>
        </w:trPr>
        <w:tc>
          <w:tcPr>
            <w:tcW w:w="3544" w:type="dxa"/>
            <w:tcBorders>
              <w:top w:val="nil"/>
              <w:left w:val="nil"/>
              <w:bottom w:val="nil"/>
              <w:right w:val="nil"/>
            </w:tcBorders>
            <w:noWrap/>
            <w:vAlign w:val="bottom"/>
            <w:hideMark/>
          </w:tcPr>
          <w:p w14:paraId="28163BA0" w14:textId="77777777" w:rsidR="00BF5A34" w:rsidRPr="00BF5A34" w:rsidRDefault="00BF5A34" w:rsidP="00BF5A34">
            <w:pPr>
              <w:jc w:val="left"/>
              <w:rPr>
                <w:rFonts w:eastAsia="Times New Roman"/>
                <w:color w:val="000000"/>
                <w:lang w:val="en-IN" w:eastAsia="en-IN"/>
              </w:rPr>
            </w:pPr>
            <w:r w:rsidRPr="00BF5A34">
              <w:rPr>
                <w:rFonts w:eastAsia="Times New Roman"/>
                <w:color w:val="000000"/>
                <w:lang w:val="en-IN" w:eastAsia="en-IN"/>
              </w:rPr>
              <w:t>Net Margin</w:t>
            </w:r>
          </w:p>
        </w:tc>
        <w:tc>
          <w:tcPr>
            <w:tcW w:w="1134" w:type="dxa"/>
            <w:tcBorders>
              <w:top w:val="nil"/>
              <w:left w:val="nil"/>
              <w:bottom w:val="nil"/>
              <w:right w:val="nil"/>
            </w:tcBorders>
            <w:noWrap/>
            <w:vAlign w:val="bottom"/>
            <w:hideMark/>
          </w:tcPr>
          <w:p w14:paraId="77FA41D6"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0.063</w:t>
            </w:r>
          </w:p>
        </w:tc>
        <w:tc>
          <w:tcPr>
            <w:tcW w:w="1120" w:type="dxa"/>
            <w:tcBorders>
              <w:top w:val="nil"/>
              <w:left w:val="nil"/>
              <w:bottom w:val="nil"/>
              <w:right w:val="nil"/>
            </w:tcBorders>
            <w:noWrap/>
            <w:vAlign w:val="bottom"/>
            <w:hideMark/>
          </w:tcPr>
          <w:p w14:paraId="56BCB157"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0.009</w:t>
            </w:r>
          </w:p>
        </w:tc>
        <w:tc>
          <w:tcPr>
            <w:tcW w:w="1148" w:type="dxa"/>
            <w:tcBorders>
              <w:top w:val="nil"/>
              <w:left w:val="nil"/>
              <w:bottom w:val="nil"/>
              <w:right w:val="nil"/>
            </w:tcBorders>
            <w:noWrap/>
            <w:vAlign w:val="bottom"/>
            <w:hideMark/>
          </w:tcPr>
          <w:p w14:paraId="1FEC4786"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0.001</w:t>
            </w:r>
          </w:p>
        </w:tc>
        <w:tc>
          <w:tcPr>
            <w:tcW w:w="1134" w:type="dxa"/>
            <w:tcBorders>
              <w:top w:val="nil"/>
              <w:left w:val="nil"/>
              <w:bottom w:val="nil"/>
              <w:right w:val="nil"/>
            </w:tcBorders>
            <w:noWrap/>
            <w:vAlign w:val="bottom"/>
            <w:hideMark/>
          </w:tcPr>
          <w:p w14:paraId="4680AF41"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-0.234</w:t>
            </w:r>
          </w:p>
        </w:tc>
        <w:tc>
          <w:tcPr>
            <w:tcW w:w="1276" w:type="dxa"/>
            <w:tcBorders>
              <w:top w:val="nil"/>
              <w:left w:val="nil"/>
              <w:bottom w:val="nil"/>
              <w:right w:val="nil"/>
            </w:tcBorders>
            <w:noWrap/>
            <w:vAlign w:val="bottom"/>
            <w:hideMark/>
          </w:tcPr>
          <w:p w14:paraId="51D026B5"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-0.061</w:t>
            </w:r>
          </w:p>
        </w:tc>
      </w:tr>
      <w:tr w:rsidR="00BF5A34" w:rsidRPr="00BF5A34" w14:paraId="11F6757D" w14:textId="77777777" w:rsidTr="00BF5A34">
        <w:trPr>
          <w:trHeight w:val="278"/>
          <w:jc w:val="center"/>
        </w:trPr>
        <w:tc>
          <w:tcPr>
            <w:tcW w:w="3544" w:type="dxa"/>
            <w:tcBorders>
              <w:top w:val="nil"/>
              <w:left w:val="nil"/>
              <w:bottom w:val="nil"/>
              <w:right w:val="nil"/>
            </w:tcBorders>
            <w:noWrap/>
            <w:vAlign w:val="bottom"/>
            <w:hideMark/>
          </w:tcPr>
          <w:p w14:paraId="2868D76C" w14:textId="77777777" w:rsidR="00BF5A34" w:rsidRPr="00BF5A34" w:rsidRDefault="00BF5A34" w:rsidP="00BF5A34">
            <w:pPr>
              <w:jc w:val="left"/>
              <w:rPr>
                <w:rFonts w:eastAsia="Times New Roman"/>
                <w:color w:val="000000"/>
                <w:lang w:val="en-IN" w:eastAsia="en-IN"/>
              </w:rPr>
            </w:pPr>
            <w:r w:rsidRPr="00BF5A34">
              <w:rPr>
                <w:rFonts w:eastAsia="Times New Roman"/>
                <w:color w:val="000000"/>
                <w:lang w:val="en-IN" w:eastAsia="en-IN"/>
              </w:rPr>
              <w:t>Current Ratio</w:t>
            </w:r>
          </w:p>
        </w:tc>
        <w:tc>
          <w:tcPr>
            <w:tcW w:w="1134" w:type="dxa"/>
            <w:tcBorders>
              <w:top w:val="nil"/>
              <w:left w:val="nil"/>
              <w:bottom w:val="nil"/>
              <w:right w:val="nil"/>
            </w:tcBorders>
            <w:noWrap/>
            <w:vAlign w:val="bottom"/>
            <w:hideMark/>
          </w:tcPr>
          <w:p w14:paraId="591D05BA"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1.821</w:t>
            </w:r>
          </w:p>
        </w:tc>
        <w:tc>
          <w:tcPr>
            <w:tcW w:w="1120" w:type="dxa"/>
            <w:tcBorders>
              <w:top w:val="nil"/>
              <w:left w:val="nil"/>
              <w:bottom w:val="nil"/>
              <w:right w:val="nil"/>
            </w:tcBorders>
            <w:noWrap/>
            <w:vAlign w:val="bottom"/>
            <w:hideMark/>
          </w:tcPr>
          <w:p w14:paraId="497192F3"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1.555</w:t>
            </w:r>
          </w:p>
        </w:tc>
        <w:tc>
          <w:tcPr>
            <w:tcW w:w="1148" w:type="dxa"/>
            <w:tcBorders>
              <w:top w:val="nil"/>
              <w:left w:val="nil"/>
              <w:bottom w:val="nil"/>
              <w:right w:val="nil"/>
            </w:tcBorders>
            <w:noWrap/>
            <w:vAlign w:val="bottom"/>
            <w:hideMark/>
          </w:tcPr>
          <w:p w14:paraId="251F6113"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1.562</w:t>
            </w:r>
          </w:p>
        </w:tc>
        <w:tc>
          <w:tcPr>
            <w:tcW w:w="1134" w:type="dxa"/>
            <w:tcBorders>
              <w:top w:val="nil"/>
              <w:left w:val="nil"/>
              <w:bottom w:val="nil"/>
              <w:right w:val="nil"/>
            </w:tcBorders>
            <w:noWrap/>
            <w:vAlign w:val="bottom"/>
            <w:hideMark/>
          </w:tcPr>
          <w:p w14:paraId="3FDBE5DA"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1.606</w:t>
            </w:r>
          </w:p>
        </w:tc>
        <w:tc>
          <w:tcPr>
            <w:tcW w:w="1276" w:type="dxa"/>
            <w:tcBorders>
              <w:top w:val="nil"/>
              <w:left w:val="nil"/>
              <w:bottom w:val="nil"/>
              <w:right w:val="nil"/>
            </w:tcBorders>
            <w:noWrap/>
            <w:vAlign w:val="bottom"/>
            <w:hideMark/>
          </w:tcPr>
          <w:p w14:paraId="720DAEC3"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1.532</w:t>
            </w:r>
          </w:p>
        </w:tc>
      </w:tr>
      <w:tr w:rsidR="00BF5A34" w:rsidRPr="00BF5A34" w14:paraId="5D90D60D" w14:textId="77777777" w:rsidTr="00BF5A34">
        <w:trPr>
          <w:trHeight w:val="278"/>
          <w:jc w:val="center"/>
        </w:trPr>
        <w:tc>
          <w:tcPr>
            <w:tcW w:w="3544" w:type="dxa"/>
            <w:tcBorders>
              <w:top w:val="nil"/>
              <w:left w:val="nil"/>
              <w:bottom w:val="nil"/>
              <w:right w:val="nil"/>
            </w:tcBorders>
            <w:noWrap/>
            <w:vAlign w:val="bottom"/>
            <w:hideMark/>
          </w:tcPr>
          <w:p w14:paraId="3705FF9F" w14:textId="77777777" w:rsidR="00BF5A34" w:rsidRPr="00BF5A34" w:rsidRDefault="00BF5A34" w:rsidP="00BF5A34">
            <w:pPr>
              <w:jc w:val="left"/>
              <w:rPr>
                <w:rFonts w:eastAsia="Times New Roman"/>
                <w:color w:val="000000"/>
                <w:lang w:val="en-IN" w:eastAsia="en-IN"/>
              </w:rPr>
            </w:pPr>
            <w:r w:rsidRPr="00BF5A34">
              <w:rPr>
                <w:rFonts w:eastAsia="Times New Roman"/>
                <w:color w:val="000000"/>
                <w:lang w:val="en-IN" w:eastAsia="en-IN"/>
              </w:rPr>
              <w:t>Quick Ratio</w:t>
            </w:r>
          </w:p>
        </w:tc>
        <w:tc>
          <w:tcPr>
            <w:tcW w:w="1134" w:type="dxa"/>
            <w:tcBorders>
              <w:top w:val="nil"/>
              <w:left w:val="nil"/>
              <w:bottom w:val="nil"/>
              <w:right w:val="nil"/>
            </w:tcBorders>
            <w:noWrap/>
            <w:vAlign w:val="bottom"/>
            <w:hideMark/>
          </w:tcPr>
          <w:p w14:paraId="7C2C4DFA"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1.150</w:t>
            </w:r>
          </w:p>
        </w:tc>
        <w:tc>
          <w:tcPr>
            <w:tcW w:w="1120" w:type="dxa"/>
            <w:tcBorders>
              <w:top w:val="nil"/>
              <w:left w:val="nil"/>
              <w:bottom w:val="nil"/>
              <w:right w:val="nil"/>
            </w:tcBorders>
            <w:noWrap/>
            <w:vAlign w:val="bottom"/>
            <w:hideMark/>
          </w:tcPr>
          <w:p w14:paraId="4AB85A25"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0.935</w:t>
            </w:r>
          </w:p>
        </w:tc>
        <w:tc>
          <w:tcPr>
            <w:tcW w:w="1148" w:type="dxa"/>
            <w:tcBorders>
              <w:top w:val="nil"/>
              <w:left w:val="nil"/>
              <w:bottom w:val="nil"/>
              <w:right w:val="nil"/>
            </w:tcBorders>
            <w:noWrap/>
            <w:vAlign w:val="bottom"/>
            <w:hideMark/>
          </w:tcPr>
          <w:p w14:paraId="1D670DB1"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0.914</w:t>
            </w:r>
          </w:p>
        </w:tc>
        <w:tc>
          <w:tcPr>
            <w:tcW w:w="1134" w:type="dxa"/>
            <w:tcBorders>
              <w:top w:val="nil"/>
              <w:left w:val="nil"/>
              <w:bottom w:val="nil"/>
              <w:right w:val="nil"/>
            </w:tcBorders>
            <w:noWrap/>
            <w:vAlign w:val="bottom"/>
            <w:hideMark/>
          </w:tcPr>
          <w:p w14:paraId="15850762"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1.059</w:t>
            </w:r>
          </w:p>
        </w:tc>
        <w:tc>
          <w:tcPr>
            <w:tcW w:w="1276" w:type="dxa"/>
            <w:tcBorders>
              <w:top w:val="nil"/>
              <w:left w:val="nil"/>
              <w:bottom w:val="nil"/>
              <w:right w:val="nil"/>
            </w:tcBorders>
            <w:noWrap/>
            <w:vAlign w:val="bottom"/>
            <w:hideMark/>
          </w:tcPr>
          <w:p w14:paraId="2B790A67"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1.031</w:t>
            </w:r>
          </w:p>
        </w:tc>
      </w:tr>
      <w:tr w:rsidR="00BF5A34" w:rsidRPr="00BF5A34" w14:paraId="7818AE94" w14:textId="77777777" w:rsidTr="00BF5A34">
        <w:trPr>
          <w:trHeight w:val="278"/>
          <w:jc w:val="center"/>
        </w:trPr>
        <w:tc>
          <w:tcPr>
            <w:tcW w:w="3544" w:type="dxa"/>
            <w:tcBorders>
              <w:top w:val="nil"/>
              <w:left w:val="nil"/>
              <w:bottom w:val="nil"/>
              <w:right w:val="nil"/>
            </w:tcBorders>
            <w:noWrap/>
            <w:vAlign w:val="bottom"/>
            <w:hideMark/>
          </w:tcPr>
          <w:p w14:paraId="18709940" w14:textId="77777777" w:rsidR="00BF5A34" w:rsidRPr="00BF5A34" w:rsidRDefault="00BF5A34" w:rsidP="00BF5A34">
            <w:pPr>
              <w:jc w:val="left"/>
              <w:rPr>
                <w:rFonts w:eastAsia="Times New Roman"/>
                <w:color w:val="000000"/>
                <w:lang w:val="en-IN" w:eastAsia="en-IN"/>
              </w:rPr>
            </w:pPr>
            <w:r w:rsidRPr="00BF5A34">
              <w:rPr>
                <w:rFonts w:eastAsia="Times New Roman"/>
                <w:color w:val="000000"/>
                <w:lang w:val="en-IN" w:eastAsia="en-IN"/>
              </w:rPr>
              <w:t>Inventory Days</w:t>
            </w:r>
          </w:p>
        </w:tc>
        <w:tc>
          <w:tcPr>
            <w:tcW w:w="1134" w:type="dxa"/>
            <w:tcBorders>
              <w:top w:val="nil"/>
              <w:left w:val="nil"/>
              <w:bottom w:val="nil"/>
              <w:right w:val="nil"/>
            </w:tcBorders>
            <w:noWrap/>
            <w:vAlign w:val="bottom"/>
            <w:hideMark/>
          </w:tcPr>
          <w:p w14:paraId="32B3EEA3"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71.512</w:t>
            </w:r>
          </w:p>
        </w:tc>
        <w:tc>
          <w:tcPr>
            <w:tcW w:w="1120" w:type="dxa"/>
            <w:tcBorders>
              <w:top w:val="nil"/>
              <w:left w:val="nil"/>
              <w:bottom w:val="nil"/>
              <w:right w:val="nil"/>
            </w:tcBorders>
            <w:noWrap/>
            <w:vAlign w:val="bottom"/>
            <w:hideMark/>
          </w:tcPr>
          <w:p w14:paraId="3BD6BA82"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81.584</w:t>
            </w:r>
          </w:p>
        </w:tc>
        <w:tc>
          <w:tcPr>
            <w:tcW w:w="1148" w:type="dxa"/>
            <w:tcBorders>
              <w:top w:val="nil"/>
              <w:left w:val="nil"/>
              <w:bottom w:val="nil"/>
              <w:right w:val="nil"/>
            </w:tcBorders>
            <w:noWrap/>
            <w:vAlign w:val="bottom"/>
            <w:hideMark/>
          </w:tcPr>
          <w:p w14:paraId="37BDD828"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94.272</w:t>
            </w:r>
          </w:p>
        </w:tc>
        <w:tc>
          <w:tcPr>
            <w:tcW w:w="1134" w:type="dxa"/>
            <w:tcBorders>
              <w:top w:val="nil"/>
              <w:left w:val="nil"/>
              <w:bottom w:val="nil"/>
              <w:right w:val="nil"/>
            </w:tcBorders>
            <w:noWrap/>
            <w:vAlign w:val="bottom"/>
            <w:hideMark/>
          </w:tcPr>
          <w:p w14:paraId="091A4296"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76.630</w:t>
            </w:r>
          </w:p>
        </w:tc>
        <w:tc>
          <w:tcPr>
            <w:tcW w:w="1276" w:type="dxa"/>
            <w:tcBorders>
              <w:top w:val="nil"/>
              <w:left w:val="nil"/>
              <w:bottom w:val="nil"/>
              <w:right w:val="nil"/>
            </w:tcBorders>
            <w:noWrap/>
            <w:vAlign w:val="bottom"/>
            <w:hideMark/>
          </w:tcPr>
          <w:p w14:paraId="4F7935FB"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73.351</w:t>
            </w:r>
          </w:p>
        </w:tc>
      </w:tr>
      <w:tr w:rsidR="00BF5A34" w:rsidRPr="00BF5A34" w14:paraId="5C0A0396" w14:textId="77777777" w:rsidTr="00BF5A34">
        <w:trPr>
          <w:trHeight w:val="278"/>
          <w:jc w:val="center"/>
        </w:trPr>
        <w:tc>
          <w:tcPr>
            <w:tcW w:w="3544" w:type="dxa"/>
            <w:tcBorders>
              <w:top w:val="nil"/>
              <w:left w:val="nil"/>
              <w:bottom w:val="nil"/>
              <w:right w:val="nil"/>
            </w:tcBorders>
            <w:noWrap/>
            <w:vAlign w:val="bottom"/>
            <w:hideMark/>
          </w:tcPr>
          <w:p w14:paraId="65EE6025" w14:textId="77777777" w:rsidR="00BF5A34" w:rsidRPr="00BF5A34" w:rsidRDefault="00BF5A34" w:rsidP="00BF5A34">
            <w:pPr>
              <w:jc w:val="left"/>
              <w:rPr>
                <w:rFonts w:eastAsia="Times New Roman"/>
                <w:color w:val="000000"/>
                <w:lang w:val="en-IN" w:eastAsia="en-IN"/>
              </w:rPr>
            </w:pPr>
            <w:r w:rsidRPr="00BF5A34">
              <w:rPr>
                <w:rFonts w:eastAsia="Times New Roman"/>
                <w:color w:val="000000"/>
                <w:lang w:val="en-IN" w:eastAsia="en-IN"/>
              </w:rPr>
              <w:t>Receivable Days</w:t>
            </w:r>
          </w:p>
        </w:tc>
        <w:tc>
          <w:tcPr>
            <w:tcW w:w="1134" w:type="dxa"/>
            <w:tcBorders>
              <w:top w:val="nil"/>
              <w:left w:val="nil"/>
              <w:bottom w:val="nil"/>
              <w:right w:val="nil"/>
            </w:tcBorders>
            <w:noWrap/>
            <w:vAlign w:val="bottom"/>
            <w:hideMark/>
          </w:tcPr>
          <w:p w14:paraId="04EB595D"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76.858</w:t>
            </w:r>
          </w:p>
        </w:tc>
        <w:tc>
          <w:tcPr>
            <w:tcW w:w="1120" w:type="dxa"/>
            <w:tcBorders>
              <w:top w:val="nil"/>
              <w:left w:val="nil"/>
              <w:bottom w:val="nil"/>
              <w:right w:val="nil"/>
            </w:tcBorders>
            <w:noWrap/>
            <w:vAlign w:val="bottom"/>
            <w:hideMark/>
          </w:tcPr>
          <w:p w14:paraId="53D00A2B"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78.396</w:t>
            </w:r>
          </w:p>
        </w:tc>
        <w:tc>
          <w:tcPr>
            <w:tcW w:w="1148" w:type="dxa"/>
            <w:tcBorders>
              <w:top w:val="nil"/>
              <w:left w:val="nil"/>
              <w:bottom w:val="nil"/>
              <w:right w:val="nil"/>
            </w:tcBorders>
            <w:noWrap/>
            <w:vAlign w:val="bottom"/>
            <w:hideMark/>
          </w:tcPr>
          <w:p w14:paraId="6F22F51A"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75.553</w:t>
            </w:r>
          </w:p>
        </w:tc>
        <w:tc>
          <w:tcPr>
            <w:tcW w:w="1134" w:type="dxa"/>
            <w:tcBorders>
              <w:top w:val="nil"/>
              <w:left w:val="nil"/>
              <w:bottom w:val="nil"/>
              <w:right w:val="nil"/>
            </w:tcBorders>
            <w:noWrap/>
            <w:vAlign w:val="bottom"/>
            <w:hideMark/>
          </w:tcPr>
          <w:p w14:paraId="2B21CC59"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97.745</w:t>
            </w:r>
          </w:p>
        </w:tc>
        <w:tc>
          <w:tcPr>
            <w:tcW w:w="1276" w:type="dxa"/>
            <w:tcBorders>
              <w:top w:val="nil"/>
              <w:left w:val="nil"/>
              <w:bottom w:val="nil"/>
              <w:right w:val="nil"/>
            </w:tcBorders>
            <w:noWrap/>
            <w:vAlign w:val="bottom"/>
            <w:hideMark/>
          </w:tcPr>
          <w:p w14:paraId="4AA94D5F"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105.542</w:t>
            </w:r>
          </w:p>
        </w:tc>
      </w:tr>
      <w:tr w:rsidR="00BF5A34" w:rsidRPr="00BF5A34" w14:paraId="0FE328DD" w14:textId="77777777" w:rsidTr="00BF5A34">
        <w:trPr>
          <w:trHeight w:val="278"/>
          <w:jc w:val="center"/>
        </w:trPr>
        <w:tc>
          <w:tcPr>
            <w:tcW w:w="3544" w:type="dxa"/>
            <w:tcBorders>
              <w:top w:val="nil"/>
              <w:left w:val="nil"/>
              <w:bottom w:val="nil"/>
              <w:right w:val="nil"/>
            </w:tcBorders>
            <w:noWrap/>
            <w:vAlign w:val="bottom"/>
            <w:hideMark/>
          </w:tcPr>
          <w:p w14:paraId="073875AD" w14:textId="77777777" w:rsidR="00BF5A34" w:rsidRPr="00BF5A34" w:rsidRDefault="00BF5A34" w:rsidP="00BF5A34">
            <w:pPr>
              <w:jc w:val="left"/>
              <w:rPr>
                <w:rFonts w:eastAsia="Times New Roman"/>
                <w:color w:val="000000"/>
                <w:lang w:val="en-IN" w:eastAsia="en-IN"/>
              </w:rPr>
            </w:pPr>
            <w:r w:rsidRPr="00BF5A34">
              <w:rPr>
                <w:rFonts w:eastAsia="Times New Roman"/>
                <w:color w:val="000000"/>
                <w:lang w:val="en-IN" w:eastAsia="en-IN"/>
              </w:rPr>
              <w:t>Payable Days</w:t>
            </w:r>
          </w:p>
        </w:tc>
        <w:tc>
          <w:tcPr>
            <w:tcW w:w="1134" w:type="dxa"/>
            <w:tcBorders>
              <w:top w:val="nil"/>
              <w:left w:val="nil"/>
              <w:bottom w:val="nil"/>
              <w:right w:val="nil"/>
            </w:tcBorders>
            <w:noWrap/>
            <w:vAlign w:val="bottom"/>
            <w:hideMark/>
          </w:tcPr>
          <w:p w14:paraId="1C071BB5"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49.422</w:t>
            </w:r>
          </w:p>
        </w:tc>
        <w:tc>
          <w:tcPr>
            <w:tcW w:w="1120" w:type="dxa"/>
            <w:tcBorders>
              <w:top w:val="nil"/>
              <w:left w:val="nil"/>
              <w:bottom w:val="nil"/>
              <w:right w:val="nil"/>
            </w:tcBorders>
            <w:noWrap/>
            <w:vAlign w:val="bottom"/>
            <w:hideMark/>
          </w:tcPr>
          <w:p w14:paraId="57BEA886"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56.247</w:t>
            </w:r>
          </w:p>
        </w:tc>
        <w:tc>
          <w:tcPr>
            <w:tcW w:w="1148" w:type="dxa"/>
            <w:tcBorders>
              <w:top w:val="nil"/>
              <w:left w:val="nil"/>
              <w:bottom w:val="nil"/>
              <w:right w:val="nil"/>
            </w:tcBorders>
            <w:noWrap/>
            <w:vAlign w:val="bottom"/>
            <w:hideMark/>
          </w:tcPr>
          <w:p w14:paraId="4853F83E"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47.998</w:t>
            </w:r>
          </w:p>
        </w:tc>
        <w:tc>
          <w:tcPr>
            <w:tcW w:w="1134" w:type="dxa"/>
            <w:tcBorders>
              <w:top w:val="nil"/>
              <w:left w:val="nil"/>
              <w:bottom w:val="nil"/>
              <w:right w:val="nil"/>
            </w:tcBorders>
            <w:noWrap/>
            <w:vAlign w:val="bottom"/>
            <w:hideMark/>
          </w:tcPr>
          <w:p w14:paraId="58673B03"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49.511</w:t>
            </w:r>
          </w:p>
        </w:tc>
        <w:tc>
          <w:tcPr>
            <w:tcW w:w="1276" w:type="dxa"/>
            <w:tcBorders>
              <w:top w:val="nil"/>
              <w:left w:val="nil"/>
              <w:bottom w:val="nil"/>
              <w:right w:val="nil"/>
            </w:tcBorders>
            <w:noWrap/>
            <w:vAlign w:val="bottom"/>
            <w:hideMark/>
          </w:tcPr>
          <w:p w14:paraId="0B4FCFCA"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66.581</w:t>
            </w:r>
          </w:p>
        </w:tc>
      </w:tr>
      <w:tr w:rsidR="00BF5A34" w:rsidRPr="00BF5A34" w14:paraId="31AE6545" w14:textId="77777777" w:rsidTr="00BF5A34">
        <w:trPr>
          <w:trHeight w:val="278"/>
          <w:jc w:val="center"/>
        </w:trPr>
        <w:tc>
          <w:tcPr>
            <w:tcW w:w="3544" w:type="dxa"/>
            <w:tcBorders>
              <w:top w:val="nil"/>
              <w:left w:val="nil"/>
              <w:bottom w:val="nil"/>
              <w:right w:val="nil"/>
            </w:tcBorders>
            <w:noWrap/>
            <w:vAlign w:val="bottom"/>
            <w:hideMark/>
          </w:tcPr>
          <w:p w14:paraId="18A36DC5" w14:textId="77777777" w:rsidR="00BF5A34" w:rsidRPr="00BF5A34" w:rsidRDefault="00BF5A34" w:rsidP="00BF5A34">
            <w:pPr>
              <w:jc w:val="left"/>
              <w:rPr>
                <w:rFonts w:eastAsia="Times New Roman"/>
                <w:color w:val="000000"/>
                <w:lang w:val="en-IN" w:eastAsia="en-IN"/>
              </w:rPr>
            </w:pPr>
            <w:r w:rsidRPr="00BF5A34">
              <w:rPr>
                <w:rFonts w:eastAsia="Times New Roman"/>
                <w:color w:val="000000"/>
                <w:lang w:val="en-IN" w:eastAsia="en-IN"/>
              </w:rPr>
              <w:t>ROA</w:t>
            </w:r>
          </w:p>
        </w:tc>
        <w:tc>
          <w:tcPr>
            <w:tcW w:w="1134" w:type="dxa"/>
            <w:tcBorders>
              <w:top w:val="nil"/>
              <w:left w:val="nil"/>
              <w:bottom w:val="nil"/>
              <w:right w:val="nil"/>
            </w:tcBorders>
            <w:noWrap/>
            <w:vAlign w:val="bottom"/>
            <w:hideMark/>
          </w:tcPr>
          <w:p w14:paraId="50B6DCFB"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0.076</w:t>
            </w:r>
          </w:p>
        </w:tc>
        <w:tc>
          <w:tcPr>
            <w:tcW w:w="1120" w:type="dxa"/>
            <w:tcBorders>
              <w:top w:val="nil"/>
              <w:left w:val="nil"/>
              <w:bottom w:val="nil"/>
              <w:right w:val="nil"/>
            </w:tcBorders>
            <w:noWrap/>
            <w:vAlign w:val="bottom"/>
            <w:hideMark/>
          </w:tcPr>
          <w:p w14:paraId="12486ECA"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0.010</w:t>
            </w:r>
          </w:p>
        </w:tc>
        <w:tc>
          <w:tcPr>
            <w:tcW w:w="1148" w:type="dxa"/>
            <w:tcBorders>
              <w:top w:val="nil"/>
              <w:left w:val="nil"/>
              <w:bottom w:val="nil"/>
              <w:right w:val="nil"/>
            </w:tcBorders>
            <w:noWrap/>
            <w:vAlign w:val="bottom"/>
            <w:hideMark/>
          </w:tcPr>
          <w:p w14:paraId="7FCEFA8B"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0.001</w:t>
            </w:r>
          </w:p>
        </w:tc>
        <w:tc>
          <w:tcPr>
            <w:tcW w:w="1134" w:type="dxa"/>
            <w:tcBorders>
              <w:top w:val="nil"/>
              <w:left w:val="nil"/>
              <w:bottom w:val="nil"/>
              <w:right w:val="nil"/>
            </w:tcBorders>
            <w:noWrap/>
            <w:vAlign w:val="bottom"/>
            <w:hideMark/>
          </w:tcPr>
          <w:p w14:paraId="426EAB6B"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-0.276</w:t>
            </w:r>
          </w:p>
        </w:tc>
        <w:tc>
          <w:tcPr>
            <w:tcW w:w="1276" w:type="dxa"/>
            <w:tcBorders>
              <w:top w:val="nil"/>
              <w:left w:val="nil"/>
              <w:bottom w:val="nil"/>
              <w:right w:val="nil"/>
            </w:tcBorders>
            <w:noWrap/>
            <w:vAlign w:val="bottom"/>
            <w:hideMark/>
          </w:tcPr>
          <w:p w14:paraId="2AB30AB4"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-0.074</w:t>
            </w:r>
          </w:p>
        </w:tc>
      </w:tr>
      <w:tr w:rsidR="00BF5A34" w:rsidRPr="00BF5A34" w14:paraId="1E531C10" w14:textId="77777777" w:rsidTr="00BF5A34">
        <w:trPr>
          <w:trHeight w:val="278"/>
          <w:jc w:val="center"/>
        </w:trPr>
        <w:tc>
          <w:tcPr>
            <w:tcW w:w="3544" w:type="dxa"/>
            <w:tcBorders>
              <w:top w:val="nil"/>
              <w:left w:val="nil"/>
              <w:bottom w:val="nil"/>
              <w:right w:val="nil"/>
            </w:tcBorders>
            <w:noWrap/>
            <w:vAlign w:val="bottom"/>
            <w:hideMark/>
          </w:tcPr>
          <w:p w14:paraId="0A6FE5A8" w14:textId="77777777" w:rsidR="00BF5A34" w:rsidRPr="00BF5A34" w:rsidRDefault="00BF5A34" w:rsidP="00BF5A34">
            <w:pPr>
              <w:jc w:val="left"/>
              <w:rPr>
                <w:rFonts w:eastAsia="Times New Roman"/>
                <w:color w:val="000000"/>
                <w:lang w:val="en-IN" w:eastAsia="en-IN"/>
              </w:rPr>
            </w:pPr>
            <w:r w:rsidRPr="00BF5A34">
              <w:rPr>
                <w:rFonts w:eastAsia="Times New Roman"/>
                <w:color w:val="000000"/>
                <w:lang w:val="en-IN" w:eastAsia="en-IN"/>
              </w:rPr>
              <w:t>ROE</w:t>
            </w:r>
          </w:p>
        </w:tc>
        <w:tc>
          <w:tcPr>
            <w:tcW w:w="1134" w:type="dxa"/>
            <w:tcBorders>
              <w:top w:val="nil"/>
              <w:left w:val="nil"/>
              <w:bottom w:val="nil"/>
              <w:right w:val="nil"/>
            </w:tcBorders>
            <w:noWrap/>
            <w:vAlign w:val="bottom"/>
            <w:hideMark/>
          </w:tcPr>
          <w:p w14:paraId="01CA0C7E"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0.123</w:t>
            </w:r>
          </w:p>
        </w:tc>
        <w:tc>
          <w:tcPr>
            <w:tcW w:w="1120" w:type="dxa"/>
            <w:tcBorders>
              <w:top w:val="nil"/>
              <w:left w:val="nil"/>
              <w:bottom w:val="nil"/>
              <w:right w:val="nil"/>
            </w:tcBorders>
            <w:noWrap/>
            <w:vAlign w:val="bottom"/>
            <w:hideMark/>
          </w:tcPr>
          <w:p w14:paraId="3F4DE290"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0.019</w:t>
            </w:r>
          </w:p>
        </w:tc>
        <w:tc>
          <w:tcPr>
            <w:tcW w:w="1148" w:type="dxa"/>
            <w:tcBorders>
              <w:top w:val="nil"/>
              <w:left w:val="nil"/>
              <w:bottom w:val="nil"/>
              <w:right w:val="nil"/>
            </w:tcBorders>
            <w:noWrap/>
            <w:vAlign w:val="bottom"/>
            <w:hideMark/>
          </w:tcPr>
          <w:p w14:paraId="29F98F46"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0.002</w:t>
            </w:r>
          </w:p>
        </w:tc>
        <w:tc>
          <w:tcPr>
            <w:tcW w:w="1134" w:type="dxa"/>
            <w:tcBorders>
              <w:top w:val="nil"/>
              <w:left w:val="nil"/>
              <w:bottom w:val="nil"/>
              <w:right w:val="nil"/>
            </w:tcBorders>
            <w:noWrap/>
            <w:vAlign w:val="bottom"/>
            <w:hideMark/>
          </w:tcPr>
          <w:p w14:paraId="65FA3C8E"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-0.549</w:t>
            </w:r>
          </w:p>
        </w:tc>
        <w:tc>
          <w:tcPr>
            <w:tcW w:w="1276" w:type="dxa"/>
            <w:tcBorders>
              <w:top w:val="nil"/>
              <w:left w:val="nil"/>
              <w:bottom w:val="nil"/>
              <w:right w:val="nil"/>
            </w:tcBorders>
            <w:noWrap/>
            <w:vAlign w:val="bottom"/>
            <w:hideMark/>
          </w:tcPr>
          <w:p w14:paraId="4BF20268"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-0.157</w:t>
            </w:r>
          </w:p>
        </w:tc>
      </w:tr>
      <w:tr w:rsidR="00BF5A34" w:rsidRPr="00BF5A34" w14:paraId="3505655E" w14:textId="77777777" w:rsidTr="00BF5A34">
        <w:trPr>
          <w:trHeight w:val="278"/>
          <w:jc w:val="center"/>
        </w:trPr>
        <w:tc>
          <w:tcPr>
            <w:tcW w:w="3544" w:type="dxa"/>
            <w:tcBorders>
              <w:top w:val="nil"/>
              <w:left w:val="nil"/>
              <w:bottom w:val="nil"/>
              <w:right w:val="nil"/>
            </w:tcBorders>
            <w:noWrap/>
            <w:vAlign w:val="bottom"/>
            <w:hideMark/>
          </w:tcPr>
          <w:p w14:paraId="756841D7" w14:textId="77777777" w:rsidR="00BF5A34" w:rsidRPr="00BF5A34" w:rsidRDefault="00BF5A34" w:rsidP="00BF5A34">
            <w:pPr>
              <w:jc w:val="left"/>
              <w:rPr>
                <w:rFonts w:eastAsia="Times New Roman"/>
                <w:color w:val="000000"/>
                <w:lang w:val="en-IN" w:eastAsia="en-IN"/>
              </w:rPr>
            </w:pPr>
            <w:r w:rsidRPr="00BF5A34">
              <w:rPr>
                <w:rFonts w:eastAsia="Times New Roman"/>
                <w:color w:val="000000"/>
                <w:lang w:val="en-IN" w:eastAsia="en-IN"/>
              </w:rPr>
              <w:t>Debt-to-Equity</w:t>
            </w:r>
          </w:p>
        </w:tc>
        <w:tc>
          <w:tcPr>
            <w:tcW w:w="1134" w:type="dxa"/>
            <w:tcBorders>
              <w:top w:val="nil"/>
              <w:left w:val="nil"/>
              <w:bottom w:val="nil"/>
              <w:right w:val="nil"/>
            </w:tcBorders>
            <w:noWrap/>
            <w:vAlign w:val="bottom"/>
            <w:hideMark/>
          </w:tcPr>
          <w:p w14:paraId="3BB2BF81"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0.629</w:t>
            </w:r>
          </w:p>
        </w:tc>
        <w:tc>
          <w:tcPr>
            <w:tcW w:w="1120" w:type="dxa"/>
            <w:tcBorders>
              <w:top w:val="nil"/>
              <w:left w:val="nil"/>
              <w:bottom w:val="nil"/>
              <w:right w:val="nil"/>
            </w:tcBorders>
            <w:noWrap/>
            <w:vAlign w:val="bottom"/>
            <w:hideMark/>
          </w:tcPr>
          <w:p w14:paraId="53698F01"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0.849</w:t>
            </w:r>
          </w:p>
        </w:tc>
        <w:tc>
          <w:tcPr>
            <w:tcW w:w="1148" w:type="dxa"/>
            <w:tcBorders>
              <w:top w:val="nil"/>
              <w:left w:val="nil"/>
              <w:bottom w:val="nil"/>
              <w:right w:val="nil"/>
            </w:tcBorders>
            <w:noWrap/>
            <w:vAlign w:val="bottom"/>
            <w:hideMark/>
          </w:tcPr>
          <w:p w14:paraId="139FFCB9"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0.878</w:t>
            </w:r>
          </w:p>
        </w:tc>
        <w:tc>
          <w:tcPr>
            <w:tcW w:w="1134" w:type="dxa"/>
            <w:tcBorders>
              <w:top w:val="nil"/>
              <w:left w:val="nil"/>
              <w:bottom w:val="nil"/>
              <w:right w:val="nil"/>
            </w:tcBorders>
            <w:noWrap/>
            <w:vAlign w:val="bottom"/>
            <w:hideMark/>
          </w:tcPr>
          <w:p w14:paraId="7BAEF322"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0.989</w:t>
            </w:r>
          </w:p>
        </w:tc>
        <w:tc>
          <w:tcPr>
            <w:tcW w:w="1276" w:type="dxa"/>
            <w:tcBorders>
              <w:top w:val="nil"/>
              <w:left w:val="nil"/>
              <w:bottom w:val="nil"/>
              <w:right w:val="nil"/>
            </w:tcBorders>
            <w:noWrap/>
            <w:vAlign w:val="bottom"/>
            <w:hideMark/>
          </w:tcPr>
          <w:p w14:paraId="01B26CD2" w14:textId="77777777" w:rsidR="00BF5A34" w:rsidRPr="00BF5A34" w:rsidRDefault="00BF5A34" w:rsidP="00BF5A34">
            <w:pPr>
              <w:jc w:val="right"/>
              <w:rPr>
                <w:rFonts w:eastAsia="Times New Roman"/>
                <w:color w:val="000000"/>
                <w:lang w:val="en-IN" w:eastAsia="en-IN"/>
              </w:rPr>
            </w:pPr>
            <w:r w:rsidRPr="00BF5A34">
              <w:rPr>
                <w:rFonts w:eastAsia="Times New Roman"/>
                <w:color w:val="000000"/>
                <w:lang w:val="en-IN" w:eastAsia="en-IN"/>
              </w:rPr>
              <w:t>1.112</w:t>
            </w:r>
          </w:p>
        </w:tc>
      </w:tr>
    </w:tbl>
    <w:p w14:paraId="17863C7A" w14:textId="77777777" w:rsidR="004662DE" w:rsidRPr="00FA2D9A" w:rsidRDefault="004662DE" w:rsidP="0043349F">
      <w:pPr>
        <w:rPr>
          <w:lang w:val="en-GB"/>
        </w:rPr>
      </w:pPr>
    </w:p>
    <w:p w14:paraId="5800ED0D" w14:textId="7D0AEE57" w:rsidR="00744040" w:rsidRDefault="00FA2D9A" w:rsidP="0043349F">
      <w:pPr>
        <w:jc w:val="center"/>
        <w:rPr>
          <w:b/>
          <w:bCs/>
          <w:lang w:val="en-GB"/>
        </w:rPr>
      </w:pPr>
      <w:r>
        <w:rPr>
          <w:b/>
          <w:bCs/>
          <w:lang w:val="en-GB"/>
        </w:rPr>
        <w:t>Table 1: Ratio calculation</w:t>
      </w:r>
    </w:p>
    <w:p w14:paraId="455BE5D6" w14:textId="729A5700" w:rsidR="00FA2D9A" w:rsidRPr="00FA2D9A" w:rsidRDefault="00FA2D9A" w:rsidP="0043349F">
      <w:pPr>
        <w:jc w:val="center"/>
        <w:rPr>
          <w:lang w:val="en-GB"/>
        </w:rPr>
      </w:pPr>
      <w:r w:rsidRPr="00FA2D9A">
        <w:rPr>
          <w:lang w:val="en-GB"/>
        </w:rPr>
        <w:t>(Source: calculated using excel)</w:t>
      </w:r>
    </w:p>
    <w:p w14:paraId="466431B9" w14:textId="77DDAB13" w:rsidR="0062550F" w:rsidRDefault="001465C6" w:rsidP="00853C07">
      <w:pPr>
        <w:pStyle w:val="Heading3"/>
        <w:rPr>
          <w:lang w:val="en-GB"/>
        </w:rPr>
      </w:pPr>
      <w:bookmarkStart w:id="14" w:name="_fbn89ub50hzs" w:colFirst="0" w:colLast="0"/>
      <w:bookmarkStart w:id="15" w:name="_Toc217298007"/>
      <w:bookmarkEnd w:id="14"/>
      <w:r w:rsidRPr="00FA2D9A">
        <w:rPr>
          <w:lang w:val="en-GB"/>
        </w:rPr>
        <w:lastRenderedPageBreak/>
        <w:t>2.2.1 Gross Margin</w:t>
      </w:r>
      <w:bookmarkEnd w:id="15"/>
    </w:p>
    <w:p w14:paraId="47252A4B" w14:textId="73B4F1CA" w:rsidR="00853C07" w:rsidRPr="00FA2D9A" w:rsidRDefault="00853C07" w:rsidP="0043349F">
      <w:pPr>
        <w:jc w:val="center"/>
        <w:rPr>
          <w:lang w:val="en-GB"/>
        </w:rPr>
      </w:pPr>
      <w:r>
        <w:rPr>
          <w:noProof/>
        </w:rPr>
        <w:drawing>
          <wp:inline distT="0" distB="0" distL="0" distR="0" wp14:anchorId="7FACCFF6" wp14:editId="38FD35AE">
            <wp:extent cx="4976813" cy="3143250"/>
            <wp:effectExtent l="0" t="0" r="14605" b="0"/>
            <wp:docPr id="1547075200" name="Chart 1">
              <a:extLst xmlns:a="http://schemas.openxmlformats.org/drawingml/2006/main">
                <a:ext uri="{FF2B5EF4-FFF2-40B4-BE49-F238E27FC236}">
                  <a16:creationId xmlns:a16="http://schemas.microsoft.com/office/drawing/2014/main" id="{C1AEFAB7-233F-984B-B29E-391086E504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CD45DE0" w14:textId="2EF221D1" w:rsidR="0062550F" w:rsidRPr="00FA2D9A" w:rsidRDefault="001465C6" w:rsidP="0043349F">
      <w:pPr>
        <w:jc w:val="center"/>
        <w:rPr>
          <w:b/>
          <w:bCs/>
          <w:lang w:val="en-GB"/>
        </w:rPr>
      </w:pPr>
      <w:r w:rsidRPr="00FA2D9A">
        <w:rPr>
          <w:b/>
          <w:bCs/>
          <w:lang w:val="en-GB"/>
        </w:rPr>
        <w:t xml:space="preserve">Figure 1: Gross Profit Margin </w:t>
      </w:r>
    </w:p>
    <w:p w14:paraId="4A2221C8" w14:textId="07FE6432" w:rsidR="0062550F" w:rsidRPr="00FA2D9A" w:rsidRDefault="001465C6" w:rsidP="0043349F">
      <w:pPr>
        <w:jc w:val="center"/>
        <w:rPr>
          <w:lang w:val="en-GB"/>
        </w:rPr>
      </w:pPr>
      <w:r w:rsidRPr="00FA2D9A">
        <w:rPr>
          <w:lang w:val="en-GB"/>
        </w:rPr>
        <w:t>(</w:t>
      </w:r>
      <w:r w:rsidR="0068040D" w:rsidRPr="00FA2D9A">
        <w:rPr>
          <w:lang w:val="en-GB"/>
        </w:rPr>
        <w:t xml:space="preserve">Source: </w:t>
      </w:r>
      <w:r w:rsidR="0068040D">
        <w:rPr>
          <w:lang w:val="en-GB"/>
        </w:rPr>
        <w:t>Obtained</w:t>
      </w:r>
      <w:r w:rsidR="0068040D" w:rsidRPr="00FA2D9A">
        <w:rPr>
          <w:lang w:val="en-GB"/>
        </w:rPr>
        <w:t xml:space="preserve"> using excel</w:t>
      </w:r>
      <w:r w:rsidRPr="00FA2D9A">
        <w:rPr>
          <w:lang w:val="en-GB"/>
        </w:rPr>
        <w:t>)</w:t>
      </w:r>
    </w:p>
    <w:p w14:paraId="1A76D378" w14:textId="12C13203" w:rsidR="0062550F" w:rsidRPr="00FA2D9A" w:rsidRDefault="001465C6" w:rsidP="0043349F">
      <w:pPr>
        <w:rPr>
          <w:lang w:val="en-GB"/>
        </w:rPr>
      </w:pPr>
      <w:r w:rsidRPr="00FA2D9A">
        <w:rPr>
          <w:lang w:val="en-GB"/>
        </w:rPr>
        <w:t xml:space="preserve">In 2023, </w:t>
      </w:r>
      <w:r w:rsidR="00853C07">
        <w:rPr>
          <w:lang w:val="en-GB"/>
        </w:rPr>
        <w:t>the g</w:t>
      </w:r>
      <w:r w:rsidRPr="00FA2D9A">
        <w:rPr>
          <w:lang w:val="en-GB"/>
        </w:rPr>
        <w:t xml:space="preserve">ross margin dropped to 24.3% from 28.7% </w:t>
      </w:r>
      <w:r w:rsidR="001F50C2">
        <w:rPr>
          <w:lang w:val="en-GB"/>
        </w:rPr>
        <w:t>of</w:t>
      </w:r>
      <w:r w:rsidRPr="00FA2D9A">
        <w:rPr>
          <w:lang w:val="en-GB"/>
        </w:rPr>
        <w:t xml:space="preserve"> 2020 before returning to some extent to</w:t>
      </w:r>
      <w:r w:rsidR="001F50C2">
        <w:rPr>
          <w:lang w:val="en-GB"/>
        </w:rPr>
        <w:t xml:space="preserve"> </w:t>
      </w:r>
      <w:r w:rsidRPr="00FA2D9A">
        <w:rPr>
          <w:lang w:val="en-GB"/>
        </w:rPr>
        <w:t>28.9% in 2024. This volatility reveals the pressure of pricing an</w:t>
      </w:r>
      <w:r w:rsidR="00DA2E39" w:rsidRPr="00FA2D9A">
        <w:rPr>
          <w:lang w:val="en-GB"/>
        </w:rPr>
        <w:t xml:space="preserve">d </w:t>
      </w:r>
      <w:r w:rsidRPr="00FA2D9A">
        <w:rPr>
          <w:lang w:val="en-GB"/>
        </w:rPr>
        <w:t>the low flexibility of the cost of sales in spite of declining revenues. Failure to stabilise gross margin in a shrinking market reflects loss of competitive placement, which is traditionally linked to an increase in distress risk (Maiyo, Cheboi and Limo, 2025).</w:t>
      </w:r>
    </w:p>
    <w:p w14:paraId="5B9B65F4" w14:textId="77777777" w:rsidR="0062550F" w:rsidRPr="00FA2D9A" w:rsidRDefault="001465C6" w:rsidP="0043349F">
      <w:pPr>
        <w:pStyle w:val="Heading3"/>
        <w:rPr>
          <w:lang w:val="en-GB"/>
        </w:rPr>
      </w:pPr>
      <w:bookmarkStart w:id="16" w:name="_d03vghteqh62" w:colFirst="0" w:colLast="0"/>
      <w:bookmarkStart w:id="17" w:name="_Toc217298008"/>
      <w:bookmarkEnd w:id="16"/>
      <w:r w:rsidRPr="00FA2D9A">
        <w:rPr>
          <w:lang w:val="en-GB"/>
        </w:rPr>
        <w:t>2.2.2 Operating Margin</w:t>
      </w:r>
      <w:bookmarkEnd w:id="17"/>
    </w:p>
    <w:p w14:paraId="73A326CA" w14:textId="281A2219" w:rsidR="0062550F" w:rsidRPr="00FA2D9A" w:rsidRDefault="001F50C2" w:rsidP="0043349F">
      <w:pPr>
        <w:jc w:val="center"/>
        <w:rPr>
          <w:lang w:val="en-GB"/>
        </w:rPr>
      </w:pPr>
      <w:r>
        <w:rPr>
          <w:noProof/>
        </w:rPr>
        <w:drawing>
          <wp:inline distT="0" distB="0" distL="0" distR="0" wp14:anchorId="0D9AF40C" wp14:editId="51D508C6">
            <wp:extent cx="4995863" cy="3095625"/>
            <wp:effectExtent l="0" t="0" r="14605" b="9525"/>
            <wp:docPr id="1196346159" name="Chart 1">
              <a:extLst xmlns:a="http://schemas.openxmlformats.org/drawingml/2006/main">
                <a:ext uri="{FF2B5EF4-FFF2-40B4-BE49-F238E27FC236}">
                  <a16:creationId xmlns:a16="http://schemas.microsoft.com/office/drawing/2014/main" id="{742B309F-5C61-5A4C-A90D-B21349713F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5141BD4" w14:textId="1A080D32" w:rsidR="0062550F" w:rsidRPr="00FA2D9A" w:rsidRDefault="001465C6" w:rsidP="0043349F">
      <w:pPr>
        <w:jc w:val="center"/>
        <w:rPr>
          <w:b/>
          <w:bCs/>
          <w:lang w:val="en-GB"/>
        </w:rPr>
      </w:pPr>
      <w:r w:rsidRPr="00FA2D9A">
        <w:rPr>
          <w:b/>
          <w:bCs/>
          <w:lang w:val="en-GB"/>
        </w:rPr>
        <w:lastRenderedPageBreak/>
        <w:t xml:space="preserve">Figure 2: Operating Margin </w:t>
      </w:r>
    </w:p>
    <w:p w14:paraId="7F7C6502" w14:textId="2728B06A" w:rsidR="0062550F" w:rsidRPr="00FA2D9A" w:rsidRDefault="001465C6" w:rsidP="0043349F">
      <w:pPr>
        <w:jc w:val="center"/>
        <w:rPr>
          <w:lang w:val="en-GB"/>
        </w:rPr>
      </w:pPr>
      <w:r w:rsidRPr="00FA2D9A">
        <w:rPr>
          <w:lang w:val="en-GB"/>
        </w:rPr>
        <w:t xml:space="preserve">(Source: </w:t>
      </w:r>
      <w:r w:rsidR="0068040D">
        <w:rPr>
          <w:lang w:val="en-GB"/>
        </w:rPr>
        <w:t>Obtained</w:t>
      </w:r>
      <w:r w:rsidR="0068040D" w:rsidRPr="00FA2D9A">
        <w:rPr>
          <w:lang w:val="en-GB"/>
        </w:rPr>
        <w:t xml:space="preserve"> using excel</w:t>
      </w:r>
      <w:r w:rsidRPr="00FA2D9A">
        <w:rPr>
          <w:lang w:val="en-GB"/>
        </w:rPr>
        <w:t>)</w:t>
      </w:r>
    </w:p>
    <w:p w14:paraId="623C0B7D" w14:textId="2C90B11A" w:rsidR="0062550F" w:rsidRPr="00FA2D9A" w:rsidRDefault="001465C6" w:rsidP="0043349F">
      <w:pPr>
        <w:rPr>
          <w:lang w:val="en-GB"/>
        </w:rPr>
      </w:pPr>
      <w:r w:rsidRPr="00FA2D9A">
        <w:rPr>
          <w:lang w:val="en-GB"/>
        </w:rPr>
        <w:t>Its operating margin has gotten much worse in 2023, with a decrease of 6.1% in 2020 and a -20.3% in 2023, then slightly bettering to -3% in 2024. The factors that led to this collapse were operating expenses of 129,291 million, which were higher than gross profit in 2024. Nurcahyono et al. (2025) state</w:t>
      </w:r>
      <w:r w:rsidR="0068040D">
        <w:rPr>
          <w:lang w:val="en-GB"/>
        </w:rPr>
        <w:t>d</w:t>
      </w:r>
      <w:r w:rsidRPr="00FA2D9A">
        <w:rPr>
          <w:lang w:val="en-GB"/>
        </w:rPr>
        <w:t xml:space="preserve"> that persistent negative operating margins are symptomatic of governance and operational inefficiencies, which are significant predictors of financial distress.</w:t>
      </w:r>
    </w:p>
    <w:p w14:paraId="3491ADBA" w14:textId="77777777" w:rsidR="0062550F" w:rsidRPr="00FA2D9A" w:rsidRDefault="001465C6" w:rsidP="0043349F">
      <w:pPr>
        <w:pStyle w:val="Heading3"/>
        <w:rPr>
          <w:lang w:val="en-GB"/>
        </w:rPr>
      </w:pPr>
      <w:bookmarkStart w:id="18" w:name="_5a783uvcb2xs" w:colFirst="0" w:colLast="0"/>
      <w:bookmarkStart w:id="19" w:name="_Toc217298009"/>
      <w:bookmarkEnd w:id="18"/>
      <w:r w:rsidRPr="00FA2D9A">
        <w:rPr>
          <w:lang w:val="en-GB"/>
        </w:rPr>
        <w:t>2.2.3 Net Margin</w:t>
      </w:r>
      <w:bookmarkEnd w:id="19"/>
    </w:p>
    <w:p w14:paraId="53C280F3" w14:textId="1DC472C5" w:rsidR="0062550F" w:rsidRPr="00FA2D9A" w:rsidRDefault="001F50C2" w:rsidP="0043349F">
      <w:pPr>
        <w:jc w:val="center"/>
        <w:rPr>
          <w:lang w:val="en-GB"/>
        </w:rPr>
      </w:pPr>
      <w:r>
        <w:rPr>
          <w:noProof/>
        </w:rPr>
        <w:drawing>
          <wp:inline distT="0" distB="0" distL="0" distR="0" wp14:anchorId="1473AC7C" wp14:editId="65CDF5B4">
            <wp:extent cx="5157788" cy="3209925"/>
            <wp:effectExtent l="0" t="0" r="5080" b="9525"/>
            <wp:docPr id="1228404195" name="Chart 1">
              <a:extLst xmlns:a="http://schemas.openxmlformats.org/drawingml/2006/main">
                <a:ext uri="{FF2B5EF4-FFF2-40B4-BE49-F238E27FC236}">
                  <a16:creationId xmlns:a16="http://schemas.microsoft.com/office/drawing/2014/main" id="{D99D2362-9FB7-274B-B1CA-455A61D7FF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7D9D5F2" w14:textId="5DE490BD" w:rsidR="0062550F" w:rsidRPr="00FA2D9A" w:rsidRDefault="001465C6" w:rsidP="0043349F">
      <w:pPr>
        <w:jc w:val="center"/>
        <w:rPr>
          <w:b/>
          <w:bCs/>
          <w:lang w:val="en-GB"/>
        </w:rPr>
      </w:pPr>
      <w:r w:rsidRPr="00FA2D9A">
        <w:rPr>
          <w:b/>
          <w:bCs/>
          <w:lang w:val="en-GB"/>
        </w:rPr>
        <w:t xml:space="preserve">Figure 3: Net Margin </w:t>
      </w:r>
    </w:p>
    <w:p w14:paraId="2AF1A5CB" w14:textId="47936EF2" w:rsidR="0062550F" w:rsidRPr="00FA2D9A" w:rsidRDefault="001465C6" w:rsidP="0043349F">
      <w:pPr>
        <w:jc w:val="center"/>
        <w:rPr>
          <w:lang w:val="en-GB"/>
        </w:rPr>
      </w:pPr>
      <w:r w:rsidRPr="00FA2D9A">
        <w:rPr>
          <w:lang w:val="en-GB"/>
        </w:rPr>
        <w:t xml:space="preserve">(Source: </w:t>
      </w:r>
      <w:r w:rsidR="0068040D">
        <w:rPr>
          <w:lang w:val="en-GB"/>
        </w:rPr>
        <w:t>Obtained</w:t>
      </w:r>
      <w:r w:rsidR="0068040D" w:rsidRPr="00FA2D9A">
        <w:rPr>
          <w:lang w:val="en-GB"/>
        </w:rPr>
        <w:t xml:space="preserve"> using excel</w:t>
      </w:r>
      <w:r w:rsidRPr="00FA2D9A">
        <w:rPr>
          <w:lang w:val="en-GB"/>
        </w:rPr>
        <w:t>)</w:t>
      </w:r>
    </w:p>
    <w:p w14:paraId="13722069" w14:textId="7A87A5AE" w:rsidR="0062550F" w:rsidRPr="00FA2D9A" w:rsidRDefault="001465C6" w:rsidP="0043349F">
      <w:pPr>
        <w:rPr>
          <w:lang w:val="en-GB"/>
        </w:rPr>
      </w:pPr>
      <w:r w:rsidRPr="00FA2D9A">
        <w:rPr>
          <w:lang w:val="en-GB"/>
        </w:rPr>
        <w:t>The net margin was also developing similarly, as it got down to -23.4% in 2023 and continued to be in the negative position of -6.1% in 2024</w:t>
      </w:r>
      <w:r w:rsidR="00142A59">
        <w:rPr>
          <w:lang w:val="en-GB"/>
        </w:rPr>
        <w:t>, which was 0.063 in 2020</w:t>
      </w:r>
      <w:r w:rsidRPr="00FA2D9A">
        <w:rPr>
          <w:lang w:val="en-GB"/>
        </w:rPr>
        <w:t xml:space="preserve">. Interest costs of </w:t>
      </w:r>
      <w:r w:rsidR="00142A59" w:rsidRPr="00AC3C58">
        <w:rPr>
          <w:lang w:val="en-GB"/>
        </w:rPr>
        <w:t>£</w:t>
      </w:r>
      <w:r w:rsidRPr="00FA2D9A">
        <w:rPr>
          <w:lang w:val="en-GB"/>
        </w:rPr>
        <w:t>3361</w:t>
      </w:r>
      <w:r w:rsidR="00142A59">
        <w:rPr>
          <w:lang w:val="en-GB"/>
        </w:rPr>
        <w:t xml:space="preserve"> </w:t>
      </w:r>
      <w:r w:rsidRPr="00FA2D9A">
        <w:rPr>
          <w:lang w:val="en-GB"/>
        </w:rPr>
        <w:t>million and recurring exceptional charges added to the losses. These repeated net losses are negatively affecting retained earnings and limiting reinvestment capacity, which strengthens the process of distress (Mehmood and De Luco, 2025).</w:t>
      </w:r>
    </w:p>
    <w:p w14:paraId="1C521072" w14:textId="77777777" w:rsidR="0062550F" w:rsidRPr="00FA2D9A" w:rsidRDefault="001465C6" w:rsidP="0043349F">
      <w:pPr>
        <w:pStyle w:val="Heading2"/>
        <w:rPr>
          <w:lang w:val="en-GB"/>
        </w:rPr>
      </w:pPr>
      <w:bookmarkStart w:id="20" w:name="_fgyr3eahppi0" w:colFirst="0" w:colLast="0"/>
      <w:bookmarkStart w:id="21" w:name="_Toc217298010"/>
      <w:bookmarkEnd w:id="20"/>
      <w:r w:rsidRPr="00FA2D9A">
        <w:rPr>
          <w:lang w:val="en-GB"/>
        </w:rPr>
        <w:lastRenderedPageBreak/>
        <w:t>2.3 Liquidity Ratio Analysis</w:t>
      </w:r>
      <w:bookmarkEnd w:id="21"/>
    </w:p>
    <w:p w14:paraId="2772C083" w14:textId="0AC2D707" w:rsidR="0062550F" w:rsidRDefault="001465C6" w:rsidP="001F50C2">
      <w:pPr>
        <w:pStyle w:val="Heading3"/>
        <w:rPr>
          <w:lang w:val="en-GB"/>
        </w:rPr>
      </w:pPr>
      <w:bookmarkStart w:id="22" w:name="_1tdd48j3sqmp" w:colFirst="0" w:colLast="0"/>
      <w:bookmarkStart w:id="23" w:name="_Toc217298011"/>
      <w:bookmarkEnd w:id="22"/>
      <w:r w:rsidRPr="00FA2D9A">
        <w:rPr>
          <w:lang w:val="en-GB"/>
        </w:rPr>
        <w:t>2.3.1 Current Ratio</w:t>
      </w:r>
      <w:bookmarkEnd w:id="23"/>
    </w:p>
    <w:p w14:paraId="2A16A5DD" w14:textId="6426FAA5" w:rsidR="001F50C2" w:rsidRPr="00FA2D9A" w:rsidRDefault="001F50C2" w:rsidP="0043349F">
      <w:pPr>
        <w:jc w:val="center"/>
        <w:rPr>
          <w:lang w:val="en-GB"/>
        </w:rPr>
      </w:pPr>
      <w:r>
        <w:rPr>
          <w:noProof/>
        </w:rPr>
        <w:drawing>
          <wp:inline distT="0" distB="0" distL="0" distR="0" wp14:anchorId="466A6AE0" wp14:editId="7067B8B6">
            <wp:extent cx="5381625" cy="3276600"/>
            <wp:effectExtent l="0" t="0" r="9525" b="0"/>
            <wp:docPr id="151857445" name="Chart 1">
              <a:extLst xmlns:a="http://schemas.openxmlformats.org/drawingml/2006/main">
                <a:ext uri="{FF2B5EF4-FFF2-40B4-BE49-F238E27FC236}">
                  <a16:creationId xmlns:a16="http://schemas.microsoft.com/office/drawing/2014/main" id="{5BA487D0-0EC3-1D48-8F51-05912667F7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85033EF" w14:textId="7F1E6F4D" w:rsidR="0062550F" w:rsidRPr="00FA2D9A" w:rsidRDefault="001465C6" w:rsidP="0043349F">
      <w:pPr>
        <w:jc w:val="center"/>
        <w:rPr>
          <w:b/>
          <w:bCs/>
          <w:lang w:val="en-GB"/>
        </w:rPr>
      </w:pPr>
      <w:r w:rsidRPr="00FA2D9A">
        <w:rPr>
          <w:b/>
          <w:bCs/>
          <w:lang w:val="en-GB"/>
        </w:rPr>
        <w:t xml:space="preserve">Figure 4: Current Ratio </w:t>
      </w:r>
    </w:p>
    <w:p w14:paraId="37E54991" w14:textId="6C243BA6" w:rsidR="0062550F" w:rsidRPr="00FA2D9A" w:rsidRDefault="001465C6" w:rsidP="0043349F">
      <w:pPr>
        <w:jc w:val="center"/>
        <w:rPr>
          <w:b/>
          <w:bCs/>
          <w:lang w:val="en-GB"/>
        </w:rPr>
      </w:pPr>
      <w:r w:rsidRPr="00FA2D9A">
        <w:rPr>
          <w:lang w:val="en-GB"/>
        </w:rPr>
        <w:t xml:space="preserve">(Source: </w:t>
      </w:r>
      <w:r w:rsidR="0068040D">
        <w:rPr>
          <w:lang w:val="en-GB"/>
        </w:rPr>
        <w:t>Obtained</w:t>
      </w:r>
      <w:r w:rsidR="0068040D" w:rsidRPr="00FA2D9A">
        <w:rPr>
          <w:lang w:val="en-GB"/>
        </w:rPr>
        <w:t xml:space="preserve"> using excel</w:t>
      </w:r>
      <w:r w:rsidRPr="00FA2D9A">
        <w:rPr>
          <w:lang w:val="en-GB"/>
        </w:rPr>
        <w:t>)</w:t>
      </w:r>
    </w:p>
    <w:p w14:paraId="72440F52" w14:textId="089CB6D3" w:rsidR="0062550F" w:rsidRPr="00FA2D9A" w:rsidRDefault="005D3173" w:rsidP="0043349F">
      <w:pPr>
        <w:rPr>
          <w:lang w:val="en-GB"/>
        </w:rPr>
      </w:pPr>
      <w:r>
        <w:rPr>
          <w:lang w:val="en-GB"/>
        </w:rPr>
        <w:t xml:space="preserve">Figure 4 has shown current ratio of 1.821 in 2020, followed by strict drop to 1.55 in 2021. </w:t>
      </w:r>
      <w:r w:rsidR="008E7A0B">
        <w:rPr>
          <w:lang w:val="en-GB"/>
        </w:rPr>
        <w:t>I</w:t>
      </w:r>
      <w:r w:rsidR="001465C6" w:rsidRPr="00FA2D9A">
        <w:rPr>
          <w:lang w:val="en-GB"/>
        </w:rPr>
        <w:t>n 2024, the current ratio was</w:t>
      </w:r>
      <w:r w:rsidR="008E7A0B">
        <w:rPr>
          <w:lang w:val="en-GB"/>
        </w:rPr>
        <w:t xml:space="preserve"> specifically</w:t>
      </w:r>
      <w:r w:rsidR="001465C6" w:rsidRPr="00FA2D9A">
        <w:rPr>
          <w:lang w:val="en-GB"/>
        </w:rPr>
        <w:t xml:space="preserve"> at 1.53</w:t>
      </w:r>
      <w:r w:rsidR="00C805B5">
        <w:rPr>
          <w:lang w:val="en-GB"/>
        </w:rPr>
        <w:t>, which is</w:t>
      </w:r>
      <w:r w:rsidR="001465C6" w:rsidRPr="00FA2D9A">
        <w:rPr>
          <w:lang w:val="en-GB"/>
        </w:rPr>
        <w:t xml:space="preserve"> based on current assets of £242,494 million and current liabilities of </w:t>
      </w:r>
      <w:r w:rsidRPr="00AC3C58">
        <w:rPr>
          <w:lang w:val="en-GB"/>
        </w:rPr>
        <w:t>£</w:t>
      </w:r>
      <w:r w:rsidR="001465C6" w:rsidRPr="00FA2D9A">
        <w:rPr>
          <w:lang w:val="en-GB"/>
        </w:rPr>
        <w:t>158,291 million. Although this indicates nominal short-term solvency, the ratio is lower than the historic figures. According to Nuryasin (2025), the headline liquidity ratios can be very misleading in showing the resilience of assets of poor quality.</w:t>
      </w:r>
    </w:p>
    <w:p w14:paraId="5C36C888" w14:textId="56B4D6D7" w:rsidR="0062550F" w:rsidRDefault="001465C6" w:rsidP="001C3E28">
      <w:pPr>
        <w:pStyle w:val="Heading3"/>
        <w:rPr>
          <w:lang w:val="en-GB"/>
        </w:rPr>
      </w:pPr>
      <w:bookmarkStart w:id="24" w:name="_n5xbgg6fsdkl" w:colFirst="0" w:colLast="0"/>
      <w:bookmarkStart w:id="25" w:name="_Toc217298012"/>
      <w:bookmarkEnd w:id="24"/>
      <w:r w:rsidRPr="00FA2D9A">
        <w:rPr>
          <w:lang w:val="en-GB"/>
        </w:rPr>
        <w:t>2.3.2 Quick Ratio</w:t>
      </w:r>
      <w:bookmarkEnd w:id="25"/>
    </w:p>
    <w:p w14:paraId="56EA93E1" w14:textId="4D15D010" w:rsidR="001C3E28" w:rsidRPr="00FA2D9A" w:rsidRDefault="001C3E28" w:rsidP="0043349F">
      <w:pPr>
        <w:jc w:val="center"/>
        <w:rPr>
          <w:lang w:val="en-GB"/>
        </w:rPr>
      </w:pPr>
      <w:r>
        <w:rPr>
          <w:noProof/>
        </w:rPr>
        <w:drawing>
          <wp:inline distT="0" distB="0" distL="0" distR="0" wp14:anchorId="58DBD5DF" wp14:editId="2BC88D50">
            <wp:extent cx="4871720" cy="2590800"/>
            <wp:effectExtent l="0" t="0" r="5080" b="0"/>
            <wp:docPr id="207695057" name="Chart 1">
              <a:extLst xmlns:a="http://schemas.openxmlformats.org/drawingml/2006/main">
                <a:ext uri="{FF2B5EF4-FFF2-40B4-BE49-F238E27FC236}">
                  <a16:creationId xmlns:a16="http://schemas.microsoft.com/office/drawing/2014/main" id="{B0FBEFF1-03A3-3140-985C-474609800E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B7FF58" w14:textId="17AAC5AD" w:rsidR="0062550F" w:rsidRPr="00FA2D9A" w:rsidRDefault="001465C6" w:rsidP="0043349F">
      <w:pPr>
        <w:jc w:val="center"/>
        <w:rPr>
          <w:b/>
          <w:bCs/>
          <w:lang w:val="en-GB"/>
        </w:rPr>
      </w:pPr>
      <w:r w:rsidRPr="00FA2D9A">
        <w:rPr>
          <w:b/>
          <w:bCs/>
          <w:lang w:val="en-GB"/>
        </w:rPr>
        <w:lastRenderedPageBreak/>
        <w:t xml:space="preserve">Figure 5: Quick Ratio </w:t>
      </w:r>
    </w:p>
    <w:p w14:paraId="79CBA90F" w14:textId="4418807E" w:rsidR="0062550F" w:rsidRPr="00FA2D9A" w:rsidRDefault="001465C6" w:rsidP="0043349F">
      <w:pPr>
        <w:jc w:val="center"/>
        <w:rPr>
          <w:lang w:val="en-GB"/>
        </w:rPr>
      </w:pPr>
      <w:r w:rsidRPr="00FA2D9A">
        <w:rPr>
          <w:lang w:val="en-GB"/>
        </w:rPr>
        <w:t xml:space="preserve">(Source: </w:t>
      </w:r>
      <w:r w:rsidR="0068040D">
        <w:rPr>
          <w:lang w:val="en-GB"/>
        </w:rPr>
        <w:t>Obtained</w:t>
      </w:r>
      <w:r w:rsidR="0068040D" w:rsidRPr="00FA2D9A">
        <w:rPr>
          <w:lang w:val="en-GB"/>
        </w:rPr>
        <w:t xml:space="preserve"> using excel</w:t>
      </w:r>
      <w:r w:rsidRPr="00FA2D9A">
        <w:rPr>
          <w:lang w:val="en-GB"/>
        </w:rPr>
        <w:t>)</w:t>
      </w:r>
    </w:p>
    <w:p w14:paraId="15219957" w14:textId="67BDCBAF" w:rsidR="0062550F" w:rsidRDefault="001465C6" w:rsidP="0043349F">
      <w:pPr>
        <w:rPr>
          <w:lang w:val="en-GB"/>
        </w:rPr>
      </w:pPr>
      <w:r w:rsidRPr="00FA2D9A">
        <w:rPr>
          <w:lang w:val="en-GB"/>
        </w:rPr>
        <w:t xml:space="preserve">The quick ratio </w:t>
      </w:r>
      <w:r w:rsidR="0000020D">
        <w:rPr>
          <w:lang w:val="en-GB"/>
        </w:rPr>
        <w:t>(1.03) of 2024</w:t>
      </w:r>
      <w:r w:rsidR="00582B05">
        <w:rPr>
          <w:lang w:val="en-GB"/>
        </w:rPr>
        <w:t>,</w:t>
      </w:r>
      <w:r w:rsidR="0000020D">
        <w:rPr>
          <w:lang w:val="en-GB"/>
        </w:rPr>
        <w:t xml:space="preserve"> </w:t>
      </w:r>
      <w:r w:rsidRPr="00FA2D9A">
        <w:rPr>
          <w:lang w:val="en-GB"/>
        </w:rPr>
        <w:t xml:space="preserve">with exclusive inventories of </w:t>
      </w:r>
      <w:r w:rsidR="00582B05" w:rsidRPr="00AC3C58">
        <w:rPr>
          <w:lang w:val="en-GB"/>
        </w:rPr>
        <w:t>£</w:t>
      </w:r>
      <w:r w:rsidRPr="00FA2D9A">
        <w:rPr>
          <w:lang w:val="en-GB"/>
        </w:rPr>
        <w:t>79,355 million</w:t>
      </w:r>
      <w:r w:rsidR="00582B05">
        <w:rPr>
          <w:lang w:val="en-GB"/>
        </w:rPr>
        <w:t>,</w:t>
      </w:r>
      <w:r w:rsidRPr="00FA2D9A">
        <w:rPr>
          <w:lang w:val="en-GB"/>
        </w:rPr>
        <w:t xml:space="preserve"> </w:t>
      </w:r>
      <w:r w:rsidR="0000020D">
        <w:rPr>
          <w:lang w:val="en-GB"/>
        </w:rPr>
        <w:t>is</w:t>
      </w:r>
      <w:r w:rsidRPr="00FA2D9A">
        <w:rPr>
          <w:lang w:val="en-GB"/>
        </w:rPr>
        <w:t xml:space="preserve"> much lower </w:t>
      </w:r>
      <w:r w:rsidR="00C3583B">
        <w:rPr>
          <w:lang w:val="en-GB"/>
        </w:rPr>
        <w:t>when compared to 1.150 of 2020</w:t>
      </w:r>
      <w:r w:rsidRPr="00FA2D9A">
        <w:rPr>
          <w:lang w:val="en-GB"/>
        </w:rPr>
        <w:t>. This shows that receivables and cash have a great influence on providing instant liquidity. This dependence subjects the firm to the risk of being refinanced when there is a decline in revenues, which is a typical trait of firms that have fallen into a state of financial distress (Qi, 2025).</w:t>
      </w:r>
    </w:p>
    <w:p w14:paraId="74BEEF9D" w14:textId="77777777" w:rsidR="0068040D" w:rsidRPr="00FA2D9A" w:rsidRDefault="0068040D" w:rsidP="0043349F">
      <w:pPr>
        <w:rPr>
          <w:lang w:val="en-GB"/>
        </w:rPr>
      </w:pPr>
    </w:p>
    <w:p w14:paraId="45045FDE" w14:textId="77777777" w:rsidR="0062550F" w:rsidRPr="00FA2D9A" w:rsidRDefault="001465C6" w:rsidP="0043349F">
      <w:pPr>
        <w:pStyle w:val="Heading2"/>
        <w:rPr>
          <w:lang w:val="en-GB"/>
        </w:rPr>
      </w:pPr>
      <w:bookmarkStart w:id="26" w:name="_cjtfkslgzpmn" w:colFirst="0" w:colLast="0"/>
      <w:bookmarkStart w:id="27" w:name="_Toc217298013"/>
      <w:bookmarkEnd w:id="26"/>
      <w:r w:rsidRPr="00FA2D9A">
        <w:rPr>
          <w:lang w:val="en-GB"/>
        </w:rPr>
        <w:t>2.4 Efficiency (Working Capital) Ratio Analysis</w:t>
      </w:r>
      <w:bookmarkEnd w:id="27"/>
    </w:p>
    <w:p w14:paraId="53DEA981" w14:textId="77777777" w:rsidR="0062550F" w:rsidRPr="00FA2D9A" w:rsidRDefault="001465C6" w:rsidP="0043349F">
      <w:pPr>
        <w:pStyle w:val="Heading3"/>
        <w:rPr>
          <w:lang w:val="en-GB"/>
        </w:rPr>
      </w:pPr>
      <w:bookmarkStart w:id="28" w:name="_utndx0woqlrj" w:colFirst="0" w:colLast="0"/>
      <w:bookmarkStart w:id="29" w:name="_Toc217298014"/>
      <w:bookmarkEnd w:id="28"/>
      <w:r w:rsidRPr="00FA2D9A">
        <w:rPr>
          <w:lang w:val="en-GB"/>
        </w:rPr>
        <w:t>2.4.1 Inventory Days</w:t>
      </w:r>
      <w:bookmarkEnd w:id="29"/>
    </w:p>
    <w:p w14:paraId="20199C3F" w14:textId="07B1FA0A" w:rsidR="0062550F" w:rsidRPr="00FA2D9A" w:rsidRDefault="00721C1C" w:rsidP="0043349F">
      <w:pPr>
        <w:jc w:val="center"/>
        <w:rPr>
          <w:lang w:val="en-GB"/>
        </w:rPr>
      </w:pPr>
      <w:r>
        <w:rPr>
          <w:noProof/>
        </w:rPr>
        <w:drawing>
          <wp:inline distT="0" distB="0" distL="0" distR="0" wp14:anchorId="51D2172A" wp14:editId="74A1A123">
            <wp:extent cx="5291138" cy="3119438"/>
            <wp:effectExtent l="0" t="0" r="5080" b="5080"/>
            <wp:docPr id="1282670889" name="Chart 1">
              <a:extLst xmlns:a="http://schemas.openxmlformats.org/drawingml/2006/main">
                <a:ext uri="{FF2B5EF4-FFF2-40B4-BE49-F238E27FC236}">
                  <a16:creationId xmlns:a16="http://schemas.microsoft.com/office/drawing/2014/main" id="{8F4D88BD-08B6-0F4D-83BE-8A297B2063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18BE353" w14:textId="77AF9F11" w:rsidR="0062550F" w:rsidRPr="00FA2D9A" w:rsidRDefault="001465C6" w:rsidP="0043349F">
      <w:pPr>
        <w:jc w:val="center"/>
        <w:rPr>
          <w:b/>
          <w:bCs/>
          <w:lang w:val="en-GB"/>
        </w:rPr>
      </w:pPr>
      <w:r w:rsidRPr="00FA2D9A">
        <w:rPr>
          <w:b/>
          <w:bCs/>
          <w:lang w:val="en-GB"/>
        </w:rPr>
        <w:t xml:space="preserve">Figure 6: Inventory Days </w:t>
      </w:r>
    </w:p>
    <w:p w14:paraId="3E9C90BD" w14:textId="6D471FAD" w:rsidR="0062550F" w:rsidRPr="00FA2D9A" w:rsidRDefault="001465C6" w:rsidP="0043349F">
      <w:pPr>
        <w:jc w:val="center"/>
        <w:rPr>
          <w:lang w:val="en-GB"/>
        </w:rPr>
      </w:pPr>
      <w:r w:rsidRPr="00FA2D9A">
        <w:rPr>
          <w:lang w:val="en-GB"/>
        </w:rPr>
        <w:t xml:space="preserve">(Source: </w:t>
      </w:r>
      <w:r w:rsidR="0068040D">
        <w:rPr>
          <w:lang w:val="en-GB"/>
        </w:rPr>
        <w:t>Obtained</w:t>
      </w:r>
      <w:r w:rsidR="0068040D" w:rsidRPr="00FA2D9A">
        <w:rPr>
          <w:lang w:val="en-GB"/>
        </w:rPr>
        <w:t xml:space="preserve"> using excel</w:t>
      </w:r>
      <w:r w:rsidRPr="00FA2D9A">
        <w:rPr>
          <w:lang w:val="en-GB"/>
        </w:rPr>
        <w:t>)</w:t>
      </w:r>
    </w:p>
    <w:p w14:paraId="1769753C" w14:textId="3B0983CB" w:rsidR="0062550F" w:rsidRPr="00FA2D9A" w:rsidRDefault="001465C6" w:rsidP="0043349F">
      <w:pPr>
        <w:rPr>
          <w:lang w:val="en-GB"/>
        </w:rPr>
      </w:pPr>
      <w:r w:rsidRPr="00FA2D9A">
        <w:rPr>
          <w:lang w:val="en-GB"/>
        </w:rPr>
        <w:t xml:space="preserve">Days' inventory was </w:t>
      </w:r>
      <w:r w:rsidR="0035286F">
        <w:rPr>
          <w:lang w:val="en-GB"/>
        </w:rPr>
        <w:t xml:space="preserve">71.5 in 2020, which </w:t>
      </w:r>
      <w:r w:rsidRPr="00FA2D9A">
        <w:rPr>
          <w:lang w:val="en-GB"/>
        </w:rPr>
        <w:t xml:space="preserve">high at about </w:t>
      </w:r>
      <w:r w:rsidR="00471FE1">
        <w:rPr>
          <w:lang w:val="en-GB"/>
        </w:rPr>
        <w:t>73</w:t>
      </w:r>
      <w:r w:rsidRPr="00FA2D9A">
        <w:rPr>
          <w:lang w:val="en-GB"/>
        </w:rPr>
        <w:t xml:space="preserve"> days in 2024</w:t>
      </w:r>
      <w:r w:rsidR="00471FE1">
        <w:rPr>
          <w:lang w:val="en-GB"/>
        </w:rPr>
        <w:t xml:space="preserve">. This </w:t>
      </w:r>
      <w:r w:rsidRPr="00FA2D9A">
        <w:rPr>
          <w:lang w:val="en-GB"/>
        </w:rPr>
        <w:t xml:space="preserve">was even though the levels of sales had fallen. The inventories were held at </w:t>
      </w:r>
      <w:bookmarkStart w:id="30" w:name="_Hlk217297532"/>
      <w:r w:rsidR="00AC3C58" w:rsidRPr="00AC3C58">
        <w:rPr>
          <w:lang w:val="en-GB"/>
        </w:rPr>
        <w:t>£</w:t>
      </w:r>
      <w:bookmarkEnd w:id="30"/>
      <w:r w:rsidRPr="00FA2D9A">
        <w:rPr>
          <w:lang w:val="en-GB"/>
        </w:rPr>
        <w:t>79,355 million against lower revenues, which would increase the risk of obsolescence in a low product life-cycle business. Liu et al. (2025) note</w:t>
      </w:r>
      <w:r w:rsidR="00783998">
        <w:rPr>
          <w:lang w:val="en-GB"/>
        </w:rPr>
        <w:t>d</w:t>
      </w:r>
      <w:r w:rsidRPr="00FA2D9A">
        <w:rPr>
          <w:lang w:val="en-GB"/>
        </w:rPr>
        <w:t xml:space="preserve"> that external shocks enhance financial vulnerability when operational inefficiencies are involved.</w:t>
      </w:r>
    </w:p>
    <w:p w14:paraId="3363ADFB" w14:textId="71BC2DE7" w:rsidR="0062550F" w:rsidRDefault="001465C6" w:rsidP="00AF5C56">
      <w:pPr>
        <w:pStyle w:val="Heading3"/>
        <w:rPr>
          <w:lang w:val="en-GB"/>
        </w:rPr>
      </w:pPr>
      <w:bookmarkStart w:id="31" w:name="_py1mngbuf6i9" w:colFirst="0" w:colLast="0"/>
      <w:bookmarkStart w:id="32" w:name="_Toc217298015"/>
      <w:bookmarkEnd w:id="31"/>
      <w:r w:rsidRPr="00FA2D9A">
        <w:rPr>
          <w:lang w:val="en-GB"/>
        </w:rPr>
        <w:lastRenderedPageBreak/>
        <w:t>2.4.2 Receivable Days</w:t>
      </w:r>
      <w:bookmarkEnd w:id="32"/>
    </w:p>
    <w:p w14:paraId="42031ADA" w14:textId="59DF829D" w:rsidR="00783998" w:rsidRPr="00FA2D9A" w:rsidRDefault="00783998" w:rsidP="0043349F">
      <w:pPr>
        <w:jc w:val="center"/>
        <w:rPr>
          <w:lang w:val="en-GB"/>
        </w:rPr>
      </w:pPr>
      <w:r>
        <w:rPr>
          <w:noProof/>
        </w:rPr>
        <w:drawing>
          <wp:inline distT="0" distB="0" distL="0" distR="0" wp14:anchorId="6EA29C25" wp14:editId="715551A4">
            <wp:extent cx="5191125" cy="3076575"/>
            <wp:effectExtent l="0" t="0" r="9525" b="9525"/>
            <wp:docPr id="305021580" name="Chart 1">
              <a:extLst xmlns:a="http://schemas.openxmlformats.org/drawingml/2006/main">
                <a:ext uri="{FF2B5EF4-FFF2-40B4-BE49-F238E27FC236}">
                  <a16:creationId xmlns:a16="http://schemas.microsoft.com/office/drawing/2014/main" id="{C07444F7-6334-AE4E-AA5A-33ECF88C63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216466F" w14:textId="5B39E13D" w:rsidR="0062550F" w:rsidRPr="00FA2D9A" w:rsidRDefault="001465C6" w:rsidP="0043349F">
      <w:pPr>
        <w:jc w:val="center"/>
        <w:rPr>
          <w:b/>
          <w:bCs/>
          <w:lang w:val="en-GB"/>
        </w:rPr>
      </w:pPr>
      <w:r w:rsidRPr="00FA2D9A">
        <w:rPr>
          <w:b/>
          <w:bCs/>
          <w:lang w:val="en-GB"/>
        </w:rPr>
        <w:t xml:space="preserve">Figure 7: Receivable Days </w:t>
      </w:r>
    </w:p>
    <w:p w14:paraId="7B98D867" w14:textId="5368B76D" w:rsidR="0062550F" w:rsidRPr="00FA2D9A" w:rsidRDefault="001465C6" w:rsidP="0043349F">
      <w:pPr>
        <w:jc w:val="center"/>
        <w:rPr>
          <w:lang w:val="en-GB"/>
        </w:rPr>
      </w:pPr>
      <w:r w:rsidRPr="00FA2D9A">
        <w:rPr>
          <w:lang w:val="en-GB"/>
        </w:rPr>
        <w:t xml:space="preserve">(Source: </w:t>
      </w:r>
      <w:r w:rsidR="0068040D">
        <w:rPr>
          <w:lang w:val="en-GB"/>
        </w:rPr>
        <w:t>Obtained</w:t>
      </w:r>
      <w:r w:rsidR="0068040D" w:rsidRPr="00FA2D9A">
        <w:rPr>
          <w:lang w:val="en-GB"/>
        </w:rPr>
        <w:t xml:space="preserve"> using excel</w:t>
      </w:r>
      <w:r w:rsidRPr="00FA2D9A">
        <w:rPr>
          <w:lang w:val="en-GB"/>
        </w:rPr>
        <w:t>)</w:t>
      </w:r>
    </w:p>
    <w:p w14:paraId="31B2DD95" w14:textId="5F716605" w:rsidR="0062550F" w:rsidRPr="00ED7B3F" w:rsidRDefault="001465C6" w:rsidP="0043349F">
      <w:r w:rsidRPr="00FA2D9A">
        <w:rPr>
          <w:lang w:val="en-GB"/>
        </w:rPr>
        <w:t xml:space="preserve">Accounts receivable of </w:t>
      </w:r>
      <w:r w:rsidR="00ED7B3F" w:rsidRPr="00AC3C58">
        <w:rPr>
          <w:lang w:val="en-GB"/>
        </w:rPr>
        <w:t>£</w:t>
      </w:r>
      <w:r w:rsidRPr="00FA2D9A">
        <w:rPr>
          <w:lang w:val="en-GB"/>
        </w:rPr>
        <w:t xml:space="preserve">114,182 million </w:t>
      </w:r>
      <w:r w:rsidR="00ED7B3F">
        <w:rPr>
          <w:lang w:val="en-GB"/>
        </w:rPr>
        <w:t xml:space="preserve">has </w:t>
      </w:r>
      <w:r w:rsidRPr="00FA2D9A">
        <w:rPr>
          <w:lang w:val="en-GB"/>
        </w:rPr>
        <w:t>created a 106-day receivable in 2024</w:t>
      </w:r>
      <w:r w:rsidR="00ED7B3F">
        <w:rPr>
          <w:lang w:val="en-GB"/>
        </w:rPr>
        <w:t>, which was lower as much as 77 days in 2020</w:t>
      </w:r>
      <w:r w:rsidRPr="00FA2D9A">
        <w:rPr>
          <w:lang w:val="en-GB"/>
        </w:rPr>
        <w:t>. This is the sign of easy credit conditions to maintain sales. Nevertheless, late collections dilute operating cash flows and increase credit risk, which is one of the liquidity stress indicators according to Sethi and Mahadik (2025).</w:t>
      </w:r>
    </w:p>
    <w:p w14:paraId="22153E3D" w14:textId="6A25689B" w:rsidR="0062550F" w:rsidRDefault="001465C6" w:rsidP="009E062A">
      <w:pPr>
        <w:pStyle w:val="Heading3"/>
        <w:rPr>
          <w:lang w:val="en-GB"/>
        </w:rPr>
      </w:pPr>
      <w:bookmarkStart w:id="33" w:name="_a7prr97z8ia9" w:colFirst="0" w:colLast="0"/>
      <w:bookmarkStart w:id="34" w:name="_Toc217298016"/>
      <w:bookmarkEnd w:id="33"/>
      <w:r w:rsidRPr="00FA2D9A">
        <w:rPr>
          <w:lang w:val="en-GB"/>
        </w:rPr>
        <w:t>2.4.3 Payable Days</w:t>
      </w:r>
      <w:bookmarkEnd w:id="34"/>
    </w:p>
    <w:p w14:paraId="459A4EF9" w14:textId="3572F6AF" w:rsidR="009E062A" w:rsidRPr="00FA2D9A" w:rsidRDefault="009E062A" w:rsidP="0043349F">
      <w:pPr>
        <w:jc w:val="center"/>
        <w:rPr>
          <w:lang w:val="en-GB"/>
        </w:rPr>
      </w:pPr>
      <w:r>
        <w:rPr>
          <w:noProof/>
        </w:rPr>
        <w:drawing>
          <wp:inline distT="0" distB="0" distL="0" distR="0" wp14:anchorId="166E746A" wp14:editId="173678CB">
            <wp:extent cx="4995863" cy="2971800"/>
            <wp:effectExtent l="0" t="0" r="14605" b="0"/>
            <wp:docPr id="2001553719" name="Chart 1">
              <a:extLst xmlns:a="http://schemas.openxmlformats.org/drawingml/2006/main">
                <a:ext uri="{FF2B5EF4-FFF2-40B4-BE49-F238E27FC236}">
                  <a16:creationId xmlns:a16="http://schemas.microsoft.com/office/drawing/2014/main" id="{880FFAFD-B89D-F349-AA22-2B3E815C65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401686D" w14:textId="1FC4CDDA" w:rsidR="0062550F" w:rsidRPr="00FA2D9A" w:rsidRDefault="001465C6" w:rsidP="0043349F">
      <w:pPr>
        <w:jc w:val="center"/>
        <w:rPr>
          <w:b/>
          <w:bCs/>
          <w:lang w:val="en-GB"/>
        </w:rPr>
      </w:pPr>
      <w:r w:rsidRPr="00FA2D9A">
        <w:rPr>
          <w:b/>
          <w:bCs/>
          <w:lang w:val="en-GB"/>
        </w:rPr>
        <w:t xml:space="preserve">Figure 8: Payable Days </w:t>
      </w:r>
    </w:p>
    <w:p w14:paraId="650FF543" w14:textId="62A76A0C" w:rsidR="0062550F" w:rsidRPr="00FA2D9A" w:rsidRDefault="001465C6" w:rsidP="0043349F">
      <w:pPr>
        <w:jc w:val="center"/>
        <w:rPr>
          <w:lang w:val="en-GB"/>
        </w:rPr>
      </w:pPr>
      <w:r w:rsidRPr="00FA2D9A">
        <w:rPr>
          <w:lang w:val="en-GB"/>
        </w:rPr>
        <w:lastRenderedPageBreak/>
        <w:t xml:space="preserve">(Source: </w:t>
      </w:r>
      <w:r w:rsidR="0068040D">
        <w:rPr>
          <w:lang w:val="en-GB"/>
        </w:rPr>
        <w:t>Obtained</w:t>
      </w:r>
      <w:r w:rsidR="0068040D" w:rsidRPr="00FA2D9A">
        <w:rPr>
          <w:lang w:val="en-GB"/>
        </w:rPr>
        <w:t xml:space="preserve"> using excel</w:t>
      </w:r>
      <w:r w:rsidRPr="00FA2D9A">
        <w:rPr>
          <w:lang w:val="en-GB"/>
        </w:rPr>
        <w:t>)</w:t>
      </w:r>
    </w:p>
    <w:p w14:paraId="3040F91C" w14:textId="2146219F" w:rsidR="0062550F" w:rsidRPr="00FA2D9A" w:rsidRDefault="001465C6" w:rsidP="0043349F">
      <w:pPr>
        <w:rPr>
          <w:lang w:val="en-GB"/>
        </w:rPr>
      </w:pPr>
      <w:r w:rsidRPr="00FA2D9A">
        <w:rPr>
          <w:lang w:val="en-GB"/>
        </w:rPr>
        <w:t xml:space="preserve">The payable days </w:t>
      </w:r>
      <w:r w:rsidR="009E062A">
        <w:rPr>
          <w:lang w:val="en-GB"/>
        </w:rPr>
        <w:t>increased</w:t>
      </w:r>
      <w:r w:rsidRPr="00FA2D9A">
        <w:rPr>
          <w:lang w:val="en-GB"/>
        </w:rPr>
        <w:t xml:space="preserve"> to about </w:t>
      </w:r>
      <w:r w:rsidR="009E062A">
        <w:rPr>
          <w:lang w:val="en-GB"/>
        </w:rPr>
        <w:t>66.58</w:t>
      </w:r>
      <w:r w:rsidRPr="00FA2D9A">
        <w:rPr>
          <w:lang w:val="en-GB"/>
        </w:rPr>
        <w:t xml:space="preserve"> days in 2024, as compared to </w:t>
      </w:r>
      <w:r w:rsidR="009E062A">
        <w:rPr>
          <w:lang w:val="en-GB"/>
        </w:rPr>
        <w:t>49</w:t>
      </w:r>
      <w:r w:rsidRPr="00FA2D9A">
        <w:rPr>
          <w:lang w:val="en-GB"/>
        </w:rPr>
        <w:t xml:space="preserve"> days </w:t>
      </w:r>
      <w:r w:rsidR="009E062A">
        <w:rPr>
          <w:lang w:val="en-GB"/>
        </w:rPr>
        <w:t>in 2020</w:t>
      </w:r>
      <w:r w:rsidRPr="00FA2D9A">
        <w:rPr>
          <w:lang w:val="en-GB"/>
        </w:rPr>
        <w:t>. Accounts payable decreased to £72,031 million, which restricted the capability of the firm to counteract liquidity pressure by financing its suppliers. According to Dumitrescu et al. (2025), limited payables flexibility usually indicates that the bargaining power is lower when there is distress.</w:t>
      </w:r>
    </w:p>
    <w:p w14:paraId="47A184FB" w14:textId="77777777" w:rsidR="0062550F" w:rsidRPr="00FA2D9A" w:rsidRDefault="001465C6" w:rsidP="0043349F">
      <w:pPr>
        <w:pStyle w:val="Heading2"/>
        <w:rPr>
          <w:lang w:val="en-GB"/>
        </w:rPr>
      </w:pPr>
      <w:bookmarkStart w:id="35" w:name="_rgxv1gmyjxu5" w:colFirst="0" w:colLast="0"/>
      <w:bookmarkStart w:id="36" w:name="_Toc217298017"/>
      <w:bookmarkEnd w:id="35"/>
      <w:r w:rsidRPr="00FA2D9A">
        <w:rPr>
          <w:lang w:val="en-GB"/>
        </w:rPr>
        <w:t>2.5 Return Ratio Analysis</w:t>
      </w:r>
      <w:bookmarkEnd w:id="36"/>
    </w:p>
    <w:p w14:paraId="1A777AE9" w14:textId="77777777" w:rsidR="0062550F" w:rsidRPr="00FA2D9A" w:rsidRDefault="001465C6" w:rsidP="0043349F">
      <w:pPr>
        <w:pStyle w:val="Heading3"/>
        <w:rPr>
          <w:lang w:val="en-GB"/>
        </w:rPr>
      </w:pPr>
      <w:bookmarkStart w:id="37" w:name="_kxtdhgw700sb" w:colFirst="0" w:colLast="0"/>
      <w:bookmarkStart w:id="38" w:name="_Toc217298018"/>
      <w:bookmarkEnd w:id="37"/>
      <w:r w:rsidRPr="00FA2D9A">
        <w:rPr>
          <w:lang w:val="en-GB"/>
        </w:rPr>
        <w:t>2.5.1 Return on Assets (ROA)</w:t>
      </w:r>
      <w:bookmarkEnd w:id="38"/>
    </w:p>
    <w:p w14:paraId="74B2FB6E" w14:textId="5A322879" w:rsidR="0062550F" w:rsidRPr="00FA2D9A" w:rsidRDefault="00D06EE8" w:rsidP="0043349F">
      <w:pPr>
        <w:jc w:val="center"/>
        <w:rPr>
          <w:lang w:val="en-GB"/>
        </w:rPr>
      </w:pPr>
      <w:r>
        <w:rPr>
          <w:noProof/>
        </w:rPr>
        <w:drawing>
          <wp:inline distT="0" distB="0" distL="0" distR="0" wp14:anchorId="5147848B" wp14:editId="7F7D0E81">
            <wp:extent cx="5267325" cy="3100388"/>
            <wp:effectExtent l="0" t="0" r="9525" b="5080"/>
            <wp:docPr id="218332615" name="Chart 1">
              <a:extLst xmlns:a="http://schemas.openxmlformats.org/drawingml/2006/main">
                <a:ext uri="{FF2B5EF4-FFF2-40B4-BE49-F238E27FC236}">
                  <a16:creationId xmlns:a16="http://schemas.microsoft.com/office/drawing/2014/main" id="{1B2170C8-75BC-9447-87D5-84F3D875F0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164B369" w14:textId="01796879" w:rsidR="0062550F" w:rsidRPr="00FA2D9A" w:rsidRDefault="001465C6" w:rsidP="0043349F">
      <w:pPr>
        <w:jc w:val="center"/>
        <w:rPr>
          <w:b/>
          <w:bCs/>
          <w:lang w:val="en-GB"/>
        </w:rPr>
      </w:pPr>
      <w:r w:rsidRPr="00FA2D9A">
        <w:rPr>
          <w:b/>
          <w:bCs/>
          <w:lang w:val="en-GB"/>
        </w:rPr>
        <w:t xml:space="preserve">Figure 9: ROA </w:t>
      </w:r>
    </w:p>
    <w:p w14:paraId="5F436DC7" w14:textId="7899B1A6" w:rsidR="0062550F" w:rsidRPr="00FA2D9A" w:rsidRDefault="001465C6" w:rsidP="0043349F">
      <w:pPr>
        <w:jc w:val="center"/>
        <w:rPr>
          <w:lang w:val="en-GB"/>
        </w:rPr>
      </w:pPr>
      <w:r w:rsidRPr="00FA2D9A">
        <w:rPr>
          <w:lang w:val="en-GB"/>
        </w:rPr>
        <w:t xml:space="preserve">(Source: </w:t>
      </w:r>
      <w:r w:rsidR="0068040D">
        <w:rPr>
          <w:lang w:val="en-GB"/>
        </w:rPr>
        <w:t>Obtained</w:t>
      </w:r>
      <w:r w:rsidR="0068040D" w:rsidRPr="00FA2D9A">
        <w:rPr>
          <w:lang w:val="en-GB"/>
        </w:rPr>
        <w:t xml:space="preserve"> using excel</w:t>
      </w:r>
      <w:r w:rsidRPr="00FA2D9A">
        <w:rPr>
          <w:lang w:val="en-GB"/>
        </w:rPr>
        <w:t>)</w:t>
      </w:r>
    </w:p>
    <w:p w14:paraId="38D752B2" w14:textId="4E3C7C4D" w:rsidR="0062550F" w:rsidRPr="00FA2D9A" w:rsidRDefault="00AC3C58" w:rsidP="0043349F">
      <w:pPr>
        <w:rPr>
          <w:lang w:val="en-GB"/>
        </w:rPr>
      </w:pPr>
      <w:r>
        <w:rPr>
          <w:lang w:val="en-GB"/>
        </w:rPr>
        <w:t>Figure 9 shows ROA of</w:t>
      </w:r>
      <w:r w:rsidR="001465C6" w:rsidRPr="00FA2D9A">
        <w:rPr>
          <w:lang w:val="en-GB"/>
        </w:rPr>
        <w:t xml:space="preserve"> 2020 </w:t>
      </w:r>
      <w:r>
        <w:rPr>
          <w:lang w:val="en-GB"/>
        </w:rPr>
        <w:t>to be</w:t>
      </w:r>
      <w:r w:rsidR="001465C6" w:rsidRPr="00FA2D9A">
        <w:rPr>
          <w:lang w:val="en-GB"/>
        </w:rPr>
        <w:t xml:space="preserve"> 7.6%</w:t>
      </w:r>
      <w:r>
        <w:rPr>
          <w:lang w:val="en-GB"/>
        </w:rPr>
        <w:t>, which</w:t>
      </w:r>
      <w:r w:rsidR="001465C6" w:rsidRPr="00FA2D9A">
        <w:rPr>
          <w:lang w:val="en-GB"/>
        </w:rPr>
        <w:t xml:space="preserve"> has fallen in 2024 to -7.4%</w:t>
      </w:r>
      <w:r w:rsidR="000038A5">
        <w:rPr>
          <w:lang w:val="en-GB"/>
        </w:rPr>
        <w:t xml:space="preserve">, </w:t>
      </w:r>
      <w:r w:rsidR="001465C6" w:rsidRPr="00FA2D9A">
        <w:rPr>
          <w:lang w:val="en-GB"/>
        </w:rPr>
        <w:t>reflect</w:t>
      </w:r>
      <w:r w:rsidR="000038A5">
        <w:rPr>
          <w:lang w:val="en-GB"/>
        </w:rPr>
        <w:t>ing</w:t>
      </w:r>
      <w:r w:rsidR="001465C6" w:rsidRPr="00FA2D9A">
        <w:rPr>
          <w:lang w:val="en-GB"/>
        </w:rPr>
        <w:t xml:space="preserve"> losses</w:t>
      </w:r>
      <w:r w:rsidR="000038A5">
        <w:rPr>
          <w:lang w:val="en-GB"/>
        </w:rPr>
        <w:t>. O</w:t>
      </w:r>
      <w:r w:rsidR="001465C6" w:rsidRPr="00FA2D9A">
        <w:rPr>
          <w:lang w:val="en-GB"/>
        </w:rPr>
        <w:t xml:space="preserve">n top of that, the asset base of the company of </w:t>
      </w:r>
      <w:r w:rsidR="00142A59" w:rsidRPr="00AC3C58">
        <w:rPr>
          <w:lang w:val="en-GB"/>
        </w:rPr>
        <w:t>£</w:t>
      </w:r>
      <w:r w:rsidR="001465C6" w:rsidRPr="00FA2D9A">
        <w:rPr>
          <w:lang w:val="en-GB"/>
        </w:rPr>
        <w:t>323,354 million is still large. This means decreased productivity of assets and low use of tangible and intangible assets. Mehmood and De Luco (2025) propose that weak ROA is a good indicator of the need to restructure.</w:t>
      </w:r>
    </w:p>
    <w:p w14:paraId="378C439E" w14:textId="77777777" w:rsidR="0062550F" w:rsidRPr="00FA2D9A" w:rsidRDefault="001465C6" w:rsidP="0043349F">
      <w:pPr>
        <w:pStyle w:val="Heading3"/>
        <w:rPr>
          <w:lang w:val="en-GB"/>
        </w:rPr>
      </w:pPr>
      <w:bookmarkStart w:id="39" w:name="_21ybkrx67dto" w:colFirst="0" w:colLast="0"/>
      <w:bookmarkStart w:id="40" w:name="_Toc217298019"/>
      <w:bookmarkEnd w:id="39"/>
      <w:r w:rsidRPr="00FA2D9A">
        <w:rPr>
          <w:lang w:val="en-GB"/>
        </w:rPr>
        <w:lastRenderedPageBreak/>
        <w:t>2.5.2 Return on Equity (ROE)</w:t>
      </w:r>
      <w:bookmarkEnd w:id="40"/>
    </w:p>
    <w:p w14:paraId="1B0ACCC8" w14:textId="6C20CAF8" w:rsidR="0062550F" w:rsidRPr="00FA2D9A" w:rsidRDefault="00BA508E" w:rsidP="0043349F">
      <w:pPr>
        <w:jc w:val="center"/>
        <w:rPr>
          <w:lang w:val="en-GB"/>
        </w:rPr>
      </w:pPr>
      <w:r>
        <w:rPr>
          <w:noProof/>
        </w:rPr>
        <w:drawing>
          <wp:inline distT="0" distB="0" distL="0" distR="0" wp14:anchorId="41176A47" wp14:editId="1919B738">
            <wp:extent cx="5672138" cy="3009900"/>
            <wp:effectExtent l="0" t="0" r="5080" b="0"/>
            <wp:docPr id="54578975" name="Chart 1">
              <a:extLst xmlns:a="http://schemas.openxmlformats.org/drawingml/2006/main">
                <a:ext uri="{FF2B5EF4-FFF2-40B4-BE49-F238E27FC236}">
                  <a16:creationId xmlns:a16="http://schemas.microsoft.com/office/drawing/2014/main" id="{AB2589D6-891B-3240-B624-1F73DEC043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85ED9F8" w14:textId="22B2A8C0" w:rsidR="0062550F" w:rsidRPr="00FA2D9A" w:rsidRDefault="001465C6" w:rsidP="0043349F">
      <w:pPr>
        <w:jc w:val="center"/>
        <w:rPr>
          <w:b/>
          <w:bCs/>
          <w:lang w:val="en-GB"/>
        </w:rPr>
      </w:pPr>
      <w:r w:rsidRPr="00FA2D9A">
        <w:rPr>
          <w:b/>
          <w:bCs/>
          <w:lang w:val="en-GB"/>
        </w:rPr>
        <w:t xml:space="preserve">Figure 10: ROE </w:t>
      </w:r>
    </w:p>
    <w:p w14:paraId="39DCB33F" w14:textId="3C00BCE0" w:rsidR="0062550F" w:rsidRPr="00FA2D9A" w:rsidRDefault="001465C6" w:rsidP="0043349F">
      <w:pPr>
        <w:jc w:val="center"/>
        <w:rPr>
          <w:lang w:val="en-GB"/>
        </w:rPr>
      </w:pPr>
      <w:r w:rsidRPr="00FA2D9A">
        <w:rPr>
          <w:lang w:val="en-GB"/>
        </w:rPr>
        <w:t xml:space="preserve">(Source: </w:t>
      </w:r>
      <w:r w:rsidR="0068040D">
        <w:rPr>
          <w:lang w:val="en-GB"/>
        </w:rPr>
        <w:t>Obtained</w:t>
      </w:r>
      <w:r w:rsidR="0068040D" w:rsidRPr="00FA2D9A">
        <w:rPr>
          <w:lang w:val="en-GB"/>
        </w:rPr>
        <w:t xml:space="preserve"> using excel</w:t>
      </w:r>
      <w:r w:rsidRPr="00FA2D9A">
        <w:rPr>
          <w:lang w:val="en-GB"/>
        </w:rPr>
        <w:t>)</w:t>
      </w:r>
    </w:p>
    <w:p w14:paraId="62D53B8C" w14:textId="7B63691C" w:rsidR="0062550F" w:rsidRPr="00FA2D9A" w:rsidRDefault="001465C6" w:rsidP="0043349F">
      <w:pPr>
        <w:rPr>
          <w:lang w:val="en-GB"/>
        </w:rPr>
      </w:pPr>
      <w:r w:rsidRPr="00FA2D9A">
        <w:rPr>
          <w:lang w:val="en-GB"/>
        </w:rPr>
        <w:t>The sharp drop of ROE to around -15.7% in 2024</w:t>
      </w:r>
      <w:r w:rsidR="00BA508E">
        <w:rPr>
          <w:lang w:val="en-GB"/>
        </w:rPr>
        <w:t>. This is estimated to be</w:t>
      </w:r>
      <w:r w:rsidRPr="00FA2D9A">
        <w:rPr>
          <w:lang w:val="en-GB"/>
        </w:rPr>
        <w:t xml:space="preserve"> caused by net losses and a lower equity base of </w:t>
      </w:r>
      <w:r w:rsidR="00AC3C58" w:rsidRPr="00AC3C58">
        <w:rPr>
          <w:lang w:val="en-GB"/>
        </w:rPr>
        <w:t>£</w:t>
      </w:r>
      <w:r w:rsidRPr="00FA2D9A">
        <w:rPr>
          <w:lang w:val="en-GB"/>
        </w:rPr>
        <w:t>153,105 million than it was in 2020. Negative ROE implies a value destruction to shareholders and loss of investor confidence, which are in line with Yadav and Asongu's (2025) findings of share value destruction in distressful circumstances.</w:t>
      </w:r>
    </w:p>
    <w:p w14:paraId="295A4486" w14:textId="77777777" w:rsidR="0062550F" w:rsidRPr="00FA2D9A" w:rsidRDefault="001465C6" w:rsidP="0043349F">
      <w:pPr>
        <w:pStyle w:val="Heading2"/>
        <w:rPr>
          <w:lang w:val="en-GB"/>
        </w:rPr>
      </w:pPr>
      <w:bookmarkStart w:id="41" w:name="_50iujpwv5nko" w:colFirst="0" w:colLast="0"/>
      <w:bookmarkStart w:id="42" w:name="_Toc217298020"/>
      <w:bookmarkEnd w:id="41"/>
      <w:r w:rsidRPr="00FA2D9A">
        <w:rPr>
          <w:lang w:val="en-GB"/>
        </w:rPr>
        <w:t>2.6 Capital Structure Ratio Analysis</w:t>
      </w:r>
      <w:bookmarkEnd w:id="42"/>
    </w:p>
    <w:p w14:paraId="07039A48" w14:textId="77777777" w:rsidR="0062550F" w:rsidRPr="00FA2D9A" w:rsidRDefault="001465C6" w:rsidP="0043349F">
      <w:pPr>
        <w:pStyle w:val="Heading3"/>
        <w:rPr>
          <w:lang w:val="en-GB"/>
        </w:rPr>
      </w:pPr>
      <w:bookmarkStart w:id="43" w:name="_8yefurb7mhca" w:colFirst="0" w:colLast="0"/>
      <w:bookmarkStart w:id="44" w:name="_Toc217298021"/>
      <w:bookmarkEnd w:id="43"/>
      <w:r w:rsidRPr="00FA2D9A">
        <w:rPr>
          <w:lang w:val="en-GB"/>
        </w:rPr>
        <w:t>2.6.1 Debt-to-Equity Ratio</w:t>
      </w:r>
      <w:bookmarkEnd w:id="44"/>
    </w:p>
    <w:p w14:paraId="30426837" w14:textId="760A563F" w:rsidR="0062550F" w:rsidRPr="00FA2D9A" w:rsidRDefault="00BC3881" w:rsidP="0043349F">
      <w:pPr>
        <w:jc w:val="center"/>
        <w:rPr>
          <w:lang w:val="en-GB"/>
        </w:rPr>
      </w:pPr>
      <w:r>
        <w:rPr>
          <w:noProof/>
        </w:rPr>
        <w:drawing>
          <wp:inline distT="0" distB="0" distL="0" distR="0" wp14:anchorId="059B92C5" wp14:editId="1F2E51C3">
            <wp:extent cx="5524500" cy="2814638"/>
            <wp:effectExtent l="0" t="0" r="0" b="5080"/>
            <wp:docPr id="367759418" name="Chart 1">
              <a:extLst xmlns:a="http://schemas.openxmlformats.org/drawingml/2006/main">
                <a:ext uri="{FF2B5EF4-FFF2-40B4-BE49-F238E27FC236}">
                  <a16:creationId xmlns:a16="http://schemas.microsoft.com/office/drawing/2014/main" id="{6BCEC4A3-BFB7-FF44-8F74-D665894FED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EA4D853" w14:textId="77777777" w:rsidR="0062550F" w:rsidRPr="00FA2D9A" w:rsidRDefault="001465C6" w:rsidP="0043349F">
      <w:pPr>
        <w:jc w:val="center"/>
        <w:rPr>
          <w:b/>
          <w:bCs/>
          <w:lang w:val="en-GB"/>
        </w:rPr>
      </w:pPr>
      <w:r w:rsidRPr="00FA2D9A">
        <w:rPr>
          <w:b/>
          <w:bCs/>
          <w:lang w:val="en-GB"/>
        </w:rPr>
        <w:t>Figure 11: Debt-To-Equity Trend Line</w:t>
      </w:r>
    </w:p>
    <w:p w14:paraId="150BD9E5" w14:textId="3F6C96D1" w:rsidR="0062550F" w:rsidRPr="00FA2D9A" w:rsidRDefault="001465C6" w:rsidP="0043349F">
      <w:pPr>
        <w:jc w:val="center"/>
        <w:rPr>
          <w:lang w:val="en-GB"/>
        </w:rPr>
      </w:pPr>
      <w:r w:rsidRPr="00FA2D9A">
        <w:rPr>
          <w:lang w:val="en-GB"/>
        </w:rPr>
        <w:lastRenderedPageBreak/>
        <w:t xml:space="preserve">(Source: </w:t>
      </w:r>
      <w:r w:rsidR="00281C9C">
        <w:rPr>
          <w:lang w:val="en-GB"/>
        </w:rPr>
        <w:t>Obtained</w:t>
      </w:r>
      <w:r w:rsidR="00281C9C" w:rsidRPr="00FA2D9A">
        <w:rPr>
          <w:lang w:val="en-GB"/>
        </w:rPr>
        <w:t xml:space="preserve"> using excel</w:t>
      </w:r>
      <w:r w:rsidRPr="00FA2D9A">
        <w:rPr>
          <w:lang w:val="en-GB"/>
        </w:rPr>
        <w:t>)</w:t>
      </w:r>
    </w:p>
    <w:p w14:paraId="17C3ACBA" w14:textId="4F03709E" w:rsidR="00281C9C" w:rsidRDefault="001465C6" w:rsidP="0043349F">
      <w:pPr>
        <w:rPr>
          <w:lang w:val="en-GB"/>
        </w:rPr>
      </w:pPr>
      <w:r w:rsidRPr="00FA2D9A">
        <w:rPr>
          <w:lang w:val="en-GB"/>
        </w:rPr>
        <w:t>In 2024, to equity ratio rose to about 1.11</w:t>
      </w:r>
      <w:r w:rsidR="00BC3881">
        <w:rPr>
          <w:lang w:val="en-GB"/>
        </w:rPr>
        <w:t>,</w:t>
      </w:r>
      <w:r w:rsidRPr="00FA2D9A">
        <w:rPr>
          <w:lang w:val="en-GB"/>
        </w:rPr>
        <w:t xml:space="preserve"> as compared to 0.63 in 2020. This increase represents an increase in dependency on liabilities with a decline in equity because of the accumulated losses. High leverage decreases financial flexibility and enhances default risk, especially in the period of earnings volatility (Maiyo et al., 2025).</w:t>
      </w:r>
    </w:p>
    <w:p w14:paraId="63D9A2CA" w14:textId="77777777" w:rsidR="00596111" w:rsidRPr="00FA2D9A" w:rsidRDefault="00596111" w:rsidP="0043349F">
      <w:pPr>
        <w:rPr>
          <w:lang w:val="en-GB"/>
        </w:rPr>
      </w:pPr>
    </w:p>
    <w:p w14:paraId="268E162B" w14:textId="77777777" w:rsidR="0062550F" w:rsidRPr="00FA2D9A" w:rsidRDefault="001465C6" w:rsidP="0043349F">
      <w:pPr>
        <w:pStyle w:val="Heading2"/>
        <w:rPr>
          <w:lang w:val="en-GB"/>
        </w:rPr>
      </w:pPr>
      <w:bookmarkStart w:id="45" w:name="_7nib312qoc3h" w:colFirst="0" w:colLast="0"/>
      <w:bookmarkStart w:id="46" w:name="_Toc217298022"/>
      <w:bookmarkEnd w:id="45"/>
      <w:r w:rsidRPr="00FA2D9A">
        <w:rPr>
          <w:lang w:val="en-GB"/>
        </w:rPr>
        <w:t>2.7 Cash Flow Analysis</w:t>
      </w:r>
      <w:bookmarkEnd w:id="46"/>
    </w:p>
    <w:p w14:paraId="33F53A07" w14:textId="77777777" w:rsidR="0062550F" w:rsidRPr="00FA2D9A" w:rsidRDefault="001465C6" w:rsidP="0043349F">
      <w:pPr>
        <w:pStyle w:val="Heading3"/>
        <w:rPr>
          <w:lang w:val="en-GB"/>
        </w:rPr>
      </w:pPr>
      <w:bookmarkStart w:id="47" w:name="_jgavi6lcler4" w:colFirst="0" w:colLast="0"/>
      <w:bookmarkStart w:id="48" w:name="_Toc217298023"/>
      <w:bookmarkEnd w:id="47"/>
      <w:r w:rsidRPr="00FA2D9A">
        <w:rPr>
          <w:lang w:val="en-GB"/>
        </w:rPr>
        <w:t>2.7.1 Operating Cash Flow Volatility</w:t>
      </w:r>
      <w:bookmarkEnd w:id="48"/>
    </w:p>
    <w:p w14:paraId="61BFF72E" w14:textId="2A7D05CF" w:rsidR="0062550F" w:rsidRPr="00FA2D9A" w:rsidRDefault="001465C6" w:rsidP="0043349F">
      <w:pPr>
        <w:rPr>
          <w:lang w:val="en-GB"/>
        </w:rPr>
      </w:pPr>
      <w:r w:rsidRPr="00FA2D9A">
        <w:rPr>
          <w:lang w:val="en-GB"/>
        </w:rPr>
        <w:t xml:space="preserve">The cash flows operating decreased by a great margin of </w:t>
      </w:r>
      <w:r w:rsidR="00652271" w:rsidRPr="00652271">
        <w:rPr>
          <w:lang w:val="en-GB"/>
        </w:rPr>
        <w:t>£</w:t>
      </w:r>
      <w:r w:rsidRPr="00FA2D9A">
        <w:rPr>
          <w:lang w:val="en-GB"/>
        </w:rPr>
        <w:t xml:space="preserve">73,392 million in 2020 and dropped to </w:t>
      </w:r>
      <w:r w:rsidR="00652271" w:rsidRPr="00652271">
        <w:rPr>
          <w:lang w:val="en-GB"/>
        </w:rPr>
        <w:t>£</w:t>
      </w:r>
      <w:r w:rsidRPr="00FA2D9A">
        <w:rPr>
          <w:lang w:val="en-GB"/>
        </w:rPr>
        <w:t>14,822 million in 2024, showing high volatility. This instability compromises the self-financing operations of the firm.</w:t>
      </w:r>
    </w:p>
    <w:p w14:paraId="1C7A9B58" w14:textId="77777777" w:rsidR="0062550F" w:rsidRPr="00FA2D9A" w:rsidRDefault="001465C6" w:rsidP="0043349F">
      <w:pPr>
        <w:pStyle w:val="Heading3"/>
        <w:rPr>
          <w:lang w:val="en-GB"/>
        </w:rPr>
      </w:pPr>
      <w:bookmarkStart w:id="49" w:name="_wjc3h98kz37f" w:colFirst="0" w:colLast="0"/>
      <w:bookmarkStart w:id="50" w:name="_Toc217298024"/>
      <w:bookmarkEnd w:id="49"/>
      <w:r w:rsidRPr="00FA2D9A">
        <w:rPr>
          <w:lang w:val="en-GB"/>
        </w:rPr>
        <w:t>2.7.2 Role of Depreciation and Impairments</w:t>
      </w:r>
      <w:bookmarkEnd w:id="50"/>
    </w:p>
    <w:p w14:paraId="26A64D92" w14:textId="433EC97F" w:rsidR="0062550F" w:rsidRPr="00FA2D9A" w:rsidRDefault="001465C6" w:rsidP="0043349F">
      <w:pPr>
        <w:rPr>
          <w:lang w:val="en-GB"/>
        </w:rPr>
      </w:pPr>
      <w:r w:rsidRPr="00FA2D9A">
        <w:rPr>
          <w:lang w:val="en-GB"/>
        </w:rPr>
        <w:t xml:space="preserve">The operating cash flows were materially part-financed by depreciation and amortisation of </w:t>
      </w:r>
      <w:r w:rsidR="00AC3C58" w:rsidRPr="00AC3C58">
        <w:rPr>
          <w:lang w:val="en-GB"/>
        </w:rPr>
        <w:t>£</w:t>
      </w:r>
      <w:r w:rsidRPr="00FA2D9A">
        <w:rPr>
          <w:lang w:val="en-GB"/>
        </w:rPr>
        <w:t xml:space="preserve">18,058 million in 2024 and impairment of goodwill of </w:t>
      </w:r>
      <w:r w:rsidR="00AC3C58" w:rsidRPr="00AC3C58">
        <w:rPr>
          <w:lang w:val="en-GB"/>
        </w:rPr>
        <w:t>£</w:t>
      </w:r>
      <w:r w:rsidRPr="00FA2D9A">
        <w:rPr>
          <w:lang w:val="en-GB"/>
        </w:rPr>
        <w:t>49,075 million in 2023. These non-cash add-backs hide the underlying weakness, which is also typical of firms in the distress stage (Qi, 2025).</w:t>
      </w:r>
    </w:p>
    <w:p w14:paraId="54FAA245" w14:textId="77777777" w:rsidR="0062550F" w:rsidRPr="00FA2D9A" w:rsidRDefault="001465C6" w:rsidP="0043349F">
      <w:pPr>
        <w:pStyle w:val="Heading3"/>
        <w:rPr>
          <w:lang w:val="en-GB"/>
        </w:rPr>
      </w:pPr>
      <w:bookmarkStart w:id="51" w:name="_cyd71k42wxjc" w:colFirst="0" w:colLast="0"/>
      <w:bookmarkStart w:id="52" w:name="_Toc217298025"/>
      <w:bookmarkEnd w:id="51"/>
      <w:r w:rsidRPr="00FA2D9A">
        <w:rPr>
          <w:lang w:val="en-GB"/>
        </w:rPr>
        <w:t>2.7.3 Disconnect Between Accounting Losses and Cash Survival</w:t>
      </w:r>
      <w:bookmarkEnd w:id="52"/>
    </w:p>
    <w:p w14:paraId="2E300ECE" w14:textId="77777777" w:rsidR="0062550F" w:rsidRDefault="001465C6" w:rsidP="0043349F">
      <w:pPr>
        <w:rPr>
          <w:lang w:val="en-GB"/>
        </w:rPr>
      </w:pPr>
      <w:r w:rsidRPr="00FA2D9A">
        <w:rPr>
          <w:lang w:val="en-GB"/>
        </w:rPr>
        <w:t>The firm also had net losses, but it was in no condition to remain afloat due to non-cash adjustments and the release of working capital. This kind of survival is short-term and unsustainable unless the structure is properly fixed (Lohmann, Möllenhoff and Lehner, 2025).</w:t>
      </w:r>
    </w:p>
    <w:p w14:paraId="15CDDBDE" w14:textId="77777777" w:rsidR="00D178F8" w:rsidRPr="00FA2D9A" w:rsidRDefault="00D178F8" w:rsidP="0043349F">
      <w:pPr>
        <w:rPr>
          <w:lang w:val="en-GB"/>
        </w:rPr>
      </w:pPr>
    </w:p>
    <w:p w14:paraId="04B4B13B" w14:textId="77777777" w:rsidR="0062550F" w:rsidRPr="00FA2D9A" w:rsidRDefault="001465C6" w:rsidP="0043349F">
      <w:pPr>
        <w:pStyle w:val="Heading2"/>
        <w:rPr>
          <w:lang w:val="en-GB"/>
        </w:rPr>
      </w:pPr>
      <w:bookmarkStart w:id="53" w:name="_fcf4fcxe2wzc" w:colFirst="0" w:colLast="0"/>
      <w:bookmarkStart w:id="54" w:name="_Toc217298026"/>
      <w:bookmarkEnd w:id="53"/>
      <w:r w:rsidRPr="00FA2D9A">
        <w:rPr>
          <w:lang w:val="en-GB"/>
        </w:rPr>
        <w:t>2.8 Corporate Failure Risk Assessment – Altman Z-Score</w:t>
      </w:r>
      <w:bookmarkEnd w:id="54"/>
    </w:p>
    <w:p w14:paraId="22FFE759" w14:textId="77777777" w:rsidR="0062550F" w:rsidRPr="00FA2D9A" w:rsidRDefault="001465C6" w:rsidP="0043349F">
      <w:pPr>
        <w:pStyle w:val="Heading3"/>
        <w:rPr>
          <w:lang w:val="en-GB"/>
        </w:rPr>
      </w:pPr>
      <w:bookmarkStart w:id="55" w:name="_jz5mlp2fff3q" w:colFirst="0" w:colLast="0"/>
      <w:bookmarkStart w:id="56" w:name="_Toc217298027"/>
      <w:bookmarkEnd w:id="55"/>
      <w:r w:rsidRPr="00FA2D9A">
        <w:rPr>
          <w:lang w:val="en-GB"/>
        </w:rPr>
        <w:t>2.8.1 Model Explanation</w:t>
      </w:r>
      <w:bookmarkEnd w:id="56"/>
    </w:p>
    <w:p w14:paraId="4E5AFCAD" w14:textId="2C4A79E8" w:rsidR="0062550F" w:rsidRPr="00FA2D9A" w:rsidRDefault="001465C6" w:rsidP="0043349F">
      <w:pPr>
        <w:rPr>
          <w:lang w:val="en-GB"/>
        </w:rPr>
      </w:pPr>
      <w:r w:rsidRPr="00FA2D9A">
        <w:rPr>
          <w:lang w:val="en-GB"/>
        </w:rPr>
        <w:t xml:space="preserve">Altman Z-Score is a composite index which consists of profitability, liquidity, leverage and efficiency ratios to determine the threatened risk of bankruptcy among manufacturing companies. </w:t>
      </w:r>
      <w:r w:rsidR="00D178F8">
        <w:rPr>
          <w:lang w:val="en-GB"/>
        </w:rPr>
        <w:t>D</w:t>
      </w:r>
      <w:r w:rsidR="00D178F8" w:rsidRPr="00FA2D9A">
        <w:rPr>
          <w:lang w:val="en-GB"/>
        </w:rPr>
        <w:t xml:space="preserve">ue to </w:t>
      </w:r>
      <w:r w:rsidR="00D178F8">
        <w:rPr>
          <w:lang w:val="en-GB"/>
        </w:rPr>
        <w:t>the</w:t>
      </w:r>
      <w:r w:rsidR="00D178F8" w:rsidRPr="00FA2D9A">
        <w:rPr>
          <w:lang w:val="en-GB"/>
        </w:rPr>
        <w:t xml:space="preserve"> ability to forecast bankruptcy, the Z-score can be used to evaluate financial vulnerability connected with governance</w:t>
      </w:r>
      <w:r w:rsidR="00D178F8">
        <w:rPr>
          <w:lang w:val="en-GB"/>
        </w:rPr>
        <w:t xml:space="preserve"> (</w:t>
      </w:r>
      <w:r w:rsidR="00D178F8" w:rsidRPr="00FA2D9A">
        <w:rPr>
          <w:lang w:val="en-GB"/>
        </w:rPr>
        <w:t>Dumitrescu et al. 2025).</w:t>
      </w:r>
      <w:r w:rsidR="00D178F8">
        <w:rPr>
          <w:lang w:val="en-GB"/>
        </w:rPr>
        <w:t xml:space="preserve"> </w:t>
      </w:r>
      <w:r w:rsidRPr="00FA2D9A">
        <w:rPr>
          <w:lang w:val="en-GB"/>
        </w:rPr>
        <w:t>The model is expressed as:</w:t>
      </w:r>
    </w:p>
    <w:p w14:paraId="139C4D4B" w14:textId="77777777" w:rsidR="0062550F" w:rsidRPr="00FA2D9A" w:rsidRDefault="001465C6" w:rsidP="0043349F">
      <w:pPr>
        <w:jc w:val="center"/>
        <w:rPr>
          <w:lang w:val="en-GB"/>
        </w:rPr>
      </w:pPr>
      <w:r w:rsidRPr="00FA2D9A">
        <w:rPr>
          <w:lang w:val="en-GB"/>
        </w:rPr>
        <w:t>Z = 1.2X</w:t>
      </w:r>
      <w:r w:rsidRPr="00FA2D9A">
        <w:rPr>
          <w:rFonts w:ascii="Cambria Math" w:hAnsi="Cambria Math" w:cs="Cambria Math"/>
          <w:lang w:val="en-GB"/>
        </w:rPr>
        <w:t>₁</w:t>
      </w:r>
      <w:r w:rsidRPr="00FA2D9A">
        <w:rPr>
          <w:lang w:val="en-GB"/>
        </w:rPr>
        <w:t xml:space="preserve"> + 1.4X</w:t>
      </w:r>
      <w:r w:rsidRPr="00FA2D9A">
        <w:rPr>
          <w:rFonts w:ascii="Cambria Math" w:hAnsi="Cambria Math" w:cs="Cambria Math"/>
          <w:lang w:val="en-GB"/>
        </w:rPr>
        <w:t>₂</w:t>
      </w:r>
      <w:r w:rsidRPr="00FA2D9A">
        <w:rPr>
          <w:lang w:val="en-GB"/>
        </w:rPr>
        <w:t xml:space="preserve"> + 3.3X</w:t>
      </w:r>
      <w:r w:rsidRPr="00FA2D9A">
        <w:rPr>
          <w:rFonts w:ascii="Cambria Math" w:hAnsi="Cambria Math" w:cs="Cambria Math"/>
          <w:lang w:val="en-GB"/>
        </w:rPr>
        <w:t>₃</w:t>
      </w:r>
      <w:r w:rsidRPr="00FA2D9A">
        <w:rPr>
          <w:lang w:val="en-GB"/>
        </w:rPr>
        <w:t xml:space="preserve"> + 0.6X</w:t>
      </w:r>
      <w:r w:rsidRPr="00FA2D9A">
        <w:rPr>
          <w:rFonts w:ascii="Cambria Math" w:hAnsi="Cambria Math" w:cs="Cambria Math"/>
          <w:lang w:val="en-GB"/>
        </w:rPr>
        <w:t>₄</w:t>
      </w:r>
      <w:r w:rsidRPr="00FA2D9A">
        <w:rPr>
          <w:lang w:val="en-GB"/>
        </w:rPr>
        <w:t xml:space="preserve"> + 1.0X</w:t>
      </w:r>
      <w:r w:rsidRPr="00FA2D9A">
        <w:rPr>
          <w:rFonts w:ascii="Cambria Math" w:hAnsi="Cambria Math" w:cs="Cambria Math"/>
          <w:lang w:val="en-GB"/>
        </w:rPr>
        <w:t>₅</w:t>
      </w:r>
      <w:r w:rsidRPr="00FA2D9A">
        <w:rPr>
          <w:lang w:val="en-GB"/>
        </w:rPr>
        <w:t>,</w:t>
      </w:r>
    </w:p>
    <w:p w14:paraId="6E4E04EB" w14:textId="112C594D" w:rsidR="0062550F" w:rsidRPr="00FA2D9A" w:rsidRDefault="00281C9C" w:rsidP="0043349F">
      <w:pPr>
        <w:rPr>
          <w:lang w:val="en-GB"/>
        </w:rPr>
      </w:pPr>
      <w:r>
        <w:rPr>
          <w:lang w:val="en-GB"/>
        </w:rPr>
        <w:t xml:space="preserve">Here, </w:t>
      </w:r>
      <w:r w:rsidRPr="00FA2D9A">
        <w:rPr>
          <w:lang w:val="en-GB"/>
        </w:rPr>
        <w:t xml:space="preserve">X 1 = working capital/total assets, X 2 = retained earnings/total assets, X 3 = EBIT/total assets, X 4= equity/ total liabilities, and X 5 = sales/total assets. </w:t>
      </w:r>
    </w:p>
    <w:p w14:paraId="421FA0EF" w14:textId="77777777" w:rsidR="0062550F" w:rsidRPr="00FA2D9A" w:rsidRDefault="001465C6" w:rsidP="0043349F">
      <w:pPr>
        <w:pStyle w:val="Heading3"/>
        <w:rPr>
          <w:lang w:val="en-GB"/>
        </w:rPr>
      </w:pPr>
      <w:bookmarkStart w:id="57" w:name="_31yzu2brksfa" w:colFirst="0" w:colLast="0"/>
      <w:bookmarkStart w:id="58" w:name="_Toc217298028"/>
      <w:bookmarkEnd w:id="57"/>
      <w:r w:rsidRPr="00FA2D9A">
        <w:rPr>
          <w:lang w:val="en-GB"/>
        </w:rPr>
        <w:lastRenderedPageBreak/>
        <w:t>2.8.2 Five-Year Z-Score Trend Interpretation</w:t>
      </w:r>
      <w:bookmarkEnd w:id="58"/>
    </w:p>
    <w:p w14:paraId="400C9EB8" w14:textId="4CCC2911" w:rsidR="00D178F8" w:rsidRDefault="001465C6" w:rsidP="0043349F">
      <w:pPr>
        <w:rPr>
          <w:lang w:val="en-GB"/>
        </w:rPr>
      </w:pPr>
      <w:r w:rsidRPr="00FA2D9A">
        <w:rPr>
          <w:lang w:val="en-GB"/>
        </w:rPr>
        <w:t>Working capital of £84,203 million (£242,494m -</w:t>
      </w:r>
      <w:r w:rsidR="00652271">
        <w:rPr>
          <w:lang w:val="en-GB"/>
        </w:rPr>
        <w:t xml:space="preserve"> </w:t>
      </w:r>
      <w:r w:rsidR="00652271" w:rsidRPr="00652271">
        <w:rPr>
          <w:lang w:val="en-GB"/>
        </w:rPr>
        <w:t>£</w:t>
      </w:r>
      <w:r w:rsidRPr="00FA2D9A">
        <w:rPr>
          <w:lang w:val="en-GB"/>
        </w:rPr>
        <w:t>158,291m) in 2024 yields X 1 = 0.26 as a percentage of total assets of 323,354 million</w:t>
      </w:r>
    </w:p>
    <w:p w14:paraId="74F95A6B" w14:textId="4F505009" w:rsidR="00D178F8" w:rsidRDefault="001465C6" w:rsidP="0043349F">
      <w:pPr>
        <w:rPr>
          <w:lang w:val="en-GB"/>
        </w:rPr>
      </w:pPr>
      <w:r w:rsidRPr="00FA2D9A">
        <w:rPr>
          <w:lang w:val="en-GB"/>
        </w:rPr>
        <w:t xml:space="preserve">The retained earnings of </w:t>
      </w:r>
      <w:r w:rsidR="00652271" w:rsidRPr="00652271">
        <w:rPr>
          <w:lang w:val="en-GB"/>
        </w:rPr>
        <w:t>£</w:t>
      </w:r>
      <w:r w:rsidRPr="00FA2D9A">
        <w:rPr>
          <w:lang w:val="en-GB"/>
        </w:rPr>
        <w:t xml:space="preserve">208,431 million produced X 2 = 0.64, representing cumulative profitability, although at a lower level than it was in previous years. </w:t>
      </w:r>
    </w:p>
    <w:p w14:paraId="550F88FB" w14:textId="77777777" w:rsidR="00D178F8" w:rsidRDefault="001465C6" w:rsidP="0043349F">
      <w:pPr>
        <w:rPr>
          <w:lang w:val="en-GB"/>
        </w:rPr>
      </w:pPr>
      <w:r w:rsidRPr="00FA2D9A">
        <w:rPr>
          <w:lang w:val="en-GB"/>
        </w:rPr>
        <w:t xml:space="preserve">EBIT, which is proxied by operating loss of -15,297 million, had a X3 = -0,05 which severely dents the score. </w:t>
      </w:r>
    </w:p>
    <w:p w14:paraId="35727AA6" w14:textId="77777777" w:rsidR="00D178F8" w:rsidRDefault="001465C6" w:rsidP="0043349F">
      <w:pPr>
        <w:rPr>
          <w:lang w:val="en-GB"/>
        </w:rPr>
      </w:pPr>
      <w:r w:rsidRPr="00FA2D9A">
        <w:rPr>
          <w:lang w:val="en-GB"/>
        </w:rPr>
        <w:t>The ratio of equity to total liabilities of 170,249 million to 153,105 million generated X 4 = 0.90. Sales of £394,879 million generated X</w:t>
      </w:r>
      <w:r w:rsidRPr="00FA2D9A">
        <w:rPr>
          <w:rFonts w:ascii="Cambria Math" w:hAnsi="Cambria Math" w:cs="Cambria Math"/>
          <w:lang w:val="en-GB"/>
        </w:rPr>
        <w:t>₅</w:t>
      </w:r>
      <w:r w:rsidRPr="00FA2D9A">
        <w:rPr>
          <w:lang w:val="en-GB"/>
        </w:rPr>
        <w:t xml:space="preserve"> = 1.22. </w:t>
      </w:r>
    </w:p>
    <w:p w14:paraId="526DCA83" w14:textId="62B1D7DD" w:rsidR="0062550F" w:rsidRPr="00FA2D9A" w:rsidRDefault="00D178F8" w:rsidP="0043349F">
      <w:pPr>
        <w:rPr>
          <w:lang w:val="en-GB"/>
        </w:rPr>
      </w:pPr>
      <w:r>
        <w:rPr>
          <w:lang w:val="en-GB"/>
        </w:rPr>
        <w:t xml:space="preserve">Using </w:t>
      </w:r>
      <w:r w:rsidRPr="00FA2D9A">
        <w:rPr>
          <w:lang w:val="en-GB"/>
        </w:rPr>
        <w:t xml:space="preserve">the Altman formula, the Z-score </w:t>
      </w:r>
      <w:r>
        <w:rPr>
          <w:lang w:val="en-GB"/>
        </w:rPr>
        <w:t>is calculated to be</w:t>
      </w:r>
      <w:r w:rsidRPr="00FA2D9A">
        <w:rPr>
          <w:lang w:val="en-GB"/>
        </w:rPr>
        <w:t xml:space="preserve"> 1.6 in 2024. This is a significant deterioration from the previous years, which was mainly caused by the breakdown of operating profitability and increased leverage. The decreasing trend of five years is an indication of continuing financial weakness and not the volatility in the short-term, which is also in line with distress dynamics found in the empirical literature on failing firms (Mehmood and De Luco, 2025).</w:t>
      </w:r>
    </w:p>
    <w:p w14:paraId="58FEEDB0" w14:textId="77777777" w:rsidR="0062550F" w:rsidRPr="00FA2D9A" w:rsidRDefault="001465C6" w:rsidP="0043349F">
      <w:pPr>
        <w:pStyle w:val="Heading3"/>
        <w:rPr>
          <w:lang w:val="en-GB"/>
        </w:rPr>
      </w:pPr>
      <w:bookmarkStart w:id="59" w:name="_v77n406lcs32" w:colFirst="0" w:colLast="0"/>
      <w:bookmarkStart w:id="60" w:name="_Toc217298029"/>
      <w:bookmarkEnd w:id="59"/>
      <w:r w:rsidRPr="00FA2D9A">
        <w:rPr>
          <w:lang w:val="en-GB"/>
        </w:rPr>
        <w:t>2.8.3 Financial Risk Classification</w:t>
      </w:r>
      <w:bookmarkEnd w:id="60"/>
    </w:p>
    <w:p w14:paraId="46F15A92" w14:textId="0458FDB5" w:rsidR="0062550F" w:rsidRPr="00FA2D9A" w:rsidRDefault="001465C6" w:rsidP="0043349F">
      <w:pPr>
        <w:rPr>
          <w:lang w:val="en-GB"/>
        </w:rPr>
      </w:pPr>
      <w:r w:rsidRPr="00FA2D9A">
        <w:rPr>
          <w:lang w:val="en-GB"/>
        </w:rPr>
        <w:t xml:space="preserve">Any Z-score that is below 1.81 makes a firm in the distress zone. General Electronics, with its approximate score of approximately 1.6, is a definite fit in this category. This rating implies that there </w:t>
      </w:r>
      <w:r w:rsidR="00D178F8" w:rsidRPr="00FA2D9A">
        <w:rPr>
          <w:lang w:val="en-GB"/>
        </w:rPr>
        <w:t>are</w:t>
      </w:r>
      <w:r w:rsidRPr="00FA2D9A">
        <w:rPr>
          <w:lang w:val="en-GB"/>
        </w:rPr>
        <w:t xml:space="preserve"> a great likelihood of financial distress and a high likelihood of default unless corrective measures are undertaken. This is common among companies that face unremitting operating losses as well as balance-sheet erosion, which is characteristic of comparative distress models (Ferli et al., 2025).</w:t>
      </w:r>
    </w:p>
    <w:p w14:paraId="342C6084" w14:textId="77777777" w:rsidR="0062550F" w:rsidRPr="00FA2D9A" w:rsidRDefault="001465C6" w:rsidP="0043349F">
      <w:pPr>
        <w:pStyle w:val="Heading3"/>
        <w:rPr>
          <w:lang w:val="en-GB"/>
        </w:rPr>
      </w:pPr>
      <w:bookmarkStart w:id="61" w:name="_yi7vx1ajddex" w:colFirst="0" w:colLast="0"/>
      <w:bookmarkStart w:id="62" w:name="_Toc217298030"/>
      <w:bookmarkEnd w:id="61"/>
      <w:r w:rsidRPr="00FA2D9A">
        <w:rPr>
          <w:lang w:val="en-GB"/>
        </w:rPr>
        <w:t>2.8.4 Implications for Creditors and Investors</w:t>
      </w:r>
      <w:bookmarkEnd w:id="62"/>
    </w:p>
    <w:p w14:paraId="257F7AC0" w14:textId="77777777" w:rsidR="0062550F" w:rsidRPr="00FA2D9A" w:rsidRDefault="001465C6" w:rsidP="0043349F">
      <w:pPr>
        <w:rPr>
          <w:lang w:val="en-GB"/>
        </w:rPr>
      </w:pPr>
      <w:r w:rsidRPr="00FA2D9A">
        <w:rPr>
          <w:lang w:val="en-GB"/>
        </w:rPr>
        <w:t>To creditors, a distress-zone Z-Score would be an indication of greater refinancing risk and more probable tightening of covenant or an increment in the cost of borrowing. To investors, the classification means minimal value generation in the near term and increased risk of downfall. Valuation discounts in times of distress can further be increased by ESG-related weaknesses, especially when governance credibility is doubted (Yadav and Asongu, 2025). All these implications combined support the urgency of the financial restructuring to stabilise solvency and regain the confidence of the stakeholders.</w:t>
      </w:r>
    </w:p>
    <w:p w14:paraId="2694E694" w14:textId="77777777" w:rsidR="0062550F" w:rsidRPr="00FA2D9A" w:rsidRDefault="001465C6" w:rsidP="0043349F">
      <w:pPr>
        <w:pStyle w:val="Heading2"/>
        <w:rPr>
          <w:lang w:val="en-GB"/>
        </w:rPr>
      </w:pPr>
      <w:bookmarkStart w:id="63" w:name="_yxcgzrme1nj3" w:colFirst="0" w:colLast="0"/>
      <w:bookmarkStart w:id="64" w:name="_Toc217298031"/>
      <w:bookmarkEnd w:id="63"/>
      <w:r w:rsidRPr="00FA2D9A">
        <w:rPr>
          <w:lang w:val="en-GB"/>
        </w:rPr>
        <w:t>2.9 Summary of Financial Health Diagnosis</w:t>
      </w:r>
      <w:bookmarkEnd w:id="64"/>
    </w:p>
    <w:p w14:paraId="2BFE599A" w14:textId="6880AC43" w:rsidR="00D178F8" w:rsidRDefault="001465C6" w:rsidP="0043349F">
      <w:pPr>
        <w:rPr>
          <w:lang w:val="en-GB"/>
        </w:rPr>
      </w:pPr>
      <w:r w:rsidRPr="00FA2D9A">
        <w:rPr>
          <w:lang w:val="en-GB"/>
        </w:rPr>
        <w:t xml:space="preserve">The ratio analysis establishes the fact that General Electronics is in structural financial distress that is typified by deteriorating profitability, weak liquidity, poor management </w:t>
      </w:r>
      <w:r w:rsidRPr="00FA2D9A">
        <w:rPr>
          <w:lang w:val="en-GB"/>
        </w:rPr>
        <w:lastRenderedPageBreak/>
        <w:t>of working capital, decreasing returns, and increasing leverage. All these signs are grounds to believe that a drastic financial reorganisation and a stringent allocation of capital are necessary to bring the company to sustainability.</w:t>
      </w:r>
    </w:p>
    <w:p w14:paraId="54F2C1EA" w14:textId="77777777" w:rsidR="00596111" w:rsidRPr="00FA2D9A" w:rsidRDefault="00596111" w:rsidP="0043349F">
      <w:pPr>
        <w:rPr>
          <w:lang w:val="en-GB"/>
        </w:rPr>
      </w:pPr>
    </w:p>
    <w:p w14:paraId="775CE980" w14:textId="77777777" w:rsidR="0062550F" w:rsidRPr="00FA2D9A" w:rsidRDefault="001465C6" w:rsidP="0043349F">
      <w:pPr>
        <w:pStyle w:val="Heading1"/>
        <w:rPr>
          <w:lang w:val="en-GB"/>
        </w:rPr>
      </w:pPr>
      <w:bookmarkStart w:id="65" w:name="_vo7ke8ndc53" w:colFirst="0" w:colLast="0"/>
      <w:bookmarkStart w:id="66" w:name="_Toc217298032"/>
      <w:bookmarkEnd w:id="65"/>
      <w:r w:rsidRPr="00FA2D9A">
        <w:rPr>
          <w:lang w:val="en-GB"/>
        </w:rPr>
        <w:t>3. Working Capital Management Analysis</w:t>
      </w:r>
      <w:bookmarkEnd w:id="66"/>
    </w:p>
    <w:p w14:paraId="4276DDBE" w14:textId="77777777" w:rsidR="0062550F" w:rsidRPr="00FA2D9A" w:rsidRDefault="001465C6" w:rsidP="0043349F">
      <w:pPr>
        <w:pStyle w:val="Heading2"/>
        <w:rPr>
          <w:lang w:val="en-GB"/>
        </w:rPr>
      </w:pPr>
      <w:bookmarkStart w:id="67" w:name="_4eycrrwcfgt" w:colFirst="0" w:colLast="0"/>
      <w:bookmarkStart w:id="68" w:name="_Toc217298033"/>
      <w:bookmarkEnd w:id="67"/>
      <w:r w:rsidRPr="00FA2D9A">
        <w:rPr>
          <w:lang w:val="en-GB"/>
        </w:rPr>
        <w:t>3.1 Cash Operating Cycle Assessment</w:t>
      </w:r>
      <w:bookmarkEnd w:id="68"/>
    </w:p>
    <w:p w14:paraId="385C3BEA" w14:textId="4023E0B1" w:rsidR="00D178F8" w:rsidRDefault="001465C6" w:rsidP="0043349F">
      <w:pPr>
        <w:rPr>
          <w:lang w:val="en-GB"/>
        </w:rPr>
      </w:pPr>
      <w:r w:rsidRPr="00FA2D9A">
        <w:rPr>
          <w:lang w:val="en-GB"/>
        </w:rPr>
        <w:t xml:space="preserve">The cash operating cycle of General Electronics has deteriorated substantially during the review period, which has put long-term strain on the liquidity. Inventory days were about </w:t>
      </w:r>
      <w:r w:rsidR="00471FE1">
        <w:rPr>
          <w:lang w:val="en-GB"/>
        </w:rPr>
        <w:t>7</w:t>
      </w:r>
      <w:r w:rsidRPr="00FA2D9A">
        <w:rPr>
          <w:lang w:val="en-GB"/>
        </w:rPr>
        <w:t xml:space="preserve">3 days in 2024, which shows that there are inventories of £79,355 million with decreasing net sales of £394,879 million. The decreased inventories of 140,181 million in 2022 have not been matched with decreasing revenues, which shows that stocks are higher than the demand. According to Michalkova and Ponisciakova (2025), the characteristic of having long inventory ownership is a typical case with firms that are facing late-stage financial distress. Receivable days had </w:t>
      </w:r>
      <w:r w:rsidR="00906ADF">
        <w:rPr>
          <w:lang w:val="en-GB"/>
        </w:rPr>
        <w:t>increased</w:t>
      </w:r>
      <w:r w:rsidRPr="00FA2D9A">
        <w:rPr>
          <w:lang w:val="en-GB"/>
        </w:rPr>
        <w:t xml:space="preserve"> to approximately 106 days in 2024, which was based on accounts receivable of £114,182 million. This is a negative sign of slow customer collections, probably caused by the Amnesty credit terms to maintain market share. </w:t>
      </w:r>
    </w:p>
    <w:p w14:paraId="2E95020C" w14:textId="2D0E445B" w:rsidR="00757959" w:rsidRDefault="00757959" w:rsidP="00757959">
      <w:pPr>
        <w:rPr>
          <w:b/>
          <w:bCs/>
          <w:lang w:val="en-GB"/>
        </w:rPr>
      </w:pPr>
      <w:bookmarkStart w:id="69" w:name="_r380qgkk5rc7" w:colFirst="0" w:colLast="0"/>
      <w:bookmarkEnd w:id="69"/>
      <w:r w:rsidRPr="00757959">
        <w:rPr>
          <w:lang w:val="en-GB"/>
        </w:rPr>
        <w:t xml:space="preserve">This causes distortion in the existing cash flows and a risk of default in the business </w:t>
      </w:r>
      <w:r w:rsidRPr="00906ADF">
        <w:rPr>
          <w:lang w:val="en-GB"/>
        </w:rPr>
        <w:t>especially when the sales turn into the negative side (Saragih and Widretno, 2025). The payables</w:t>
      </w:r>
      <w:r w:rsidR="009E062A" w:rsidRPr="00906ADF">
        <w:rPr>
          <w:lang w:val="en-GB"/>
        </w:rPr>
        <w:t>,</w:t>
      </w:r>
      <w:r w:rsidRPr="00906ADF">
        <w:rPr>
          <w:lang w:val="en-GB"/>
        </w:rPr>
        <w:t xml:space="preserve"> on the other hand</w:t>
      </w:r>
      <w:r w:rsidR="009E062A" w:rsidRPr="00906ADF">
        <w:rPr>
          <w:lang w:val="en-GB"/>
        </w:rPr>
        <w:t>,</w:t>
      </w:r>
      <w:r w:rsidRPr="00906ADF">
        <w:rPr>
          <w:lang w:val="en-GB"/>
        </w:rPr>
        <w:t xml:space="preserve"> </w:t>
      </w:r>
      <w:r w:rsidR="00906ADF" w:rsidRPr="00906ADF">
        <w:rPr>
          <w:lang w:val="en-GB"/>
        </w:rPr>
        <w:t>increased</w:t>
      </w:r>
      <w:r w:rsidRPr="00906ADF">
        <w:rPr>
          <w:lang w:val="en-GB"/>
        </w:rPr>
        <w:t xml:space="preserve"> to </w:t>
      </w:r>
      <w:r w:rsidR="00906ADF" w:rsidRPr="00906ADF">
        <w:rPr>
          <w:lang w:val="en-GB"/>
        </w:rPr>
        <w:t xml:space="preserve">67 </w:t>
      </w:r>
      <w:r w:rsidRPr="00906ADF">
        <w:rPr>
          <w:lang w:val="en-GB"/>
        </w:rPr>
        <w:t xml:space="preserve">days in 2024 and the accounts payable stood at </w:t>
      </w:r>
      <w:r w:rsidR="00906ADF" w:rsidRPr="00906ADF">
        <w:rPr>
          <w:lang w:val="en-GB"/>
        </w:rPr>
        <w:t>£</w:t>
      </w:r>
      <w:r w:rsidRPr="00906ADF">
        <w:rPr>
          <w:lang w:val="en-GB"/>
        </w:rPr>
        <w:t>72</w:t>
      </w:r>
      <w:r w:rsidR="00906ADF" w:rsidRPr="00906ADF">
        <w:rPr>
          <w:lang w:val="en-GB"/>
        </w:rPr>
        <w:t>,</w:t>
      </w:r>
      <w:r w:rsidRPr="00906ADF">
        <w:rPr>
          <w:lang w:val="en-GB"/>
        </w:rPr>
        <w:t>031 million. This</w:t>
      </w:r>
      <w:r w:rsidRPr="00757959">
        <w:rPr>
          <w:lang w:val="en-GB"/>
        </w:rPr>
        <w:t xml:space="preserve"> implies that the company can do very little to stretch out the remuneration of its suppliers to smooth out its cash flow. Movsesyan and Seissian (2025) </w:t>
      </w:r>
      <w:r w:rsidR="00906ADF">
        <w:rPr>
          <w:lang w:val="en-GB"/>
        </w:rPr>
        <w:t>stated</w:t>
      </w:r>
      <w:r w:rsidRPr="00757959">
        <w:rPr>
          <w:lang w:val="en-GB"/>
        </w:rPr>
        <w:t xml:space="preserve"> that inability to bargain with problematized firms is often disclosed by the impossibility to be flexible with the remuneration of the payables. The length of the cash operating cycle has been increased due to a combination of high inventory and fewer of the decreased receivable days that lengthen the payable and this has placed a burden on the liquidity.</w:t>
      </w:r>
    </w:p>
    <w:p w14:paraId="6F96F66B" w14:textId="64DA87B4" w:rsidR="0062550F" w:rsidRPr="00FA2D9A" w:rsidRDefault="001465C6" w:rsidP="0043349F">
      <w:pPr>
        <w:pStyle w:val="Heading2"/>
        <w:rPr>
          <w:lang w:val="en-GB"/>
        </w:rPr>
      </w:pPr>
      <w:bookmarkStart w:id="70" w:name="_Toc217298034"/>
      <w:r w:rsidRPr="00FA2D9A">
        <w:rPr>
          <w:lang w:val="en-GB"/>
        </w:rPr>
        <w:t>3.2 Working Capital Risks in Consumer Electronics</w:t>
      </w:r>
      <w:bookmarkEnd w:id="70"/>
    </w:p>
    <w:p w14:paraId="7CEA4601" w14:textId="77777777" w:rsidR="00757959" w:rsidRDefault="00757959" w:rsidP="00757959">
      <w:pPr>
        <w:rPr>
          <w:b/>
          <w:bCs/>
          <w:lang w:val="en-GB"/>
        </w:rPr>
      </w:pPr>
      <w:bookmarkStart w:id="71" w:name="_kn976pe6bhcg" w:colFirst="0" w:colLast="0"/>
      <w:bookmarkEnd w:id="71"/>
      <w:r w:rsidRPr="00757959">
        <w:rPr>
          <w:lang w:val="en-GB"/>
        </w:rPr>
        <w:t xml:space="preserve">The consumer electronics contains structural working capital risks and is in financial distress. The blue oceans not only have short product life cycle but also have a high risk of absorption of the inventories since they are wasted before sale, especially where there is high forecast error in the demand. Ahemed, Iqbal and Atif (2025) state the cost stickiness and inability to compensate a loss of inventory. This is also complicated by the case of the technological obsolescence in which the resale of the </w:t>
      </w:r>
      <w:r w:rsidRPr="00757959">
        <w:rPr>
          <w:lang w:val="en-GB"/>
        </w:rPr>
        <w:lastRenderedPageBreak/>
        <w:t>stock that has not been sold is depreciated by the rapid innovation. This puts the firms at risk of inventory loss that decreases the profitability and liquidity. Additional uncertainties are that the supply chain on the global level is not consistent as the shortage of components and the disruption of the logistics. It suggests that, in cases when working capital is intensive model of working capital dependent companies exists, the likelihood of distress is high, associated to such oscillation of the operations (Ge and Rao 2025).</w:t>
      </w:r>
    </w:p>
    <w:p w14:paraId="5E819C5F" w14:textId="43CBCFA8" w:rsidR="0062550F" w:rsidRPr="00FA2D9A" w:rsidRDefault="001465C6" w:rsidP="0043349F">
      <w:pPr>
        <w:pStyle w:val="Heading2"/>
        <w:rPr>
          <w:lang w:val="en-GB"/>
        </w:rPr>
      </w:pPr>
      <w:bookmarkStart w:id="72" w:name="_Toc217298035"/>
      <w:r w:rsidRPr="00FA2D9A">
        <w:rPr>
          <w:lang w:val="en-GB"/>
        </w:rPr>
        <w:t>3.3 Liquidity Improvement Strategies</w:t>
      </w:r>
      <w:bookmarkEnd w:id="72"/>
    </w:p>
    <w:p w14:paraId="4065A651" w14:textId="77777777" w:rsidR="00757959" w:rsidRPr="00757959" w:rsidRDefault="00757959" w:rsidP="00757959">
      <w:pPr>
        <w:rPr>
          <w:lang w:val="en-GB"/>
        </w:rPr>
      </w:pPr>
      <w:bookmarkStart w:id="73" w:name="_33dls6cab3ku" w:colFirst="0" w:colLast="0"/>
      <w:bookmarkEnd w:id="73"/>
      <w:r w:rsidRPr="00757959">
        <w:rPr>
          <w:lang w:val="en-GB"/>
        </w:rPr>
        <w:t>The inventory management is also based on the cash stabilisation. SKU rationalisation should also be in place and the products lines with low margins and low growth will be eliminated to lower the level of inventory holding. JIT procurement will also help in reducing the level of stock since the procurements will be synchronized to the required demand. Regional demand forecasting should also be on their list because the disparity between the global demand and the local demand has also added to the excess inventories. It is based on this that Sastrocedjo and Suganda (2025) assumed that the inefficiencies within the operations that are the root cause of the inventory mismanagement in most of the cases will be constrained under better governance and transparency. The management of the receivables must be tighter. This should be tightened in the credit policy to pay fewer days to pay the non-performing clients and implement more tight rules of credit. The options of factoring/ supply-chain finance can be chosen and utilized selectively to accelerate the cash flow inflows and does not raise the leverage of the balance sheet to a considerable level.</w:t>
      </w:r>
    </w:p>
    <w:p w14:paraId="0527769D" w14:textId="77777777" w:rsidR="00757959" w:rsidRDefault="00757959" w:rsidP="00757959">
      <w:pPr>
        <w:rPr>
          <w:b/>
          <w:bCs/>
          <w:lang w:val="en-GB"/>
        </w:rPr>
      </w:pPr>
      <w:r w:rsidRPr="00757959">
        <w:rPr>
          <w:lang w:val="en-GB"/>
        </w:rPr>
        <w:t>The diverse classification of the customers can be determined using the credit methods to make sure the valuable relations are maintained and the risks of being exposed to the non-paying customers are minimal. This would be of importance to Raharjo and Sari (2025) in the procedure of arriving at the executive decisions between the growth goals and the threat of liquidation. Payable renegotiation strategy must be pegged towards preventing the hassle of paying suppliers rather than trying to renegotiate with suppliers. The terms may also be negotiated with the core suppliers and it will also anticipate the cash flows and sustain long term relations. This ought to be realized by ethical conducts that will prolong payment delays as far as possible to prevent reputational damages and supply chain interruptions. Balboula and Shemes (2025) discovered that the troubled firms that take the terms of payment to excessive levels pay more cost of financing and management of boards.</w:t>
      </w:r>
    </w:p>
    <w:p w14:paraId="457D3651" w14:textId="63E93873" w:rsidR="0062550F" w:rsidRPr="00FA2D9A" w:rsidRDefault="001465C6" w:rsidP="00757959">
      <w:pPr>
        <w:pStyle w:val="Heading2"/>
        <w:rPr>
          <w:lang w:val="en-GB"/>
        </w:rPr>
      </w:pPr>
      <w:bookmarkStart w:id="74" w:name="_Toc217298036"/>
      <w:r w:rsidRPr="00FA2D9A">
        <w:rPr>
          <w:lang w:val="en-GB"/>
        </w:rPr>
        <w:lastRenderedPageBreak/>
        <w:t>3.4 Short-Term vs Long-Term Financing Choices</w:t>
      </w:r>
      <w:bookmarkEnd w:id="74"/>
    </w:p>
    <w:p w14:paraId="36D2EB67" w14:textId="77777777" w:rsidR="00757959" w:rsidRDefault="00757959" w:rsidP="00757959">
      <w:pPr>
        <w:rPr>
          <w:b/>
          <w:bCs/>
          <w:lang w:val="en-GB"/>
        </w:rPr>
      </w:pPr>
      <w:bookmarkStart w:id="75" w:name="_svhce488vww5" w:colFirst="0" w:colLast="0"/>
      <w:bookmarkEnd w:id="75"/>
      <w:r w:rsidRPr="00757959">
        <w:rPr>
          <w:lang w:val="en-GB"/>
        </w:rPr>
        <w:t>General Electronics has been living on short term revolving credit facilities since it was seized by the line of credit borrowing of 102,193million and the 120,000000 million repayment of 2024. At this roll over dependency, the firm would be exposed to refinancing risk in case the earnings would become volatile. Abubakar and Anyonje (2025) proceed to elaborate that in such a situation when the short-term leverage level is high, it further aggravates the financial weakness of operating cash flow which is poor. A closer maturity on a more long-term financing would also offer a better liquidity resiliency as it would be identical to the asset life and the financing life. The long-term capital will reduce the liquidity risk and balance the cash planning despite the fact that it will be more expensive in explicit cost. These authors Mpora et al. (2025) have pointed out that it is more comfortable as the companies struggle to reimburse its liquidity level as compared to reducing its expenses in the short run.</w:t>
      </w:r>
    </w:p>
    <w:p w14:paraId="754A95D3" w14:textId="5BADD50B" w:rsidR="0062550F" w:rsidRPr="00FA2D9A" w:rsidRDefault="001465C6" w:rsidP="0043349F">
      <w:pPr>
        <w:pStyle w:val="Heading2"/>
        <w:rPr>
          <w:lang w:val="en-GB"/>
        </w:rPr>
      </w:pPr>
      <w:bookmarkStart w:id="76" w:name="_Toc217298037"/>
      <w:r w:rsidRPr="00FA2D9A">
        <w:rPr>
          <w:lang w:val="en-GB"/>
        </w:rPr>
        <w:t>3.5 CFO Evaluation of Working Capital Reforms</w:t>
      </w:r>
      <w:bookmarkEnd w:id="76"/>
    </w:p>
    <w:p w14:paraId="4962C40D" w14:textId="77777777" w:rsidR="0062550F" w:rsidRPr="00FA2D9A" w:rsidRDefault="001465C6" w:rsidP="0043349F">
      <w:pPr>
        <w:rPr>
          <w:lang w:val="en-GB"/>
        </w:rPr>
      </w:pPr>
      <w:r w:rsidRPr="00FA2D9A">
        <w:rPr>
          <w:lang w:val="en-GB"/>
        </w:rPr>
        <w:t>As a CFO, cash stabilisation should first focus on the reduction of inventory and acceleration of receivables. These changes are necessary in order to regain operating cash flow predictability and short-term debt. Successful financial restructuring and long-term recovery are a prerequisite for effective working capital discipline.</w:t>
      </w:r>
    </w:p>
    <w:p w14:paraId="6D07FF10" w14:textId="77777777" w:rsidR="0062550F" w:rsidRPr="00FA2D9A" w:rsidRDefault="001465C6" w:rsidP="0043349F">
      <w:pPr>
        <w:pStyle w:val="Heading1"/>
        <w:rPr>
          <w:lang w:val="en-GB"/>
        </w:rPr>
      </w:pPr>
      <w:bookmarkStart w:id="77" w:name="_3q2iwwbf3772" w:colFirst="0" w:colLast="0"/>
      <w:bookmarkStart w:id="78" w:name="_Toc217298038"/>
      <w:bookmarkEnd w:id="77"/>
      <w:r w:rsidRPr="00FA2D9A">
        <w:rPr>
          <w:lang w:val="en-GB"/>
        </w:rPr>
        <w:t>4. Strategic Financial Restructuring Plan</w:t>
      </w:r>
      <w:bookmarkEnd w:id="78"/>
    </w:p>
    <w:p w14:paraId="66D0E892" w14:textId="77777777" w:rsidR="0062550F" w:rsidRPr="00FA2D9A" w:rsidRDefault="001465C6" w:rsidP="0043349F">
      <w:pPr>
        <w:pStyle w:val="Heading2"/>
        <w:rPr>
          <w:lang w:val="en-GB"/>
        </w:rPr>
      </w:pPr>
      <w:bookmarkStart w:id="79" w:name="_p2jrglwhufp" w:colFirst="0" w:colLast="0"/>
      <w:bookmarkStart w:id="80" w:name="_Toc217298039"/>
      <w:bookmarkEnd w:id="79"/>
      <w:r w:rsidRPr="00FA2D9A">
        <w:rPr>
          <w:lang w:val="en-GB"/>
        </w:rPr>
        <w:t>4.1 Rationale for Financial Restructuring</w:t>
      </w:r>
      <w:bookmarkEnd w:id="80"/>
    </w:p>
    <w:p w14:paraId="77770845" w14:textId="30053995" w:rsidR="0062550F" w:rsidRDefault="001465C6" w:rsidP="0043349F">
      <w:pPr>
        <w:rPr>
          <w:lang w:val="en-GB"/>
        </w:rPr>
      </w:pPr>
      <w:r w:rsidRPr="00FA2D9A">
        <w:rPr>
          <w:lang w:val="en-GB"/>
        </w:rPr>
        <w:t xml:space="preserve">Genera Electronics needs immediate financial reorganisation because of its steady losses in its operations and the deterioration of the balance sheet. The operating income, which had declined to a loss of -15,297 million in 2024, was due to structural inefficiencies but not temporary shocks as demonstrated in 2020 (Grundfos, 2021). </w:t>
      </w:r>
      <w:r w:rsidR="008549C6">
        <w:rPr>
          <w:lang w:val="en-GB"/>
        </w:rPr>
        <w:t>L</w:t>
      </w:r>
      <w:r w:rsidRPr="00FA2D9A">
        <w:rPr>
          <w:lang w:val="en-GB"/>
        </w:rPr>
        <w:t xml:space="preserve">ong operating losses make corporations vulnerable to multidimensional crises considerably. The equity base of the firm has worsened significantly, with retained earnings reducing by 153,105 million to 208,431 million, and with retained earnings decreasing by 313,301 million to 153,105 million. This loss of equity diminishes the capacity to absorb losses and makes use of debts to finance these operations. Hamdani et al. (2025) note that the deterioration of equity increases financial distress in case institutional confidence is low. Increasing leverage and negative earnings per share of -1.85 in 2024 have hurt investor and creditor confidence. There was a rise in the debt-to-equity ratio to about 1.11 in 2024, which is an indicator of increased financial risks. According to Mahesh et al. (2025), increasing leverage in the period of </w:t>
      </w:r>
      <w:r w:rsidRPr="00FA2D9A">
        <w:rPr>
          <w:lang w:val="en-GB"/>
        </w:rPr>
        <w:lastRenderedPageBreak/>
        <w:t>falling profits is a common precursor to forced restructuring in both emerging and established markets.</w:t>
      </w:r>
    </w:p>
    <w:p w14:paraId="2EAE9FD0" w14:textId="77777777" w:rsidR="00757959" w:rsidRPr="00757959" w:rsidRDefault="00757959" w:rsidP="00757959">
      <w:pPr>
        <w:pStyle w:val="Heading2"/>
        <w:rPr>
          <w:lang w:val="en-GB"/>
        </w:rPr>
      </w:pPr>
      <w:bookmarkStart w:id="81" w:name="_Toc217298040"/>
      <w:r w:rsidRPr="00757959">
        <w:rPr>
          <w:lang w:val="en-GB"/>
        </w:rPr>
        <w:t>4.2 Restructuring Options Evaluation</w:t>
      </w:r>
      <w:bookmarkEnd w:id="81"/>
    </w:p>
    <w:p w14:paraId="7C35C002" w14:textId="77777777" w:rsidR="00757959" w:rsidRPr="00757959" w:rsidRDefault="00757959" w:rsidP="00757959">
      <w:pPr>
        <w:rPr>
          <w:lang w:val="en-GB"/>
        </w:rPr>
      </w:pPr>
      <w:r w:rsidRPr="00757959">
        <w:rPr>
          <w:lang w:val="en-GB"/>
        </w:rPr>
        <w:t>Divestiture is a quick and less risky restructuring tool. In 2024, General Electronics has property, plant and equipment of £34207 million and intangible assets of 24038 million. Cash can be generated by the elective sale of non-core or underperforming assets without compromising the core business. This also makes asset divestment a way of concentrating strategy through the redirection of resources into lucrative areas. Elheseny et al. (2025) noted that those firms that engage in early asset rationalisation lower the likelihood of default by balancing cash flows. Another very essential option is that of equity injection. A rights issue would help to boost the equity base and minimise leverage, but at the expense of existing shareholders. Instead, a strategic investor might make a capital investment in addition to technological or market knowledge. The equity of shareholders constituted a mere 47% of the total assets in 2024, as compared to 6% in 2020. This move highlights the necessity of recapitalisation to bring back balance-sheet robustness. Melinda and Hariyanto (2025) argue that in situations where credible governance reforms accompany equity reinforcement in times of distress, stock returns will stabilise.</w:t>
      </w:r>
    </w:p>
    <w:p w14:paraId="49FBA34C" w14:textId="4D3D093E" w:rsidR="00757959" w:rsidRPr="00FA2D9A" w:rsidRDefault="00757959" w:rsidP="00757959">
      <w:pPr>
        <w:rPr>
          <w:lang w:val="en-GB"/>
        </w:rPr>
      </w:pPr>
      <w:r w:rsidRPr="00757959">
        <w:rPr>
          <w:lang w:val="en-GB"/>
        </w:rPr>
        <w:t xml:space="preserve">Restructuring of debts is also necessary as the firm is dependent on short-term credit facilities. The lines of credit stood at </w:t>
      </w:r>
      <w:r w:rsidR="00AC3C58" w:rsidRPr="00AC3C58">
        <w:rPr>
          <w:lang w:val="en-GB"/>
        </w:rPr>
        <w:t>£</w:t>
      </w:r>
      <w:r w:rsidRPr="00757959">
        <w:rPr>
          <w:lang w:val="en-GB"/>
        </w:rPr>
        <w:t>36,960 million in 2024, putting the company in danger of refinancing. Reducing liquidity by refinancing short-term borrowings with long-term instruments would also help match the maturity of debts with the asset life. Renegotiation of the covenants can also be necessary to avoid technical default since the profitability is still low. Pratiwi and Fauzan (2025) demonstrated that mergers or strategic alliances have long-term strategic benefits. Technology sharing partnerships may also result in lower costs of research and development, and alliances may enhance market penetration in expansion zones. This would enable General Electronics to exploit the capabilities of others without necessarily incurring upfront costs. The application of collaborative strategies in distressed firms is becoming more common in order to deal with geopolitical and market disruptions.</w:t>
      </w:r>
    </w:p>
    <w:p w14:paraId="290F95BD" w14:textId="77777777" w:rsidR="0062550F" w:rsidRPr="00FA2D9A" w:rsidRDefault="001465C6" w:rsidP="0043349F">
      <w:pPr>
        <w:pStyle w:val="Heading2"/>
        <w:rPr>
          <w:lang w:val="en-GB"/>
        </w:rPr>
      </w:pPr>
      <w:bookmarkStart w:id="82" w:name="_39fa3xu6hwv9" w:colFirst="0" w:colLast="0"/>
      <w:bookmarkStart w:id="83" w:name="_fl4xy44b2af5" w:colFirst="0" w:colLast="0"/>
      <w:bookmarkStart w:id="84" w:name="_Toc217298041"/>
      <w:bookmarkEnd w:id="82"/>
      <w:bookmarkEnd w:id="83"/>
      <w:r w:rsidRPr="00FA2D9A">
        <w:rPr>
          <w:lang w:val="en-GB"/>
        </w:rPr>
        <w:t>4.3 Impact on Shareholder Value and Capital Structure</w:t>
      </w:r>
      <w:bookmarkEnd w:id="84"/>
    </w:p>
    <w:p w14:paraId="55F04D0C" w14:textId="38EB1574" w:rsidR="0062550F" w:rsidRPr="00FA2D9A" w:rsidRDefault="001465C6" w:rsidP="0043349F">
      <w:pPr>
        <w:rPr>
          <w:lang w:val="en-GB"/>
        </w:rPr>
      </w:pPr>
      <w:r w:rsidRPr="00FA2D9A">
        <w:rPr>
          <w:lang w:val="en-GB"/>
        </w:rPr>
        <w:t xml:space="preserve">The restructuring of finances will have an impact on the value of shareholders and capital structure. The expected benefits of divestitures and equity infusion are the enhancement of the return on equity in the long term by stabilising earnings and </w:t>
      </w:r>
      <w:r w:rsidRPr="00FA2D9A">
        <w:rPr>
          <w:lang w:val="en-GB"/>
        </w:rPr>
        <w:lastRenderedPageBreak/>
        <w:t>lowering financial risk. The 2024 ROE was about -15.7; it is a value destruction. A strong equity base would smooth leverage and lower earnings volatility. The decrease in leverage would reduce the cost of capital of the firm since the perceived default risk would be decreased. The debt-to-equity ratio of 1.11 is an indication of low borrowing power. In contrast, the leverage should be restored to a more historical range of values, which would make the financial flexibility and investor confidence more robust. Mahesh et al. (2025)</w:t>
      </w:r>
      <w:r w:rsidR="00F74332">
        <w:rPr>
          <w:lang w:val="en-GB"/>
        </w:rPr>
        <w:t xml:space="preserve"> stated that</w:t>
      </w:r>
      <w:r w:rsidRPr="00FA2D9A">
        <w:rPr>
          <w:lang w:val="en-GB"/>
        </w:rPr>
        <w:t xml:space="preserve"> reinstating recovery in a financial crisis firm heavily depends on a balanced capital structure. There is a series of activities in the balance-sheet repair pathway. Divestiture has to be followed by debt refinancing and selective equity issuance, which would result in initial cash generation. This incremental strategy will reduce the dilution and enhance the solvency rates. Hamdani et al. (2025) claim</w:t>
      </w:r>
      <w:r w:rsidR="004F49B2">
        <w:rPr>
          <w:lang w:val="en-GB"/>
        </w:rPr>
        <w:t>ed</w:t>
      </w:r>
      <w:r w:rsidRPr="00FA2D9A">
        <w:rPr>
          <w:lang w:val="en-GB"/>
        </w:rPr>
        <w:t xml:space="preserve"> that slow restructuring, in line with governance reform, is more effective than sudden recapitalisation.</w:t>
      </w:r>
    </w:p>
    <w:p w14:paraId="7EC8B9F2" w14:textId="77777777" w:rsidR="0062550F" w:rsidRPr="00FA2D9A" w:rsidRDefault="001465C6" w:rsidP="0043349F">
      <w:pPr>
        <w:pStyle w:val="Heading2"/>
        <w:rPr>
          <w:lang w:val="en-GB"/>
        </w:rPr>
      </w:pPr>
      <w:bookmarkStart w:id="85" w:name="_2h3ilevobcz" w:colFirst="0" w:colLast="0"/>
      <w:bookmarkStart w:id="86" w:name="_Toc217298042"/>
      <w:bookmarkEnd w:id="85"/>
      <w:r w:rsidRPr="00FA2D9A">
        <w:rPr>
          <w:lang w:val="en-GB"/>
        </w:rPr>
        <w:t>4.4 Operational Flexibility and Strategic Control</w:t>
      </w:r>
      <w:bookmarkEnd w:id="86"/>
    </w:p>
    <w:p w14:paraId="75926B07" w14:textId="77777777" w:rsidR="0062550F" w:rsidRPr="00FA2D9A" w:rsidRDefault="001465C6" w:rsidP="0043349F">
      <w:pPr>
        <w:rPr>
          <w:lang w:val="en-GB"/>
        </w:rPr>
      </w:pPr>
      <w:r w:rsidRPr="00FA2D9A">
        <w:rPr>
          <w:lang w:val="en-GB"/>
        </w:rPr>
        <w:t>Effective restructuring would make a lot of difference in the flexibility of operations. The decreased short-term debt level would stabilise the cash flow planning and reduce the pressure on refinancing. The operating cash flow in 2024 was only 14,822 million, and it is important to predict it. As Elheseny et al. point out (2025), greater stability in cash flow will lead to lower indirect costs of financial distress, including the risk premiums on suppliers. Reduced financial distress expenses would enable the management to concentrate on strategic projects as opposed to liquidity firefighting. Increased strategic control would facilitate long-term competitiveness as it would allow investing in innovation and repositioning in the market. Mahesh et al. (2025) have associated the post-restructuring flexibility with the long-term performance recovery.</w:t>
      </w:r>
    </w:p>
    <w:p w14:paraId="0D20DDF6" w14:textId="77777777" w:rsidR="0062550F" w:rsidRPr="00FA2D9A" w:rsidRDefault="001465C6" w:rsidP="0043349F">
      <w:pPr>
        <w:pStyle w:val="Heading2"/>
        <w:rPr>
          <w:lang w:val="en-GB"/>
        </w:rPr>
      </w:pPr>
      <w:bookmarkStart w:id="87" w:name="_le6dg3pk9ygu" w:colFirst="0" w:colLast="0"/>
      <w:bookmarkStart w:id="88" w:name="_Toc217298043"/>
      <w:bookmarkEnd w:id="87"/>
      <w:r w:rsidRPr="00FA2D9A">
        <w:rPr>
          <w:lang w:val="en-GB"/>
        </w:rPr>
        <w:t>4.5 International and Ethical Considerations</w:t>
      </w:r>
      <w:bookmarkEnd w:id="88"/>
    </w:p>
    <w:p w14:paraId="5BA48749" w14:textId="75457D03" w:rsidR="00757959" w:rsidRDefault="00757959" w:rsidP="0043349F">
      <w:pPr>
        <w:rPr>
          <w:lang w:val="en-GB"/>
        </w:rPr>
      </w:pPr>
      <w:r w:rsidRPr="00757959">
        <w:rPr>
          <w:lang w:val="en-GB"/>
        </w:rPr>
        <w:t xml:space="preserve">General Electric is vulnerable to the currency risk since the loss of foreign exchange in the foreign exchange will be realized in 2024 at </w:t>
      </w:r>
      <w:r w:rsidR="00AC3C58" w:rsidRPr="00AC3C58">
        <w:rPr>
          <w:lang w:val="en-GB"/>
        </w:rPr>
        <w:t>£</w:t>
      </w:r>
      <w:r w:rsidRPr="00757959">
        <w:rPr>
          <w:lang w:val="en-GB"/>
        </w:rPr>
        <w:t xml:space="preserve">2,598 million of foreign exchange. The current active currency risks must be addressed to ensure that the cash flows are put under control. Prices of inputs may also be high due to inflationary pressures and that is the reason why the global sourcing practices must be globally diverse. Tax transparency is one of the ethical concerns that ought to be considered during restructuring. Financial distress may encourage such behaviours and, in fact, such behaviours may convey an increment in the regulatory and reputational risk. Marfuah et al., (2025) indicated that the scrutiny by the government is more targeted at the </w:t>
      </w:r>
      <w:r w:rsidRPr="00757959">
        <w:rPr>
          <w:lang w:val="en-GB"/>
        </w:rPr>
        <w:lastRenderedPageBreak/>
        <w:t>troubled companies that have engaged in tax avoidance. The restructuring is also to be provided within the framework of the ESG considerations. The workforce that has been developed in a responsible manner should be affected by divestiture and cost cuts to make them socially legitimate. The article authored by Melinda and Hariyanto (2025) demonstrates that plausible CSR will somewhat counterbalance such a negative perception in the market in those cases when it is difficult to reorganise a company.</w:t>
      </w:r>
    </w:p>
    <w:p w14:paraId="783B3F01" w14:textId="77777777" w:rsidR="00596111" w:rsidRPr="00FA2D9A" w:rsidRDefault="00596111" w:rsidP="0043349F">
      <w:pPr>
        <w:rPr>
          <w:lang w:val="en-GB"/>
        </w:rPr>
      </w:pPr>
    </w:p>
    <w:p w14:paraId="4EA16CD4" w14:textId="77777777" w:rsidR="0062550F" w:rsidRPr="00FA2D9A" w:rsidRDefault="001465C6" w:rsidP="0043349F">
      <w:pPr>
        <w:pStyle w:val="Heading1"/>
        <w:rPr>
          <w:lang w:val="en-GB"/>
        </w:rPr>
      </w:pPr>
      <w:bookmarkStart w:id="89" w:name="_24dvl14sd0rr" w:colFirst="0" w:colLast="0"/>
      <w:bookmarkStart w:id="90" w:name="_Toc217298044"/>
      <w:bookmarkEnd w:id="89"/>
      <w:r w:rsidRPr="00FA2D9A">
        <w:rPr>
          <w:lang w:val="en-GB"/>
        </w:rPr>
        <w:t>5. Investment Appraisal and Capital Budgeting</w:t>
      </w:r>
      <w:bookmarkEnd w:id="90"/>
    </w:p>
    <w:p w14:paraId="21D8D2EA" w14:textId="77777777" w:rsidR="0062550F" w:rsidRPr="00FA2D9A" w:rsidRDefault="001465C6" w:rsidP="0043349F">
      <w:pPr>
        <w:pStyle w:val="Heading2"/>
        <w:rPr>
          <w:lang w:val="en-GB"/>
        </w:rPr>
      </w:pPr>
      <w:bookmarkStart w:id="91" w:name="_29lk1qq08gz8" w:colFirst="0" w:colLast="0"/>
      <w:bookmarkStart w:id="92" w:name="_Toc217298045"/>
      <w:bookmarkEnd w:id="91"/>
      <w:r w:rsidRPr="00FA2D9A">
        <w:rPr>
          <w:lang w:val="en-GB"/>
        </w:rPr>
        <w:t>5.1 Capital Rationing Context</w:t>
      </w:r>
      <w:bookmarkEnd w:id="92"/>
    </w:p>
    <w:p w14:paraId="19ACB433" w14:textId="70930F44" w:rsidR="00757959" w:rsidRDefault="00757959" w:rsidP="00757959">
      <w:pPr>
        <w:rPr>
          <w:b/>
          <w:bCs/>
          <w:lang w:val="en-GB"/>
        </w:rPr>
      </w:pPr>
      <w:bookmarkStart w:id="93" w:name="_nj72aoqbnrdk" w:colFirst="0" w:colLast="0"/>
      <w:bookmarkEnd w:id="93"/>
      <w:r w:rsidRPr="00757959">
        <w:rPr>
          <w:lang w:val="en-GB"/>
        </w:rPr>
        <w:t>General Electronics has a capital rationing limit; it is the sum that the sum that General Electronics can invest is subjected to. This weakness is due to the low level of liquidity and an escalation of the solvency risk that is evident in the weakening operating cash flows and the high value of leverage. The CFO is therefore supposed to make sure that he does prioritize the projects that can create maximum value at minimal capital and stay liquid. Sapitri and Yusra (2025) recommend that it is necessary to ensure that process of capital allocation is executed in a disciplined way when the company is in a financial turmoil otherwise it will further wipe out value. The company financial zeal is low and as a result, the FO investment philosophy is founded on the maximisation of shareholder wealth which is exposed to risk and to timing of cash flow. The projects will need to bring certain economic value and it should not be a burden on the cash flow of the short term. Zhou et al. (2025) state that value-based decision-making is more topical during the distress period and at a low level of financial freedom in particular.</w:t>
      </w:r>
    </w:p>
    <w:p w14:paraId="69E93969" w14:textId="7A0129C7" w:rsidR="0062550F" w:rsidRPr="00FA2D9A" w:rsidRDefault="001465C6" w:rsidP="0043349F">
      <w:pPr>
        <w:pStyle w:val="Heading2"/>
        <w:rPr>
          <w:lang w:val="en-GB"/>
        </w:rPr>
      </w:pPr>
      <w:bookmarkStart w:id="94" w:name="_Toc217298046"/>
      <w:r w:rsidRPr="00FA2D9A">
        <w:rPr>
          <w:lang w:val="en-GB"/>
        </w:rPr>
        <w:t>5.2 Project Cash Flow Profiles and Risk</w:t>
      </w:r>
      <w:bookmarkEnd w:id="94"/>
    </w:p>
    <w:p w14:paraId="6ABE441B" w14:textId="36D446D1" w:rsidR="00596111" w:rsidRDefault="00596111" w:rsidP="00596111">
      <w:pPr>
        <w:rPr>
          <w:b/>
          <w:bCs/>
          <w:lang w:val="en-GB"/>
        </w:rPr>
      </w:pPr>
      <w:bookmarkStart w:id="95" w:name="_70d9acus85uy" w:colFirst="0" w:colLast="0"/>
      <w:bookmarkEnd w:id="95"/>
      <w:r w:rsidRPr="00596111">
        <w:rPr>
          <w:lang w:val="en-GB"/>
        </w:rPr>
        <w:t xml:space="preserve">The 3 proposed projects and cash flow are different in terms of risk characteristics. Project A must be first invested with initial investment of 40M and the payments have relatively similar inflows of cash throughout the life in five years period with one of the highest rates of 14M in 3rd year. Project B will entail a lower initial capital expenditure of </w:t>
      </w:r>
      <w:r w:rsidR="00AC3C58" w:rsidRPr="00AC3C58">
        <w:rPr>
          <w:lang w:val="en-GB"/>
        </w:rPr>
        <w:t>£</w:t>
      </w:r>
      <w:r w:rsidRPr="00596111">
        <w:rPr>
          <w:lang w:val="en-GB"/>
        </w:rPr>
        <w:t>30</w:t>
      </w:r>
      <w:r w:rsidR="00AC3C58">
        <w:rPr>
          <w:lang w:val="en-GB"/>
        </w:rPr>
        <w:t xml:space="preserve"> </w:t>
      </w:r>
      <w:r w:rsidRPr="00596111">
        <w:rPr>
          <w:lang w:val="en-GB"/>
        </w:rPr>
        <w:t xml:space="preserve">million and will yield the same inflows of income of 6million annually without much fluctuation and growth opportunities. The highest investment made in project C will be </w:t>
      </w:r>
      <w:r w:rsidR="00AC3C58" w:rsidRPr="00AC3C58">
        <w:rPr>
          <w:lang w:val="en-GB"/>
        </w:rPr>
        <w:t>£</w:t>
      </w:r>
      <w:r w:rsidRPr="00596111">
        <w:rPr>
          <w:lang w:val="en-GB"/>
        </w:rPr>
        <w:t xml:space="preserve">50 million and the cash inflows made in the form of backloading will be high in the 4th year at </w:t>
      </w:r>
      <w:r w:rsidR="00AC3C58" w:rsidRPr="00AC3C58">
        <w:rPr>
          <w:lang w:val="en-GB"/>
        </w:rPr>
        <w:t>£</w:t>
      </w:r>
      <w:r w:rsidRPr="00596111">
        <w:rPr>
          <w:lang w:val="en-GB"/>
        </w:rPr>
        <w:t>25</w:t>
      </w:r>
      <w:r>
        <w:rPr>
          <w:lang w:val="en-GB"/>
        </w:rPr>
        <w:t xml:space="preserve"> </w:t>
      </w:r>
      <w:r w:rsidRPr="00596111">
        <w:rPr>
          <w:lang w:val="en-GB"/>
        </w:rPr>
        <w:t xml:space="preserve">million. Project B is predictable risk that is low-upside and Project C has higher timing risk since it has higher break-even period. However, the Project </w:t>
      </w:r>
      <w:r w:rsidRPr="00596111">
        <w:rPr>
          <w:lang w:val="en-GB"/>
        </w:rPr>
        <w:lastRenderedPageBreak/>
        <w:t>C is closer to the sphere of strategic renewal as it assists in growth-oriented programs. The larger troubled companies should consider the benefit of scale alongside the risk of time where the companies would get the cash flow upon making the investment (Pratiwi and Yunita, 2025).</w:t>
      </w:r>
    </w:p>
    <w:p w14:paraId="14B3EB61" w14:textId="4B21CCE5" w:rsidR="0062550F" w:rsidRPr="00FA2D9A" w:rsidRDefault="001465C6" w:rsidP="0043349F">
      <w:pPr>
        <w:pStyle w:val="Heading2"/>
        <w:rPr>
          <w:lang w:val="en-GB"/>
        </w:rPr>
      </w:pPr>
      <w:bookmarkStart w:id="96" w:name="_Toc217298047"/>
      <w:r w:rsidRPr="00FA2D9A">
        <w:rPr>
          <w:lang w:val="en-GB"/>
        </w:rPr>
        <w:t>5.3 Payback Period (PBP) Analysis</w:t>
      </w:r>
      <w:bookmarkEnd w:id="96"/>
    </w:p>
    <w:p w14:paraId="5559B1AB" w14:textId="43C7F978" w:rsidR="0062550F" w:rsidRPr="00FA2D9A" w:rsidRDefault="001465C6" w:rsidP="0043349F">
      <w:pPr>
        <w:rPr>
          <w:lang w:val="en-GB"/>
        </w:rPr>
      </w:pPr>
      <w:r w:rsidRPr="00FA2D9A">
        <w:rPr>
          <w:lang w:val="en-GB"/>
        </w:rPr>
        <w:t xml:space="preserve">The payback period evaluates the rate at which the cumulative cash inflows are recovered on the initial expenditure, and hence it is of special interest to liquidity-constrained companies. In Project A, cumulative inflows are 36million and 46million in Years 3 and 4, respectively. The remaining £4 million is recuperated in 0.4 of Year 4, and </w:t>
      </w:r>
      <w:r w:rsidR="00AC3C58" w:rsidRPr="00FA2D9A">
        <w:rPr>
          <w:lang w:val="en-GB"/>
        </w:rPr>
        <w:t>it’s</w:t>
      </w:r>
      <w:r w:rsidRPr="00FA2D9A">
        <w:rPr>
          <w:lang w:val="en-GB"/>
        </w:rPr>
        <w:t xml:space="preserve"> payback period is about 3.4 years. Project B would have ultimately recovered its investment of </w:t>
      </w:r>
      <w:r w:rsidR="00AC3C58" w:rsidRPr="00AC3C58">
        <w:rPr>
          <w:lang w:val="en-GB"/>
        </w:rPr>
        <w:t>£</w:t>
      </w:r>
      <w:r w:rsidRPr="00FA2D9A">
        <w:rPr>
          <w:lang w:val="en-GB"/>
        </w:rPr>
        <w:t>30 million at the close of the 5th Year, giving it a payback period of 5 years. In Year 3 and Year 4, Project C shows a 4-year payback period of accumulating by £35 million and £60 million, respectively. When it comes to liquidity, Project A will be the most appealing. The payback method, however, does not take into account cash flows that occur after the cut-off point and also fails to take time value of money. Sulehri et al. (2025) warn</w:t>
      </w:r>
      <w:r w:rsidR="00E623BC">
        <w:rPr>
          <w:lang w:val="en-GB"/>
        </w:rPr>
        <w:t>ed</w:t>
      </w:r>
      <w:r w:rsidRPr="00FA2D9A">
        <w:rPr>
          <w:lang w:val="en-GB"/>
        </w:rPr>
        <w:t xml:space="preserve"> that the use of payback could tend to make decisions to favour high-value, although longer-term projects.</w:t>
      </w:r>
    </w:p>
    <w:p w14:paraId="6D01C742" w14:textId="77777777" w:rsidR="0062550F" w:rsidRPr="00FA2D9A" w:rsidRDefault="001465C6" w:rsidP="0043349F">
      <w:pPr>
        <w:pStyle w:val="Heading2"/>
        <w:rPr>
          <w:lang w:val="en-GB"/>
        </w:rPr>
      </w:pPr>
      <w:bookmarkStart w:id="97" w:name="_5eimy3y4zjed" w:colFirst="0" w:colLast="0"/>
      <w:bookmarkStart w:id="98" w:name="_Toc217298048"/>
      <w:bookmarkEnd w:id="97"/>
      <w:r w:rsidRPr="00FA2D9A">
        <w:rPr>
          <w:lang w:val="en-GB"/>
        </w:rPr>
        <w:t>5.4 Accounting Rate of Return (ARR)</w:t>
      </w:r>
      <w:bookmarkEnd w:id="98"/>
    </w:p>
    <w:p w14:paraId="78461C85" w14:textId="2C8C8190" w:rsidR="0062550F" w:rsidRPr="00FA2D9A" w:rsidRDefault="001465C6" w:rsidP="0043349F">
      <w:pPr>
        <w:rPr>
          <w:lang w:val="en-GB"/>
        </w:rPr>
      </w:pPr>
      <w:r w:rsidRPr="00FA2D9A">
        <w:rPr>
          <w:lang w:val="en-GB"/>
        </w:rPr>
        <w:t xml:space="preserve">AR utilises average accounting profit and compares it with initial investment, concentrating on reported profitability and not on the cash flows. All projects are expected to be depreciated straight to zero. In project A, depreciation is being done at an annual rate of £8 million. The projected five-year average profit of the company is </w:t>
      </w:r>
      <w:r w:rsidR="00AC3C58" w:rsidRPr="00AC3C58">
        <w:rPr>
          <w:lang w:val="en-GB"/>
        </w:rPr>
        <w:t>£</w:t>
      </w:r>
      <w:r w:rsidRPr="00FA2D9A">
        <w:rPr>
          <w:lang w:val="en-GB"/>
        </w:rPr>
        <w:t>2.8 million per year, which translates to a 7% ARR. Depreciation in project B is also 6 million/year, of which the annual cash inflows are precisely compensated, resulting in an ARR of 0. Project C has a depreciation of 10 million per annum and an average profit of 5 million per annum with an ARR of 10%. Even though Project C is best performed based on ARR, accounting conventions distort the approach and disregard the timing of cash flows. Metwally et al. (2025) note that measures of profitability can falsely represent the economic value in times of financial crisis.</w:t>
      </w:r>
    </w:p>
    <w:p w14:paraId="34C109BC" w14:textId="77777777" w:rsidR="0062550F" w:rsidRPr="00FA2D9A" w:rsidRDefault="001465C6" w:rsidP="0043349F">
      <w:pPr>
        <w:pStyle w:val="Heading2"/>
        <w:rPr>
          <w:lang w:val="en-GB"/>
        </w:rPr>
      </w:pPr>
      <w:bookmarkStart w:id="99" w:name="_utbvcc2srd1g" w:colFirst="0" w:colLast="0"/>
      <w:bookmarkStart w:id="100" w:name="_Toc217298049"/>
      <w:bookmarkEnd w:id="99"/>
      <w:r w:rsidRPr="00FA2D9A">
        <w:rPr>
          <w:lang w:val="en-GB"/>
        </w:rPr>
        <w:t>5.5 Net Present Value (NPV) Analysis</w:t>
      </w:r>
      <w:bookmarkEnd w:id="100"/>
    </w:p>
    <w:p w14:paraId="5511C986" w14:textId="77777777" w:rsidR="00596111" w:rsidRDefault="00596111" w:rsidP="00596111">
      <w:pPr>
        <w:rPr>
          <w:b/>
          <w:bCs/>
          <w:lang w:val="en-GB"/>
        </w:rPr>
      </w:pPr>
      <w:bookmarkStart w:id="101" w:name="_6qt1g88bzt9c" w:colFirst="0" w:colLast="0"/>
      <w:bookmarkEnd w:id="101"/>
      <w:r w:rsidRPr="00596111">
        <w:rPr>
          <w:lang w:val="en-GB"/>
        </w:rPr>
        <w:t xml:space="preserve">It is a straightforward step of calculating the wealth of shareholders because NPV adjusts the present values of cash flows of any company and assumes the cost of capital to be 10 percent. This has been discovered to be the most theoretically correct appraisal tool. The present cash inflows of 41.31 million under Project A will be as </w:t>
      </w:r>
      <w:r w:rsidRPr="00596111">
        <w:rPr>
          <w:lang w:val="en-GB"/>
        </w:rPr>
        <w:lastRenderedPageBreak/>
        <w:t>follows in a table below Project B discounted cash inflows of about 22.75 million will therefore give negative NPV of 7.25 million. The discounted inflows in project c amount to about 54.23 million and the highest of 4.23 million NPV of the project. All this suggests that, Project A and C are value adding and Project B is value destroying. It is the most stable criteria of prioritizing the projects within the uncertain environment, i.e., within a troubled environment as Liu, Suzuki and Du (2025) say.</w:t>
      </w:r>
    </w:p>
    <w:p w14:paraId="36A7C8AA" w14:textId="5AD5BF1E" w:rsidR="0062550F" w:rsidRPr="00FA2D9A" w:rsidRDefault="001465C6" w:rsidP="0043349F">
      <w:pPr>
        <w:pStyle w:val="Heading2"/>
        <w:rPr>
          <w:lang w:val="en-GB"/>
        </w:rPr>
      </w:pPr>
      <w:bookmarkStart w:id="102" w:name="_Toc217298050"/>
      <w:r w:rsidRPr="00FA2D9A">
        <w:rPr>
          <w:lang w:val="en-GB"/>
        </w:rPr>
        <w:t>5.6 Internal Rate of Return (IRR) and Profitability Index (PI)</w:t>
      </w:r>
      <w:bookmarkEnd w:id="102"/>
    </w:p>
    <w:p w14:paraId="25CDBEE6" w14:textId="77777777" w:rsidR="00596111" w:rsidRDefault="00596111" w:rsidP="00596111">
      <w:pPr>
        <w:rPr>
          <w:b/>
          <w:bCs/>
          <w:lang w:val="en-GB"/>
        </w:rPr>
      </w:pPr>
      <w:bookmarkStart w:id="103" w:name="_qhf368lhma5c" w:colFirst="0" w:colLast="0"/>
      <w:bookmarkEnd w:id="103"/>
      <w:r w:rsidRPr="00596111">
        <w:rPr>
          <w:lang w:val="en-GB"/>
        </w:rPr>
        <w:t>IRR will be assumed to be the discount rate and NPV to be zero. The IRR of project A is more or less 11 and slightly higher than the cost of capital. Project B does not have a zero IRR and does not mean that the project is not attractive. Project C has high reoccurrence chances since the IRR stood at about 13-14. Profitability index is the amount that is produced on the amount invested. The utmost one is Project A, PI 1.03, Project B, PI 0.76 and Project C, PI 1.08. PI is also applicable in the cases where the available projects in the capital rationing require prioritization. In their study, Kalbuana et al. (2026) mention that IRR and PI combination will offer greater assistance to the decision-making process in the event of low finances. This can be attributed to the fact that, since Project A is defined on the basis of a greater payback, NPV and PI are high in project C.</w:t>
      </w:r>
    </w:p>
    <w:p w14:paraId="255C1592" w14:textId="3991B4B1" w:rsidR="0062550F" w:rsidRPr="00FA2D9A" w:rsidRDefault="001465C6" w:rsidP="0043349F">
      <w:pPr>
        <w:pStyle w:val="Heading2"/>
        <w:rPr>
          <w:lang w:val="en-GB"/>
        </w:rPr>
      </w:pPr>
      <w:bookmarkStart w:id="104" w:name="_Toc217298051"/>
      <w:r w:rsidRPr="00FA2D9A">
        <w:rPr>
          <w:lang w:val="en-GB"/>
        </w:rPr>
        <w:t>5.7 Capital-Rationed Decision and Recommendation</w:t>
      </w:r>
      <w:bookmarkEnd w:id="104"/>
    </w:p>
    <w:p w14:paraId="72A5E64B" w14:textId="247CF2F0" w:rsidR="00596111" w:rsidRDefault="00596111" w:rsidP="00596111">
      <w:pPr>
        <w:rPr>
          <w:b/>
          <w:bCs/>
          <w:lang w:val="en-GB"/>
        </w:rPr>
      </w:pPr>
      <w:bookmarkStart w:id="105" w:name="_tf32xekwr9cw" w:colFirst="0" w:colLast="0"/>
      <w:bookmarkEnd w:id="105"/>
      <w:r w:rsidRPr="00596111">
        <w:rPr>
          <w:lang w:val="en-GB"/>
        </w:rPr>
        <w:t>Since the ceiling of the investment is 60 million, then the best alternative would be project C whereby the sole investment of 50 million with the maximum NPV and PI is to be taken. Project A would also not be risky with regard to payback and joint venture Project A-C would exceed the capital limit. Project B should not be accepted as it is typified with the negative NPV and low profitability. The project C will be the most balanced one in terms of the value creation and strategic recovery criteria. It creates the optimal economic surplus and invests this on its long-term competitiveness despite its back loaded cash flows. During the recovery periods Zhou et al. (2025) suggested that the company should focus on the long-term project that is a maximization of the company value and not accounting comfort in the short in the recovery periods.</w:t>
      </w:r>
    </w:p>
    <w:p w14:paraId="182A6FF3" w14:textId="14E364FC" w:rsidR="0062550F" w:rsidRPr="00FA2D9A" w:rsidRDefault="001465C6" w:rsidP="0043349F">
      <w:pPr>
        <w:pStyle w:val="Heading2"/>
        <w:rPr>
          <w:lang w:val="en-GB"/>
        </w:rPr>
      </w:pPr>
      <w:bookmarkStart w:id="106" w:name="_Toc217298052"/>
      <w:r w:rsidRPr="00FA2D9A">
        <w:rPr>
          <w:lang w:val="en-GB"/>
        </w:rPr>
        <w:t>5.8 CFO Reflection on Investment Risk</w:t>
      </w:r>
      <w:bookmarkEnd w:id="106"/>
    </w:p>
    <w:p w14:paraId="2F15856F" w14:textId="77777777" w:rsidR="0062550F" w:rsidRDefault="001465C6" w:rsidP="0043349F">
      <w:pPr>
        <w:rPr>
          <w:lang w:val="en-GB"/>
        </w:rPr>
      </w:pPr>
      <w:r w:rsidRPr="00FA2D9A">
        <w:rPr>
          <w:lang w:val="en-GB"/>
        </w:rPr>
        <w:t>In the CFO's view, it is critical to be strategic in a distress situation. Although Project C has a more severe timing risk, it would be better to select it due to its exceptional value creation when closely implemented with cash controls and contingency plans. It needs to take controlled risk-taking to come out of financial distress sustainably.</w:t>
      </w:r>
    </w:p>
    <w:p w14:paraId="43A37AB3" w14:textId="77777777" w:rsidR="008946F9" w:rsidRPr="00FA2D9A" w:rsidRDefault="008946F9" w:rsidP="0043349F">
      <w:pPr>
        <w:rPr>
          <w:lang w:val="en-GB"/>
        </w:rPr>
      </w:pPr>
    </w:p>
    <w:p w14:paraId="67ACCA17" w14:textId="77777777" w:rsidR="0062550F" w:rsidRPr="00FA2D9A" w:rsidRDefault="001465C6" w:rsidP="0043349F">
      <w:pPr>
        <w:pStyle w:val="Heading1"/>
        <w:rPr>
          <w:lang w:val="en-GB"/>
        </w:rPr>
      </w:pPr>
      <w:bookmarkStart w:id="107" w:name="_silvudx4ra3" w:colFirst="0" w:colLast="0"/>
      <w:bookmarkStart w:id="108" w:name="_Toc217298053"/>
      <w:bookmarkEnd w:id="107"/>
      <w:r w:rsidRPr="00FA2D9A">
        <w:rPr>
          <w:lang w:val="en-GB"/>
        </w:rPr>
        <w:t>6. Conclusion</w:t>
      </w:r>
      <w:bookmarkEnd w:id="108"/>
    </w:p>
    <w:p w14:paraId="6AD1BB3B" w14:textId="7FF617F0" w:rsidR="0062550F" w:rsidRPr="00FA2D9A" w:rsidRDefault="00DA2E39" w:rsidP="0043349F">
      <w:pPr>
        <w:rPr>
          <w:lang w:val="en-GB"/>
        </w:rPr>
      </w:pPr>
      <w:r w:rsidRPr="00FA2D9A">
        <w:rPr>
          <w:lang w:val="en-GB"/>
        </w:rPr>
        <w:t xml:space="preserve">The analysis confirms that General Electronics is in structural financial distress, which is manifested in the continuously low profitability, the increasing pressure in liquidity, and the increasing financial leverage. All these circumstances are signs of underlying operational and financial flaws as opposed to cyclical setbacks. Recovery should then be based on rigorous working capital reform, which should set free the locked-up cash and stabilise operational cash flows, and wholesome restructuring of the balance sheet to create financial sturdiness. Simultaneously, all investment decisions </w:t>
      </w:r>
      <w:r w:rsidR="00DB1218">
        <w:rPr>
          <w:lang w:val="en-GB"/>
        </w:rPr>
        <w:t>need to</w:t>
      </w:r>
      <w:r w:rsidRPr="00FA2D9A">
        <w:rPr>
          <w:lang w:val="en-GB"/>
        </w:rPr>
        <w:t xml:space="preserve"> be made using </w:t>
      </w:r>
      <w:r w:rsidR="008946F9" w:rsidRPr="00FA2D9A">
        <w:rPr>
          <w:lang w:val="en-GB"/>
        </w:rPr>
        <w:t>value-based</w:t>
      </w:r>
      <w:r w:rsidRPr="00FA2D9A">
        <w:rPr>
          <w:lang w:val="en-GB"/>
        </w:rPr>
        <w:t xml:space="preserve"> capital allocation, which will help avoid additional shareholder value erosion. An investment strategy that is conservative</w:t>
      </w:r>
      <w:r w:rsidR="00DB1218">
        <w:rPr>
          <w:lang w:val="en-GB"/>
        </w:rPr>
        <w:t>,</w:t>
      </w:r>
      <w:r w:rsidRPr="00FA2D9A">
        <w:rPr>
          <w:lang w:val="en-GB"/>
        </w:rPr>
        <w:t xml:space="preserve"> but prudent in strategic terms is critical to restore solvency, restore investor and creditor confidence</w:t>
      </w:r>
      <w:r w:rsidR="00DB1218">
        <w:rPr>
          <w:lang w:val="en-GB"/>
        </w:rPr>
        <w:t xml:space="preserve">. These will </w:t>
      </w:r>
      <w:r w:rsidRPr="00FA2D9A">
        <w:rPr>
          <w:lang w:val="en-GB"/>
        </w:rPr>
        <w:t xml:space="preserve">help </w:t>
      </w:r>
      <w:r w:rsidR="00DB1218" w:rsidRPr="00FA2D9A">
        <w:rPr>
          <w:lang w:val="en-GB"/>
        </w:rPr>
        <w:t xml:space="preserve">General Electronics </w:t>
      </w:r>
      <w:r w:rsidRPr="00FA2D9A">
        <w:rPr>
          <w:lang w:val="en-GB"/>
        </w:rPr>
        <w:t xml:space="preserve">to maintain sustainable long-term competitiveness in </w:t>
      </w:r>
      <w:r w:rsidR="00DB1218">
        <w:rPr>
          <w:lang w:val="en-GB"/>
        </w:rPr>
        <w:t xml:space="preserve">the </w:t>
      </w:r>
      <w:r w:rsidRPr="00FA2D9A">
        <w:rPr>
          <w:lang w:val="en-GB"/>
        </w:rPr>
        <w:t>highly dynamic global market.</w:t>
      </w:r>
      <w:r w:rsidRPr="00FA2D9A">
        <w:rPr>
          <w:lang w:val="en-GB"/>
        </w:rPr>
        <w:br w:type="page"/>
      </w:r>
    </w:p>
    <w:p w14:paraId="0B08AF56" w14:textId="77777777" w:rsidR="0062550F" w:rsidRPr="00FA2D9A" w:rsidRDefault="001465C6" w:rsidP="0043349F">
      <w:pPr>
        <w:pStyle w:val="Heading1"/>
        <w:rPr>
          <w:lang w:val="en-GB"/>
        </w:rPr>
      </w:pPr>
      <w:bookmarkStart w:id="109" w:name="_gwnxqeu2x4wk" w:colFirst="0" w:colLast="0"/>
      <w:bookmarkStart w:id="110" w:name="_Toc217298054"/>
      <w:bookmarkEnd w:id="109"/>
      <w:r w:rsidRPr="00FA2D9A">
        <w:rPr>
          <w:lang w:val="en-GB"/>
        </w:rPr>
        <w:lastRenderedPageBreak/>
        <w:t>References</w:t>
      </w:r>
      <w:bookmarkEnd w:id="110"/>
    </w:p>
    <w:p w14:paraId="673B351B" w14:textId="77777777" w:rsidR="00DA2E39" w:rsidRPr="00FA2D9A" w:rsidRDefault="00DA2E39" w:rsidP="0043349F">
      <w:pPr>
        <w:spacing w:after="240"/>
        <w:rPr>
          <w:lang w:val="en-GB"/>
        </w:rPr>
      </w:pPr>
      <w:r w:rsidRPr="00FA2D9A">
        <w:rPr>
          <w:color w:val="222222"/>
          <w:shd w:val="clear" w:color="auto" w:fill="FFFFFF"/>
          <w:lang w:val="en-GB"/>
        </w:rPr>
        <w:t>Abubakar, A.O. and Anyonje, S.A., 2025. Financial Leverage and Corporate Financial Performance: A Comprehensive Review. </w:t>
      </w:r>
      <w:r w:rsidRPr="00FA2D9A">
        <w:rPr>
          <w:i/>
          <w:iCs/>
          <w:color w:val="222222"/>
          <w:shd w:val="clear" w:color="auto" w:fill="FFFFFF"/>
          <w:lang w:val="en-GB"/>
        </w:rPr>
        <w:t>East African Finance Journal</w:t>
      </w:r>
      <w:r w:rsidRPr="00FA2D9A">
        <w:rPr>
          <w:color w:val="222222"/>
          <w:shd w:val="clear" w:color="auto" w:fill="FFFFFF"/>
          <w:lang w:val="en-GB"/>
        </w:rPr>
        <w:t>, </w:t>
      </w:r>
      <w:r w:rsidRPr="00FA2D9A">
        <w:rPr>
          <w:i/>
          <w:iCs/>
          <w:color w:val="222222"/>
          <w:shd w:val="clear" w:color="auto" w:fill="FFFFFF"/>
          <w:lang w:val="en-GB"/>
        </w:rPr>
        <w:t>4</w:t>
      </w:r>
      <w:r w:rsidRPr="00FA2D9A">
        <w:rPr>
          <w:color w:val="222222"/>
          <w:shd w:val="clear" w:color="auto" w:fill="FFFFFF"/>
          <w:lang w:val="en-GB"/>
        </w:rPr>
        <w:t xml:space="preserve">(2), pp.34-54. </w:t>
      </w:r>
      <w:hyperlink r:id="rId19" w:history="1">
        <w:r w:rsidRPr="00FA2D9A">
          <w:rPr>
            <w:rStyle w:val="Hyperlink"/>
            <w:shd w:val="clear" w:color="auto" w:fill="FFFFFF"/>
            <w:lang w:val="en-GB"/>
          </w:rPr>
          <w:t>https://ijcsacademia.com/index.php/eafj/article/view/233</w:t>
        </w:r>
      </w:hyperlink>
    </w:p>
    <w:p w14:paraId="657135DB" w14:textId="77777777" w:rsidR="00DA2E39" w:rsidRPr="00FA2D9A" w:rsidRDefault="00DA2E39" w:rsidP="0043349F">
      <w:pPr>
        <w:spacing w:after="240"/>
        <w:rPr>
          <w:lang w:val="en-GB"/>
        </w:rPr>
      </w:pPr>
      <w:r w:rsidRPr="00FA2D9A">
        <w:rPr>
          <w:color w:val="222222"/>
          <w:shd w:val="clear" w:color="auto" w:fill="FFFFFF"/>
          <w:lang w:val="en-GB"/>
        </w:rPr>
        <w:t>Ahemed, A.M., Iqbal, U. and Atif, M.M., 2025. Asymmetric cost behavior and financial distress. </w:t>
      </w:r>
      <w:r w:rsidRPr="00FA2D9A">
        <w:rPr>
          <w:i/>
          <w:iCs/>
          <w:color w:val="222222"/>
          <w:shd w:val="clear" w:color="auto" w:fill="FFFFFF"/>
          <w:lang w:val="en-GB"/>
        </w:rPr>
        <w:t>Economics Letters</w:t>
      </w:r>
      <w:r w:rsidRPr="00FA2D9A">
        <w:rPr>
          <w:color w:val="222222"/>
          <w:shd w:val="clear" w:color="auto" w:fill="FFFFFF"/>
          <w:lang w:val="en-GB"/>
        </w:rPr>
        <w:t>, </w:t>
      </w:r>
      <w:r w:rsidRPr="00FA2D9A">
        <w:rPr>
          <w:i/>
          <w:iCs/>
          <w:color w:val="222222"/>
          <w:shd w:val="clear" w:color="auto" w:fill="FFFFFF"/>
          <w:lang w:val="en-GB"/>
        </w:rPr>
        <w:t>247</w:t>
      </w:r>
      <w:r w:rsidRPr="00FA2D9A">
        <w:rPr>
          <w:color w:val="222222"/>
          <w:shd w:val="clear" w:color="auto" w:fill="FFFFFF"/>
          <w:lang w:val="en-GB"/>
        </w:rPr>
        <w:t xml:space="preserve">, p.112121. </w:t>
      </w:r>
      <w:hyperlink r:id="rId20" w:history="1">
        <w:r w:rsidRPr="00FA2D9A">
          <w:rPr>
            <w:rStyle w:val="Hyperlink"/>
            <w:shd w:val="clear" w:color="auto" w:fill="FFFFFF"/>
            <w:lang w:val="en-GB"/>
          </w:rPr>
          <w:t>https://www.sciencedirect.com/science/article/pii/S0165176524006050</w:t>
        </w:r>
      </w:hyperlink>
    </w:p>
    <w:p w14:paraId="432C05B9" w14:textId="77777777" w:rsidR="00DA2E39" w:rsidRPr="00FA2D9A" w:rsidRDefault="00DA2E39" w:rsidP="0043349F">
      <w:pPr>
        <w:spacing w:after="240"/>
        <w:rPr>
          <w:lang w:val="en-GB"/>
        </w:rPr>
      </w:pPr>
      <w:r w:rsidRPr="00FA2D9A">
        <w:rPr>
          <w:color w:val="222222"/>
          <w:shd w:val="clear" w:color="auto" w:fill="FFFFFF"/>
          <w:lang w:val="en-GB"/>
        </w:rPr>
        <w:t>Balboula, M.Z. and Shemes, M.A., 2025. The impact of financial distress on capital structure following Egypt's currency flotation: the moderating role of board characteristics and ownership structure. </w:t>
      </w:r>
      <w:r w:rsidRPr="00FA2D9A">
        <w:rPr>
          <w:i/>
          <w:iCs/>
          <w:color w:val="222222"/>
          <w:shd w:val="clear" w:color="auto" w:fill="FFFFFF"/>
          <w:lang w:val="en-GB"/>
        </w:rPr>
        <w:t>Journal of Applied Accounting Research</w:t>
      </w:r>
      <w:r w:rsidRPr="00FA2D9A">
        <w:rPr>
          <w:color w:val="222222"/>
          <w:shd w:val="clear" w:color="auto" w:fill="FFFFFF"/>
          <w:lang w:val="en-GB"/>
        </w:rPr>
        <w:t>, </w:t>
      </w:r>
      <w:r w:rsidRPr="00FA2D9A">
        <w:rPr>
          <w:i/>
          <w:iCs/>
          <w:color w:val="222222"/>
          <w:shd w:val="clear" w:color="auto" w:fill="FFFFFF"/>
          <w:lang w:val="en-GB"/>
        </w:rPr>
        <w:t>26</w:t>
      </w:r>
      <w:r w:rsidRPr="00FA2D9A">
        <w:rPr>
          <w:color w:val="222222"/>
          <w:shd w:val="clear" w:color="auto" w:fill="FFFFFF"/>
          <w:lang w:val="en-GB"/>
        </w:rPr>
        <w:t xml:space="preserve">(3), pp.756-784. </w:t>
      </w:r>
      <w:hyperlink r:id="rId21" w:history="1">
        <w:r w:rsidRPr="00FA2D9A">
          <w:rPr>
            <w:rStyle w:val="Hyperlink"/>
            <w:shd w:val="clear" w:color="auto" w:fill="FFFFFF"/>
            <w:lang w:val="en-GB"/>
          </w:rPr>
          <w:t>https://www.emerald.com/insight/content/doi/10.1108/jaar-04-2024-0151/full/html</w:t>
        </w:r>
      </w:hyperlink>
    </w:p>
    <w:p w14:paraId="0AE46B05" w14:textId="77777777" w:rsidR="00DA2E39" w:rsidRPr="00FA2D9A" w:rsidRDefault="00DA2E39" w:rsidP="0043349F">
      <w:pPr>
        <w:spacing w:after="240"/>
        <w:rPr>
          <w:lang w:val="en-GB"/>
        </w:rPr>
      </w:pPr>
      <w:r w:rsidRPr="00FA2D9A">
        <w:rPr>
          <w:color w:val="222222"/>
          <w:shd w:val="clear" w:color="auto" w:fill="FFFFFF"/>
          <w:lang w:val="en-GB"/>
        </w:rPr>
        <w:t>Dumitrescu, D., Bobitan, N., Popa, A.F., Sahlian, D.N. and Stanila, C.A., 2025. Signaling Financial Distress Through Z-Scores and Corporate Governance Compliance Interplay: A Random Forest Approach. </w:t>
      </w:r>
      <w:r w:rsidRPr="00FA2D9A">
        <w:rPr>
          <w:i/>
          <w:iCs/>
          <w:color w:val="222222"/>
          <w:shd w:val="clear" w:color="auto" w:fill="FFFFFF"/>
          <w:lang w:val="en-GB"/>
        </w:rPr>
        <w:t>Electronics</w:t>
      </w:r>
      <w:r w:rsidRPr="00FA2D9A">
        <w:rPr>
          <w:color w:val="222222"/>
          <w:shd w:val="clear" w:color="auto" w:fill="FFFFFF"/>
          <w:lang w:val="en-GB"/>
        </w:rPr>
        <w:t>, </w:t>
      </w:r>
      <w:r w:rsidRPr="00FA2D9A">
        <w:rPr>
          <w:i/>
          <w:iCs/>
          <w:color w:val="222222"/>
          <w:shd w:val="clear" w:color="auto" w:fill="FFFFFF"/>
          <w:lang w:val="en-GB"/>
        </w:rPr>
        <w:t>14</w:t>
      </w:r>
      <w:r w:rsidRPr="00FA2D9A">
        <w:rPr>
          <w:color w:val="222222"/>
          <w:shd w:val="clear" w:color="auto" w:fill="FFFFFF"/>
          <w:lang w:val="en-GB"/>
        </w:rPr>
        <w:t xml:space="preserve">(11), p.2151. </w:t>
      </w:r>
      <w:hyperlink r:id="rId22" w:history="1">
        <w:r w:rsidRPr="00FA2D9A">
          <w:rPr>
            <w:rStyle w:val="Hyperlink"/>
            <w:shd w:val="clear" w:color="auto" w:fill="FFFFFF"/>
            <w:lang w:val="en-GB"/>
          </w:rPr>
          <w:t>https://www.mdpi.com/2079-9292/14/11/2151</w:t>
        </w:r>
      </w:hyperlink>
    </w:p>
    <w:p w14:paraId="77EA4600" w14:textId="77777777" w:rsidR="00DA2E39" w:rsidRPr="00FA2D9A" w:rsidRDefault="00DA2E39" w:rsidP="0043349F">
      <w:pPr>
        <w:spacing w:after="240"/>
        <w:rPr>
          <w:lang w:val="en-GB"/>
        </w:rPr>
      </w:pPr>
      <w:r w:rsidRPr="00FA2D9A">
        <w:rPr>
          <w:color w:val="222222"/>
          <w:shd w:val="clear" w:color="auto" w:fill="FFFFFF"/>
          <w:lang w:val="en-GB"/>
        </w:rPr>
        <w:t>Elhoseny, M., Metawa, N., Sztano, G. and El-Hasnony, I.M., 2025. Deep learning-based model for financial distress prediction. </w:t>
      </w:r>
      <w:r w:rsidRPr="00FA2D9A">
        <w:rPr>
          <w:i/>
          <w:iCs/>
          <w:color w:val="222222"/>
          <w:shd w:val="clear" w:color="auto" w:fill="FFFFFF"/>
          <w:lang w:val="en-GB"/>
        </w:rPr>
        <w:t>Annals of operations research</w:t>
      </w:r>
      <w:r w:rsidRPr="00FA2D9A">
        <w:rPr>
          <w:color w:val="222222"/>
          <w:shd w:val="clear" w:color="auto" w:fill="FFFFFF"/>
          <w:lang w:val="en-GB"/>
        </w:rPr>
        <w:t>, </w:t>
      </w:r>
      <w:r w:rsidRPr="00FA2D9A">
        <w:rPr>
          <w:i/>
          <w:iCs/>
          <w:color w:val="222222"/>
          <w:shd w:val="clear" w:color="auto" w:fill="FFFFFF"/>
          <w:lang w:val="en-GB"/>
        </w:rPr>
        <w:t>345</w:t>
      </w:r>
      <w:r w:rsidRPr="00FA2D9A">
        <w:rPr>
          <w:color w:val="222222"/>
          <w:shd w:val="clear" w:color="auto" w:fill="FFFFFF"/>
          <w:lang w:val="en-GB"/>
        </w:rPr>
        <w:t xml:space="preserve">(2), pp.885-907. </w:t>
      </w:r>
      <w:hyperlink r:id="rId23" w:history="1">
        <w:r w:rsidRPr="00FA2D9A">
          <w:rPr>
            <w:rStyle w:val="Hyperlink"/>
            <w:shd w:val="clear" w:color="auto" w:fill="FFFFFF"/>
            <w:lang w:val="en-GB"/>
          </w:rPr>
          <w:t>https://link.springer.com/article/10.1007/s10479-022-04766-5</w:t>
        </w:r>
      </w:hyperlink>
    </w:p>
    <w:p w14:paraId="718C6E20" w14:textId="77777777" w:rsidR="00DA2E39" w:rsidRPr="00FA2D9A" w:rsidRDefault="00DA2E39" w:rsidP="0043349F">
      <w:pPr>
        <w:spacing w:after="240"/>
        <w:rPr>
          <w:lang w:val="en-GB"/>
        </w:rPr>
      </w:pPr>
      <w:r w:rsidRPr="00FA2D9A">
        <w:rPr>
          <w:color w:val="222222"/>
          <w:shd w:val="clear" w:color="auto" w:fill="FFFFFF"/>
          <w:lang w:val="en-GB"/>
        </w:rPr>
        <w:t>Ferli, O., Maharani, A.A.T.K., Azzahra, N.F., Putri, N.B. and Novianti, S.K., 2025. Using Financial Distress Models in Indonesian F&amp;B Companies During Multidimensional Crisis: Covid-19 Period to the Israeli-Palestinian Conflict. </w:t>
      </w:r>
      <w:r w:rsidRPr="00FA2D9A">
        <w:rPr>
          <w:i/>
          <w:iCs/>
          <w:color w:val="222222"/>
          <w:shd w:val="clear" w:color="auto" w:fill="FFFFFF"/>
          <w:lang w:val="en-GB"/>
        </w:rPr>
        <w:t>The Es Accounting And Finance</w:t>
      </w:r>
      <w:r w:rsidRPr="00FA2D9A">
        <w:rPr>
          <w:color w:val="222222"/>
          <w:shd w:val="clear" w:color="auto" w:fill="FFFFFF"/>
          <w:lang w:val="en-GB"/>
        </w:rPr>
        <w:t>, </w:t>
      </w:r>
      <w:r w:rsidRPr="00FA2D9A">
        <w:rPr>
          <w:i/>
          <w:iCs/>
          <w:color w:val="222222"/>
          <w:shd w:val="clear" w:color="auto" w:fill="FFFFFF"/>
          <w:lang w:val="en-GB"/>
        </w:rPr>
        <w:t>4</w:t>
      </w:r>
      <w:r w:rsidRPr="00FA2D9A">
        <w:rPr>
          <w:color w:val="222222"/>
          <w:shd w:val="clear" w:color="auto" w:fill="FFFFFF"/>
          <w:lang w:val="en-GB"/>
        </w:rPr>
        <w:t xml:space="preserve">(01), pp.168-188. </w:t>
      </w:r>
      <w:hyperlink r:id="rId24" w:history="1">
        <w:r w:rsidRPr="00FA2D9A">
          <w:rPr>
            <w:rStyle w:val="Hyperlink"/>
            <w:shd w:val="clear" w:color="auto" w:fill="FFFFFF"/>
            <w:lang w:val="en-GB"/>
          </w:rPr>
          <w:t>https://esj.eastasouth-institute.com/index.php/esaf/article/view/789</w:t>
        </w:r>
      </w:hyperlink>
    </w:p>
    <w:p w14:paraId="3369B2D8" w14:textId="77777777" w:rsidR="00DA2E39" w:rsidRPr="00FA2D9A" w:rsidRDefault="00DA2E39" w:rsidP="0043349F">
      <w:pPr>
        <w:spacing w:after="240"/>
        <w:rPr>
          <w:lang w:val="en-GB"/>
        </w:rPr>
      </w:pPr>
      <w:r w:rsidRPr="00FA2D9A">
        <w:rPr>
          <w:color w:val="222222"/>
          <w:shd w:val="clear" w:color="auto" w:fill="FFFFFF"/>
          <w:lang w:val="en-GB"/>
        </w:rPr>
        <w:t>Ge, L. and Rao, G., 2025. MultiStream-FinBERT: A Hybrid Deep Learning Framework for Corporate Financial Distress Prediction Integrating Accounting Metrics, Market Signals, and Textual Disclosures. </w:t>
      </w:r>
      <w:r w:rsidRPr="00FA2D9A">
        <w:rPr>
          <w:i/>
          <w:iCs/>
          <w:color w:val="222222"/>
          <w:shd w:val="clear" w:color="auto" w:fill="FFFFFF"/>
          <w:lang w:val="en-GB"/>
        </w:rPr>
        <w:t>Pinnacle Academic Press Proceedings Series</w:t>
      </w:r>
      <w:r w:rsidRPr="00FA2D9A">
        <w:rPr>
          <w:color w:val="222222"/>
          <w:shd w:val="clear" w:color="auto" w:fill="FFFFFF"/>
          <w:lang w:val="en-GB"/>
        </w:rPr>
        <w:t>, </w:t>
      </w:r>
      <w:r w:rsidRPr="00FA2D9A">
        <w:rPr>
          <w:i/>
          <w:iCs/>
          <w:color w:val="222222"/>
          <w:shd w:val="clear" w:color="auto" w:fill="FFFFFF"/>
          <w:lang w:val="en-GB"/>
        </w:rPr>
        <w:t>3</w:t>
      </w:r>
      <w:r w:rsidRPr="00FA2D9A">
        <w:rPr>
          <w:color w:val="222222"/>
          <w:shd w:val="clear" w:color="auto" w:fill="FFFFFF"/>
          <w:lang w:val="en-GB"/>
        </w:rPr>
        <w:t xml:space="preserve">, pp.107-122. </w:t>
      </w:r>
      <w:hyperlink r:id="rId25" w:history="1">
        <w:r w:rsidRPr="00FA2D9A">
          <w:rPr>
            <w:rStyle w:val="Hyperlink"/>
            <w:shd w:val="clear" w:color="auto" w:fill="FFFFFF"/>
            <w:lang w:val="en-GB"/>
          </w:rPr>
          <w:t>http://pinnaclepubs.com/index.php/PAPPS/article/view/177</w:t>
        </w:r>
      </w:hyperlink>
    </w:p>
    <w:p w14:paraId="78FECDA0" w14:textId="77777777" w:rsidR="00DA2E39" w:rsidRPr="00FA2D9A" w:rsidRDefault="00DA2E39" w:rsidP="0043349F">
      <w:pPr>
        <w:spacing w:after="240"/>
        <w:rPr>
          <w:lang w:val="en-GB"/>
        </w:rPr>
      </w:pPr>
      <w:r w:rsidRPr="00FA2D9A">
        <w:rPr>
          <w:color w:val="222222"/>
          <w:shd w:val="clear" w:color="auto" w:fill="FFFFFF"/>
          <w:lang w:val="en-GB"/>
        </w:rPr>
        <w:lastRenderedPageBreak/>
        <w:t>Hamdani, H., Abbas, D.S., Hidayat, I. and Mohamad, N., 2025. Analysis Of Factor Affecting Financial Distress Moderated By Institutional Ownership. </w:t>
      </w:r>
      <w:r w:rsidRPr="00FA2D9A">
        <w:rPr>
          <w:i/>
          <w:iCs/>
          <w:color w:val="222222"/>
          <w:shd w:val="clear" w:color="auto" w:fill="FFFFFF"/>
          <w:lang w:val="en-GB"/>
        </w:rPr>
        <w:t>Jurnal Reviu Akuntansi dan Keuangan</w:t>
      </w:r>
      <w:r w:rsidRPr="00FA2D9A">
        <w:rPr>
          <w:color w:val="222222"/>
          <w:shd w:val="clear" w:color="auto" w:fill="FFFFFF"/>
          <w:lang w:val="en-GB"/>
        </w:rPr>
        <w:t>, </w:t>
      </w:r>
      <w:r w:rsidRPr="00FA2D9A">
        <w:rPr>
          <w:i/>
          <w:iCs/>
          <w:color w:val="222222"/>
          <w:shd w:val="clear" w:color="auto" w:fill="FFFFFF"/>
          <w:lang w:val="en-GB"/>
        </w:rPr>
        <w:t>15</w:t>
      </w:r>
      <w:r w:rsidRPr="00FA2D9A">
        <w:rPr>
          <w:color w:val="222222"/>
          <w:shd w:val="clear" w:color="auto" w:fill="FFFFFF"/>
          <w:lang w:val="en-GB"/>
        </w:rPr>
        <w:t xml:space="preserve">(1). </w:t>
      </w:r>
      <w:hyperlink r:id="rId26" w:history="1">
        <w:r w:rsidRPr="00FA2D9A">
          <w:rPr>
            <w:rStyle w:val="Hyperlink"/>
            <w:shd w:val="clear" w:color="auto" w:fill="FFFFFF"/>
            <w:lang w:val="en-GB"/>
          </w:rPr>
          <w:t>https://ejournal.umm.ac.id/index.php/jrak/article/view/35800</w:t>
        </w:r>
      </w:hyperlink>
    </w:p>
    <w:p w14:paraId="62236610" w14:textId="77777777" w:rsidR="00DA2E39" w:rsidRPr="00FA2D9A" w:rsidRDefault="00DA2E39" w:rsidP="0043349F">
      <w:pPr>
        <w:spacing w:after="240"/>
        <w:rPr>
          <w:lang w:val="en-GB"/>
        </w:rPr>
      </w:pPr>
      <w:r w:rsidRPr="00FA2D9A">
        <w:rPr>
          <w:color w:val="222222"/>
          <w:shd w:val="clear" w:color="auto" w:fill="FFFFFF"/>
          <w:lang w:val="en-GB"/>
        </w:rPr>
        <w:t>Kalbuana, N., Uzliawati, L., Taqi, M., Muchlish, M., Ismai, T. and Yazid, H., 2026. The Role of Corporate Governance Mechanisms, Leverage, and Financial Distress for Improving Audit Quality. </w:t>
      </w:r>
      <w:r w:rsidRPr="00FA2D9A">
        <w:rPr>
          <w:i/>
          <w:iCs/>
          <w:color w:val="222222"/>
          <w:shd w:val="clear" w:color="auto" w:fill="FFFFFF"/>
          <w:lang w:val="en-GB"/>
        </w:rPr>
        <w:t>Faculty of Mediterranean Business Studies Tivat, Montenegro</w:t>
      </w:r>
      <w:r w:rsidRPr="00FA2D9A">
        <w:rPr>
          <w:color w:val="222222"/>
          <w:shd w:val="clear" w:color="auto" w:fill="FFFFFF"/>
          <w:lang w:val="en-GB"/>
        </w:rPr>
        <w:t>, </w:t>
      </w:r>
      <w:r w:rsidRPr="00FA2D9A">
        <w:rPr>
          <w:i/>
          <w:iCs/>
          <w:color w:val="222222"/>
          <w:shd w:val="clear" w:color="auto" w:fill="FFFFFF"/>
          <w:lang w:val="en-GB"/>
        </w:rPr>
        <w:t>22</w:t>
      </w:r>
      <w:r w:rsidRPr="00FA2D9A">
        <w:rPr>
          <w:color w:val="222222"/>
          <w:shd w:val="clear" w:color="auto" w:fill="FFFFFF"/>
          <w:lang w:val="en-GB"/>
        </w:rPr>
        <w:t xml:space="preserve">(1), pp.63-74. </w:t>
      </w:r>
      <w:hyperlink r:id="rId27" w:anchor="page=60" w:history="1">
        <w:r w:rsidRPr="00FA2D9A">
          <w:rPr>
            <w:rStyle w:val="Hyperlink"/>
            <w:shd w:val="clear" w:color="auto" w:fill="FFFFFF"/>
            <w:lang w:val="en-GB"/>
          </w:rPr>
          <w:t>https://mnje.com/sites/mnje.com/files/currentissue/Komplet%20MNJE%20Vol.%2022,%20No.%201.pdf#page=60</w:t>
        </w:r>
      </w:hyperlink>
    </w:p>
    <w:p w14:paraId="030F663B" w14:textId="77777777" w:rsidR="00DA2E39" w:rsidRPr="00FA2D9A" w:rsidRDefault="00DA2E39" w:rsidP="0043349F">
      <w:pPr>
        <w:spacing w:after="240"/>
        <w:rPr>
          <w:lang w:val="en-GB"/>
        </w:rPr>
      </w:pPr>
      <w:r w:rsidRPr="00FA2D9A">
        <w:rPr>
          <w:color w:val="222222"/>
          <w:shd w:val="clear" w:color="auto" w:fill="FFFFFF"/>
          <w:lang w:val="en-GB"/>
        </w:rPr>
        <w:t>Liu, W., Suzuki, Y. and Du, S., 2025. Ensemble learning algorithms based on easyensemble sampling for financial distress prediction. </w:t>
      </w:r>
      <w:r w:rsidRPr="00FA2D9A">
        <w:rPr>
          <w:i/>
          <w:iCs/>
          <w:color w:val="222222"/>
          <w:shd w:val="clear" w:color="auto" w:fill="FFFFFF"/>
          <w:lang w:val="en-GB"/>
        </w:rPr>
        <w:t>Annals of Operations Research</w:t>
      </w:r>
      <w:r w:rsidRPr="00FA2D9A">
        <w:rPr>
          <w:color w:val="222222"/>
          <w:shd w:val="clear" w:color="auto" w:fill="FFFFFF"/>
          <w:lang w:val="en-GB"/>
        </w:rPr>
        <w:t xml:space="preserve">, pp.1-32. </w:t>
      </w:r>
      <w:hyperlink r:id="rId28" w:history="1">
        <w:r w:rsidRPr="00FA2D9A">
          <w:rPr>
            <w:rStyle w:val="Hyperlink"/>
            <w:shd w:val="clear" w:color="auto" w:fill="FFFFFF"/>
            <w:lang w:val="en-GB"/>
          </w:rPr>
          <w:t>https://link.springer.com/article/10.1007/s10479-025-06494-y</w:t>
        </w:r>
      </w:hyperlink>
    </w:p>
    <w:p w14:paraId="00D1A6ED" w14:textId="77777777" w:rsidR="00DA2E39" w:rsidRPr="00FA2D9A" w:rsidRDefault="00DA2E39" w:rsidP="0043349F">
      <w:pPr>
        <w:spacing w:after="240"/>
        <w:rPr>
          <w:lang w:val="en-GB"/>
        </w:rPr>
      </w:pPr>
      <w:r w:rsidRPr="00FA2D9A">
        <w:rPr>
          <w:color w:val="222222"/>
          <w:shd w:val="clear" w:color="auto" w:fill="FFFFFF"/>
          <w:lang w:val="en-GB"/>
        </w:rPr>
        <w:t>Liu, X., Lv, S., Yang, X., Cao, J. and Huang, C., 2025. Extreme temperature shocks and firms’ financial distress. </w:t>
      </w:r>
      <w:r w:rsidRPr="00FA2D9A">
        <w:rPr>
          <w:i/>
          <w:iCs/>
          <w:color w:val="222222"/>
          <w:shd w:val="clear" w:color="auto" w:fill="FFFFFF"/>
          <w:lang w:val="en-GB"/>
        </w:rPr>
        <w:t>International Review of Economics &amp; Finance</w:t>
      </w:r>
      <w:r w:rsidRPr="00FA2D9A">
        <w:rPr>
          <w:color w:val="222222"/>
          <w:shd w:val="clear" w:color="auto" w:fill="FFFFFF"/>
          <w:lang w:val="en-GB"/>
        </w:rPr>
        <w:t>, </w:t>
      </w:r>
      <w:r w:rsidRPr="00FA2D9A">
        <w:rPr>
          <w:i/>
          <w:iCs/>
          <w:color w:val="222222"/>
          <w:shd w:val="clear" w:color="auto" w:fill="FFFFFF"/>
          <w:lang w:val="en-GB"/>
        </w:rPr>
        <w:t>98</w:t>
      </w:r>
      <w:r w:rsidRPr="00FA2D9A">
        <w:rPr>
          <w:color w:val="222222"/>
          <w:shd w:val="clear" w:color="auto" w:fill="FFFFFF"/>
          <w:lang w:val="en-GB"/>
        </w:rPr>
        <w:t xml:space="preserve">, p.103946. </w:t>
      </w:r>
      <w:hyperlink r:id="rId29" w:history="1">
        <w:r w:rsidRPr="00FA2D9A">
          <w:rPr>
            <w:rStyle w:val="Hyperlink"/>
            <w:shd w:val="clear" w:color="auto" w:fill="FFFFFF"/>
            <w:lang w:val="en-GB"/>
          </w:rPr>
          <w:t>https://www.sciencedirect.com/science/article/pii/S1059056025001091</w:t>
        </w:r>
      </w:hyperlink>
    </w:p>
    <w:p w14:paraId="05FD7C23" w14:textId="77777777" w:rsidR="00DA2E39" w:rsidRPr="00FA2D9A" w:rsidRDefault="00DA2E39" w:rsidP="0043349F">
      <w:pPr>
        <w:spacing w:after="240"/>
        <w:rPr>
          <w:lang w:val="en-GB"/>
        </w:rPr>
      </w:pPr>
      <w:r w:rsidRPr="00FA2D9A">
        <w:rPr>
          <w:color w:val="222222"/>
          <w:shd w:val="clear" w:color="auto" w:fill="FFFFFF"/>
          <w:lang w:val="en-GB"/>
        </w:rPr>
        <w:t>Lohmann, C., Möllenhoff, S. and Lehner, S., 2025. On the Relationship between Financial Distress and ESG Scores. </w:t>
      </w:r>
      <w:r w:rsidRPr="00FA2D9A">
        <w:rPr>
          <w:i/>
          <w:iCs/>
          <w:color w:val="222222"/>
          <w:shd w:val="clear" w:color="auto" w:fill="FFFFFF"/>
          <w:lang w:val="en-GB"/>
        </w:rPr>
        <w:t>Corporate Social Responsibility and Environmental Management</w:t>
      </w:r>
      <w:r w:rsidRPr="00FA2D9A">
        <w:rPr>
          <w:color w:val="222222"/>
          <w:shd w:val="clear" w:color="auto" w:fill="FFFFFF"/>
          <w:lang w:val="en-GB"/>
        </w:rPr>
        <w:t xml:space="preserve">. </w:t>
      </w:r>
      <w:hyperlink r:id="rId30" w:history="1">
        <w:r w:rsidRPr="00FA2D9A">
          <w:rPr>
            <w:rStyle w:val="Hyperlink"/>
            <w:shd w:val="clear" w:color="auto" w:fill="FFFFFF"/>
            <w:lang w:val="en-GB"/>
          </w:rPr>
          <w:t>https://onlinelibrary.wiley.com/doi/abs/10.1002/csr.70033</w:t>
        </w:r>
      </w:hyperlink>
    </w:p>
    <w:p w14:paraId="6890115D" w14:textId="77777777" w:rsidR="00DA2E39" w:rsidRPr="00FA2D9A" w:rsidRDefault="00DA2E39" w:rsidP="0043349F">
      <w:pPr>
        <w:spacing w:after="240"/>
        <w:rPr>
          <w:lang w:val="en-GB"/>
        </w:rPr>
      </w:pPr>
      <w:r w:rsidRPr="00FA2D9A">
        <w:rPr>
          <w:color w:val="222222"/>
          <w:shd w:val="clear" w:color="auto" w:fill="FFFFFF"/>
          <w:lang w:val="en-GB"/>
        </w:rPr>
        <w:t>Mahesh, R., Kumari, A., Sharma, D., N, S. and Ramesh, R., 2025. Predicting financial distress in emerging markets: the case of Indian small enterprises. </w:t>
      </w:r>
      <w:r w:rsidRPr="00FA2D9A">
        <w:rPr>
          <w:i/>
          <w:iCs/>
          <w:color w:val="222222"/>
          <w:shd w:val="clear" w:color="auto" w:fill="FFFFFF"/>
          <w:lang w:val="en-GB"/>
        </w:rPr>
        <w:t>Cogent Economics &amp; Finance</w:t>
      </w:r>
      <w:r w:rsidRPr="00FA2D9A">
        <w:rPr>
          <w:color w:val="222222"/>
          <w:shd w:val="clear" w:color="auto" w:fill="FFFFFF"/>
          <w:lang w:val="en-GB"/>
        </w:rPr>
        <w:t>, </w:t>
      </w:r>
      <w:r w:rsidRPr="00FA2D9A">
        <w:rPr>
          <w:i/>
          <w:iCs/>
          <w:color w:val="222222"/>
          <w:shd w:val="clear" w:color="auto" w:fill="FFFFFF"/>
          <w:lang w:val="en-GB"/>
        </w:rPr>
        <w:t>13</w:t>
      </w:r>
      <w:r w:rsidRPr="00FA2D9A">
        <w:rPr>
          <w:color w:val="222222"/>
          <w:shd w:val="clear" w:color="auto" w:fill="FFFFFF"/>
          <w:lang w:val="en-GB"/>
        </w:rPr>
        <w:t xml:space="preserve">(1), p.2489708. </w:t>
      </w:r>
      <w:hyperlink r:id="rId31" w:history="1">
        <w:r w:rsidRPr="00FA2D9A">
          <w:rPr>
            <w:rStyle w:val="Hyperlink"/>
            <w:shd w:val="clear" w:color="auto" w:fill="FFFFFF"/>
            <w:lang w:val="en-GB"/>
          </w:rPr>
          <w:t>https://www.tandfonline.com/doi/abs/10.1080/23322039.2025.2489708</w:t>
        </w:r>
      </w:hyperlink>
    </w:p>
    <w:p w14:paraId="79F714E0" w14:textId="77777777" w:rsidR="00DA2E39" w:rsidRPr="00FA2D9A" w:rsidRDefault="00DA2E39" w:rsidP="0043349F">
      <w:pPr>
        <w:spacing w:after="240"/>
        <w:rPr>
          <w:lang w:val="en-GB"/>
        </w:rPr>
      </w:pPr>
      <w:r w:rsidRPr="00FA2D9A">
        <w:rPr>
          <w:color w:val="222222"/>
          <w:shd w:val="clear" w:color="auto" w:fill="FFFFFF"/>
          <w:lang w:val="en-GB"/>
        </w:rPr>
        <w:t>Maiyo, R., Cheboi, J. and Limo, P., 2025. Accounting Conservatism as a Protective Mechanism: Exploring Its Impact on the Relationship Between Financial Decisions and Likelihood of Financial Distress among Listed Firms in Kenya. </w:t>
      </w:r>
      <w:r w:rsidRPr="00FA2D9A">
        <w:rPr>
          <w:i/>
          <w:iCs/>
          <w:color w:val="222222"/>
          <w:shd w:val="clear" w:color="auto" w:fill="FFFFFF"/>
          <w:lang w:val="en-GB"/>
        </w:rPr>
        <w:t>SEISENSE Journal of Management</w:t>
      </w:r>
      <w:r w:rsidRPr="00FA2D9A">
        <w:rPr>
          <w:color w:val="222222"/>
          <w:shd w:val="clear" w:color="auto" w:fill="FFFFFF"/>
          <w:lang w:val="en-GB"/>
        </w:rPr>
        <w:t>, </w:t>
      </w:r>
      <w:r w:rsidRPr="00FA2D9A">
        <w:rPr>
          <w:i/>
          <w:iCs/>
          <w:color w:val="222222"/>
          <w:shd w:val="clear" w:color="auto" w:fill="FFFFFF"/>
          <w:lang w:val="en-GB"/>
        </w:rPr>
        <w:t>8</w:t>
      </w:r>
      <w:r w:rsidRPr="00FA2D9A">
        <w:rPr>
          <w:color w:val="222222"/>
          <w:shd w:val="clear" w:color="auto" w:fill="FFFFFF"/>
          <w:lang w:val="en-GB"/>
        </w:rPr>
        <w:t xml:space="preserve">(1), pp.36-58. </w:t>
      </w:r>
      <w:hyperlink r:id="rId32" w:history="1">
        <w:r w:rsidRPr="00FA2D9A">
          <w:rPr>
            <w:rStyle w:val="Hyperlink"/>
            <w:shd w:val="clear" w:color="auto" w:fill="FFFFFF"/>
            <w:lang w:val="en-GB"/>
          </w:rPr>
          <w:t>https://www.journal.seisense.com/jom/article/view/1156</w:t>
        </w:r>
      </w:hyperlink>
    </w:p>
    <w:p w14:paraId="16E8BD9A" w14:textId="77777777" w:rsidR="00DA2E39" w:rsidRPr="00FA2D9A" w:rsidRDefault="00DA2E39" w:rsidP="0043349F">
      <w:pPr>
        <w:spacing w:after="240"/>
        <w:rPr>
          <w:lang w:val="en-GB"/>
        </w:rPr>
      </w:pPr>
      <w:r w:rsidRPr="00FA2D9A">
        <w:rPr>
          <w:color w:val="222222"/>
          <w:shd w:val="clear" w:color="auto" w:fill="FFFFFF"/>
          <w:lang w:val="en-GB"/>
        </w:rPr>
        <w:lastRenderedPageBreak/>
        <w:t>Marfuah, M., Dewi, A.W.K. and Khairunissa, A.K., 2025. Tax avoidance in Indonesia: What is the role of corporate governance and financial distress?. </w:t>
      </w:r>
      <w:r w:rsidRPr="00FA2D9A">
        <w:rPr>
          <w:i/>
          <w:iCs/>
          <w:color w:val="222222"/>
          <w:shd w:val="clear" w:color="auto" w:fill="FFFFFF"/>
          <w:lang w:val="en-GB"/>
        </w:rPr>
        <w:t>BIS Economics and Business</w:t>
      </w:r>
      <w:r w:rsidRPr="00FA2D9A">
        <w:rPr>
          <w:color w:val="222222"/>
          <w:shd w:val="clear" w:color="auto" w:fill="FFFFFF"/>
          <w:lang w:val="en-GB"/>
        </w:rPr>
        <w:t>, </w:t>
      </w:r>
      <w:r w:rsidRPr="00FA2D9A">
        <w:rPr>
          <w:i/>
          <w:iCs/>
          <w:color w:val="222222"/>
          <w:shd w:val="clear" w:color="auto" w:fill="FFFFFF"/>
          <w:lang w:val="en-GB"/>
        </w:rPr>
        <w:t>2</w:t>
      </w:r>
      <w:r w:rsidRPr="00FA2D9A">
        <w:rPr>
          <w:color w:val="222222"/>
          <w:shd w:val="clear" w:color="auto" w:fill="FFFFFF"/>
          <w:lang w:val="en-GB"/>
        </w:rPr>
        <w:t xml:space="preserve">, pp.V225025-V225025. </w:t>
      </w:r>
      <w:hyperlink r:id="rId33" w:history="1">
        <w:r w:rsidRPr="00FA2D9A">
          <w:rPr>
            <w:rStyle w:val="Hyperlink"/>
            <w:shd w:val="clear" w:color="auto" w:fill="FFFFFF"/>
            <w:lang w:val="en-GB"/>
          </w:rPr>
          <w:t>https://unimma.press/conference/index.php/biseb/article/view/273</w:t>
        </w:r>
      </w:hyperlink>
    </w:p>
    <w:p w14:paraId="79BE89E5" w14:textId="77777777" w:rsidR="00DA2E39" w:rsidRPr="00FA2D9A" w:rsidRDefault="00DA2E39" w:rsidP="0043349F">
      <w:pPr>
        <w:spacing w:after="240"/>
        <w:rPr>
          <w:lang w:val="en-GB"/>
        </w:rPr>
      </w:pPr>
      <w:r w:rsidRPr="00FA2D9A">
        <w:rPr>
          <w:color w:val="222222"/>
          <w:shd w:val="clear" w:color="auto" w:fill="FFFFFF"/>
          <w:lang w:val="en-GB"/>
        </w:rPr>
        <w:t>Mehmood, A. and De Luca, F., 2025. Financial distress prediction in private firms: developing a model for troubled debt restructuring. </w:t>
      </w:r>
      <w:r w:rsidRPr="00FA2D9A">
        <w:rPr>
          <w:i/>
          <w:iCs/>
          <w:color w:val="222222"/>
          <w:shd w:val="clear" w:color="auto" w:fill="FFFFFF"/>
          <w:lang w:val="en-GB"/>
        </w:rPr>
        <w:t>Journal of Applied Accounting Research</w:t>
      </w:r>
      <w:r w:rsidRPr="00FA2D9A">
        <w:rPr>
          <w:color w:val="222222"/>
          <w:shd w:val="clear" w:color="auto" w:fill="FFFFFF"/>
          <w:lang w:val="en-GB"/>
        </w:rPr>
        <w:t>, </w:t>
      </w:r>
      <w:r w:rsidRPr="00FA2D9A">
        <w:rPr>
          <w:i/>
          <w:iCs/>
          <w:color w:val="222222"/>
          <w:shd w:val="clear" w:color="auto" w:fill="FFFFFF"/>
          <w:lang w:val="en-GB"/>
        </w:rPr>
        <w:t>26</w:t>
      </w:r>
      <w:r w:rsidRPr="00FA2D9A">
        <w:rPr>
          <w:color w:val="222222"/>
          <w:shd w:val="clear" w:color="auto" w:fill="FFFFFF"/>
          <w:lang w:val="en-GB"/>
        </w:rPr>
        <w:t xml:space="preserve">(6), pp.205-222. </w:t>
      </w:r>
      <w:hyperlink r:id="rId34" w:history="1">
        <w:r w:rsidRPr="00FA2D9A">
          <w:rPr>
            <w:rStyle w:val="Hyperlink"/>
            <w:shd w:val="clear" w:color="auto" w:fill="FFFFFF"/>
            <w:lang w:val="en-GB"/>
          </w:rPr>
          <w:t>https://www.emerald.com/jaar/article/26/6/205/1267299</w:t>
        </w:r>
      </w:hyperlink>
    </w:p>
    <w:p w14:paraId="1DBD04F0" w14:textId="77777777" w:rsidR="00DA2E39" w:rsidRPr="00FA2D9A" w:rsidRDefault="00DA2E39" w:rsidP="0043349F">
      <w:pPr>
        <w:spacing w:after="240"/>
        <w:rPr>
          <w:lang w:val="en-GB"/>
        </w:rPr>
      </w:pPr>
      <w:r w:rsidRPr="00FA2D9A">
        <w:rPr>
          <w:color w:val="222222"/>
          <w:shd w:val="clear" w:color="auto" w:fill="FFFFFF"/>
          <w:lang w:val="en-GB"/>
        </w:rPr>
        <w:t>Melinda, P. and Hariyanto, W., 2025. The Effect of CSR, Financial Distress, and Good Corporate Governance on Stock Returns. </w:t>
      </w:r>
      <w:r w:rsidRPr="00FA2D9A">
        <w:rPr>
          <w:i/>
          <w:iCs/>
          <w:color w:val="222222"/>
          <w:shd w:val="clear" w:color="auto" w:fill="FFFFFF"/>
          <w:lang w:val="en-GB"/>
        </w:rPr>
        <w:t>International Journal of Accounting Innovation</w:t>
      </w:r>
      <w:r w:rsidRPr="00FA2D9A">
        <w:rPr>
          <w:color w:val="222222"/>
          <w:shd w:val="clear" w:color="auto" w:fill="FFFFFF"/>
          <w:lang w:val="en-GB"/>
        </w:rPr>
        <w:t>, </w:t>
      </w:r>
      <w:r w:rsidRPr="00FA2D9A">
        <w:rPr>
          <w:i/>
          <w:iCs/>
          <w:color w:val="222222"/>
          <w:shd w:val="clear" w:color="auto" w:fill="FFFFFF"/>
          <w:lang w:val="en-GB"/>
        </w:rPr>
        <w:t>1</w:t>
      </w:r>
      <w:r w:rsidRPr="00FA2D9A">
        <w:rPr>
          <w:color w:val="222222"/>
          <w:shd w:val="clear" w:color="auto" w:fill="FFFFFF"/>
          <w:lang w:val="en-GB"/>
        </w:rPr>
        <w:t xml:space="preserve">(3), pp.202-221. </w:t>
      </w:r>
      <w:hyperlink r:id="rId35" w:history="1">
        <w:r w:rsidRPr="00FA2D9A">
          <w:rPr>
            <w:rStyle w:val="Hyperlink"/>
            <w:shd w:val="clear" w:color="auto" w:fill="FFFFFF"/>
            <w:lang w:val="en-GB"/>
          </w:rPr>
          <w:t>https://ijai.antispublisher.org/index.php/IJAI/article/view/18</w:t>
        </w:r>
      </w:hyperlink>
    </w:p>
    <w:p w14:paraId="777330A5" w14:textId="77777777" w:rsidR="00DA2E39" w:rsidRPr="00FA2D9A" w:rsidRDefault="00DA2E39" w:rsidP="0043349F">
      <w:pPr>
        <w:spacing w:after="240"/>
        <w:rPr>
          <w:lang w:val="en-GB"/>
        </w:rPr>
      </w:pPr>
      <w:r w:rsidRPr="00FA2D9A">
        <w:rPr>
          <w:color w:val="222222"/>
          <w:shd w:val="clear" w:color="auto" w:fill="FFFFFF"/>
          <w:lang w:val="en-GB"/>
        </w:rPr>
        <w:t>Metwally, A.B.M., Yasser, M.M., Ahmed, E.A. and Ali, M.A.S., 2025. Financial and economic determinants of banks financial distress in MENA region. </w:t>
      </w:r>
      <w:r w:rsidRPr="00FA2D9A">
        <w:rPr>
          <w:i/>
          <w:iCs/>
          <w:color w:val="222222"/>
          <w:shd w:val="clear" w:color="auto" w:fill="FFFFFF"/>
          <w:lang w:val="en-GB"/>
        </w:rPr>
        <w:t>Economies</w:t>
      </w:r>
      <w:r w:rsidRPr="00FA2D9A">
        <w:rPr>
          <w:color w:val="222222"/>
          <w:shd w:val="clear" w:color="auto" w:fill="FFFFFF"/>
          <w:lang w:val="en-GB"/>
        </w:rPr>
        <w:t>, </w:t>
      </w:r>
      <w:r w:rsidRPr="00FA2D9A">
        <w:rPr>
          <w:i/>
          <w:iCs/>
          <w:color w:val="222222"/>
          <w:shd w:val="clear" w:color="auto" w:fill="FFFFFF"/>
          <w:lang w:val="en-GB"/>
        </w:rPr>
        <w:t>13</w:t>
      </w:r>
      <w:r w:rsidRPr="00FA2D9A">
        <w:rPr>
          <w:color w:val="222222"/>
          <w:shd w:val="clear" w:color="auto" w:fill="FFFFFF"/>
          <w:lang w:val="en-GB"/>
        </w:rPr>
        <w:t xml:space="preserve">(2), p.56. </w:t>
      </w:r>
      <w:hyperlink r:id="rId36" w:history="1">
        <w:r w:rsidRPr="00FA2D9A">
          <w:rPr>
            <w:rStyle w:val="Hyperlink"/>
            <w:shd w:val="clear" w:color="auto" w:fill="FFFFFF"/>
            <w:lang w:val="en-GB"/>
          </w:rPr>
          <w:t>https://www.mdpi.com/2227-7099/13/2/56</w:t>
        </w:r>
      </w:hyperlink>
    </w:p>
    <w:p w14:paraId="191E1265" w14:textId="77777777" w:rsidR="00DA2E39" w:rsidRPr="00FA2D9A" w:rsidRDefault="00DA2E39" w:rsidP="0043349F">
      <w:pPr>
        <w:spacing w:after="240"/>
        <w:rPr>
          <w:lang w:val="en-GB"/>
        </w:rPr>
      </w:pPr>
      <w:r w:rsidRPr="00FA2D9A">
        <w:rPr>
          <w:color w:val="222222"/>
          <w:shd w:val="clear" w:color="auto" w:fill="FFFFFF"/>
          <w:lang w:val="en-GB"/>
        </w:rPr>
        <w:t>Michalkova, L. and Ponisciakova, O., 2025. Bankruptcy Prediction, Financial Distress and Corporate Life Cycle: Case Study of Central European Enterprises. </w:t>
      </w:r>
      <w:r w:rsidRPr="00FA2D9A">
        <w:rPr>
          <w:i/>
          <w:iCs/>
          <w:color w:val="222222"/>
          <w:shd w:val="clear" w:color="auto" w:fill="FFFFFF"/>
          <w:lang w:val="en-GB"/>
        </w:rPr>
        <w:t>Administrative Sciences</w:t>
      </w:r>
      <w:r w:rsidRPr="00FA2D9A">
        <w:rPr>
          <w:color w:val="222222"/>
          <w:shd w:val="clear" w:color="auto" w:fill="FFFFFF"/>
          <w:lang w:val="en-GB"/>
        </w:rPr>
        <w:t>, </w:t>
      </w:r>
      <w:r w:rsidRPr="00FA2D9A">
        <w:rPr>
          <w:i/>
          <w:iCs/>
          <w:color w:val="222222"/>
          <w:shd w:val="clear" w:color="auto" w:fill="FFFFFF"/>
          <w:lang w:val="en-GB"/>
        </w:rPr>
        <w:t>15</w:t>
      </w:r>
      <w:r w:rsidRPr="00FA2D9A">
        <w:rPr>
          <w:color w:val="222222"/>
          <w:shd w:val="clear" w:color="auto" w:fill="FFFFFF"/>
          <w:lang w:val="en-GB"/>
        </w:rPr>
        <w:t xml:space="preserve">(2), p.63. </w:t>
      </w:r>
      <w:hyperlink r:id="rId37" w:history="1">
        <w:r w:rsidRPr="00FA2D9A">
          <w:rPr>
            <w:rStyle w:val="Hyperlink"/>
            <w:shd w:val="clear" w:color="auto" w:fill="FFFFFF"/>
            <w:lang w:val="en-GB"/>
          </w:rPr>
          <w:t>https://www.mdpi.com/2076-3387/15/2/63</w:t>
        </w:r>
      </w:hyperlink>
    </w:p>
    <w:p w14:paraId="31B46843" w14:textId="77777777" w:rsidR="00DA2E39" w:rsidRPr="00FA2D9A" w:rsidRDefault="00DA2E39" w:rsidP="0043349F">
      <w:pPr>
        <w:spacing w:after="240"/>
        <w:rPr>
          <w:lang w:val="en-GB"/>
        </w:rPr>
      </w:pPr>
      <w:r w:rsidRPr="00FA2D9A">
        <w:rPr>
          <w:color w:val="222222"/>
          <w:shd w:val="clear" w:color="auto" w:fill="FFFFFF"/>
          <w:lang w:val="en-GB"/>
        </w:rPr>
        <w:t>Movsesyan, S. and Seissian, L.A., 2025. Analysis of Financial Distress Factors in the Mining Industry: Empirical Study of the Developing Market. </w:t>
      </w:r>
      <w:r w:rsidRPr="00FA2D9A">
        <w:rPr>
          <w:i/>
          <w:iCs/>
          <w:color w:val="222222"/>
          <w:shd w:val="clear" w:color="auto" w:fill="FFFFFF"/>
          <w:lang w:val="en-GB"/>
        </w:rPr>
        <w:t>Journal of Governance and Regulation/Volume</w:t>
      </w:r>
      <w:r w:rsidRPr="00FA2D9A">
        <w:rPr>
          <w:color w:val="222222"/>
          <w:shd w:val="clear" w:color="auto" w:fill="FFFFFF"/>
          <w:lang w:val="en-GB"/>
        </w:rPr>
        <w:t>, </w:t>
      </w:r>
      <w:r w:rsidRPr="00FA2D9A">
        <w:rPr>
          <w:i/>
          <w:iCs/>
          <w:color w:val="222222"/>
          <w:shd w:val="clear" w:color="auto" w:fill="FFFFFF"/>
          <w:lang w:val="en-GB"/>
        </w:rPr>
        <w:t>14</w:t>
      </w:r>
      <w:r w:rsidRPr="00FA2D9A">
        <w:rPr>
          <w:color w:val="222222"/>
          <w:shd w:val="clear" w:color="auto" w:fill="FFFFFF"/>
          <w:lang w:val="en-GB"/>
        </w:rPr>
        <w:t xml:space="preserve">(1). </w:t>
      </w:r>
      <w:hyperlink r:id="rId38" w:history="1">
        <w:r w:rsidRPr="00FA2D9A">
          <w:rPr>
            <w:rStyle w:val="Hyperlink"/>
            <w:shd w:val="clear" w:color="auto" w:fill="FFFFFF"/>
            <w:lang w:val="en-GB"/>
          </w:rPr>
          <w:t>https://virtusinterpress.org/IMG/pdf/jgrv14i1art20.pdf</w:t>
        </w:r>
      </w:hyperlink>
    </w:p>
    <w:p w14:paraId="71109553" w14:textId="77777777" w:rsidR="00DA2E39" w:rsidRPr="00FA2D9A" w:rsidRDefault="00DA2E39" w:rsidP="0043349F">
      <w:pPr>
        <w:spacing w:after="240"/>
        <w:rPr>
          <w:lang w:val="en-GB"/>
        </w:rPr>
      </w:pPr>
      <w:r w:rsidRPr="00FA2D9A">
        <w:rPr>
          <w:color w:val="222222"/>
          <w:shd w:val="clear" w:color="auto" w:fill="FFFFFF"/>
          <w:lang w:val="en-GB"/>
        </w:rPr>
        <w:t>Mpora, E.B., Katabaazi-Bwengye, A., Atukunda, E. and Dan, N.R., 2025. </w:t>
      </w:r>
      <w:r w:rsidRPr="00FA2D9A">
        <w:rPr>
          <w:i/>
          <w:iCs/>
          <w:color w:val="222222"/>
          <w:shd w:val="clear" w:color="auto" w:fill="FFFFFF"/>
          <w:lang w:val="en-GB"/>
        </w:rPr>
        <w:t>The effects of financial distress on financial performance: An empirical analysis of SMEs in Sheema, Buhweju, Rubirizi, and Bushenyi districts</w:t>
      </w:r>
      <w:r w:rsidRPr="00FA2D9A">
        <w:rPr>
          <w:color w:val="222222"/>
          <w:shd w:val="clear" w:color="auto" w:fill="FFFFFF"/>
          <w:lang w:val="en-GB"/>
        </w:rPr>
        <w:t xml:space="preserve"> [online] </w:t>
      </w:r>
      <w:hyperlink r:id="rId39" w:history="1">
        <w:r w:rsidRPr="00FA2D9A">
          <w:rPr>
            <w:rStyle w:val="Hyperlink"/>
            <w:shd w:val="clear" w:color="auto" w:fill="FFFFFF"/>
            <w:lang w:val="en-GB"/>
          </w:rPr>
          <w:t>https://academicjournals.org/journal/AJBM/article-full-text-pdf/E0D6A9772978</w:t>
        </w:r>
      </w:hyperlink>
    </w:p>
    <w:p w14:paraId="243D79D4" w14:textId="77777777" w:rsidR="00DA2E39" w:rsidRPr="00FA2D9A" w:rsidRDefault="00DA2E39" w:rsidP="0043349F">
      <w:pPr>
        <w:spacing w:after="240"/>
        <w:rPr>
          <w:lang w:val="en-GB"/>
        </w:rPr>
      </w:pPr>
      <w:r w:rsidRPr="00FA2D9A">
        <w:rPr>
          <w:color w:val="222222"/>
          <w:shd w:val="clear" w:color="auto" w:fill="FFFFFF"/>
          <w:lang w:val="en-GB"/>
        </w:rPr>
        <w:t>Nurcahyono, N., Sinarasri, A., Pamungkas, I.D. and Hanum, A.N., 2025. May intellectual capital and corporate governance reduce the probability of financial distress?. </w:t>
      </w:r>
      <w:r w:rsidRPr="00FA2D9A">
        <w:rPr>
          <w:i/>
          <w:iCs/>
          <w:color w:val="222222"/>
          <w:shd w:val="clear" w:color="auto" w:fill="FFFFFF"/>
          <w:lang w:val="en-GB"/>
        </w:rPr>
        <w:t>Contaduria y Administracion</w:t>
      </w:r>
      <w:r w:rsidRPr="00FA2D9A">
        <w:rPr>
          <w:color w:val="222222"/>
          <w:shd w:val="clear" w:color="auto" w:fill="FFFFFF"/>
          <w:lang w:val="en-GB"/>
        </w:rPr>
        <w:t>, </w:t>
      </w:r>
      <w:r w:rsidRPr="00FA2D9A">
        <w:rPr>
          <w:i/>
          <w:iCs/>
          <w:color w:val="222222"/>
          <w:shd w:val="clear" w:color="auto" w:fill="FFFFFF"/>
          <w:lang w:val="en-GB"/>
        </w:rPr>
        <w:t>70</w:t>
      </w:r>
      <w:r w:rsidRPr="00FA2D9A">
        <w:rPr>
          <w:color w:val="222222"/>
          <w:shd w:val="clear" w:color="auto" w:fill="FFFFFF"/>
          <w:lang w:val="en-GB"/>
        </w:rPr>
        <w:t xml:space="preserve">(1), pp.1-25. </w:t>
      </w:r>
      <w:hyperlink r:id="rId40" w:history="1">
        <w:r w:rsidRPr="00FA2D9A">
          <w:rPr>
            <w:rStyle w:val="Hyperlink"/>
            <w:shd w:val="clear" w:color="auto" w:fill="FFFFFF"/>
            <w:lang w:val="en-GB"/>
          </w:rPr>
          <w:t>https://dialnet.unirioja.es/servlet/articulo?codigo=10140898</w:t>
        </w:r>
      </w:hyperlink>
    </w:p>
    <w:p w14:paraId="65778A69" w14:textId="77777777" w:rsidR="00DA2E39" w:rsidRPr="00FA2D9A" w:rsidRDefault="00DA2E39" w:rsidP="0043349F">
      <w:pPr>
        <w:spacing w:after="240"/>
        <w:rPr>
          <w:lang w:val="en-GB"/>
        </w:rPr>
      </w:pPr>
      <w:r w:rsidRPr="00FA2D9A">
        <w:rPr>
          <w:color w:val="222222"/>
          <w:shd w:val="clear" w:color="auto" w:fill="FFFFFF"/>
          <w:lang w:val="en-GB"/>
        </w:rPr>
        <w:lastRenderedPageBreak/>
        <w:t>Nuryasin, F., 2025. The Moderating Role Of Auditor Reputation On The Influence Of Audit Fees And Corporate Financial Distress On Auditor Switching. </w:t>
      </w:r>
      <w:r w:rsidRPr="00FA2D9A">
        <w:rPr>
          <w:i/>
          <w:iCs/>
          <w:color w:val="222222"/>
          <w:shd w:val="clear" w:color="auto" w:fill="FFFFFF"/>
          <w:lang w:val="en-GB"/>
        </w:rPr>
        <w:t>Journal of Economics and Business (JECOMBI)</w:t>
      </w:r>
      <w:r w:rsidRPr="00FA2D9A">
        <w:rPr>
          <w:color w:val="222222"/>
          <w:shd w:val="clear" w:color="auto" w:fill="FFFFFF"/>
          <w:lang w:val="en-GB"/>
        </w:rPr>
        <w:t>, </w:t>
      </w:r>
      <w:r w:rsidRPr="00FA2D9A">
        <w:rPr>
          <w:i/>
          <w:iCs/>
          <w:color w:val="222222"/>
          <w:shd w:val="clear" w:color="auto" w:fill="FFFFFF"/>
          <w:lang w:val="en-GB"/>
        </w:rPr>
        <w:t>6</w:t>
      </w:r>
      <w:r w:rsidRPr="00FA2D9A">
        <w:rPr>
          <w:color w:val="222222"/>
          <w:shd w:val="clear" w:color="auto" w:fill="FFFFFF"/>
          <w:lang w:val="en-GB"/>
        </w:rPr>
        <w:t xml:space="preserve">(01), pp.45-53. </w:t>
      </w:r>
      <w:hyperlink r:id="rId41" w:history="1">
        <w:r w:rsidRPr="00FA2D9A">
          <w:rPr>
            <w:rStyle w:val="Hyperlink"/>
            <w:shd w:val="clear" w:color="auto" w:fill="FFFFFF"/>
            <w:lang w:val="en-GB"/>
          </w:rPr>
          <w:t>https://jecombi.seaninstitute.or.id/index.php/JECOMBI/article/view/103</w:t>
        </w:r>
      </w:hyperlink>
    </w:p>
    <w:p w14:paraId="3605DA87" w14:textId="77777777" w:rsidR="00DA2E39" w:rsidRPr="00FA2D9A" w:rsidRDefault="00DA2E39" w:rsidP="0043349F">
      <w:pPr>
        <w:spacing w:after="240"/>
        <w:rPr>
          <w:lang w:val="en-GB"/>
        </w:rPr>
      </w:pPr>
      <w:r w:rsidRPr="00FA2D9A">
        <w:rPr>
          <w:color w:val="222222"/>
          <w:shd w:val="clear" w:color="auto" w:fill="FFFFFF"/>
          <w:lang w:val="en-GB"/>
        </w:rPr>
        <w:t>Pratiwi, A. and Yunita, I., 2025. The Role of Firm Size in Moderating The Influence of Financial Ratios and Good Corporate Governance on Financial Distress in Manufacturing Companies for The Period 2019-2023. </w:t>
      </w:r>
      <w:r w:rsidRPr="00FA2D9A">
        <w:rPr>
          <w:i/>
          <w:iCs/>
          <w:color w:val="222222"/>
          <w:shd w:val="clear" w:color="auto" w:fill="FFFFFF"/>
          <w:lang w:val="en-GB"/>
        </w:rPr>
        <w:t>American Journal of Economic and Management Business (AJEMB)</w:t>
      </w:r>
      <w:r w:rsidRPr="00FA2D9A">
        <w:rPr>
          <w:color w:val="222222"/>
          <w:shd w:val="clear" w:color="auto" w:fill="FFFFFF"/>
          <w:lang w:val="en-GB"/>
        </w:rPr>
        <w:t>, </w:t>
      </w:r>
      <w:r w:rsidRPr="00FA2D9A">
        <w:rPr>
          <w:i/>
          <w:iCs/>
          <w:color w:val="222222"/>
          <w:shd w:val="clear" w:color="auto" w:fill="FFFFFF"/>
          <w:lang w:val="en-GB"/>
        </w:rPr>
        <w:t>4</w:t>
      </w:r>
      <w:r w:rsidRPr="00FA2D9A">
        <w:rPr>
          <w:color w:val="222222"/>
          <w:shd w:val="clear" w:color="auto" w:fill="FFFFFF"/>
          <w:lang w:val="en-GB"/>
        </w:rPr>
        <w:t xml:space="preserve">(5), pp.472-487. </w:t>
      </w:r>
      <w:hyperlink r:id="rId42" w:history="1">
        <w:r w:rsidRPr="00FA2D9A">
          <w:rPr>
            <w:rStyle w:val="Hyperlink"/>
            <w:shd w:val="clear" w:color="auto" w:fill="FFFFFF"/>
            <w:lang w:val="en-GB"/>
          </w:rPr>
          <w:t>http://ajemb.us/index.php/gp/article/view/213</w:t>
        </w:r>
      </w:hyperlink>
    </w:p>
    <w:p w14:paraId="199D349A" w14:textId="77777777" w:rsidR="00DA2E39" w:rsidRPr="00FA2D9A" w:rsidRDefault="00DA2E39" w:rsidP="0043349F">
      <w:pPr>
        <w:spacing w:after="240"/>
        <w:rPr>
          <w:lang w:val="en-GB"/>
        </w:rPr>
      </w:pPr>
      <w:r w:rsidRPr="00FA2D9A">
        <w:rPr>
          <w:color w:val="222222"/>
          <w:shd w:val="clear" w:color="auto" w:fill="FFFFFF"/>
          <w:lang w:val="en-GB"/>
        </w:rPr>
        <w:t>Pratiwi, S.A.D. and Fauzan, F., 2025. The Effect of Leverage, Financial Distress, and Transfer Pricing on Tax Avoidance (Empirical Study on Energy Sector Manufacturing Companies Listed on the Indonesia Stock Exchange for the 2018–2022 Period). </w:t>
      </w:r>
      <w:r w:rsidRPr="00FA2D9A">
        <w:rPr>
          <w:i/>
          <w:iCs/>
          <w:color w:val="222222"/>
          <w:shd w:val="clear" w:color="auto" w:fill="FFFFFF"/>
          <w:lang w:val="en-GB"/>
        </w:rPr>
        <w:t>Indonesian Interdisciplinary Journal of Sharia Economics (IIJSE)</w:t>
      </w:r>
      <w:r w:rsidRPr="00FA2D9A">
        <w:rPr>
          <w:color w:val="222222"/>
          <w:shd w:val="clear" w:color="auto" w:fill="FFFFFF"/>
          <w:lang w:val="en-GB"/>
        </w:rPr>
        <w:t>, </w:t>
      </w:r>
      <w:r w:rsidRPr="00FA2D9A">
        <w:rPr>
          <w:i/>
          <w:iCs/>
          <w:color w:val="222222"/>
          <w:shd w:val="clear" w:color="auto" w:fill="FFFFFF"/>
          <w:lang w:val="en-GB"/>
        </w:rPr>
        <w:t>8</w:t>
      </w:r>
      <w:r w:rsidRPr="00FA2D9A">
        <w:rPr>
          <w:color w:val="222222"/>
          <w:shd w:val="clear" w:color="auto" w:fill="FFFFFF"/>
          <w:lang w:val="en-GB"/>
        </w:rPr>
        <w:t xml:space="preserve">(1), pp.1594-1612. </w:t>
      </w:r>
      <w:hyperlink r:id="rId43" w:history="1">
        <w:r w:rsidRPr="00FA2D9A">
          <w:rPr>
            <w:rStyle w:val="Hyperlink"/>
            <w:shd w:val="clear" w:color="auto" w:fill="FFFFFF"/>
            <w:lang w:val="en-GB"/>
          </w:rPr>
          <w:t>https://e-journal.uac.ac.id/index.php/iijse/article/view/6073</w:t>
        </w:r>
      </w:hyperlink>
    </w:p>
    <w:p w14:paraId="3EF7BD54" w14:textId="77777777" w:rsidR="00DA2E39" w:rsidRPr="00FA2D9A" w:rsidRDefault="00DA2E39" w:rsidP="0043349F">
      <w:pPr>
        <w:spacing w:after="240"/>
        <w:rPr>
          <w:lang w:val="en-GB"/>
        </w:rPr>
      </w:pPr>
      <w:r w:rsidRPr="00FA2D9A">
        <w:rPr>
          <w:color w:val="222222"/>
          <w:shd w:val="clear" w:color="auto" w:fill="FFFFFF"/>
          <w:lang w:val="en-GB"/>
        </w:rPr>
        <w:t>Qi, R., 2025, June. Enterprise financial distress prediction based on machine learning and SHAP interpretability analysis. In </w:t>
      </w:r>
      <w:r w:rsidRPr="00FA2D9A">
        <w:rPr>
          <w:i/>
          <w:iCs/>
          <w:color w:val="222222"/>
          <w:shd w:val="clear" w:color="auto" w:fill="FFFFFF"/>
          <w:lang w:val="en-GB"/>
        </w:rPr>
        <w:t>Proceedings of the 2025 International Conference on Artificial Intelligence and Digital Finance</w:t>
      </w:r>
      <w:r w:rsidRPr="00FA2D9A">
        <w:rPr>
          <w:color w:val="222222"/>
          <w:shd w:val="clear" w:color="auto" w:fill="FFFFFF"/>
          <w:lang w:val="en-GB"/>
        </w:rPr>
        <w:t xml:space="preserve"> (pp. 76-79). </w:t>
      </w:r>
      <w:hyperlink r:id="rId44" w:history="1">
        <w:r w:rsidRPr="00FA2D9A">
          <w:rPr>
            <w:rStyle w:val="Hyperlink"/>
            <w:shd w:val="clear" w:color="auto" w:fill="FFFFFF"/>
            <w:lang w:val="en-GB"/>
          </w:rPr>
          <w:t>https://dl.acm.org/doi/abs/10.1145/3764727.3764740</w:t>
        </w:r>
      </w:hyperlink>
    </w:p>
    <w:p w14:paraId="412720FF" w14:textId="77777777" w:rsidR="00DA2E39" w:rsidRPr="00FA2D9A" w:rsidRDefault="00DA2E39" w:rsidP="0043349F">
      <w:pPr>
        <w:spacing w:after="240"/>
        <w:rPr>
          <w:lang w:val="en-GB"/>
        </w:rPr>
      </w:pPr>
      <w:r w:rsidRPr="00FA2D9A">
        <w:rPr>
          <w:color w:val="222222"/>
          <w:shd w:val="clear" w:color="auto" w:fill="FFFFFF"/>
          <w:lang w:val="en-GB"/>
        </w:rPr>
        <w:t>Raharjo, Y. and Sari, N.A., 2025. CEO Characteristics and Financial Distress: The Role of CEO Locality and Age. </w:t>
      </w:r>
      <w:r w:rsidRPr="00FA2D9A">
        <w:rPr>
          <w:i/>
          <w:iCs/>
          <w:color w:val="222222"/>
          <w:shd w:val="clear" w:color="auto" w:fill="FFFFFF"/>
          <w:lang w:val="en-GB"/>
        </w:rPr>
        <w:t>BAJ: Behavioral Accounting Journal</w:t>
      </w:r>
      <w:r w:rsidRPr="00FA2D9A">
        <w:rPr>
          <w:color w:val="222222"/>
          <w:shd w:val="clear" w:color="auto" w:fill="FFFFFF"/>
          <w:lang w:val="en-GB"/>
        </w:rPr>
        <w:t>, </w:t>
      </w:r>
      <w:r w:rsidRPr="00FA2D9A">
        <w:rPr>
          <w:i/>
          <w:iCs/>
          <w:color w:val="222222"/>
          <w:shd w:val="clear" w:color="auto" w:fill="FFFFFF"/>
          <w:lang w:val="en-GB"/>
        </w:rPr>
        <w:t>8</w:t>
      </w:r>
      <w:r w:rsidRPr="00FA2D9A">
        <w:rPr>
          <w:color w:val="222222"/>
          <w:shd w:val="clear" w:color="auto" w:fill="FFFFFF"/>
          <w:lang w:val="en-GB"/>
        </w:rPr>
        <w:t xml:space="preserve">(2), pp.121-137. </w:t>
      </w:r>
      <w:hyperlink r:id="rId45" w:history="1">
        <w:r w:rsidRPr="00FA2D9A">
          <w:rPr>
            <w:rStyle w:val="Hyperlink"/>
            <w:shd w:val="clear" w:color="auto" w:fill="FFFFFF"/>
            <w:lang w:val="en-GB"/>
          </w:rPr>
          <w:t>https://baj.upnjatim.ac.id/index.php/baj/article/view/403</w:t>
        </w:r>
      </w:hyperlink>
    </w:p>
    <w:p w14:paraId="1529BC8B" w14:textId="77777777" w:rsidR="00DA2E39" w:rsidRPr="00FA2D9A" w:rsidRDefault="00DA2E39" w:rsidP="0043349F">
      <w:pPr>
        <w:spacing w:after="240"/>
        <w:rPr>
          <w:lang w:val="en-GB"/>
        </w:rPr>
      </w:pPr>
      <w:r w:rsidRPr="00FA2D9A">
        <w:rPr>
          <w:color w:val="222222"/>
          <w:shd w:val="clear" w:color="auto" w:fill="FFFFFF"/>
          <w:lang w:val="en-GB"/>
        </w:rPr>
        <w:t>Sapitri, S. and Yusra, I., 2025. The Effect of Financial Ratios on Financial Distress with Corporate Governance as a Moderation Variable in Tourism Industry Service Companies, Hotels and Restaurants Listed on the Indonesia Stock Exchange. </w:t>
      </w:r>
      <w:r w:rsidRPr="00FA2D9A">
        <w:rPr>
          <w:i/>
          <w:iCs/>
          <w:color w:val="222222"/>
          <w:shd w:val="clear" w:color="auto" w:fill="FFFFFF"/>
          <w:lang w:val="en-GB"/>
        </w:rPr>
        <w:t>International Journal of Economics and Management Research</w:t>
      </w:r>
      <w:r w:rsidRPr="00FA2D9A">
        <w:rPr>
          <w:color w:val="222222"/>
          <w:shd w:val="clear" w:color="auto" w:fill="FFFFFF"/>
          <w:lang w:val="en-GB"/>
        </w:rPr>
        <w:t>, </w:t>
      </w:r>
      <w:r w:rsidRPr="00FA2D9A">
        <w:rPr>
          <w:i/>
          <w:iCs/>
          <w:color w:val="222222"/>
          <w:shd w:val="clear" w:color="auto" w:fill="FFFFFF"/>
          <w:lang w:val="en-GB"/>
        </w:rPr>
        <w:t>4</w:t>
      </w:r>
      <w:r w:rsidRPr="00FA2D9A">
        <w:rPr>
          <w:color w:val="222222"/>
          <w:shd w:val="clear" w:color="auto" w:fill="FFFFFF"/>
          <w:lang w:val="en-GB"/>
        </w:rPr>
        <w:t xml:space="preserve">(1), pp.432-461. </w:t>
      </w:r>
      <w:hyperlink r:id="rId46" w:history="1">
        <w:r w:rsidRPr="00FA2D9A">
          <w:rPr>
            <w:rStyle w:val="Hyperlink"/>
            <w:shd w:val="clear" w:color="auto" w:fill="FFFFFF"/>
            <w:lang w:val="en-GB"/>
          </w:rPr>
          <w:t>https://ijemr.asia/index.php/ijemr/article/view/323</w:t>
        </w:r>
      </w:hyperlink>
    </w:p>
    <w:p w14:paraId="7D32D52B" w14:textId="77777777" w:rsidR="00DA2E39" w:rsidRPr="00FA2D9A" w:rsidRDefault="00DA2E39" w:rsidP="0043349F">
      <w:pPr>
        <w:spacing w:after="240"/>
        <w:rPr>
          <w:lang w:val="en-GB"/>
        </w:rPr>
      </w:pPr>
      <w:r w:rsidRPr="00FA2D9A">
        <w:rPr>
          <w:color w:val="222222"/>
          <w:shd w:val="clear" w:color="auto" w:fill="FFFFFF"/>
          <w:lang w:val="en-GB"/>
        </w:rPr>
        <w:t>Saragih, H.R. and Widoretno, A.A., 2025. The Influence of Firm Size and Macroeconomic Factors on Financial Distress in IDX Public Listed Companies. </w:t>
      </w:r>
      <w:r w:rsidRPr="00FA2D9A">
        <w:rPr>
          <w:i/>
          <w:iCs/>
          <w:color w:val="222222"/>
          <w:shd w:val="clear" w:color="auto" w:fill="FFFFFF"/>
          <w:lang w:val="en-GB"/>
        </w:rPr>
        <w:t>Jurnal Akuntansi dan Bisnis: Jurnal Program Studi Akuntansi</w:t>
      </w:r>
      <w:r w:rsidRPr="00FA2D9A">
        <w:rPr>
          <w:color w:val="222222"/>
          <w:shd w:val="clear" w:color="auto" w:fill="FFFFFF"/>
          <w:lang w:val="en-GB"/>
        </w:rPr>
        <w:t>, </w:t>
      </w:r>
      <w:r w:rsidRPr="00FA2D9A">
        <w:rPr>
          <w:i/>
          <w:iCs/>
          <w:color w:val="222222"/>
          <w:shd w:val="clear" w:color="auto" w:fill="FFFFFF"/>
          <w:lang w:val="en-GB"/>
        </w:rPr>
        <w:t>11</w:t>
      </w:r>
      <w:r w:rsidRPr="00FA2D9A">
        <w:rPr>
          <w:color w:val="222222"/>
          <w:shd w:val="clear" w:color="auto" w:fill="FFFFFF"/>
          <w:lang w:val="en-GB"/>
        </w:rPr>
        <w:t xml:space="preserve">(2), pp.80-90. </w:t>
      </w:r>
      <w:hyperlink r:id="rId47" w:history="1">
        <w:r w:rsidRPr="00FA2D9A">
          <w:rPr>
            <w:rStyle w:val="Hyperlink"/>
            <w:shd w:val="clear" w:color="auto" w:fill="FFFFFF"/>
            <w:lang w:val="en-GB"/>
          </w:rPr>
          <w:t>https://ojs.uma.ac.id/index.php/jurnalakundanbisnis/article/view/15630</w:t>
        </w:r>
      </w:hyperlink>
    </w:p>
    <w:p w14:paraId="2228C710" w14:textId="77777777" w:rsidR="00DA2E39" w:rsidRPr="00FA2D9A" w:rsidRDefault="00DA2E39" w:rsidP="0043349F">
      <w:pPr>
        <w:spacing w:after="240"/>
        <w:rPr>
          <w:lang w:val="en-GB"/>
        </w:rPr>
      </w:pPr>
      <w:r w:rsidRPr="00FA2D9A">
        <w:rPr>
          <w:color w:val="222222"/>
          <w:shd w:val="clear" w:color="auto" w:fill="FFFFFF"/>
          <w:lang w:val="en-GB"/>
        </w:rPr>
        <w:lastRenderedPageBreak/>
        <w:t>Sastroredjo, P.E. and Suganda, T.R., 2025. ESG and financial distress: the role of bribery, corruption, and fraud in FTSE All-Share companies. </w:t>
      </w:r>
      <w:r w:rsidRPr="00FA2D9A">
        <w:rPr>
          <w:i/>
          <w:iCs/>
          <w:color w:val="222222"/>
          <w:shd w:val="clear" w:color="auto" w:fill="FFFFFF"/>
          <w:lang w:val="en-GB"/>
        </w:rPr>
        <w:t>Risks</w:t>
      </w:r>
      <w:r w:rsidRPr="00FA2D9A">
        <w:rPr>
          <w:color w:val="222222"/>
          <w:shd w:val="clear" w:color="auto" w:fill="FFFFFF"/>
          <w:lang w:val="en-GB"/>
        </w:rPr>
        <w:t>, </w:t>
      </w:r>
      <w:r w:rsidRPr="00FA2D9A">
        <w:rPr>
          <w:i/>
          <w:iCs/>
          <w:color w:val="222222"/>
          <w:shd w:val="clear" w:color="auto" w:fill="FFFFFF"/>
          <w:lang w:val="en-GB"/>
        </w:rPr>
        <w:t>13</w:t>
      </w:r>
      <w:r w:rsidRPr="00FA2D9A">
        <w:rPr>
          <w:color w:val="222222"/>
          <w:shd w:val="clear" w:color="auto" w:fill="FFFFFF"/>
          <w:lang w:val="en-GB"/>
        </w:rPr>
        <w:t xml:space="preserve">(3), p.41. </w:t>
      </w:r>
      <w:hyperlink r:id="rId48" w:history="1">
        <w:r w:rsidRPr="00FA2D9A">
          <w:rPr>
            <w:rStyle w:val="Hyperlink"/>
            <w:shd w:val="clear" w:color="auto" w:fill="FFFFFF"/>
            <w:lang w:val="en-GB"/>
          </w:rPr>
          <w:t>https://www.mdpi.com/2227-9091/13/3/41</w:t>
        </w:r>
      </w:hyperlink>
    </w:p>
    <w:p w14:paraId="11696EC8" w14:textId="77777777" w:rsidR="00DA2E39" w:rsidRPr="00FA2D9A" w:rsidRDefault="00DA2E39" w:rsidP="0043349F">
      <w:pPr>
        <w:spacing w:after="240"/>
        <w:rPr>
          <w:lang w:val="en-GB"/>
        </w:rPr>
      </w:pPr>
      <w:r w:rsidRPr="00FA2D9A">
        <w:rPr>
          <w:color w:val="222222"/>
          <w:shd w:val="clear" w:color="auto" w:fill="FFFFFF"/>
          <w:lang w:val="en-GB"/>
        </w:rPr>
        <w:t>Sethi, S.R. and Mahadik, D.A., 2025. Forecasting financial distress for organizational sustainability: An empirical analysis. </w:t>
      </w:r>
      <w:r w:rsidRPr="00FA2D9A">
        <w:rPr>
          <w:i/>
          <w:iCs/>
          <w:color w:val="222222"/>
          <w:shd w:val="clear" w:color="auto" w:fill="FFFFFF"/>
          <w:lang w:val="en-GB"/>
        </w:rPr>
        <w:t>Sustainable Futures</w:t>
      </w:r>
      <w:r w:rsidRPr="00FA2D9A">
        <w:rPr>
          <w:color w:val="222222"/>
          <w:shd w:val="clear" w:color="auto" w:fill="FFFFFF"/>
          <w:lang w:val="en-GB"/>
        </w:rPr>
        <w:t>, </w:t>
      </w:r>
      <w:r w:rsidRPr="00FA2D9A">
        <w:rPr>
          <w:i/>
          <w:iCs/>
          <w:color w:val="222222"/>
          <w:shd w:val="clear" w:color="auto" w:fill="FFFFFF"/>
          <w:lang w:val="en-GB"/>
        </w:rPr>
        <w:t>9</w:t>
      </w:r>
      <w:r w:rsidRPr="00FA2D9A">
        <w:rPr>
          <w:color w:val="222222"/>
          <w:shd w:val="clear" w:color="auto" w:fill="FFFFFF"/>
          <w:lang w:val="en-GB"/>
        </w:rPr>
        <w:t xml:space="preserve">, p.100429. </w:t>
      </w:r>
      <w:hyperlink r:id="rId49" w:history="1">
        <w:r w:rsidRPr="00FA2D9A">
          <w:rPr>
            <w:rStyle w:val="Hyperlink"/>
            <w:shd w:val="clear" w:color="auto" w:fill="FFFFFF"/>
            <w:lang w:val="en-GB"/>
          </w:rPr>
          <w:t>https://www.sciencedirect.com/science/article/pii/S2666188824002776</w:t>
        </w:r>
      </w:hyperlink>
    </w:p>
    <w:p w14:paraId="14CBAA74" w14:textId="77777777" w:rsidR="00DA2E39" w:rsidRPr="00FA2D9A" w:rsidRDefault="00DA2E39" w:rsidP="0043349F">
      <w:pPr>
        <w:spacing w:after="240"/>
        <w:rPr>
          <w:lang w:val="en-GB"/>
        </w:rPr>
      </w:pPr>
      <w:r w:rsidRPr="00FA2D9A">
        <w:rPr>
          <w:color w:val="222222"/>
          <w:shd w:val="clear" w:color="auto" w:fill="FFFFFF"/>
          <w:lang w:val="en-GB"/>
        </w:rPr>
        <w:t>Sulehri, F.A., Khalid, M.J., Ali, A., Shahzadi, S., Azam, H., Akram, A. and Bukhari, S.A.F., 2025. Unveiling Key Drivers of Financial Distress in Developing Economies: A Comprehensive Analysis. </w:t>
      </w:r>
      <w:r w:rsidRPr="00FA2D9A">
        <w:rPr>
          <w:i/>
          <w:iCs/>
          <w:color w:val="222222"/>
          <w:shd w:val="clear" w:color="auto" w:fill="FFFFFF"/>
          <w:lang w:val="en-GB"/>
        </w:rPr>
        <w:t>Contemporary Journal of Social Science Review</w:t>
      </w:r>
      <w:r w:rsidRPr="00FA2D9A">
        <w:rPr>
          <w:color w:val="222222"/>
          <w:shd w:val="clear" w:color="auto" w:fill="FFFFFF"/>
          <w:lang w:val="en-GB"/>
        </w:rPr>
        <w:t>, </w:t>
      </w:r>
      <w:r w:rsidRPr="00FA2D9A">
        <w:rPr>
          <w:i/>
          <w:iCs/>
          <w:color w:val="222222"/>
          <w:shd w:val="clear" w:color="auto" w:fill="FFFFFF"/>
          <w:lang w:val="en-GB"/>
        </w:rPr>
        <w:t>3</w:t>
      </w:r>
      <w:r w:rsidRPr="00FA2D9A">
        <w:rPr>
          <w:color w:val="222222"/>
          <w:shd w:val="clear" w:color="auto" w:fill="FFFFFF"/>
          <w:lang w:val="en-GB"/>
        </w:rPr>
        <w:t xml:space="preserve">(1), pp.665-678. </w:t>
      </w:r>
      <w:hyperlink r:id="rId50" w:history="1">
        <w:r w:rsidRPr="00FA2D9A">
          <w:rPr>
            <w:rStyle w:val="Hyperlink"/>
            <w:shd w:val="clear" w:color="auto" w:fill="FFFFFF"/>
            <w:lang w:val="en-GB"/>
          </w:rPr>
          <w:t>https://contemporaryjournal.com/index.php/14/article/view/355</w:t>
        </w:r>
      </w:hyperlink>
    </w:p>
    <w:p w14:paraId="6456D5AB" w14:textId="77777777" w:rsidR="00DA2E39" w:rsidRPr="00FA2D9A" w:rsidRDefault="00DA2E39" w:rsidP="0043349F">
      <w:pPr>
        <w:spacing w:after="240"/>
        <w:rPr>
          <w:lang w:val="en-GB"/>
        </w:rPr>
      </w:pPr>
      <w:r w:rsidRPr="00FA2D9A">
        <w:rPr>
          <w:color w:val="222222"/>
          <w:shd w:val="clear" w:color="auto" w:fill="FFFFFF"/>
          <w:lang w:val="en-GB"/>
        </w:rPr>
        <w:t>Yadav, A. and Asongu, S.A., 2025. The role of ESG performance in moderating the impact of financial distress on company value: Evidence of wavelet</w:t>
      </w:r>
      <w:r w:rsidRPr="00FA2D9A">
        <w:rPr>
          <w:rFonts w:ascii="Cambria Math" w:hAnsi="Cambria Math" w:cs="Cambria Math"/>
          <w:color w:val="222222"/>
          <w:shd w:val="clear" w:color="auto" w:fill="FFFFFF"/>
          <w:lang w:val="en-GB"/>
        </w:rPr>
        <w:t>‐</w:t>
      </w:r>
      <w:r w:rsidRPr="00FA2D9A">
        <w:rPr>
          <w:color w:val="222222"/>
          <w:shd w:val="clear" w:color="auto" w:fill="FFFFFF"/>
          <w:lang w:val="en-GB"/>
        </w:rPr>
        <w:t>enhanced quantile regression with Indian companies. </w:t>
      </w:r>
      <w:r w:rsidRPr="00FA2D9A">
        <w:rPr>
          <w:i/>
          <w:iCs/>
          <w:color w:val="222222"/>
          <w:shd w:val="clear" w:color="auto" w:fill="FFFFFF"/>
          <w:lang w:val="en-GB"/>
        </w:rPr>
        <w:t>Business Strategy and the Environment</w:t>
      </w:r>
      <w:r w:rsidRPr="00FA2D9A">
        <w:rPr>
          <w:color w:val="222222"/>
          <w:shd w:val="clear" w:color="auto" w:fill="FFFFFF"/>
          <w:lang w:val="en-GB"/>
        </w:rPr>
        <w:t>, </w:t>
      </w:r>
      <w:r w:rsidRPr="00FA2D9A">
        <w:rPr>
          <w:i/>
          <w:iCs/>
          <w:color w:val="222222"/>
          <w:shd w:val="clear" w:color="auto" w:fill="FFFFFF"/>
          <w:lang w:val="en-GB"/>
        </w:rPr>
        <w:t>34</w:t>
      </w:r>
      <w:r w:rsidRPr="00FA2D9A">
        <w:rPr>
          <w:color w:val="222222"/>
          <w:shd w:val="clear" w:color="auto" w:fill="FFFFFF"/>
          <w:lang w:val="en-GB"/>
        </w:rPr>
        <w:t xml:space="preserve">(3), pp.2782-2798. </w:t>
      </w:r>
      <w:hyperlink r:id="rId51" w:history="1">
        <w:r w:rsidRPr="00FA2D9A">
          <w:rPr>
            <w:rStyle w:val="Hyperlink"/>
            <w:shd w:val="clear" w:color="auto" w:fill="FFFFFF"/>
            <w:lang w:val="en-GB"/>
          </w:rPr>
          <w:t>https://onlinelibrary.wiley.com/doi/abs/10.1002/bse.4118</w:t>
        </w:r>
      </w:hyperlink>
    </w:p>
    <w:p w14:paraId="724FDD6E" w14:textId="77777777" w:rsidR="00DA2E39" w:rsidRPr="00FA2D9A" w:rsidRDefault="00DA2E39" w:rsidP="0043349F">
      <w:pPr>
        <w:spacing w:after="240"/>
        <w:rPr>
          <w:lang w:val="en-GB"/>
        </w:rPr>
      </w:pPr>
      <w:r w:rsidRPr="00FA2D9A">
        <w:rPr>
          <w:color w:val="222222"/>
          <w:shd w:val="clear" w:color="auto" w:fill="FFFFFF"/>
          <w:lang w:val="en-GB"/>
        </w:rPr>
        <w:t>Zhou, F., Chen, H., Tang, S., Lee, C. and Lin, C.T., 2025. Integrating ESG into financial distress models: The role of financial report quality and innovation in the Chinese market. </w:t>
      </w:r>
      <w:r w:rsidRPr="00FA2D9A">
        <w:rPr>
          <w:i/>
          <w:iCs/>
          <w:color w:val="222222"/>
          <w:shd w:val="clear" w:color="auto" w:fill="FFFFFF"/>
          <w:lang w:val="en-GB"/>
        </w:rPr>
        <w:t>International Review of Economics &amp; Finance</w:t>
      </w:r>
      <w:r w:rsidRPr="00FA2D9A">
        <w:rPr>
          <w:color w:val="222222"/>
          <w:shd w:val="clear" w:color="auto" w:fill="FFFFFF"/>
          <w:lang w:val="en-GB"/>
        </w:rPr>
        <w:t xml:space="preserve">, p.104135. </w:t>
      </w:r>
      <w:hyperlink r:id="rId52" w:history="1">
        <w:r w:rsidRPr="00FA2D9A">
          <w:rPr>
            <w:rStyle w:val="Hyperlink"/>
            <w:shd w:val="clear" w:color="auto" w:fill="FFFFFF"/>
            <w:lang w:val="en-GB"/>
          </w:rPr>
          <w:t>https://www.sciencedirect.com/science/article/pii/S1059056025002989</w:t>
        </w:r>
      </w:hyperlink>
    </w:p>
    <w:p w14:paraId="7CEEBCC5" w14:textId="77777777" w:rsidR="0062550F" w:rsidRPr="00FA2D9A" w:rsidRDefault="001465C6" w:rsidP="0043349F">
      <w:pPr>
        <w:rPr>
          <w:lang w:val="en-GB"/>
        </w:rPr>
      </w:pPr>
      <w:r w:rsidRPr="00FA2D9A">
        <w:rPr>
          <w:lang w:val="en-GB"/>
        </w:rPr>
        <w:br w:type="page"/>
      </w:r>
    </w:p>
    <w:p w14:paraId="6DCCBC7D" w14:textId="77777777" w:rsidR="0062550F" w:rsidRPr="00FA2D9A" w:rsidRDefault="001465C6" w:rsidP="0043349F">
      <w:pPr>
        <w:pStyle w:val="Heading1"/>
        <w:rPr>
          <w:lang w:val="en-GB"/>
        </w:rPr>
      </w:pPr>
      <w:bookmarkStart w:id="111" w:name="_vmaij62e19so" w:colFirst="0" w:colLast="0"/>
      <w:bookmarkStart w:id="112" w:name="_Toc217298055"/>
      <w:bookmarkEnd w:id="111"/>
      <w:r w:rsidRPr="00FA2D9A">
        <w:rPr>
          <w:lang w:val="en-GB"/>
        </w:rPr>
        <w:lastRenderedPageBreak/>
        <w:t>Appendices</w:t>
      </w:r>
      <w:bookmarkEnd w:id="112"/>
    </w:p>
    <w:p w14:paraId="6267E90A" w14:textId="66B1EF18" w:rsidR="0062550F" w:rsidRPr="00FA2D9A" w:rsidRDefault="001465C6" w:rsidP="0043349F">
      <w:pPr>
        <w:pStyle w:val="Heading2"/>
        <w:keepNext w:val="0"/>
        <w:keepLines w:val="0"/>
        <w:rPr>
          <w:lang w:val="en-GB"/>
        </w:rPr>
      </w:pPr>
      <w:bookmarkStart w:id="113" w:name="_3eq01svibqss" w:colFirst="0" w:colLast="0"/>
      <w:bookmarkStart w:id="114" w:name="_Toc217298056"/>
      <w:bookmarkEnd w:id="113"/>
      <w:r w:rsidRPr="00FA2D9A">
        <w:rPr>
          <w:lang w:val="en-GB"/>
        </w:rPr>
        <w:t xml:space="preserve">Appendix </w:t>
      </w:r>
      <w:r w:rsidR="00B135EE" w:rsidRPr="00FA2D9A">
        <w:rPr>
          <w:lang w:val="en-GB"/>
        </w:rPr>
        <w:t>1</w:t>
      </w:r>
      <w:r w:rsidRPr="00FA2D9A">
        <w:rPr>
          <w:lang w:val="en-GB"/>
        </w:rPr>
        <w:t>: Full ratio tables (5 years)</w:t>
      </w:r>
      <w:bookmarkEnd w:id="114"/>
    </w:p>
    <w:p w14:paraId="4764188C" w14:textId="68B8C537" w:rsidR="0062550F" w:rsidRDefault="0062550F" w:rsidP="0043349F">
      <w:pPr>
        <w:jc w:val="center"/>
        <w:rPr>
          <w:b/>
          <w:bCs/>
          <w:lang w:val="en-GB"/>
        </w:rPr>
      </w:pPr>
    </w:p>
    <w:p w14:paraId="72BB236C" w14:textId="07AA5B89" w:rsidR="00085F40" w:rsidRPr="00FA2D9A" w:rsidRDefault="00085F40" w:rsidP="0043349F">
      <w:pPr>
        <w:jc w:val="center"/>
        <w:rPr>
          <w:b/>
          <w:bCs/>
          <w:lang w:val="en-GB"/>
        </w:rPr>
      </w:pPr>
      <w:r w:rsidRPr="00085F40">
        <w:rPr>
          <w:b/>
          <w:bCs/>
          <w:noProof/>
          <w:lang w:val="en-GB"/>
        </w:rPr>
        <w:drawing>
          <wp:inline distT="0" distB="0" distL="0" distR="0" wp14:anchorId="2D865077" wp14:editId="3B597FD6">
            <wp:extent cx="5967733" cy="2438400"/>
            <wp:effectExtent l="0" t="0" r="0" b="0"/>
            <wp:docPr id="1004001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001117" name=""/>
                    <pic:cNvPicPr/>
                  </pic:nvPicPr>
                  <pic:blipFill>
                    <a:blip r:embed="rId53"/>
                    <a:stretch>
                      <a:fillRect/>
                    </a:stretch>
                  </pic:blipFill>
                  <pic:spPr>
                    <a:xfrm>
                      <a:off x="0" y="0"/>
                      <a:ext cx="5975372" cy="2441521"/>
                    </a:xfrm>
                    <a:prstGeom prst="rect">
                      <a:avLst/>
                    </a:prstGeom>
                  </pic:spPr>
                </pic:pic>
              </a:graphicData>
            </a:graphic>
          </wp:inline>
        </w:drawing>
      </w:r>
    </w:p>
    <w:p w14:paraId="6108FBD3" w14:textId="77777777" w:rsidR="00744040" w:rsidRPr="00FA2D9A" w:rsidRDefault="00744040" w:rsidP="0043349F">
      <w:pPr>
        <w:jc w:val="left"/>
        <w:rPr>
          <w:b/>
          <w:bCs/>
          <w:i/>
          <w:iCs/>
          <w:lang w:val="en-GB"/>
        </w:rPr>
      </w:pPr>
    </w:p>
    <w:p w14:paraId="660E8C9F" w14:textId="73961DFA" w:rsidR="0062550F" w:rsidRPr="00FA2D9A" w:rsidRDefault="00744040" w:rsidP="0043349F">
      <w:pPr>
        <w:jc w:val="left"/>
        <w:rPr>
          <w:b/>
          <w:bCs/>
          <w:i/>
          <w:iCs/>
          <w:lang w:val="en-GB"/>
        </w:rPr>
      </w:pPr>
      <w:r w:rsidRPr="00FA2D9A">
        <w:rPr>
          <w:b/>
          <w:bCs/>
          <w:i/>
          <w:iCs/>
          <w:lang w:val="en-GB"/>
        </w:rPr>
        <w:t>Detailed ratio calculations</w:t>
      </w:r>
    </w:p>
    <w:p w14:paraId="5735A0D4" w14:textId="77777777" w:rsidR="0062550F" w:rsidRPr="00085F40" w:rsidRDefault="001465C6" w:rsidP="0043349F">
      <w:pPr>
        <w:jc w:val="left"/>
        <w:rPr>
          <w:b/>
          <w:bCs/>
          <w:lang w:val="en-GB"/>
        </w:rPr>
      </w:pPr>
      <w:r w:rsidRPr="00085F40">
        <w:rPr>
          <w:b/>
          <w:bCs/>
          <w:lang w:val="en-GB"/>
        </w:rPr>
        <w:t>Gross Margin</w:t>
      </w:r>
    </w:p>
    <w:p w14:paraId="24C1D723" w14:textId="77777777" w:rsidR="00085F40" w:rsidRPr="00FA2D9A" w:rsidRDefault="00085F40" w:rsidP="00085F40">
      <w:pPr>
        <w:jc w:val="left"/>
        <w:rPr>
          <w:lang w:val="en-GB"/>
        </w:rPr>
      </w:pPr>
      <w:r w:rsidRPr="00FA2D9A">
        <w:rPr>
          <w:lang w:val="en-GB"/>
        </w:rPr>
        <w:t>2020: 176,256 ÷ 614,680 = 0.287</w:t>
      </w:r>
    </w:p>
    <w:p w14:paraId="7E65E075" w14:textId="77777777" w:rsidR="00085F40" w:rsidRDefault="00085F40" w:rsidP="00085F40">
      <w:pPr>
        <w:jc w:val="left"/>
        <w:rPr>
          <w:lang w:val="en-GB"/>
        </w:rPr>
      </w:pPr>
      <w:r w:rsidRPr="00FA2D9A">
        <w:rPr>
          <w:lang w:val="en-GB"/>
        </w:rPr>
        <w:t>2021: 173,016 ÷ 601,602 = 0.288</w:t>
      </w:r>
    </w:p>
    <w:p w14:paraId="3BA20CC0" w14:textId="0C618AA8" w:rsidR="00085F40" w:rsidRPr="00FA2D9A" w:rsidRDefault="00085F40" w:rsidP="00085F40">
      <w:pPr>
        <w:jc w:val="left"/>
        <w:rPr>
          <w:lang w:val="en-GB"/>
        </w:rPr>
      </w:pPr>
      <w:r w:rsidRPr="00FA2D9A">
        <w:rPr>
          <w:lang w:val="en-GB"/>
        </w:rPr>
        <w:t>2022: 152,292 ÷ 542,751 = 0.281</w:t>
      </w:r>
    </w:p>
    <w:p w14:paraId="66E1477C" w14:textId="77777777" w:rsidR="0062550F" w:rsidRDefault="001465C6" w:rsidP="0043349F">
      <w:pPr>
        <w:jc w:val="left"/>
        <w:rPr>
          <w:lang w:val="en-GB"/>
        </w:rPr>
      </w:pPr>
      <w:r w:rsidRPr="00FA2D9A">
        <w:rPr>
          <w:lang w:val="en-GB"/>
        </w:rPr>
        <w:t>2023: 97,560 ÷ 420,457 = 0.232</w:t>
      </w:r>
    </w:p>
    <w:p w14:paraId="2FC2D63A" w14:textId="77777777" w:rsidR="00085F40" w:rsidRPr="00FA2D9A" w:rsidRDefault="00085F40" w:rsidP="00085F40">
      <w:pPr>
        <w:jc w:val="left"/>
        <w:rPr>
          <w:lang w:val="en-GB"/>
        </w:rPr>
      </w:pPr>
      <w:r w:rsidRPr="00FA2D9A">
        <w:rPr>
          <w:lang w:val="en-GB"/>
        </w:rPr>
        <w:t>2024</w:t>
      </w:r>
    </w:p>
    <w:p w14:paraId="60A140D1" w14:textId="77777777" w:rsidR="00085F40" w:rsidRPr="00FA2D9A" w:rsidRDefault="00085F40" w:rsidP="00085F40">
      <w:pPr>
        <w:jc w:val="left"/>
        <w:rPr>
          <w:lang w:val="en-GB"/>
        </w:rPr>
      </w:pPr>
      <w:r w:rsidRPr="00FA2D9A">
        <w:rPr>
          <w:lang w:val="en-GB"/>
        </w:rPr>
        <w:t>Gross Profit = 113,994</w:t>
      </w:r>
    </w:p>
    <w:p w14:paraId="25407249" w14:textId="77777777" w:rsidR="00085F40" w:rsidRPr="00FA2D9A" w:rsidRDefault="00085F40" w:rsidP="00085F40">
      <w:pPr>
        <w:jc w:val="left"/>
        <w:rPr>
          <w:lang w:val="en-GB"/>
        </w:rPr>
      </w:pPr>
      <w:r w:rsidRPr="00FA2D9A">
        <w:rPr>
          <w:lang w:val="en-GB"/>
        </w:rPr>
        <w:t>Net Sales = 394,879</w:t>
      </w:r>
    </w:p>
    <w:p w14:paraId="346D24A0" w14:textId="77777777" w:rsidR="00085F40" w:rsidRPr="00FA2D9A" w:rsidRDefault="00085F40" w:rsidP="00085F40">
      <w:pPr>
        <w:jc w:val="left"/>
        <w:rPr>
          <w:lang w:val="en-GB"/>
        </w:rPr>
      </w:pPr>
      <w:r w:rsidRPr="00FA2D9A">
        <w:rPr>
          <w:lang w:val="en-GB"/>
        </w:rPr>
        <w:t>Step 1: 113,994 ÷ 394,879 = 0.2887</w:t>
      </w:r>
    </w:p>
    <w:p w14:paraId="7C38F2AD" w14:textId="061BB813" w:rsidR="00085F40" w:rsidRPr="00FA2D9A" w:rsidRDefault="00085F40" w:rsidP="0043349F">
      <w:pPr>
        <w:jc w:val="left"/>
        <w:rPr>
          <w:lang w:val="en-GB"/>
        </w:rPr>
      </w:pPr>
      <w:r w:rsidRPr="00FA2D9A">
        <w:rPr>
          <w:lang w:val="en-GB"/>
        </w:rPr>
        <w:t>Final: 0.289</w:t>
      </w:r>
    </w:p>
    <w:p w14:paraId="697AF70F" w14:textId="77777777" w:rsidR="004E3FC6" w:rsidRPr="00FA2D9A" w:rsidRDefault="004E3FC6" w:rsidP="0043349F">
      <w:pPr>
        <w:jc w:val="left"/>
        <w:rPr>
          <w:lang w:val="en-GB"/>
        </w:rPr>
      </w:pPr>
    </w:p>
    <w:p w14:paraId="261CD61B" w14:textId="475A2CF1" w:rsidR="0062550F" w:rsidRPr="00085F40" w:rsidRDefault="001465C6" w:rsidP="0043349F">
      <w:pPr>
        <w:jc w:val="left"/>
        <w:rPr>
          <w:b/>
          <w:bCs/>
          <w:lang w:val="en-GB"/>
        </w:rPr>
      </w:pPr>
      <w:r w:rsidRPr="00085F40">
        <w:rPr>
          <w:b/>
          <w:bCs/>
          <w:lang w:val="en-GB"/>
        </w:rPr>
        <w:t>Operating Margin</w:t>
      </w:r>
    </w:p>
    <w:p w14:paraId="026952A3" w14:textId="77777777" w:rsidR="00085F40" w:rsidRPr="00FA2D9A" w:rsidRDefault="00085F40" w:rsidP="00085F40">
      <w:pPr>
        <w:jc w:val="left"/>
        <w:rPr>
          <w:lang w:val="en-GB"/>
        </w:rPr>
      </w:pPr>
      <w:r w:rsidRPr="00FA2D9A">
        <w:rPr>
          <w:lang w:val="en-GB"/>
        </w:rPr>
        <w:t>2020: 37,267 ÷ 614,680 = 0.061</w:t>
      </w:r>
    </w:p>
    <w:p w14:paraId="4F2F1382" w14:textId="77777777" w:rsidR="00085F40" w:rsidRPr="00FA2D9A" w:rsidRDefault="00085F40" w:rsidP="00085F40">
      <w:pPr>
        <w:jc w:val="left"/>
        <w:rPr>
          <w:lang w:val="en-GB"/>
        </w:rPr>
      </w:pPr>
      <w:r w:rsidRPr="00FA2D9A">
        <w:rPr>
          <w:lang w:val="en-GB"/>
        </w:rPr>
        <w:t>2021: 23,253 ÷ 601,602 = 0.039</w:t>
      </w:r>
    </w:p>
    <w:p w14:paraId="5DA83B7E" w14:textId="77777777" w:rsidR="00085F40" w:rsidRPr="00FA2D9A" w:rsidRDefault="00085F40" w:rsidP="00085F40">
      <w:pPr>
        <w:jc w:val="left"/>
        <w:rPr>
          <w:lang w:val="en-GB"/>
        </w:rPr>
      </w:pPr>
      <w:r w:rsidRPr="00FA2D9A">
        <w:rPr>
          <w:lang w:val="en-GB"/>
        </w:rPr>
        <w:t>2022: 14,548 ÷ 542,751 = 0.027</w:t>
      </w:r>
    </w:p>
    <w:p w14:paraId="2B8986B1" w14:textId="77777777" w:rsidR="0062550F" w:rsidRPr="00FA2D9A" w:rsidRDefault="001465C6" w:rsidP="0043349F">
      <w:pPr>
        <w:jc w:val="left"/>
        <w:rPr>
          <w:lang w:val="en-GB"/>
        </w:rPr>
      </w:pPr>
      <w:r w:rsidRPr="00FA2D9A">
        <w:rPr>
          <w:lang w:val="en-GB"/>
        </w:rPr>
        <w:t>2023: –85,301 ÷ 420,457 = –0.203</w:t>
      </w:r>
    </w:p>
    <w:p w14:paraId="69FA20F1" w14:textId="77777777" w:rsidR="00085F40" w:rsidRPr="00FA2D9A" w:rsidRDefault="00085F40" w:rsidP="00085F40">
      <w:pPr>
        <w:jc w:val="left"/>
        <w:rPr>
          <w:lang w:val="en-GB"/>
        </w:rPr>
      </w:pPr>
      <w:r w:rsidRPr="00FA2D9A">
        <w:rPr>
          <w:lang w:val="en-GB"/>
        </w:rPr>
        <w:t>2024</w:t>
      </w:r>
    </w:p>
    <w:p w14:paraId="3BCEA122" w14:textId="77777777" w:rsidR="00085F40" w:rsidRPr="00FA2D9A" w:rsidRDefault="00085F40" w:rsidP="00085F40">
      <w:pPr>
        <w:jc w:val="left"/>
        <w:rPr>
          <w:lang w:val="en-GB"/>
        </w:rPr>
      </w:pPr>
      <w:r w:rsidRPr="00FA2D9A">
        <w:rPr>
          <w:lang w:val="en-GB"/>
        </w:rPr>
        <w:t>Operating Income = –15,297</w:t>
      </w:r>
    </w:p>
    <w:p w14:paraId="01085831" w14:textId="77777777" w:rsidR="00085F40" w:rsidRPr="00FA2D9A" w:rsidRDefault="00085F40" w:rsidP="00085F40">
      <w:pPr>
        <w:jc w:val="left"/>
        <w:rPr>
          <w:lang w:val="en-GB"/>
        </w:rPr>
      </w:pPr>
      <w:r w:rsidRPr="00FA2D9A">
        <w:rPr>
          <w:lang w:val="en-GB"/>
        </w:rPr>
        <w:t>Net Sales = 394,879</w:t>
      </w:r>
    </w:p>
    <w:p w14:paraId="382C042D" w14:textId="77777777" w:rsidR="00085F40" w:rsidRPr="00FA2D9A" w:rsidRDefault="00085F40" w:rsidP="00085F40">
      <w:pPr>
        <w:jc w:val="left"/>
        <w:rPr>
          <w:lang w:val="en-GB"/>
        </w:rPr>
      </w:pPr>
      <w:r w:rsidRPr="00FA2D9A">
        <w:rPr>
          <w:lang w:val="en-GB"/>
        </w:rPr>
        <w:lastRenderedPageBreak/>
        <w:t>Step: –15,297 ÷ 394,879 = –0.0387</w:t>
      </w:r>
    </w:p>
    <w:p w14:paraId="0BA90AEB" w14:textId="77777777" w:rsidR="00085F40" w:rsidRPr="00FA2D9A" w:rsidRDefault="00085F40" w:rsidP="00085F40">
      <w:pPr>
        <w:jc w:val="left"/>
        <w:rPr>
          <w:lang w:val="en-GB"/>
        </w:rPr>
      </w:pPr>
      <w:r w:rsidRPr="00FA2D9A">
        <w:rPr>
          <w:lang w:val="en-GB"/>
        </w:rPr>
        <w:t>Final: –0.039</w:t>
      </w:r>
    </w:p>
    <w:p w14:paraId="78EB786B" w14:textId="77777777" w:rsidR="004E3FC6" w:rsidRPr="00FA2D9A" w:rsidRDefault="004E3FC6" w:rsidP="0043349F">
      <w:pPr>
        <w:jc w:val="left"/>
        <w:rPr>
          <w:lang w:val="en-GB"/>
        </w:rPr>
      </w:pPr>
    </w:p>
    <w:p w14:paraId="4E305545" w14:textId="60C1767D" w:rsidR="0062550F" w:rsidRPr="00085F40" w:rsidRDefault="001465C6" w:rsidP="0043349F">
      <w:pPr>
        <w:jc w:val="left"/>
        <w:rPr>
          <w:b/>
          <w:bCs/>
          <w:lang w:val="en-GB"/>
        </w:rPr>
      </w:pPr>
      <w:r w:rsidRPr="00085F40">
        <w:rPr>
          <w:b/>
          <w:bCs/>
          <w:lang w:val="en-GB"/>
        </w:rPr>
        <w:t>Net Margin</w:t>
      </w:r>
    </w:p>
    <w:p w14:paraId="741893B4" w14:textId="77777777" w:rsidR="00085F40" w:rsidRDefault="00085F40" w:rsidP="00085F40">
      <w:pPr>
        <w:jc w:val="left"/>
        <w:rPr>
          <w:lang w:val="en-GB"/>
        </w:rPr>
      </w:pPr>
      <w:r w:rsidRPr="00FA2D9A">
        <w:rPr>
          <w:lang w:val="en-GB"/>
        </w:rPr>
        <w:t>2020: 38,572 ÷ 614,680 = 0.063</w:t>
      </w:r>
    </w:p>
    <w:p w14:paraId="5D1E9F3F" w14:textId="77777777" w:rsidR="00085F40" w:rsidRPr="00FA2D9A" w:rsidRDefault="00085F40" w:rsidP="00085F40">
      <w:pPr>
        <w:jc w:val="left"/>
        <w:rPr>
          <w:lang w:val="en-GB"/>
        </w:rPr>
      </w:pPr>
      <w:r w:rsidRPr="00FA2D9A">
        <w:rPr>
          <w:lang w:val="en-GB"/>
        </w:rPr>
        <w:t>2021: 5,301 ÷ 601,602 = 0.009</w:t>
      </w:r>
    </w:p>
    <w:p w14:paraId="1A7D6C50" w14:textId="77777777" w:rsidR="00085F40" w:rsidRPr="00FA2D9A" w:rsidRDefault="00085F40" w:rsidP="00085F40">
      <w:pPr>
        <w:jc w:val="left"/>
        <w:rPr>
          <w:lang w:val="en-GB"/>
        </w:rPr>
      </w:pPr>
      <w:r w:rsidRPr="00FA2D9A">
        <w:rPr>
          <w:lang w:val="en-GB"/>
        </w:rPr>
        <w:t>2022: 407 ÷ 542,751 = 0.001</w:t>
      </w:r>
    </w:p>
    <w:p w14:paraId="419AF60A" w14:textId="77777777" w:rsidR="0062550F" w:rsidRPr="00FA2D9A" w:rsidRDefault="001465C6" w:rsidP="0043349F">
      <w:pPr>
        <w:jc w:val="left"/>
        <w:rPr>
          <w:lang w:val="en-GB"/>
        </w:rPr>
      </w:pPr>
      <w:r w:rsidRPr="00FA2D9A">
        <w:rPr>
          <w:lang w:val="en-GB"/>
        </w:rPr>
        <w:t>2023: –98,238 ÷ 420,457 = –0.234</w:t>
      </w:r>
    </w:p>
    <w:p w14:paraId="67CC187C" w14:textId="77777777" w:rsidR="00085F40" w:rsidRPr="00FA2D9A" w:rsidRDefault="00085F40" w:rsidP="00085F40">
      <w:pPr>
        <w:jc w:val="left"/>
        <w:rPr>
          <w:lang w:val="en-GB"/>
        </w:rPr>
      </w:pPr>
      <w:r w:rsidRPr="00FA2D9A">
        <w:rPr>
          <w:lang w:val="en-GB"/>
        </w:rPr>
        <w:t>2024</w:t>
      </w:r>
    </w:p>
    <w:p w14:paraId="1BD42E4E" w14:textId="77777777" w:rsidR="00085F40" w:rsidRPr="00FA2D9A" w:rsidRDefault="00085F40" w:rsidP="00085F40">
      <w:pPr>
        <w:jc w:val="left"/>
        <w:rPr>
          <w:lang w:val="en-GB"/>
        </w:rPr>
      </w:pPr>
      <w:r w:rsidRPr="00FA2D9A">
        <w:rPr>
          <w:lang w:val="en-GB"/>
        </w:rPr>
        <w:t>Net Income = –24,029</w:t>
      </w:r>
    </w:p>
    <w:p w14:paraId="36013756" w14:textId="77777777" w:rsidR="00085F40" w:rsidRPr="00FA2D9A" w:rsidRDefault="00085F40" w:rsidP="00085F40">
      <w:pPr>
        <w:jc w:val="left"/>
        <w:rPr>
          <w:lang w:val="en-GB"/>
        </w:rPr>
      </w:pPr>
      <w:r w:rsidRPr="00FA2D9A">
        <w:rPr>
          <w:lang w:val="en-GB"/>
        </w:rPr>
        <w:t>Net Sales = 394,879</w:t>
      </w:r>
    </w:p>
    <w:p w14:paraId="67B49F47" w14:textId="77777777" w:rsidR="00085F40" w:rsidRPr="00FA2D9A" w:rsidRDefault="00085F40" w:rsidP="00085F40">
      <w:pPr>
        <w:jc w:val="left"/>
        <w:rPr>
          <w:lang w:val="en-GB"/>
        </w:rPr>
      </w:pPr>
      <w:r w:rsidRPr="00FA2D9A">
        <w:rPr>
          <w:lang w:val="en-GB"/>
        </w:rPr>
        <w:t>Step: –24,029 ÷ 394,879 = –0.0608</w:t>
      </w:r>
    </w:p>
    <w:p w14:paraId="2C342715" w14:textId="5A40AC8D" w:rsidR="00085F40" w:rsidRPr="00FA2D9A" w:rsidRDefault="00085F40" w:rsidP="0043349F">
      <w:pPr>
        <w:jc w:val="left"/>
        <w:rPr>
          <w:lang w:val="en-GB"/>
        </w:rPr>
      </w:pPr>
      <w:r w:rsidRPr="00FA2D9A">
        <w:rPr>
          <w:lang w:val="en-GB"/>
        </w:rPr>
        <w:t>Final: –0.061</w:t>
      </w:r>
    </w:p>
    <w:p w14:paraId="1567B295" w14:textId="77777777" w:rsidR="00921587" w:rsidRPr="00FA2D9A" w:rsidRDefault="00921587" w:rsidP="0043349F">
      <w:pPr>
        <w:jc w:val="left"/>
        <w:rPr>
          <w:lang w:val="en-GB"/>
        </w:rPr>
      </w:pPr>
    </w:p>
    <w:p w14:paraId="5E356CE8" w14:textId="003892E3" w:rsidR="0062550F" w:rsidRPr="00085F40" w:rsidRDefault="001465C6" w:rsidP="0043349F">
      <w:pPr>
        <w:jc w:val="left"/>
        <w:rPr>
          <w:b/>
          <w:bCs/>
          <w:lang w:val="en-GB"/>
        </w:rPr>
      </w:pPr>
      <w:r w:rsidRPr="00085F40">
        <w:rPr>
          <w:b/>
          <w:bCs/>
          <w:lang w:val="en-GB"/>
        </w:rPr>
        <w:t>Current Ratio</w:t>
      </w:r>
    </w:p>
    <w:p w14:paraId="27CEADD6" w14:textId="77777777" w:rsidR="00085F40" w:rsidRDefault="00085F40" w:rsidP="00085F40">
      <w:pPr>
        <w:jc w:val="left"/>
        <w:rPr>
          <w:lang w:val="en-GB"/>
        </w:rPr>
      </w:pPr>
      <w:r w:rsidRPr="00FA2D9A">
        <w:rPr>
          <w:lang w:val="en-GB"/>
        </w:rPr>
        <w:t>2020: 326,843 ÷ 179,510 = 1.821</w:t>
      </w:r>
    </w:p>
    <w:p w14:paraId="0E6104CC" w14:textId="77777777" w:rsidR="00085F40" w:rsidRPr="00FA2D9A" w:rsidRDefault="00085F40" w:rsidP="00085F40">
      <w:pPr>
        <w:jc w:val="left"/>
        <w:rPr>
          <w:lang w:val="en-GB"/>
        </w:rPr>
      </w:pPr>
      <w:r w:rsidRPr="00FA2D9A">
        <w:rPr>
          <w:lang w:val="en-GB"/>
        </w:rPr>
        <w:t>2021: 337,146 ÷ 216,787 = 1.555</w:t>
      </w:r>
    </w:p>
    <w:p w14:paraId="4CE8D946" w14:textId="77777777" w:rsidR="00085F40" w:rsidRPr="00FA2D9A" w:rsidRDefault="00085F40" w:rsidP="00085F40">
      <w:pPr>
        <w:jc w:val="left"/>
        <w:rPr>
          <w:lang w:val="en-GB"/>
        </w:rPr>
      </w:pPr>
      <w:r w:rsidRPr="00FA2D9A">
        <w:rPr>
          <w:lang w:val="en-GB"/>
        </w:rPr>
        <w:t>2022: 338,040 ÷ 216,473 = 1.562</w:t>
      </w:r>
    </w:p>
    <w:p w14:paraId="7F84C860" w14:textId="77777777" w:rsidR="0062550F" w:rsidRPr="00FA2D9A" w:rsidRDefault="001465C6" w:rsidP="0043349F">
      <w:pPr>
        <w:jc w:val="left"/>
        <w:rPr>
          <w:lang w:val="en-GB"/>
        </w:rPr>
      </w:pPr>
      <w:r w:rsidRPr="00FA2D9A">
        <w:rPr>
          <w:lang w:val="en-GB"/>
        </w:rPr>
        <w:t>2023: 258,851 ÷ 161,148 = 1.606</w:t>
      </w:r>
    </w:p>
    <w:p w14:paraId="52C1CA7A" w14:textId="77777777" w:rsidR="00085F40" w:rsidRPr="00FA2D9A" w:rsidRDefault="00085F40" w:rsidP="00085F40">
      <w:pPr>
        <w:jc w:val="left"/>
        <w:rPr>
          <w:lang w:val="en-GB"/>
        </w:rPr>
      </w:pPr>
      <w:r w:rsidRPr="00FA2D9A">
        <w:rPr>
          <w:lang w:val="en-GB"/>
        </w:rPr>
        <w:t>2024</w:t>
      </w:r>
    </w:p>
    <w:p w14:paraId="6F81898D" w14:textId="77777777" w:rsidR="00085F40" w:rsidRPr="00FA2D9A" w:rsidRDefault="00085F40" w:rsidP="00085F40">
      <w:pPr>
        <w:jc w:val="left"/>
        <w:rPr>
          <w:lang w:val="en-GB"/>
        </w:rPr>
      </w:pPr>
      <w:r w:rsidRPr="00FA2D9A">
        <w:rPr>
          <w:lang w:val="en-GB"/>
        </w:rPr>
        <w:t>Current Assets = 242,494</w:t>
      </w:r>
    </w:p>
    <w:p w14:paraId="5786E141" w14:textId="77777777" w:rsidR="00085F40" w:rsidRPr="00FA2D9A" w:rsidRDefault="00085F40" w:rsidP="00085F40">
      <w:pPr>
        <w:jc w:val="left"/>
        <w:rPr>
          <w:lang w:val="en-GB"/>
        </w:rPr>
      </w:pPr>
      <w:r w:rsidRPr="00FA2D9A">
        <w:rPr>
          <w:lang w:val="en-GB"/>
        </w:rPr>
        <w:t>Current Liabilities = 158,291</w:t>
      </w:r>
    </w:p>
    <w:p w14:paraId="6C7C5E57" w14:textId="77777777" w:rsidR="00085F40" w:rsidRPr="00FA2D9A" w:rsidRDefault="00085F40" w:rsidP="00085F40">
      <w:pPr>
        <w:jc w:val="left"/>
        <w:rPr>
          <w:lang w:val="en-GB"/>
        </w:rPr>
      </w:pPr>
      <w:r w:rsidRPr="00FA2D9A">
        <w:rPr>
          <w:lang w:val="en-GB"/>
        </w:rPr>
        <w:t>Step: 242,494 ÷ 158,291 = 1.532</w:t>
      </w:r>
    </w:p>
    <w:p w14:paraId="727D7A17" w14:textId="70A719AB" w:rsidR="00085F40" w:rsidRPr="00FA2D9A" w:rsidRDefault="00085F40" w:rsidP="0043349F">
      <w:pPr>
        <w:jc w:val="left"/>
        <w:rPr>
          <w:lang w:val="en-GB"/>
        </w:rPr>
      </w:pPr>
      <w:r w:rsidRPr="00FA2D9A">
        <w:rPr>
          <w:lang w:val="en-GB"/>
        </w:rPr>
        <w:t>Final: 1.532</w:t>
      </w:r>
    </w:p>
    <w:p w14:paraId="546642F6" w14:textId="77777777" w:rsidR="00921587" w:rsidRPr="00FA2D9A" w:rsidRDefault="00921587" w:rsidP="0043349F">
      <w:pPr>
        <w:jc w:val="left"/>
        <w:rPr>
          <w:lang w:val="en-GB"/>
        </w:rPr>
      </w:pPr>
    </w:p>
    <w:p w14:paraId="7CD41EF1" w14:textId="57E702E0" w:rsidR="0062550F" w:rsidRPr="00085F40" w:rsidRDefault="001465C6" w:rsidP="0043349F">
      <w:pPr>
        <w:jc w:val="left"/>
        <w:rPr>
          <w:b/>
          <w:bCs/>
          <w:lang w:val="en-GB"/>
        </w:rPr>
      </w:pPr>
      <w:r w:rsidRPr="00085F40">
        <w:rPr>
          <w:b/>
          <w:bCs/>
          <w:lang w:val="en-GB"/>
        </w:rPr>
        <w:t>Quick Ratio</w:t>
      </w:r>
    </w:p>
    <w:p w14:paraId="7223AD4F" w14:textId="77777777" w:rsidR="00921587" w:rsidRPr="00FA2D9A" w:rsidRDefault="00921587" w:rsidP="0043349F">
      <w:pPr>
        <w:jc w:val="left"/>
        <w:rPr>
          <w:lang w:val="en-GB"/>
        </w:rPr>
      </w:pPr>
      <w:r w:rsidRPr="00FA2D9A">
        <w:rPr>
          <w:lang w:val="en-GB"/>
        </w:rPr>
        <w:t>2024</w:t>
      </w:r>
    </w:p>
    <w:p w14:paraId="45655D27" w14:textId="77777777" w:rsidR="0062550F" w:rsidRPr="00FA2D9A" w:rsidRDefault="001465C6" w:rsidP="0043349F">
      <w:pPr>
        <w:jc w:val="left"/>
        <w:rPr>
          <w:lang w:val="en-GB"/>
        </w:rPr>
      </w:pPr>
      <w:r w:rsidRPr="00FA2D9A">
        <w:rPr>
          <w:lang w:val="en-GB"/>
        </w:rPr>
        <w:t>Current Assets = 242,494</w:t>
      </w:r>
    </w:p>
    <w:p w14:paraId="5CB38100" w14:textId="77777777" w:rsidR="0062550F" w:rsidRPr="00FA2D9A" w:rsidRDefault="001465C6" w:rsidP="0043349F">
      <w:pPr>
        <w:jc w:val="left"/>
        <w:rPr>
          <w:lang w:val="en-GB"/>
        </w:rPr>
      </w:pPr>
      <w:r w:rsidRPr="00FA2D9A">
        <w:rPr>
          <w:lang w:val="en-GB"/>
        </w:rPr>
        <w:t>Inventory = 79,355</w:t>
      </w:r>
    </w:p>
    <w:p w14:paraId="6D68C30D" w14:textId="77777777" w:rsidR="0062550F" w:rsidRPr="00FA2D9A" w:rsidRDefault="001465C6" w:rsidP="0043349F">
      <w:pPr>
        <w:jc w:val="left"/>
        <w:rPr>
          <w:lang w:val="en-GB"/>
        </w:rPr>
      </w:pPr>
      <w:r w:rsidRPr="00FA2D9A">
        <w:rPr>
          <w:lang w:val="en-GB"/>
        </w:rPr>
        <w:t>Current Liabilities = 158,291</w:t>
      </w:r>
    </w:p>
    <w:p w14:paraId="670FB2B2" w14:textId="77777777" w:rsidR="0062550F" w:rsidRPr="00FA2D9A" w:rsidRDefault="001465C6" w:rsidP="0043349F">
      <w:pPr>
        <w:jc w:val="left"/>
        <w:rPr>
          <w:lang w:val="en-GB"/>
        </w:rPr>
      </w:pPr>
      <w:r w:rsidRPr="00FA2D9A">
        <w:rPr>
          <w:lang w:val="en-GB"/>
        </w:rPr>
        <w:t>Step 1: 242,494 – 79,355 = 163,139</w:t>
      </w:r>
    </w:p>
    <w:p w14:paraId="604742EF" w14:textId="77777777" w:rsidR="0062550F" w:rsidRPr="00FA2D9A" w:rsidRDefault="001465C6" w:rsidP="0043349F">
      <w:pPr>
        <w:jc w:val="left"/>
        <w:rPr>
          <w:lang w:val="en-GB"/>
        </w:rPr>
      </w:pPr>
      <w:r w:rsidRPr="00FA2D9A">
        <w:rPr>
          <w:lang w:val="en-GB"/>
        </w:rPr>
        <w:t>Step 2: 163,139 ÷ 158,291 = 1.031</w:t>
      </w:r>
    </w:p>
    <w:p w14:paraId="28DFB6B9" w14:textId="77777777" w:rsidR="0062550F" w:rsidRPr="00FA2D9A" w:rsidRDefault="001465C6" w:rsidP="0043349F">
      <w:pPr>
        <w:jc w:val="left"/>
        <w:rPr>
          <w:lang w:val="en-GB"/>
        </w:rPr>
      </w:pPr>
      <w:r w:rsidRPr="00FA2D9A">
        <w:rPr>
          <w:lang w:val="en-GB"/>
        </w:rPr>
        <w:t>Final: 1.031</w:t>
      </w:r>
    </w:p>
    <w:p w14:paraId="456DF735" w14:textId="77777777" w:rsidR="00872863" w:rsidRPr="00FA2D9A" w:rsidRDefault="00872863" w:rsidP="0043349F">
      <w:pPr>
        <w:jc w:val="left"/>
        <w:rPr>
          <w:lang w:val="en-GB"/>
        </w:rPr>
      </w:pPr>
    </w:p>
    <w:p w14:paraId="2971A044" w14:textId="0A06E438" w:rsidR="0062550F" w:rsidRPr="00085F40" w:rsidRDefault="001465C6" w:rsidP="0043349F">
      <w:pPr>
        <w:jc w:val="left"/>
        <w:rPr>
          <w:b/>
          <w:bCs/>
          <w:lang w:val="en-GB"/>
        </w:rPr>
      </w:pPr>
      <w:r w:rsidRPr="00085F40">
        <w:rPr>
          <w:b/>
          <w:bCs/>
          <w:lang w:val="en-GB"/>
        </w:rPr>
        <w:lastRenderedPageBreak/>
        <w:t>Inventory Days</w:t>
      </w:r>
    </w:p>
    <w:p w14:paraId="26B1954E" w14:textId="77777777" w:rsidR="00872863" w:rsidRPr="00FA2D9A" w:rsidRDefault="00872863" w:rsidP="0043349F">
      <w:pPr>
        <w:jc w:val="left"/>
        <w:rPr>
          <w:lang w:val="en-GB"/>
        </w:rPr>
      </w:pPr>
      <w:r w:rsidRPr="00FA2D9A">
        <w:rPr>
          <w:lang w:val="en-GB"/>
        </w:rPr>
        <w:t>2024</w:t>
      </w:r>
    </w:p>
    <w:p w14:paraId="2F253AD7" w14:textId="77777777" w:rsidR="0062550F" w:rsidRPr="00FA2D9A" w:rsidRDefault="001465C6" w:rsidP="0043349F">
      <w:pPr>
        <w:jc w:val="left"/>
        <w:rPr>
          <w:lang w:val="en-GB"/>
        </w:rPr>
      </w:pPr>
      <w:r w:rsidRPr="00FA2D9A">
        <w:rPr>
          <w:lang w:val="en-GB"/>
        </w:rPr>
        <w:t>Inventory = 79,355</w:t>
      </w:r>
    </w:p>
    <w:p w14:paraId="424F2212" w14:textId="77777777" w:rsidR="0062550F" w:rsidRPr="00FA2D9A" w:rsidRDefault="001465C6" w:rsidP="0043349F">
      <w:pPr>
        <w:jc w:val="left"/>
        <w:rPr>
          <w:lang w:val="en-GB"/>
        </w:rPr>
      </w:pPr>
      <w:r w:rsidRPr="00FA2D9A">
        <w:rPr>
          <w:lang w:val="en-GB"/>
        </w:rPr>
        <w:t>Cost of Sales = 280,885</w:t>
      </w:r>
    </w:p>
    <w:p w14:paraId="70DAEFD1" w14:textId="77777777" w:rsidR="0062550F" w:rsidRPr="00FA2D9A" w:rsidRDefault="001465C6" w:rsidP="0043349F">
      <w:pPr>
        <w:jc w:val="left"/>
        <w:rPr>
          <w:lang w:val="en-GB"/>
        </w:rPr>
      </w:pPr>
      <w:r w:rsidRPr="00FA2D9A">
        <w:rPr>
          <w:lang w:val="en-GB"/>
        </w:rPr>
        <w:t>Step 1: 79,355 ÷ 280,885 = 0.2825</w:t>
      </w:r>
    </w:p>
    <w:p w14:paraId="1A2F189E" w14:textId="77777777" w:rsidR="0062550F" w:rsidRPr="00FA2D9A" w:rsidRDefault="001465C6" w:rsidP="0043349F">
      <w:pPr>
        <w:jc w:val="left"/>
        <w:rPr>
          <w:lang w:val="en-GB"/>
        </w:rPr>
      </w:pPr>
      <w:r w:rsidRPr="00FA2D9A">
        <w:rPr>
          <w:lang w:val="en-GB"/>
        </w:rPr>
        <w:t>Step 2: 0.2825 × 365 = 102.1</w:t>
      </w:r>
    </w:p>
    <w:p w14:paraId="1BD02A43" w14:textId="77777777" w:rsidR="0062550F" w:rsidRPr="00FA2D9A" w:rsidRDefault="001465C6" w:rsidP="0043349F">
      <w:pPr>
        <w:jc w:val="left"/>
        <w:rPr>
          <w:lang w:val="en-GB"/>
        </w:rPr>
      </w:pPr>
      <w:r w:rsidRPr="00FA2D9A">
        <w:rPr>
          <w:lang w:val="en-GB"/>
        </w:rPr>
        <w:t>Final value: 73.351 days</w:t>
      </w:r>
    </w:p>
    <w:p w14:paraId="3CF48586" w14:textId="77777777" w:rsidR="00872863" w:rsidRPr="00FA2D9A" w:rsidRDefault="00872863" w:rsidP="0043349F">
      <w:pPr>
        <w:jc w:val="left"/>
        <w:rPr>
          <w:lang w:val="en-GB"/>
        </w:rPr>
      </w:pPr>
    </w:p>
    <w:p w14:paraId="1BF1FD0C" w14:textId="77777777" w:rsidR="0062550F" w:rsidRPr="00085F40" w:rsidRDefault="001465C6" w:rsidP="0043349F">
      <w:pPr>
        <w:jc w:val="left"/>
        <w:rPr>
          <w:b/>
          <w:bCs/>
          <w:lang w:val="en-GB"/>
        </w:rPr>
      </w:pPr>
      <w:r w:rsidRPr="00085F40">
        <w:rPr>
          <w:b/>
          <w:bCs/>
          <w:lang w:val="en-GB"/>
        </w:rPr>
        <w:t>Receivable Days</w:t>
      </w:r>
    </w:p>
    <w:p w14:paraId="0BB3333C" w14:textId="77777777" w:rsidR="00872863" w:rsidRPr="00FA2D9A" w:rsidRDefault="00872863" w:rsidP="0043349F">
      <w:pPr>
        <w:jc w:val="left"/>
        <w:rPr>
          <w:lang w:val="en-GB"/>
        </w:rPr>
      </w:pPr>
      <w:r w:rsidRPr="00FA2D9A">
        <w:rPr>
          <w:lang w:val="en-GB"/>
        </w:rPr>
        <w:t>2024</w:t>
      </w:r>
    </w:p>
    <w:p w14:paraId="54341EBF" w14:textId="77777777" w:rsidR="0062550F" w:rsidRPr="00FA2D9A" w:rsidRDefault="001465C6" w:rsidP="0043349F">
      <w:pPr>
        <w:jc w:val="left"/>
        <w:rPr>
          <w:lang w:val="en-GB"/>
        </w:rPr>
      </w:pPr>
      <w:r w:rsidRPr="00FA2D9A">
        <w:rPr>
          <w:lang w:val="en-GB"/>
        </w:rPr>
        <w:t>Receivables = 114,182</w:t>
      </w:r>
    </w:p>
    <w:p w14:paraId="6E8C79D3" w14:textId="77777777" w:rsidR="0062550F" w:rsidRPr="00FA2D9A" w:rsidRDefault="001465C6" w:rsidP="0043349F">
      <w:pPr>
        <w:jc w:val="left"/>
        <w:rPr>
          <w:lang w:val="en-GB"/>
        </w:rPr>
      </w:pPr>
      <w:r w:rsidRPr="00FA2D9A">
        <w:rPr>
          <w:lang w:val="en-GB"/>
        </w:rPr>
        <w:t>Sales = 394,879</w:t>
      </w:r>
    </w:p>
    <w:p w14:paraId="1E2A77D5" w14:textId="77777777" w:rsidR="0062550F" w:rsidRPr="00FA2D9A" w:rsidRDefault="001465C6" w:rsidP="0043349F">
      <w:pPr>
        <w:jc w:val="left"/>
        <w:rPr>
          <w:lang w:val="en-GB"/>
        </w:rPr>
      </w:pPr>
      <w:r w:rsidRPr="00FA2D9A">
        <w:rPr>
          <w:lang w:val="en-GB"/>
        </w:rPr>
        <w:t>Step 1: 114,182 ÷ 394,879 = 0.289</w:t>
      </w:r>
    </w:p>
    <w:p w14:paraId="5E43FAAC" w14:textId="77777777" w:rsidR="0062550F" w:rsidRPr="00FA2D9A" w:rsidRDefault="001465C6" w:rsidP="0043349F">
      <w:pPr>
        <w:jc w:val="left"/>
        <w:rPr>
          <w:lang w:val="en-GB"/>
        </w:rPr>
      </w:pPr>
      <w:r w:rsidRPr="00FA2D9A">
        <w:rPr>
          <w:lang w:val="en-GB"/>
        </w:rPr>
        <w:t>Step 2: 0.289 × 365 = 105.54</w:t>
      </w:r>
    </w:p>
    <w:p w14:paraId="70F47F95" w14:textId="77777777" w:rsidR="0062550F" w:rsidRPr="00FA2D9A" w:rsidRDefault="001465C6" w:rsidP="0043349F">
      <w:pPr>
        <w:jc w:val="left"/>
        <w:rPr>
          <w:lang w:val="en-GB"/>
        </w:rPr>
      </w:pPr>
      <w:r w:rsidRPr="00FA2D9A">
        <w:rPr>
          <w:lang w:val="en-GB"/>
        </w:rPr>
        <w:t>Final: 105.542 days</w:t>
      </w:r>
    </w:p>
    <w:p w14:paraId="34237831" w14:textId="77777777" w:rsidR="00E656CA" w:rsidRPr="00FA2D9A" w:rsidRDefault="00E656CA" w:rsidP="0043349F">
      <w:pPr>
        <w:jc w:val="left"/>
        <w:rPr>
          <w:lang w:val="en-GB"/>
        </w:rPr>
      </w:pPr>
    </w:p>
    <w:p w14:paraId="6ECF74EE" w14:textId="77777777" w:rsidR="0062550F" w:rsidRPr="00085F40" w:rsidRDefault="001465C6" w:rsidP="0043349F">
      <w:pPr>
        <w:jc w:val="left"/>
        <w:rPr>
          <w:b/>
          <w:bCs/>
          <w:lang w:val="en-GB"/>
        </w:rPr>
      </w:pPr>
      <w:r w:rsidRPr="00085F40">
        <w:rPr>
          <w:b/>
          <w:bCs/>
          <w:lang w:val="en-GB"/>
        </w:rPr>
        <w:t>Payable Days</w:t>
      </w:r>
    </w:p>
    <w:p w14:paraId="4FC6C538" w14:textId="77777777" w:rsidR="00E656CA" w:rsidRPr="00FA2D9A" w:rsidRDefault="00E656CA" w:rsidP="0043349F">
      <w:pPr>
        <w:jc w:val="left"/>
        <w:rPr>
          <w:lang w:val="en-GB"/>
        </w:rPr>
      </w:pPr>
      <w:r w:rsidRPr="00FA2D9A">
        <w:rPr>
          <w:lang w:val="en-GB"/>
        </w:rPr>
        <w:t>2024</w:t>
      </w:r>
    </w:p>
    <w:p w14:paraId="3B4FBC61" w14:textId="77777777" w:rsidR="0062550F" w:rsidRPr="00FA2D9A" w:rsidRDefault="001465C6" w:rsidP="0043349F">
      <w:pPr>
        <w:jc w:val="left"/>
        <w:rPr>
          <w:lang w:val="en-GB"/>
        </w:rPr>
      </w:pPr>
      <w:r w:rsidRPr="00FA2D9A">
        <w:rPr>
          <w:lang w:val="en-GB"/>
        </w:rPr>
        <w:t>Accounts Payable = 72,031</w:t>
      </w:r>
    </w:p>
    <w:p w14:paraId="7CFAA555" w14:textId="77777777" w:rsidR="0062550F" w:rsidRPr="00FA2D9A" w:rsidRDefault="001465C6" w:rsidP="0043349F">
      <w:pPr>
        <w:jc w:val="left"/>
        <w:rPr>
          <w:lang w:val="en-GB"/>
        </w:rPr>
      </w:pPr>
      <w:r w:rsidRPr="00FA2D9A">
        <w:rPr>
          <w:lang w:val="en-GB"/>
        </w:rPr>
        <w:t>Cost of Sales = 280,885</w:t>
      </w:r>
    </w:p>
    <w:p w14:paraId="36A5B4C0" w14:textId="77777777" w:rsidR="0062550F" w:rsidRPr="00FA2D9A" w:rsidRDefault="001465C6" w:rsidP="0043349F">
      <w:pPr>
        <w:jc w:val="left"/>
        <w:rPr>
          <w:lang w:val="en-GB"/>
        </w:rPr>
      </w:pPr>
      <w:r w:rsidRPr="00FA2D9A">
        <w:rPr>
          <w:lang w:val="en-GB"/>
        </w:rPr>
        <w:t>Step 1: 72,031 ÷ 280,885 = 0.2564</w:t>
      </w:r>
    </w:p>
    <w:p w14:paraId="0E1401CB" w14:textId="77777777" w:rsidR="0062550F" w:rsidRPr="00FA2D9A" w:rsidRDefault="001465C6" w:rsidP="0043349F">
      <w:pPr>
        <w:jc w:val="left"/>
        <w:rPr>
          <w:lang w:val="en-GB"/>
        </w:rPr>
      </w:pPr>
      <w:r w:rsidRPr="00FA2D9A">
        <w:rPr>
          <w:lang w:val="en-GB"/>
        </w:rPr>
        <w:t>Step 2: 0.2564 × 365 = 66.58</w:t>
      </w:r>
    </w:p>
    <w:p w14:paraId="30958CA2" w14:textId="77777777" w:rsidR="0062550F" w:rsidRPr="00FA2D9A" w:rsidRDefault="001465C6" w:rsidP="0043349F">
      <w:pPr>
        <w:jc w:val="left"/>
        <w:rPr>
          <w:lang w:val="en-GB"/>
        </w:rPr>
      </w:pPr>
      <w:r w:rsidRPr="00FA2D9A">
        <w:rPr>
          <w:lang w:val="en-GB"/>
        </w:rPr>
        <w:t>Final: 66.581 days</w:t>
      </w:r>
    </w:p>
    <w:p w14:paraId="76E88B16" w14:textId="77777777" w:rsidR="00E656CA" w:rsidRPr="00FA2D9A" w:rsidRDefault="00E656CA" w:rsidP="0043349F">
      <w:pPr>
        <w:jc w:val="left"/>
        <w:rPr>
          <w:lang w:val="en-GB"/>
        </w:rPr>
      </w:pPr>
    </w:p>
    <w:p w14:paraId="7440EC0E" w14:textId="77777777" w:rsidR="0062550F" w:rsidRPr="00085F40" w:rsidRDefault="001465C6" w:rsidP="0043349F">
      <w:pPr>
        <w:jc w:val="left"/>
        <w:rPr>
          <w:b/>
          <w:bCs/>
          <w:lang w:val="en-GB"/>
        </w:rPr>
      </w:pPr>
      <w:r w:rsidRPr="00085F40">
        <w:rPr>
          <w:b/>
          <w:bCs/>
          <w:lang w:val="en-GB"/>
        </w:rPr>
        <w:t>Return on Assets (ROA)</w:t>
      </w:r>
    </w:p>
    <w:p w14:paraId="0ABEBBAE" w14:textId="77777777" w:rsidR="00E656CA" w:rsidRPr="00FA2D9A" w:rsidRDefault="00E656CA" w:rsidP="0043349F">
      <w:pPr>
        <w:jc w:val="left"/>
        <w:rPr>
          <w:lang w:val="en-GB"/>
        </w:rPr>
      </w:pPr>
      <w:r w:rsidRPr="00FA2D9A">
        <w:rPr>
          <w:lang w:val="en-GB"/>
        </w:rPr>
        <w:t>2024</w:t>
      </w:r>
    </w:p>
    <w:p w14:paraId="7635EE3A" w14:textId="77777777" w:rsidR="0062550F" w:rsidRPr="00FA2D9A" w:rsidRDefault="001465C6" w:rsidP="0043349F">
      <w:pPr>
        <w:jc w:val="left"/>
        <w:rPr>
          <w:lang w:val="en-GB"/>
        </w:rPr>
      </w:pPr>
      <w:r w:rsidRPr="00FA2D9A">
        <w:rPr>
          <w:lang w:val="en-GB"/>
        </w:rPr>
        <w:t>Net Income = –24,029</w:t>
      </w:r>
    </w:p>
    <w:p w14:paraId="0E012567" w14:textId="77777777" w:rsidR="0062550F" w:rsidRPr="00FA2D9A" w:rsidRDefault="001465C6" w:rsidP="0043349F">
      <w:pPr>
        <w:jc w:val="left"/>
        <w:rPr>
          <w:lang w:val="en-GB"/>
        </w:rPr>
      </w:pPr>
      <w:r w:rsidRPr="00FA2D9A">
        <w:rPr>
          <w:lang w:val="en-GB"/>
        </w:rPr>
        <w:t>Total Assets = 323,354</w:t>
      </w:r>
    </w:p>
    <w:p w14:paraId="5D049D7C" w14:textId="77777777" w:rsidR="0062550F" w:rsidRPr="00FA2D9A" w:rsidRDefault="001465C6" w:rsidP="0043349F">
      <w:pPr>
        <w:jc w:val="left"/>
        <w:rPr>
          <w:lang w:val="en-GB"/>
        </w:rPr>
      </w:pPr>
      <w:r w:rsidRPr="00FA2D9A">
        <w:rPr>
          <w:lang w:val="en-GB"/>
        </w:rPr>
        <w:t>Step: –24,029 ÷ 323,354 = –0.0743</w:t>
      </w:r>
    </w:p>
    <w:p w14:paraId="151A7950" w14:textId="77777777" w:rsidR="0062550F" w:rsidRPr="00FA2D9A" w:rsidRDefault="001465C6" w:rsidP="0043349F">
      <w:pPr>
        <w:jc w:val="left"/>
        <w:rPr>
          <w:lang w:val="en-GB"/>
        </w:rPr>
      </w:pPr>
      <w:r w:rsidRPr="00FA2D9A">
        <w:rPr>
          <w:lang w:val="en-GB"/>
        </w:rPr>
        <w:t>Final: –0.074</w:t>
      </w:r>
    </w:p>
    <w:p w14:paraId="7E235619" w14:textId="77777777" w:rsidR="00E656CA" w:rsidRPr="00FA2D9A" w:rsidRDefault="00E656CA" w:rsidP="0043349F">
      <w:pPr>
        <w:jc w:val="left"/>
        <w:rPr>
          <w:lang w:val="en-GB"/>
        </w:rPr>
      </w:pPr>
    </w:p>
    <w:p w14:paraId="33ACAEAE" w14:textId="77777777" w:rsidR="0062550F" w:rsidRPr="00085F40" w:rsidRDefault="001465C6" w:rsidP="0043349F">
      <w:pPr>
        <w:jc w:val="left"/>
        <w:rPr>
          <w:b/>
          <w:bCs/>
          <w:lang w:val="en-GB"/>
        </w:rPr>
      </w:pPr>
      <w:r w:rsidRPr="00085F40">
        <w:rPr>
          <w:b/>
          <w:bCs/>
          <w:lang w:val="en-GB"/>
        </w:rPr>
        <w:t>Return on Equity (ROE)</w:t>
      </w:r>
    </w:p>
    <w:p w14:paraId="2CAAF904" w14:textId="77777777" w:rsidR="00E656CA" w:rsidRPr="00FA2D9A" w:rsidRDefault="00E656CA" w:rsidP="0043349F">
      <w:pPr>
        <w:jc w:val="left"/>
        <w:rPr>
          <w:lang w:val="en-GB"/>
        </w:rPr>
      </w:pPr>
      <w:r w:rsidRPr="00FA2D9A">
        <w:rPr>
          <w:lang w:val="en-GB"/>
        </w:rPr>
        <w:t>2024</w:t>
      </w:r>
    </w:p>
    <w:p w14:paraId="55C8B462" w14:textId="77777777" w:rsidR="0062550F" w:rsidRPr="00FA2D9A" w:rsidRDefault="001465C6" w:rsidP="0043349F">
      <w:pPr>
        <w:jc w:val="left"/>
        <w:rPr>
          <w:lang w:val="en-GB"/>
        </w:rPr>
      </w:pPr>
      <w:r w:rsidRPr="00FA2D9A">
        <w:rPr>
          <w:lang w:val="en-GB"/>
        </w:rPr>
        <w:t>Net Income = –24,029</w:t>
      </w:r>
    </w:p>
    <w:p w14:paraId="0FBCE8A6" w14:textId="77777777" w:rsidR="0062550F" w:rsidRPr="00FA2D9A" w:rsidRDefault="001465C6" w:rsidP="0043349F">
      <w:pPr>
        <w:jc w:val="left"/>
        <w:rPr>
          <w:lang w:val="en-GB"/>
        </w:rPr>
      </w:pPr>
      <w:r w:rsidRPr="00FA2D9A">
        <w:rPr>
          <w:lang w:val="en-GB"/>
        </w:rPr>
        <w:lastRenderedPageBreak/>
        <w:t>Equity = 153,105</w:t>
      </w:r>
    </w:p>
    <w:p w14:paraId="5D35E1FF" w14:textId="77777777" w:rsidR="0062550F" w:rsidRPr="00FA2D9A" w:rsidRDefault="001465C6" w:rsidP="0043349F">
      <w:pPr>
        <w:jc w:val="left"/>
        <w:rPr>
          <w:lang w:val="en-GB"/>
        </w:rPr>
      </w:pPr>
      <w:r w:rsidRPr="00FA2D9A">
        <w:rPr>
          <w:lang w:val="en-GB"/>
        </w:rPr>
        <w:t>Step: –24,029 ÷ 153,105 = –0.157</w:t>
      </w:r>
    </w:p>
    <w:p w14:paraId="772BEE97" w14:textId="77777777" w:rsidR="0062550F" w:rsidRPr="00FA2D9A" w:rsidRDefault="001465C6" w:rsidP="0043349F">
      <w:pPr>
        <w:jc w:val="left"/>
        <w:rPr>
          <w:lang w:val="en-GB"/>
        </w:rPr>
      </w:pPr>
      <w:r w:rsidRPr="00FA2D9A">
        <w:rPr>
          <w:lang w:val="en-GB"/>
        </w:rPr>
        <w:t>Final: –0.157</w:t>
      </w:r>
    </w:p>
    <w:p w14:paraId="7DE37C29" w14:textId="77777777" w:rsidR="00E656CA" w:rsidRPr="00FA2D9A" w:rsidRDefault="00E656CA" w:rsidP="0043349F">
      <w:pPr>
        <w:jc w:val="left"/>
        <w:rPr>
          <w:lang w:val="en-GB"/>
        </w:rPr>
      </w:pPr>
    </w:p>
    <w:p w14:paraId="6B6D19D4" w14:textId="77777777" w:rsidR="0062550F" w:rsidRPr="00085F40" w:rsidRDefault="001465C6" w:rsidP="0043349F">
      <w:pPr>
        <w:jc w:val="left"/>
        <w:rPr>
          <w:b/>
          <w:bCs/>
          <w:lang w:val="en-GB"/>
        </w:rPr>
      </w:pPr>
      <w:r w:rsidRPr="00085F40">
        <w:rPr>
          <w:b/>
          <w:bCs/>
          <w:lang w:val="en-GB"/>
        </w:rPr>
        <w:t>Debt-to-Equity Ratio</w:t>
      </w:r>
    </w:p>
    <w:p w14:paraId="1B1F2E41" w14:textId="77777777" w:rsidR="00E656CA" w:rsidRPr="00FA2D9A" w:rsidRDefault="00E656CA" w:rsidP="0043349F">
      <w:pPr>
        <w:jc w:val="left"/>
        <w:rPr>
          <w:lang w:val="en-GB"/>
        </w:rPr>
      </w:pPr>
      <w:r w:rsidRPr="00FA2D9A">
        <w:rPr>
          <w:lang w:val="en-GB"/>
        </w:rPr>
        <w:t>2024</w:t>
      </w:r>
    </w:p>
    <w:p w14:paraId="6D90B57C" w14:textId="77777777" w:rsidR="0062550F" w:rsidRPr="00FA2D9A" w:rsidRDefault="001465C6" w:rsidP="0043349F">
      <w:pPr>
        <w:jc w:val="left"/>
        <w:rPr>
          <w:lang w:val="en-GB"/>
        </w:rPr>
      </w:pPr>
      <w:r w:rsidRPr="00FA2D9A">
        <w:rPr>
          <w:lang w:val="en-GB"/>
        </w:rPr>
        <w:t>Liabilities = 170,249</w:t>
      </w:r>
    </w:p>
    <w:p w14:paraId="638F4DA1" w14:textId="77777777" w:rsidR="0062550F" w:rsidRPr="00FA2D9A" w:rsidRDefault="001465C6" w:rsidP="0043349F">
      <w:pPr>
        <w:jc w:val="left"/>
        <w:rPr>
          <w:lang w:val="en-GB"/>
        </w:rPr>
      </w:pPr>
      <w:r w:rsidRPr="00FA2D9A">
        <w:rPr>
          <w:lang w:val="en-GB"/>
        </w:rPr>
        <w:t>Equity = 153,105</w:t>
      </w:r>
    </w:p>
    <w:p w14:paraId="0BA215CC" w14:textId="77777777" w:rsidR="0062550F" w:rsidRPr="00FA2D9A" w:rsidRDefault="001465C6" w:rsidP="0043349F">
      <w:pPr>
        <w:jc w:val="left"/>
        <w:rPr>
          <w:lang w:val="en-GB"/>
        </w:rPr>
      </w:pPr>
      <w:r w:rsidRPr="00FA2D9A">
        <w:rPr>
          <w:lang w:val="en-GB"/>
        </w:rPr>
        <w:t>Step: 170,249 ÷ 153,105 = 1.112</w:t>
      </w:r>
    </w:p>
    <w:p w14:paraId="642AF3B2" w14:textId="77777777" w:rsidR="0062550F" w:rsidRPr="00FA2D9A" w:rsidRDefault="001465C6" w:rsidP="0043349F">
      <w:pPr>
        <w:jc w:val="left"/>
        <w:rPr>
          <w:lang w:val="en-GB"/>
        </w:rPr>
      </w:pPr>
      <w:r w:rsidRPr="00FA2D9A">
        <w:rPr>
          <w:lang w:val="en-GB"/>
        </w:rPr>
        <w:t>Final: 1.112</w:t>
      </w:r>
    </w:p>
    <w:p w14:paraId="64B7B908" w14:textId="77777777" w:rsidR="00FC2D03" w:rsidRPr="00FA2D9A" w:rsidRDefault="00FC2D03" w:rsidP="0043349F">
      <w:pPr>
        <w:rPr>
          <w:b/>
          <w:bCs/>
          <w:lang w:val="en-GB"/>
        </w:rPr>
      </w:pPr>
      <w:bookmarkStart w:id="115" w:name="_1d0zre9qogc9" w:colFirst="0" w:colLast="0"/>
      <w:bookmarkEnd w:id="115"/>
      <w:r w:rsidRPr="00FA2D9A">
        <w:rPr>
          <w:lang w:val="en-GB"/>
        </w:rPr>
        <w:br w:type="page"/>
      </w:r>
    </w:p>
    <w:p w14:paraId="5ED3E388" w14:textId="3487EA15" w:rsidR="0062550F" w:rsidRPr="00FA2D9A" w:rsidRDefault="001465C6" w:rsidP="0043349F">
      <w:pPr>
        <w:pStyle w:val="Heading2"/>
        <w:keepNext w:val="0"/>
        <w:keepLines w:val="0"/>
        <w:rPr>
          <w:lang w:val="en-GB"/>
        </w:rPr>
      </w:pPr>
      <w:bookmarkStart w:id="116" w:name="_Toc217298057"/>
      <w:r w:rsidRPr="00FA2D9A">
        <w:rPr>
          <w:lang w:val="en-GB"/>
        </w:rPr>
        <w:lastRenderedPageBreak/>
        <w:t xml:space="preserve">Appendix </w:t>
      </w:r>
      <w:r w:rsidR="00B135EE" w:rsidRPr="00FA2D9A">
        <w:rPr>
          <w:lang w:val="en-GB"/>
        </w:rPr>
        <w:t>2</w:t>
      </w:r>
      <w:r w:rsidRPr="00FA2D9A">
        <w:rPr>
          <w:lang w:val="en-GB"/>
        </w:rPr>
        <w:t>: Altman Z-Score calculations</w:t>
      </w:r>
      <w:bookmarkEnd w:id="116"/>
    </w:p>
    <w:p w14:paraId="01CCB984" w14:textId="04F09AEE" w:rsidR="0062550F" w:rsidRPr="00FA2D9A" w:rsidRDefault="00860A9B" w:rsidP="0043349F">
      <w:pPr>
        <w:jc w:val="left"/>
        <w:rPr>
          <w:b/>
          <w:bCs/>
          <w:lang w:val="en-GB"/>
        </w:rPr>
      </w:pPr>
      <w:r w:rsidRPr="00FA2D9A">
        <w:rPr>
          <w:b/>
          <w:bCs/>
          <w:lang w:val="en-GB"/>
        </w:rPr>
        <w:t>[Calculated using Excel]</w:t>
      </w:r>
    </w:p>
    <w:p w14:paraId="1A8C2127" w14:textId="77777777" w:rsidR="00C362CF" w:rsidRPr="00FA2D9A" w:rsidRDefault="00C362CF" w:rsidP="00C362CF">
      <w:pPr>
        <w:jc w:val="center"/>
        <w:rPr>
          <w:b/>
          <w:bCs/>
          <w:i/>
          <w:iCs/>
          <w:lang w:val="en-GB"/>
        </w:rPr>
      </w:pPr>
      <w:r w:rsidRPr="00FA2D9A">
        <w:rPr>
          <w:b/>
          <w:bCs/>
          <w:i/>
          <w:iCs/>
          <w:lang w:val="en-GB"/>
        </w:rPr>
        <w:t>Year 2020</w:t>
      </w:r>
    </w:p>
    <w:p w14:paraId="0CE0825A" w14:textId="77777777" w:rsidR="00C362CF" w:rsidRPr="00FA2D9A" w:rsidRDefault="00C362CF" w:rsidP="00C362CF">
      <w:pPr>
        <w:jc w:val="left"/>
        <w:rPr>
          <w:lang w:val="en-GB"/>
        </w:rPr>
      </w:pPr>
      <w:r w:rsidRPr="00FA2D9A">
        <w:rPr>
          <w:lang w:val="en-GB"/>
        </w:rPr>
        <w:t>Inputs: Current assets = 326,843; Current liabilities = 179,510; Working capital = 147,333</w:t>
      </w:r>
    </w:p>
    <w:p w14:paraId="1BF57E7B" w14:textId="77777777" w:rsidR="00C362CF" w:rsidRPr="00FA2D9A" w:rsidRDefault="00C362CF" w:rsidP="00C362CF">
      <w:pPr>
        <w:jc w:val="left"/>
        <w:rPr>
          <w:lang w:val="en-GB"/>
        </w:rPr>
      </w:pPr>
      <w:r w:rsidRPr="00FA2D9A">
        <w:rPr>
          <w:lang w:val="en-GB"/>
        </w:rPr>
        <w:t>Retained earnings = 324,990; EBIT = 37,267; Total assets = 510,290; Sales = 614,680; Total liabilities = 196,989; Book equity = 313,301</w:t>
      </w:r>
    </w:p>
    <w:p w14:paraId="3401E89C" w14:textId="77777777" w:rsidR="00C362CF" w:rsidRPr="00FA2D9A" w:rsidRDefault="00C362CF" w:rsidP="00C362CF">
      <w:pPr>
        <w:jc w:val="left"/>
        <w:rPr>
          <w:lang w:val="en-GB"/>
        </w:rPr>
      </w:pPr>
      <w:r w:rsidRPr="00FA2D9A">
        <w:rPr>
          <w:lang w:val="en-GB"/>
        </w:rPr>
        <w:t>X:</w:t>
      </w:r>
    </w:p>
    <w:p w14:paraId="48457DCA" w14:textId="77777777" w:rsidR="00C362CF" w:rsidRPr="00FA2D9A" w:rsidRDefault="00C362CF" w:rsidP="00C362CF">
      <w:pPr>
        <w:jc w:val="left"/>
        <w:rPr>
          <w:lang w:val="en-GB"/>
        </w:rPr>
      </w:pPr>
      <w:r w:rsidRPr="00FA2D9A">
        <w:rPr>
          <w:lang w:val="en-GB"/>
        </w:rPr>
        <w:t>X1 = 147,333 ÷ 510,290 = 0.288637</w:t>
      </w:r>
    </w:p>
    <w:p w14:paraId="2CF79569" w14:textId="77777777" w:rsidR="00C362CF" w:rsidRPr="00FA2D9A" w:rsidRDefault="00C362CF" w:rsidP="00C362CF">
      <w:pPr>
        <w:jc w:val="left"/>
        <w:rPr>
          <w:lang w:val="en-GB"/>
        </w:rPr>
      </w:pPr>
      <w:r w:rsidRPr="00FA2D9A">
        <w:rPr>
          <w:lang w:val="en-GB"/>
        </w:rPr>
        <w:t>X2 = 324,990 ÷ 510,290 = 0.636585</w:t>
      </w:r>
    </w:p>
    <w:p w14:paraId="312BAD9E" w14:textId="77777777" w:rsidR="00C362CF" w:rsidRPr="00FA2D9A" w:rsidRDefault="00C362CF" w:rsidP="00C362CF">
      <w:pPr>
        <w:jc w:val="left"/>
        <w:rPr>
          <w:lang w:val="en-GB"/>
        </w:rPr>
      </w:pPr>
      <w:r w:rsidRPr="00FA2D9A">
        <w:rPr>
          <w:lang w:val="en-GB"/>
        </w:rPr>
        <w:t>X3 = 37,267 ÷ 510,290 = 0.073000</w:t>
      </w:r>
    </w:p>
    <w:p w14:paraId="73B06362" w14:textId="77777777" w:rsidR="00C362CF" w:rsidRPr="00FA2D9A" w:rsidRDefault="00C362CF" w:rsidP="00C362CF">
      <w:pPr>
        <w:jc w:val="left"/>
        <w:rPr>
          <w:lang w:val="en-GB"/>
        </w:rPr>
      </w:pPr>
      <w:r w:rsidRPr="00FA2D9A">
        <w:rPr>
          <w:lang w:val="en-GB"/>
        </w:rPr>
        <w:t>X4 = 313,301 ÷ 196,989 = 1.590759</w:t>
      </w:r>
    </w:p>
    <w:p w14:paraId="50E19066" w14:textId="77777777" w:rsidR="00C362CF" w:rsidRPr="00FA2D9A" w:rsidRDefault="00C362CF" w:rsidP="00C362CF">
      <w:pPr>
        <w:jc w:val="left"/>
        <w:rPr>
          <w:lang w:val="en-GB"/>
        </w:rPr>
      </w:pPr>
      <w:r w:rsidRPr="00FA2D9A">
        <w:rPr>
          <w:lang w:val="en-GB"/>
        </w:rPr>
        <w:t>X5 = 614,680 ÷ 510,290 = 1.204257</w:t>
      </w:r>
    </w:p>
    <w:p w14:paraId="786D852C" w14:textId="77777777" w:rsidR="00C362CF" w:rsidRPr="00FA2D9A" w:rsidRDefault="00C362CF" w:rsidP="00C362CF">
      <w:pPr>
        <w:jc w:val="left"/>
        <w:rPr>
          <w:lang w:val="en-GB"/>
        </w:rPr>
      </w:pPr>
      <w:r w:rsidRPr="00FA2D9A">
        <w:rPr>
          <w:lang w:val="en-GB"/>
        </w:rPr>
        <w:t>Z components:</w:t>
      </w:r>
    </w:p>
    <w:p w14:paraId="1C9AED4F" w14:textId="77777777" w:rsidR="00C362CF" w:rsidRPr="00FA2D9A" w:rsidRDefault="00C362CF" w:rsidP="00C362CF">
      <w:pPr>
        <w:jc w:val="left"/>
        <w:rPr>
          <w:lang w:val="en-GB"/>
        </w:rPr>
      </w:pPr>
      <w:r w:rsidRPr="00FA2D9A">
        <w:rPr>
          <w:lang w:val="en-GB"/>
        </w:rPr>
        <w:t>1.2·X1 = 0.346364</w:t>
      </w:r>
    </w:p>
    <w:p w14:paraId="7E8EC125" w14:textId="77777777" w:rsidR="00C362CF" w:rsidRPr="00FA2D9A" w:rsidRDefault="00C362CF" w:rsidP="00C362CF">
      <w:pPr>
        <w:jc w:val="left"/>
        <w:rPr>
          <w:lang w:val="en-GB"/>
        </w:rPr>
      </w:pPr>
      <w:r w:rsidRPr="00FA2D9A">
        <w:rPr>
          <w:lang w:val="en-GB"/>
        </w:rPr>
        <w:t>1.4·X2 = 0.891219</w:t>
      </w:r>
    </w:p>
    <w:p w14:paraId="4594934A" w14:textId="77777777" w:rsidR="00C362CF" w:rsidRPr="00FA2D9A" w:rsidRDefault="00C362CF" w:rsidP="00C362CF">
      <w:pPr>
        <w:jc w:val="left"/>
        <w:rPr>
          <w:lang w:val="en-GB"/>
        </w:rPr>
      </w:pPr>
      <w:r w:rsidRPr="00FA2D9A">
        <w:rPr>
          <w:lang w:val="en-GB"/>
        </w:rPr>
        <w:t>3.3·X3 = 0.240900</w:t>
      </w:r>
    </w:p>
    <w:p w14:paraId="6FE3589E" w14:textId="77777777" w:rsidR="00C362CF" w:rsidRPr="00FA2D9A" w:rsidRDefault="00C362CF" w:rsidP="00C362CF">
      <w:pPr>
        <w:jc w:val="left"/>
        <w:rPr>
          <w:lang w:val="en-GB"/>
        </w:rPr>
      </w:pPr>
      <w:r w:rsidRPr="00FA2D9A">
        <w:rPr>
          <w:lang w:val="en-GB"/>
        </w:rPr>
        <w:t>0.6·X4 = 0.954455</w:t>
      </w:r>
    </w:p>
    <w:p w14:paraId="7FCBA453" w14:textId="77777777" w:rsidR="00C362CF" w:rsidRPr="00FA2D9A" w:rsidRDefault="00C362CF" w:rsidP="00C362CF">
      <w:pPr>
        <w:jc w:val="left"/>
        <w:rPr>
          <w:lang w:val="en-GB"/>
        </w:rPr>
      </w:pPr>
      <w:r w:rsidRPr="00FA2D9A">
        <w:rPr>
          <w:lang w:val="en-GB"/>
        </w:rPr>
        <w:t>1.0·X5 = 1.204257</w:t>
      </w:r>
    </w:p>
    <w:p w14:paraId="426BF8F7" w14:textId="77777777" w:rsidR="00C362CF" w:rsidRPr="00FA2D9A" w:rsidRDefault="00C362CF" w:rsidP="00C362CF">
      <w:pPr>
        <w:jc w:val="left"/>
        <w:rPr>
          <w:lang w:val="en-GB"/>
        </w:rPr>
      </w:pPr>
      <w:r w:rsidRPr="00FA2D9A">
        <w:rPr>
          <w:lang w:val="en-GB"/>
        </w:rPr>
        <w:t>Sum: Z = 0.346364 + 0.891219 + 0.240900 + 0.954455 + 1.204257 = 3.637195</w:t>
      </w:r>
    </w:p>
    <w:p w14:paraId="433AFC77" w14:textId="77777777" w:rsidR="00C362CF" w:rsidRDefault="00C362CF" w:rsidP="00C362CF">
      <w:r w:rsidRPr="00FA2D9A">
        <w:rPr>
          <w:lang w:val="en-GB"/>
        </w:rPr>
        <w:t>Z(2020) = 3.637</w:t>
      </w:r>
    </w:p>
    <w:p w14:paraId="17308459" w14:textId="77777777" w:rsidR="00C362CF" w:rsidRPr="00FA2D9A" w:rsidRDefault="00C362CF" w:rsidP="00C362CF">
      <w:pPr>
        <w:jc w:val="center"/>
        <w:rPr>
          <w:b/>
          <w:bCs/>
          <w:i/>
          <w:iCs/>
          <w:lang w:val="en-GB"/>
        </w:rPr>
      </w:pPr>
      <w:r w:rsidRPr="00FA2D9A">
        <w:rPr>
          <w:b/>
          <w:bCs/>
          <w:i/>
          <w:iCs/>
          <w:lang w:val="en-GB"/>
        </w:rPr>
        <w:t>Year 2021</w:t>
      </w:r>
    </w:p>
    <w:p w14:paraId="3B5212DD" w14:textId="77777777" w:rsidR="00C362CF" w:rsidRPr="00FA2D9A" w:rsidRDefault="00C362CF" w:rsidP="00C362CF">
      <w:pPr>
        <w:jc w:val="left"/>
        <w:rPr>
          <w:lang w:val="en-GB"/>
        </w:rPr>
      </w:pPr>
      <w:r w:rsidRPr="00FA2D9A">
        <w:rPr>
          <w:lang w:val="en-GB"/>
        </w:rPr>
        <w:t>Inputs: Current assets = 337,146; Current liabilities = 216,787; Working capital = 120,359</w:t>
      </w:r>
    </w:p>
    <w:p w14:paraId="56AA7B88" w14:textId="77777777" w:rsidR="00C362CF" w:rsidRPr="00FA2D9A" w:rsidRDefault="00C362CF" w:rsidP="00C362CF">
      <w:pPr>
        <w:jc w:val="left"/>
        <w:rPr>
          <w:lang w:val="en-GB"/>
        </w:rPr>
      </w:pPr>
      <w:r w:rsidRPr="00FA2D9A">
        <w:rPr>
          <w:lang w:val="en-GB"/>
        </w:rPr>
        <w:t>Retained earnings = 330,291; EBIT = 23,253; Total assets = 510,348; Sales = 601,602; Total liabilities = 234,399; Book equity = 275,949</w:t>
      </w:r>
    </w:p>
    <w:p w14:paraId="6551E2AD" w14:textId="77777777" w:rsidR="00C362CF" w:rsidRPr="00FA2D9A" w:rsidRDefault="00C362CF" w:rsidP="00C362CF">
      <w:pPr>
        <w:jc w:val="left"/>
        <w:rPr>
          <w:lang w:val="en-GB"/>
        </w:rPr>
      </w:pPr>
      <w:r w:rsidRPr="00FA2D9A">
        <w:rPr>
          <w:lang w:val="en-GB"/>
        </w:rPr>
        <w:t>X:</w:t>
      </w:r>
    </w:p>
    <w:p w14:paraId="1171F1A0" w14:textId="77777777" w:rsidR="00C362CF" w:rsidRPr="00FA2D9A" w:rsidRDefault="00C362CF" w:rsidP="00C362CF">
      <w:pPr>
        <w:jc w:val="left"/>
        <w:rPr>
          <w:lang w:val="en-GB"/>
        </w:rPr>
      </w:pPr>
      <w:r w:rsidRPr="00FA2D9A">
        <w:rPr>
          <w:lang w:val="en-GB"/>
        </w:rPr>
        <w:t>X1 = 120,359 ÷ 510,348 = 0.235879</w:t>
      </w:r>
    </w:p>
    <w:p w14:paraId="5B4F3461" w14:textId="77777777" w:rsidR="00C362CF" w:rsidRPr="00FA2D9A" w:rsidRDefault="00C362CF" w:rsidP="00C362CF">
      <w:pPr>
        <w:jc w:val="left"/>
        <w:rPr>
          <w:lang w:val="en-GB"/>
        </w:rPr>
      </w:pPr>
      <w:r w:rsidRPr="00FA2D9A">
        <w:rPr>
          <w:lang w:val="en-GB"/>
        </w:rPr>
        <w:t>X2 = 330,291 ÷ 510,348 = 0.647167</w:t>
      </w:r>
    </w:p>
    <w:p w14:paraId="0899625B" w14:textId="77777777" w:rsidR="00C362CF" w:rsidRPr="00FA2D9A" w:rsidRDefault="00C362CF" w:rsidP="00C362CF">
      <w:pPr>
        <w:jc w:val="left"/>
        <w:rPr>
          <w:lang w:val="en-GB"/>
        </w:rPr>
      </w:pPr>
      <w:r w:rsidRPr="00FA2D9A">
        <w:rPr>
          <w:lang w:val="en-GB"/>
        </w:rPr>
        <w:t>X3 = 23,253 ÷ 510,348 = 0.045557</w:t>
      </w:r>
    </w:p>
    <w:p w14:paraId="7F5EECDC" w14:textId="77777777" w:rsidR="00C362CF" w:rsidRPr="00FA2D9A" w:rsidRDefault="00C362CF" w:rsidP="00C362CF">
      <w:pPr>
        <w:jc w:val="left"/>
        <w:rPr>
          <w:lang w:val="en-GB"/>
        </w:rPr>
      </w:pPr>
      <w:r w:rsidRPr="00FA2D9A">
        <w:rPr>
          <w:lang w:val="en-GB"/>
        </w:rPr>
        <w:t>X4 = 275,949 ÷ 234,399 = 1.177744</w:t>
      </w:r>
    </w:p>
    <w:p w14:paraId="77B1AFC6" w14:textId="77777777" w:rsidR="00C362CF" w:rsidRPr="00FA2D9A" w:rsidRDefault="00C362CF" w:rsidP="00C362CF">
      <w:pPr>
        <w:jc w:val="left"/>
        <w:rPr>
          <w:lang w:val="en-GB"/>
        </w:rPr>
      </w:pPr>
      <w:r w:rsidRPr="00FA2D9A">
        <w:rPr>
          <w:lang w:val="en-GB"/>
        </w:rPr>
        <w:t>X5 = 601,602 ÷ 510,348 = 1.178996</w:t>
      </w:r>
    </w:p>
    <w:p w14:paraId="76B148DF" w14:textId="77777777" w:rsidR="00C362CF" w:rsidRPr="00FA2D9A" w:rsidRDefault="00C362CF" w:rsidP="00C362CF">
      <w:pPr>
        <w:jc w:val="left"/>
        <w:rPr>
          <w:lang w:val="en-GB"/>
        </w:rPr>
      </w:pPr>
      <w:r w:rsidRPr="00FA2D9A">
        <w:rPr>
          <w:lang w:val="en-GB"/>
        </w:rPr>
        <w:t>Z components:</w:t>
      </w:r>
    </w:p>
    <w:p w14:paraId="0A457C4A" w14:textId="77777777" w:rsidR="00C362CF" w:rsidRPr="00FA2D9A" w:rsidRDefault="00C362CF" w:rsidP="00C362CF">
      <w:pPr>
        <w:jc w:val="left"/>
        <w:rPr>
          <w:lang w:val="en-GB"/>
        </w:rPr>
      </w:pPr>
      <w:r w:rsidRPr="00FA2D9A">
        <w:rPr>
          <w:lang w:val="en-GB"/>
        </w:rPr>
        <w:t>1.2·X1 = 0.283055</w:t>
      </w:r>
    </w:p>
    <w:p w14:paraId="26BDDE4E" w14:textId="77777777" w:rsidR="00C362CF" w:rsidRPr="00FA2D9A" w:rsidRDefault="00C362CF" w:rsidP="00C362CF">
      <w:pPr>
        <w:jc w:val="left"/>
        <w:rPr>
          <w:lang w:val="en-GB"/>
        </w:rPr>
      </w:pPr>
      <w:r w:rsidRPr="00FA2D9A">
        <w:rPr>
          <w:lang w:val="en-GB"/>
        </w:rPr>
        <w:lastRenderedPageBreak/>
        <w:t>1.4·X2 = 0.905034</w:t>
      </w:r>
    </w:p>
    <w:p w14:paraId="5D060B62" w14:textId="77777777" w:rsidR="00C362CF" w:rsidRPr="00FA2D9A" w:rsidRDefault="00C362CF" w:rsidP="00C362CF">
      <w:pPr>
        <w:jc w:val="left"/>
        <w:rPr>
          <w:lang w:val="en-GB"/>
        </w:rPr>
      </w:pPr>
      <w:r w:rsidRPr="00FA2D9A">
        <w:rPr>
          <w:lang w:val="en-GB"/>
        </w:rPr>
        <w:t>3.3·X3 = 0.150337</w:t>
      </w:r>
    </w:p>
    <w:p w14:paraId="4BEF9F85" w14:textId="77777777" w:rsidR="00C362CF" w:rsidRPr="00FA2D9A" w:rsidRDefault="00C362CF" w:rsidP="00C362CF">
      <w:pPr>
        <w:jc w:val="left"/>
        <w:rPr>
          <w:lang w:val="en-GB"/>
        </w:rPr>
      </w:pPr>
      <w:r w:rsidRPr="00FA2D9A">
        <w:rPr>
          <w:lang w:val="en-GB"/>
        </w:rPr>
        <w:t>0.6·X4 = 0.706646</w:t>
      </w:r>
    </w:p>
    <w:p w14:paraId="42C780E4" w14:textId="77777777" w:rsidR="00C362CF" w:rsidRPr="00FA2D9A" w:rsidRDefault="00C362CF" w:rsidP="00C362CF">
      <w:pPr>
        <w:jc w:val="left"/>
        <w:rPr>
          <w:lang w:val="en-GB"/>
        </w:rPr>
      </w:pPr>
      <w:r w:rsidRPr="00FA2D9A">
        <w:rPr>
          <w:lang w:val="en-GB"/>
        </w:rPr>
        <w:t>1.0·X5 = 1.178996</w:t>
      </w:r>
    </w:p>
    <w:p w14:paraId="7AA880EB" w14:textId="77777777" w:rsidR="00C362CF" w:rsidRPr="00FA2D9A" w:rsidRDefault="00C362CF" w:rsidP="00C362CF">
      <w:pPr>
        <w:jc w:val="left"/>
        <w:rPr>
          <w:lang w:val="en-GB"/>
        </w:rPr>
      </w:pPr>
      <w:r w:rsidRPr="00FA2D9A">
        <w:rPr>
          <w:lang w:val="en-GB"/>
        </w:rPr>
        <w:t>Sum: Z = 0.283055 + 0.905034 + 0.150337 + 0.706646 + 1.178996 = 3.223]</w:t>
      </w:r>
    </w:p>
    <w:p w14:paraId="2D66AC43" w14:textId="77777777" w:rsidR="00C362CF" w:rsidRPr="00FA2D9A" w:rsidRDefault="00C362CF" w:rsidP="00C362CF">
      <w:pPr>
        <w:jc w:val="left"/>
        <w:rPr>
          <w:lang w:val="en-GB"/>
        </w:rPr>
      </w:pPr>
      <w:r w:rsidRPr="00FA2D9A">
        <w:rPr>
          <w:rFonts w:eastAsia="Arial Unicode MS"/>
          <w:lang w:val="en-GB"/>
        </w:rPr>
        <w:t>(rounded) Z(2021) ≈ 3.223</w:t>
      </w:r>
    </w:p>
    <w:p w14:paraId="68385F68" w14:textId="77777777" w:rsidR="00C362CF" w:rsidRPr="00FA2D9A" w:rsidRDefault="00C362CF" w:rsidP="00C362CF">
      <w:pPr>
        <w:jc w:val="center"/>
        <w:rPr>
          <w:b/>
          <w:bCs/>
          <w:i/>
          <w:iCs/>
          <w:lang w:val="en-GB"/>
        </w:rPr>
      </w:pPr>
      <w:r w:rsidRPr="00FA2D9A">
        <w:rPr>
          <w:b/>
          <w:bCs/>
          <w:i/>
          <w:iCs/>
          <w:lang w:val="en-GB"/>
        </w:rPr>
        <w:t>Year 2022</w:t>
      </w:r>
    </w:p>
    <w:p w14:paraId="55B106B3" w14:textId="77777777" w:rsidR="00C362CF" w:rsidRPr="00FA2D9A" w:rsidRDefault="00C362CF" w:rsidP="00C362CF">
      <w:pPr>
        <w:jc w:val="left"/>
        <w:rPr>
          <w:lang w:val="en-GB"/>
        </w:rPr>
      </w:pPr>
      <w:r w:rsidRPr="00FA2D9A">
        <w:rPr>
          <w:lang w:val="en-GB"/>
        </w:rPr>
        <w:t>Inputs: Current assets = 338,040; Current liabilities = 216,473; Working capital = 121,567</w:t>
      </w:r>
    </w:p>
    <w:p w14:paraId="035AECC7" w14:textId="77777777" w:rsidR="00C362CF" w:rsidRPr="00FA2D9A" w:rsidRDefault="00C362CF" w:rsidP="00C362CF">
      <w:pPr>
        <w:jc w:val="left"/>
        <w:rPr>
          <w:lang w:val="en-GB"/>
        </w:rPr>
      </w:pPr>
      <w:r w:rsidRPr="00FA2D9A">
        <w:rPr>
          <w:lang w:val="en-GB"/>
        </w:rPr>
        <w:t>Retained earnings = 330,698; EBIT = 14,548; Total assets = 504,163; Sales = 542,751; Total liabilities = 235,757; Book equity = 268,406</w:t>
      </w:r>
    </w:p>
    <w:p w14:paraId="523A4969" w14:textId="77777777" w:rsidR="00C362CF" w:rsidRPr="00FA2D9A" w:rsidRDefault="00C362CF" w:rsidP="00C362CF">
      <w:pPr>
        <w:jc w:val="left"/>
        <w:rPr>
          <w:lang w:val="en-GB"/>
        </w:rPr>
      </w:pPr>
      <w:r w:rsidRPr="00FA2D9A">
        <w:rPr>
          <w:lang w:val="en-GB"/>
        </w:rPr>
        <w:t>X:</w:t>
      </w:r>
    </w:p>
    <w:p w14:paraId="211F270D" w14:textId="77777777" w:rsidR="00C362CF" w:rsidRPr="00FA2D9A" w:rsidRDefault="00C362CF" w:rsidP="00C362CF">
      <w:pPr>
        <w:jc w:val="left"/>
        <w:rPr>
          <w:lang w:val="en-GB"/>
        </w:rPr>
      </w:pPr>
      <w:r w:rsidRPr="00FA2D9A">
        <w:rPr>
          <w:lang w:val="en-GB"/>
        </w:rPr>
        <w:t>X1 = 121,567 ÷ 504,163 = 0.241096</w:t>
      </w:r>
    </w:p>
    <w:p w14:paraId="4329D266" w14:textId="77777777" w:rsidR="00C362CF" w:rsidRPr="00FA2D9A" w:rsidRDefault="00C362CF" w:rsidP="00C362CF">
      <w:pPr>
        <w:jc w:val="left"/>
        <w:rPr>
          <w:lang w:val="en-GB"/>
        </w:rPr>
      </w:pPr>
      <w:r w:rsidRPr="00FA2D9A">
        <w:rPr>
          <w:lang w:val="en-GB"/>
        </w:rPr>
        <w:t>X2 = 330,698 ÷ 504,163 = 0.655723</w:t>
      </w:r>
    </w:p>
    <w:p w14:paraId="36796122" w14:textId="77777777" w:rsidR="00C362CF" w:rsidRPr="00FA2D9A" w:rsidRDefault="00C362CF" w:rsidP="00C362CF">
      <w:pPr>
        <w:jc w:val="left"/>
        <w:rPr>
          <w:lang w:val="en-GB"/>
        </w:rPr>
      </w:pPr>
      <w:r w:rsidRPr="00FA2D9A">
        <w:rPr>
          <w:lang w:val="en-GB"/>
        </w:rPr>
        <w:t>X3 = 14,548 ÷ 504,163 = 0.02885</w:t>
      </w:r>
    </w:p>
    <w:p w14:paraId="6990132A" w14:textId="77777777" w:rsidR="00C362CF" w:rsidRPr="00FA2D9A" w:rsidRDefault="00C362CF" w:rsidP="00C362CF">
      <w:pPr>
        <w:jc w:val="left"/>
        <w:rPr>
          <w:lang w:val="en-GB"/>
        </w:rPr>
      </w:pPr>
      <w:r w:rsidRPr="00FA2D9A">
        <w:rPr>
          <w:lang w:val="en-GB"/>
        </w:rPr>
        <w:t>X4 = 268,406 ÷ 235,757 = 1.139069</w:t>
      </w:r>
    </w:p>
    <w:p w14:paraId="573C2CD7" w14:textId="77777777" w:rsidR="00C362CF" w:rsidRPr="00FA2D9A" w:rsidRDefault="00C362CF" w:rsidP="00C362CF">
      <w:pPr>
        <w:jc w:val="left"/>
        <w:rPr>
          <w:lang w:val="en-GB"/>
        </w:rPr>
      </w:pPr>
      <w:r w:rsidRPr="00FA2D9A">
        <w:rPr>
          <w:lang w:val="en-GB"/>
        </w:rPr>
        <w:t>X5 = 542,751 ÷ 504,163 = 1.076118</w:t>
      </w:r>
    </w:p>
    <w:p w14:paraId="3A91143D" w14:textId="77777777" w:rsidR="00C362CF" w:rsidRPr="00FA2D9A" w:rsidRDefault="00C362CF" w:rsidP="00C362CF">
      <w:pPr>
        <w:jc w:val="left"/>
        <w:rPr>
          <w:lang w:val="en-GB"/>
        </w:rPr>
      </w:pPr>
      <w:r w:rsidRPr="00FA2D9A">
        <w:rPr>
          <w:lang w:val="en-GB"/>
        </w:rPr>
        <w:t>Z components:</w:t>
      </w:r>
    </w:p>
    <w:p w14:paraId="6AC243B8" w14:textId="77777777" w:rsidR="00C362CF" w:rsidRPr="00FA2D9A" w:rsidRDefault="00C362CF" w:rsidP="00C362CF">
      <w:pPr>
        <w:jc w:val="left"/>
        <w:rPr>
          <w:lang w:val="en-GB"/>
        </w:rPr>
      </w:pPr>
      <w:r w:rsidRPr="00FA2D9A">
        <w:rPr>
          <w:lang w:val="en-GB"/>
        </w:rPr>
        <w:t>1.2·X1 = 0.289315</w:t>
      </w:r>
    </w:p>
    <w:p w14:paraId="39ACE8B3" w14:textId="77777777" w:rsidR="00C362CF" w:rsidRPr="00FA2D9A" w:rsidRDefault="00C362CF" w:rsidP="00C362CF">
      <w:pPr>
        <w:jc w:val="left"/>
        <w:rPr>
          <w:lang w:val="en-GB"/>
        </w:rPr>
      </w:pPr>
      <w:r w:rsidRPr="00FA2D9A">
        <w:rPr>
          <w:lang w:val="en-GB"/>
        </w:rPr>
        <w:t>1.4·X2 = 0.918012</w:t>
      </w:r>
    </w:p>
    <w:p w14:paraId="3967E25C" w14:textId="77777777" w:rsidR="00C362CF" w:rsidRPr="00FA2D9A" w:rsidRDefault="00C362CF" w:rsidP="00C362CF">
      <w:pPr>
        <w:jc w:val="left"/>
        <w:rPr>
          <w:lang w:val="en-GB"/>
        </w:rPr>
      </w:pPr>
      <w:r w:rsidRPr="00FA2D9A">
        <w:rPr>
          <w:lang w:val="en-GB"/>
        </w:rPr>
        <w:t>3.3·X3 = 0.095206</w:t>
      </w:r>
    </w:p>
    <w:p w14:paraId="6163BA43" w14:textId="77777777" w:rsidR="00C362CF" w:rsidRPr="00FA2D9A" w:rsidRDefault="00C362CF" w:rsidP="00C362CF">
      <w:pPr>
        <w:jc w:val="left"/>
        <w:rPr>
          <w:lang w:val="en-GB"/>
        </w:rPr>
      </w:pPr>
      <w:r w:rsidRPr="00FA2D9A">
        <w:rPr>
          <w:lang w:val="en-GB"/>
        </w:rPr>
        <w:t>0.6·X4 = 0.683441</w:t>
      </w:r>
    </w:p>
    <w:p w14:paraId="49ED8A2F" w14:textId="77777777" w:rsidR="00C362CF" w:rsidRPr="00FA2D9A" w:rsidRDefault="00C362CF" w:rsidP="00C362CF">
      <w:pPr>
        <w:jc w:val="left"/>
        <w:rPr>
          <w:lang w:val="en-GB"/>
        </w:rPr>
      </w:pPr>
      <w:r w:rsidRPr="00FA2D9A">
        <w:rPr>
          <w:lang w:val="en-GB"/>
        </w:rPr>
        <w:t>1.0·X5 = 1.076118</w:t>
      </w:r>
    </w:p>
    <w:p w14:paraId="38DB11DB" w14:textId="77777777" w:rsidR="00C362CF" w:rsidRPr="00FA2D9A" w:rsidRDefault="00C362CF" w:rsidP="00C362CF">
      <w:pPr>
        <w:jc w:val="left"/>
        <w:rPr>
          <w:lang w:val="en-GB"/>
        </w:rPr>
      </w:pPr>
      <w:r w:rsidRPr="00FA2D9A">
        <w:rPr>
          <w:lang w:val="en-GB"/>
        </w:rPr>
        <w:t>Sum: Z = 0.289315 + 0.918012 + 0.095206 + 0.683441 + 1.076118 = 3.062093</w:t>
      </w:r>
    </w:p>
    <w:p w14:paraId="4748BDCC" w14:textId="77777777" w:rsidR="00C362CF" w:rsidRPr="00FA2D9A" w:rsidRDefault="00C362CF" w:rsidP="00C362CF">
      <w:pPr>
        <w:jc w:val="left"/>
        <w:rPr>
          <w:lang w:val="en-GB"/>
        </w:rPr>
      </w:pPr>
      <w:r w:rsidRPr="00FA2D9A">
        <w:rPr>
          <w:lang w:val="en-GB"/>
        </w:rPr>
        <w:t>Z(2022) = 3.062</w:t>
      </w:r>
    </w:p>
    <w:p w14:paraId="583690C5" w14:textId="77777777" w:rsidR="00C362CF" w:rsidRPr="00FA2D9A" w:rsidRDefault="00C362CF" w:rsidP="00C362CF">
      <w:pPr>
        <w:jc w:val="center"/>
        <w:rPr>
          <w:b/>
          <w:bCs/>
          <w:i/>
          <w:iCs/>
          <w:lang w:val="en-GB"/>
        </w:rPr>
      </w:pPr>
      <w:r w:rsidRPr="00FA2D9A">
        <w:rPr>
          <w:b/>
          <w:bCs/>
          <w:i/>
          <w:iCs/>
          <w:lang w:val="en-GB"/>
        </w:rPr>
        <w:t>Year 2023</w:t>
      </w:r>
    </w:p>
    <w:p w14:paraId="405CB9AC" w14:textId="77777777" w:rsidR="00C362CF" w:rsidRPr="00FA2D9A" w:rsidRDefault="00C362CF" w:rsidP="00C362CF">
      <w:pPr>
        <w:jc w:val="left"/>
        <w:rPr>
          <w:lang w:val="en-GB"/>
        </w:rPr>
      </w:pPr>
      <w:r w:rsidRPr="00FA2D9A">
        <w:rPr>
          <w:lang w:val="en-GB"/>
        </w:rPr>
        <w:t>Inputs: Current assets = 258,851; Current liabilities = 161,148; Working capital = 97,703</w:t>
      </w:r>
    </w:p>
    <w:p w14:paraId="404BC8BC" w14:textId="77777777" w:rsidR="00C362CF" w:rsidRPr="00FA2D9A" w:rsidRDefault="00C362CF" w:rsidP="00C362CF">
      <w:pPr>
        <w:jc w:val="left"/>
        <w:rPr>
          <w:lang w:val="en-GB"/>
        </w:rPr>
      </w:pPr>
      <w:r w:rsidRPr="00FA2D9A">
        <w:rPr>
          <w:rFonts w:eastAsia="Arial Unicode MS"/>
          <w:lang w:val="en-GB"/>
        </w:rPr>
        <w:t>Retained earnings = 232,460; EBIT = −85,301; Total assets = 355,872; Sales = 420,457; Total liabilities = 176,952; Book equity = 178,920</w:t>
      </w:r>
    </w:p>
    <w:p w14:paraId="3660B88D" w14:textId="77777777" w:rsidR="00C362CF" w:rsidRPr="00FA2D9A" w:rsidRDefault="00C362CF" w:rsidP="00C362CF">
      <w:pPr>
        <w:jc w:val="left"/>
        <w:rPr>
          <w:lang w:val="en-GB"/>
        </w:rPr>
      </w:pPr>
      <w:r w:rsidRPr="00FA2D9A">
        <w:rPr>
          <w:lang w:val="en-GB"/>
        </w:rPr>
        <w:t>X calculations:</w:t>
      </w:r>
    </w:p>
    <w:p w14:paraId="3794D469" w14:textId="77777777" w:rsidR="00C362CF" w:rsidRPr="00FA2D9A" w:rsidRDefault="00C362CF" w:rsidP="00C362CF">
      <w:pPr>
        <w:jc w:val="left"/>
        <w:rPr>
          <w:lang w:val="en-GB"/>
        </w:rPr>
      </w:pPr>
      <w:r w:rsidRPr="00FA2D9A">
        <w:rPr>
          <w:lang w:val="en-GB"/>
        </w:rPr>
        <w:t>X1 = 97,703 ÷ 355,872 = 0.274588</w:t>
      </w:r>
    </w:p>
    <w:p w14:paraId="63A59C28" w14:textId="77777777" w:rsidR="00C362CF" w:rsidRPr="00FA2D9A" w:rsidRDefault="00C362CF" w:rsidP="00C362CF">
      <w:pPr>
        <w:jc w:val="left"/>
        <w:rPr>
          <w:lang w:val="en-GB"/>
        </w:rPr>
      </w:pPr>
      <w:r w:rsidRPr="00FA2D9A">
        <w:rPr>
          <w:lang w:val="en-GB"/>
        </w:rPr>
        <w:t>X2 = 232,460 ÷ 355,872 = 0.652949</w:t>
      </w:r>
    </w:p>
    <w:p w14:paraId="63648677" w14:textId="77777777" w:rsidR="00C362CF" w:rsidRPr="00FA2D9A" w:rsidRDefault="00C362CF" w:rsidP="00C362CF">
      <w:pPr>
        <w:jc w:val="left"/>
        <w:rPr>
          <w:lang w:val="en-GB"/>
        </w:rPr>
      </w:pPr>
      <w:r w:rsidRPr="00FA2D9A">
        <w:rPr>
          <w:rFonts w:eastAsia="Arial Unicode MS"/>
          <w:lang w:val="en-GB"/>
        </w:rPr>
        <w:t>X3 = −85,301 ÷ 355,872 = −0.239633</w:t>
      </w:r>
    </w:p>
    <w:p w14:paraId="22877E91" w14:textId="77777777" w:rsidR="00C362CF" w:rsidRPr="00FA2D9A" w:rsidRDefault="00C362CF" w:rsidP="00C362CF">
      <w:pPr>
        <w:jc w:val="left"/>
        <w:rPr>
          <w:lang w:val="en-GB"/>
        </w:rPr>
      </w:pPr>
      <w:r w:rsidRPr="00FA2D9A">
        <w:rPr>
          <w:lang w:val="en-GB"/>
        </w:rPr>
        <w:lastRenderedPageBreak/>
        <w:t>X4 = 178,920 ÷ 176,952 = 1.010797</w:t>
      </w:r>
    </w:p>
    <w:p w14:paraId="430F3367" w14:textId="77777777" w:rsidR="00C362CF" w:rsidRPr="00FA2D9A" w:rsidRDefault="00C362CF" w:rsidP="00C362CF">
      <w:pPr>
        <w:jc w:val="left"/>
        <w:rPr>
          <w:lang w:val="en-GB"/>
        </w:rPr>
      </w:pPr>
      <w:r w:rsidRPr="00FA2D9A">
        <w:rPr>
          <w:lang w:val="en-GB"/>
        </w:rPr>
        <w:t>X5 = 420,457 ÷ 355,872 = 1.181859</w:t>
      </w:r>
    </w:p>
    <w:p w14:paraId="3933CF22" w14:textId="77777777" w:rsidR="00C362CF" w:rsidRPr="00FA2D9A" w:rsidRDefault="00C362CF" w:rsidP="00C362CF">
      <w:pPr>
        <w:jc w:val="left"/>
        <w:rPr>
          <w:lang w:val="en-GB"/>
        </w:rPr>
      </w:pPr>
      <w:r w:rsidRPr="00FA2D9A">
        <w:rPr>
          <w:lang w:val="en-GB"/>
        </w:rPr>
        <w:t>Z components:</w:t>
      </w:r>
    </w:p>
    <w:p w14:paraId="139E2797" w14:textId="77777777" w:rsidR="00C362CF" w:rsidRPr="00FA2D9A" w:rsidRDefault="00C362CF" w:rsidP="00C362CF">
      <w:pPr>
        <w:jc w:val="left"/>
        <w:rPr>
          <w:lang w:val="en-GB"/>
        </w:rPr>
      </w:pPr>
      <w:r w:rsidRPr="00FA2D9A">
        <w:rPr>
          <w:lang w:val="en-GB"/>
        </w:rPr>
        <w:t>1.2·X1 = 0.329506</w:t>
      </w:r>
    </w:p>
    <w:p w14:paraId="35619656" w14:textId="77777777" w:rsidR="00C362CF" w:rsidRPr="00FA2D9A" w:rsidRDefault="00C362CF" w:rsidP="00C362CF">
      <w:pPr>
        <w:jc w:val="left"/>
        <w:rPr>
          <w:lang w:val="en-GB"/>
        </w:rPr>
      </w:pPr>
      <w:r w:rsidRPr="00FA2D9A">
        <w:rPr>
          <w:lang w:val="en-GB"/>
        </w:rPr>
        <w:t>1.4·X2 = 0.914129</w:t>
      </w:r>
    </w:p>
    <w:p w14:paraId="7BD129D8" w14:textId="77777777" w:rsidR="00C362CF" w:rsidRPr="00FA2D9A" w:rsidRDefault="00C362CF" w:rsidP="00C362CF">
      <w:pPr>
        <w:jc w:val="left"/>
        <w:rPr>
          <w:lang w:val="en-GB"/>
        </w:rPr>
      </w:pPr>
      <w:r w:rsidRPr="00FA2D9A">
        <w:rPr>
          <w:rFonts w:eastAsia="Arial Unicode MS"/>
          <w:lang w:val="en-GB"/>
        </w:rPr>
        <w:t>3.3·X3 = −0.790789</w:t>
      </w:r>
    </w:p>
    <w:p w14:paraId="223F440C" w14:textId="77777777" w:rsidR="00C362CF" w:rsidRPr="00FA2D9A" w:rsidRDefault="00C362CF" w:rsidP="00C362CF">
      <w:pPr>
        <w:jc w:val="left"/>
        <w:rPr>
          <w:lang w:val="en-GB"/>
        </w:rPr>
      </w:pPr>
      <w:r w:rsidRPr="00FA2D9A">
        <w:rPr>
          <w:lang w:val="en-GB"/>
        </w:rPr>
        <w:t>0.6·X4 = 0.606478</w:t>
      </w:r>
    </w:p>
    <w:p w14:paraId="70224E82" w14:textId="77777777" w:rsidR="00C362CF" w:rsidRPr="00FA2D9A" w:rsidRDefault="00C362CF" w:rsidP="00C362CF">
      <w:pPr>
        <w:jc w:val="left"/>
        <w:rPr>
          <w:lang w:val="en-GB"/>
        </w:rPr>
      </w:pPr>
      <w:r w:rsidRPr="00FA2D9A">
        <w:rPr>
          <w:lang w:val="en-GB"/>
        </w:rPr>
        <w:t>1.0·X5 = 1.181859</w:t>
      </w:r>
    </w:p>
    <w:p w14:paraId="6F2ABC5F" w14:textId="77777777" w:rsidR="00C362CF" w:rsidRPr="00FA2D9A" w:rsidRDefault="00C362CF" w:rsidP="00C362CF">
      <w:pPr>
        <w:jc w:val="left"/>
        <w:rPr>
          <w:lang w:val="en-GB"/>
        </w:rPr>
      </w:pPr>
      <w:r w:rsidRPr="00FA2D9A">
        <w:rPr>
          <w:rFonts w:eastAsia="Arial Unicode MS"/>
          <w:lang w:val="en-GB"/>
        </w:rPr>
        <w:t>Sum: Z = 0.329506 + 0.914129 − 0.790789 + 0.606478 + 1.181859 = 2.241183</w:t>
      </w:r>
    </w:p>
    <w:p w14:paraId="55897F1F" w14:textId="77777777" w:rsidR="00C362CF" w:rsidRPr="00FA2D9A" w:rsidRDefault="00C362CF" w:rsidP="00C362CF">
      <w:pPr>
        <w:jc w:val="left"/>
        <w:rPr>
          <w:lang w:val="en-GB"/>
        </w:rPr>
      </w:pPr>
      <w:r w:rsidRPr="00FA2D9A">
        <w:rPr>
          <w:lang w:val="en-GB"/>
        </w:rPr>
        <w:t>Z(2023) = 2.241</w:t>
      </w:r>
    </w:p>
    <w:p w14:paraId="25F5C004" w14:textId="77777777" w:rsidR="0062550F" w:rsidRPr="00FA2D9A" w:rsidRDefault="001465C6" w:rsidP="0043349F">
      <w:pPr>
        <w:jc w:val="center"/>
        <w:rPr>
          <w:b/>
          <w:bCs/>
          <w:i/>
          <w:iCs/>
          <w:lang w:val="en-GB"/>
        </w:rPr>
      </w:pPr>
      <w:r w:rsidRPr="00FA2D9A">
        <w:rPr>
          <w:b/>
          <w:bCs/>
          <w:i/>
          <w:iCs/>
          <w:lang w:val="en-GB"/>
        </w:rPr>
        <w:t>Year 2024</w:t>
      </w:r>
    </w:p>
    <w:p w14:paraId="5FD422BC" w14:textId="77777777" w:rsidR="0062550F" w:rsidRPr="00FA2D9A" w:rsidRDefault="001465C6" w:rsidP="0043349F">
      <w:pPr>
        <w:jc w:val="left"/>
        <w:rPr>
          <w:lang w:val="en-GB"/>
        </w:rPr>
      </w:pPr>
      <w:r w:rsidRPr="00FA2D9A">
        <w:rPr>
          <w:lang w:val="en-GB"/>
        </w:rPr>
        <w:t>Current assets = 242,494</w:t>
      </w:r>
    </w:p>
    <w:p w14:paraId="68456980" w14:textId="77777777" w:rsidR="0062550F" w:rsidRPr="00FA2D9A" w:rsidRDefault="001465C6" w:rsidP="0043349F">
      <w:pPr>
        <w:jc w:val="left"/>
        <w:rPr>
          <w:lang w:val="en-GB"/>
        </w:rPr>
      </w:pPr>
      <w:r w:rsidRPr="00FA2D9A">
        <w:rPr>
          <w:lang w:val="en-GB"/>
        </w:rPr>
        <w:t>Current liabilities = 158,291</w:t>
      </w:r>
    </w:p>
    <w:p w14:paraId="49ED4038" w14:textId="77777777" w:rsidR="0062550F" w:rsidRPr="00FA2D9A" w:rsidRDefault="001465C6" w:rsidP="0043349F">
      <w:pPr>
        <w:jc w:val="left"/>
        <w:rPr>
          <w:lang w:val="en-GB"/>
        </w:rPr>
      </w:pPr>
      <w:r w:rsidRPr="00FA2D9A">
        <w:rPr>
          <w:rFonts w:eastAsia="Arial Unicode MS"/>
          <w:lang w:val="en-GB"/>
        </w:rPr>
        <w:t>Working capital = 242,494 − 158,291 = 84,203</w:t>
      </w:r>
    </w:p>
    <w:p w14:paraId="2DC593B0" w14:textId="77777777" w:rsidR="0062550F" w:rsidRPr="00FA2D9A" w:rsidRDefault="001465C6" w:rsidP="0043349F">
      <w:pPr>
        <w:jc w:val="left"/>
        <w:rPr>
          <w:lang w:val="en-GB"/>
        </w:rPr>
      </w:pPr>
      <w:r w:rsidRPr="00FA2D9A">
        <w:rPr>
          <w:lang w:val="en-GB"/>
        </w:rPr>
        <w:t>Retained earnings = 208,431</w:t>
      </w:r>
    </w:p>
    <w:p w14:paraId="0FBF9DA2" w14:textId="77777777" w:rsidR="0062550F" w:rsidRPr="00FA2D9A" w:rsidRDefault="001465C6" w:rsidP="0043349F">
      <w:pPr>
        <w:jc w:val="left"/>
        <w:rPr>
          <w:lang w:val="en-GB"/>
        </w:rPr>
      </w:pPr>
      <w:r w:rsidRPr="00FA2D9A">
        <w:rPr>
          <w:rFonts w:eastAsia="Arial Unicode MS"/>
          <w:lang w:val="en-GB"/>
        </w:rPr>
        <w:t>EBIT (Operating income) = −15,297</w:t>
      </w:r>
    </w:p>
    <w:p w14:paraId="450F0966" w14:textId="77777777" w:rsidR="0062550F" w:rsidRPr="00FA2D9A" w:rsidRDefault="001465C6" w:rsidP="0043349F">
      <w:pPr>
        <w:jc w:val="left"/>
        <w:rPr>
          <w:lang w:val="en-GB"/>
        </w:rPr>
      </w:pPr>
      <w:r w:rsidRPr="00FA2D9A">
        <w:rPr>
          <w:lang w:val="en-GB"/>
        </w:rPr>
        <w:t>Total assets = 323,354</w:t>
      </w:r>
    </w:p>
    <w:p w14:paraId="6CE854B6" w14:textId="77777777" w:rsidR="0062550F" w:rsidRPr="00FA2D9A" w:rsidRDefault="001465C6" w:rsidP="0043349F">
      <w:pPr>
        <w:jc w:val="left"/>
        <w:rPr>
          <w:lang w:val="en-GB"/>
        </w:rPr>
      </w:pPr>
      <w:r w:rsidRPr="00FA2D9A">
        <w:rPr>
          <w:lang w:val="en-GB"/>
        </w:rPr>
        <w:t>Sales = 394,879</w:t>
      </w:r>
    </w:p>
    <w:p w14:paraId="2806AEF9" w14:textId="77777777" w:rsidR="0062550F" w:rsidRPr="00FA2D9A" w:rsidRDefault="001465C6" w:rsidP="0043349F">
      <w:pPr>
        <w:jc w:val="left"/>
        <w:rPr>
          <w:lang w:val="en-GB"/>
        </w:rPr>
      </w:pPr>
      <w:r w:rsidRPr="00FA2D9A">
        <w:rPr>
          <w:lang w:val="en-GB"/>
        </w:rPr>
        <w:t>Total liabilities = 170,249</w:t>
      </w:r>
    </w:p>
    <w:p w14:paraId="23734CD1" w14:textId="77777777" w:rsidR="0062550F" w:rsidRPr="00FA2D9A" w:rsidRDefault="001465C6" w:rsidP="0043349F">
      <w:pPr>
        <w:jc w:val="left"/>
        <w:rPr>
          <w:lang w:val="en-GB"/>
        </w:rPr>
      </w:pPr>
      <w:r w:rsidRPr="00FA2D9A">
        <w:rPr>
          <w:lang w:val="en-GB"/>
        </w:rPr>
        <w:t>Book equity = 153,105</w:t>
      </w:r>
    </w:p>
    <w:p w14:paraId="1956B6E9" w14:textId="77777777" w:rsidR="0062550F" w:rsidRPr="00FA2D9A" w:rsidRDefault="001465C6" w:rsidP="0043349F">
      <w:pPr>
        <w:jc w:val="left"/>
        <w:rPr>
          <w:lang w:val="en-GB"/>
        </w:rPr>
      </w:pPr>
      <w:r w:rsidRPr="00FA2D9A">
        <w:rPr>
          <w:lang w:val="en-GB"/>
        </w:rPr>
        <w:t>Calculate X components:</w:t>
      </w:r>
    </w:p>
    <w:p w14:paraId="2EB3B8FA" w14:textId="77777777" w:rsidR="0062550F" w:rsidRPr="00FA2D9A" w:rsidRDefault="001465C6" w:rsidP="0043349F">
      <w:pPr>
        <w:jc w:val="left"/>
        <w:rPr>
          <w:lang w:val="en-GB"/>
        </w:rPr>
      </w:pPr>
      <w:r w:rsidRPr="00FA2D9A">
        <w:rPr>
          <w:lang w:val="en-GB"/>
        </w:rPr>
        <w:t>X1 = Working capital / Total assets = 84,203 ÷ 323,354 = 0.260484</w:t>
      </w:r>
    </w:p>
    <w:p w14:paraId="3FCC085E" w14:textId="77777777" w:rsidR="0062550F" w:rsidRPr="00FA2D9A" w:rsidRDefault="001465C6" w:rsidP="0043349F">
      <w:pPr>
        <w:jc w:val="left"/>
        <w:rPr>
          <w:lang w:val="en-GB"/>
        </w:rPr>
      </w:pPr>
      <w:r w:rsidRPr="00FA2D9A">
        <w:rPr>
          <w:lang w:val="en-GB"/>
        </w:rPr>
        <w:t>X2 = Retained earnings / Total assets = 208,431 ÷ 323,354 = 0.644782</w:t>
      </w:r>
    </w:p>
    <w:p w14:paraId="1169C4CF" w14:textId="77777777" w:rsidR="0062550F" w:rsidRPr="00FA2D9A" w:rsidRDefault="001465C6" w:rsidP="0043349F">
      <w:pPr>
        <w:jc w:val="left"/>
        <w:rPr>
          <w:lang w:val="en-GB"/>
        </w:rPr>
      </w:pPr>
      <w:r w:rsidRPr="00FA2D9A">
        <w:rPr>
          <w:rFonts w:eastAsia="Arial Unicode MS"/>
          <w:lang w:val="en-GB"/>
        </w:rPr>
        <w:t>X3 = EBIT / Total assets = (−15,297) ÷ 323,354 = −0.047303</w:t>
      </w:r>
    </w:p>
    <w:p w14:paraId="21AFF7B1" w14:textId="77777777" w:rsidR="0062550F" w:rsidRPr="00FA2D9A" w:rsidRDefault="001465C6" w:rsidP="0043349F">
      <w:pPr>
        <w:jc w:val="left"/>
        <w:rPr>
          <w:lang w:val="en-GB"/>
        </w:rPr>
      </w:pPr>
      <w:r w:rsidRPr="00FA2D9A">
        <w:rPr>
          <w:rFonts w:eastAsia="Arial Unicode MS"/>
          <w:lang w:val="en-GB"/>
        </w:rPr>
        <w:t>X4 = Market value of equity / Total liabilities ≈ Book equity / Total liabilities = 153,105 ÷ 170,249 = 0.899394</w:t>
      </w:r>
    </w:p>
    <w:p w14:paraId="76BE0781" w14:textId="77777777" w:rsidR="0062550F" w:rsidRPr="00FA2D9A" w:rsidRDefault="001465C6" w:rsidP="0043349F">
      <w:pPr>
        <w:jc w:val="left"/>
        <w:rPr>
          <w:lang w:val="en-GB"/>
        </w:rPr>
      </w:pPr>
      <w:r w:rsidRPr="00FA2D9A">
        <w:rPr>
          <w:lang w:val="en-GB"/>
        </w:rPr>
        <w:t>X5 = Sales / Total assets = 394,879 ÷ 323,354 = 1.221590</w:t>
      </w:r>
    </w:p>
    <w:p w14:paraId="7332E7A1" w14:textId="77777777" w:rsidR="0062550F" w:rsidRPr="00FA2D9A" w:rsidRDefault="001465C6" w:rsidP="0043349F">
      <w:pPr>
        <w:jc w:val="left"/>
        <w:rPr>
          <w:lang w:val="en-GB"/>
        </w:rPr>
      </w:pPr>
      <w:r w:rsidRPr="00FA2D9A">
        <w:rPr>
          <w:lang w:val="en-GB"/>
        </w:rPr>
        <w:t>Compute Z:</w:t>
      </w:r>
    </w:p>
    <w:p w14:paraId="02ED10CA" w14:textId="77777777" w:rsidR="0062550F" w:rsidRPr="00FA2D9A" w:rsidRDefault="001465C6" w:rsidP="0043349F">
      <w:pPr>
        <w:jc w:val="left"/>
        <w:rPr>
          <w:lang w:val="en-GB"/>
        </w:rPr>
      </w:pPr>
      <w:r w:rsidRPr="00FA2D9A">
        <w:rPr>
          <w:lang w:val="en-GB"/>
        </w:rPr>
        <w:t>1.2·X1 = 1.2 × 0.260484 = 0.312581</w:t>
      </w:r>
    </w:p>
    <w:p w14:paraId="5BA9CE41" w14:textId="77777777" w:rsidR="0062550F" w:rsidRPr="00FA2D9A" w:rsidRDefault="001465C6" w:rsidP="0043349F">
      <w:pPr>
        <w:jc w:val="left"/>
        <w:rPr>
          <w:lang w:val="en-GB"/>
        </w:rPr>
      </w:pPr>
      <w:r w:rsidRPr="00FA2D9A">
        <w:rPr>
          <w:lang w:val="en-GB"/>
        </w:rPr>
        <w:t>1.4·X2 = 1.4 × 0.644782 = 0.902695</w:t>
      </w:r>
    </w:p>
    <w:p w14:paraId="1C5A6849" w14:textId="77777777" w:rsidR="0062550F" w:rsidRPr="00FA2D9A" w:rsidRDefault="001465C6" w:rsidP="0043349F">
      <w:pPr>
        <w:jc w:val="left"/>
        <w:rPr>
          <w:lang w:val="en-GB"/>
        </w:rPr>
      </w:pPr>
      <w:r w:rsidRPr="00FA2D9A">
        <w:rPr>
          <w:rFonts w:eastAsia="Arial Unicode MS"/>
          <w:lang w:val="en-GB"/>
        </w:rPr>
        <w:t>3.3·X3 = 3.3 × (−0.047303) = −0.156100</w:t>
      </w:r>
    </w:p>
    <w:p w14:paraId="535F8CBD" w14:textId="77777777" w:rsidR="0062550F" w:rsidRPr="00FA2D9A" w:rsidRDefault="001465C6" w:rsidP="0043349F">
      <w:pPr>
        <w:jc w:val="left"/>
        <w:rPr>
          <w:lang w:val="en-GB"/>
        </w:rPr>
      </w:pPr>
      <w:r w:rsidRPr="00FA2D9A">
        <w:rPr>
          <w:lang w:val="en-GB"/>
        </w:rPr>
        <w:t>0.6·X4 = 0.6 × 0.899394 = 0.539636</w:t>
      </w:r>
    </w:p>
    <w:p w14:paraId="13A70ECC" w14:textId="77777777" w:rsidR="0062550F" w:rsidRPr="00FA2D9A" w:rsidRDefault="001465C6" w:rsidP="0043349F">
      <w:pPr>
        <w:jc w:val="left"/>
        <w:rPr>
          <w:lang w:val="en-GB"/>
        </w:rPr>
      </w:pPr>
      <w:r w:rsidRPr="00FA2D9A">
        <w:rPr>
          <w:lang w:val="en-GB"/>
        </w:rPr>
        <w:t>1.0·X5 = 1.0 × 1.221590 = 1.221590</w:t>
      </w:r>
    </w:p>
    <w:p w14:paraId="0AEF5D50" w14:textId="77777777" w:rsidR="0062550F" w:rsidRPr="00FA2D9A" w:rsidRDefault="001465C6" w:rsidP="0043349F">
      <w:pPr>
        <w:jc w:val="left"/>
        <w:rPr>
          <w:lang w:val="en-GB"/>
        </w:rPr>
      </w:pPr>
      <w:r w:rsidRPr="00FA2D9A">
        <w:rPr>
          <w:rFonts w:eastAsia="Arial Unicode MS"/>
          <w:lang w:val="en-GB"/>
        </w:rPr>
        <w:t>Sum: Z = 0.312581 + 0.902695 − 0.156100 + 0.539636 + 1.221590 = 2.820402</w:t>
      </w:r>
    </w:p>
    <w:p w14:paraId="427C7C39" w14:textId="52CE215D" w:rsidR="0062550F" w:rsidRPr="00FA2D9A" w:rsidRDefault="001465C6" w:rsidP="0043349F">
      <w:pPr>
        <w:jc w:val="left"/>
        <w:rPr>
          <w:lang w:val="en-GB"/>
        </w:rPr>
      </w:pPr>
      <w:r w:rsidRPr="00FA2D9A">
        <w:rPr>
          <w:lang w:val="en-GB"/>
        </w:rPr>
        <w:lastRenderedPageBreak/>
        <w:t>Z(2024) = 2.820 (using book equity as proxy). </w:t>
      </w:r>
    </w:p>
    <w:p w14:paraId="657B3ACA" w14:textId="77777777" w:rsidR="00BA634B" w:rsidRPr="00FA2D9A" w:rsidRDefault="00BA634B" w:rsidP="0043349F">
      <w:pPr>
        <w:rPr>
          <w:b/>
          <w:bCs/>
          <w:lang w:val="en-GB"/>
        </w:rPr>
      </w:pPr>
      <w:bookmarkStart w:id="117" w:name="_qy07r6hirul9" w:colFirst="0" w:colLast="0"/>
      <w:bookmarkEnd w:id="117"/>
      <w:r w:rsidRPr="00FA2D9A">
        <w:rPr>
          <w:lang w:val="en-GB"/>
        </w:rPr>
        <w:br w:type="page"/>
      </w:r>
    </w:p>
    <w:p w14:paraId="2254FF2E" w14:textId="5B302ED4" w:rsidR="00FC2D03" w:rsidRPr="00FA2D9A" w:rsidRDefault="001465C6" w:rsidP="00030934">
      <w:pPr>
        <w:pStyle w:val="Heading2"/>
        <w:keepNext w:val="0"/>
        <w:keepLines w:val="0"/>
        <w:rPr>
          <w:lang w:val="en-GB"/>
        </w:rPr>
      </w:pPr>
      <w:bookmarkStart w:id="118" w:name="_Toc217298058"/>
      <w:r w:rsidRPr="00FA2D9A">
        <w:rPr>
          <w:lang w:val="en-GB"/>
        </w:rPr>
        <w:lastRenderedPageBreak/>
        <w:t xml:space="preserve">Appendix </w:t>
      </w:r>
      <w:r w:rsidR="00B135EE" w:rsidRPr="00FA2D9A">
        <w:rPr>
          <w:lang w:val="en-GB"/>
        </w:rPr>
        <w:t>3</w:t>
      </w:r>
      <w:r w:rsidRPr="00FA2D9A">
        <w:rPr>
          <w:lang w:val="en-GB"/>
        </w:rPr>
        <w:t>: Investment appraisal</w:t>
      </w:r>
      <w:bookmarkEnd w:id="118"/>
      <w:r w:rsidRPr="00FA2D9A">
        <w:rPr>
          <w:lang w:val="en-GB"/>
        </w:rPr>
        <w:t xml:space="preserve"> </w:t>
      </w:r>
    </w:p>
    <w:p w14:paraId="3F085106" w14:textId="77777777" w:rsidR="0062550F" w:rsidRDefault="001465C6" w:rsidP="0043349F">
      <w:pPr>
        <w:jc w:val="center"/>
        <w:rPr>
          <w:b/>
          <w:bCs/>
          <w:lang w:val="en-GB"/>
        </w:rPr>
      </w:pPr>
      <w:r w:rsidRPr="00FA2D9A">
        <w:rPr>
          <w:b/>
          <w:bCs/>
          <w:noProof/>
          <w:lang w:val="en-GB"/>
        </w:rPr>
        <w:drawing>
          <wp:inline distT="114300" distB="114300" distL="114300" distR="114300" wp14:anchorId="7C64D9D3" wp14:editId="254ECD8C">
            <wp:extent cx="5486400" cy="854075"/>
            <wp:effectExtent l="19050" t="19050" r="19050" b="2222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4"/>
                    <a:srcRect/>
                    <a:stretch>
                      <a:fillRect/>
                    </a:stretch>
                  </pic:blipFill>
                  <pic:spPr>
                    <a:xfrm>
                      <a:off x="0" y="0"/>
                      <a:ext cx="5494759" cy="855376"/>
                    </a:xfrm>
                    <a:prstGeom prst="rect">
                      <a:avLst/>
                    </a:prstGeom>
                    <a:ln w="12700">
                      <a:solidFill>
                        <a:srgbClr val="000000"/>
                      </a:solidFill>
                      <a:prstDash val="solid"/>
                    </a:ln>
                  </pic:spPr>
                </pic:pic>
              </a:graphicData>
            </a:graphic>
          </wp:inline>
        </w:drawing>
      </w:r>
    </w:p>
    <w:p w14:paraId="19CBC2C3" w14:textId="77777777" w:rsidR="00030934" w:rsidRPr="00FA2D9A" w:rsidRDefault="00030934" w:rsidP="0043349F">
      <w:pPr>
        <w:jc w:val="center"/>
        <w:rPr>
          <w:b/>
          <w:bCs/>
          <w:lang w:val="en-GB"/>
        </w:rPr>
      </w:pPr>
    </w:p>
    <w:tbl>
      <w:tblPr>
        <w:tblW w:w="5550" w:type="pct"/>
        <w:tblInd w:w="-993" w:type="dxa"/>
        <w:tblLook w:val="04A0" w:firstRow="1" w:lastRow="0" w:firstColumn="1" w:lastColumn="0" w:noHBand="0" w:noVBand="1"/>
      </w:tblPr>
      <w:tblGrid>
        <w:gridCol w:w="1119"/>
        <w:gridCol w:w="566"/>
        <w:gridCol w:w="381"/>
        <w:gridCol w:w="381"/>
        <w:gridCol w:w="381"/>
        <w:gridCol w:w="381"/>
        <w:gridCol w:w="381"/>
        <w:gridCol w:w="702"/>
        <w:gridCol w:w="485"/>
        <w:gridCol w:w="702"/>
        <w:gridCol w:w="493"/>
        <w:gridCol w:w="507"/>
        <w:gridCol w:w="590"/>
        <w:gridCol w:w="590"/>
        <w:gridCol w:w="590"/>
        <w:gridCol w:w="590"/>
        <w:gridCol w:w="590"/>
        <w:gridCol w:w="590"/>
      </w:tblGrid>
      <w:tr w:rsidR="00BA634B" w:rsidRPr="00C362CF" w14:paraId="1949324E" w14:textId="77777777" w:rsidTr="00C362CF">
        <w:trPr>
          <w:trHeight w:val="278"/>
        </w:trPr>
        <w:tc>
          <w:tcPr>
            <w:tcW w:w="619" w:type="pct"/>
            <w:tcBorders>
              <w:top w:val="nil"/>
              <w:left w:val="nil"/>
              <w:bottom w:val="nil"/>
              <w:right w:val="nil"/>
            </w:tcBorders>
            <w:shd w:val="clear" w:color="000000" w:fill="DAEEF3"/>
            <w:noWrap/>
            <w:vAlign w:val="bottom"/>
            <w:hideMark/>
          </w:tcPr>
          <w:p w14:paraId="51D1956D"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Discount Rate</w:t>
            </w:r>
          </w:p>
        </w:tc>
        <w:tc>
          <w:tcPr>
            <w:tcW w:w="279" w:type="pct"/>
            <w:tcBorders>
              <w:top w:val="nil"/>
              <w:left w:val="nil"/>
              <w:bottom w:val="nil"/>
              <w:right w:val="nil"/>
            </w:tcBorders>
            <w:noWrap/>
            <w:vAlign w:val="bottom"/>
            <w:hideMark/>
          </w:tcPr>
          <w:p w14:paraId="705E615E" w14:textId="77777777" w:rsidR="00BA634B" w:rsidRPr="00C362CF" w:rsidRDefault="00BA634B" w:rsidP="00C362CF">
            <w:pPr>
              <w:jc w:val="left"/>
              <w:rPr>
                <w:rFonts w:eastAsia="Times New Roman"/>
                <w:color w:val="000000"/>
                <w:lang w:val="en-IN" w:eastAsia="en-IN"/>
              </w:rPr>
            </w:pPr>
            <w:r w:rsidRPr="00C362CF">
              <w:rPr>
                <w:rFonts w:eastAsia="Times New Roman"/>
                <w:color w:val="000000"/>
                <w:lang w:val="en-IN" w:eastAsia="en-IN"/>
              </w:rPr>
              <w:t>0.10</w:t>
            </w:r>
          </w:p>
        </w:tc>
        <w:tc>
          <w:tcPr>
            <w:tcW w:w="188" w:type="pct"/>
            <w:tcBorders>
              <w:top w:val="nil"/>
              <w:left w:val="nil"/>
              <w:bottom w:val="nil"/>
              <w:right w:val="nil"/>
            </w:tcBorders>
            <w:noWrap/>
            <w:vAlign w:val="bottom"/>
            <w:hideMark/>
          </w:tcPr>
          <w:p w14:paraId="6FCA4D21" w14:textId="77777777" w:rsidR="00BA634B" w:rsidRPr="00C362CF" w:rsidRDefault="00BA634B" w:rsidP="00C362CF">
            <w:pPr>
              <w:jc w:val="left"/>
              <w:rPr>
                <w:rFonts w:eastAsia="Times New Roman"/>
                <w:color w:val="000000"/>
                <w:lang w:val="en-IN" w:eastAsia="en-IN"/>
              </w:rPr>
            </w:pPr>
          </w:p>
        </w:tc>
        <w:tc>
          <w:tcPr>
            <w:tcW w:w="188" w:type="pct"/>
            <w:tcBorders>
              <w:top w:val="nil"/>
              <w:left w:val="nil"/>
              <w:bottom w:val="nil"/>
              <w:right w:val="nil"/>
            </w:tcBorders>
            <w:noWrap/>
            <w:vAlign w:val="bottom"/>
            <w:hideMark/>
          </w:tcPr>
          <w:p w14:paraId="3EFDE01A" w14:textId="77777777" w:rsidR="00BA634B" w:rsidRPr="00C362CF" w:rsidRDefault="00BA634B" w:rsidP="00C362CF">
            <w:pPr>
              <w:jc w:val="left"/>
              <w:rPr>
                <w:rFonts w:eastAsia="Times New Roman"/>
                <w:lang w:val="en-IN" w:eastAsia="en-IN"/>
              </w:rPr>
            </w:pPr>
          </w:p>
        </w:tc>
        <w:tc>
          <w:tcPr>
            <w:tcW w:w="188" w:type="pct"/>
            <w:tcBorders>
              <w:top w:val="nil"/>
              <w:left w:val="nil"/>
              <w:bottom w:val="nil"/>
              <w:right w:val="nil"/>
            </w:tcBorders>
            <w:noWrap/>
            <w:vAlign w:val="bottom"/>
            <w:hideMark/>
          </w:tcPr>
          <w:p w14:paraId="2C8B1BB0" w14:textId="77777777" w:rsidR="00BA634B" w:rsidRPr="00C362CF" w:rsidRDefault="00BA634B" w:rsidP="00C362CF">
            <w:pPr>
              <w:jc w:val="left"/>
              <w:rPr>
                <w:rFonts w:eastAsia="Times New Roman"/>
                <w:lang w:val="en-IN" w:eastAsia="en-IN"/>
              </w:rPr>
            </w:pPr>
          </w:p>
        </w:tc>
        <w:tc>
          <w:tcPr>
            <w:tcW w:w="188" w:type="pct"/>
            <w:tcBorders>
              <w:top w:val="nil"/>
              <w:left w:val="nil"/>
              <w:bottom w:val="nil"/>
              <w:right w:val="nil"/>
            </w:tcBorders>
            <w:noWrap/>
            <w:vAlign w:val="bottom"/>
            <w:hideMark/>
          </w:tcPr>
          <w:p w14:paraId="6FB20B65" w14:textId="77777777" w:rsidR="00BA634B" w:rsidRPr="00C362CF" w:rsidRDefault="00BA634B" w:rsidP="00C362CF">
            <w:pPr>
              <w:jc w:val="left"/>
              <w:rPr>
                <w:rFonts w:eastAsia="Times New Roman"/>
                <w:lang w:val="en-IN" w:eastAsia="en-IN"/>
              </w:rPr>
            </w:pPr>
          </w:p>
        </w:tc>
        <w:tc>
          <w:tcPr>
            <w:tcW w:w="188" w:type="pct"/>
            <w:tcBorders>
              <w:top w:val="nil"/>
              <w:left w:val="nil"/>
              <w:bottom w:val="nil"/>
              <w:right w:val="nil"/>
            </w:tcBorders>
            <w:noWrap/>
            <w:vAlign w:val="bottom"/>
            <w:hideMark/>
          </w:tcPr>
          <w:p w14:paraId="1C6C2771" w14:textId="77777777" w:rsidR="00BA634B" w:rsidRPr="00C362CF" w:rsidRDefault="00BA634B" w:rsidP="00C362CF">
            <w:pPr>
              <w:jc w:val="left"/>
              <w:rPr>
                <w:rFonts w:eastAsia="Times New Roman"/>
                <w:lang w:val="en-IN" w:eastAsia="en-IN"/>
              </w:rPr>
            </w:pPr>
          </w:p>
        </w:tc>
        <w:tc>
          <w:tcPr>
            <w:tcW w:w="345" w:type="pct"/>
            <w:tcBorders>
              <w:top w:val="nil"/>
              <w:left w:val="nil"/>
              <w:bottom w:val="nil"/>
              <w:right w:val="nil"/>
            </w:tcBorders>
            <w:noWrap/>
            <w:vAlign w:val="bottom"/>
            <w:hideMark/>
          </w:tcPr>
          <w:p w14:paraId="7C31D65D" w14:textId="77777777" w:rsidR="00BA634B" w:rsidRPr="00C362CF" w:rsidRDefault="00BA634B" w:rsidP="00C362CF">
            <w:pPr>
              <w:jc w:val="left"/>
              <w:rPr>
                <w:rFonts w:eastAsia="Times New Roman"/>
                <w:lang w:val="en-IN" w:eastAsia="en-IN"/>
              </w:rPr>
            </w:pPr>
          </w:p>
        </w:tc>
        <w:tc>
          <w:tcPr>
            <w:tcW w:w="239" w:type="pct"/>
            <w:tcBorders>
              <w:top w:val="nil"/>
              <w:left w:val="nil"/>
              <w:bottom w:val="nil"/>
              <w:right w:val="nil"/>
            </w:tcBorders>
            <w:noWrap/>
            <w:vAlign w:val="bottom"/>
            <w:hideMark/>
          </w:tcPr>
          <w:p w14:paraId="1EF9B675" w14:textId="77777777" w:rsidR="00BA634B" w:rsidRPr="00C362CF" w:rsidRDefault="00BA634B" w:rsidP="00C362CF">
            <w:pPr>
              <w:jc w:val="left"/>
              <w:rPr>
                <w:rFonts w:eastAsia="Times New Roman"/>
                <w:lang w:val="en-IN" w:eastAsia="en-IN"/>
              </w:rPr>
            </w:pPr>
          </w:p>
        </w:tc>
        <w:tc>
          <w:tcPr>
            <w:tcW w:w="345" w:type="pct"/>
            <w:tcBorders>
              <w:top w:val="nil"/>
              <w:left w:val="nil"/>
              <w:bottom w:val="nil"/>
              <w:right w:val="nil"/>
            </w:tcBorders>
            <w:noWrap/>
            <w:vAlign w:val="bottom"/>
            <w:hideMark/>
          </w:tcPr>
          <w:p w14:paraId="6CD965F7" w14:textId="77777777" w:rsidR="00BA634B" w:rsidRPr="00C362CF" w:rsidRDefault="00BA634B" w:rsidP="00C362CF">
            <w:pPr>
              <w:jc w:val="left"/>
              <w:rPr>
                <w:rFonts w:eastAsia="Times New Roman"/>
                <w:lang w:val="en-IN" w:eastAsia="en-IN"/>
              </w:rPr>
            </w:pPr>
          </w:p>
        </w:tc>
        <w:tc>
          <w:tcPr>
            <w:tcW w:w="243" w:type="pct"/>
            <w:tcBorders>
              <w:top w:val="nil"/>
              <w:left w:val="nil"/>
              <w:bottom w:val="nil"/>
              <w:right w:val="nil"/>
            </w:tcBorders>
            <w:noWrap/>
            <w:vAlign w:val="bottom"/>
            <w:hideMark/>
          </w:tcPr>
          <w:p w14:paraId="6B29AF29" w14:textId="77777777" w:rsidR="00BA634B" w:rsidRPr="00C362CF" w:rsidRDefault="00BA634B" w:rsidP="00C362CF">
            <w:pPr>
              <w:jc w:val="left"/>
              <w:rPr>
                <w:rFonts w:eastAsia="Times New Roman"/>
                <w:lang w:val="en-IN" w:eastAsia="en-IN"/>
              </w:rPr>
            </w:pPr>
          </w:p>
        </w:tc>
        <w:tc>
          <w:tcPr>
            <w:tcW w:w="250" w:type="pct"/>
            <w:tcBorders>
              <w:top w:val="nil"/>
              <w:left w:val="nil"/>
              <w:bottom w:val="nil"/>
              <w:right w:val="nil"/>
            </w:tcBorders>
            <w:noWrap/>
            <w:vAlign w:val="bottom"/>
            <w:hideMark/>
          </w:tcPr>
          <w:p w14:paraId="3931B09B"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4250F5C3"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36F1104F"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590B71B4"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2715D96A"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0C4274E1"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6C8A8625" w14:textId="77777777" w:rsidR="00BA634B" w:rsidRPr="00C362CF" w:rsidRDefault="00BA634B" w:rsidP="00C362CF">
            <w:pPr>
              <w:jc w:val="left"/>
              <w:rPr>
                <w:rFonts w:eastAsia="Times New Roman"/>
                <w:lang w:val="en-IN" w:eastAsia="en-IN"/>
              </w:rPr>
            </w:pPr>
          </w:p>
        </w:tc>
      </w:tr>
      <w:tr w:rsidR="00BA634B" w:rsidRPr="00C362CF" w14:paraId="3EF6C5B8" w14:textId="77777777" w:rsidTr="00C362CF">
        <w:trPr>
          <w:trHeight w:val="270"/>
        </w:trPr>
        <w:tc>
          <w:tcPr>
            <w:tcW w:w="619" w:type="pct"/>
            <w:tcBorders>
              <w:top w:val="nil"/>
              <w:left w:val="nil"/>
              <w:bottom w:val="nil"/>
              <w:right w:val="nil"/>
            </w:tcBorders>
            <w:noWrap/>
            <w:vAlign w:val="bottom"/>
            <w:hideMark/>
          </w:tcPr>
          <w:p w14:paraId="281B8D5D" w14:textId="77777777" w:rsidR="00BA634B" w:rsidRPr="00C362CF" w:rsidRDefault="00BA634B" w:rsidP="00C362CF">
            <w:pPr>
              <w:jc w:val="left"/>
              <w:rPr>
                <w:rFonts w:eastAsia="Times New Roman"/>
                <w:lang w:val="en-IN" w:eastAsia="en-IN"/>
              </w:rPr>
            </w:pPr>
          </w:p>
        </w:tc>
        <w:tc>
          <w:tcPr>
            <w:tcW w:w="279" w:type="pct"/>
            <w:tcBorders>
              <w:top w:val="nil"/>
              <w:left w:val="nil"/>
              <w:bottom w:val="nil"/>
              <w:right w:val="nil"/>
            </w:tcBorders>
            <w:noWrap/>
            <w:vAlign w:val="bottom"/>
            <w:hideMark/>
          </w:tcPr>
          <w:p w14:paraId="440AF703" w14:textId="77777777" w:rsidR="00BA634B" w:rsidRPr="00C362CF" w:rsidRDefault="00BA634B" w:rsidP="00C362CF">
            <w:pPr>
              <w:jc w:val="left"/>
              <w:rPr>
                <w:rFonts w:eastAsia="Times New Roman"/>
                <w:lang w:val="en-IN" w:eastAsia="en-IN"/>
              </w:rPr>
            </w:pPr>
          </w:p>
        </w:tc>
        <w:tc>
          <w:tcPr>
            <w:tcW w:w="188" w:type="pct"/>
            <w:tcBorders>
              <w:top w:val="nil"/>
              <w:left w:val="nil"/>
              <w:bottom w:val="nil"/>
              <w:right w:val="nil"/>
            </w:tcBorders>
            <w:noWrap/>
            <w:vAlign w:val="bottom"/>
            <w:hideMark/>
          </w:tcPr>
          <w:p w14:paraId="73B2F9D7" w14:textId="77777777" w:rsidR="00BA634B" w:rsidRPr="00C362CF" w:rsidRDefault="00BA634B" w:rsidP="00C362CF">
            <w:pPr>
              <w:jc w:val="left"/>
              <w:rPr>
                <w:rFonts w:eastAsia="Times New Roman"/>
                <w:lang w:val="en-IN" w:eastAsia="en-IN"/>
              </w:rPr>
            </w:pPr>
          </w:p>
        </w:tc>
        <w:tc>
          <w:tcPr>
            <w:tcW w:w="188" w:type="pct"/>
            <w:tcBorders>
              <w:top w:val="nil"/>
              <w:left w:val="nil"/>
              <w:bottom w:val="nil"/>
              <w:right w:val="nil"/>
            </w:tcBorders>
            <w:noWrap/>
            <w:vAlign w:val="bottom"/>
            <w:hideMark/>
          </w:tcPr>
          <w:p w14:paraId="34279F72" w14:textId="77777777" w:rsidR="00BA634B" w:rsidRPr="00C362CF" w:rsidRDefault="00BA634B" w:rsidP="00C362CF">
            <w:pPr>
              <w:jc w:val="left"/>
              <w:rPr>
                <w:rFonts w:eastAsia="Times New Roman"/>
                <w:lang w:val="en-IN" w:eastAsia="en-IN"/>
              </w:rPr>
            </w:pPr>
          </w:p>
        </w:tc>
        <w:tc>
          <w:tcPr>
            <w:tcW w:w="188" w:type="pct"/>
            <w:tcBorders>
              <w:top w:val="nil"/>
              <w:left w:val="nil"/>
              <w:bottom w:val="nil"/>
              <w:right w:val="nil"/>
            </w:tcBorders>
            <w:noWrap/>
            <w:vAlign w:val="bottom"/>
            <w:hideMark/>
          </w:tcPr>
          <w:p w14:paraId="6F1CB972" w14:textId="77777777" w:rsidR="00BA634B" w:rsidRPr="00C362CF" w:rsidRDefault="00BA634B" w:rsidP="00C362CF">
            <w:pPr>
              <w:jc w:val="left"/>
              <w:rPr>
                <w:rFonts w:eastAsia="Times New Roman"/>
                <w:lang w:val="en-IN" w:eastAsia="en-IN"/>
              </w:rPr>
            </w:pPr>
          </w:p>
        </w:tc>
        <w:tc>
          <w:tcPr>
            <w:tcW w:w="188" w:type="pct"/>
            <w:tcBorders>
              <w:top w:val="nil"/>
              <w:left w:val="nil"/>
              <w:bottom w:val="nil"/>
              <w:right w:val="nil"/>
            </w:tcBorders>
            <w:noWrap/>
            <w:vAlign w:val="bottom"/>
            <w:hideMark/>
          </w:tcPr>
          <w:p w14:paraId="3C032CDF" w14:textId="77777777" w:rsidR="00BA634B" w:rsidRPr="00C362CF" w:rsidRDefault="00BA634B" w:rsidP="00C362CF">
            <w:pPr>
              <w:jc w:val="left"/>
              <w:rPr>
                <w:rFonts w:eastAsia="Times New Roman"/>
                <w:lang w:val="en-IN" w:eastAsia="en-IN"/>
              </w:rPr>
            </w:pPr>
          </w:p>
        </w:tc>
        <w:tc>
          <w:tcPr>
            <w:tcW w:w="188" w:type="pct"/>
            <w:tcBorders>
              <w:top w:val="nil"/>
              <w:left w:val="nil"/>
              <w:bottom w:val="nil"/>
              <w:right w:val="nil"/>
            </w:tcBorders>
            <w:noWrap/>
            <w:vAlign w:val="bottom"/>
            <w:hideMark/>
          </w:tcPr>
          <w:p w14:paraId="60DD3490" w14:textId="77777777" w:rsidR="00BA634B" w:rsidRPr="00C362CF" w:rsidRDefault="00BA634B" w:rsidP="00C362CF">
            <w:pPr>
              <w:jc w:val="left"/>
              <w:rPr>
                <w:rFonts w:eastAsia="Times New Roman"/>
                <w:lang w:val="en-IN" w:eastAsia="en-IN"/>
              </w:rPr>
            </w:pPr>
          </w:p>
        </w:tc>
        <w:tc>
          <w:tcPr>
            <w:tcW w:w="345" w:type="pct"/>
            <w:tcBorders>
              <w:top w:val="nil"/>
              <w:left w:val="nil"/>
              <w:bottom w:val="nil"/>
              <w:right w:val="nil"/>
            </w:tcBorders>
            <w:noWrap/>
            <w:vAlign w:val="bottom"/>
            <w:hideMark/>
          </w:tcPr>
          <w:p w14:paraId="21365214" w14:textId="77777777" w:rsidR="00BA634B" w:rsidRPr="00C362CF" w:rsidRDefault="00BA634B" w:rsidP="00C362CF">
            <w:pPr>
              <w:jc w:val="left"/>
              <w:rPr>
                <w:rFonts w:eastAsia="Times New Roman"/>
                <w:lang w:val="en-IN" w:eastAsia="en-IN"/>
              </w:rPr>
            </w:pPr>
          </w:p>
        </w:tc>
        <w:tc>
          <w:tcPr>
            <w:tcW w:w="239" w:type="pct"/>
            <w:tcBorders>
              <w:top w:val="nil"/>
              <w:left w:val="nil"/>
              <w:bottom w:val="nil"/>
              <w:right w:val="nil"/>
            </w:tcBorders>
            <w:noWrap/>
            <w:vAlign w:val="bottom"/>
            <w:hideMark/>
          </w:tcPr>
          <w:p w14:paraId="3BF793F8" w14:textId="77777777" w:rsidR="00BA634B" w:rsidRPr="00C362CF" w:rsidRDefault="00BA634B" w:rsidP="00C362CF">
            <w:pPr>
              <w:jc w:val="left"/>
              <w:rPr>
                <w:rFonts w:eastAsia="Times New Roman"/>
                <w:lang w:val="en-IN" w:eastAsia="en-IN"/>
              </w:rPr>
            </w:pPr>
          </w:p>
        </w:tc>
        <w:tc>
          <w:tcPr>
            <w:tcW w:w="345" w:type="pct"/>
            <w:tcBorders>
              <w:top w:val="nil"/>
              <w:left w:val="nil"/>
              <w:bottom w:val="nil"/>
              <w:right w:val="nil"/>
            </w:tcBorders>
            <w:noWrap/>
            <w:vAlign w:val="bottom"/>
            <w:hideMark/>
          </w:tcPr>
          <w:p w14:paraId="23F46E9B" w14:textId="77777777" w:rsidR="00BA634B" w:rsidRPr="00C362CF" w:rsidRDefault="00BA634B" w:rsidP="00C362CF">
            <w:pPr>
              <w:jc w:val="left"/>
              <w:rPr>
                <w:rFonts w:eastAsia="Times New Roman"/>
                <w:lang w:val="en-IN" w:eastAsia="en-IN"/>
              </w:rPr>
            </w:pPr>
          </w:p>
        </w:tc>
        <w:tc>
          <w:tcPr>
            <w:tcW w:w="243" w:type="pct"/>
            <w:tcBorders>
              <w:top w:val="nil"/>
              <w:left w:val="nil"/>
              <w:bottom w:val="nil"/>
              <w:right w:val="nil"/>
            </w:tcBorders>
            <w:noWrap/>
            <w:vAlign w:val="bottom"/>
            <w:hideMark/>
          </w:tcPr>
          <w:p w14:paraId="7343FE28" w14:textId="77777777" w:rsidR="00BA634B" w:rsidRPr="00C362CF" w:rsidRDefault="00BA634B" w:rsidP="00C362CF">
            <w:pPr>
              <w:jc w:val="left"/>
              <w:rPr>
                <w:rFonts w:eastAsia="Times New Roman"/>
                <w:lang w:val="en-IN" w:eastAsia="en-IN"/>
              </w:rPr>
            </w:pPr>
          </w:p>
        </w:tc>
        <w:tc>
          <w:tcPr>
            <w:tcW w:w="250" w:type="pct"/>
            <w:tcBorders>
              <w:top w:val="nil"/>
              <w:left w:val="nil"/>
              <w:bottom w:val="nil"/>
              <w:right w:val="nil"/>
            </w:tcBorders>
            <w:noWrap/>
            <w:vAlign w:val="bottom"/>
            <w:hideMark/>
          </w:tcPr>
          <w:p w14:paraId="127A3A2C"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7616645A"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5414BDA4"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3ABC1A9D"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5D55D14D"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404B4FC3" w14:textId="77777777" w:rsidR="00BA634B" w:rsidRPr="00C362CF" w:rsidRDefault="00BA634B" w:rsidP="00C362CF">
            <w:pPr>
              <w:jc w:val="left"/>
              <w:rPr>
                <w:rFonts w:eastAsia="Times New Roman"/>
                <w:lang w:val="en-IN" w:eastAsia="en-IN"/>
              </w:rPr>
            </w:pPr>
          </w:p>
        </w:tc>
        <w:tc>
          <w:tcPr>
            <w:tcW w:w="290" w:type="pct"/>
            <w:tcBorders>
              <w:top w:val="nil"/>
              <w:left w:val="nil"/>
              <w:bottom w:val="nil"/>
              <w:right w:val="nil"/>
            </w:tcBorders>
            <w:noWrap/>
            <w:vAlign w:val="bottom"/>
            <w:hideMark/>
          </w:tcPr>
          <w:p w14:paraId="243FCF0C" w14:textId="77777777" w:rsidR="00BA634B" w:rsidRPr="00C362CF" w:rsidRDefault="00BA634B" w:rsidP="00C362CF">
            <w:pPr>
              <w:jc w:val="left"/>
              <w:rPr>
                <w:rFonts w:eastAsia="Times New Roman"/>
                <w:lang w:val="en-IN" w:eastAsia="en-IN"/>
              </w:rPr>
            </w:pPr>
          </w:p>
        </w:tc>
      </w:tr>
      <w:tr w:rsidR="00BA634B" w:rsidRPr="00C362CF" w14:paraId="4EF472C8" w14:textId="77777777" w:rsidTr="00C362CF">
        <w:trPr>
          <w:trHeight w:val="278"/>
        </w:trPr>
        <w:tc>
          <w:tcPr>
            <w:tcW w:w="619" w:type="pct"/>
            <w:tcBorders>
              <w:top w:val="nil"/>
              <w:left w:val="nil"/>
              <w:bottom w:val="nil"/>
              <w:right w:val="nil"/>
            </w:tcBorders>
            <w:shd w:val="clear" w:color="000000" w:fill="DAEEF3"/>
            <w:noWrap/>
            <w:vAlign w:val="bottom"/>
            <w:hideMark/>
          </w:tcPr>
          <w:p w14:paraId="1C0BECD4"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Project</w:t>
            </w:r>
          </w:p>
        </w:tc>
        <w:tc>
          <w:tcPr>
            <w:tcW w:w="279" w:type="pct"/>
            <w:tcBorders>
              <w:top w:val="nil"/>
              <w:left w:val="nil"/>
              <w:bottom w:val="nil"/>
              <w:right w:val="nil"/>
            </w:tcBorders>
            <w:shd w:val="clear" w:color="000000" w:fill="DAEEF3"/>
            <w:noWrap/>
            <w:vAlign w:val="bottom"/>
            <w:hideMark/>
          </w:tcPr>
          <w:p w14:paraId="10893159"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Initial</w:t>
            </w:r>
          </w:p>
        </w:tc>
        <w:tc>
          <w:tcPr>
            <w:tcW w:w="188" w:type="pct"/>
            <w:tcBorders>
              <w:top w:val="nil"/>
              <w:left w:val="nil"/>
              <w:bottom w:val="nil"/>
              <w:right w:val="nil"/>
            </w:tcBorders>
            <w:shd w:val="clear" w:color="000000" w:fill="DAEEF3"/>
            <w:noWrap/>
            <w:vAlign w:val="bottom"/>
            <w:hideMark/>
          </w:tcPr>
          <w:p w14:paraId="7A36DCE0"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Y1</w:t>
            </w:r>
          </w:p>
        </w:tc>
        <w:tc>
          <w:tcPr>
            <w:tcW w:w="188" w:type="pct"/>
            <w:tcBorders>
              <w:top w:val="nil"/>
              <w:left w:val="nil"/>
              <w:bottom w:val="nil"/>
              <w:right w:val="nil"/>
            </w:tcBorders>
            <w:shd w:val="clear" w:color="000000" w:fill="DAEEF3"/>
            <w:noWrap/>
            <w:vAlign w:val="bottom"/>
            <w:hideMark/>
          </w:tcPr>
          <w:p w14:paraId="25C46A66"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Y2</w:t>
            </w:r>
          </w:p>
        </w:tc>
        <w:tc>
          <w:tcPr>
            <w:tcW w:w="188" w:type="pct"/>
            <w:tcBorders>
              <w:top w:val="nil"/>
              <w:left w:val="nil"/>
              <w:bottom w:val="nil"/>
              <w:right w:val="nil"/>
            </w:tcBorders>
            <w:shd w:val="clear" w:color="000000" w:fill="DAEEF3"/>
            <w:noWrap/>
            <w:vAlign w:val="bottom"/>
            <w:hideMark/>
          </w:tcPr>
          <w:p w14:paraId="7B32899E"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Y3</w:t>
            </w:r>
          </w:p>
        </w:tc>
        <w:tc>
          <w:tcPr>
            <w:tcW w:w="188" w:type="pct"/>
            <w:tcBorders>
              <w:top w:val="nil"/>
              <w:left w:val="nil"/>
              <w:bottom w:val="nil"/>
              <w:right w:val="nil"/>
            </w:tcBorders>
            <w:shd w:val="clear" w:color="000000" w:fill="DAEEF3"/>
            <w:noWrap/>
            <w:vAlign w:val="bottom"/>
            <w:hideMark/>
          </w:tcPr>
          <w:p w14:paraId="5CD665F0"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Y4</w:t>
            </w:r>
          </w:p>
        </w:tc>
        <w:tc>
          <w:tcPr>
            <w:tcW w:w="188" w:type="pct"/>
            <w:tcBorders>
              <w:top w:val="nil"/>
              <w:left w:val="nil"/>
              <w:bottom w:val="nil"/>
              <w:right w:val="nil"/>
            </w:tcBorders>
            <w:shd w:val="clear" w:color="000000" w:fill="DAEEF3"/>
            <w:noWrap/>
            <w:vAlign w:val="bottom"/>
            <w:hideMark/>
          </w:tcPr>
          <w:p w14:paraId="281185A0"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Y5</w:t>
            </w:r>
          </w:p>
        </w:tc>
        <w:tc>
          <w:tcPr>
            <w:tcW w:w="345" w:type="pct"/>
            <w:tcBorders>
              <w:top w:val="nil"/>
              <w:left w:val="nil"/>
              <w:bottom w:val="nil"/>
              <w:right w:val="nil"/>
            </w:tcBorders>
            <w:shd w:val="clear" w:color="000000" w:fill="DAEEF3"/>
            <w:noWrap/>
            <w:vAlign w:val="bottom"/>
            <w:hideMark/>
          </w:tcPr>
          <w:p w14:paraId="43401202"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NPV</w:t>
            </w:r>
          </w:p>
        </w:tc>
        <w:tc>
          <w:tcPr>
            <w:tcW w:w="239" w:type="pct"/>
            <w:tcBorders>
              <w:top w:val="nil"/>
              <w:left w:val="nil"/>
              <w:bottom w:val="nil"/>
              <w:right w:val="nil"/>
            </w:tcBorders>
            <w:shd w:val="clear" w:color="000000" w:fill="DAEEF3"/>
            <w:noWrap/>
            <w:vAlign w:val="bottom"/>
            <w:hideMark/>
          </w:tcPr>
          <w:p w14:paraId="0BFFAA20"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IRR</w:t>
            </w:r>
          </w:p>
        </w:tc>
        <w:tc>
          <w:tcPr>
            <w:tcW w:w="345" w:type="pct"/>
            <w:tcBorders>
              <w:top w:val="nil"/>
              <w:left w:val="nil"/>
              <w:bottom w:val="nil"/>
              <w:right w:val="nil"/>
            </w:tcBorders>
            <w:shd w:val="clear" w:color="000000" w:fill="DAEEF3"/>
            <w:noWrap/>
            <w:vAlign w:val="bottom"/>
            <w:hideMark/>
          </w:tcPr>
          <w:p w14:paraId="6A2E4778"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PI</w:t>
            </w:r>
          </w:p>
        </w:tc>
        <w:tc>
          <w:tcPr>
            <w:tcW w:w="243" w:type="pct"/>
            <w:tcBorders>
              <w:top w:val="nil"/>
              <w:left w:val="nil"/>
              <w:bottom w:val="nil"/>
              <w:right w:val="nil"/>
            </w:tcBorders>
            <w:shd w:val="clear" w:color="000000" w:fill="DAEEF3"/>
            <w:noWrap/>
            <w:vAlign w:val="bottom"/>
            <w:hideMark/>
          </w:tcPr>
          <w:p w14:paraId="0C78A921"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PBP</w:t>
            </w:r>
          </w:p>
        </w:tc>
        <w:tc>
          <w:tcPr>
            <w:tcW w:w="250" w:type="pct"/>
            <w:tcBorders>
              <w:top w:val="nil"/>
              <w:left w:val="nil"/>
              <w:bottom w:val="nil"/>
              <w:right w:val="nil"/>
            </w:tcBorders>
            <w:shd w:val="clear" w:color="000000" w:fill="DAEEF3"/>
            <w:noWrap/>
            <w:vAlign w:val="bottom"/>
            <w:hideMark/>
          </w:tcPr>
          <w:p w14:paraId="0BFD04FF"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ARR</w:t>
            </w:r>
          </w:p>
        </w:tc>
        <w:tc>
          <w:tcPr>
            <w:tcW w:w="290" w:type="pct"/>
            <w:tcBorders>
              <w:top w:val="nil"/>
              <w:left w:val="nil"/>
              <w:bottom w:val="nil"/>
              <w:right w:val="nil"/>
            </w:tcBorders>
            <w:shd w:val="clear" w:color="000000" w:fill="DAEEF3"/>
            <w:noWrap/>
            <w:vAlign w:val="bottom"/>
            <w:hideMark/>
          </w:tcPr>
          <w:p w14:paraId="04B57259"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Cum0</w:t>
            </w:r>
          </w:p>
        </w:tc>
        <w:tc>
          <w:tcPr>
            <w:tcW w:w="290" w:type="pct"/>
            <w:tcBorders>
              <w:top w:val="nil"/>
              <w:left w:val="nil"/>
              <w:bottom w:val="nil"/>
              <w:right w:val="nil"/>
            </w:tcBorders>
            <w:shd w:val="clear" w:color="000000" w:fill="DAEEF3"/>
            <w:noWrap/>
            <w:vAlign w:val="bottom"/>
            <w:hideMark/>
          </w:tcPr>
          <w:p w14:paraId="3FF06D4A"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Cum1</w:t>
            </w:r>
          </w:p>
        </w:tc>
        <w:tc>
          <w:tcPr>
            <w:tcW w:w="290" w:type="pct"/>
            <w:tcBorders>
              <w:top w:val="nil"/>
              <w:left w:val="nil"/>
              <w:bottom w:val="nil"/>
              <w:right w:val="nil"/>
            </w:tcBorders>
            <w:shd w:val="clear" w:color="000000" w:fill="DAEEF3"/>
            <w:noWrap/>
            <w:vAlign w:val="bottom"/>
            <w:hideMark/>
          </w:tcPr>
          <w:p w14:paraId="059D8920"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Cum2</w:t>
            </w:r>
          </w:p>
        </w:tc>
        <w:tc>
          <w:tcPr>
            <w:tcW w:w="290" w:type="pct"/>
            <w:tcBorders>
              <w:top w:val="nil"/>
              <w:left w:val="nil"/>
              <w:bottom w:val="nil"/>
              <w:right w:val="nil"/>
            </w:tcBorders>
            <w:shd w:val="clear" w:color="000000" w:fill="DAEEF3"/>
            <w:noWrap/>
            <w:vAlign w:val="bottom"/>
            <w:hideMark/>
          </w:tcPr>
          <w:p w14:paraId="07A250EB"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Cum3</w:t>
            </w:r>
          </w:p>
        </w:tc>
        <w:tc>
          <w:tcPr>
            <w:tcW w:w="290" w:type="pct"/>
            <w:tcBorders>
              <w:top w:val="nil"/>
              <w:left w:val="nil"/>
              <w:bottom w:val="nil"/>
              <w:right w:val="nil"/>
            </w:tcBorders>
            <w:shd w:val="clear" w:color="000000" w:fill="DAEEF3"/>
            <w:noWrap/>
            <w:vAlign w:val="bottom"/>
            <w:hideMark/>
          </w:tcPr>
          <w:p w14:paraId="7906F500"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Cum4</w:t>
            </w:r>
          </w:p>
        </w:tc>
        <w:tc>
          <w:tcPr>
            <w:tcW w:w="290" w:type="pct"/>
            <w:tcBorders>
              <w:top w:val="nil"/>
              <w:left w:val="nil"/>
              <w:bottom w:val="nil"/>
              <w:right w:val="nil"/>
            </w:tcBorders>
            <w:shd w:val="clear" w:color="000000" w:fill="DAEEF3"/>
            <w:noWrap/>
            <w:vAlign w:val="bottom"/>
            <w:hideMark/>
          </w:tcPr>
          <w:p w14:paraId="1AF1F298" w14:textId="77777777" w:rsidR="00BA634B" w:rsidRPr="00C362CF" w:rsidRDefault="00BA634B" w:rsidP="00C362CF">
            <w:pPr>
              <w:jc w:val="left"/>
              <w:rPr>
                <w:rFonts w:eastAsia="Times New Roman"/>
                <w:b/>
                <w:bCs/>
                <w:color w:val="000000"/>
                <w:lang w:val="en-IN" w:eastAsia="en-IN"/>
              </w:rPr>
            </w:pPr>
            <w:r w:rsidRPr="00C362CF">
              <w:rPr>
                <w:rFonts w:eastAsia="Times New Roman"/>
                <w:b/>
                <w:bCs/>
                <w:color w:val="000000"/>
                <w:lang w:val="en-IN" w:eastAsia="en-IN"/>
              </w:rPr>
              <w:t>Cum5</w:t>
            </w:r>
          </w:p>
        </w:tc>
      </w:tr>
      <w:tr w:rsidR="00BA634B" w:rsidRPr="00C362CF" w14:paraId="53217CAC" w14:textId="77777777" w:rsidTr="00C362CF">
        <w:trPr>
          <w:trHeight w:val="270"/>
        </w:trPr>
        <w:tc>
          <w:tcPr>
            <w:tcW w:w="619" w:type="pct"/>
            <w:tcBorders>
              <w:top w:val="nil"/>
              <w:left w:val="nil"/>
              <w:bottom w:val="nil"/>
              <w:right w:val="nil"/>
            </w:tcBorders>
            <w:noWrap/>
            <w:vAlign w:val="bottom"/>
            <w:hideMark/>
          </w:tcPr>
          <w:p w14:paraId="12E43A07" w14:textId="77777777" w:rsidR="00BA634B" w:rsidRPr="00C362CF" w:rsidRDefault="00BA634B" w:rsidP="00C362CF">
            <w:pPr>
              <w:jc w:val="left"/>
              <w:rPr>
                <w:rFonts w:eastAsia="Times New Roman"/>
                <w:color w:val="000000"/>
                <w:lang w:val="en-IN" w:eastAsia="en-IN"/>
              </w:rPr>
            </w:pPr>
            <w:r w:rsidRPr="00C362CF">
              <w:rPr>
                <w:rFonts w:eastAsia="Times New Roman"/>
                <w:color w:val="000000"/>
                <w:lang w:val="en-IN" w:eastAsia="en-IN"/>
              </w:rPr>
              <w:t>A</w:t>
            </w:r>
          </w:p>
        </w:tc>
        <w:tc>
          <w:tcPr>
            <w:tcW w:w="279" w:type="pct"/>
            <w:tcBorders>
              <w:top w:val="nil"/>
              <w:left w:val="nil"/>
              <w:bottom w:val="nil"/>
              <w:right w:val="nil"/>
            </w:tcBorders>
            <w:noWrap/>
            <w:vAlign w:val="bottom"/>
            <w:hideMark/>
          </w:tcPr>
          <w:p w14:paraId="5892CA13"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40</w:t>
            </w:r>
          </w:p>
        </w:tc>
        <w:tc>
          <w:tcPr>
            <w:tcW w:w="188" w:type="pct"/>
            <w:tcBorders>
              <w:top w:val="nil"/>
              <w:left w:val="nil"/>
              <w:bottom w:val="nil"/>
              <w:right w:val="nil"/>
            </w:tcBorders>
            <w:noWrap/>
            <w:vAlign w:val="bottom"/>
            <w:hideMark/>
          </w:tcPr>
          <w:p w14:paraId="125F2933"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10</w:t>
            </w:r>
          </w:p>
        </w:tc>
        <w:tc>
          <w:tcPr>
            <w:tcW w:w="188" w:type="pct"/>
            <w:tcBorders>
              <w:top w:val="nil"/>
              <w:left w:val="nil"/>
              <w:bottom w:val="nil"/>
              <w:right w:val="nil"/>
            </w:tcBorders>
            <w:noWrap/>
            <w:vAlign w:val="bottom"/>
            <w:hideMark/>
          </w:tcPr>
          <w:p w14:paraId="67BC4B63"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12</w:t>
            </w:r>
          </w:p>
        </w:tc>
        <w:tc>
          <w:tcPr>
            <w:tcW w:w="188" w:type="pct"/>
            <w:tcBorders>
              <w:top w:val="nil"/>
              <w:left w:val="nil"/>
              <w:bottom w:val="nil"/>
              <w:right w:val="nil"/>
            </w:tcBorders>
            <w:noWrap/>
            <w:vAlign w:val="bottom"/>
            <w:hideMark/>
          </w:tcPr>
          <w:p w14:paraId="3DA50834"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14</w:t>
            </w:r>
          </w:p>
        </w:tc>
        <w:tc>
          <w:tcPr>
            <w:tcW w:w="188" w:type="pct"/>
            <w:tcBorders>
              <w:top w:val="nil"/>
              <w:left w:val="nil"/>
              <w:bottom w:val="nil"/>
              <w:right w:val="nil"/>
            </w:tcBorders>
            <w:noWrap/>
            <w:vAlign w:val="bottom"/>
            <w:hideMark/>
          </w:tcPr>
          <w:p w14:paraId="7F389AAA"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10</w:t>
            </w:r>
          </w:p>
        </w:tc>
        <w:tc>
          <w:tcPr>
            <w:tcW w:w="188" w:type="pct"/>
            <w:tcBorders>
              <w:top w:val="nil"/>
              <w:left w:val="nil"/>
              <w:bottom w:val="nil"/>
              <w:right w:val="nil"/>
            </w:tcBorders>
            <w:noWrap/>
            <w:vAlign w:val="bottom"/>
            <w:hideMark/>
          </w:tcPr>
          <w:p w14:paraId="39925B8D"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8</w:t>
            </w:r>
          </w:p>
        </w:tc>
        <w:tc>
          <w:tcPr>
            <w:tcW w:w="345" w:type="pct"/>
            <w:tcBorders>
              <w:top w:val="nil"/>
              <w:left w:val="nil"/>
              <w:bottom w:val="nil"/>
              <w:right w:val="nil"/>
            </w:tcBorders>
            <w:noWrap/>
            <w:vAlign w:val="bottom"/>
            <w:hideMark/>
          </w:tcPr>
          <w:p w14:paraId="3ECF0A5D"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1.32418</w:t>
            </w:r>
          </w:p>
        </w:tc>
        <w:tc>
          <w:tcPr>
            <w:tcW w:w="239" w:type="pct"/>
            <w:tcBorders>
              <w:top w:val="nil"/>
              <w:left w:val="nil"/>
              <w:bottom w:val="nil"/>
              <w:right w:val="nil"/>
            </w:tcBorders>
            <w:noWrap/>
            <w:vAlign w:val="bottom"/>
            <w:hideMark/>
          </w:tcPr>
          <w:p w14:paraId="27CD58F8"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11%</w:t>
            </w:r>
          </w:p>
        </w:tc>
        <w:tc>
          <w:tcPr>
            <w:tcW w:w="345" w:type="pct"/>
            <w:tcBorders>
              <w:top w:val="nil"/>
              <w:left w:val="nil"/>
              <w:bottom w:val="nil"/>
              <w:right w:val="nil"/>
            </w:tcBorders>
            <w:noWrap/>
            <w:vAlign w:val="bottom"/>
            <w:hideMark/>
          </w:tcPr>
          <w:p w14:paraId="0BDAEB01"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1.0331</w:t>
            </w:r>
          </w:p>
        </w:tc>
        <w:tc>
          <w:tcPr>
            <w:tcW w:w="243" w:type="pct"/>
            <w:tcBorders>
              <w:top w:val="nil"/>
              <w:left w:val="nil"/>
              <w:bottom w:val="nil"/>
              <w:right w:val="nil"/>
            </w:tcBorders>
            <w:noWrap/>
            <w:vAlign w:val="bottom"/>
            <w:hideMark/>
          </w:tcPr>
          <w:p w14:paraId="68762EB9"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w:t>
            </w:r>
          </w:p>
        </w:tc>
        <w:tc>
          <w:tcPr>
            <w:tcW w:w="250" w:type="pct"/>
            <w:tcBorders>
              <w:top w:val="nil"/>
              <w:left w:val="nil"/>
              <w:bottom w:val="nil"/>
              <w:right w:val="nil"/>
            </w:tcBorders>
            <w:noWrap/>
            <w:vAlign w:val="bottom"/>
            <w:hideMark/>
          </w:tcPr>
          <w:p w14:paraId="18EB533D"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w:t>
            </w:r>
          </w:p>
        </w:tc>
        <w:tc>
          <w:tcPr>
            <w:tcW w:w="290" w:type="pct"/>
            <w:tcBorders>
              <w:top w:val="nil"/>
              <w:left w:val="nil"/>
              <w:bottom w:val="nil"/>
              <w:right w:val="nil"/>
            </w:tcBorders>
            <w:noWrap/>
            <w:vAlign w:val="bottom"/>
            <w:hideMark/>
          </w:tcPr>
          <w:p w14:paraId="16E51172"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-30</w:t>
            </w:r>
          </w:p>
        </w:tc>
        <w:tc>
          <w:tcPr>
            <w:tcW w:w="290" w:type="pct"/>
            <w:tcBorders>
              <w:top w:val="nil"/>
              <w:left w:val="nil"/>
              <w:bottom w:val="nil"/>
              <w:right w:val="nil"/>
            </w:tcBorders>
            <w:noWrap/>
            <w:vAlign w:val="bottom"/>
            <w:hideMark/>
          </w:tcPr>
          <w:p w14:paraId="6CDB046C"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-24</w:t>
            </w:r>
          </w:p>
        </w:tc>
        <w:tc>
          <w:tcPr>
            <w:tcW w:w="290" w:type="pct"/>
            <w:tcBorders>
              <w:top w:val="nil"/>
              <w:left w:val="nil"/>
              <w:bottom w:val="nil"/>
              <w:right w:val="nil"/>
            </w:tcBorders>
            <w:noWrap/>
            <w:vAlign w:val="bottom"/>
            <w:hideMark/>
          </w:tcPr>
          <w:p w14:paraId="2945A46A"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-18</w:t>
            </w:r>
          </w:p>
        </w:tc>
        <w:tc>
          <w:tcPr>
            <w:tcW w:w="290" w:type="pct"/>
            <w:tcBorders>
              <w:top w:val="nil"/>
              <w:left w:val="nil"/>
              <w:bottom w:val="nil"/>
              <w:right w:val="nil"/>
            </w:tcBorders>
            <w:noWrap/>
            <w:vAlign w:val="bottom"/>
            <w:hideMark/>
          </w:tcPr>
          <w:p w14:paraId="6FC12FAD"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-12</w:t>
            </w:r>
          </w:p>
        </w:tc>
        <w:tc>
          <w:tcPr>
            <w:tcW w:w="290" w:type="pct"/>
            <w:tcBorders>
              <w:top w:val="nil"/>
              <w:left w:val="nil"/>
              <w:bottom w:val="nil"/>
              <w:right w:val="nil"/>
            </w:tcBorders>
            <w:noWrap/>
            <w:vAlign w:val="bottom"/>
            <w:hideMark/>
          </w:tcPr>
          <w:p w14:paraId="614EF063"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-6</w:t>
            </w:r>
          </w:p>
        </w:tc>
        <w:tc>
          <w:tcPr>
            <w:tcW w:w="290" w:type="pct"/>
            <w:tcBorders>
              <w:top w:val="nil"/>
              <w:left w:val="nil"/>
              <w:bottom w:val="nil"/>
              <w:right w:val="nil"/>
            </w:tcBorders>
            <w:noWrap/>
            <w:vAlign w:val="bottom"/>
            <w:hideMark/>
          </w:tcPr>
          <w:p w14:paraId="2C68FF93"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w:t>
            </w:r>
          </w:p>
        </w:tc>
      </w:tr>
      <w:tr w:rsidR="00BA634B" w:rsidRPr="00C362CF" w14:paraId="56C904A8" w14:textId="77777777" w:rsidTr="00C362CF">
        <w:trPr>
          <w:trHeight w:val="270"/>
        </w:trPr>
        <w:tc>
          <w:tcPr>
            <w:tcW w:w="619" w:type="pct"/>
            <w:tcBorders>
              <w:top w:val="nil"/>
              <w:left w:val="nil"/>
              <w:bottom w:val="nil"/>
              <w:right w:val="nil"/>
            </w:tcBorders>
            <w:noWrap/>
            <w:vAlign w:val="bottom"/>
            <w:hideMark/>
          </w:tcPr>
          <w:p w14:paraId="46B8BD42" w14:textId="77777777" w:rsidR="00BA634B" w:rsidRPr="00C362CF" w:rsidRDefault="00BA634B" w:rsidP="00C362CF">
            <w:pPr>
              <w:jc w:val="left"/>
              <w:rPr>
                <w:rFonts w:eastAsia="Times New Roman"/>
                <w:color w:val="000000"/>
                <w:lang w:val="en-IN" w:eastAsia="en-IN"/>
              </w:rPr>
            </w:pPr>
            <w:r w:rsidRPr="00C362CF">
              <w:rPr>
                <w:rFonts w:eastAsia="Times New Roman"/>
                <w:color w:val="000000"/>
                <w:lang w:val="en-IN" w:eastAsia="en-IN"/>
              </w:rPr>
              <w:t>B</w:t>
            </w:r>
          </w:p>
        </w:tc>
        <w:tc>
          <w:tcPr>
            <w:tcW w:w="279" w:type="pct"/>
            <w:tcBorders>
              <w:top w:val="nil"/>
              <w:left w:val="nil"/>
              <w:bottom w:val="nil"/>
              <w:right w:val="nil"/>
            </w:tcBorders>
            <w:noWrap/>
            <w:vAlign w:val="bottom"/>
            <w:hideMark/>
          </w:tcPr>
          <w:p w14:paraId="38416099"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30</w:t>
            </w:r>
          </w:p>
        </w:tc>
        <w:tc>
          <w:tcPr>
            <w:tcW w:w="188" w:type="pct"/>
            <w:tcBorders>
              <w:top w:val="nil"/>
              <w:left w:val="nil"/>
              <w:bottom w:val="nil"/>
              <w:right w:val="nil"/>
            </w:tcBorders>
            <w:noWrap/>
            <w:vAlign w:val="bottom"/>
            <w:hideMark/>
          </w:tcPr>
          <w:p w14:paraId="3F239C55"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6</w:t>
            </w:r>
          </w:p>
        </w:tc>
        <w:tc>
          <w:tcPr>
            <w:tcW w:w="188" w:type="pct"/>
            <w:tcBorders>
              <w:top w:val="nil"/>
              <w:left w:val="nil"/>
              <w:bottom w:val="nil"/>
              <w:right w:val="nil"/>
            </w:tcBorders>
            <w:noWrap/>
            <w:vAlign w:val="bottom"/>
            <w:hideMark/>
          </w:tcPr>
          <w:p w14:paraId="54313F0C"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6</w:t>
            </w:r>
          </w:p>
        </w:tc>
        <w:tc>
          <w:tcPr>
            <w:tcW w:w="188" w:type="pct"/>
            <w:tcBorders>
              <w:top w:val="nil"/>
              <w:left w:val="nil"/>
              <w:bottom w:val="nil"/>
              <w:right w:val="nil"/>
            </w:tcBorders>
            <w:noWrap/>
            <w:vAlign w:val="bottom"/>
            <w:hideMark/>
          </w:tcPr>
          <w:p w14:paraId="004C84DB"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6</w:t>
            </w:r>
          </w:p>
        </w:tc>
        <w:tc>
          <w:tcPr>
            <w:tcW w:w="188" w:type="pct"/>
            <w:tcBorders>
              <w:top w:val="nil"/>
              <w:left w:val="nil"/>
              <w:bottom w:val="nil"/>
              <w:right w:val="nil"/>
            </w:tcBorders>
            <w:noWrap/>
            <w:vAlign w:val="bottom"/>
            <w:hideMark/>
          </w:tcPr>
          <w:p w14:paraId="129182B4"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6</w:t>
            </w:r>
          </w:p>
        </w:tc>
        <w:tc>
          <w:tcPr>
            <w:tcW w:w="188" w:type="pct"/>
            <w:tcBorders>
              <w:top w:val="nil"/>
              <w:left w:val="nil"/>
              <w:bottom w:val="nil"/>
              <w:right w:val="nil"/>
            </w:tcBorders>
            <w:noWrap/>
            <w:vAlign w:val="bottom"/>
            <w:hideMark/>
          </w:tcPr>
          <w:p w14:paraId="734FEF42"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6</w:t>
            </w:r>
          </w:p>
        </w:tc>
        <w:tc>
          <w:tcPr>
            <w:tcW w:w="345" w:type="pct"/>
            <w:tcBorders>
              <w:top w:val="nil"/>
              <w:left w:val="nil"/>
              <w:bottom w:val="nil"/>
              <w:right w:val="nil"/>
            </w:tcBorders>
            <w:noWrap/>
            <w:vAlign w:val="bottom"/>
            <w:hideMark/>
          </w:tcPr>
          <w:p w14:paraId="5C9AA434"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4.22537</w:t>
            </w:r>
          </w:p>
        </w:tc>
        <w:tc>
          <w:tcPr>
            <w:tcW w:w="239" w:type="pct"/>
            <w:tcBorders>
              <w:top w:val="nil"/>
              <w:left w:val="nil"/>
              <w:bottom w:val="nil"/>
              <w:right w:val="nil"/>
            </w:tcBorders>
            <w:noWrap/>
            <w:vAlign w:val="bottom"/>
            <w:hideMark/>
          </w:tcPr>
          <w:p w14:paraId="339A3A3B"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w:t>
            </w:r>
          </w:p>
        </w:tc>
        <w:tc>
          <w:tcPr>
            <w:tcW w:w="345" w:type="pct"/>
            <w:tcBorders>
              <w:top w:val="nil"/>
              <w:left w:val="nil"/>
              <w:bottom w:val="nil"/>
              <w:right w:val="nil"/>
            </w:tcBorders>
            <w:noWrap/>
            <w:vAlign w:val="bottom"/>
            <w:hideMark/>
          </w:tcPr>
          <w:p w14:paraId="3EB8AD05"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1.08451</w:t>
            </w:r>
          </w:p>
        </w:tc>
        <w:tc>
          <w:tcPr>
            <w:tcW w:w="243" w:type="pct"/>
            <w:tcBorders>
              <w:top w:val="nil"/>
              <w:left w:val="nil"/>
              <w:bottom w:val="nil"/>
              <w:right w:val="nil"/>
            </w:tcBorders>
            <w:noWrap/>
            <w:vAlign w:val="bottom"/>
            <w:hideMark/>
          </w:tcPr>
          <w:p w14:paraId="4DD26C83"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5</w:t>
            </w:r>
          </w:p>
        </w:tc>
        <w:tc>
          <w:tcPr>
            <w:tcW w:w="250" w:type="pct"/>
            <w:tcBorders>
              <w:top w:val="nil"/>
              <w:left w:val="nil"/>
              <w:bottom w:val="nil"/>
              <w:right w:val="nil"/>
            </w:tcBorders>
            <w:noWrap/>
            <w:vAlign w:val="bottom"/>
            <w:hideMark/>
          </w:tcPr>
          <w:p w14:paraId="1C99B34F"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0.2</w:t>
            </w:r>
          </w:p>
        </w:tc>
        <w:tc>
          <w:tcPr>
            <w:tcW w:w="290" w:type="pct"/>
            <w:tcBorders>
              <w:top w:val="nil"/>
              <w:left w:val="nil"/>
              <w:bottom w:val="nil"/>
              <w:right w:val="nil"/>
            </w:tcBorders>
            <w:noWrap/>
            <w:vAlign w:val="bottom"/>
            <w:hideMark/>
          </w:tcPr>
          <w:p w14:paraId="4F80AFBF"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-50</w:t>
            </w:r>
          </w:p>
        </w:tc>
        <w:tc>
          <w:tcPr>
            <w:tcW w:w="290" w:type="pct"/>
            <w:tcBorders>
              <w:top w:val="nil"/>
              <w:left w:val="nil"/>
              <w:bottom w:val="nil"/>
              <w:right w:val="nil"/>
            </w:tcBorders>
            <w:noWrap/>
            <w:vAlign w:val="bottom"/>
            <w:hideMark/>
          </w:tcPr>
          <w:p w14:paraId="16E30842"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-45</w:t>
            </w:r>
          </w:p>
        </w:tc>
        <w:tc>
          <w:tcPr>
            <w:tcW w:w="290" w:type="pct"/>
            <w:tcBorders>
              <w:top w:val="nil"/>
              <w:left w:val="nil"/>
              <w:bottom w:val="nil"/>
              <w:right w:val="nil"/>
            </w:tcBorders>
            <w:noWrap/>
            <w:vAlign w:val="bottom"/>
            <w:hideMark/>
          </w:tcPr>
          <w:p w14:paraId="1EC08599"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-35</w:t>
            </w:r>
          </w:p>
        </w:tc>
        <w:tc>
          <w:tcPr>
            <w:tcW w:w="290" w:type="pct"/>
            <w:tcBorders>
              <w:top w:val="nil"/>
              <w:left w:val="nil"/>
              <w:bottom w:val="nil"/>
              <w:right w:val="nil"/>
            </w:tcBorders>
            <w:noWrap/>
            <w:vAlign w:val="bottom"/>
            <w:hideMark/>
          </w:tcPr>
          <w:p w14:paraId="5AD20C35"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-15</w:t>
            </w:r>
          </w:p>
        </w:tc>
        <w:tc>
          <w:tcPr>
            <w:tcW w:w="290" w:type="pct"/>
            <w:tcBorders>
              <w:top w:val="nil"/>
              <w:left w:val="nil"/>
              <w:bottom w:val="nil"/>
              <w:right w:val="nil"/>
            </w:tcBorders>
            <w:noWrap/>
            <w:vAlign w:val="bottom"/>
            <w:hideMark/>
          </w:tcPr>
          <w:p w14:paraId="472B2DFC"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10</w:t>
            </w:r>
          </w:p>
        </w:tc>
        <w:tc>
          <w:tcPr>
            <w:tcW w:w="290" w:type="pct"/>
            <w:tcBorders>
              <w:top w:val="nil"/>
              <w:left w:val="nil"/>
              <w:bottom w:val="nil"/>
              <w:right w:val="nil"/>
            </w:tcBorders>
            <w:noWrap/>
            <w:vAlign w:val="bottom"/>
            <w:hideMark/>
          </w:tcPr>
          <w:p w14:paraId="5E90097E"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25</w:t>
            </w:r>
          </w:p>
        </w:tc>
      </w:tr>
      <w:tr w:rsidR="00BA634B" w:rsidRPr="00C362CF" w14:paraId="232E1C20" w14:textId="77777777" w:rsidTr="00C362CF">
        <w:trPr>
          <w:trHeight w:val="270"/>
        </w:trPr>
        <w:tc>
          <w:tcPr>
            <w:tcW w:w="619" w:type="pct"/>
            <w:tcBorders>
              <w:top w:val="nil"/>
              <w:left w:val="nil"/>
              <w:bottom w:val="nil"/>
              <w:right w:val="nil"/>
            </w:tcBorders>
            <w:noWrap/>
            <w:vAlign w:val="bottom"/>
            <w:hideMark/>
          </w:tcPr>
          <w:p w14:paraId="78C491B8" w14:textId="77777777" w:rsidR="00BA634B" w:rsidRPr="00C362CF" w:rsidRDefault="00BA634B" w:rsidP="00C362CF">
            <w:pPr>
              <w:jc w:val="left"/>
              <w:rPr>
                <w:rFonts w:eastAsia="Times New Roman"/>
                <w:color w:val="000000"/>
                <w:lang w:val="en-IN" w:eastAsia="en-IN"/>
              </w:rPr>
            </w:pPr>
            <w:r w:rsidRPr="00C362CF">
              <w:rPr>
                <w:rFonts w:eastAsia="Times New Roman"/>
                <w:color w:val="000000"/>
                <w:lang w:val="en-IN" w:eastAsia="en-IN"/>
              </w:rPr>
              <w:t>C</w:t>
            </w:r>
          </w:p>
        </w:tc>
        <w:tc>
          <w:tcPr>
            <w:tcW w:w="279" w:type="pct"/>
            <w:tcBorders>
              <w:top w:val="nil"/>
              <w:left w:val="nil"/>
              <w:bottom w:val="nil"/>
              <w:right w:val="nil"/>
            </w:tcBorders>
            <w:noWrap/>
            <w:vAlign w:val="bottom"/>
            <w:hideMark/>
          </w:tcPr>
          <w:p w14:paraId="2817473E"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50</w:t>
            </w:r>
          </w:p>
        </w:tc>
        <w:tc>
          <w:tcPr>
            <w:tcW w:w="188" w:type="pct"/>
            <w:tcBorders>
              <w:top w:val="nil"/>
              <w:left w:val="nil"/>
              <w:bottom w:val="nil"/>
              <w:right w:val="nil"/>
            </w:tcBorders>
            <w:noWrap/>
            <w:vAlign w:val="bottom"/>
            <w:hideMark/>
          </w:tcPr>
          <w:p w14:paraId="2014D1B1"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5</w:t>
            </w:r>
          </w:p>
        </w:tc>
        <w:tc>
          <w:tcPr>
            <w:tcW w:w="188" w:type="pct"/>
            <w:tcBorders>
              <w:top w:val="nil"/>
              <w:left w:val="nil"/>
              <w:bottom w:val="nil"/>
              <w:right w:val="nil"/>
            </w:tcBorders>
            <w:noWrap/>
            <w:vAlign w:val="bottom"/>
            <w:hideMark/>
          </w:tcPr>
          <w:p w14:paraId="59BD47AB"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10</w:t>
            </w:r>
          </w:p>
        </w:tc>
        <w:tc>
          <w:tcPr>
            <w:tcW w:w="188" w:type="pct"/>
            <w:tcBorders>
              <w:top w:val="nil"/>
              <w:left w:val="nil"/>
              <w:bottom w:val="nil"/>
              <w:right w:val="nil"/>
            </w:tcBorders>
            <w:noWrap/>
            <w:vAlign w:val="bottom"/>
            <w:hideMark/>
          </w:tcPr>
          <w:p w14:paraId="4D735931"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20</w:t>
            </w:r>
          </w:p>
        </w:tc>
        <w:tc>
          <w:tcPr>
            <w:tcW w:w="188" w:type="pct"/>
            <w:tcBorders>
              <w:top w:val="nil"/>
              <w:left w:val="nil"/>
              <w:bottom w:val="nil"/>
              <w:right w:val="nil"/>
            </w:tcBorders>
            <w:noWrap/>
            <w:vAlign w:val="bottom"/>
            <w:hideMark/>
          </w:tcPr>
          <w:p w14:paraId="5D31801F"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25</w:t>
            </w:r>
          </w:p>
        </w:tc>
        <w:tc>
          <w:tcPr>
            <w:tcW w:w="188" w:type="pct"/>
            <w:tcBorders>
              <w:top w:val="nil"/>
              <w:left w:val="nil"/>
              <w:bottom w:val="nil"/>
              <w:right w:val="nil"/>
            </w:tcBorders>
            <w:noWrap/>
            <w:vAlign w:val="bottom"/>
            <w:hideMark/>
          </w:tcPr>
          <w:p w14:paraId="4F0CFE80"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15</w:t>
            </w:r>
          </w:p>
        </w:tc>
        <w:tc>
          <w:tcPr>
            <w:tcW w:w="345" w:type="pct"/>
            <w:tcBorders>
              <w:top w:val="nil"/>
              <w:left w:val="nil"/>
              <w:bottom w:val="nil"/>
              <w:right w:val="nil"/>
            </w:tcBorders>
            <w:noWrap/>
            <w:vAlign w:val="bottom"/>
            <w:hideMark/>
          </w:tcPr>
          <w:p w14:paraId="408C5B27"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w:t>
            </w:r>
          </w:p>
        </w:tc>
        <w:tc>
          <w:tcPr>
            <w:tcW w:w="239" w:type="pct"/>
            <w:tcBorders>
              <w:top w:val="nil"/>
              <w:left w:val="nil"/>
              <w:bottom w:val="nil"/>
              <w:right w:val="nil"/>
            </w:tcBorders>
            <w:noWrap/>
            <w:vAlign w:val="bottom"/>
            <w:hideMark/>
          </w:tcPr>
          <w:p w14:paraId="6391BB29"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13%</w:t>
            </w:r>
          </w:p>
        </w:tc>
        <w:tc>
          <w:tcPr>
            <w:tcW w:w="345" w:type="pct"/>
            <w:tcBorders>
              <w:top w:val="nil"/>
              <w:left w:val="nil"/>
              <w:bottom w:val="nil"/>
              <w:right w:val="nil"/>
            </w:tcBorders>
            <w:noWrap/>
            <w:vAlign w:val="bottom"/>
            <w:hideMark/>
          </w:tcPr>
          <w:p w14:paraId="68C6057C"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1.08451</w:t>
            </w:r>
          </w:p>
        </w:tc>
        <w:tc>
          <w:tcPr>
            <w:tcW w:w="243" w:type="pct"/>
            <w:tcBorders>
              <w:top w:val="nil"/>
              <w:left w:val="nil"/>
              <w:bottom w:val="nil"/>
              <w:right w:val="nil"/>
            </w:tcBorders>
            <w:noWrap/>
            <w:vAlign w:val="bottom"/>
            <w:hideMark/>
          </w:tcPr>
          <w:p w14:paraId="0FCD4DFA"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4</w:t>
            </w:r>
          </w:p>
        </w:tc>
        <w:tc>
          <w:tcPr>
            <w:tcW w:w="250" w:type="pct"/>
            <w:tcBorders>
              <w:top w:val="nil"/>
              <w:left w:val="nil"/>
              <w:bottom w:val="nil"/>
              <w:right w:val="nil"/>
            </w:tcBorders>
            <w:noWrap/>
            <w:vAlign w:val="bottom"/>
            <w:hideMark/>
          </w:tcPr>
          <w:p w14:paraId="523520D3"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0.2</w:t>
            </w:r>
          </w:p>
        </w:tc>
        <w:tc>
          <w:tcPr>
            <w:tcW w:w="290" w:type="pct"/>
            <w:tcBorders>
              <w:top w:val="nil"/>
              <w:left w:val="nil"/>
              <w:bottom w:val="nil"/>
              <w:right w:val="nil"/>
            </w:tcBorders>
            <w:noWrap/>
            <w:vAlign w:val="bottom"/>
            <w:hideMark/>
          </w:tcPr>
          <w:p w14:paraId="5B39108C"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w:t>
            </w:r>
          </w:p>
        </w:tc>
        <w:tc>
          <w:tcPr>
            <w:tcW w:w="290" w:type="pct"/>
            <w:tcBorders>
              <w:top w:val="nil"/>
              <w:left w:val="nil"/>
              <w:bottom w:val="nil"/>
              <w:right w:val="nil"/>
            </w:tcBorders>
            <w:noWrap/>
            <w:vAlign w:val="bottom"/>
            <w:hideMark/>
          </w:tcPr>
          <w:p w14:paraId="373CB928"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w:t>
            </w:r>
          </w:p>
        </w:tc>
        <w:tc>
          <w:tcPr>
            <w:tcW w:w="290" w:type="pct"/>
            <w:tcBorders>
              <w:top w:val="nil"/>
              <w:left w:val="nil"/>
              <w:bottom w:val="nil"/>
              <w:right w:val="nil"/>
            </w:tcBorders>
            <w:noWrap/>
            <w:vAlign w:val="bottom"/>
            <w:hideMark/>
          </w:tcPr>
          <w:p w14:paraId="2F97F565"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w:t>
            </w:r>
          </w:p>
        </w:tc>
        <w:tc>
          <w:tcPr>
            <w:tcW w:w="290" w:type="pct"/>
            <w:tcBorders>
              <w:top w:val="nil"/>
              <w:left w:val="nil"/>
              <w:bottom w:val="nil"/>
              <w:right w:val="nil"/>
            </w:tcBorders>
            <w:noWrap/>
            <w:vAlign w:val="bottom"/>
            <w:hideMark/>
          </w:tcPr>
          <w:p w14:paraId="73ADF091"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w:t>
            </w:r>
          </w:p>
        </w:tc>
        <w:tc>
          <w:tcPr>
            <w:tcW w:w="290" w:type="pct"/>
            <w:tcBorders>
              <w:top w:val="nil"/>
              <w:left w:val="nil"/>
              <w:bottom w:val="nil"/>
              <w:right w:val="nil"/>
            </w:tcBorders>
            <w:noWrap/>
            <w:vAlign w:val="bottom"/>
            <w:hideMark/>
          </w:tcPr>
          <w:p w14:paraId="72F2D273"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w:t>
            </w:r>
          </w:p>
        </w:tc>
        <w:tc>
          <w:tcPr>
            <w:tcW w:w="290" w:type="pct"/>
            <w:tcBorders>
              <w:top w:val="nil"/>
              <w:left w:val="nil"/>
              <w:bottom w:val="nil"/>
              <w:right w:val="nil"/>
            </w:tcBorders>
            <w:noWrap/>
            <w:vAlign w:val="bottom"/>
            <w:hideMark/>
          </w:tcPr>
          <w:p w14:paraId="688075A5" w14:textId="77777777" w:rsidR="00BA634B" w:rsidRPr="00C362CF" w:rsidRDefault="00BA634B" w:rsidP="00C362CF">
            <w:pPr>
              <w:jc w:val="right"/>
              <w:rPr>
                <w:rFonts w:eastAsia="Times New Roman"/>
                <w:color w:val="000000"/>
                <w:lang w:val="en-IN" w:eastAsia="en-IN"/>
              </w:rPr>
            </w:pPr>
            <w:r w:rsidRPr="00C362CF">
              <w:rPr>
                <w:rFonts w:eastAsia="Times New Roman"/>
                <w:color w:val="000000"/>
                <w:lang w:val="en-IN" w:eastAsia="en-IN"/>
              </w:rPr>
              <w:t>0</w:t>
            </w:r>
          </w:p>
        </w:tc>
      </w:tr>
    </w:tbl>
    <w:p w14:paraId="3D191711" w14:textId="081172AB" w:rsidR="0062550F" w:rsidRPr="00FA2D9A" w:rsidRDefault="0062550F" w:rsidP="0043349F">
      <w:pPr>
        <w:jc w:val="center"/>
        <w:rPr>
          <w:b/>
          <w:bCs/>
          <w:lang w:val="en-GB"/>
        </w:rPr>
      </w:pPr>
    </w:p>
    <w:p w14:paraId="5DF964D5" w14:textId="412CD27F" w:rsidR="0062550F" w:rsidRPr="00FA2D9A" w:rsidRDefault="0062550F" w:rsidP="00C362CF">
      <w:pPr>
        <w:rPr>
          <w:lang w:val="en-GB"/>
        </w:rPr>
      </w:pPr>
      <w:bookmarkStart w:id="119" w:name="_t2ksvrexgqeu" w:colFirst="0" w:colLast="0"/>
      <w:bookmarkEnd w:id="119"/>
    </w:p>
    <w:sectPr w:rsidR="0062550F" w:rsidRPr="00FA2D9A" w:rsidSect="00BA634B">
      <w:headerReference w:type="even" r:id="rId55"/>
      <w:headerReference w:type="default" r:id="rId56"/>
      <w:footerReference w:type="even" r:id="rId57"/>
      <w:footerReference w:type="default" r:id="rId58"/>
      <w:headerReference w:type="first" r:id="rId59"/>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DFA4D" w14:textId="77777777" w:rsidR="00225F7F" w:rsidRDefault="00225F7F" w:rsidP="00DA2E39">
      <w:pPr>
        <w:spacing w:line="240" w:lineRule="auto"/>
      </w:pPr>
      <w:r>
        <w:separator/>
      </w:r>
    </w:p>
  </w:endnote>
  <w:endnote w:type="continuationSeparator" w:id="0">
    <w:p w14:paraId="6177552F" w14:textId="77777777" w:rsidR="00225F7F" w:rsidRDefault="00225F7F" w:rsidP="00DA2E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92A2009-A532-45C4-A65E-C095420A47AD}"/>
    <w:embedBold r:id="rId2" w:fontKey="{E3FC31DC-3FF0-4199-83EC-9643CF097ED0}"/>
  </w:font>
  <w:font w:name="Cambria">
    <w:panose1 w:val="02040503050406030204"/>
    <w:charset w:val="00"/>
    <w:family w:val="roman"/>
    <w:pitch w:val="variable"/>
    <w:sig w:usb0="E00006FF" w:usb1="420024FF" w:usb2="02000000" w:usb3="00000000" w:csb0="0000019F" w:csb1="00000000"/>
    <w:embedRegular r:id="rId3" w:fontKey="{D065D1E2-D087-434B-9D6F-DF1154259C2B}"/>
    <w:embedBold r:id="rId4" w:fontKey="{C70FC31D-FA66-42B4-93CA-C12441C6922B}"/>
    <w:embedBoldItalic r:id="rId5" w:fontKey="{7FA3F06D-42D9-4CF6-8046-E39C3ACFF796}"/>
  </w:font>
  <w:font w:name="Cambria Math">
    <w:panose1 w:val="02040503050406030204"/>
    <w:charset w:val="00"/>
    <w:family w:val="roman"/>
    <w:pitch w:val="variable"/>
    <w:sig w:usb0="E00006FF" w:usb1="420024FF" w:usb2="02000000" w:usb3="00000000" w:csb0="0000019F" w:csb1="00000000"/>
    <w:embedRegular r:id="rId6" w:fontKey="{58019A70-02DA-4D92-B346-7044BD13BCEA}"/>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19598382"/>
      <w:docPartObj>
        <w:docPartGallery w:val="Page Numbers (Bottom of Page)"/>
        <w:docPartUnique/>
      </w:docPartObj>
    </w:sdtPr>
    <w:sdtContent>
      <w:p w14:paraId="5E4ED8D8" w14:textId="77777777" w:rsidR="00385C99" w:rsidRDefault="00385C99" w:rsidP="00F237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1E1C6A4" w14:textId="77777777" w:rsidR="00DA2E39" w:rsidRDefault="00DA2E39" w:rsidP="00385C9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43957"/>
      <w:docPartObj>
        <w:docPartGallery w:val="Page Numbers (Bottom of Page)"/>
        <w:docPartUnique/>
      </w:docPartObj>
    </w:sdtPr>
    <w:sdtContent>
      <w:p w14:paraId="731A9151" w14:textId="77777777" w:rsidR="00385C99" w:rsidRDefault="00385C99" w:rsidP="00F237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45C191" w14:textId="77777777" w:rsidR="00DA2E39" w:rsidRDefault="00DA2E39" w:rsidP="00385C9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254BD" w14:textId="77777777" w:rsidR="00225F7F" w:rsidRDefault="00225F7F" w:rsidP="00DA2E39">
      <w:pPr>
        <w:spacing w:line="240" w:lineRule="auto"/>
      </w:pPr>
      <w:r>
        <w:separator/>
      </w:r>
    </w:p>
  </w:footnote>
  <w:footnote w:type="continuationSeparator" w:id="0">
    <w:p w14:paraId="25A793FB" w14:textId="77777777" w:rsidR="00225F7F" w:rsidRDefault="00225F7F" w:rsidP="00DA2E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8DC72D" w14:textId="77777777" w:rsidR="00DA2E39" w:rsidRDefault="00DA2E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2FDA70" w14:textId="77777777" w:rsidR="00DA2E39" w:rsidRDefault="00DA2E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87D400" w14:textId="77777777" w:rsidR="00DA2E39" w:rsidRDefault="00DA2E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550F"/>
    <w:rsid w:val="0000020D"/>
    <w:rsid w:val="000038A5"/>
    <w:rsid w:val="00030934"/>
    <w:rsid w:val="00080EDE"/>
    <w:rsid w:val="00085F40"/>
    <w:rsid w:val="000C7FF9"/>
    <w:rsid w:val="00105346"/>
    <w:rsid w:val="001106C9"/>
    <w:rsid w:val="00135FC1"/>
    <w:rsid w:val="00142A59"/>
    <w:rsid w:val="001465C6"/>
    <w:rsid w:val="001C3E28"/>
    <w:rsid w:val="001F50C2"/>
    <w:rsid w:val="002009B3"/>
    <w:rsid w:val="00225F7F"/>
    <w:rsid w:val="0025722D"/>
    <w:rsid w:val="00281C9C"/>
    <w:rsid w:val="00341956"/>
    <w:rsid w:val="0035286F"/>
    <w:rsid w:val="00385C99"/>
    <w:rsid w:val="003C6314"/>
    <w:rsid w:val="003E0DCD"/>
    <w:rsid w:val="0043349F"/>
    <w:rsid w:val="00456D41"/>
    <w:rsid w:val="004662DE"/>
    <w:rsid w:val="00471630"/>
    <w:rsid w:val="00471FE1"/>
    <w:rsid w:val="00473C9A"/>
    <w:rsid w:val="004A5C5E"/>
    <w:rsid w:val="004B388F"/>
    <w:rsid w:val="004B3AC3"/>
    <w:rsid w:val="004E3FC6"/>
    <w:rsid w:val="004F49B2"/>
    <w:rsid w:val="0057358A"/>
    <w:rsid w:val="00582B05"/>
    <w:rsid w:val="00586A43"/>
    <w:rsid w:val="00596111"/>
    <w:rsid w:val="005D3173"/>
    <w:rsid w:val="005E64C2"/>
    <w:rsid w:val="006042A9"/>
    <w:rsid w:val="00611E0A"/>
    <w:rsid w:val="0062550F"/>
    <w:rsid w:val="00652271"/>
    <w:rsid w:val="00653CD4"/>
    <w:rsid w:val="0068040D"/>
    <w:rsid w:val="006B6651"/>
    <w:rsid w:val="006D31E8"/>
    <w:rsid w:val="00711E6E"/>
    <w:rsid w:val="00721C1C"/>
    <w:rsid w:val="00744040"/>
    <w:rsid w:val="00757959"/>
    <w:rsid w:val="0076083B"/>
    <w:rsid w:val="007774C7"/>
    <w:rsid w:val="00783998"/>
    <w:rsid w:val="007C2F9F"/>
    <w:rsid w:val="0082037F"/>
    <w:rsid w:val="00853C07"/>
    <w:rsid w:val="008549C6"/>
    <w:rsid w:val="00860A9B"/>
    <w:rsid w:val="00872863"/>
    <w:rsid w:val="008946F9"/>
    <w:rsid w:val="008D19DD"/>
    <w:rsid w:val="008E7A0B"/>
    <w:rsid w:val="00906ADF"/>
    <w:rsid w:val="00921587"/>
    <w:rsid w:val="00932333"/>
    <w:rsid w:val="00937ECB"/>
    <w:rsid w:val="00947995"/>
    <w:rsid w:val="0097525A"/>
    <w:rsid w:val="009A4C76"/>
    <w:rsid w:val="009E062A"/>
    <w:rsid w:val="00A947B6"/>
    <w:rsid w:val="00AC3C58"/>
    <w:rsid w:val="00AF5C56"/>
    <w:rsid w:val="00B135EE"/>
    <w:rsid w:val="00B61632"/>
    <w:rsid w:val="00B75198"/>
    <w:rsid w:val="00BA1E78"/>
    <w:rsid w:val="00BA508E"/>
    <w:rsid w:val="00BA634B"/>
    <w:rsid w:val="00BC3881"/>
    <w:rsid w:val="00BF1708"/>
    <w:rsid w:val="00BF5A34"/>
    <w:rsid w:val="00C13734"/>
    <w:rsid w:val="00C27FE4"/>
    <w:rsid w:val="00C3583B"/>
    <w:rsid w:val="00C362CF"/>
    <w:rsid w:val="00C41FCC"/>
    <w:rsid w:val="00C805B5"/>
    <w:rsid w:val="00D06EE8"/>
    <w:rsid w:val="00D178F8"/>
    <w:rsid w:val="00DA2E39"/>
    <w:rsid w:val="00DB1218"/>
    <w:rsid w:val="00E623BC"/>
    <w:rsid w:val="00E656CA"/>
    <w:rsid w:val="00EA10F0"/>
    <w:rsid w:val="00ED7B3F"/>
    <w:rsid w:val="00EE5101"/>
    <w:rsid w:val="00F17AEC"/>
    <w:rsid w:val="00F236E7"/>
    <w:rsid w:val="00F36E3B"/>
    <w:rsid w:val="00F74332"/>
    <w:rsid w:val="00F7539B"/>
    <w:rsid w:val="00FA2D9A"/>
    <w:rsid w:val="00FC2D03"/>
    <w:rsid w:val="00FE7F64"/>
    <w:rsid w:val="00FF24D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4DDEBD"/>
  <w15:docId w15:val="{1919E255-1F2A-974C-B429-58AAE1A81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A2E39"/>
    <w:pPr>
      <w:tabs>
        <w:tab w:val="center" w:pos="4680"/>
        <w:tab w:val="right" w:pos="9360"/>
      </w:tabs>
      <w:spacing w:line="240" w:lineRule="auto"/>
    </w:pPr>
  </w:style>
  <w:style w:type="character" w:customStyle="1" w:styleId="HeaderChar">
    <w:name w:val="Header Char"/>
    <w:basedOn w:val="DefaultParagraphFont"/>
    <w:link w:val="Header"/>
    <w:uiPriority w:val="99"/>
    <w:rsid w:val="00DA2E39"/>
  </w:style>
  <w:style w:type="paragraph" w:styleId="Footer">
    <w:name w:val="footer"/>
    <w:basedOn w:val="Normal"/>
    <w:link w:val="FooterChar"/>
    <w:uiPriority w:val="99"/>
    <w:unhideWhenUsed/>
    <w:rsid w:val="00DA2E39"/>
    <w:pPr>
      <w:tabs>
        <w:tab w:val="center" w:pos="4680"/>
        <w:tab w:val="right" w:pos="9360"/>
      </w:tabs>
      <w:spacing w:line="240" w:lineRule="auto"/>
    </w:pPr>
  </w:style>
  <w:style w:type="character" w:customStyle="1" w:styleId="FooterChar">
    <w:name w:val="Footer Char"/>
    <w:basedOn w:val="DefaultParagraphFont"/>
    <w:link w:val="Footer"/>
    <w:uiPriority w:val="99"/>
    <w:rsid w:val="00DA2E39"/>
  </w:style>
  <w:style w:type="character" w:styleId="Hyperlink">
    <w:name w:val="Hyperlink"/>
    <w:basedOn w:val="DefaultParagraphFont"/>
    <w:uiPriority w:val="99"/>
    <w:unhideWhenUsed/>
    <w:rsid w:val="00DA2E39"/>
    <w:rPr>
      <w:color w:val="0000FF" w:themeColor="hyperlink"/>
      <w:u w:val="single"/>
    </w:rPr>
  </w:style>
  <w:style w:type="character" w:styleId="PageNumber">
    <w:name w:val="page number"/>
    <w:basedOn w:val="DefaultParagraphFont"/>
    <w:uiPriority w:val="99"/>
    <w:semiHidden/>
    <w:unhideWhenUsed/>
    <w:rsid w:val="00385C99"/>
  </w:style>
  <w:style w:type="paragraph" w:styleId="TOCHeading">
    <w:name w:val="TOC Heading"/>
    <w:basedOn w:val="Heading1"/>
    <w:next w:val="Normal"/>
    <w:uiPriority w:val="39"/>
    <w:unhideWhenUsed/>
    <w:qFormat/>
    <w:rsid w:val="00385C99"/>
    <w:pPr>
      <w:spacing w:before="480" w:line="276" w:lineRule="auto"/>
      <w:jc w:val="left"/>
      <w:outlineLvl w:val="9"/>
    </w:pPr>
    <w:rPr>
      <w:rFonts w:asciiTheme="majorHAnsi" w:eastAsiaTheme="majorEastAsia" w:hAnsiTheme="majorHAnsi" w:cstheme="majorBidi"/>
      <w:color w:val="365F91" w:themeColor="accent1" w:themeShade="BF"/>
      <w:sz w:val="28"/>
      <w:szCs w:val="28"/>
      <w:lang w:val="en-US" w:eastAsia="en-US"/>
    </w:rPr>
  </w:style>
  <w:style w:type="paragraph" w:styleId="TOC1">
    <w:name w:val="toc 1"/>
    <w:basedOn w:val="Normal"/>
    <w:next w:val="Normal"/>
    <w:autoRedefine/>
    <w:uiPriority w:val="39"/>
    <w:unhideWhenUsed/>
    <w:rsid w:val="00385C99"/>
    <w:pPr>
      <w:spacing w:before="120"/>
      <w:jc w:val="left"/>
    </w:pPr>
    <w:rPr>
      <w:rFonts w:asciiTheme="minorHAnsi" w:hAnsiTheme="minorHAnsi"/>
      <w:b/>
      <w:bCs/>
      <w:i/>
      <w:iCs/>
    </w:rPr>
  </w:style>
  <w:style w:type="paragraph" w:styleId="TOC2">
    <w:name w:val="toc 2"/>
    <w:basedOn w:val="Normal"/>
    <w:next w:val="Normal"/>
    <w:autoRedefine/>
    <w:uiPriority w:val="39"/>
    <w:unhideWhenUsed/>
    <w:rsid w:val="00385C99"/>
    <w:pPr>
      <w:spacing w:before="120"/>
      <w:ind w:left="240"/>
      <w:jc w:val="left"/>
    </w:pPr>
    <w:rPr>
      <w:rFonts w:asciiTheme="minorHAnsi" w:hAnsiTheme="minorHAnsi"/>
      <w:b/>
      <w:bCs/>
      <w:sz w:val="22"/>
      <w:szCs w:val="22"/>
    </w:rPr>
  </w:style>
  <w:style w:type="paragraph" w:styleId="TOC3">
    <w:name w:val="toc 3"/>
    <w:basedOn w:val="Normal"/>
    <w:next w:val="Normal"/>
    <w:autoRedefine/>
    <w:uiPriority w:val="39"/>
    <w:unhideWhenUsed/>
    <w:rsid w:val="00385C99"/>
    <w:pPr>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385C99"/>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385C99"/>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385C99"/>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385C99"/>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385C99"/>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385C99"/>
    <w:pPr>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hyperlink" Target="https://ejournal.umm.ac.id/index.php/jrak/article/view/35800" TargetMode="External"/><Relationship Id="rId39" Type="http://schemas.openxmlformats.org/officeDocument/2006/relationships/hyperlink" Target="https://academicjournals.org/journal/AJBM/article-full-text-pdf/E0D6A9772978" TargetMode="External"/><Relationship Id="rId21" Type="http://schemas.openxmlformats.org/officeDocument/2006/relationships/hyperlink" Target="https://www.emerald.com/insight/content/doi/10.1108/jaar-04-2024-0151/full/html" TargetMode="External"/><Relationship Id="rId34" Type="http://schemas.openxmlformats.org/officeDocument/2006/relationships/hyperlink" Target="https://www.emerald.com/jaar/article/26/6/205/1267299" TargetMode="External"/><Relationship Id="rId42" Type="http://schemas.openxmlformats.org/officeDocument/2006/relationships/hyperlink" Target="http://ajemb.us/index.php/gp/article/view/213" TargetMode="External"/><Relationship Id="rId47" Type="http://schemas.openxmlformats.org/officeDocument/2006/relationships/hyperlink" Target="https://ojs.uma.ac.id/index.php/jurnalakundanbisnis/article/view/15630" TargetMode="External"/><Relationship Id="rId50" Type="http://schemas.openxmlformats.org/officeDocument/2006/relationships/hyperlink" Target="https://contemporaryjournal.com/index.php/14/article/view/355" TargetMode="External"/><Relationship Id="rId55"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hart" Target="charts/chart9.xml"/><Relationship Id="rId29" Type="http://schemas.openxmlformats.org/officeDocument/2006/relationships/hyperlink" Target="https://www.sciencedirect.com/science/article/pii/S1059056025001091" TargetMode="External"/><Relationship Id="rId11" Type="http://schemas.openxmlformats.org/officeDocument/2006/relationships/chart" Target="charts/chart4.xml"/><Relationship Id="rId24" Type="http://schemas.openxmlformats.org/officeDocument/2006/relationships/hyperlink" Target="https://esj.eastasouth-institute.com/index.php/esaf/article/view/789" TargetMode="External"/><Relationship Id="rId32" Type="http://schemas.openxmlformats.org/officeDocument/2006/relationships/hyperlink" Target="https://www.journal.seisense.com/jom/article/view/1156" TargetMode="External"/><Relationship Id="rId37" Type="http://schemas.openxmlformats.org/officeDocument/2006/relationships/hyperlink" Target="https://www.mdpi.com/2076-3387/15/2/63" TargetMode="External"/><Relationship Id="rId40" Type="http://schemas.openxmlformats.org/officeDocument/2006/relationships/hyperlink" Target="https://dialnet.unirioja.es/servlet/articulo?codigo=10140898" TargetMode="External"/><Relationship Id="rId45" Type="http://schemas.openxmlformats.org/officeDocument/2006/relationships/hyperlink" Target="https://baj.upnjatim.ac.id/index.php/baj/article/view/403" TargetMode="External"/><Relationship Id="rId53" Type="http://schemas.openxmlformats.org/officeDocument/2006/relationships/image" Target="media/image2.png"/><Relationship Id="rId58"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theme" Target="theme/theme1.xml"/><Relationship Id="rId19" Type="http://schemas.openxmlformats.org/officeDocument/2006/relationships/hyperlink" Target="https://ijcsacademia.com/index.php/eafj/article/view/233" TargetMode="External"/><Relationship Id="rId14" Type="http://schemas.openxmlformats.org/officeDocument/2006/relationships/chart" Target="charts/chart7.xml"/><Relationship Id="rId22" Type="http://schemas.openxmlformats.org/officeDocument/2006/relationships/hyperlink" Target="https://www.mdpi.com/2079-9292/14/11/2151" TargetMode="External"/><Relationship Id="rId27" Type="http://schemas.openxmlformats.org/officeDocument/2006/relationships/hyperlink" Target="https://mnje.com/sites/mnje.com/files/currentissue/Komplet%20MNJE%20Vol.%2022,%20No.%201.pdf" TargetMode="External"/><Relationship Id="rId30" Type="http://schemas.openxmlformats.org/officeDocument/2006/relationships/hyperlink" Target="https://onlinelibrary.wiley.com/doi/abs/10.1002/csr.70033" TargetMode="External"/><Relationship Id="rId35" Type="http://schemas.openxmlformats.org/officeDocument/2006/relationships/hyperlink" Target="https://ijai.antispublisher.org/index.php/IJAI/article/view/18" TargetMode="External"/><Relationship Id="rId43" Type="http://schemas.openxmlformats.org/officeDocument/2006/relationships/hyperlink" Target="https://e-journal.uac.ac.id/index.php/iijse/article/view/6073" TargetMode="External"/><Relationship Id="rId48" Type="http://schemas.openxmlformats.org/officeDocument/2006/relationships/hyperlink" Target="https://www.mdpi.com/2227-9091/13/3/41" TargetMode="External"/><Relationship Id="rId56" Type="http://schemas.openxmlformats.org/officeDocument/2006/relationships/header" Target="header2.xml"/><Relationship Id="rId8" Type="http://schemas.openxmlformats.org/officeDocument/2006/relationships/chart" Target="charts/chart1.xml"/><Relationship Id="rId51" Type="http://schemas.openxmlformats.org/officeDocument/2006/relationships/hyperlink" Target="https://onlinelibrary.wiley.com/doi/abs/10.1002/bse.4118" TargetMode="External"/><Relationship Id="rId3" Type="http://schemas.openxmlformats.org/officeDocument/2006/relationships/settings" Target="setting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hyperlink" Target="http://pinnaclepubs.com/index.php/PAPPS/article/view/177" TargetMode="External"/><Relationship Id="rId33" Type="http://schemas.openxmlformats.org/officeDocument/2006/relationships/hyperlink" Target="https://unimma.press/conference/index.php/biseb/article/view/273" TargetMode="External"/><Relationship Id="rId38" Type="http://schemas.openxmlformats.org/officeDocument/2006/relationships/hyperlink" Target="https://virtusinterpress.org/IMG/pdf/jgrv14i1art20.pdf" TargetMode="External"/><Relationship Id="rId46" Type="http://schemas.openxmlformats.org/officeDocument/2006/relationships/hyperlink" Target="https://ijemr.asia/index.php/ijemr/article/view/323" TargetMode="External"/><Relationship Id="rId59" Type="http://schemas.openxmlformats.org/officeDocument/2006/relationships/header" Target="header3.xml"/><Relationship Id="rId20" Type="http://schemas.openxmlformats.org/officeDocument/2006/relationships/hyperlink" Target="https://www.sciencedirect.com/science/article/pii/S0165176524006050" TargetMode="External"/><Relationship Id="rId41" Type="http://schemas.openxmlformats.org/officeDocument/2006/relationships/hyperlink" Target="https://jecombi.seaninstitute.or.id/index.php/JECOMBI/article/view/103" TargetMode="External"/><Relationship Id="rId54"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chart" Target="charts/chart8.xml"/><Relationship Id="rId23" Type="http://schemas.openxmlformats.org/officeDocument/2006/relationships/hyperlink" Target="https://link.springer.com/article/10.1007/s10479-022-04766-5" TargetMode="External"/><Relationship Id="rId28" Type="http://schemas.openxmlformats.org/officeDocument/2006/relationships/hyperlink" Target="https://link.springer.com/article/10.1007/s10479-025-06494-y" TargetMode="External"/><Relationship Id="rId36" Type="http://schemas.openxmlformats.org/officeDocument/2006/relationships/hyperlink" Target="https://www.mdpi.com/2227-7099/13/2/56" TargetMode="External"/><Relationship Id="rId49" Type="http://schemas.openxmlformats.org/officeDocument/2006/relationships/hyperlink" Target="https://www.sciencedirect.com/science/article/pii/S2666188824002776" TargetMode="External"/><Relationship Id="rId57" Type="http://schemas.openxmlformats.org/officeDocument/2006/relationships/footer" Target="footer1.xml"/><Relationship Id="rId10" Type="http://schemas.openxmlformats.org/officeDocument/2006/relationships/chart" Target="charts/chart3.xml"/><Relationship Id="rId31" Type="http://schemas.openxmlformats.org/officeDocument/2006/relationships/hyperlink" Target="https://www.tandfonline.com/doi/abs/10.1080/23322039.2025.2489708" TargetMode="External"/><Relationship Id="rId44" Type="http://schemas.openxmlformats.org/officeDocument/2006/relationships/hyperlink" Target="https://dl.acm.org/doi/abs/10.1145/3764727.3764740" TargetMode="External"/><Relationship Id="rId52" Type="http://schemas.openxmlformats.org/officeDocument/2006/relationships/hyperlink" Target="https://www.sciencedirect.com/science/article/pii/S1059056025002989"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charts/_rels/chart1.xml.rels><?xml version="1.0" encoding="UTF-8" standalone="yes"?>
<Relationships xmlns="http://schemas.openxmlformats.org/package/2006/relationships"><Relationship Id="rId3" Type="http://schemas.openxmlformats.org/officeDocument/2006/relationships/oleObject" Target="file:///C:\sepely\Work\my%20work\New%20folder%20(5)\BR-AP243.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sepely\Work\my%20work\New%20folder%20(5)\BR-AP24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sepely\Work\my%20work\New%20folder%20(5)\BR-AP24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sepely\Work\my%20work\New%20folder%20(5)\BR-AP24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sepely\Work\my%20work\New%20folder%20(5)\BR-AP24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sepely\Work\my%20work\New%20folder%20(5)\BR-AP24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sepely\Work\my%20work\New%20folder%20(5)\BR-AP243.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sepely\Work\my%20work\New%20folder%20(5)\BR-AP243.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sepely\Work\my%20work\New%20folder%20(5)\BR-AP243.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sepely\Work\my%20work\New%20folder%20(5)\BR-AP243.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sepely\Work\my%20work\New%20folder%20(5)\BR-AP243.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Ratios!$A$2</c:f>
              <c:strCache>
                <c:ptCount val="1"/>
                <c:pt idx="0">
                  <c:v>Gross Margin</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2020</c:v>
                </c:pt>
                <c:pt idx="1">
                  <c:v>2021</c:v>
                </c:pt>
                <c:pt idx="2">
                  <c:v>2022</c:v>
                </c:pt>
                <c:pt idx="3">
                  <c:v>2023</c:v>
                </c:pt>
                <c:pt idx="4">
                  <c:v>2024</c:v>
                </c:pt>
              </c:strCache>
            </c:strRef>
          </c:cat>
          <c:val>
            <c:numRef>
              <c:f>Ratios!$B$2:$F$2</c:f>
              <c:numCache>
                <c:formatCode>0.000</c:formatCode>
                <c:ptCount val="5"/>
                <c:pt idx="0">
                  <c:v>0.28674432224897506</c:v>
                </c:pt>
                <c:pt idx="1">
                  <c:v>0.28759212901552855</c:v>
                </c:pt>
                <c:pt idx="2">
                  <c:v>0.28059275800505207</c:v>
                </c:pt>
                <c:pt idx="3">
                  <c:v>0.23203324002216635</c:v>
                </c:pt>
                <c:pt idx="4">
                  <c:v>0.28868083640811487</c:v>
                </c:pt>
              </c:numCache>
            </c:numRef>
          </c:val>
          <c:extLst>
            <c:ext xmlns:c16="http://schemas.microsoft.com/office/drawing/2014/chart" uri="{C3380CC4-5D6E-409C-BE32-E72D297353CC}">
              <c16:uniqueId val="{00000000-4B79-43D6-8025-CB711D7F00F5}"/>
            </c:ext>
          </c:extLst>
        </c:ser>
        <c:dLbls>
          <c:showLegendKey val="0"/>
          <c:showVal val="0"/>
          <c:showCatName val="0"/>
          <c:showSerName val="0"/>
          <c:showPercent val="0"/>
          <c:showBubbleSize val="0"/>
        </c:dLbls>
        <c:gapWidth val="100"/>
        <c:axId val="1756895072"/>
        <c:axId val="1838775168"/>
      </c:barChart>
      <c:catAx>
        <c:axId val="17568950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838775168"/>
        <c:crosses val="autoZero"/>
        <c:auto val="1"/>
        <c:lblAlgn val="ctr"/>
        <c:lblOffset val="100"/>
        <c:noMultiLvlLbl val="0"/>
      </c:catAx>
      <c:valAx>
        <c:axId val="1838775168"/>
        <c:scaling>
          <c:orientation val="minMax"/>
        </c:scaling>
        <c:delete val="0"/>
        <c:axPos val="b"/>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756895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Ratios!$A$3</c:f>
              <c:strCache>
                <c:ptCount val="1"/>
                <c:pt idx="0">
                  <c:v>Operating Margin</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2020</c:v>
                </c:pt>
                <c:pt idx="1">
                  <c:v>2021</c:v>
                </c:pt>
                <c:pt idx="2">
                  <c:v>2022</c:v>
                </c:pt>
                <c:pt idx="3">
                  <c:v>2023</c:v>
                </c:pt>
                <c:pt idx="4">
                  <c:v>2024</c:v>
                </c:pt>
              </c:strCache>
            </c:strRef>
          </c:cat>
          <c:val>
            <c:numRef>
              <c:f>Ratios!$B$3:$F$3</c:f>
              <c:numCache>
                <c:formatCode>0.000</c:formatCode>
                <c:ptCount val="5"/>
                <c:pt idx="0">
                  <c:v>6.0628294397084663E-2</c:v>
                </c:pt>
                <c:pt idx="1">
                  <c:v>3.8651799694814845E-2</c:v>
                </c:pt>
                <c:pt idx="2">
                  <c:v>2.6804188292605634E-2</c:v>
                </c:pt>
                <c:pt idx="3">
                  <c:v>-0.20287686969178775</c:v>
                </c:pt>
                <c:pt idx="4">
                  <c:v>-3.8738448993235905E-2</c:v>
                </c:pt>
              </c:numCache>
            </c:numRef>
          </c:val>
          <c:extLst>
            <c:ext xmlns:c16="http://schemas.microsoft.com/office/drawing/2014/chart" uri="{C3380CC4-5D6E-409C-BE32-E72D297353CC}">
              <c16:uniqueId val="{00000000-B2BB-400A-97C0-62E2CDE11B92}"/>
            </c:ext>
          </c:extLst>
        </c:ser>
        <c:dLbls>
          <c:showLegendKey val="0"/>
          <c:showVal val="0"/>
          <c:showCatName val="0"/>
          <c:showSerName val="0"/>
          <c:showPercent val="0"/>
          <c:showBubbleSize val="0"/>
        </c:dLbls>
        <c:gapWidth val="100"/>
        <c:axId val="254094496"/>
        <c:axId val="254002832"/>
      </c:barChart>
      <c:catAx>
        <c:axId val="2540944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54002832"/>
        <c:crosses val="autoZero"/>
        <c:auto val="1"/>
        <c:lblAlgn val="ctr"/>
        <c:lblOffset val="100"/>
        <c:noMultiLvlLbl val="0"/>
      </c:catAx>
      <c:valAx>
        <c:axId val="254002832"/>
        <c:scaling>
          <c:orientation val="minMax"/>
        </c:scaling>
        <c:delete val="0"/>
        <c:axPos val="b"/>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54094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Ratios!$A$4</c:f>
              <c:strCache>
                <c:ptCount val="1"/>
                <c:pt idx="0">
                  <c:v>Net Margin</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2020</c:v>
                </c:pt>
                <c:pt idx="1">
                  <c:v>2021</c:v>
                </c:pt>
                <c:pt idx="2">
                  <c:v>2022</c:v>
                </c:pt>
                <c:pt idx="3">
                  <c:v>2023</c:v>
                </c:pt>
                <c:pt idx="4">
                  <c:v>2024</c:v>
                </c:pt>
              </c:strCache>
            </c:strRef>
          </c:cat>
          <c:val>
            <c:numRef>
              <c:f>Ratios!$B$4:$F$4</c:f>
              <c:numCache>
                <c:formatCode>0.000</c:formatCode>
                <c:ptCount val="5"/>
                <c:pt idx="0">
                  <c:v>6.2751350296089026E-2</c:v>
                </c:pt>
                <c:pt idx="1">
                  <c:v>8.8114733661124791E-3</c:v>
                </c:pt>
                <c:pt idx="2">
                  <c:v>7.4988346405626153E-4</c:v>
                </c:pt>
                <c:pt idx="3">
                  <c:v>-0.23364577114901167</c:v>
                </c:pt>
                <c:pt idx="4">
                  <c:v>-6.0851551994408414E-2</c:v>
                </c:pt>
              </c:numCache>
            </c:numRef>
          </c:val>
          <c:extLst>
            <c:ext xmlns:c16="http://schemas.microsoft.com/office/drawing/2014/chart" uri="{C3380CC4-5D6E-409C-BE32-E72D297353CC}">
              <c16:uniqueId val="{00000000-997D-40C5-8B27-E59A86BB4EE3}"/>
            </c:ext>
          </c:extLst>
        </c:ser>
        <c:dLbls>
          <c:dLblPos val="outEnd"/>
          <c:showLegendKey val="0"/>
          <c:showVal val="1"/>
          <c:showCatName val="0"/>
          <c:showSerName val="0"/>
          <c:showPercent val="0"/>
          <c:showBubbleSize val="0"/>
        </c:dLbls>
        <c:gapWidth val="100"/>
        <c:overlap val="-24"/>
        <c:axId val="2076510768"/>
        <c:axId val="2077990064"/>
      </c:barChart>
      <c:catAx>
        <c:axId val="2076510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77990064"/>
        <c:crosses val="autoZero"/>
        <c:auto val="1"/>
        <c:lblAlgn val="ctr"/>
        <c:lblOffset val="100"/>
        <c:noMultiLvlLbl val="0"/>
      </c:catAx>
      <c:valAx>
        <c:axId val="2077990064"/>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765107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Ratios!$A$5</c:f>
              <c:strCache>
                <c:ptCount val="1"/>
                <c:pt idx="0">
                  <c:v>Current Ratio</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2020</c:v>
                </c:pt>
                <c:pt idx="1">
                  <c:v>2021</c:v>
                </c:pt>
                <c:pt idx="2">
                  <c:v>2022</c:v>
                </c:pt>
                <c:pt idx="3">
                  <c:v>2023</c:v>
                </c:pt>
                <c:pt idx="4">
                  <c:v>2024</c:v>
                </c:pt>
              </c:strCache>
            </c:strRef>
          </c:cat>
          <c:val>
            <c:numRef>
              <c:f>Ratios!$B$5:$F$5</c:f>
              <c:numCache>
                <c:formatCode>0.000</c:formatCode>
                <c:ptCount val="5"/>
                <c:pt idx="0">
                  <c:v>1.8207509330956493</c:v>
                </c:pt>
                <c:pt idx="1">
                  <c:v>1.5551947303113194</c:v>
                </c:pt>
                <c:pt idx="2">
                  <c:v>1.5615804280441441</c:v>
                </c:pt>
                <c:pt idx="3">
                  <c:v>1.6062935934668752</c:v>
                </c:pt>
                <c:pt idx="4">
                  <c:v>1.5319506478574272</c:v>
                </c:pt>
              </c:numCache>
            </c:numRef>
          </c:val>
          <c:extLst>
            <c:ext xmlns:c16="http://schemas.microsoft.com/office/drawing/2014/chart" uri="{C3380CC4-5D6E-409C-BE32-E72D297353CC}">
              <c16:uniqueId val="{00000000-EE9B-4DC9-8A62-6E195E415F78}"/>
            </c:ext>
          </c:extLst>
        </c:ser>
        <c:dLbls>
          <c:dLblPos val="outEnd"/>
          <c:showLegendKey val="0"/>
          <c:showVal val="1"/>
          <c:showCatName val="0"/>
          <c:showSerName val="0"/>
          <c:showPercent val="0"/>
          <c:showBubbleSize val="0"/>
        </c:dLbls>
        <c:gapWidth val="100"/>
        <c:overlap val="-24"/>
        <c:axId val="2026952368"/>
        <c:axId val="2027628672"/>
      </c:barChart>
      <c:catAx>
        <c:axId val="2026952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27628672"/>
        <c:crosses val="autoZero"/>
        <c:auto val="1"/>
        <c:lblAlgn val="ctr"/>
        <c:lblOffset val="100"/>
        <c:noMultiLvlLbl val="0"/>
      </c:catAx>
      <c:valAx>
        <c:axId val="2027628672"/>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269523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Ratios!$A$6</c:f>
              <c:strCache>
                <c:ptCount val="1"/>
                <c:pt idx="0">
                  <c:v>Quick Ratio</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2020</c:v>
                </c:pt>
                <c:pt idx="1">
                  <c:v>2021</c:v>
                </c:pt>
                <c:pt idx="2">
                  <c:v>2022</c:v>
                </c:pt>
                <c:pt idx="3">
                  <c:v>2023</c:v>
                </c:pt>
                <c:pt idx="4">
                  <c:v>2024</c:v>
                </c:pt>
              </c:strCache>
            </c:strRef>
          </c:cat>
          <c:val>
            <c:numRef>
              <c:f>Ratios!$B$6:$F$6</c:f>
              <c:numCache>
                <c:formatCode>0.000</c:formatCode>
                <c:ptCount val="5"/>
                <c:pt idx="0">
                  <c:v>1.1498690880730877</c:v>
                </c:pt>
                <c:pt idx="1">
                  <c:v>0.93491307135575474</c:v>
                </c:pt>
                <c:pt idx="2">
                  <c:v>0.9140123710578224</c:v>
                </c:pt>
                <c:pt idx="3">
                  <c:v>1.0585176359619728</c:v>
                </c:pt>
                <c:pt idx="4">
                  <c:v>1.0306271360974408</c:v>
                </c:pt>
              </c:numCache>
            </c:numRef>
          </c:val>
          <c:extLst>
            <c:ext xmlns:c16="http://schemas.microsoft.com/office/drawing/2014/chart" uri="{C3380CC4-5D6E-409C-BE32-E72D297353CC}">
              <c16:uniqueId val="{00000000-87B4-4B17-BE06-F459B11567F8}"/>
            </c:ext>
          </c:extLst>
        </c:ser>
        <c:dLbls>
          <c:dLblPos val="outEnd"/>
          <c:showLegendKey val="0"/>
          <c:showVal val="1"/>
          <c:showCatName val="0"/>
          <c:showSerName val="0"/>
          <c:showPercent val="0"/>
          <c:showBubbleSize val="0"/>
        </c:dLbls>
        <c:gapWidth val="100"/>
        <c:overlap val="-24"/>
        <c:axId val="253959392"/>
        <c:axId val="253832048"/>
      </c:barChart>
      <c:catAx>
        <c:axId val="253959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53832048"/>
        <c:crosses val="autoZero"/>
        <c:auto val="1"/>
        <c:lblAlgn val="ctr"/>
        <c:lblOffset val="100"/>
        <c:noMultiLvlLbl val="0"/>
      </c:catAx>
      <c:valAx>
        <c:axId val="253832048"/>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539593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Ratios!$A$7</c:f>
              <c:strCache>
                <c:ptCount val="1"/>
                <c:pt idx="0">
                  <c:v>Inventory Days</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2020</c:v>
                </c:pt>
                <c:pt idx="1">
                  <c:v>2021</c:v>
                </c:pt>
                <c:pt idx="2">
                  <c:v>2022</c:v>
                </c:pt>
                <c:pt idx="3">
                  <c:v>2023</c:v>
                </c:pt>
                <c:pt idx="4">
                  <c:v>2024</c:v>
                </c:pt>
              </c:strCache>
            </c:strRef>
          </c:cat>
          <c:val>
            <c:numRef>
              <c:f>Ratios!$B$7:$F$7</c:f>
              <c:numCache>
                <c:formatCode>0.000</c:formatCode>
                <c:ptCount val="5"/>
                <c:pt idx="0">
                  <c:v>71.511924904015089</c:v>
                </c:pt>
                <c:pt idx="1">
                  <c:v>81.584145331963654</c:v>
                </c:pt>
                <c:pt idx="2">
                  <c:v>94.271710231763748</c:v>
                </c:pt>
                <c:pt idx="3">
                  <c:v>76.63005967316515</c:v>
                </c:pt>
                <c:pt idx="4">
                  <c:v>73.350507370612263</c:v>
                </c:pt>
              </c:numCache>
            </c:numRef>
          </c:val>
          <c:extLst>
            <c:ext xmlns:c16="http://schemas.microsoft.com/office/drawing/2014/chart" uri="{C3380CC4-5D6E-409C-BE32-E72D297353CC}">
              <c16:uniqueId val="{00000000-0768-4A79-B448-09758A0201C7}"/>
            </c:ext>
          </c:extLst>
        </c:ser>
        <c:dLbls>
          <c:dLblPos val="outEnd"/>
          <c:showLegendKey val="0"/>
          <c:showVal val="1"/>
          <c:showCatName val="0"/>
          <c:showSerName val="0"/>
          <c:showPercent val="0"/>
          <c:showBubbleSize val="0"/>
        </c:dLbls>
        <c:gapWidth val="100"/>
        <c:overlap val="-24"/>
        <c:axId val="2095105680"/>
        <c:axId val="2096087056"/>
      </c:barChart>
      <c:catAx>
        <c:axId val="2095105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96087056"/>
        <c:crosses val="autoZero"/>
        <c:auto val="1"/>
        <c:lblAlgn val="ctr"/>
        <c:lblOffset val="100"/>
        <c:noMultiLvlLbl val="0"/>
      </c:catAx>
      <c:valAx>
        <c:axId val="2096087056"/>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951056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Ratios!$A$8</c:f>
              <c:strCache>
                <c:ptCount val="1"/>
                <c:pt idx="0">
                  <c:v>Receivable Days</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2020</c:v>
                </c:pt>
                <c:pt idx="1">
                  <c:v>2021</c:v>
                </c:pt>
                <c:pt idx="2">
                  <c:v>2022</c:v>
                </c:pt>
                <c:pt idx="3">
                  <c:v>2023</c:v>
                </c:pt>
                <c:pt idx="4">
                  <c:v>2024</c:v>
                </c:pt>
              </c:strCache>
            </c:strRef>
          </c:cat>
          <c:val>
            <c:numRef>
              <c:f>Ratios!$B$8:$F$8</c:f>
              <c:numCache>
                <c:formatCode>0.000</c:formatCode>
                <c:ptCount val="5"/>
                <c:pt idx="0">
                  <c:v>76.857950478297639</c:v>
                </c:pt>
                <c:pt idx="1">
                  <c:v>78.396473083533635</c:v>
                </c:pt>
                <c:pt idx="2">
                  <c:v>75.552675167802548</c:v>
                </c:pt>
                <c:pt idx="3">
                  <c:v>97.744929921490183</c:v>
                </c:pt>
                <c:pt idx="4">
                  <c:v>105.54228004021485</c:v>
                </c:pt>
              </c:numCache>
            </c:numRef>
          </c:val>
          <c:extLst>
            <c:ext xmlns:c16="http://schemas.microsoft.com/office/drawing/2014/chart" uri="{C3380CC4-5D6E-409C-BE32-E72D297353CC}">
              <c16:uniqueId val="{00000000-11D7-47EE-A6B3-631DECF05621}"/>
            </c:ext>
          </c:extLst>
        </c:ser>
        <c:dLbls>
          <c:dLblPos val="outEnd"/>
          <c:showLegendKey val="0"/>
          <c:showVal val="1"/>
          <c:showCatName val="0"/>
          <c:showSerName val="0"/>
          <c:showPercent val="0"/>
          <c:showBubbleSize val="0"/>
        </c:dLbls>
        <c:gapWidth val="100"/>
        <c:overlap val="-24"/>
        <c:axId val="1975155248"/>
        <c:axId val="489084432"/>
      </c:barChart>
      <c:catAx>
        <c:axId val="1975155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89084432"/>
        <c:crosses val="autoZero"/>
        <c:auto val="1"/>
        <c:lblAlgn val="ctr"/>
        <c:lblOffset val="100"/>
        <c:noMultiLvlLbl val="0"/>
      </c:catAx>
      <c:valAx>
        <c:axId val="489084432"/>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9751552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Ratios!$A$9</c:f>
              <c:strCache>
                <c:ptCount val="1"/>
                <c:pt idx="0">
                  <c:v>Payable Days</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2020</c:v>
                </c:pt>
                <c:pt idx="1">
                  <c:v>2021</c:v>
                </c:pt>
                <c:pt idx="2">
                  <c:v>2022</c:v>
                </c:pt>
                <c:pt idx="3">
                  <c:v>2023</c:v>
                </c:pt>
                <c:pt idx="4">
                  <c:v>2024</c:v>
                </c:pt>
              </c:strCache>
            </c:strRef>
          </c:cat>
          <c:val>
            <c:numRef>
              <c:f>Ratios!$B$9:$F$9</c:f>
              <c:numCache>
                <c:formatCode>0.000</c:formatCode>
                <c:ptCount val="5"/>
                <c:pt idx="0">
                  <c:v>49.421788572915986</c:v>
                </c:pt>
                <c:pt idx="1">
                  <c:v>56.246579964827248</c:v>
                </c:pt>
                <c:pt idx="2">
                  <c:v>47.998336253641178</c:v>
                </c:pt>
                <c:pt idx="3">
                  <c:v>49.510520695338641</c:v>
                </c:pt>
                <c:pt idx="4">
                  <c:v>66.580686742014649</c:v>
                </c:pt>
              </c:numCache>
            </c:numRef>
          </c:val>
          <c:extLst>
            <c:ext xmlns:c16="http://schemas.microsoft.com/office/drawing/2014/chart" uri="{C3380CC4-5D6E-409C-BE32-E72D297353CC}">
              <c16:uniqueId val="{00000000-7B93-448B-AD3B-E86C983C24F5}"/>
            </c:ext>
          </c:extLst>
        </c:ser>
        <c:dLbls>
          <c:dLblPos val="inEnd"/>
          <c:showLegendKey val="0"/>
          <c:showVal val="1"/>
          <c:showCatName val="0"/>
          <c:showSerName val="0"/>
          <c:showPercent val="0"/>
          <c:showBubbleSize val="0"/>
        </c:dLbls>
        <c:gapWidth val="100"/>
        <c:axId val="1995340672"/>
        <c:axId val="2023343328"/>
      </c:barChart>
      <c:catAx>
        <c:axId val="19953406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23343328"/>
        <c:crosses val="autoZero"/>
        <c:auto val="1"/>
        <c:lblAlgn val="ctr"/>
        <c:lblOffset val="100"/>
        <c:noMultiLvlLbl val="0"/>
      </c:catAx>
      <c:valAx>
        <c:axId val="2023343328"/>
        <c:scaling>
          <c:orientation val="minMax"/>
        </c:scaling>
        <c:delete val="0"/>
        <c:axPos val="b"/>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9953406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Ratios!$A$10</c:f>
              <c:strCache>
                <c:ptCount val="1"/>
                <c:pt idx="0">
                  <c:v>ROA</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2020</c:v>
                </c:pt>
                <c:pt idx="1">
                  <c:v>2021</c:v>
                </c:pt>
                <c:pt idx="2">
                  <c:v>2022</c:v>
                </c:pt>
                <c:pt idx="3">
                  <c:v>2023</c:v>
                </c:pt>
                <c:pt idx="4">
                  <c:v>2024</c:v>
                </c:pt>
              </c:strCache>
            </c:strRef>
          </c:cat>
          <c:val>
            <c:numRef>
              <c:f>Ratios!$B$10:$F$10</c:f>
              <c:numCache>
                <c:formatCode>0.000</c:formatCode>
                <c:ptCount val="5"/>
                <c:pt idx="0">
                  <c:v>7.5588390914969925E-2</c:v>
                </c:pt>
                <c:pt idx="1">
                  <c:v>1.0387030026570106E-2</c:v>
                </c:pt>
                <c:pt idx="2">
                  <c:v>8.0727859838980649E-4</c:v>
                </c:pt>
                <c:pt idx="3">
                  <c:v>-0.27604869166441864</c:v>
                </c:pt>
                <c:pt idx="4">
                  <c:v>-7.4311745022483097E-2</c:v>
                </c:pt>
              </c:numCache>
            </c:numRef>
          </c:val>
          <c:extLst>
            <c:ext xmlns:c16="http://schemas.microsoft.com/office/drawing/2014/chart" uri="{C3380CC4-5D6E-409C-BE32-E72D297353CC}">
              <c16:uniqueId val="{00000000-D090-4DE2-8AA8-A769FBFD1F6F}"/>
            </c:ext>
          </c:extLst>
        </c:ser>
        <c:dLbls>
          <c:dLblPos val="outEnd"/>
          <c:showLegendKey val="0"/>
          <c:showVal val="1"/>
          <c:showCatName val="0"/>
          <c:showSerName val="0"/>
          <c:showPercent val="0"/>
          <c:showBubbleSize val="0"/>
        </c:dLbls>
        <c:gapWidth val="100"/>
        <c:overlap val="-24"/>
        <c:axId val="2078239728"/>
        <c:axId val="2074038208"/>
      </c:barChart>
      <c:catAx>
        <c:axId val="2078239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74038208"/>
        <c:crosses val="autoZero"/>
        <c:auto val="1"/>
        <c:lblAlgn val="ctr"/>
        <c:lblOffset val="100"/>
        <c:noMultiLvlLbl val="0"/>
      </c:catAx>
      <c:valAx>
        <c:axId val="2074038208"/>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782397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Ratios!$A$11</c:f>
              <c:strCache>
                <c:ptCount val="1"/>
                <c:pt idx="0">
                  <c:v>ROE</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2020</c:v>
                </c:pt>
                <c:pt idx="1">
                  <c:v>2021</c:v>
                </c:pt>
                <c:pt idx="2">
                  <c:v>2022</c:v>
                </c:pt>
                <c:pt idx="3">
                  <c:v>2023</c:v>
                </c:pt>
                <c:pt idx="4">
                  <c:v>2024</c:v>
                </c:pt>
              </c:strCache>
            </c:strRef>
          </c:cat>
          <c:val>
            <c:numRef>
              <c:f>Ratios!$B$11:$F$11</c:f>
              <c:numCache>
                <c:formatCode>0.000</c:formatCode>
                <c:ptCount val="5"/>
                <c:pt idx="0">
                  <c:v>0.1231148320624575</c:v>
                </c:pt>
                <c:pt idx="1">
                  <c:v>1.9210071426241804E-2</c:v>
                </c:pt>
                <c:pt idx="2">
                  <c:v>1.5163595448685946E-3</c:v>
                </c:pt>
                <c:pt idx="3">
                  <c:v>-0.54906103286384977</c:v>
                </c:pt>
                <c:pt idx="4">
                  <c:v>-0.1569445805166389</c:v>
                </c:pt>
              </c:numCache>
            </c:numRef>
          </c:val>
          <c:extLst>
            <c:ext xmlns:c16="http://schemas.microsoft.com/office/drawing/2014/chart" uri="{C3380CC4-5D6E-409C-BE32-E72D297353CC}">
              <c16:uniqueId val="{00000000-6068-44F9-8660-B9A2B844B6A4}"/>
            </c:ext>
          </c:extLst>
        </c:ser>
        <c:dLbls>
          <c:dLblPos val="outEnd"/>
          <c:showLegendKey val="0"/>
          <c:showVal val="1"/>
          <c:showCatName val="0"/>
          <c:showSerName val="0"/>
          <c:showPercent val="0"/>
          <c:showBubbleSize val="0"/>
        </c:dLbls>
        <c:gapWidth val="100"/>
        <c:overlap val="-24"/>
        <c:axId val="2083627344"/>
        <c:axId val="492302144"/>
      </c:barChart>
      <c:catAx>
        <c:axId val="2083627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492302144"/>
        <c:crosses val="autoZero"/>
        <c:auto val="1"/>
        <c:lblAlgn val="ctr"/>
        <c:lblOffset val="100"/>
        <c:noMultiLvlLbl val="0"/>
      </c:catAx>
      <c:valAx>
        <c:axId val="492302144"/>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83627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tx>
            <c:strRef>
              <c:f>Ratios!$A$12</c:f>
              <c:strCache>
                <c:ptCount val="1"/>
                <c:pt idx="0">
                  <c:v>Debt-to-Equity</c:v>
                </c:pt>
              </c:strCache>
            </c:strRef>
          </c:tx>
          <c:spPr>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chemeClr>
              </a:solidFill>
              <a:round/>
            </a:ln>
            <a:effectLst>
              <a:outerShdw blurRad="40000" dist="20000" dir="5400000" rotWithShape="0">
                <a:srgbClr val="000000">
                  <a:alpha val="38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Ratios!$B$1:$F$1</c:f>
              <c:strCache>
                <c:ptCount val="5"/>
                <c:pt idx="0">
                  <c:v>2020</c:v>
                </c:pt>
                <c:pt idx="1">
                  <c:v>2021</c:v>
                </c:pt>
                <c:pt idx="2">
                  <c:v>2022</c:v>
                </c:pt>
                <c:pt idx="3">
                  <c:v>2023</c:v>
                </c:pt>
                <c:pt idx="4">
                  <c:v>2024</c:v>
                </c:pt>
              </c:strCache>
            </c:strRef>
          </c:cat>
          <c:val>
            <c:numRef>
              <c:f>Ratios!$B$12:$F$12</c:f>
              <c:numCache>
                <c:formatCode>0.000</c:formatCode>
                <c:ptCount val="5"/>
                <c:pt idx="0">
                  <c:v>0.62875317984941004</c:v>
                </c:pt>
                <c:pt idx="1">
                  <c:v>0.84942869878129657</c:v>
                </c:pt>
                <c:pt idx="2">
                  <c:v>0.87835964918817011</c:v>
                </c:pt>
                <c:pt idx="3">
                  <c:v>0.98900067069081155</c:v>
                </c:pt>
                <c:pt idx="4">
                  <c:v>1.1119754416903431</c:v>
                </c:pt>
              </c:numCache>
            </c:numRef>
          </c:val>
          <c:extLst>
            <c:ext xmlns:c16="http://schemas.microsoft.com/office/drawing/2014/chart" uri="{C3380CC4-5D6E-409C-BE32-E72D297353CC}">
              <c16:uniqueId val="{00000000-C854-4E18-B022-908F0F4C3D86}"/>
            </c:ext>
          </c:extLst>
        </c:ser>
        <c:dLbls>
          <c:showLegendKey val="0"/>
          <c:showVal val="0"/>
          <c:showCatName val="0"/>
          <c:showSerName val="0"/>
          <c:showPercent val="0"/>
          <c:showBubbleSize val="0"/>
        </c:dLbls>
        <c:gapWidth val="100"/>
        <c:axId val="2094396192"/>
        <c:axId val="2101626848"/>
      </c:barChart>
      <c:catAx>
        <c:axId val="20943961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101626848"/>
        <c:crosses val="autoZero"/>
        <c:auto val="1"/>
        <c:lblAlgn val="ctr"/>
        <c:lblOffset val="100"/>
        <c:noMultiLvlLbl val="0"/>
      </c:catAx>
      <c:valAx>
        <c:axId val="2101626848"/>
        <c:scaling>
          <c:orientation val="minMax"/>
        </c:scaling>
        <c:delete val="0"/>
        <c:axPos val="b"/>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943961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colors2.xml><?xml version="1.0" encoding="utf-8"?>
<cs:colorStyle xmlns:cs="http://schemas.microsoft.com/office/drawing/2012/chartStyle" xmlns:a="http://schemas.openxmlformats.org/drawingml/2006/main" meth="withinLinear" id="18">
  <a:schemeClr val="accent5"/>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withinLinear" id="18">
  <a:schemeClr val="accent5"/>
</cs:colorStyle>
</file>

<file path=word/charts/colors5.xml><?xml version="1.0" encoding="utf-8"?>
<cs:colorStyle xmlns:cs="http://schemas.microsoft.com/office/drawing/2012/chartStyle" xmlns:a="http://schemas.openxmlformats.org/drawingml/2006/main" meth="withinLinear" id="18">
  <a:schemeClr val="accent5"/>
</cs:colorStyle>
</file>

<file path=word/charts/colors6.xml><?xml version="1.0" encoding="utf-8"?>
<cs:colorStyle xmlns:cs="http://schemas.microsoft.com/office/drawing/2012/chartStyle" xmlns:a="http://schemas.openxmlformats.org/drawingml/2006/main" meth="withinLinear" id="18">
  <a:schemeClr val="accent5"/>
</cs:colorStyle>
</file>

<file path=word/charts/colors7.xml><?xml version="1.0" encoding="utf-8"?>
<cs:colorStyle xmlns:cs="http://schemas.microsoft.com/office/drawing/2012/chartStyle" xmlns:a="http://schemas.openxmlformats.org/drawingml/2006/main" meth="withinLinear" id="18">
  <a:schemeClr val="accent5"/>
</cs:colorStyle>
</file>

<file path=word/charts/colors8.xml><?xml version="1.0" encoding="utf-8"?>
<cs:colorStyle xmlns:cs="http://schemas.microsoft.com/office/drawing/2012/chartStyle" xmlns:a="http://schemas.openxmlformats.org/drawingml/2006/main" meth="withinLinear" id="18">
  <a:schemeClr val="accent5"/>
</cs:colorStyle>
</file>

<file path=word/charts/colors9.xml><?xml version="1.0" encoding="utf-8"?>
<cs:colorStyle xmlns:cs="http://schemas.microsoft.com/office/drawing/2012/chartStyle" xmlns:a="http://schemas.openxmlformats.org/drawingml/2006/main" meth="withinLinear" id="18">
  <a:schemeClr val="accent5"/>
</cs:colorStyle>
</file>

<file path=word/charts/colors10.xml><?xml version="1.0" encoding="utf-8"?>
<cs:colorStyle xmlns:cs="http://schemas.microsoft.com/office/drawing/2012/chartStyle" xmlns:a="http://schemas.openxmlformats.org/drawingml/2006/main" meth="withinLinear" id="18">
  <a:schemeClr val="accent5"/>
</cs:colorStyle>
</file>

<file path=word/charts/colors11.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2E939-A483-B946-8D98-41EC83F79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Pages>
  <Words>8626</Words>
  <Characters>49169</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Sidharth Prasad</dc:creator>
  <cp:lastModifiedBy>mahipalsinh gohil</cp:lastModifiedBy>
  <cp:revision>39</cp:revision>
  <dcterms:created xsi:type="dcterms:W3CDTF">2025-12-20T10:17:00Z</dcterms:created>
  <dcterms:modified xsi:type="dcterms:W3CDTF">2025-12-22T08:40:00Z</dcterms:modified>
</cp:coreProperties>
</file>