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7912" w:rsidRDefault="00CC0A06" w:rsidP="006B2BE2">
      <w:pPr>
        <w:spacing w:after="600"/>
        <w:jc w:val="center"/>
      </w:pPr>
      <w:r>
        <w:rPr>
          <w:noProof/>
        </w:rPr>
        <w:drawing>
          <wp:inline distT="0" distB="0" distL="0" distR="0">
            <wp:extent cx="2924175" cy="1104900"/>
            <wp:effectExtent l="0" t="0" r="0" b="0"/>
            <wp:docPr id="1" name="logo" descr="Trinity Saint David logo" title="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924175" cy="1104900"/>
                    </a:xfrm>
                    <a:prstGeom prst="rect">
                      <a:avLst/>
                    </a:prstGeom>
                  </pic:spPr>
                </pic:pic>
              </a:graphicData>
            </a:graphic>
          </wp:inline>
        </w:drawing>
      </w:r>
    </w:p>
    <w:p w:rsidR="006B2BE2" w:rsidRDefault="006B2BE2" w:rsidP="006B2BE2">
      <w:pPr>
        <w:spacing w:after="120"/>
        <w:jc w:val="center"/>
        <w:rPr>
          <w:b/>
          <w:bCs/>
          <w:sz w:val="28"/>
          <w:szCs w:val="28"/>
        </w:rPr>
      </w:pPr>
    </w:p>
    <w:p w:rsidR="006B2BE2" w:rsidRDefault="006B2BE2" w:rsidP="006B2BE2">
      <w:pPr>
        <w:spacing w:after="120"/>
        <w:jc w:val="center"/>
        <w:rPr>
          <w:b/>
          <w:bCs/>
          <w:sz w:val="28"/>
          <w:szCs w:val="28"/>
        </w:rPr>
      </w:pPr>
    </w:p>
    <w:p w:rsidR="006B2BE2" w:rsidRDefault="006B2BE2" w:rsidP="006B2BE2">
      <w:pPr>
        <w:spacing w:after="120"/>
        <w:jc w:val="center"/>
        <w:rPr>
          <w:b/>
          <w:bCs/>
          <w:sz w:val="28"/>
          <w:szCs w:val="28"/>
        </w:rPr>
      </w:pPr>
    </w:p>
    <w:p w:rsidR="006B2BE2" w:rsidRDefault="006B2BE2" w:rsidP="006B2BE2">
      <w:pPr>
        <w:spacing w:after="120"/>
        <w:jc w:val="center"/>
        <w:rPr>
          <w:b/>
          <w:bCs/>
          <w:sz w:val="28"/>
          <w:szCs w:val="28"/>
        </w:rPr>
      </w:pPr>
    </w:p>
    <w:p w:rsidR="004D7912" w:rsidRDefault="00CC0A06" w:rsidP="006B2BE2">
      <w:pPr>
        <w:spacing w:after="120"/>
        <w:jc w:val="center"/>
      </w:pPr>
      <w:r>
        <w:rPr>
          <w:b/>
          <w:bCs/>
          <w:sz w:val="28"/>
          <w:szCs w:val="28"/>
        </w:rPr>
        <w:t>BMMB7027 and BMMB7027D</w:t>
      </w:r>
    </w:p>
    <w:p w:rsidR="004D7912" w:rsidRDefault="00CC0A06" w:rsidP="006B2BE2">
      <w:pPr>
        <w:spacing w:after="480"/>
        <w:jc w:val="center"/>
      </w:pPr>
      <w:r>
        <w:rPr>
          <w:b/>
          <w:bCs/>
          <w:sz w:val="28"/>
          <w:szCs w:val="28"/>
        </w:rPr>
        <w:t>Strategic and Agile Business Management</w:t>
      </w:r>
    </w:p>
    <w:p w:rsidR="006B2BE2" w:rsidRDefault="006B2BE2">
      <w:pPr>
        <w:spacing w:after="480" w:line="360" w:lineRule="auto"/>
        <w:rPr>
          <w:b/>
          <w:bCs/>
          <w:sz w:val="28"/>
          <w:szCs w:val="28"/>
        </w:rPr>
      </w:pPr>
    </w:p>
    <w:p w:rsidR="004D7912" w:rsidRPr="006B2BE2" w:rsidRDefault="00CC0A06" w:rsidP="006B2BE2">
      <w:pPr>
        <w:spacing w:after="480" w:line="360" w:lineRule="auto"/>
        <w:rPr>
          <w:i/>
          <w:iCs/>
        </w:rPr>
      </w:pPr>
      <w:r>
        <w:rPr>
          <w:b/>
          <w:bCs/>
          <w:sz w:val="28"/>
          <w:szCs w:val="28"/>
        </w:rPr>
        <w:t>Title:</w:t>
      </w:r>
      <w:r>
        <w:rPr>
          <w:sz w:val="28"/>
          <w:szCs w:val="28"/>
        </w:rPr>
        <w:t xml:space="preserve"> </w:t>
      </w:r>
      <w:r w:rsidRPr="006B2BE2">
        <w:rPr>
          <w:i/>
          <w:iCs/>
        </w:rPr>
        <w:t xml:space="preserve">Strategic and Agile Business Management Report: A Critical Evaluation of Tesco’s </w:t>
      </w:r>
      <w:r w:rsidR="006B2BE2">
        <w:rPr>
          <w:i/>
          <w:iCs/>
        </w:rPr>
        <w:t xml:space="preserve">      </w:t>
      </w:r>
      <w:r w:rsidRPr="006B2BE2">
        <w:rPr>
          <w:i/>
          <w:iCs/>
        </w:rPr>
        <w:t>Strategic Direction with a Focus on Customer Care and Competitive Advantage</w:t>
      </w: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6B2BE2" w:rsidRDefault="006B2BE2">
      <w:pPr>
        <w:spacing w:after="120"/>
        <w:rPr>
          <w:sz w:val="26"/>
          <w:szCs w:val="26"/>
        </w:rPr>
      </w:pPr>
    </w:p>
    <w:p w:rsidR="004D7912" w:rsidRDefault="00CC0A06">
      <w:pPr>
        <w:spacing w:after="120"/>
      </w:pPr>
      <w:r>
        <w:rPr>
          <w:sz w:val="26"/>
          <w:szCs w:val="26"/>
        </w:rPr>
        <w:t>Student Name: Rakib Ahmed</w:t>
      </w:r>
    </w:p>
    <w:p w:rsidR="004D7912" w:rsidRDefault="00CC0A06">
      <w:pPr>
        <w:spacing w:after="120"/>
      </w:pPr>
      <w:r>
        <w:rPr>
          <w:sz w:val="26"/>
          <w:szCs w:val="26"/>
        </w:rPr>
        <w:t>Student ID: 2522777</w:t>
      </w:r>
    </w:p>
    <w:p w:rsidR="004D7912" w:rsidRDefault="00CC0A06">
      <w:r>
        <w:br w:type="page"/>
      </w:r>
    </w:p>
    <w:p w:rsidR="004D7912" w:rsidRDefault="00CC0A06">
      <w:pPr>
        <w:pStyle w:val="Heading1"/>
        <w:spacing w:after="200"/>
      </w:pPr>
      <w:r>
        <w:lastRenderedPageBreak/>
        <w:t>Table of Contents</w:t>
      </w:r>
    </w:p>
    <w:p w:rsidR="004D7912" w:rsidRDefault="00CC0A06">
      <w:pPr>
        <w:tabs>
          <w:tab w:val="right" w:leader="dot" w:pos="9027"/>
        </w:tabs>
        <w:spacing w:after="50" w:line="276" w:lineRule="auto"/>
      </w:pPr>
      <w:r>
        <w:rPr>
          <w:b/>
          <w:bCs/>
          <w:sz w:val="23"/>
          <w:szCs w:val="23"/>
        </w:rPr>
        <w:t>1. Executive Summary</w:t>
      </w:r>
      <w:r>
        <w:rPr>
          <w:sz w:val="22"/>
          <w:szCs w:val="22"/>
        </w:rPr>
        <w:tab/>
        <w:t>3</w:t>
      </w:r>
    </w:p>
    <w:p w:rsidR="004D7912" w:rsidRDefault="00CC0A06">
      <w:pPr>
        <w:tabs>
          <w:tab w:val="right" w:leader="dot" w:pos="9027"/>
        </w:tabs>
        <w:spacing w:after="50" w:line="276" w:lineRule="auto"/>
      </w:pPr>
      <w:r>
        <w:rPr>
          <w:b/>
          <w:bCs/>
          <w:sz w:val="23"/>
          <w:szCs w:val="23"/>
        </w:rPr>
        <w:t>2. Introduction</w:t>
      </w:r>
      <w:r>
        <w:rPr>
          <w:sz w:val="22"/>
          <w:szCs w:val="22"/>
        </w:rPr>
        <w:tab/>
        <w:t>4</w:t>
      </w:r>
    </w:p>
    <w:p w:rsidR="004D7912" w:rsidRDefault="00CC0A06">
      <w:pPr>
        <w:tabs>
          <w:tab w:val="right" w:leader="dot" w:pos="9027"/>
        </w:tabs>
        <w:spacing w:after="50" w:line="276" w:lineRule="auto"/>
        <w:ind w:left="284"/>
      </w:pPr>
      <w:r>
        <w:rPr>
          <w:sz w:val="23"/>
          <w:szCs w:val="23"/>
        </w:rPr>
        <w:t>2.1 Tesco at a glance</w:t>
      </w:r>
      <w:r>
        <w:rPr>
          <w:sz w:val="22"/>
          <w:szCs w:val="22"/>
        </w:rPr>
        <w:tab/>
        <w:t>4</w:t>
      </w:r>
    </w:p>
    <w:p w:rsidR="004D7912" w:rsidRDefault="00CC0A06">
      <w:pPr>
        <w:tabs>
          <w:tab w:val="right" w:leader="dot" w:pos="9027"/>
        </w:tabs>
        <w:spacing w:after="50" w:line="276" w:lineRule="auto"/>
        <w:ind w:left="284"/>
      </w:pPr>
      <w:r>
        <w:rPr>
          <w:sz w:val="23"/>
          <w:szCs w:val="23"/>
        </w:rPr>
        <w:t>2.2 Strategic context, challenges and scope</w:t>
      </w:r>
      <w:r>
        <w:rPr>
          <w:sz w:val="22"/>
          <w:szCs w:val="22"/>
        </w:rPr>
        <w:tab/>
        <w:t>4</w:t>
      </w:r>
    </w:p>
    <w:p w:rsidR="004D7912" w:rsidRDefault="00CC0A06">
      <w:pPr>
        <w:tabs>
          <w:tab w:val="right" w:leader="dot" w:pos="9027"/>
        </w:tabs>
        <w:spacing w:after="50" w:line="276" w:lineRule="auto"/>
        <w:ind w:left="284"/>
      </w:pPr>
      <w:r>
        <w:rPr>
          <w:sz w:val="23"/>
          <w:szCs w:val="23"/>
        </w:rPr>
        <w:t>2.3 Research approach and evidence quality</w:t>
      </w:r>
      <w:r>
        <w:rPr>
          <w:sz w:val="22"/>
          <w:szCs w:val="22"/>
        </w:rPr>
        <w:tab/>
        <w:t>5</w:t>
      </w:r>
    </w:p>
    <w:p w:rsidR="004D7912" w:rsidRDefault="00CC0A06">
      <w:pPr>
        <w:tabs>
          <w:tab w:val="right" w:leader="dot" w:pos="9027"/>
        </w:tabs>
        <w:spacing w:after="50" w:line="276" w:lineRule="auto"/>
      </w:pPr>
      <w:r>
        <w:rPr>
          <w:b/>
          <w:bCs/>
          <w:sz w:val="23"/>
          <w:szCs w:val="23"/>
        </w:rPr>
        <w:t>3. Strategic Analysis</w:t>
      </w:r>
      <w:r>
        <w:rPr>
          <w:sz w:val="22"/>
          <w:szCs w:val="22"/>
        </w:rPr>
        <w:tab/>
        <w:t>5</w:t>
      </w:r>
    </w:p>
    <w:p w:rsidR="004D7912" w:rsidRDefault="00CC0A06">
      <w:pPr>
        <w:tabs>
          <w:tab w:val="right" w:leader="dot" w:pos="9027"/>
        </w:tabs>
        <w:spacing w:after="50" w:line="276" w:lineRule="auto"/>
        <w:ind w:left="284"/>
      </w:pPr>
      <w:r>
        <w:rPr>
          <w:sz w:val="23"/>
          <w:szCs w:val="23"/>
        </w:rPr>
        <w:t>A. External Analysis</w:t>
      </w:r>
      <w:r>
        <w:rPr>
          <w:sz w:val="22"/>
          <w:szCs w:val="22"/>
        </w:rPr>
        <w:tab/>
        <w:t>5</w:t>
      </w:r>
    </w:p>
    <w:p w:rsidR="004D7912" w:rsidRDefault="00CC0A06">
      <w:pPr>
        <w:tabs>
          <w:tab w:val="right" w:leader="dot" w:pos="9027"/>
        </w:tabs>
        <w:spacing w:after="50" w:line="276" w:lineRule="auto"/>
        <w:ind w:left="568"/>
      </w:pPr>
      <w:r>
        <w:rPr>
          <w:sz w:val="22"/>
          <w:szCs w:val="22"/>
        </w:rPr>
        <w:t>3.1 Market trends affecting Tesco</w:t>
      </w:r>
      <w:r>
        <w:rPr>
          <w:sz w:val="22"/>
          <w:szCs w:val="22"/>
        </w:rPr>
        <w:tab/>
        <w:t>5</w:t>
      </w:r>
    </w:p>
    <w:p w:rsidR="004D7912" w:rsidRDefault="00CC0A06">
      <w:pPr>
        <w:tabs>
          <w:tab w:val="right" w:leader="dot" w:pos="9027"/>
        </w:tabs>
        <w:spacing w:after="50" w:line="276" w:lineRule="auto"/>
        <w:ind w:left="568"/>
      </w:pPr>
      <w:r>
        <w:rPr>
          <w:sz w:val="22"/>
          <w:szCs w:val="22"/>
        </w:rPr>
        <w:t>3.2 PESTEL analysis</w:t>
      </w:r>
      <w:r>
        <w:rPr>
          <w:sz w:val="22"/>
          <w:szCs w:val="22"/>
        </w:rPr>
        <w:tab/>
        <w:t>6</w:t>
      </w:r>
    </w:p>
    <w:p w:rsidR="004D7912" w:rsidRDefault="00CC0A06">
      <w:pPr>
        <w:tabs>
          <w:tab w:val="right" w:leader="dot" w:pos="9027"/>
        </w:tabs>
        <w:spacing w:after="50" w:line="276" w:lineRule="auto"/>
        <w:ind w:left="568"/>
      </w:pPr>
      <w:r>
        <w:rPr>
          <w:sz w:val="22"/>
          <w:szCs w:val="22"/>
        </w:rPr>
        <w:t>3.3 Competitive positioning: Bowman’s Strategic Clock</w:t>
      </w:r>
      <w:r>
        <w:rPr>
          <w:sz w:val="22"/>
          <w:szCs w:val="22"/>
        </w:rPr>
        <w:tab/>
        <w:t>8</w:t>
      </w:r>
    </w:p>
    <w:p w:rsidR="004D7912" w:rsidRDefault="00CC0A06">
      <w:pPr>
        <w:tabs>
          <w:tab w:val="right" w:leader="dot" w:pos="9027"/>
        </w:tabs>
        <w:spacing w:after="50" w:line="276" w:lineRule="auto"/>
        <w:ind w:left="284"/>
      </w:pPr>
      <w:r>
        <w:rPr>
          <w:sz w:val="23"/>
          <w:szCs w:val="23"/>
        </w:rPr>
        <w:t>B. Internal Analysis</w:t>
      </w:r>
      <w:r>
        <w:rPr>
          <w:sz w:val="22"/>
          <w:szCs w:val="22"/>
        </w:rPr>
        <w:tab/>
        <w:t>9</w:t>
      </w:r>
    </w:p>
    <w:p w:rsidR="004D7912" w:rsidRDefault="00CC0A06">
      <w:pPr>
        <w:tabs>
          <w:tab w:val="right" w:leader="dot" w:pos="9027"/>
        </w:tabs>
        <w:spacing w:after="50" w:line="276" w:lineRule="auto"/>
        <w:ind w:left="568"/>
      </w:pPr>
      <w:r>
        <w:rPr>
          <w:sz w:val="22"/>
          <w:szCs w:val="22"/>
        </w:rPr>
        <w:t>3.4 Resources and capabilities: VRIO analysis</w:t>
      </w:r>
      <w:r>
        <w:rPr>
          <w:sz w:val="22"/>
          <w:szCs w:val="22"/>
        </w:rPr>
        <w:tab/>
        <w:t>9</w:t>
      </w:r>
    </w:p>
    <w:p w:rsidR="004D7912" w:rsidRDefault="00CC0A06">
      <w:pPr>
        <w:tabs>
          <w:tab w:val="right" w:leader="dot" w:pos="9027"/>
        </w:tabs>
        <w:spacing w:after="50" w:line="276" w:lineRule="auto"/>
        <w:ind w:left="284"/>
      </w:pPr>
      <w:r>
        <w:rPr>
          <w:sz w:val="23"/>
          <w:szCs w:val="23"/>
        </w:rPr>
        <w:t>C. SWOT and TOWS Analysis</w:t>
      </w:r>
      <w:r>
        <w:rPr>
          <w:sz w:val="22"/>
          <w:szCs w:val="22"/>
        </w:rPr>
        <w:tab/>
        <w:t>11</w:t>
      </w:r>
    </w:p>
    <w:p w:rsidR="004D7912" w:rsidRDefault="00CC0A06">
      <w:pPr>
        <w:tabs>
          <w:tab w:val="right" w:leader="dot" w:pos="9027"/>
        </w:tabs>
        <w:spacing w:after="50" w:line="276" w:lineRule="auto"/>
        <w:ind w:left="568"/>
      </w:pPr>
      <w:r>
        <w:rPr>
          <w:sz w:val="22"/>
          <w:szCs w:val="22"/>
        </w:rPr>
        <w:t>3.5 SWOT analysis</w:t>
      </w:r>
      <w:r>
        <w:rPr>
          <w:sz w:val="22"/>
          <w:szCs w:val="22"/>
        </w:rPr>
        <w:tab/>
        <w:t>11</w:t>
      </w:r>
    </w:p>
    <w:p w:rsidR="004D7912" w:rsidRDefault="00CC0A06">
      <w:pPr>
        <w:tabs>
          <w:tab w:val="right" w:leader="dot" w:pos="9027"/>
        </w:tabs>
        <w:spacing w:after="50" w:line="276" w:lineRule="auto"/>
        <w:ind w:left="568"/>
      </w:pPr>
      <w:r>
        <w:rPr>
          <w:sz w:val="22"/>
          <w:szCs w:val="22"/>
        </w:rPr>
        <w:t>3.6 TOWS: linking strengths and weaknesses to opportunities and threats</w:t>
      </w:r>
      <w:r>
        <w:rPr>
          <w:sz w:val="22"/>
          <w:szCs w:val="22"/>
        </w:rPr>
        <w:tab/>
        <w:t>12</w:t>
      </w:r>
    </w:p>
    <w:p w:rsidR="004D7912" w:rsidRDefault="00CC0A06">
      <w:pPr>
        <w:tabs>
          <w:tab w:val="right" w:leader="dot" w:pos="9027"/>
        </w:tabs>
        <w:spacing w:after="50" w:line="276" w:lineRule="auto"/>
        <w:ind w:left="284"/>
      </w:pPr>
      <w:r>
        <w:rPr>
          <w:sz w:val="23"/>
          <w:szCs w:val="23"/>
        </w:rPr>
        <w:t>D. Customer Care Focus</w:t>
      </w:r>
      <w:r>
        <w:rPr>
          <w:sz w:val="22"/>
          <w:szCs w:val="22"/>
        </w:rPr>
        <w:tab/>
        <w:t>13</w:t>
      </w:r>
    </w:p>
    <w:p w:rsidR="004D7912" w:rsidRDefault="00CC0A06">
      <w:pPr>
        <w:tabs>
          <w:tab w:val="right" w:leader="dot" w:pos="9027"/>
        </w:tabs>
        <w:spacing w:after="50" w:line="276" w:lineRule="auto"/>
        <w:ind w:left="568"/>
      </w:pPr>
      <w:r>
        <w:rPr>
          <w:sz w:val="22"/>
          <w:szCs w:val="22"/>
        </w:rPr>
        <w:t>3.7 Customer care performance: what Tesco does and where it falls short</w:t>
      </w:r>
      <w:r>
        <w:rPr>
          <w:sz w:val="22"/>
          <w:szCs w:val="22"/>
        </w:rPr>
        <w:tab/>
        <w:t>13</w:t>
      </w:r>
    </w:p>
    <w:p w:rsidR="004D7912" w:rsidRDefault="00CC0A06">
      <w:pPr>
        <w:tabs>
          <w:tab w:val="right" w:leader="dot" w:pos="9027"/>
        </w:tabs>
        <w:spacing w:after="50" w:line="276" w:lineRule="auto"/>
        <w:ind w:left="284"/>
      </w:pPr>
      <w:r>
        <w:rPr>
          <w:sz w:val="23"/>
          <w:szCs w:val="23"/>
        </w:rPr>
        <w:t>E. Strategic Opportunities: Ansoff Matrix</w:t>
      </w:r>
      <w:r>
        <w:rPr>
          <w:sz w:val="22"/>
          <w:szCs w:val="22"/>
        </w:rPr>
        <w:tab/>
        <w:t>14</w:t>
      </w:r>
    </w:p>
    <w:p w:rsidR="004D7912" w:rsidRDefault="00CC0A06">
      <w:pPr>
        <w:tabs>
          <w:tab w:val="right" w:leader="dot" w:pos="9027"/>
        </w:tabs>
        <w:spacing w:after="50" w:line="276" w:lineRule="auto"/>
        <w:ind w:left="568"/>
      </w:pPr>
      <w:r>
        <w:rPr>
          <w:sz w:val="22"/>
          <w:szCs w:val="22"/>
        </w:rPr>
        <w:t>3.8 Ansoff Matrix: current activity, gaps and verdict</w:t>
      </w:r>
      <w:r>
        <w:rPr>
          <w:sz w:val="22"/>
          <w:szCs w:val="22"/>
        </w:rPr>
        <w:tab/>
        <w:t>14</w:t>
      </w:r>
    </w:p>
    <w:p w:rsidR="004D7912" w:rsidRDefault="00CC0A06">
      <w:pPr>
        <w:tabs>
          <w:tab w:val="right" w:leader="dot" w:pos="9027"/>
        </w:tabs>
        <w:spacing w:after="50" w:line="276" w:lineRule="auto"/>
        <w:ind w:left="284"/>
      </w:pPr>
      <w:r>
        <w:rPr>
          <w:sz w:val="23"/>
          <w:szCs w:val="23"/>
        </w:rPr>
        <w:t>F. Gap Analysis</w:t>
      </w:r>
      <w:r>
        <w:rPr>
          <w:sz w:val="22"/>
          <w:szCs w:val="22"/>
        </w:rPr>
        <w:tab/>
        <w:t>15</w:t>
      </w:r>
    </w:p>
    <w:p w:rsidR="004D7912" w:rsidRDefault="00CC0A06">
      <w:pPr>
        <w:tabs>
          <w:tab w:val="right" w:leader="dot" w:pos="9027"/>
        </w:tabs>
        <w:spacing w:after="50" w:line="276" w:lineRule="auto"/>
        <w:ind w:left="568"/>
      </w:pPr>
      <w:r>
        <w:rPr>
          <w:sz w:val="22"/>
          <w:szCs w:val="22"/>
        </w:rPr>
        <w:t>3.9 What Tesco is, and is not, already doing</w:t>
      </w:r>
      <w:r>
        <w:rPr>
          <w:sz w:val="22"/>
          <w:szCs w:val="22"/>
        </w:rPr>
        <w:tab/>
        <w:t>15</w:t>
      </w:r>
    </w:p>
    <w:p w:rsidR="004D7912" w:rsidRDefault="00CC0A06">
      <w:pPr>
        <w:tabs>
          <w:tab w:val="right" w:leader="dot" w:pos="9027"/>
        </w:tabs>
        <w:spacing w:after="50" w:line="276" w:lineRule="auto"/>
        <w:ind w:left="284"/>
      </w:pPr>
      <w:r>
        <w:rPr>
          <w:sz w:val="23"/>
          <w:szCs w:val="23"/>
        </w:rPr>
        <w:t>G. Wider Organisational Implications</w:t>
      </w:r>
      <w:r>
        <w:rPr>
          <w:sz w:val="22"/>
          <w:szCs w:val="22"/>
        </w:rPr>
        <w:tab/>
        <w:t>16</w:t>
      </w:r>
    </w:p>
    <w:p w:rsidR="004D7912" w:rsidRDefault="00CC0A06">
      <w:pPr>
        <w:tabs>
          <w:tab w:val="right" w:leader="dot" w:pos="9027"/>
        </w:tabs>
        <w:spacing w:after="50" w:line="276" w:lineRule="auto"/>
        <w:ind w:left="568"/>
      </w:pPr>
      <w:r>
        <w:rPr>
          <w:sz w:val="22"/>
          <w:szCs w:val="22"/>
        </w:rPr>
        <w:t>3.10 Implications of the recommended strategy</w:t>
      </w:r>
      <w:r>
        <w:rPr>
          <w:sz w:val="22"/>
          <w:szCs w:val="22"/>
        </w:rPr>
        <w:tab/>
        <w:t>16</w:t>
      </w:r>
    </w:p>
    <w:p w:rsidR="004D7912" w:rsidRDefault="00CC0A06">
      <w:pPr>
        <w:tabs>
          <w:tab w:val="right" w:leader="dot" w:pos="9027"/>
        </w:tabs>
        <w:spacing w:after="50" w:line="276" w:lineRule="auto"/>
        <w:ind w:left="284"/>
      </w:pPr>
      <w:r>
        <w:rPr>
          <w:sz w:val="23"/>
          <w:szCs w:val="23"/>
        </w:rPr>
        <w:t>H. Critical Evaluation, Hypotheses and Judgement under Uncertainty</w:t>
      </w:r>
      <w:r>
        <w:rPr>
          <w:sz w:val="22"/>
          <w:szCs w:val="22"/>
        </w:rPr>
        <w:tab/>
        <w:t>17</w:t>
      </w:r>
    </w:p>
    <w:p w:rsidR="004D7912" w:rsidRDefault="00CC0A06">
      <w:pPr>
        <w:tabs>
          <w:tab w:val="right" w:leader="dot" w:pos="9027"/>
        </w:tabs>
        <w:spacing w:after="50" w:line="276" w:lineRule="auto"/>
        <w:ind w:left="568"/>
      </w:pPr>
      <w:r>
        <w:rPr>
          <w:sz w:val="22"/>
          <w:szCs w:val="22"/>
        </w:rPr>
        <w:t>3.11 Evaluating the frameworks and the literature</w:t>
      </w:r>
      <w:r>
        <w:rPr>
          <w:sz w:val="22"/>
          <w:szCs w:val="22"/>
        </w:rPr>
        <w:tab/>
        <w:t>17</w:t>
      </w:r>
    </w:p>
    <w:p w:rsidR="004D7912" w:rsidRDefault="00CC0A06">
      <w:pPr>
        <w:tabs>
          <w:tab w:val="right" w:leader="dot" w:pos="9027"/>
        </w:tabs>
        <w:spacing w:after="50" w:line="276" w:lineRule="auto"/>
        <w:ind w:left="568"/>
      </w:pPr>
      <w:r>
        <w:rPr>
          <w:sz w:val="22"/>
          <w:szCs w:val="22"/>
        </w:rPr>
        <w:t>3.12 Conflicting and incomplete data</w:t>
      </w:r>
      <w:r>
        <w:rPr>
          <w:sz w:val="22"/>
          <w:szCs w:val="22"/>
        </w:rPr>
        <w:tab/>
        <w:t>17</w:t>
      </w:r>
    </w:p>
    <w:p w:rsidR="004D7912" w:rsidRDefault="00CC0A06">
      <w:pPr>
        <w:tabs>
          <w:tab w:val="right" w:leader="dot" w:pos="9027"/>
        </w:tabs>
        <w:spacing w:after="50" w:line="276" w:lineRule="auto"/>
        <w:ind w:left="568"/>
      </w:pPr>
      <w:r>
        <w:rPr>
          <w:sz w:val="22"/>
          <w:szCs w:val="22"/>
        </w:rPr>
        <w:t>3.13 Judgement under uncertainty and testable hypotheses</w:t>
      </w:r>
      <w:r>
        <w:rPr>
          <w:sz w:val="22"/>
          <w:szCs w:val="22"/>
        </w:rPr>
        <w:tab/>
        <w:t>18</w:t>
      </w:r>
    </w:p>
    <w:p w:rsidR="004D7912" w:rsidRDefault="00CC0A06">
      <w:pPr>
        <w:tabs>
          <w:tab w:val="right" w:leader="dot" w:pos="9027"/>
        </w:tabs>
        <w:spacing w:after="50" w:line="276" w:lineRule="auto"/>
      </w:pPr>
      <w:r>
        <w:rPr>
          <w:b/>
          <w:bCs/>
          <w:sz w:val="23"/>
          <w:szCs w:val="23"/>
        </w:rPr>
        <w:t>4. Conclusions</w:t>
      </w:r>
      <w:r>
        <w:rPr>
          <w:sz w:val="22"/>
          <w:szCs w:val="22"/>
        </w:rPr>
        <w:tab/>
        <w:t>20</w:t>
      </w:r>
    </w:p>
    <w:p w:rsidR="004D7912" w:rsidRDefault="00CC0A06">
      <w:pPr>
        <w:tabs>
          <w:tab w:val="right" w:leader="dot" w:pos="9027"/>
        </w:tabs>
        <w:spacing w:after="50" w:line="276" w:lineRule="auto"/>
      </w:pPr>
      <w:r>
        <w:rPr>
          <w:b/>
          <w:bCs/>
          <w:sz w:val="23"/>
          <w:szCs w:val="23"/>
        </w:rPr>
        <w:t>5. Recommendations</w:t>
      </w:r>
      <w:r>
        <w:rPr>
          <w:sz w:val="22"/>
          <w:szCs w:val="22"/>
        </w:rPr>
        <w:tab/>
        <w:t>21</w:t>
      </w:r>
    </w:p>
    <w:p w:rsidR="004D7912" w:rsidRDefault="00CC0A06">
      <w:pPr>
        <w:tabs>
          <w:tab w:val="right" w:leader="dot" w:pos="9027"/>
        </w:tabs>
        <w:spacing w:after="50" w:line="276" w:lineRule="auto"/>
      </w:pPr>
      <w:r>
        <w:rPr>
          <w:b/>
          <w:bCs/>
          <w:sz w:val="23"/>
          <w:szCs w:val="23"/>
        </w:rPr>
        <w:t>6. References</w:t>
      </w:r>
      <w:r>
        <w:rPr>
          <w:sz w:val="22"/>
          <w:szCs w:val="22"/>
        </w:rPr>
        <w:tab/>
        <w:t>24</w:t>
      </w:r>
    </w:p>
    <w:p w:rsidR="004D7912" w:rsidRDefault="00CC0A06">
      <w:r>
        <w:br w:type="page"/>
      </w:r>
    </w:p>
    <w:p w:rsidR="004D7912" w:rsidRDefault="00CC0A06">
      <w:pPr>
        <w:pStyle w:val="Heading1"/>
        <w:keepNext/>
        <w:pageBreakBefore/>
      </w:pPr>
      <w:r>
        <w:lastRenderedPageBreak/>
        <w:t>1. Executive Summary</w:t>
      </w:r>
    </w:p>
    <w:p w:rsidR="004D7912" w:rsidRDefault="00CC0A06">
      <w:pPr>
        <w:spacing w:after="110" w:line="326" w:lineRule="auto"/>
        <w:jc w:val="both"/>
      </w:pPr>
      <w:r>
        <w:t>This report evaluates the strategic direction of Tesco PLC (Tesco), the UK’s largest grocer, focusing on customer care as a source of sustainable competitive advantage, and recommends how Tesco can strengthen it over the next two to three years.</w:t>
      </w:r>
    </w:p>
    <w:p w:rsidR="004D7912" w:rsidRDefault="00CC0A06">
      <w:pPr>
        <w:spacing w:after="110" w:line="326" w:lineRule="auto"/>
        <w:jc w:val="both"/>
      </w:pPr>
      <w:r>
        <w:rPr>
          <w:b/>
          <w:bCs/>
        </w:rPr>
        <w:t>The organisation.</w:t>
      </w:r>
      <w:r>
        <w:t xml:space="preserve"> Tesco trades from 3,724 stores across the UK, Ireland and Central Europe with over 340,000 colleagues (Tesco PLC, 2026b). In 2025/26 it reported group sales of £66.6bn and adjusted operating profit of £3,152m, a 4.3% margin that was 12 basis points lower than a year earlier (Tesco PLC, 2026a). UK market share reached 28.5%, the highest in over a decade in December 2025 (Tesco PLC, 2026a).</w:t>
      </w:r>
    </w:p>
    <w:p w:rsidR="004D7912" w:rsidRDefault="00CC0A06">
      <w:pPr>
        <w:spacing w:after="110" w:line="326" w:lineRule="auto"/>
        <w:jc w:val="both"/>
      </w:pPr>
      <w:r>
        <w:rPr>
          <w:b/>
          <w:bCs/>
        </w:rPr>
        <w:t>Context and challenges.</w:t>
      </w:r>
      <w:r>
        <w:t xml:space="preserve"> Momentum has since slowed. UK like-for-like sales growth eased to 1.8% in Q1 2026/27 (Tesco PLC, 2026c), and in the 12 weeks to 6 September 2026 Tesco’s sales grew 1.7% against 8.0% at Lidl and 13.3% at Ocado (Worldpanel by Numerator, 2026b). Costs are rising through employer National Insurance, a £12.71 National Living Wage and packaging levies (HM Revenue &amp; Customs, 2026; Tesco PLC, 2026a), while CPI inflation was 3.1% in August 2026 (Office for National Statistics, 2026).</w:t>
      </w:r>
    </w:p>
    <w:p w:rsidR="004D7912" w:rsidRDefault="00CC0A06">
      <w:pPr>
        <w:spacing w:after="110" w:line="326" w:lineRule="auto"/>
        <w:jc w:val="both"/>
      </w:pPr>
      <w:r>
        <w:rPr>
          <w:b/>
          <w:bCs/>
        </w:rPr>
        <w:t>Analysis.</w:t>
      </w:r>
      <w:r>
        <w:t xml:space="preserve"> Tesco competes on Bowman’s hybrid route, combining low prices with differentiated service. The PESTEL analysis identifies five opportunities (AI personalisation, online and rapid delivery, loyalty-led value, premium own-label and sustainability leadership) and five threats (discounter and online competition, cost inflation, macroeconomic uncertainty, pricing and data regulation, and supply-chain shocks). Internally, Clubcard data, scale and omnichannel infrastructure are Tesco’s strongest resources, but shoppers rate value for money, queueing, self-scanning and online substitutions at only three stars out of five (2026).</w:t>
      </w:r>
    </w:p>
    <w:p w:rsidR="004D7912" w:rsidRDefault="00CC0A06">
      <w:pPr>
        <w:spacing w:after="110" w:line="326" w:lineRule="auto"/>
        <w:jc w:val="both"/>
      </w:pPr>
      <w:r>
        <w:rPr>
          <w:b/>
          <w:bCs/>
        </w:rPr>
        <w:t>Critical evaluation.</w:t>
      </w:r>
      <w:r>
        <w:t xml:space="preserve"> The report tests its own frameworks against recent literature and conflicting data. For example, a multi-industry study found that pure strategies never performed worse than hybrids (Thornhill and White, 2007), so the case for Tesco’s hybrid route is stated as conditional, with a trigger for review. Four testable hypotheses and stage-gates allow the recommendations to be revised if the evidence turns.</w:t>
      </w:r>
    </w:p>
    <w:p w:rsidR="004D7912" w:rsidRDefault="00CC0A06">
      <w:pPr>
        <w:spacing w:after="110" w:line="326" w:lineRule="auto"/>
        <w:jc w:val="both"/>
      </w:pPr>
      <w:r>
        <w:rPr>
          <w:b/>
          <w:bCs/>
        </w:rPr>
        <w:t>Conclusions and recommendations.</w:t>
      </w:r>
      <w:r>
        <w:t xml:space="preserve"> A gap analysis shows Tesco already personalises offers, sells subscriptions and invests in automation; the shortfall is in the consistency, transparency and reach of these capabilities. Six recommendations follow: (1) scale AI personalisation and the customer-facing assistant; (2) improve fulfilment and store reliability; (3) unify Clubcard Plus and Delivery Saver into one membership; (4) accelerate predictive supply-chain and store technology; (5) strengthen price transparency and sustainability reporting; and (6) embed agile test-learn-scale governance and colleague capability.</w:t>
      </w:r>
    </w:p>
    <w:p w:rsidR="004D7912" w:rsidRDefault="00CC0A06">
      <w:pPr>
        <w:pStyle w:val="Heading1"/>
        <w:keepNext/>
        <w:pageBreakBefore/>
      </w:pPr>
      <w:r>
        <w:lastRenderedPageBreak/>
        <w:t>2. Introduction</w:t>
      </w:r>
    </w:p>
    <w:p w:rsidR="004D7912" w:rsidRDefault="00CC0A06">
      <w:pPr>
        <w:pStyle w:val="Heading2"/>
        <w:keepNext/>
      </w:pPr>
      <w:r>
        <w:t>2.1 Tesco at a glance</w:t>
      </w:r>
    </w:p>
    <w:p w:rsidR="004D7912" w:rsidRDefault="00CC0A06">
      <w:pPr>
        <w:spacing w:after="120" w:line="360" w:lineRule="auto"/>
        <w:jc w:val="both"/>
      </w:pPr>
      <w:r>
        <w:t>Tesco is a multinational grocery and general merchandise retailer. Its customer-facing loyalty scheme, Clubcard, has underpinned its data capability for over two decades (</w:t>
      </w:r>
      <w:proofErr w:type="spellStart"/>
      <w:r>
        <w:t>Humby</w:t>
      </w:r>
      <w:proofErr w:type="spellEnd"/>
      <w:r>
        <w:t>, Hunt and Phillips, 2007). Table 1 summarises the organisation’s mission, offer, markets, performance and customer metrics, using Tesco’s own published documents.</w:t>
      </w:r>
    </w:p>
    <w:p w:rsidR="004D7912" w:rsidRDefault="00CC0A06">
      <w:pPr>
        <w:keepNext/>
        <w:spacing w:before="160" w:after="80"/>
      </w:pPr>
      <w:r>
        <w:rPr>
          <w:b/>
          <w:bCs/>
          <w:sz w:val="22"/>
          <w:szCs w:val="22"/>
        </w:rPr>
        <w:t>Table 1: Tesco at a glance</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7127"/>
      </w:tblGrid>
      <w:tr w:rsidR="004D7912">
        <w:tblPrEx>
          <w:tblCellMar>
            <w:top w:w="0" w:type="dxa"/>
            <w:bottom w:w="0" w:type="dxa"/>
          </w:tblCellMar>
        </w:tblPrEx>
        <w:trPr>
          <w:cantSplit/>
          <w:tblHeader/>
        </w:trPr>
        <w:tc>
          <w:tcPr>
            <w:tcW w:w="19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Dimension</w:t>
            </w:r>
          </w:p>
        </w:tc>
        <w:tc>
          <w:tcPr>
            <w:tcW w:w="71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Evidence</w:t>
            </w:r>
          </w:p>
        </w:tc>
      </w:tr>
      <w:tr w:rsidR="004D7912">
        <w:tblPrEx>
          <w:tblCellMar>
            <w:top w:w="0" w:type="dxa"/>
            <w:bottom w:w="0" w:type="dxa"/>
          </w:tblCellMar>
        </w:tblPrEx>
        <w:trPr>
          <w:cantSplit/>
        </w:trPr>
        <w:tc>
          <w:tcPr>
            <w:tcW w:w="1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Purpose</w:t>
            </w:r>
          </w:p>
        </w:tc>
        <w:tc>
          <w:tcPr>
            <w:tcW w:w="7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Tesco’s stated purpose is “Serving our customers, communities and planet a little better every day” (Tesco PLC, 2026b).</w:t>
            </w:r>
          </w:p>
        </w:tc>
      </w:tr>
      <w:tr w:rsidR="004D7912">
        <w:tblPrEx>
          <w:tblCellMar>
            <w:top w:w="0" w:type="dxa"/>
            <w:bottom w:w="0" w:type="dxa"/>
          </w:tblCellMar>
        </w:tblPrEx>
        <w:trPr>
          <w:cantSplit/>
        </w:trPr>
        <w:tc>
          <w:tcPr>
            <w:tcW w:w="1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Offer</w:t>
            </w:r>
          </w:p>
        </w:tc>
        <w:tc>
          <w:tcPr>
            <w:tcW w:w="7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Groceries and general merchandise through supermarkets, convenience stores (One Stop has over 1,000 stores), Booker wholesale, online home delivery, Whoosh rapid delivery and a Marketplace of over 450,000 products. Adjacent businesses include Tesco Mobile (over 5.5m customers), Insurance and Money Services (over 2.5m customers) and Tesco Media (used by over 800 brands) (Tesco PLC, 2026a; 2026b).</w:t>
            </w:r>
          </w:p>
        </w:tc>
      </w:tr>
      <w:tr w:rsidR="004D7912">
        <w:tblPrEx>
          <w:tblCellMar>
            <w:top w:w="0" w:type="dxa"/>
            <w:bottom w:w="0" w:type="dxa"/>
          </w:tblCellMar>
        </w:tblPrEx>
        <w:trPr>
          <w:cantSplit/>
        </w:trPr>
        <w:tc>
          <w:tcPr>
            <w:tcW w:w="1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Target customers and markets</w:t>
            </w:r>
          </w:p>
        </w:tc>
        <w:tc>
          <w:tcPr>
            <w:tcW w:w="7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Mass-market households in the UK, Ireland, the Czech Republic, Hungary and Slovakia, plus trade customers (retailers and caterers) served by Booker. The UK generated £49.8bn of the £66.6bn group sales (Tesco PLC, 2026a).</w:t>
            </w:r>
          </w:p>
        </w:tc>
      </w:tr>
      <w:tr w:rsidR="004D7912">
        <w:tblPrEx>
          <w:tblCellMar>
            <w:top w:w="0" w:type="dxa"/>
            <w:bottom w:w="0" w:type="dxa"/>
          </w:tblCellMar>
        </w:tblPrEx>
        <w:trPr>
          <w:cantSplit/>
        </w:trPr>
        <w:tc>
          <w:tcPr>
            <w:tcW w:w="1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Performance 2025/26</w:t>
            </w:r>
          </w:p>
        </w:tc>
        <w:tc>
          <w:tcPr>
            <w:tcW w:w="7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Group sales £66,588m (+4.3% at constant rates; like-for-like +3.5%); adjusted operating profit £3,152m (margin 4.3%, down 12bps); free cash flow £1,957m; UK market share 28.5% (Tesco PLC, 2026a).</w:t>
            </w:r>
          </w:p>
        </w:tc>
      </w:tr>
      <w:tr w:rsidR="004D7912">
        <w:tblPrEx>
          <w:tblCellMar>
            <w:top w:w="0" w:type="dxa"/>
            <w:bottom w:w="0" w:type="dxa"/>
          </w:tblCellMar>
        </w:tblPrEx>
        <w:trPr>
          <w:cantSplit/>
        </w:trPr>
        <w:tc>
          <w:tcPr>
            <w:tcW w:w="1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Customer metrics</w:t>
            </w:r>
          </w:p>
        </w:tc>
        <w:tc>
          <w:tcPr>
            <w:tcW w:w="7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Record UK customer satisfaction and a group Net Promoter Score (NPS) of 29, up one point (Tesco PLC, 2026a; 2026b). Brand NPS was 31, up six points year on year, in the 12 weeks to 31 May 2026 (Tesco PLC, 2026c).</w:t>
            </w:r>
          </w:p>
        </w:tc>
      </w:tr>
      <w:tr w:rsidR="004D7912">
        <w:tblPrEx>
          <w:tblCellMar>
            <w:top w:w="0" w:type="dxa"/>
            <w:bottom w:w="0" w:type="dxa"/>
          </w:tblCellMar>
        </w:tblPrEx>
        <w:trPr>
          <w:cantSplit/>
        </w:trPr>
        <w:tc>
          <w:tcPr>
            <w:tcW w:w="1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Strategic ambitions</w:t>
            </w:r>
          </w:p>
        </w:tc>
        <w:tc>
          <w:tcPr>
            <w:tcW w:w="7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Winning in food; meeting more everyday customer needs; being the most strategic partner for suppliers; being connected, personalised and loved by customers; and long-term business sustainability (Tesco PLC, 2026b).</w:t>
            </w:r>
          </w:p>
        </w:tc>
      </w:tr>
    </w:tbl>
    <w:p w:rsidR="004D7912" w:rsidRDefault="00CC0A06">
      <w:pPr>
        <w:spacing w:before="60" w:after="200"/>
      </w:pPr>
      <w:r>
        <w:rPr>
          <w:i/>
          <w:iCs/>
          <w:sz w:val="19"/>
          <w:szCs w:val="19"/>
        </w:rPr>
        <w:t>Source: compiled by the author from Tesco PLC (2026a; 2026b; 2026c).</w:t>
      </w:r>
    </w:p>
    <w:p w:rsidR="004D7912" w:rsidRDefault="00CC0A06">
      <w:pPr>
        <w:pStyle w:val="Heading2"/>
        <w:keepNext/>
      </w:pPr>
      <w:r>
        <w:t>2.2 Strategic context, challenges and scope</w:t>
      </w:r>
    </w:p>
    <w:p w:rsidR="004D7912" w:rsidRDefault="00CC0A06">
      <w:pPr>
        <w:spacing w:after="120" w:line="360" w:lineRule="auto"/>
        <w:jc w:val="both"/>
      </w:pPr>
      <w:r>
        <w:t>Four challenges frame the analysis. First, competitive intensity: Tesco itself reports an increased level of competitive intensity in the UK and new entrants (Tesco PLC, 2026a), and Lidl and Ocado are growing several times faster than Tesco (Worldpanel by Numerator, 2026b). Second, cost inflation from higher employer National Insurance and the new packaging levy (Tesco PLC, 2026a; HM Revenue &amp; Customs, 2026). Third, price perception: shoppers in 2026 survey gave Tesco three stars out of five for in-store value for money (2026). Fourth, service consistency across formats: large-store like-for-like sales grew 3.9% in 2025/26 but convenience grew only 0.3% (Tesco PLC, 2026a).</w:t>
      </w:r>
    </w:p>
    <w:p w:rsidR="004D7912" w:rsidRDefault="00CC0A06">
      <w:pPr>
        <w:spacing w:after="120" w:line="360" w:lineRule="auto"/>
        <w:jc w:val="both"/>
      </w:pPr>
      <w:r>
        <w:lastRenderedPageBreak/>
        <w:t xml:space="preserve">This report defines </w:t>
      </w:r>
      <w:r>
        <w:rPr>
          <w:i/>
          <w:iCs/>
        </w:rPr>
        <w:t>customer care</w:t>
      </w:r>
      <w:r>
        <w:t xml:space="preserve"> as the combination of price fairness, personalisation, availability and fulfilment reliability, and service quality across channels (Lemon and </w:t>
      </w:r>
      <w:proofErr w:type="spellStart"/>
      <w:r>
        <w:t>Verhoef</w:t>
      </w:r>
      <w:proofErr w:type="spellEnd"/>
      <w:r>
        <w:t>, 2016). Section 3 analyses the external environment (market trends, PESTEL and Bowman’s Strategic Clock), the internal resources (VRIO), a SWOT/TOWS synthesis, customer care performance, Ansoff growth options, a gap analysis of what Tesco is and is not already doing, and wider organisational implications. Sections 4 and 5 present the conclusions and recommendations.</w:t>
      </w:r>
    </w:p>
    <w:p w:rsidR="004D7912" w:rsidRDefault="00CC0A06">
      <w:pPr>
        <w:spacing w:after="120" w:line="360" w:lineRule="auto"/>
        <w:jc w:val="both"/>
      </w:pPr>
      <w:r>
        <w:rPr>
          <w:i/>
          <w:iCs/>
        </w:rPr>
        <w:t>Data note.</w:t>
      </w:r>
      <w:r>
        <w:t xml:space="preserve"> Figures are drawn from Tesco’s FY2025/26 results, annual report and Q1 2026/27 statement, Worldpanel by Numerator market data to 6 September 2026, and UK government and regulator publications, all accessed on 9 October 2026. Tesco’s interim results were scheduled for 8 October 2026 (IG, 2026) and are not reflected here. Where a figure is the author’s calculation or judgement, this is stated.</w:t>
      </w:r>
    </w:p>
    <w:p w:rsidR="004D7912" w:rsidRDefault="00CC0A06">
      <w:pPr>
        <w:pStyle w:val="Heading2"/>
        <w:keepNext/>
      </w:pPr>
      <w:r>
        <w:t>2.3 Research approach and evidence quality</w:t>
      </w:r>
    </w:p>
    <w:p w:rsidR="004D7912" w:rsidRDefault="00CC0A06">
      <w:pPr>
        <w:spacing w:after="120" w:line="360" w:lineRule="auto"/>
        <w:jc w:val="both"/>
      </w:pPr>
      <w:r>
        <w:t>This is a desk-based, single-case study using secondary data. Evidence was ranked by independence and reliability: Tesco’s own regulatory disclosures for what the company reports about itself; independent measurement (Worldpanel panel data, ONS statistics and the Which? survey) to validate or challenge those claims; regulator and government sources for the legal and cost context; peer-reviewed literature for the analytical tools and their critique; and trade or news sources only where nothing better existed. Claims were triangulated where possible, for example by comparing Tesco’s reported share with Worldpanel’s. Three limitations follow: no primary customer data were collected, company-reported metrics are self-selected, and the recommendations are not costed. Section 3.11 evaluates these limits and the frameworks used.</w:t>
      </w:r>
    </w:p>
    <w:p w:rsidR="004D7912" w:rsidRDefault="00CC0A06">
      <w:pPr>
        <w:pStyle w:val="Heading1"/>
        <w:keepNext/>
      </w:pPr>
      <w:r>
        <w:t>3. Strategic Analysis</w:t>
      </w:r>
    </w:p>
    <w:p w:rsidR="004D7912" w:rsidRDefault="00CC0A06">
      <w:pPr>
        <w:pStyle w:val="Heading2"/>
        <w:keepNext/>
      </w:pPr>
      <w:r>
        <w:t>A. External Analysis</w:t>
      </w:r>
    </w:p>
    <w:p w:rsidR="004D7912" w:rsidRDefault="00CC0A06">
      <w:pPr>
        <w:pStyle w:val="Heading3"/>
        <w:keepNext/>
      </w:pPr>
      <w:r>
        <w:t>3.1 Market trends affecting Tesco</w:t>
      </w:r>
    </w:p>
    <w:p w:rsidR="004D7912" w:rsidRDefault="00CC0A06">
      <w:pPr>
        <w:spacing w:after="120" w:line="360" w:lineRule="auto"/>
        <w:jc w:val="both"/>
      </w:pPr>
      <w:r>
        <w:t>Market trends are examined first because they set the context for the PESTEL, positioning and growth analyses that follow.</w:t>
      </w:r>
    </w:p>
    <w:p w:rsidR="004D7912" w:rsidRDefault="00CC0A06">
      <w:pPr>
        <w:spacing w:after="120" w:line="360" w:lineRule="auto"/>
        <w:jc w:val="both"/>
      </w:pPr>
      <w:r>
        <w:rPr>
          <w:b/>
          <w:bCs/>
        </w:rPr>
        <w:t>Trend 1: discounters and online specialists are taking share.</w:t>
      </w:r>
      <w:r>
        <w:t xml:space="preserve"> In the 12 weeks to 6 September 2026, Lidl’s sales grew 8.0% and its share rose to 8.7% from 8.3% a year earlier, while Ocado grew 13.3% and was the fastest-growing grocer for the 30th consecutive period (Worldpanel by Numerator, 2026b). Tesco grew 1.7% and held a 27.8% share, below Sainsbury’s (+2.9%), </w:t>
      </w:r>
      <w:r>
        <w:lastRenderedPageBreak/>
        <w:t>Morrisons (+2.8%) and the Co-op (+2.9%) (Figure 1, below). Earlier in the year Lidl added over half a million shoppers, more than any other grocer (Worldpanel by Numerator, 2026a). With few barriers to switching grocer, rivalry is intense (Porter, 2008).</w:t>
      </w:r>
    </w:p>
    <w:p w:rsidR="004D7912" w:rsidRDefault="00CC0A06">
      <w:pPr>
        <w:spacing w:after="120" w:line="360" w:lineRule="auto"/>
        <w:jc w:val="both"/>
      </w:pPr>
      <w:r>
        <w:rPr>
          <w:b/>
          <w:bCs/>
        </w:rPr>
        <w:t>Trend 2: deal-seeking shoppers.</w:t>
      </w:r>
      <w:r>
        <w:t xml:space="preserve"> In the 12 weeks to 19 April 2026, promoted spending rose 7.8% year on year while full-price spending fell 0.2%, and promotions accounted for 31.3% of grocery spend (Worldpanel by Numerator, 2026a). By September, deal spending was up 7.0% against 1.4% for full-price spending, and branded goods (+3.7%) outgrew own label (+2.9%) (Worldpanel by Numerator, 2026b). This favours loyalty-linked pricing such as Clubcard Prices but increases scrutiny of how promotions are presented (Section 3.2).</w:t>
      </w:r>
    </w:p>
    <w:p w:rsidR="004D7912" w:rsidRDefault="00CC0A06">
      <w:pPr>
        <w:spacing w:after="120" w:line="360" w:lineRule="auto"/>
        <w:jc w:val="both"/>
      </w:pPr>
      <w:r>
        <w:rPr>
          <w:b/>
          <w:bCs/>
        </w:rPr>
        <w:t>Trend 3: online and rapid delivery are growing, but unevenly.</w:t>
      </w:r>
      <w:r>
        <w:t xml:space="preserve"> Tesco’s UK online sales rose 11.2% to £7.5bn in 2025/26, 14.3% of UK sales, and Whoosh sales rose 51% to over £400m, reaching 73% of UK households (Tesco PLC, 2026a). Growth then slowed to 8.9% in Q1 2026/27 (Tesco PLC, 2026c). Customers expect to move seamlessly between channels, which makes omnichannel integration a service requirement rather than an option (</w:t>
      </w:r>
      <w:proofErr w:type="spellStart"/>
      <w:r>
        <w:t>Verhoef</w:t>
      </w:r>
      <w:proofErr w:type="spellEnd"/>
      <w:r>
        <w:t>, Kannan and Inman, 2015). A review of 499 studies of omnichannel retail technology identifies channel integration and personalisation as retailer priorities and privacy as a recurring customer concern (</w:t>
      </w:r>
      <w:proofErr w:type="spellStart"/>
      <w:r>
        <w:t>Thaichon</w:t>
      </w:r>
      <w:proofErr w:type="spellEnd"/>
      <w:r>
        <w:t xml:space="preserve"> </w:t>
      </w:r>
      <w:r>
        <w:rPr>
          <w:i/>
          <w:iCs/>
        </w:rPr>
        <w:t>et al.</w:t>
      </w:r>
      <w:r>
        <w:t>, 2023).</w:t>
      </w:r>
    </w:p>
    <w:p w:rsidR="004D7912" w:rsidRDefault="00CC0A06">
      <w:pPr>
        <w:spacing w:after="120" w:line="360" w:lineRule="auto"/>
        <w:jc w:val="both"/>
      </w:pPr>
      <w:r>
        <w:rPr>
          <w:b/>
          <w:bCs/>
        </w:rPr>
        <w:t>Trend 4: AI and personalisation.</w:t>
      </w:r>
      <w:r>
        <w:t xml:space="preserve"> Tesco signed a three-year partnership with Mistral AI in December 2025 (AI News, 2025) and is trialling an in-app AI meal-planning assistant with nearly 280,000 colleagues ahead of a customer launch later in 2026 (Retail Insight Network, 2026). Competitors can access similar AI tools, so advantage depends on the quality of the underlying customer data (Section 3.4).</w:t>
      </w:r>
    </w:p>
    <w:p w:rsidR="004D7912" w:rsidRDefault="00CC0A06">
      <w:pPr>
        <w:keepNext/>
        <w:spacing w:before="120" w:after="60"/>
        <w:jc w:val="center"/>
      </w:pPr>
      <w:r>
        <w:rPr>
          <w:noProof/>
        </w:rPr>
        <w:lastRenderedPageBreak/>
        <w:drawing>
          <wp:inline distT="0" distB="0" distL="0" distR="0">
            <wp:extent cx="5334000" cy="2828925"/>
            <wp:effectExtent l="0" t="0" r="0" b="0"/>
            <wp:docPr id="2" name="fig1.png" descr="Figure" title="fi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2828925"/>
                    </a:xfrm>
                    <a:prstGeom prst="rect">
                      <a:avLst/>
                    </a:prstGeom>
                  </pic:spPr>
                </pic:pic>
              </a:graphicData>
            </a:graphic>
          </wp:inline>
        </w:drawing>
      </w:r>
    </w:p>
    <w:p w:rsidR="004D7912" w:rsidRDefault="00CC0A06">
      <w:pPr>
        <w:keepNext/>
        <w:spacing w:before="160" w:after="80"/>
      </w:pPr>
      <w:r>
        <w:rPr>
          <w:b/>
          <w:bCs/>
          <w:sz w:val="22"/>
          <w:szCs w:val="22"/>
        </w:rPr>
        <w:t>Figure 1: Grocer sales growth and market share, 12 weeks to 6 September 2026</w:t>
      </w:r>
    </w:p>
    <w:p w:rsidR="004D7912" w:rsidRDefault="00CC0A06">
      <w:pPr>
        <w:spacing w:before="60" w:after="200"/>
      </w:pPr>
      <w:r>
        <w:rPr>
          <w:i/>
          <w:iCs/>
          <w:sz w:val="19"/>
          <w:szCs w:val="19"/>
        </w:rPr>
        <w:t>Source: Worldpanel by Numerator (2026b). Tesco highlighted. Shares are of take-home grocery sales; the total market grew 2.0% in the four weeks to 6 September.</w:t>
      </w:r>
    </w:p>
    <w:p w:rsidR="004D7912" w:rsidRDefault="00CC0A06">
      <w:pPr>
        <w:pStyle w:val="Heading3"/>
        <w:keepNext/>
      </w:pPr>
      <w:r>
        <w:t>3.2 PESTEL analysis</w:t>
      </w:r>
    </w:p>
    <w:p w:rsidR="004D7912" w:rsidRDefault="00CC0A06">
      <w:pPr>
        <w:spacing w:after="120" w:line="360" w:lineRule="auto"/>
        <w:jc w:val="both"/>
      </w:pPr>
      <w:r>
        <w:t>Table 2 applies PESTEL using current evidence and states the implication for Tesco. Opportunities (O) and threats (T) are coded so that they can be traced into the SWOT, VRIO and Ansoff analyses.</w:t>
      </w:r>
    </w:p>
    <w:p w:rsidR="004D7912" w:rsidRDefault="00CC0A06">
      <w:pPr>
        <w:keepNext/>
        <w:spacing w:before="160" w:after="80"/>
      </w:pPr>
      <w:r>
        <w:rPr>
          <w:b/>
          <w:bCs/>
          <w:sz w:val="22"/>
          <w:szCs w:val="22"/>
        </w:rPr>
        <w:t>Table 2: PESTEL analysis of Tesco’s environment</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4150"/>
        <w:gridCol w:w="3377"/>
      </w:tblGrid>
      <w:tr w:rsidR="004D7912">
        <w:tblPrEx>
          <w:tblCellMar>
            <w:top w:w="0" w:type="dxa"/>
            <w:bottom w:w="0" w:type="dxa"/>
          </w:tblCellMar>
        </w:tblPrEx>
        <w:trPr>
          <w:cantSplit/>
          <w:tblHeader/>
        </w:trPr>
        <w:tc>
          <w:tcPr>
            <w:tcW w:w="15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Factor</w:t>
            </w:r>
          </w:p>
        </w:tc>
        <w:tc>
          <w:tcPr>
            <w:tcW w:w="41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Evidence</w:t>
            </w:r>
          </w:p>
        </w:tc>
        <w:tc>
          <w:tcPr>
            <w:tcW w:w="337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Implication for Tesco</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Political</w:t>
            </w:r>
          </w:p>
        </w:tc>
        <w:tc>
          <w:tcPr>
            <w:tcW w:w="41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Employer National Insurance is 15% above a £5,000 annual threshold and the National Living Wage is £12.71 from April 2026 (HM Revenue &amp; Customs, 2026). Tesco cites higher National Insurance contributions and the new packaging (EPR) levy as cost inflation (Tesco PLC, 2026a).</w:t>
            </w:r>
          </w:p>
        </w:tc>
        <w:tc>
          <w:tcPr>
            <w:tcW w:w="33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T2 Cost inflation. With over 340,000 colleagues and UK hourly pay up 5.1% in 2025/26 (Tesco PLC, 2026a; 2026b), wage and tax policy bears directly on a 4.3% margin.</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Economic</w:t>
            </w:r>
          </w:p>
        </w:tc>
        <w:tc>
          <w:tcPr>
            <w:tcW w:w="41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CPI inflation was 3.1% in August 2026 while food inflation was 1.3% (Office for National Statistics, 2026). The Bank of England held Bank Rate at 3.75% by six votes to three and projects CPI of about 3¾% in Q4 2026, citing the prolonged Middle East conflict (Bank of England, 2026). Worldpanel measures like-for-like grocery inflation at 2.3% (Worldpanel by Numerator, 2026b).</w:t>
            </w:r>
          </w:p>
        </w:tc>
        <w:tc>
          <w:tcPr>
            <w:tcW w:w="33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T3 Macroeconomic uncertainty. Tesco widened its FY26/27 profit guidance to £3.0bn–£3.3bn because of consumer and economic uncertainty (Tesco PLC, 2026a). O3 Value-seeking shoppers favour loyalty-led pricing.</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Social</w:t>
            </w:r>
          </w:p>
        </w:tc>
        <w:tc>
          <w:tcPr>
            <w:tcW w:w="41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Promotions are 31.3% of grocery spend (Worldpanel by Numerator, 2026a). Yet Tesco’s premium Finest range grew 15% to £3bn, and Tesco met its goal of 65% healthy volume sales in the UK and Ireland (Tesco PLC, 2026a).</w:t>
            </w:r>
          </w:p>
        </w:tc>
        <w:tc>
          <w:tcPr>
            <w:tcW w:w="33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O3 and O4 Shoppers trade down on everyday items but still pay for quality, so a hybrid offer is viable. Health expectations also support product development.</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lastRenderedPageBreak/>
              <w:t>Technological</w:t>
            </w:r>
          </w:p>
        </w:tc>
        <w:tc>
          <w:tcPr>
            <w:tcW w:w="41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Three-year Mistral AI partnership (AI News, 2025); AI assistant trial with nearly 280,000 colleagues (Retail Insight Network, 2026); FY26/27 capex of about £1.6bn including warehouse automation and electronic shelf-edge labels (Tesco PLC, 2026a); Tesco Media used by over 800 brands (Tesco PLC, 2026a).</w:t>
            </w:r>
          </w:p>
        </w:tc>
        <w:tc>
          <w:tcPr>
            <w:tcW w:w="33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O1 AI-enabled personalisation and retail media. O2 Technology lowers the cost of online fulfilment and enables rapid delivery.</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Legal</w:t>
            </w:r>
          </w:p>
        </w:tc>
        <w:tc>
          <w:tcPr>
            <w:tcW w:w="41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Since 6 April 2025 the CMA can enforce consumer law directly and fine up to 10% of global turnover, with drip pricing and fake reviews targeted (RPC, 2025). High fat, salt and sugar (HFSS) rules restrict in-store placement (since October 2022) and volume promotions in England (ACS, no date). The Data (Use and Access) Act 2025 adds safeguards for automated decisions (GOV.UK, 2025). In 2023 Which? asked the CMA to investigate loyalty-card pricing at Tesco and Sainsbury’s; Tesco said its promotions follow rules endorsed by its Trading Standards Primary Authority (ITV News, 2023).</w:t>
            </w:r>
          </w:p>
        </w:tc>
        <w:tc>
          <w:tcPr>
            <w:tcW w:w="33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T4 Pricing and data regulation. Clubcard Prices and personalised AI sit squarely in regulators’ focus, so transparency is a strategic requirement. As an illustration of scale, 10% of Tesco’s £66.6bn group sales would exceed £6bn (author’s calculation).</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Environmental</w:t>
            </w:r>
          </w:p>
        </w:tc>
        <w:tc>
          <w:tcPr>
            <w:tcW w:w="41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Scope 1 and 2 emissions are down 68% on the 2015/16 baseline, ahead of a 60% target; net zero is targeted for own operations by 2035 and across the value chain by 2050; 400 farmers are in Sustainable Farming Groups (Tesco PLC, 2026a; 2026b). The EPR levy adds cost (Tesco PLC, 2026a).</w:t>
            </w:r>
          </w:p>
        </w:tc>
        <w:tc>
          <w:tcPr>
            <w:tcW w:w="33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O5 Sustainability credentials can build trust. T5 Value-chain (Scope 3) decarbonisation, energy-price shocks and climate-related supply volatility remain unresolved.</w:t>
            </w:r>
          </w:p>
        </w:tc>
      </w:tr>
    </w:tbl>
    <w:p w:rsidR="004D7912" w:rsidRDefault="00CC0A06">
      <w:pPr>
        <w:spacing w:before="60" w:after="200"/>
      </w:pPr>
      <w:r>
        <w:rPr>
          <w:i/>
          <w:iCs/>
          <w:sz w:val="19"/>
          <w:szCs w:val="19"/>
        </w:rPr>
        <w:t>Source: compiled by the author from the sources cited in the table.</w:t>
      </w:r>
    </w:p>
    <w:p w:rsidR="004D7912" w:rsidRDefault="00CC0A06">
      <w:pPr>
        <w:spacing w:after="120" w:line="360" w:lineRule="auto"/>
        <w:jc w:val="both"/>
      </w:pPr>
      <w:r>
        <w:rPr>
          <w:b/>
          <w:bCs/>
        </w:rPr>
        <w:t>Summary of opportunities and threats.</w:t>
      </w:r>
      <w:r>
        <w:t xml:space="preserve"> The PESTEL and market-trend analyses yield the following list, which feeds the SWOT in Section 3.5.</w:t>
      </w:r>
    </w:p>
    <w:p w:rsidR="004D7912" w:rsidRDefault="00CC0A06">
      <w:pPr>
        <w:pStyle w:val="ListParagraph"/>
        <w:numPr>
          <w:ilvl w:val="0"/>
          <w:numId w:val="2"/>
        </w:numPr>
        <w:spacing w:after="40" w:line="300" w:lineRule="auto"/>
      </w:pPr>
      <w:r>
        <w:rPr>
          <w:b/>
          <w:bCs/>
        </w:rPr>
        <w:t>O1</w:t>
      </w:r>
      <w:r>
        <w:t xml:space="preserve"> AI-enabled personalisation and retail media (technological, market trend 4).</w:t>
      </w:r>
    </w:p>
    <w:p w:rsidR="004D7912" w:rsidRDefault="00CC0A06">
      <w:pPr>
        <w:pStyle w:val="ListParagraph"/>
        <w:numPr>
          <w:ilvl w:val="0"/>
          <w:numId w:val="2"/>
        </w:numPr>
        <w:spacing w:after="40" w:line="300" w:lineRule="auto"/>
      </w:pPr>
      <w:r>
        <w:rPr>
          <w:b/>
          <w:bCs/>
        </w:rPr>
        <w:t>O2</w:t>
      </w:r>
      <w:r>
        <w:t xml:space="preserve"> Growth in online and rapid delivery, supported by automation (technological, market trend 3).</w:t>
      </w:r>
    </w:p>
    <w:p w:rsidR="004D7912" w:rsidRDefault="00CC0A06">
      <w:pPr>
        <w:pStyle w:val="ListParagraph"/>
        <w:numPr>
          <w:ilvl w:val="0"/>
          <w:numId w:val="2"/>
        </w:numPr>
        <w:spacing w:after="40" w:line="300" w:lineRule="auto"/>
      </w:pPr>
      <w:r>
        <w:rPr>
          <w:b/>
          <w:bCs/>
        </w:rPr>
        <w:t>O3</w:t>
      </w:r>
      <w:r>
        <w:t xml:space="preserve"> Loyalty-led value for deal-seeking shoppers (economic, social, market trend 2).</w:t>
      </w:r>
    </w:p>
    <w:p w:rsidR="004D7912" w:rsidRDefault="00CC0A06">
      <w:pPr>
        <w:pStyle w:val="ListParagraph"/>
        <w:numPr>
          <w:ilvl w:val="0"/>
          <w:numId w:val="2"/>
        </w:numPr>
        <w:spacing w:after="40" w:line="300" w:lineRule="auto"/>
      </w:pPr>
      <w:r>
        <w:rPr>
          <w:b/>
          <w:bCs/>
        </w:rPr>
        <w:t>O4</w:t>
      </w:r>
      <w:r>
        <w:t xml:space="preserve"> Premium and healthier own-label products (social).</w:t>
      </w:r>
    </w:p>
    <w:p w:rsidR="004D7912" w:rsidRDefault="00CC0A06">
      <w:pPr>
        <w:pStyle w:val="ListParagraph"/>
        <w:numPr>
          <w:ilvl w:val="0"/>
          <w:numId w:val="2"/>
        </w:numPr>
        <w:spacing w:after="40" w:line="300" w:lineRule="auto"/>
      </w:pPr>
      <w:r>
        <w:rPr>
          <w:b/>
          <w:bCs/>
        </w:rPr>
        <w:t>O5</w:t>
      </w:r>
      <w:r>
        <w:t xml:space="preserve"> Sustainability leadership as a trust builder (environmental).</w:t>
      </w:r>
    </w:p>
    <w:p w:rsidR="004D7912" w:rsidRDefault="00CC0A06">
      <w:pPr>
        <w:pStyle w:val="ListParagraph"/>
        <w:numPr>
          <w:ilvl w:val="0"/>
          <w:numId w:val="2"/>
        </w:numPr>
        <w:spacing w:after="40" w:line="300" w:lineRule="auto"/>
      </w:pPr>
      <w:r>
        <w:rPr>
          <w:b/>
          <w:bCs/>
        </w:rPr>
        <w:t>T1</w:t>
      </w:r>
      <w:r>
        <w:t xml:space="preserve"> Discounter and online competition (market trend 1).</w:t>
      </w:r>
    </w:p>
    <w:p w:rsidR="004D7912" w:rsidRDefault="00CC0A06">
      <w:pPr>
        <w:pStyle w:val="ListParagraph"/>
        <w:numPr>
          <w:ilvl w:val="0"/>
          <w:numId w:val="2"/>
        </w:numPr>
        <w:spacing w:after="40" w:line="300" w:lineRule="auto"/>
      </w:pPr>
      <w:r>
        <w:rPr>
          <w:b/>
          <w:bCs/>
        </w:rPr>
        <w:t>T2</w:t>
      </w:r>
      <w:r>
        <w:t xml:space="preserve"> Cost inflation from tax, wages and packaging (political, environmental).</w:t>
      </w:r>
    </w:p>
    <w:p w:rsidR="004D7912" w:rsidRDefault="00CC0A06">
      <w:pPr>
        <w:pStyle w:val="ListParagraph"/>
        <w:numPr>
          <w:ilvl w:val="0"/>
          <w:numId w:val="2"/>
        </w:numPr>
        <w:spacing w:after="40" w:line="300" w:lineRule="auto"/>
      </w:pPr>
      <w:r>
        <w:rPr>
          <w:b/>
          <w:bCs/>
        </w:rPr>
        <w:t>T3</w:t>
      </w:r>
      <w:r>
        <w:t xml:space="preserve"> Macroeconomic and geopolitical uncertainty (economic).</w:t>
      </w:r>
    </w:p>
    <w:p w:rsidR="004D7912" w:rsidRDefault="00CC0A06">
      <w:pPr>
        <w:pStyle w:val="ListParagraph"/>
        <w:numPr>
          <w:ilvl w:val="0"/>
          <w:numId w:val="2"/>
        </w:numPr>
        <w:spacing w:after="40" w:line="300" w:lineRule="auto"/>
      </w:pPr>
      <w:r>
        <w:rPr>
          <w:b/>
          <w:bCs/>
        </w:rPr>
        <w:t>T4</w:t>
      </w:r>
      <w:r>
        <w:t xml:space="preserve"> Pricing, data and health regulation (legal).</w:t>
      </w:r>
    </w:p>
    <w:p w:rsidR="004D7912" w:rsidRDefault="00CC0A06">
      <w:pPr>
        <w:pStyle w:val="ListParagraph"/>
        <w:numPr>
          <w:ilvl w:val="0"/>
          <w:numId w:val="2"/>
        </w:numPr>
        <w:spacing w:after="40" w:line="300" w:lineRule="auto"/>
      </w:pPr>
      <w:r>
        <w:rPr>
          <w:b/>
          <w:bCs/>
        </w:rPr>
        <w:t>T5</w:t>
      </w:r>
      <w:r>
        <w:t xml:space="preserve"> Supply-chain, energy and climate shocks (environmental).</w:t>
      </w:r>
    </w:p>
    <w:p w:rsidR="004D7912" w:rsidRDefault="00CC0A06">
      <w:pPr>
        <w:pStyle w:val="Heading3"/>
        <w:keepNext/>
      </w:pPr>
      <w:r>
        <w:t>3.3 Competitive positioning: Bowman’s Strategic Clock</w:t>
      </w:r>
    </w:p>
    <w:p w:rsidR="004D7912" w:rsidRDefault="00CC0A06">
      <w:pPr>
        <w:spacing w:after="120" w:line="360" w:lineRule="auto"/>
        <w:jc w:val="both"/>
      </w:pPr>
      <w:r>
        <w:t xml:space="preserve">Bowman’s Strategic Clock classifies competitive strategies by the price a customer pays and the added value they perceive, and an organisation normally occupies one route (Bowman and </w:t>
      </w:r>
      <w:r>
        <w:lastRenderedPageBreak/>
        <w:t xml:space="preserve">Faulkner, 1997; Whittington </w:t>
      </w:r>
      <w:r>
        <w:rPr>
          <w:i/>
          <w:iCs/>
        </w:rPr>
        <w:t>et al.</w:t>
      </w:r>
      <w:r>
        <w:t xml:space="preserve">, 2020). </w:t>
      </w:r>
      <w:r>
        <w:rPr>
          <w:b/>
          <w:bCs/>
        </w:rPr>
        <w:t>Tesco currently occupies Route 3, the hybrid strategy</w:t>
      </w:r>
      <w:r>
        <w:t>, and this report recommends that it stays there rather than shifting (Figure 2).</w:t>
      </w:r>
    </w:p>
    <w:p w:rsidR="004D7912" w:rsidRDefault="00CC0A06">
      <w:pPr>
        <w:keepNext/>
        <w:spacing w:before="120" w:after="60"/>
        <w:jc w:val="center"/>
      </w:pPr>
      <w:r>
        <w:rPr>
          <w:noProof/>
        </w:rPr>
        <w:drawing>
          <wp:inline distT="0" distB="0" distL="0" distR="0">
            <wp:extent cx="5143500" cy="3695700"/>
            <wp:effectExtent l="0" t="0" r="0" b="0"/>
            <wp:docPr id="3" name="fig2.png" descr="Figure" title="fi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143500" cy="3695700"/>
                    </a:xfrm>
                    <a:prstGeom prst="rect">
                      <a:avLst/>
                    </a:prstGeom>
                  </pic:spPr>
                </pic:pic>
              </a:graphicData>
            </a:graphic>
          </wp:inline>
        </w:drawing>
      </w:r>
    </w:p>
    <w:p w:rsidR="004D7912" w:rsidRDefault="00CC0A06">
      <w:pPr>
        <w:keepNext/>
        <w:spacing w:before="160" w:after="80"/>
      </w:pPr>
      <w:r>
        <w:rPr>
          <w:b/>
          <w:bCs/>
          <w:sz w:val="22"/>
          <w:szCs w:val="22"/>
        </w:rPr>
        <w:t>Figure 2: Tesco’s position on Bowman’s Strategic Clock</w:t>
      </w:r>
    </w:p>
    <w:p w:rsidR="004D7912" w:rsidRDefault="00CC0A06">
      <w:pPr>
        <w:spacing w:before="60" w:after="200"/>
      </w:pPr>
      <w:r>
        <w:rPr>
          <w:i/>
          <w:iCs/>
          <w:sz w:val="19"/>
          <w:szCs w:val="19"/>
        </w:rPr>
        <w:t>Source: author’s judgement, based on Bowman and Faulkner (1997) and the evidence in this section. Positions are qualitative.</w:t>
      </w:r>
    </w:p>
    <w:p w:rsidR="004D7912" w:rsidRDefault="00CC0A06">
      <w:pPr>
        <w:spacing w:after="120" w:line="360" w:lineRule="auto"/>
        <w:jc w:val="both"/>
      </w:pPr>
      <w:r>
        <w:rPr>
          <w:i/>
          <w:iCs/>
        </w:rPr>
        <w:t>Evidence for Route 3.</w:t>
      </w:r>
      <w:r>
        <w:t xml:space="preserve"> On price, Tesco tripled Everyday Low Prices from 1,000 to 3,000 lines, offers Clubcard Prices on over 10,000 products and matches Aldi on over 600 lines (Tesco PLC, 2026a); in Q1 2026/27 Aldi Price Match was extended to over 2,000 Express stores (Tesco PLC, 2026c). On differentiation, Finest sales reached £3bn (+15%), 100% of active Clubcard customers’ home-shopping journeys are personalised, and Whoosh reaches 73% of households (Tesco PLC, 2026a). Customers recognise the combination: Tesco’s Which? customer score of 76% in-store equals Aldi’s and exceeds Sainsbury’s (73%), Asda (68%) and Morrisons (68%), and its online score of 81% matches Waitrose’s (2026).</w:t>
      </w:r>
    </w:p>
    <w:p w:rsidR="004D7912" w:rsidRDefault="00CC0A06">
      <w:pPr>
        <w:spacing w:after="120" w:line="360" w:lineRule="auto"/>
        <w:jc w:val="both"/>
      </w:pPr>
      <w:r>
        <w:rPr>
          <w:i/>
          <w:iCs/>
        </w:rPr>
        <w:t>Why not shift?</w:t>
      </w:r>
      <w:r>
        <w:t xml:space="preserve"> A move down to Route 2 would put Tesco in direct competition with Aldi and Lidl, whose growth shows the pressure but whose cost models Tesco cannot match on a 4.3% margin (Tesco PLC, 2026a; Worldpanel by Numerator, 2026b). A move up to Routes 4 or 5 would cede mass-market volume to rivals; Waitrose, for example, holds only a 4.5% share (Worldpanel by Numerator, 2026b). The hybrid route is sustainable only if scale lowers costs enough to fund both price and service (Whittington </w:t>
      </w:r>
      <w:r>
        <w:rPr>
          <w:i/>
          <w:iCs/>
        </w:rPr>
        <w:t>et al.</w:t>
      </w:r>
      <w:r>
        <w:t xml:space="preserve">, 2020). Tesco’s Save to Invest </w:t>
      </w:r>
      <w:r>
        <w:lastRenderedPageBreak/>
        <w:t>programme delivered £535m of savings in 2025/26 (Investing.com, 2026), which is the mechanism that finances the hybrid. The risk is being “stuck in the middle”: if value-for-money scores (three stars) or service reliability slip, Tesco could be undercut on price and outclassed on service. This is why the recommendations focus on service reliability and price transparency rather than on a repositioning.</w:t>
      </w:r>
    </w:p>
    <w:p w:rsidR="004D7912" w:rsidRDefault="00CC0A06">
      <w:pPr>
        <w:spacing w:after="120" w:line="360" w:lineRule="auto"/>
        <w:jc w:val="both"/>
      </w:pPr>
      <w:r>
        <w:rPr>
          <w:i/>
          <w:iCs/>
        </w:rPr>
        <w:t>Critical evaluation of the hybrid route.</w:t>
      </w:r>
      <w:r>
        <w:t xml:space="preserve"> The literature does not unambiguously favour hybrids. A study of 2,351 businesses in four sectors, including retail, found that pure strategies performed at least as well as hybrids and often better (Thornhill and White, 2007), so Tesco’s position is not self-evidently safe. That study covers several sectors rather than grocery and was published in 2007, so it may not transfer fully to a grocer facing Aldi, Lidl and online specialists today. Two arguments support a conditional judgement in favour of staying hybrid: Tesco’s scale gives it a cost base that smaller rivals lack (Table 3), and its measured customer scores equal the discounters’ (2026). Against this, a 4.3% margin and Lidl’s growth show the hybrid is under stress. The judgement is therefore conditional: Tesco should remain on Route 3 while Save to Invest savings continue to fund price and service and share is stable. If margin falls below the guided range without share gains, a more cost-led repositioning should be reconsidered (Hypothesis H4, Section 3.13).</w:t>
      </w:r>
    </w:p>
    <w:p w:rsidR="004D7912" w:rsidRDefault="00CC0A06">
      <w:pPr>
        <w:pStyle w:val="Heading2"/>
        <w:keepNext/>
      </w:pPr>
      <w:r>
        <w:t>B. Internal Analysis</w:t>
      </w:r>
    </w:p>
    <w:p w:rsidR="004D7912" w:rsidRDefault="00CC0A06">
      <w:pPr>
        <w:pStyle w:val="Heading3"/>
        <w:keepNext/>
      </w:pPr>
      <w:r>
        <w:t>3.4 Resources and capabilities: VRIO analysis</w:t>
      </w:r>
    </w:p>
    <w:p w:rsidR="004D7912" w:rsidRDefault="00CC0A06">
      <w:pPr>
        <w:spacing w:after="120" w:line="360" w:lineRule="auto"/>
        <w:jc w:val="both"/>
      </w:pPr>
      <w:r>
        <w:t>The resource-based view holds that advantage comes from resources that are valuable, rare, costly to imitate and exploited by the organisation (Barney, 1991; 1995). The five resources in Table 3 were selected because they are the ones Tesco must rely on to exploit opportunities O1–O3 and defend against threats T1 and T2. Ratings are the author’s judgement based on the cited evidence.</w:t>
      </w:r>
    </w:p>
    <w:p w:rsidR="004D7912" w:rsidRDefault="00CC0A06">
      <w:pPr>
        <w:keepNext/>
        <w:spacing w:before="160" w:after="80"/>
      </w:pPr>
      <w:r>
        <w:rPr>
          <w:b/>
          <w:bCs/>
          <w:sz w:val="22"/>
          <w:szCs w:val="22"/>
        </w:rPr>
        <w:t>Table 3: VRIO analysis of selected Tesco resources</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740"/>
        <w:gridCol w:w="740"/>
        <w:gridCol w:w="740"/>
        <w:gridCol w:w="740"/>
        <w:gridCol w:w="3167"/>
      </w:tblGrid>
      <w:tr w:rsidR="004D7912">
        <w:tblPrEx>
          <w:tblCellMar>
            <w:top w:w="0" w:type="dxa"/>
            <w:bottom w:w="0" w:type="dxa"/>
          </w:tblCellMar>
        </w:tblPrEx>
        <w:trPr>
          <w:cantSplit/>
          <w:tblHeader/>
        </w:trPr>
        <w:tc>
          <w:tcPr>
            <w:tcW w:w="29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Resource and evidence</w:t>
            </w:r>
          </w:p>
        </w:tc>
        <w:tc>
          <w:tcPr>
            <w:tcW w:w="74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jc w:val="center"/>
            </w:pPr>
            <w:r>
              <w:rPr>
                <w:b/>
                <w:bCs/>
                <w:sz w:val="19"/>
                <w:szCs w:val="19"/>
              </w:rPr>
              <w:t>V</w:t>
            </w:r>
          </w:p>
        </w:tc>
        <w:tc>
          <w:tcPr>
            <w:tcW w:w="74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jc w:val="center"/>
            </w:pPr>
            <w:r>
              <w:rPr>
                <w:b/>
                <w:bCs/>
                <w:sz w:val="19"/>
                <w:szCs w:val="19"/>
              </w:rPr>
              <w:t>R</w:t>
            </w:r>
          </w:p>
        </w:tc>
        <w:tc>
          <w:tcPr>
            <w:tcW w:w="74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jc w:val="center"/>
            </w:pPr>
            <w:r>
              <w:rPr>
                <w:b/>
                <w:bCs/>
                <w:sz w:val="19"/>
                <w:szCs w:val="19"/>
              </w:rPr>
              <w:t>I</w:t>
            </w:r>
          </w:p>
        </w:tc>
        <w:tc>
          <w:tcPr>
            <w:tcW w:w="74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jc w:val="center"/>
            </w:pPr>
            <w:r>
              <w:rPr>
                <w:b/>
                <w:bCs/>
                <w:sz w:val="19"/>
                <w:szCs w:val="19"/>
              </w:rPr>
              <w:t>O</w:t>
            </w:r>
          </w:p>
        </w:tc>
        <w:tc>
          <w:tcPr>
            <w:tcW w:w="316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Competitive implication and link</w:t>
            </w:r>
          </w:p>
        </w:tc>
      </w:tr>
      <w:tr w:rsidR="004D7912">
        <w:tblPrEx>
          <w:tblCellMar>
            <w:top w:w="0" w:type="dxa"/>
            <w:bottom w:w="0" w:type="dxa"/>
          </w:tblCellMar>
        </w:tblPrEx>
        <w:trPr>
          <w:cantSplit/>
        </w:trPr>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Clubcard data and analytics. 100% of active Clubcard customers’ home-shopping journeys personalised; personalised coupons reach over 9m customers; </w:t>
            </w:r>
            <w:proofErr w:type="spellStart"/>
            <w:r>
              <w:rPr>
                <w:sz w:val="19"/>
                <w:szCs w:val="19"/>
              </w:rPr>
              <w:t>dunnhumby</w:t>
            </w:r>
            <w:proofErr w:type="spellEnd"/>
            <w:r>
              <w:rPr>
                <w:sz w:val="19"/>
                <w:szCs w:val="19"/>
              </w:rPr>
              <w:t xml:space="preserve"> has over 400 data scientists (Tesco PLC, 2026a). Sainsbury’s runs a rival Nectar scheme (ITV News, 2023).</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Partly</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316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Sustained advantage. Rivals have loyalty schemes, but Tesco’s data history and analytics integration are hard to copy (</w:t>
            </w:r>
            <w:proofErr w:type="spellStart"/>
            <w:r>
              <w:rPr>
                <w:sz w:val="19"/>
                <w:szCs w:val="19"/>
              </w:rPr>
              <w:t>Humby</w:t>
            </w:r>
            <w:proofErr w:type="spellEnd"/>
            <w:r>
              <w:rPr>
                <w:sz w:val="19"/>
                <w:szCs w:val="19"/>
              </w:rPr>
              <w:t>, Hunt and Phillips, 2007). Exploits O1, O3; counters T1.</w:t>
            </w:r>
          </w:p>
        </w:tc>
      </w:tr>
      <w:tr w:rsidR="004D7912">
        <w:tblPrEx>
          <w:tblCellMar>
            <w:top w:w="0" w:type="dxa"/>
            <w:bottom w:w="0" w:type="dxa"/>
          </w:tblCellMar>
        </w:tblPrEx>
        <w:trPr>
          <w:cantSplit/>
        </w:trPr>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lastRenderedPageBreak/>
              <w:t>Scale and buying power. £66.6bn group sales; 28.5% UK share against a next-largest rival share of 15.2%; ranked first in the Advantage supplier survey for the tenth consecutive year (Tesco PLC, 2026a; Worldpanel by Numerator, 2026b).</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316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Sustained advantage. Funds price investment through Save to Invest (£535m) (Investing.com, 2026). Counters T1, T2.</w:t>
            </w:r>
          </w:p>
        </w:tc>
      </w:tr>
      <w:tr w:rsidR="004D7912">
        <w:tblPrEx>
          <w:tblCellMar>
            <w:top w:w="0" w:type="dxa"/>
            <w:bottom w:w="0" w:type="dxa"/>
          </w:tblCellMar>
        </w:tblPrEx>
        <w:trPr>
          <w:cantSplit/>
        </w:trPr>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Omnichannel and distribution infrastructure. UK online sales £7.5bn; Whoosh in 73% of households; new semi-automated Aylesford distribution centre and a London Gateway centre due in 2029 (Tesco PLC, 2026a; 2026b).</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Partly</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Partly</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316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Temporary advantage. Capital-intensive but replicable; Ocado is growing faster (Worldpanel by Numerator, 2026b). Exploits O2.</w:t>
            </w:r>
          </w:p>
        </w:tc>
      </w:tr>
      <w:tr w:rsidR="004D7912">
        <w:tblPrEx>
          <w:tblCellMar>
            <w:top w:w="0" w:type="dxa"/>
            <w:bottom w:w="0" w:type="dxa"/>
          </w:tblCellMar>
        </w:tblPrEx>
        <w:trPr>
          <w:cantSplit/>
        </w:trPr>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Brand trust and service reputation. NPS up year on year; Which? customer scores of 76% in-store and 81% online (Tesco PLC, 2026c; </w:t>
            </w:r>
            <w:proofErr w:type="gramStart"/>
            <w:r>
              <w:rPr>
                <w:sz w:val="19"/>
                <w:szCs w:val="19"/>
              </w:rPr>
              <w:t>Which?,</w:t>
            </w:r>
            <w:proofErr w:type="gramEnd"/>
            <w:r>
              <w:rPr>
                <w:sz w:val="19"/>
                <w:szCs w:val="19"/>
              </w:rPr>
              <w:t xml:space="preserve"> 2026).</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No</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Partly</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316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Competitive parity. Aldi matches the in-store score (</w:t>
            </w:r>
            <w:proofErr w:type="gramStart"/>
            <w:r>
              <w:rPr>
                <w:sz w:val="19"/>
                <w:szCs w:val="19"/>
              </w:rPr>
              <w:t>Which?,</w:t>
            </w:r>
            <w:proofErr w:type="gramEnd"/>
            <w:r>
              <w:rPr>
                <w:sz w:val="19"/>
                <w:szCs w:val="19"/>
              </w:rPr>
              <w:t xml:space="preserve"> 2026). Must be defended through reliability. Links to T1.</w:t>
            </w:r>
          </w:p>
        </w:tc>
      </w:tr>
      <w:tr w:rsidR="004D7912">
        <w:tblPrEx>
          <w:tblCellMar>
            <w:top w:w="0" w:type="dxa"/>
            <w:bottom w:w="0" w:type="dxa"/>
          </w:tblCellMar>
        </w:tblPrEx>
        <w:trPr>
          <w:cantSplit/>
        </w:trPr>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Colleagues and culture. Over 340,000 colleagues; 82% would recommend Tesco as a place to work; £65m performance award (Tesco PLC, 2026a; 2026b).</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Partly</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Partly</w:t>
            </w:r>
          </w:p>
        </w:tc>
        <w:tc>
          <w:tcPr>
            <w:tcW w:w="74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Yes</w:t>
            </w:r>
          </w:p>
        </w:tc>
        <w:tc>
          <w:tcPr>
            <w:tcW w:w="316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Potential advantage if service is consistent across formats; convenience like-for-like growth of 0.3% shows the gap. Supports O1, O2.</w:t>
            </w:r>
          </w:p>
        </w:tc>
      </w:tr>
    </w:tbl>
    <w:p w:rsidR="004D7912" w:rsidRDefault="00CC0A06">
      <w:pPr>
        <w:spacing w:before="60" w:after="200"/>
      </w:pPr>
      <w:r>
        <w:rPr>
          <w:i/>
          <w:iCs/>
          <w:sz w:val="19"/>
          <w:szCs w:val="19"/>
        </w:rPr>
        <w:t>Source: author’s assessment, based on the evidence cited in the table. V = valuable, R = rare, I = costly to imitate, O = organised to exploit.</w:t>
      </w:r>
    </w:p>
    <w:p w:rsidR="004D7912" w:rsidRDefault="00CC0A06">
      <w:pPr>
        <w:spacing w:after="120" w:line="360" w:lineRule="auto"/>
        <w:jc w:val="both"/>
      </w:pPr>
      <w:r>
        <w:t xml:space="preserve">Together, data, scale and logistics form Tesco’s core competence, because they open access to a wide range of customer needs, deliver visible customer benefit and are difficult for competitors to imitate (Prahalad and Hamel, 1990). Agility depends on how fast Tesco reconfigures these assets, which Teece, Pisano and </w:t>
      </w:r>
      <w:proofErr w:type="spellStart"/>
      <w:r>
        <w:t>Shuen</w:t>
      </w:r>
      <w:proofErr w:type="spellEnd"/>
      <w:r>
        <w:t xml:space="preserve"> (1997) call dynamic capability. The evidence suggests Tesco has a test-and-scale pattern: Whoosh moved from pilot to 73% household coverage and 34 further large stores were added in Q1 2026/27 (Tesco PLC, 2026a; 2026c), and “Your Clubcard Prices” launched to 1.5m customers in March 2026 and had delivered nearly 100 million tailored offers by the end of Q1 (Tesco PLC, 2026a; 2026c). This is consistent with agile principles of iterating in short cycles and scaling what works (Rigby, Sutherland and Takeuchi, 2016).</w:t>
      </w:r>
    </w:p>
    <w:p w:rsidR="004D7912" w:rsidRDefault="00CC0A06">
      <w:pPr>
        <w:spacing w:after="120" w:line="360" w:lineRule="auto"/>
        <w:jc w:val="both"/>
      </w:pPr>
      <w:r>
        <w:rPr>
          <w:i/>
          <w:iCs/>
        </w:rPr>
        <w:t>Limits of the VRIO analysis.</w:t>
      </w:r>
      <w:r>
        <w:t xml:space="preserve"> A critical review identifies 13 criticisms of VRIO and argues that resources are easier to measure than capabilities, which may have inflated the framework’s standing (El </w:t>
      </w:r>
      <w:proofErr w:type="spellStart"/>
      <w:r>
        <w:t>Shafeey</w:t>
      </w:r>
      <w:proofErr w:type="spellEnd"/>
      <w:r>
        <w:t xml:space="preserve"> and Trott, 2014). The ratings in Table 3 are therefore snapshots based on judgement, not measurements. Agility research likewise describes agility as a bundle of interrelated dynamic capabilities enabled by IT, AI and data, culture and leadership (Asghar, </w:t>
      </w:r>
      <w:proofErr w:type="spellStart"/>
      <w:r>
        <w:lastRenderedPageBreak/>
        <w:t>Kanbach</w:t>
      </w:r>
      <w:proofErr w:type="spellEnd"/>
      <w:r>
        <w:t xml:space="preserve"> and Kraus, 2025), and finds the construct itself poorly defined (Walter, 2021). Tesco’s pilot-to-scale record is therefore treated as indicative evidence of agility, not proof of it.</w:t>
      </w:r>
    </w:p>
    <w:p w:rsidR="004D7912" w:rsidRDefault="00CC0A06">
      <w:pPr>
        <w:pStyle w:val="Heading2"/>
        <w:keepNext/>
      </w:pPr>
      <w:r>
        <w:t>C. SWOT and TOWS Analysis</w:t>
      </w:r>
    </w:p>
    <w:p w:rsidR="004D7912" w:rsidRDefault="00CC0A06">
      <w:pPr>
        <w:pStyle w:val="Heading3"/>
        <w:keepNext/>
      </w:pPr>
      <w:r>
        <w:t>3.5 SWOT analysis</w:t>
      </w:r>
    </w:p>
    <w:p w:rsidR="004D7912" w:rsidRDefault="00CC0A06">
      <w:pPr>
        <w:spacing w:after="120" w:line="360" w:lineRule="auto"/>
        <w:jc w:val="both"/>
      </w:pPr>
      <w:r>
        <w:t>The SWOT is placed after the external and internal analyses because it synthesises both: strengths and weaknesses come from the VRIO and performance evidence above, and opportunities and threats come directly from the PESTEL and market-trend analysis (O1–O5 and T1–T5). The context is Tesco’s aim of sustaining customer-care-led advantage on the hybrid route between 2026 and 2029.</w:t>
      </w:r>
    </w:p>
    <w:p w:rsidR="004D7912" w:rsidRDefault="00CC0A06">
      <w:pPr>
        <w:keepNext/>
        <w:spacing w:before="160" w:after="80"/>
      </w:pPr>
      <w:r>
        <w:rPr>
          <w:b/>
          <w:bCs/>
          <w:sz w:val="22"/>
          <w:szCs w:val="22"/>
        </w:rPr>
        <w:t>Table 4: SWOT analysis of Tesco</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4"/>
      </w:tblGrid>
      <w:tr w:rsidR="004D7912">
        <w:tblPrEx>
          <w:tblCellMar>
            <w:top w:w="0" w:type="dxa"/>
            <w:bottom w:w="0" w:type="dxa"/>
          </w:tblCellMar>
        </w:tblPrEx>
        <w:trPr>
          <w:cantSplit/>
          <w:tblHeader/>
        </w:trPr>
        <w:tc>
          <w:tcPr>
            <w:tcW w:w="4513"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Strengths (internal)</w:t>
            </w:r>
          </w:p>
        </w:tc>
        <w:tc>
          <w:tcPr>
            <w:tcW w:w="4514"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Weaknesses (internal)</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S1 Scale and share. 28.5% UK share, £66.6bn group sales, 3,724 stores (Tesco PLC, 2026a; 2026b).</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W1 Price perception outside Clubcard. Three stars for value for money (2026). In a 2023 Which? sample, 24% of 70 Tesco Clubcard Prices had a “regular” price for under half of the prior six months, which Tesco disputed (ITV News, 2023).</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S2 Clubcard data and personalisation. 100% of active Clubcard customers’ home-shopping journeys personalised; nearly 100m tailored offers since March 2026 (Tesco PLC, 2026a; 2026c).</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W2 Inconsistent service across formats. Large-store like-for-like sales +3.9% against convenience +0.3% (Tesco PLC, 2026a); Booker core retail −1.5% in Q1 (Tesco PLC, 2026c); three stars for queueing, self-scanning and online substitutions (2026).</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S3 Customer perception. Which? scores of 76% in-store and 81% online; brand NPS up six points (2026; Tesco PLC, 2026c).</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W3 Thin margin. 4.3%, down 12bps, limits room for price investment (Tesco PLC, 2026a).</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S4 Omnichannel reach. £7.5bn UK online sales; Whoosh in 73% of households; 834k Delivery Saver subscribers (Tesco PLC, 2026a; 2026b).</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W4 UK dependence and international drag. The UK is about 75% of group sales (£49.8bn of £66.6bn, author’s calculation); a £53m impairment was taken in Slovakia (Tesco PLC, 2026a).</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S5 Financial capacity. Free cash flow of £1,957m and about £1.6bn planned capex (Tesco PLC, 2026a).</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W5 Slowing momentum. Group like-for-like growth of 1.0% in Q1, partly against strong comparatives (Tesco PLC, 2026c).</w:t>
            </w:r>
          </w:p>
        </w:tc>
      </w:tr>
    </w:tbl>
    <w:p w:rsidR="004D7912" w:rsidRDefault="004D7912">
      <w:pPr>
        <w:spacing w:line="120" w:lineRule="auto"/>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4"/>
      </w:tblGrid>
      <w:tr w:rsidR="004D7912">
        <w:tblPrEx>
          <w:tblCellMar>
            <w:top w:w="0" w:type="dxa"/>
            <w:bottom w:w="0" w:type="dxa"/>
          </w:tblCellMar>
        </w:tblPrEx>
        <w:trPr>
          <w:cantSplit/>
          <w:tblHeader/>
        </w:trPr>
        <w:tc>
          <w:tcPr>
            <w:tcW w:w="4513"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Opportunities (external)</w:t>
            </w:r>
          </w:p>
        </w:tc>
        <w:tc>
          <w:tcPr>
            <w:tcW w:w="4514"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Threats (external)</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O1 AI-enabled personalisation and retail media (Tesco Media: over 800 brands).</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T1 Discounter and online competition (Lidl +8.0%, Ocado +13.3%).</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O2 Online and rapid delivery growth (Whoosh +51%; UK online +11.2%).</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T2 Cost inflation (National Insurance, National Living Wage, EPR).</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O3 Loyalty-led value for deal-seeking shoppers (promotions 31.3% of spend).</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T3 Macroeconomic and geopolitical uncertainty (CPI 3.1%; Bank Rate 3.75%).</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O4 Premium and healthier own-label (Finest +15%).</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T4 Pricing, data and health regulation (CMA fines up to 10% of turnover).</w:t>
            </w:r>
          </w:p>
        </w:tc>
      </w:tr>
      <w:tr w:rsidR="004D7912">
        <w:tblPrEx>
          <w:tblCellMar>
            <w:top w:w="0" w:type="dxa"/>
            <w:bottom w:w="0" w:type="dxa"/>
          </w:tblCellMar>
        </w:tblPrEx>
        <w:trPr>
          <w:cantSplit/>
        </w:trPr>
        <w:tc>
          <w:tcPr>
            <w:tcW w:w="4513"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O5 Sustainability leadership (Scope 1 and 2 down 68%).</w:t>
            </w:r>
          </w:p>
        </w:tc>
        <w:tc>
          <w:tcPr>
            <w:tcW w:w="4514"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T5 Supply-chain, energy and climate shocks.</w:t>
            </w:r>
          </w:p>
        </w:tc>
      </w:tr>
    </w:tbl>
    <w:p w:rsidR="004D7912" w:rsidRDefault="00CC0A06">
      <w:pPr>
        <w:spacing w:before="60" w:after="200"/>
      </w:pPr>
      <w:r>
        <w:rPr>
          <w:i/>
          <w:iCs/>
          <w:sz w:val="19"/>
          <w:szCs w:val="19"/>
        </w:rPr>
        <w:lastRenderedPageBreak/>
        <w:t>Source: author’s synthesis of Sections 3.1 to 3.4 and the sources cited. Evidence for O and T items is in Table 2 and Section 3.1.</w:t>
      </w:r>
    </w:p>
    <w:p w:rsidR="004D7912" w:rsidRDefault="00CC0A06">
      <w:pPr>
        <w:pStyle w:val="Heading3"/>
        <w:keepNext/>
      </w:pPr>
      <w:r>
        <w:t>3.6 TOWS: linking strengths and weaknesses to opportunities and threats</w:t>
      </w:r>
    </w:p>
    <w:p w:rsidR="004D7912" w:rsidRDefault="00CC0A06">
      <w:pPr>
        <w:spacing w:after="120" w:line="360" w:lineRule="auto"/>
        <w:jc w:val="both"/>
      </w:pPr>
      <w:r>
        <w:t xml:space="preserve">The TOWS matrix turns the SWOT into strategic options by pairing internal factors with external ones (1982). Table 5 shows how each pairing </w:t>
      </w:r>
      <w:proofErr w:type="gramStart"/>
      <w:r>
        <w:t>leads</w:t>
      </w:r>
      <w:proofErr w:type="gramEnd"/>
      <w:r>
        <w:t xml:space="preserve"> to a recommendation in Section 5.</w:t>
      </w:r>
    </w:p>
    <w:p w:rsidR="004D7912" w:rsidRDefault="00CC0A06">
      <w:pPr>
        <w:keepNext/>
        <w:spacing w:before="160" w:after="80"/>
      </w:pPr>
      <w:r>
        <w:rPr>
          <w:b/>
          <w:bCs/>
          <w:sz w:val="22"/>
          <w:szCs w:val="22"/>
        </w:rPr>
        <w:t>Table 5: TOWS matrix and links to recommendations</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5527"/>
        <w:gridCol w:w="2000"/>
      </w:tblGrid>
      <w:tr w:rsidR="004D7912">
        <w:tblPrEx>
          <w:tblCellMar>
            <w:top w:w="0" w:type="dxa"/>
            <w:bottom w:w="0" w:type="dxa"/>
          </w:tblCellMar>
        </w:tblPrEx>
        <w:trPr>
          <w:cantSplit/>
          <w:tblHeader/>
        </w:trPr>
        <w:tc>
          <w:tcPr>
            <w:tcW w:w="15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Pairing</w:t>
            </w:r>
          </w:p>
        </w:tc>
        <w:tc>
          <w:tcPr>
            <w:tcW w:w="55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Strategic option</w:t>
            </w:r>
          </w:p>
        </w:tc>
        <w:tc>
          <w:tcPr>
            <w:tcW w:w="20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Recommendation</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SO: strengths exploit opportunities</w:t>
            </w:r>
          </w:p>
        </w:tc>
        <w:tc>
          <w:tcPr>
            <w:tcW w:w="55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Use Clubcard data and scale (S1, S2) to extend AI personalisation and a customer assistant (O1), and to scale online and rapid delivery (O2).</w:t>
            </w:r>
          </w:p>
        </w:tc>
        <w:tc>
          <w:tcPr>
            <w:tcW w:w="2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R1, R4</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WO: opportunities offset weaknesses</w:t>
            </w:r>
          </w:p>
        </w:tc>
        <w:tc>
          <w:tcPr>
            <w:tcW w:w="55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Use AI routing, automation and shelf-edge technology (O1, O2) to fix inconsistent service across formats (W2).</w:t>
            </w:r>
          </w:p>
        </w:tc>
        <w:tc>
          <w:tcPr>
            <w:tcW w:w="2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R2, R4</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ST: strengths counter threats</w:t>
            </w:r>
          </w:p>
        </w:tc>
        <w:tc>
          <w:tcPr>
            <w:tcW w:w="55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Use scale, data and the hybrid proposition (S1, S2, S4) to defend against Lidl and Ocado (T1) through a unified membership and loyalty-led pricing (O3).</w:t>
            </w:r>
          </w:p>
        </w:tc>
        <w:tc>
          <w:tcPr>
            <w:tcW w:w="2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R3</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WT: minimise weaknesses and avoid threats</w:t>
            </w:r>
          </w:p>
        </w:tc>
        <w:tc>
          <w:tcPr>
            <w:tcW w:w="55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Address price perception and thin margin (W1, W3) in the face of cost inflation and regulation (T2, T4) through transparency, savings and agile governance.</w:t>
            </w:r>
          </w:p>
        </w:tc>
        <w:tc>
          <w:tcPr>
            <w:tcW w:w="2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R5, R6</w:t>
            </w:r>
          </w:p>
        </w:tc>
      </w:tr>
    </w:tbl>
    <w:p w:rsidR="004D7912" w:rsidRDefault="00CC0A06">
      <w:pPr>
        <w:spacing w:before="60" w:after="200"/>
      </w:pPr>
      <w:r>
        <w:rPr>
          <w:i/>
          <w:iCs/>
          <w:sz w:val="19"/>
          <w:szCs w:val="19"/>
        </w:rPr>
        <w:t>Source: author’s analysis, following (1982).</w:t>
      </w:r>
    </w:p>
    <w:p w:rsidR="004D7912" w:rsidRDefault="00CC0A06">
      <w:pPr>
        <w:pStyle w:val="Heading2"/>
        <w:keepNext/>
      </w:pPr>
      <w:r>
        <w:t>D. Customer Care Focus</w:t>
      </w:r>
    </w:p>
    <w:p w:rsidR="004D7912" w:rsidRDefault="00CC0A06">
      <w:pPr>
        <w:pStyle w:val="Heading3"/>
        <w:keepNext/>
      </w:pPr>
      <w:r>
        <w:t>3.7 Customer care performance: what Tesco does and where it falls short</w:t>
      </w:r>
    </w:p>
    <w:p w:rsidR="004D7912" w:rsidRDefault="00CC0A06">
      <w:pPr>
        <w:spacing w:after="120" w:line="360" w:lineRule="auto"/>
        <w:jc w:val="both"/>
      </w:pPr>
      <w:r>
        <w:rPr>
          <w:b/>
          <w:bCs/>
        </w:rPr>
        <w:t>Personalisation and Clubcard.</w:t>
      </w:r>
      <w:r>
        <w:t xml:space="preserve"> Loyalty programmes can raise purchasing and retention when rewards are relevant to the customer (</w:t>
      </w:r>
      <w:proofErr w:type="spellStart"/>
      <w:r>
        <w:t>Dorotic</w:t>
      </w:r>
      <w:proofErr w:type="spellEnd"/>
      <w:r>
        <w:t xml:space="preserve">, </w:t>
      </w:r>
      <w:proofErr w:type="spellStart"/>
      <w:r>
        <w:t>Bijmolt</w:t>
      </w:r>
      <w:proofErr w:type="spellEnd"/>
      <w:r>
        <w:t xml:space="preserve"> and </w:t>
      </w:r>
      <w:proofErr w:type="spellStart"/>
      <w:r>
        <w:t>Verhoef</w:t>
      </w:r>
      <w:proofErr w:type="spellEnd"/>
      <w:r>
        <w:t>, 2012). Tesco’s Clubcard Prices deliver an average annual saving of £404 per customer, and more than 7 million customers receive personalised coupons every two weeks (Tesco PLC, 2026b). “Your Clubcard Prices” reached 1.5m customers at its March 2026 launch, compared with personalised coupons that reach over 9m (Tesco PLC, 2026a), which indicates room to scale. The weaker link is trust in the price. Which? scored Tesco three stars for value for money (2026), and its 2023 analysis questioned how some Clubcard “regular” prices were set (ITV News, 2023). Since April 2025 the CMA can fine misleading pricing directly (RPC, 2025). Personalisation is therefore mature, but price transparency is the vulnerable part.</w:t>
      </w:r>
    </w:p>
    <w:p w:rsidR="004D7912" w:rsidRDefault="00CC0A06">
      <w:pPr>
        <w:spacing w:after="120" w:line="360" w:lineRule="auto"/>
        <w:jc w:val="both"/>
      </w:pPr>
      <w:r>
        <w:rPr>
          <w:i/>
          <w:iCs/>
        </w:rPr>
        <w:t>What the research suggests.</w:t>
      </w:r>
      <w:r>
        <w:t xml:space="preserve"> Evidence on grocery loyalty is mixed. In online grocery, personalised price promotions cushion the loyalty damage caused by shoppers’ perceived effort, whereas personalised product recommendations do not (</w:t>
      </w:r>
      <w:proofErr w:type="spellStart"/>
      <w:r>
        <w:t>Hallikainen</w:t>
      </w:r>
      <w:proofErr w:type="spellEnd"/>
      <w:r>
        <w:t xml:space="preserve"> </w:t>
      </w:r>
      <w:r>
        <w:rPr>
          <w:i/>
          <w:iCs/>
        </w:rPr>
        <w:t>et al.</w:t>
      </w:r>
      <w:r>
        <w:t xml:space="preserve">, 2022). A study of a Portuguese supermarket card found that savings and convenience drive perceived </w:t>
      </w:r>
      <w:r>
        <w:lastRenderedPageBreak/>
        <w:t xml:space="preserve">usefulness, while exploration lowers perceived usefulness and entertainment matters less in task-oriented grocery shopping (Rita </w:t>
      </w:r>
      <w:r>
        <w:rPr>
          <w:i/>
          <w:iCs/>
        </w:rPr>
        <w:t>et al.</w:t>
      </w:r>
      <w:r>
        <w:t>, 2026), and interviews with grocery loyalty customers in an emerging economy found uncertainty about benefits and some disengagement (Wait, 2022). These studies rely on small or single-country samples, so they suggest rather than prove that Tesco should prioritise tangible savings and ease over gamified or recommendation-led features.</w:t>
      </w:r>
    </w:p>
    <w:p w:rsidR="004D7912" w:rsidRDefault="00CC0A06">
      <w:pPr>
        <w:spacing w:after="120" w:line="360" w:lineRule="auto"/>
        <w:jc w:val="both"/>
      </w:pPr>
      <w:r>
        <w:rPr>
          <w:b/>
          <w:bCs/>
        </w:rPr>
        <w:t>Digital app and AI.</w:t>
      </w:r>
      <w:r>
        <w:t xml:space="preserve"> Which? gave Tesco four stars for app ease and customer service online (2026). The AI meal-planning assistant, built with </w:t>
      </w:r>
      <w:proofErr w:type="spellStart"/>
      <w:r>
        <w:t>Tomoro</w:t>
      </w:r>
      <w:proofErr w:type="spellEnd"/>
      <w:r>
        <w:t xml:space="preserve"> AI alongside </w:t>
      </w:r>
      <w:proofErr w:type="spellStart"/>
      <w:r>
        <w:t>OpenAI</w:t>
      </w:r>
      <w:proofErr w:type="spellEnd"/>
      <w:r>
        <w:t>, is currently in a trial with nearly 280,000 colleagues and is intended to extend beyond meal planning (Retail Insight Network, 2026), while the Mistral partnership covers customer and internal uses (AI News, 2025). The gap is that customers cannot yet use the assistant, and its governance must satisfy data-protection safeguards for automated decisions (GOV.UK, 2025). Privacy is also a known customer concern in omnichannel technology (</w:t>
      </w:r>
      <w:proofErr w:type="spellStart"/>
      <w:r>
        <w:t>Thaichon</w:t>
      </w:r>
      <w:proofErr w:type="spellEnd"/>
      <w:r>
        <w:t xml:space="preserve"> </w:t>
      </w:r>
      <w:r>
        <w:rPr>
          <w:i/>
          <w:iCs/>
        </w:rPr>
        <w:t>et al.</w:t>
      </w:r>
      <w:r>
        <w:t>, 2023), so transparency about data use is part of the service.</w:t>
      </w:r>
    </w:p>
    <w:p w:rsidR="004D7912" w:rsidRDefault="00CC0A06">
      <w:pPr>
        <w:spacing w:after="120" w:line="360" w:lineRule="auto"/>
        <w:jc w:val="both"/>
      </w:pPr>
      <w:r>
        <w:rPr>
          <w:b/>
          <w:bCs/>
        </w:rPr>
        <w:t>Omnichannel and fulfilment reliability.</w:t>
      </w:r>
      <w:r>
        <w:t xml:space="preserve"> Tesco processes 1.22m grocery home-shopping orders a week (+6.0%) with a £112 average basket (Tesco PLC, 2026a), added about 100,000 delivery slots in the week before Christmas (Tesco PLC, 2026b) and has introduced “Book for Later” Whoosh slots (Tesco PLC, 2026c). Which? gave delivery and slots four stars but online substitutions only three, and in stores gave queueing and self-scanning three stars (2026). Customer experience is judged across the whole journey rather than at a single touchpoint (Lemon and </w:t>
      </w:r>
      <w:proofErr w:type="spellStart"/>
      <w:r>
        <w:t>Verhoef</w:t>
      </w:r>
      <w:proofErr w:type="spellEnd"/>
      <w:r>
        <w:t>, 2016), so a convenient slot is undermined if substitutions disappoint. The gap between large stores (+3.9%) and convenience (+0.3%) shows that service quality is also uneven by format (Tesco PLC, 2026a).</w:t>
      </w:r>
    </w:p>
    <w:p w:rsidR="004D7912" w:rsidRDefault="00CC0A06">
      <w:pPr>
        <w:spacing w:after="120" w:line="360" w:lineRule="auto"/>
        <w:jc w:val="both"/>
      </w:pPr>
      <w:r>
        <w:rPr>
          <w:b/>
          <w:bCs/>
        </w:rPr>
        <w:t>Measuring service.</w:t>
      </w:r>
      <w:r>
        <w:t xml:space="preserve"> Tesco reports a group NPS of 29 (+1) and a brand NPS of 31 (+6) (Tesco PLC, 2026b; 2026c). NPS is a useful single indicator of loyalty but does not explain its causes (Reichheld, 2003), and the academic evidence is mixed: a five-year study of seven sportswear brands found that only a brand-health version of NPS, collected from all potential customers, reliably predicted sales growth (</w:t>
      </w:r>
      <w:proofErr w:type="spellStart"/>
      <w:r>
        <w:t>Baehre</w:t>
      </w:r>
      <w:proofErr w:type="spellEnd"/>
      <w:r>
        <w:t xml:space="preserve"> </w:t>
      </w:r>
      <w:r>
        <w:rPr>
          <w:i/>
          <w:iCs/>
        </w:rPr>
        <w:t>et al.</w:t>
      </w:r>
      <w:r>
        <w:t xml:space="preserve">, 2022), while a cross-category study found that NPS and satisfaction both predicted financial performance, with satisfaction explaining slightly more variance (Jaramillo </w:t>
      </w:r>
      <w:r>
        <w:rPr>
          <w:i/>
          <w:iCs/>
        </w:rPr>
        <w:t>et al.</w:t>
      </w:r>
      <w:r>
        <w:t>, 2024). Tesco’s NPS should therefore be read alongside satisfaction and independent ratings. The Tesco documents reviewed do not publish complaint volumes or substitution-acceptance rates, so Which? ratings are used here as the best available external evidence; this is a limitation of the analysis and a reason for Recommendation 2.</w:t>
      </w:r>
    </w:p>
    <w:p w:rsidR="004D7912" w:rsidRDefault="00CC0A06">
      <w:pPr>
        <w:pStyle w:val="Heading2"/>
        <w:keepNext/>
      </w:pPr>
      <w:r>
        <w:lastRenderedPageBreak/>
        <w:t>E. Strategic Opportunities: Ansoff Matrix</w:t>
      </w:r>
    </w:p>
    <w:p w:rsidR="004D7912" w:rsidRDefault="00CC0A06">
      <w:pPr>
        <w:pStyle w:val="Heading3"/>
        <w:keepNext/>
      </w:pPr>
      <w:r>
        <w:t>3.8 Ansoff Matrix: current activity, gaps and verdict</w:t>
      </w:r>
    </w:p>
    <w:p w:rsidR="004D7912" w:rsidRDefault="00CC0A06">
      <w:pPr>
        <w:spacing w:after="120" w:line="360" w:lineRule="auto"/>
        <w:jc w:val="both"/>
      </w:pPr>
      <w:r>
        <w:t>Ansoff’s matrix compares growth through existing or new products in existing or new markets (Ansoff, 1957). For each option, Table 6 sets out what Tesco is already doing, the remaining gap and the opportunity or threat it addresses, so that the proposed direction is justified by current activity rather than assumed.</w:t>
      </w:r>
    </w:p>
    <w:p w:rsidR="004D7912" w:rsidRDefault="00CC0A06">
      <w:pPr>
        <w:keepNext/>
        <w:spacing w:before="160" w:after="80"/>
      </w:pPr>
      <w:r>
        <w:rPr>
          <w:b/>
          <w:bCs/>
          <w:sz w:val="22"/>
          <w:szCs w:val="22"/>
        </w:rPr>
        <w:t>Table 6: Ansoff Matrix applied to Tesco</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2900"/>
        <w:gridCol w:w="2200"/>
        <w:gridCol w:w="850"/>
        <w:gridCol w:w="1577"/>
      </w:tblGrid>
      <w:tr w:rsidR="004D7912">
        <w:tblPrEx>
          <w:tblCellMar>
            <w:top w:w="0" w:type="dxa"/>
            <w:bottom w:w="0" w:type="dxa"/>
          </w:tblCellMar>
        </w:tblPrEx>
        <w:trPr>
          <w:cantSplit/>
          <w:tblHeader/>
        </w:trPr>
        <w:tc>
          <w:tcPr>
            <w:tcW w:w="15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Option</w:t>
            </w:r>
          </w:p>
        </w:tc>
        <w:tc>
          <w:tcPr>
            <w:tcW w:w="29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What Tesco is doing now</w:t>
            </w:r>
          </w:p>
        </w:tc>
        <w:tc>
          <w:tcPr>
            <w:tcW w:w="22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Gap or risk</w:t>
            </w:r>
          </w:p>
        </w:tc>
        <w:tc>
          <w:tcPr>
            <w:tcW w:w="8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Links</w:t>
            </w:r>
          </w:p>
        </w:tc>
        <w:tc>
          <w:tcPr>
            <w:tcW w:w="157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Verdict</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Market penetration (existing products, existing markets)</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Everyday Low Prices on 3,000 lines; Clubcard Prices on over 10,000 products; Aldi Price Match on over 600 lines, extended to over 2,000 Express stores; 28.5% UK share (Tesco PLC, 2026a; 2026c).</w:t>
            </w:r>
          </w:p>
        </w:tc>
        <w:tc>
          <w:tcPr>
            <w:tcW w:w="2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12-week sales growth of 1.7% trails several rivals (Worldpanel by Numerator, 2026b); value-for-money rating of three stars (2026); convenience +0.3%.</w:t>
            </w:r>
          </w:p>
        </w:tc>
        <w:tc>
          <w:tcPr>
            <w:tcW w:w="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O3, T1</w:t>
            </w:r>
          </w:p>
        </w:tc>
        <w:tc>
          <w:tcPr>
            <w:tcW w:w="15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Priority 1. Lowest risk and directly supports customer care.</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Product development (new products, existing markets)</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Over 2,000 new or improved products, over 750 in Finest; Finest £3bn (+15%); Marketplace with over 450,000 products (Tesco PLC, 2026a).</w:t>
            </w:r>
          </w:p>
        </w:tc>
        <w:tc>
          <w:tcPr>
            <w:tcW w:w="2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Branded goods outgrew own label (+3.7% against +2.9%) (Worldpanel by Numerator, 2026b); HFSS rules constrain promotion of some products (ACS, no date).</w:t>
            </w:r>
          </w:p>
        </w:tc>
        <w:tc>
          <w:tcPr>
            <w:tcW w:w="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O4, O5, T4</w:t>
            </w:r>
          </w:p>
        </w:tc>
        <w:tc>
          <w:tcPr>
            <w:tcW w:w="15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Priority 2. Selective: health, premium and personalised services.</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Market development (existing products, new markets)</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Whoosh in 73% of UK households and 31 Irish stores; 34 further large UK stores in Q1; Ireland share 24.2%; Booker’s Scoot used by over 300 retailers (Tesco PLC, 2026a; 2026c).</w:t>
            </w:r>
          </w:p>
        </w:tc>
        <w:tc>
          <w:tcPr>
            <w:tcW w:w="2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 £53m impairment in Slovakia from competition and regulatory pressure shows the risk of international expansion (Tesco PLC, 2026a).</w:t>
            </w:r>
          </w:p>
        </w:tc>
        <w:tc>
          <w:tcPr>
            <w:tcW w:w="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O2, T1, T3</w:t>
            </w:r>
          </w:p>
        </w:tc>
        <w:tc>
          <w:tcPr>
            <w:tcW w:w="15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Opportunistic. Deepen existing markets; no new countries.</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Diversification (new products, new markets)</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Tesco Mobile (over 5.5m customers), Insurance and Money Services (over 2.5m), Tesco Media (over 800 brands) and AI audience-prediction tools (Tesco PLC, 2026a; 2026b).</w:t>
            </w:r>
          </w:p>
        </w:tc>
        <w:tc>
          <w:tcPr>
            <w:tcW w:w="2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Distracts from the core grocery challenge; increases data and regulatory exposure (GOV.UK, 2025).</w:t>
            </w:r>
          </w:p>
        </w:tc>
        <w:tc>
          <w:tcPr>
            <w:tcW w:w="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O1, T4</w:t>
            </w:r>
          </w:p>
        </w:tc>
        <w:tc>
          <w:tcPr>
            <w:tcW w:w="15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Related only. Retail media and membership that reinforce the core.</w:t>
            </w:r>
          </w:p>
        </w:tc>
      </w:tr>
    </w:tbl>
    <w:p w:rsidR="004D7912" w:rsidRDefault="00CC0A06">
      <w:pPr>
        <w:spacing w:before="60" w:after="200"/>
      </w:pPr>
      <w:r>
        <w:rPr>
          <w:i/>
          <w:iCs/>
          <w:sz w:val="19"/>
          <w:szCs w:val="19"/>
        </w:rPr>
        <w:t>Source: author’s analysis, following Ansoff (1957), using the sources cited in the table.</w:t>
      </w:r>
    </w:p>
    <w:p w:rsidR="004D7912" w:rsidRDefault="00CC0A06">
      <w:pPr>
        <w:spacing w:after="120" w:line="360" w:lineRule="auto"/>
        <w:jc w:val="both"/>
      </w:pPr>
      <w:r>
        <w:t>Overall, Tesco should prioritise market penetration and selective product development, which exploit existing resources (VRIO Table 3) and respond to the most pressing threat, T1. Market development should densify existing markets, and diversification should be limited to businesses that strengthen the Clubcard relationship.</w:t>
      </w:r>
    </w:p>
    <w:p w:rsidR="004D7912" w:rsidRDefault="00CC0A06">
      <w:pPr>
        <w:pStyle w:val="Heading2"/>
        <w:keepNext/>
      </w:pPr>
      <w:r>
        <w:lastRenderedPageBreak/>
        <w:t>F. Gap Analysis</w:t>
      </w:r>
    </w:p>
    <w:p w:rsidR="004D7912" w:rsidRDefault="00CC0A06">
      <w:pPr>
        <w:pStyle w:val="Heading3"/>
        <w:keepNext/>
      </w:pPr>
      <w:r>
        <w:t>3.9 What Tesco is, and is not, already doing</w:t>
      </w:r>
    </w:p>
    <w:p w:rsidR="004D7912" w:rsidRDefault="00CC0A06">
      <w:pPr>
        <w:spacing w:after="120" w:line="360" w:lineRule="auto"/>
        <w:jc w:val="both"/>
      </w:pPr>
      <w:r>
        <w:t>Table 7 compares Tesco’s current activity with the customer-care requirements identified above. Each gap feeds a conclusion and a recommendation.</w:t>
      </w:r>
    </w:p>
    <w:p w:rsidR="004D7912" w:rsidRDefault="00CC0A06">
      <w:pPr>
        <w:keepNext/>
        <w:spacing w:before="160" w:after="80"/>
      </w:pPr>
      <w:r>
        <w:rPr>
          <w:b/>
          <w:bCs/>
          <w:sz w:val="22"/>
          <w:szCs w:val="22"/>
        </w:rPr>
        <w:t>Table 7: Gap analysis of Tesco’s customer care activity</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50"/>
        <w:gridCol w:w="3250"/>
        <w:gridCol w:w="3127"/>
        <w:gridCol w:w="1200"/>
      </w:tblGrid>
      <w:tr w:rsidR="004D7912">
        <w:tblPrEx>
          <w:tblCellMar>
            <w:top w:w="0" w:type="dxa"/>
            <w:bottom w:w="0" w:type="dxa"/>
          </w:tblCellMar>
        </w:tblPrEx>
        <w:trPr>
          <w:cantSplit/>
          <w:tblHeader/>
        </w:trPr>
        <w:tc>
          <w:tcPr>
            <w:tcW w:w="14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Area</w:t>
            </w:r>
          </w:p>
        </w:tc>
        <w:tc>
          <w:tcPr>
            <w:tcW w:w="32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What Tesco already does</w:t>
            </w:r>
          </w:p>
        </w:tc>
        <w:tc>
          <w:tcPr>
            <w:tcW w:w="31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Gap identified</w:t>
            </w:r>
          </w:p>
        </w:tc>
        <w:tc>
          <w:tcPr>
            <w:tcW w:w="12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Rec.</w:t>
            </w:r>
          </w:p>
        </w:tc>
      </w:tr>
      <w:tr w:rsidR="004D7912">
        <w:tblPrEx>
          <w:tblCellMar>
            <w:top w:w="0" w:type="dxa"/>
            <w:bottom w:w="0" w:type="dxa"/>
          </w:tblCellMar>
        </w:tblPrEx>
        <w:trPr>
          <w:cantSplit/>
        </w:trPr>
        <w:tc>
          <w:tcPr>
            <w:tcW w:w="14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Personalisation and AI</w:t>
            </w:r>
          </w:p>
        </w:tc>
        <w:tc>
          <w:tcPr>
            <w:tcW w:w="3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100% of active Clubcard customers’ home-shopping journeys personalised; Your Clubcard Prices launched to 1.5m customers; nearly 100m tailored offers; colleague AI assistant trial (Tesco PLC, 2026a; 2026c; Retail Insight Network, 2026).</w:t>
            </w:r>
          </w:p>
        </w:tc>
        <w:tc>
          <w:tcPr>
            <w:tcW w:w="3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Newer personalised pricing reaches a fraction of the over 9m coupon audience; customer-facing assistant not yet public.</w:t>
            </w:r>
          </w:p>
        </w:tc>
        <w:tc>
          <w:tcPr>
            <w:tcW w:w="1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R1</w:t>
            </w:r>
          </w:p>
        </w:tc>
      </w:tr>
      <w:tr w:rsidR="004D7912">
        <w:tblPrEx>
          <w:tblCellMar>
            <w:top w:w="0" w:type="dxa"/>
            <w:bottom w:w="0" w:type="dxa"/>
          </w:tblCellMar>
        </w:tblPrEx>
        <w:trPr>
          <w:cantSplit/>
        </w:trPr>
        <w:tc>
          <w:tcPr>
            <w:tcW w:w="14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Fulfilment and store reliability</w:t>
            </w:r>
          </w:p>
        </w:tc>
        <w:tc>
          <w:tcPr>
            <w:tcW w:w="3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Whoosh in 73% of households; extra delivery slots; Book for Later; AI routing (Tesco PLC, 2026a; 2026b; 2026c; AI News, 2025).</w:t>
            </w:r>
          </w:p>
        </w:tc>
        <w:tc>
          <w:tcPr>
            <w:tcW w:w="3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Online substitutions, queueing and self-scanning rated three stars; convenience like-for-like +0.3% (2026; Tesco PLC, 2026a).</w:t>
            </w:r>
          </w:p>
        </w:tc>
        <w:tc>
          <w:tcPr>
            <w:tcW w:w="1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R2</w:t>
            </w:r>
          </w:p>
        </w:tc>
      </w:tr>
      <w:tr w:rsidR="004D7912">
        <w:tblPrEx>
          <w:tblCellMar>
            <w:top w:w="0" w:type="dxa"/>
            <w:bottom w:w="0" w:type="dxa"/>
          </w:tblCellMar>
        </w:tblPrEx>
        <w:trPr>
          <w:cantSplit/>
        </w:trPr>
        <w:tc>
          <w:tcPr>
            <w:tcW w:w="14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Membership and subscriptions</w:t>
            </w:r>
          </w:p>
        </w:tc>
        <w:tc>
          <w:tcPr>
            <w:tcW w:w="3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Delivery Saver with 834k subscribers (Tesco PLC, 2026b); Clubcard Plus at £7.99 a month, available since 2019 and promoted via Tesco Mobile (2019; Tesco Mobile, no date).</w:t>
            </w:r>
          </w:p>
        </w:tc>
        <w:tc>
          <w:tcPr>
            <w:tcW w:w="3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Two separate propositions; Clubcard Plus offers in-store discounts, with no published subscriber numbers in the documents reviewed.</w:t>
            </w:r>
          </w:p>
        </w:tc>
        <w:tc>
          <w:tcPr>
            <w:tcW w:w="1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R3</w:t>
            </w:r>
          </w:p>
        </w:tc>
      </w:tr>
      <w:tr w:rsidR="004D7912">
        <w:tblPrEx>
          <w:tblCellMar>
            <w:top w:w="0" w:type="dxa"/>
            <w:bottom w:w="0" w:type="dxa"/>
          </w:tblCellMar>
        </w:tblPrEx>
        <w:trPr>
          <w:cantSplit/>
        </w:trPr>
        <w:tc>
          <w:tcPr>
            <w:tcW w:w="14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Supply chain and store technology</w:t>
            </w:r>
          </w:p>
        </w:tc>
        <w:tc>
          <w:tcPr>
            <w:tcW w:w="3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Semi-automated Aylesford centre; London Gateway centre due 2029; automation and shelf-edge labels in FY26/27 capex; £535m Save to Invest savings (Tesco PLC, 2026a; 2026b; Investing.com, 2026).</w:t>
            </w:r>
          </w:p>
        </w:tc>
        <w:tc>
          <w:tcPr>
            <w:tcW w:w="3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Benefits are phased; convenience and Booker core retail (−1.5% in Q1) lag (Tesco PLC, 2026c).</w:t>
            </w:r>
          </w:p>
        </w:tc>
        <w:tc>
          <w:tcPr>
            <w:tcW w:w="1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R4</w:t>
            </w:r>
          </w:p>
        </w:tc>
      </w:tr>
      <w:tr w:rsidR="004D7912">
        <w:tblPrEx>
          <w:tblCellMar>
            <w:top w:w="0" w:type="dxa"/>
            <w:bottom w:w="0" w:type="dxa"/>
          </w:tblCellMar>
        </w:tblPrEx>
        <w:trPr>
          <w:cantSplit/>
        </w:trPr>
        <w:tc>
          <w:tcPr>
            <w:tcW w:w="14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Price transparency and sustainability</w:t>
            </w:r>
          </w:p>
        </w:tc>
        <w:tc>
          <w:tcPr>
            <w:tcW w:w="3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Everyday Low Prices, Aldi Price Match; Scope 1 and 2 emissions down 68%; net zero targets for 2035 and 2050 (Tesco PLC, 2026a; 2026b).</w:t>
            </w:r>
          </w:p>
        </w:tc>
        <w:tc>
          <w:tcPr>
            <w:tcW w:w="3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Value-for-money rating of three stars; 2023 Which? challenge on Clubcard “regular” prices; no interim Scope 3 milestones in the documents reviewed (2026; ITV News, 2023).</w:t>
            </w:r>
          </w:p>
        </w:tc>
        <w:tc>
          <w:tcPr>
            <w:tcW w:w="1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R5</w:t>
            </w:r>
          </w:p>
        </w:tc>
      </w:tr>
      <w:tr w:rsidR="004D7912">
        <w:tblPrEx>
          <w:tblCellMar>
            <w:top w:w="0" w:type="dxa"/>
            <w:bottom w:w="0" w:type="dxa"/>
          </w:tblCellMar>
        </w:tblPrEx>
        <w:trPr>
          <w:cantSplit/>
        </w:trPr>
        <w:tc>
          <w:tcPr>
            <w:tcW w:w="14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Agility and capability</w:t>
            </w:r>
          </w:p>
        </w:tc>
        <w:tc>
          <w:tcPr>
            <w:tcW w:w="3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Pilot-to-scale record (Whoosh, Your Clubcard Prices); colleague AI trial; tech team doubled in six years (Tesco PLC, 2026a; 2026b; 2026c).</w:t>
            </w:r>
          </w:p>
        </w:tc>
        <w:tc>
          <w:tcPr>
            <w:tcW w:w="31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No evidence in the documents reviewed of a published, customer-KPI-based stage-gate for scaling pilots, or of colleague reskilling plans.</w:t>
            </w:r>
          </w:p>
        </w:tc>
        <w:tc>
          <w:tcPr>
            <w:tcW w:w="12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R6</w:t>
            </w:r>
          </w:p>
        </w:tc>
      </w:tr>
    </w:tbl>
    <w:p w:rsidR="004D7912" w:rsidRDefault="00CC0A06">
      <w:pPr>
        <w:spacing w:before="60" w:after="200"/>
      </w:pPr>
      <w:r>
        <w:rPr>
          <w:i/>
          <w:iCs/>
          <w:sz w:val="19"/>
          <w:szCs w:val="19"/>
        </w:rPr>
        <w:t>Source: author’s analysis of the sources cited. “Documents reviewed” refers to Tesco PLC (2026a; 2026b; 2026c).</w:t>
      </w:r>
    </w:p>
    <w:p w:rsidR="004D7912" w:rsidRDefault="00CC0A06">
      <w:pPr>
        <w:pStyle w:val="Heading2"/>
        <w:keepNext/>
      </w:pPr>
      <w:r>
        <w:lastRenderedPageBreak/>
        <w:t>G. Wider Organisational Implications</w:t>
      </w:r>
    </w:p>
    <w:p w:rsidR="004D7912" w:rsidRDefault="00CC0A06">
      <w:pPr>
        <w:pStyle w:val="Heading3"/>
        <w:keepNext/>
      </w:pPr>
      <w:r>
        <w:t>3.10 Implications of the recommended strategy</w:t>
      </w:r>
    </w:p>
    <w:p w:rsidR="004D7912" w:rsidRDefault="00CC0A06">
      <w:pPr>
        <w:keepNext/>
        <w:spacing w:before="160" w:after="80"/>
      </w:pPr>
      <w:r>
        <w:rPr>
          <w:b/>
          <w:bCs/>
          <w:sz w:val="22"/>
          <w:szCs w:val="22"/>
        </w:rPr>
        <w:t>Table 8: Wider organisational implications and mitigations</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50"/>
        <w:gridCol w:w="2700"/>
        <w:gridCol w:w="2700"/>
        <w:gridCol w:w="2277"/>
      </w:tblGrid>
      <w:tr w:rsidR="004D7912">
        <w:tblPrEx>
          <w:tblCellMar>
            <w:top w:w="0" w:type="dxa"/>
            <w:bottom w:w="0" w:type="dxa"/>
          </w:tblCellMar>
        </w:tblPrEx>
        <w:trPr>
          <w:cantSplit/>
          <w:tblHeader/>
        </w:trPr>
        <w:tc>
          <w:tcPr>
            <w:tcW w:w="13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Area</w:t>
            </w:r>
          </w:p>
        </w:tc>
        <w:tc>
          <w:tcPr>
            <w:tcW w:w="27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Current position</w:t>
            </w:r>
          </w:p>
        </w:tc>
        <w:tc>
          <w:tcPr>
            <w:tcW w:w="27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Implication</w:t>
            </w:r>
          </w:p>
        </w:tc>
        <w:tc>
          <w:tcPr>
            <w:tcW w:w="227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Mitigation</w:t>
            </w:r>
          </w:p>
        </w:tc>
      </w:tr>
      <w:tr w:rsidR="004D7912">
        <w:tblPrEx>
          <w:tblCellMar>
            <w:top w:w="0" w:type="dxa"/>
            <w:bottom w:w="0" w:type="dxa"/>
          </w:tblCellMar>
        </w:tblPrEx>
        <w:trPr>
          <w:cantSplit/>
        </w:trPr>
        <w:tc>
          <w:tcPr>
            <w:tcW w:w="13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Operations</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Semi-automated Aylesford centre; about £1.6bn FY26/27 capex including automation and shelf-edge labels (Tesco PLC, 2026a; 2026b).</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Store and warehouse routines change as automation and AI routing scale; transition may disrupt availability.</w:t>
            </w:r>
          </w:p>
        </w:tc>
        <w:tc>
          <w:tcPr>
            <w:tcW w:w="22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Phased roll-out, pilot stores and on-shelf availability tracking.</w:t>
            </w:r>
          </w:p>
        </w:tc>
      </w:tr>
      <w:tr w:rsidR="004D7912">
        <w:tblPrEx>
          <w:tblCellMar>
            <w:top w:w="0" w:type="dxa"/>
            <w:bottom w:w="0" w:type="dxa"/>
          </w:tblCellMar>
        </w:tblPrEx>
        <w:trPr>
          <w:cantSplit/>
        </w:trPr>
        <w:tc>
          <w:tcPr>
            <w:tcW w:w="13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People and culture</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Over 340,000 colleagues; 82% recommend Tesco as an employer; UK hourly pay +5.1%; AI trial with nearly 280,000 colleagues (Tesco PLC, 2026a; 2026b).</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Colleagues need data and AI skills, and some roles will change, so resistance to change is likely.</w:t>
            </w:r>
          </w:p>
        </w:tc>
        <w:tc>
          <w:tcPr>
            <w:tcW w:w="22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Co-design through colleague trials; training linked to the new tools (R6).</w:t>
            </w:r>
          </w:p>
        </w:tc>
      </w:tr>
      <w:tr w:rsidR="004D7912">
        <w:tblPrEx>
          <w:tblCellMar>
            <w:top w:w="0" w:type="dxa"/>
            <w:bottom w:w="0" w:type="dxa"/>
          </w:tblCellMar>
        </w:tblPrEx>
        <w:trPr>
          <w:cantSplit/>
        </w:trPr>
        <w:tc>
          <w:tcPr>
            <w:tcW w:w="13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Technology and data</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Mistral partnership; tech team doubled in six years (AI News, 2025; Tesco PLC, 2026b).</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Real-time data integration, cyber security and compliance with the Data (Use and Access) Act 2025 (GOV.UK, 2025).</w:t>
            </w:r>
          </w:p>
        </w:tc>
        <w:tc>
          <w:tcPr>
            <w:tcW w:w="22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Privacy-by-design, human oversight and an internal AI lab.</w:t>
            </w:r>
          </w:p>
        </w:tc>
      </w:tr>
      <w:tr w:rsidR="004D7912">
        <w:tblPrEx>
          <w:tblCellMar>
            <w:top w:w="0" w:type="dxa"/>
            <w:bottom w:w="0" w:type="dxa"/>
          </w:tblCellMar>
        </w:tblPrEx>
        <w:trPr>
          <w:cantSplit/>
        </w:trPr>
        <w:tc>
          <w:tcPr>
            <w:tcW w:w="13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Supply chain</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First-ranked in the Advantage supplier survey; 400 farmers in Sustainable Farming Groups (Tesco PLC, 2026a; 2026b).</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Greater reliance on shared digital data with suppliers raises resilience and cyber risk.</w:t>
            </w:r>
          </w:p>
        </w:tc>
        <w:tc>
          <w:tcPr>
            <w:tcW w:w="22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Supplier data-sharing standards and resilience testing.</w:t>
            </w:r>
          </w:p>
        </w:tc>
      </w:tr>
      <w:tr w:rsidR="004D7912">
        <w:tblPrEx>
          <w:tblCellMar>
            <w:top w:w="0" w:type="dxa"/>
            <w:bottom w:w="0" w:type="dxa"/>
          </w:tblCellMar>
        </w:tblPrEx>
        <w:trPr>
          <w:cantSplit/>
        </w:trPr>
        <w:tc>
          <w:tcPr>
            <w:tcW w:w="13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Finance</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Free cash flow £1,957m; net debt 2.1x EBITDA; £750m buyback; FY26/27 profit guidance £3.0bn–£3.3bn (Tesco PLC, 2026a).</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Investment competes with shareholder returns and price investment on a 4.3% margin.</w:t>
            </w:r>
          </w:p>
        </w:tc>
        <w:tc>
          <w:tcPr>
            <w:tcW w:w="22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Fund through Save to Invest savings; stage-gate spending on KPI evidence.</w:t>
            </w:r>
          </w:p>
        </w:tc>
      </w:tr>
      <w:tr w:rsidR="004D7912">
        <w:tblPrEx>
          <w:tblCellMar>
            <w:top w:w="0" w:type="dxa"/>
            <w:bottom w:w="0" w:type="dxa"/>
          </w:tblCellMar>
        </w:tblPrEx>
        <w:trPr>
          <w:cantSplit/>
        </w:trPr>
        <w:tc>
          <w:tcPr>
            <w:tcW w:w="13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Brand and reputation</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Record satisfaction; brand NPS 31 (Tesco PLC, 2026a; 2026c).</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Personalisation raises expectations; pricing or privacy missteps can erode trust (ITV News, 2023).</w:t>
            </w:r>
          </w:p>
        </w:tc>
        <w:tc>
          <w:tcPr>
            <w:tcW w:w="22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Transparency commitments (R5).</w:t>
            </w:r>
          </w:p>
        </w:tc>
      </w:tr>
    </w:tbl>
    <w:p w:rsidR="004D7912" w:rsidRDefault="00CC0A06">
      <w:pPr>
        <w:spacing w:before="60" w:after="200"/>
      </w:pPr>
      <w:r>
        <w:rPr>
          <w:i/>
          <w:iCs/>
          <w:sz w:val="19"/>
          <w:szCs w:val="19"/>
        </w:rPr>
        <w:t>Source: author’s analysis of the sources cited.</w:t>
      </w:r>
    </w:p>
    <w:p w:rsidR="004D7912" w:rsidRDefault="00CC0A06">
      <w:pPr>
        <w:pStyle w:val="Heading2"/>
        <w:keepNext/>
      </w:pPr>
      <w:r>
        <w:t>H. Critical Evaluation, Hypotheses and Judgement under Uncertainty</w:t>
      </w:r>
    </w:p>
    <w:p w:rsidR="004D7912" w:rsidRDefault="00CC0A06">
      <w:pPr>
        <w:pStyle w:val="Heading3"/>
        <w:keepNext/>
      </w:pPr>
      <w:r>
        <w:t>3.11 Evaluating the frameworks and the literature</w:t>
      </w:r>
    </w:p>
    <w:p w:rsidR="004D7912" w:rsidRDefault="00CC0A06">
      <w:pPr>
        <w:spacing w:after="120" w:line="360" w:lineRule="auto"/>
        <w:jc w:val="both"/>
      </w:pPr>
      <w:r>
        <w:t>Every framework used above has known limits, and the supporting literature varies in quality. Table 9 sets out the main limits and how this report treats them.</w:t>
      </w:r>
    </w:p>
    <w:p w:rsidR="004D7912" w:rsidRDefault="00CC0A06">
      <w:pPr>
        <w:keepNext/>
        <w:spacing w:before="160" w:after="80"/>
      </w:pPr>
      <w:r>
        <w:rPr>
          <w:b/>
          <w:bCs/>
          <w:sz w:val="22"/>
          <w:szCs w:val="22"/>
        </w:rPr>
        <w:t>Table 9: Limits of the frameworks and evidence, and how they are treated</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3700"/>
        <w:gridCol w:w="3627"/>
      </w:tblGrid>
      <w:tr w:rsidR="004D7912">
        <w:tblPrEx>
          <w:tblCellMar>
            <w:top w:w="0" w:type="dxa"/>
            <w:bottom w:w="0" w:type="dxa"/>
          </w:tblCellMar>
        </w:tblPrEx>
        <w:trPr>
          <w:cantSplit/>
          <w:tblHeader/>
        </w:trPr>
        <w:tc>
          <w:tcPr>
            <w:tcW w:w="17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Framework or evidence</w:t>
            </w:r>
          </w:p>
        </w:tc>
        <w:tc>
          <w:tcPr>
            <w:tcW w:w="37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Limitation</w:t>
            </w:r>
          </w:p>
        </w:tc>
        <w:tc>
          <w:tcPr>
            <w:tcW w:w="36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Treatment in this report</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PESTEL and SWOT</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Descriptive and static; they do not rank factors or show causal links (author’s assessment).</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Factors are coded and tied to evidence, and the TOWS matrix converts them into options (1982).</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lastRenderedPageBreak/>
              <w:t>VRIO and the resource-based view</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Thirteen criticisms identified; capabilities are harder to measure than resources (El </w:t>
            </w:r>
            <w:proofErr w:type="spellStart"/>
            <w:r>
              <w:rPr>
                <w:sz w:val="19"/>
                <w:szCs w:val="19"/>
              </w:rPr>
              <w:t>Shafeey</w:t>
            </w:r>
            <w:proofErr w:type="spellEnd"/>
            <w:r>
              <w:rPr>
                <w:sz w:val="19"/>
                <w:szCs w:val="19"/>
              </w:rPr>
              <w:t xml:space="preserve"> and Trott, 2014).</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Ratings are treated as judgement; dynamic capability evidence is added (Teece, Pisano and </w:t>
            </w:r>
            <w:proofErr w:type="spellStart"/>
            <w:r>
              <w:rPr>
                <w:sz w:val="19"/>
                <w:szCs w:val="19"/>
              </w:rPr>
              <w:t>Shuen</w:t>
            </w:r>
            <w:proofErr w:type="spellEnd"/>
            <w:r>
              <w:rPr>
                <w:sz w:val="19"/>
                <w:szCs w:val="19"/>
              </w:rPr>
              <w:t>, 1997; Walter, 2021).</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Bowman’s Strategic Clock</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The hybrid route is contested: pure strategies performed at least as well in a 2,351-business study (Thornhill and White, 2007). Positions are qualitative.</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The recommendation is conditional and has an explicit review trigger (H4).</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Ansoff Matrix</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Simplifies growth options and ignores resource limits and timing (author’s assessment).</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Options are tied to Tesco’s resources (Table 3) and gaps (Table 7).</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Net Promoter Score</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Predictive power depends on the version and sample used (</w:t>
            </w:r>
            <w:proofErr w:type="spellStart"/>
            <w:r>
              <w:rPr>
                <w:sz w:val="19"/>
                <w:szCs w:val="19"/>
              </w:rPr>
              <w:t>Baehre</w:t>
            </w:r>
            <w:proofErr w:type="spellEnd"/>
            <w:r>
              <w:rPr>
                <w:sz w:val="19"/>
                <w:szCs w:val="19"/>
              </w:rPr>
              <w:t xml:space="preserve"> </w:t>
            </w:r>
            <w:r>
              <w:rPr>
                <w:i/>
                <w:iCs/>
                <w:sz w:val="19"/>
                <w:szCs w:val="19"/>
              </w:rPr>
              <w:t>et al.</w:t>
            </w:r>
            <w:r>
              <w:rPr>
                <w:sz w:val="19"/>
                <w:szCs w:val="19"/>
              </w:rPr>
              <w:t xml:space="preserve">, 2022; Jaramillo </w:t>
            </w:r>
            <w:r>
              <w:rPr>
                <w:i/>
                <w:iCs/>
                <w:sz w:val="19"/>
                <w:szCs w:val="19"/>
              </w:rPr>
              <w:t>et al.</w:t>
            </w:r>
            <w:r>
              <w:rPr>
                <w:sz w:val="19"/>
                <w:szCs w:val="19"/>
              </w:rPr>
              <w:t>, 2024).</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Used alongside satisfaction and independent ratings.</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Agility concept</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Ill-defined (Walter, 2021); better seen as a bundle of dynamic capabilities (Asghar, </w:t>
            </w:r>
            <w:proofErr w:type="spellStart"/>
            <w:r>
              <w:rPr>
                <w:sz w:val="19"/>
                <w:szCs w:val="19"/>
              </w:rPr>
              <w:t>Kanbach</w:t>
            </w:r>
            <w:proofErr w:type="spellEnd"/>
            <w:r>
              <w:rPr>
                <w:sz w:val="19"/>
                <w:szCs w:val="19"/>
              </w:rPr>
              <w:t xml:space="preserve"> and Kraus, 2025).</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Operationalised as pilot-to-scale time and stage-gates (R6).</w:t>
            </w:r>
          </w:p>
        </w:tc>
      </w:tr>
      <w:tr w:rsidR="004D7912">
        <w:tblPrEx>
          <w:tblCellMar>
            <w:top w:w="0" w:type="dxa"/>
            <w:bottom w:w="0" w:type="dxa"/>
          </w:tblCellMar>
        </w:tblPrEx>
        <w:trPr>
          <w:cantSplit/>
        </w:trPr>
        <w:tc>
          <w:tcPr>
            <w:tcW w:w="1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Loyalty and personalisation research</w:t>
            </w:r>
          </w:p>
        </w:tc>
        <w:tc>
          <w:tcPr>
            <w:tcW w:w="3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Small or single-country samples (Wait, 2022; Rita </w:t>
            </w:r>
            <w:r>
              <w:rPr>
                <w:i/>
                <w:iCs/>
                <w:sz w:val="19"/>
                <w:szCs w:val="19"/>
              </w:rPr>
              <w:t>et al.</w:t>
            </w:r>
            <w:r>
              <w:rPr>
                <w:sz w:val="19"/>
                <w:szCs w:val="19"/>
              </w:rPr>
              <w:t>, 2026); online grocery focus (</w:t>
            </w:r>
            <w:proofErr w:type="spellStart"/>
            <w:r>
              <w:rPr>
                <w:sz w:val="19"/>
                <w:szCs w:val="19"/>
              </w:rPr>
              <w:t>Hallikainen</w:t>
            </w:r>
            <w:proofErr w:type="spellEnd"/>
            <w:r>
              <w:rPr>
                <w:sz w:val="19"/>
                <w:szCs w:val="19"/>
              </w:rPr>
              <w:t xml:space="preserve"> </w:t>
            </w:r>
            <w:r>
              <w:rPr>
                <w:i/>
                <w:iCs/>
                <w:sz w:val="19"/>
                <w:szCs w:val="19"/>
              </w:rPr>
              <w:t>et al.</w:t>
            </w:r>
            <w:r>
              <w:rPr>
                <w:sz w:val="19"/>
                <w:szCs w:val="19"/>
              </w:rPr>
              <w:t>, 2022).</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Findings are used as directional and tested through hypotheses H1 to H3.</w:t>
            </w:r>
          </w:p>
        </w:tc>
      </w:tr>
    </w:tbl>
    <w:p w:rsidR="004D7912" w:rsidRDefault="00CC0A06">
      <w:pPr>
        <w:spacing w:before="60" w:after="200"/>
      </w:pPr>
      <w:r>
        <w:rPr>
          <w:i/>
          <w:iCs/>
          <w:sz w:val="19"/>
          <w:szCs w:val="19"/>
        </w:rPr>
        <w:t>Source: author’s analysis of the sources cited.</w:t>
      </w:r>
    </w:p>
    <w:p w:rsidR="004D7912" w:rsidRDefault="00CC0A06">
      <w:pPr>
        <w:pStyle w:val="Heading3"/>
        <w:keepNext/>
      </w:pPr>
      <w:r>
        <w:t>3.12 Conflicting and incomplete data</w:t>
      </w:r>
    </w:p>
    <w:p w:rsidR="004D7912" w:rsidRDefault="00CC0A06">
      <w:pPr>
        <w:spacing w:after="120" w:line="360" w:lineRule="auto"/>
        <w:jc w:val="both"/>
      </w:pPr>
      <w:r>
        <w:t>The evidence is not fully consistent, and some data that would settle key questions are unpublished. Table 10 records each conflict and the judgement made.</w:t>
      </w:r>
    </w:p>
    <w:p w:rsidR="004D7912" w:rsidRDefault="00CC0A06">
      <w:pPr>
        <w:keepNext/>
        <w:spacing w:before="160" w:after="80"/>
      </w:pPr>
      <w:r>
        <w:rPr>
          <w:b/>
          <w:bCs/>
          <w:sz w:val="22"/>
          <w:szCs w:val="22"/>
        </w:rPr>
        <w:t>Table 10: Conflicting or missing evidence and the judgement made</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3900"/>
        <w:gridCol w:w="3627"/>
      </w:tblGrid>
      <w:tr w:rsidR="004D7912">
        <w:tblPrEx>
          <w:tblCellMar>
            <w:top w:w="0" w:type="dxa"/>
            <w:bottom w:w="0" w:type="dxa"/>
          </w:tblCellMar>
        </w:tblPrEx>
        <w:trPr>
          <w:cantSplit/>
          <w:tblHeader/>
        </w:trPr>
        <w:tc>
          <w:tcPr>
            <w:tcW w:w="15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Issue</w:t>
            </w:r>
          </w:p>
        </w:tc>
        <w:tc>
          <w:tcPr>
            <w:tcW w:w="39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What conflicts or is missing</w:t>
            </w:r>
          </w:p>
        </w:tc>
        <w:tc>
          <w:tcPr>
            <w:tcW w:w="36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Judgement</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Market share level</w:t>
            </w:r>
          </w:p>
        </w:tc>
        <w:tc>
          <w:tcPr>
            <w:tcW w:w="3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Tesco reports 28.5% for 2025/26 (Tesco PLC, 2026a); Worldpanel shows 28.1% for the 12 weeks to 19 April and 27.8% for the 12 weeks to 6 September 2026 (Worldpanel by Numerator, 2026a; 2026b).</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Periods differ and 12-week windows are seasonal, so the level is not comparable. Direction and the gap to rivals are used instead: share is stable to softening, not collapsing.</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Momentum</w:t>
            </w:r>
          </w:p>
        </w:tc>
        <w:tc>
          <w:tcPr>
            <w:tcW w:w="3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Group like-for-like growth was 3.5% for 2025/26 but 1.0% in Q1; Tesco says prior-year comparatives were boosted by weather and competitor disruption, and reports two-year UK growth of 6.9% (Tesco PLC, 2026a; 2026c).</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Tesco ranked sixth of eight grocers for 12-week growth to 6 September (Worldpanel by Numerator, 2026b), which supports a real relative slowdown. It is judged as part base effect and part competition; the interim results should clarify.</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Inflation</w:t>
            </w:r>
          </w:p>
        </w:tc>
        <w:tc>
          <w:tcPr>
            <w:tcW w:w="3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ONS food inflation was 1.3% in August (Office for National Statistics, 2026); Worldpanel measured like-for-like grocery inflation at 2.3% in September and 3.8% in April (Worldpanel by Numerator, 2026a; 2026b).</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Baskets, periods and methods differ. Both indicate moderate food inflation, but the Bank of England projects headline CPI near 3¾% in Q4 2026 (Bank of England, 2026), so cost-of-living pressure is treated as persistent.</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lastRenderedPageBreak/>
              <w:t>Customer satisfaction</w:t>
            </w:r>
          </w:p>
        </w:tc>
        <w:tc>
          <w:tcPr>
            <w:tcW w:w="3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Tesco reports a group NPS of 29 and a brand NPS of 31 from different measures (Tesco PLC, 2026b; 2026c); Which? scores are 76% in-store and 81% online but only three stars for value (2026).</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The constructs differ and company figures are self-reported. Which? sub-samples are modest (494 in-store and 222 online Tesco responses), so one- or two-point gaps to Aldi (76%) and Lidl (75%) are read as parity, not superiority.</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Pricing integrity</w:t>
            </w:r>
          </w:p>
        </w:tc>
        <w:tc>
          <w:tcPr>
            <w:tcW w:w="3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 2023 Which? analysis questioned some Clubcard “regular” prices; Tesco cited its Trading Standards Primary Authority arrangements; no CMA outcome was reported in the sources reviewed (ITV News, 2023).</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Treated as an unresolved regulatory risk, not proven misconduct. Recommendation R5 reduces exposure either way.</w:t>
            </w:r>
          </w:p>
        </w:tc>
      </w:tr>
      <w:tr w:rsidR="004D7912">
        <w:tblPrEx>
          <w:tblCellMar>
            <w:top w:w="0" w:type="dxa"/>
            <w:bottom w:w="0" w:type="dxa"/>
          </w:tblCellMar>
        </w:tblPrEx>
        <w:trPr>
          <w:cantSplit/>
        </w:trPr>
        <w:tc>
          <w:tcPr>
            <w:tcW w:w="1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Unpublished data</w:t>
            </w:r>
          </w:p>
        </w:tc>
        <w:tc>
          <w:tcPr>
            <w:tcW w:w="3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Clubcard Plus subscriber numbers, substitution-acceptance rates, complaint volumes and AI assistant trial results are not in the documents reviewed.</w:t>
            </w:r>
          </w:p>
        </w:tc>
        <w:tc>
          <w:tcPr>
            <w:tcW w:w="36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Judgements use proxies, and the stage-gates for R2 and R3 are designed to collect the missing data before scaling.</w:t>
            </w:r>
          </w:p>
        </w:tc>
      </w:tr>
    </w:tbl>
    <w:p w:rsidR="004D7912" w:rsidRDefault="00CC0A06">
      <w:pPr>
        <w:spacing w:before="60" w:after="200"/>
      </w:pPr>
      <w:r>
        <w:rPr>
          <w:i/>
          <w:iCs/>
          <w:sz w:val="19"/>
          <w:szCs w:val="19"/>
        </w:rPr>
        <w:t>Source: author’s analysis of the sources cited.</w:t>
      </w:r>
    </w:p>
    <w:p w:rsidR="004D7912" w:rsidRDefault="00CC0A06">
      <w:pPr>
        <w:pStyle w:val="Heading3"/>
        <w:keepNext/>
      </w:pPr>
      <w:r>
        <w:t>3.13 Judgement under uncertainty and testable hypotheses</w:t>
      </w:r>
    </w:p>
    <w:p w:rsidR="004D7912" w:rsidRDefault="00CC0A06">
      <w:pPr>
        <w:spacing w:after="120" w:line="360" w:lineRule="auto"/>
        <w:jc w:val="both"/>
      </w:pPr>
      <w:r>
        <w:t>Tesco guides FY26/27 adjusted operating profit to £3.0bn–£3.3bn (Tesco PLC, 2026a). That £300m range equals about 45 basis points of group sales, while each 10 basis points of margin is worth about £67m and the 12-basis-point fall in 2025/26 was worth about £80m (author’s calculations from Tesco PLC, 2026a). Because outcomes within that range depend on cost, inflation and competition that cannot be forecast precisely, the recommendations are tested against three scenarios (Table 11) and separated into no-regret moves, which are worthwhile in every scenario, and option moves, which should be scaled only when evidence supports them.</w:t>
      </w:r>
    </w:p>
    <w:p w:rsidR="004D7912" w:rsidRDefault="00CC0A06">
      <w:pPr>
        <w:keepNext/>
        <w:spacing w:before="160" w:after="80"/>
      </w:pPr>
      <w:r>
        <w:rPr>
          <w:b/>
          <w:bCs/>
          <w:sz w:val="22"/>
          <w:szCs w:val="22"/>
        </w:rPr>
        <w:t>Table 11: Scenario judgement for FY26/27</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00"/>
        <w:gridCol w:w="3500"/>
        <w:gridCol w:w="4227"/>
      </w:tblGrid>
      <w:tr w:rsidR="004D7912">
        <w:tblPrEx>
          <w:tblCellMar>
            <w:top w:w="0" w:type="dxa"/>
            <w:bottom w:w="0" w:type="dxa"/>
          </w:tblCellMar>
        </w:tblPrEx>
        <w:trPr>
          <w:cantSplit/>
          <w:tblHeader/>
        </w:trPr>
        <w:tc>
          <w:tcPr>
            <w:tcW w:w="13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Scenario</w:t>
            </w:r>
          </w:p>
        </w:tc>
        <w:tc>
          <w:tcPr>
            <w:tcW w:w="35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Conditions</w:t>
            </w:r>
          </w:p>
        </w:tc>
        <w:tc>
          <w:tcPr>
            <w:tcW w:w="42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Priority response</w:t>
            </w:r>
          </w:p>
        </w:tc>
      </w:tr>
      <w:tr w:rsidR="004D7912">
        <w:tblPrEx>
          <w:tblCellMar>
            <w:top w:w="0" w:type="dxa"/>
            <w:bottom w:w="0" w:type="dxa"/>
          </w:tblCellMar>
        </w:tblPrEx>
        <w:trPr>
          <w:cantSplit/>
        </w:trPr>
        <w:tc>
          <w:tcPr>
            <w:tcW w:w="13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Downside</w:t>
            </w:r>
          </w:p>
        </w:tc>
        <w:tc>
          <w:tcPr>
            <w:tcW w:w="3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Persistent inflation (CPI near 3¾–4%; Bank of England, 2026), profit near £3.0bn, and Lidl and Ocado continuing to gain share.</w:t>
            </w:r>
          </w:p>
        </w:tc>
        <w:tc>
          <w:tcPr>
            <w:tcW w:w="42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Protect margin and trust: deliver no-regret moves R2, R5 and R6, rely on Save to Invest savings, and phase R3 and R4 more slowly.</w:t>
            </w:r>
          </w:p>
        </w:tc>
      </w:tr>
      <w:tr w:rsidR="004D7912">
        <w:tblPrEx>
          <w:tblCellMar>
            <w:top w:w="0" w:type="dxa"/>
            <w:bottom w:w="0" w:type="dxa"/>
          </w:tblCellMar>
        </w:tblPrEx>
        <w:trPr>
          <w:cantSplit/>
        </w:trPr>
        <w:tc>
          <w:tcPr>
            <w:tcW w:w="13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Base</w:t>
            </w:r>
          </w:p>
        </w:tc>
        <w:tc>
          <w:tcPr>
            <w:tcW w:w="3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Profit near the guidance mid-point and broadly stable share.</w:t>
            </w:r>
          </w:p>
        </w:tc>
        <w:tc>
          <w:tcPr>
            <w:tcW w:w="42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Deliver the planned sequence in Table 14, with pilots for R1 and R3.</w:t>
            </w:r>
          </w:p>
        </w:tc>
      </w:tr>
      <w:tr w:rsidR="004D7912">
        <w:tblPrEx>
          <w:tblCellMar>
            <w:top w:w="0" w:type="dxa"/>
            <w:bottom w:w="0" w:type="dxa"/>
          </w:tblCellMar>
        </w:tblPrEx>
        <w:trPr>
          <w:cantSplit/>
        </w:trPr>
        <w:tc>
          <w:tcPr>
            <w:tcW w:w="13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Upside</w:t>
            </w:r>
          </w:p>
        </w:tc>
        <w:tc>
          <w:tcPr>
            <w:tcW w:w="3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Easing inflation, profit near £3.3bn and recovering like-for-like growth.</w:t>
            </w:r>
          </w:p>
        </w:tc>
        <w:tc>
          <w:tcPr>
            <w:tcW w:w="42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Accelerate R1, R3 and R4, and consider reinvesting part of the gain in price.</w:t>
            </w:r>
          </w:p>
        </w:tc>
      </w:tr>
    </w:tbl>
    <w:p w:rsidR="004D7912" w:rsidRDefault="00CC0A06">
      <w:pPr>
        <w:spacing w:before="60" w:after="200"/>
      </w:pPr>
      <w:r>
        <w:rPr>
          <w:i/>
          <w:iCs/>
          <w:sz w:val="19"/>
          <w:szCs w:val="19"/>
        </w:rPr>
        <w:t>Source: author’s judgement, based on Tesco PLC (2026a) guidance and Bank of England (2026) projections. The scenarios are illustrative, not forecasts.</w:t>
      </w:r>
    </w:p>
    <w:p w:rsidR="004D7912" w:rsidRDefault="00CC0A06">
      <w:pPr>
        <w:spacing w:after="120" w:line="360" w:lineRule="auto"/>
        <w:jc w:val="both"/>
      </w:pPr>
      <w:r>
        <w:t>Four hypotheses follow from the analysis. Each has a basis in evidence and a decision rule, so the report’s judgements can be confirmed or rejected rather than assumed (Table 12).</w:t>
      </w:r>
    </w:p>
    <w:p w:rsidR="004D7912" w:rsidRDefault="00CC0A06">
      <w:pPr>
        <w:keepNext/>
        <w:spacing w:before="160" w:after="80"/>
      </w:pPr>
      <w:r>
        <w:rPr>
          <w:b/>
          <w:bCs/>
          <w:sz w:val="22"/>
          <w:szCs w:val="22"/>
        </w:rPr>
        <w:lastRenderedPageBreak/>
        <w:t>Table 12: Testable hypotheses and decision rules</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0"/>
        <w:gridCol w:w="2900"/>
        <w:gridCol w:w="2700"/>
        <w:gridCol w:w="2927"/>
      </w:tblGrid>
      <w:tr w:rsidR="004D7912">
        <w:tblPrEx>
          <w:tblCellMar>
            <w:top w:w="0" w:type="dxa"/>
            <w:bottom w:w="0" w:type="dxa"/>
          </w:tblCellMar>
        </w:tblPrEx>
        <w:trPr>
          <w:cantSplit/>
          <w:tblHeader/>
        </w:trPr>
        <w:tc>
          <w:tcPr>
            <w:tcW w:w="5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jc w:val="center"/>
            </w:pPr>
            <w:r>
              <w:rPr>
                <w:b/>
                <w:bCs/>
                <w:sz w:val="19"/>
                <w:szCs w:val="19"/>
              </w:rPr>
              <w:t>ID</w:t>
            </w:r>
          </w:p>
        </w:tc>
        <w:tc>
          <w:tcPr>
            <w:tcW w:w="29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Hypothesis</w:t>
            </w:r>
          </w:p>
        </w:tc>
        <w:tc>
          <w:tcPr>
            <w:tcW w:w="27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Basis</w:t>
            </w:r>
          </w:p>
        </w:tc>
        <w:tc>
          <w:tcPr>
            <w:tcW w:w="292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Test and decision rule</w:t>
            </w:r>
          </w:p>
        </w:tc>
      </w:tr>
      <w:tr w:rsidR="004D7912">
        <w:tblPrEx>
          <w:tblCellMar>
            <w:top w:w="0" w:type="dxa"/>
            <w:bottom w:w="0" w:type="dxa"/>
          </w:tblCellMar>
        </w:tblPrEx>
        <w:trPr>
          <w:cantSplit/>
        </w:trPr>
        <w:tc>
          <w:tcPr>
            <w:tcW w:w="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H1</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Customers receiving Your Clubcard Prices increase shop frequency and brand NPS relative to matched customers who do not.</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Personalised price promotions protect loyalty in online grocery (</w:t>
            </w:r>
            <w:proofErr w:type="spellStart"/>
            <w:r>
              <w:rPr>
                <w:sz w:val="19"/>
                <w:szCs w:val="19"/>
              </w:rPr>
              <w:t>Hallikainen</w:t>
            </w:r>
            <w:proofErr w:type="spellEnd"/>
            <w:r>
              <w:rPr>
                <w:sz w:val="19"/>
                <w:szCs w:val="19"/>
              </w:rPr>
              <w:t xml:space="preserve"> </w:t>
            </w:r>
            <w:r>
              <w:rPr>
                <w:i/>
                <w:iCs/>
                <w:sz w:val="19"/>
                <w:szCs w:val="19"/>
              </w:rPr>
              <w:t>et al.</w:t>
            </w:r>
            <w:r>
              <w:rPr>
                <w:sz w:val="19"/>
                <w:szCs w:val="19"/>
              </w:rPr>
              <w:t>, 2022); nearly 100m offers delivered (Tesco PLC, 2026c).</w:t>
            </w:r>
          </w:p>
        </w:tc>
        <w:tc>
          <w:tcPr>
            <w:tcW w:w="29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Staged roll-out with a hold-out group. Scale if basket uplift exceeds discount cost and NPS rises; otherwise redesign.</w:t>
            </w:r>
          </w:p>
        </w:tc>
      </w:tr>
      <w:tr w:rsidR="004D7912">
        <w:tblPrEx>
          <w:tblCellMar>
            <w:top w:w="0" w:type="dxa"/>
            <w:bottom w:w="0" w:type="dxa"/>
          </w:tblCellMar>
        </w:tblPrEx>
        <w:trPr>
          <w:cantSplit/>
        </w:trPr>
        <w:tc>
          <w:tcPr>
            <w:tcW w:w="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H2</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Preference-based substitution lifts online repeat orders more per pound spent than adding delivery-slot capacity.</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 xml:space="preserve">Willingness to accept substitutes varies with purchasing power and order mix (Sousa, </w:t>
            </w:r>
            <w:proofErr w:type="spellStart"/>
            <w:r>
              <w:rPr>
                <w:sz w:val="19"/>
                <w:szCs w:val="19"/>
              </w:rPr>
              <w:t>Rabinovich</w:t>
            </w:r>
            <w:proofErr w:type="spellEnd"/>
            <w:r>
              <w:rPr>
                <w:sz w:val="19"/>
                <w:szCs w:val="19"/>
              </w:rPr>
              <w:t xml:space="preserve"> and Ribeiro, 2025); Which? rates substitutions at three stars and slots at four (2026).</w:t>
            </w:r>
          </w:p>
        </w:tc>
        <w:tc>
          <w:tcPr>
            <w:tcW w:w="29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A/B test across regions comparing repeat-order rates. Adopt the policy with the higher return.</w:t>
            </w:r>
          </w:p>
        </w:tc>
      </w:tr>
      <w:tr w:rsidR="004D7912">
        <w:tblPrEx>
          <w:tblCellMar>
            <w:top w:w="0" w:type="dxa"/>
            <w:bottom w:w="0" w:type="dxa"/>
          </w:tblCellMar>
        </w:tblPrEx>
        <w:trPr>
          <w:cantSplit/>
        </w:trPr>
        <w:tc>
          <w:tcPr>
            <w:tcW w:w="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H3</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 unified membership raises 12-month retention enough to offset its discount where average shops exceed the break-even of about £40.</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Break-even calculated from Which? (2019); 834k Delivery Saver subscribers (Tesco PLC, 2026b).</w:t>
            </w:r>
          </w:p>
        </w:tc>
        <w:tc>
          <w:tcPr>
            <w:tcW w:w="29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Pilot tiers with a cohort. Continue if retention uplift multiplied by margin exceeds discount cost.</w:t>
            </w:r>
          </w:p>
        </w:tc>
      </w:tr>
      <w:tr w:rsidR="004D7912">
        <w:tblPrEx>
          <w:tblCellMar>
            <w:top w:w="0" w:type="dxa"/>
            <w:bottom w:w="0" w:type="dxa"/>
          </w:tblCellMar>
        </w:tblPrEx>
        <w:trPr>
          <w:cantSplit/>
        </w:trPr>
        <w:tc>
          <w:tcPr>
            <w:tcW w:w="5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H4</w:t>
            </w:r>
          </w:p>
        </w:tc>
        <w:tc>
          <w:tcPr>
            <w:tcW w:w="29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The hybrid route remains advantageous only while savings fund both price and service.</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Pure strategies often outperform hybrids (Thornhill and White, 2007); margin is 4.3% (Tesco PLC, 2026a).</w:t>
            </w:r>
          </w:p>
        </w:tc>
        <w:tc>
          <w:tcPr>
            <w:tcW w:w="292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Review positioning if adjusted operating margin falls below 4.0% in two consecutive half-years while share declines. The 4.0% trigger is the author’s judgement.</w:t>
            </w:r>
          </w:p>
        </w:tc>
      </w:tr>
    </w:tbl>
    <w:p w:rsidR="004D7912" w:rsidRDefault="00CC0A06">
      <w:pPr>
        <w:spacing w:before="60" w:after="200"/>
      </w:pPr>
      <w:r>
        <w:rPr>
          <w:i/>
          <w:iCs/>
          <w:sz w:val="19"/>
          <w:szCs w:val="19"/>
        </w:rPr>
        <w:t>Source: author’s analysis of the sources cited.</w:t>
      </w:r>
    </w:p>
    <w:p w:rsidR="004D7912" w:rsidRDefault="00CC0A06">
      <w:pPr>
        <w:spacing w:after="120" w:line="360" w:lineRule="auto"/>
        <w:jc w:val="both"/>
      </w:pPr>
      <w:r>
        <w:rPr>
          <w:i/>
          <w:iCs/>
        </w:rPr>
        <w:t>Boundaries of knowledge.</w:t>
      </w:r>
      <w:r>
        <w:t xml:space="preserve"> The research informing this report is thin in three places: peer-reviewed evidence on the economics of UK grocery subscriptions, evidence on AI assistants in grocery (mostly conference or practitioner material), and a consistent definition of organisational agility (Walter, 2021). The hypotheses above are intended as testable propositions that Tesco’s own pilots, or further research, could examine.</w:t>
      </w:r>
    </w:p>
    <w:p w:rsidR="004D7912" w:rsidRDefault="00CC0A06">
      <w:pPr>
        <w:pStyle w:val="Heading1"/>
        <w:keepNext/>
      </w:pPr>
      <w:r>
        <w:t>4. Conclusions</w:t>
      </w:r>
    </w:p>
    <w:p w:rsidR="004D7912" w:rsidRDefault="00CC0A06">
      <w:pPr>
        <w:spacing w:after="120" w:line="360" w:lineRule="auto"/>
        <w:jc w:val="both"/>
      </w:pPr>
      <w:r>
        <w:rPr>
          <w:b/>
          <w:bCs/>
        </w:rPr>
        <w:t>Tesco’s position is strong but its momentum has cooled.</w:t>
      </w:r>
      <w:r>
        <w:t xml:space="preserve"> Tesco reached a 28.5% UK share in 2025/26 and earns a 4.3% margin on £66.6bn of sales (Tesco PLC, 2026a), but its Q1 2026/27 UK like-for-like growth of 1.8% and 12-week sales growth of 1.7% trail faster-growing rivals such as Lidl and Ocado (Tesco PLC, 2026c; Worldpanel by Numerator, 2026b). The strategic question is therefore how to sustain advantage, not how to build it.</w:t>
      </w:r>
    </w:p>
    <w:p w:rsidR="004D7912" w:rsidRDefault="00CC0A06">
      <w:pPr>
        <w:spacing w:after="120" w:line="360" w:lineRule="auto"/>
        <w:jc w:val="both"/>
      </w:pPr>
      <w:r>
        <w:rPr>
          <w:b/>
          <w:bCs/>
        </w:rPr>
        <w:t>The hybrid route should be kept, but conditionally.</w:t>
      </w:r>
      <w:r>
        <w:t xml:space="preserve"> Tesco occupies Route 3 of Bowman’s Strategic Clock and its customer scores equal the discounters’ in-store and match the best online grocers (2026). Moving down towards Route 2 would be unaffordable on current margins, and moving up would sacrifice scale (Section 3.3). Because pure strategies often </w:t>
      </w:r>
      <w:r>
        <w:lastRenderedPageBreak/>
        <w:t>outperform hybrids (Thornhill and White, 2007), the judgement holds only while savings fund both price and service (H4).</w:t>
      </w:r>
    </w:p>
    <w:p w:rsidR="004D7912" w:rsidRDefault="00CC0A06">
      <w:pPr>
        <w:spacing w:after="120" w:line="360" w:lineRule="auto"/>
        <w:jc w:val="both"/>
      </w:pPr>
      <w:r>
        <w:rPr>
          <w:b/>
          <w:bCs/>
        </w:rPr>
        <w:t>External analysis shows opportunities in technology and value, and threats from competition, cost and regulation.</w:t>
      </w:r>
      <w:r>
        <w:t xml:space="preserve"> The five opportunities (O1–O5) and five threats (T1–T5) are evidenced in Sections 3.1 and 3.2. The most pressing are discounter and online competition (T1) and cost inflation (T2), against a macroeconomic background in which the Bank of England expects CPI to approach 3¾% by the end of 2026 (Bank of England, 2026).</w:t>
      </w:r>
    </w:p>
    <w:p w:rsidR="004D7912" w:rsidRDefault="00CC0A06">
      <w:pPr>
        <w:spacing w:after="120" w:line="360" w:lineRule="auto"/>
        <w:jc w:val="both"/>
      </w:pPr>
      <w:r>
        <w:rPr>
          <w:b/>
          <w:bCs/>
        </w:rPr>
        <w:t>Internal analysis shows durable data and scale advantages but uneven service.</w:t>
      </w:r>
      <w:r>
        <w:t xml:space="preserve"> Clubcard data and scale are sustained advantages, whereas omnichannel infrastructure and brand reputation are only temporary or parity advantages (Table 3). Service consistency, value perception and margin are the weaknesses most likely to erode the hybrid position (Table 4).</w:t>
      </w:r>
    </w:p>
    <w:p w:rsidR="004D7912" w:rsidRDefault="00CC0A06">
      <w:pPr>
        <w:spacing w:after="120" w:line="360" w:lineRule="auto"/>
        <w:jc w:val="both"/>
      </w:pPr>
      <w:r>
        <w:rPr>
          <w:b/>
          <w:bCs/>
        </w:rPr>
        <w:t>Tesco is already doing much of what a customer-care strategy requires.</w:t>
      </w:r>
      <w:r>
        <w:t xml:space="preserve"> It personalises 100% of active Clubcard customers’ home-shopping journeys, sells subscriptions through Delivery Saver and Clubcard Plus, runs rapid delivery in 73% of households and is investing in automation and AI (Section 3.9). The gaps lie in reach (newer personalised pricing and the AI assistant), reliability (substitutions, queueing and convenience stores), integration (two separate membership propositions) and transparency (price and Scope 3 reporting).</w:t>
      </w:r>
    </w:p>
    <w:p w:rsidR="004D7912" w:rsidRDefault="00CC0A06">
      <w:pPr>
        <w:spacing w:after="120" w:line="360" w:lineRule="auto"/>
        <w:jc w:val="both"/>
      </w:pPr>
      <w:r>
        <w:rPr>
          <w:b/>
          <w:bCs/>
        </w:rPr>
        <w:t>Limitations.</w:t>
      </w:r>
      <w:r>
        <w:t xml:space="preserve"> The analysis relies on published data. Tesco does not publish complaint volumes, substitution accuracy or Clubcard Plus subscriber numbers in the documents reviewed, </w:t>
      </w:r>
      <w:proofErr w:type="gramStart"/>
      <w:r>
        <w:t>Which</w:t>
      </w:r>
      <w:proofErr w:type="gramEnd"/>
      <w:r>
        <w:t>? ratings come from a sample of 3,552 shoppers surveyed in November 2025 (2026), and the recommendations are not costed. Tesco’s interim results, due 8 October 2026, may update the picture (IG, 2026). Section 3.12 sets out how conflicting and missing data were handled.</w:t>
      </w:r>
    </w:p>
    <w:p w:rsidR="004D7912" w:rsidRDefault="00CC0A06">
      <w:pPr>
        <w:spacing w:after="120" w:line="360" w:lineRule="auto"/>
        <w:jc w:val="both"/>
      </w:pPr>
      <w:r>
        <w:rPr>
          <w:b/>
          <w:bCs/>
        </w:rPr>
        <w:t>Contribution and boundaries.</w:t>
      </w:r>
      <w:r>
        <w:t xml:space="preserve"> The report’s contribution is to link current Tesco data to the strategic frameworks, to test those frameworks against recent literature, and to turn the conclusions into four testable hypotheses with decision rules (Table 12). The recommendations are conditional rather than certain: the hybrid route is supported while savings fund price and service (H4), and R3 and R4 should be scaled only when pilots meet their decision rules.</w:t>
      </w:r>
    </w:p>
    <w:p w:rsidR="004D7912" w:rsidRDefault="00CC0A06">
      <w:pPr>
        <w:pStyle w:val="Heading1"/>
        <w:keepNext/>
      </w:pPr>
      <w:r>
        <w:t>5. Recommendations</w:t>
      </w:r>
    </w:p>
    <w:p w:rsidR="004D7912" w:rsidRDefault="00CC0A06">
      <w:pPr>
        <w:spacing w:after="120" w:line="360" w:lineRule="auto"/>
        <w:jc w:val="both"/>
      </w:pPr>
      <w:r>
        <w:t>Each recommendation addresses a gap in Table 7 and an opportunity or threat from Section 3.2. Table 13 summarises them with indicative key performance indicators (KPIs); the sections that follow explain the evidence and the main risk.</w:t>
      </w:r>
    </w:p>
    <w:p w:rsidR="004D7912" w:rsidRDefault="00CC0A06">
      <w:pPr>
        <w:keepNext/>
        <w:spacing w:before="160" w:after="80"/>
      </w:pPr>
      <w:r>
        <w:rPr>
          <w:b/>
          <w:bCs/>
          <w:sz w:val="22"/>
          <w:szCs w:val="22"/>
        </w:rPr>
        <w:lastRenderedPageBreak/>
        <w:t>Table 13: Summary of recommendations</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0"/>
        <w:gridCol w:w="2850"/>
        <w:gridCol w:w="1750"/>
        <w:gridCol w:w="1100"/>
        <w:gridCol w:w="2777"/>
      </w:tblGrid>
      <w:tr w:rsidR="004D7912">
        <w:tblPrEx>
          <w:tblCellMar>
            <w:top w:w="0" w:type="dxa"/>
            <w:bottom w:w="0" w:type="dxa"/>
          </w:tblCellMar>
        </w:tblPrEx>
        <w:trPr>
          <w:cantSplit/>
          <w:tblHeader/>
        </w:trPr>
        <w:tc>
          <w:tcPr>
            <w:tcW w:w="5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jc w:val="center"/>
            </w:pPr>
            <w:r>
              <w:rPr>
                <w:b/>
                <w:bCs/>
                <w:sz w:val="19"/>
                <w:szCs w:val="19"/>
              </w:rPr>
              <w:t>No.</w:t>
            </w:r>
          </w:p>
        </w:tc>
        <w:tc>
          <w:tcPr>
            <w:tcW w:w="28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Recommendation</w:t>
            </w:r>
          </w:p>
        </w:tc>
        <w:tc>
          <w:tcPr>
            <w:tcW w:w="17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Gap (Table 7)</w:t>
            </w:r>
          </w:p>
        </w:tc>
        <w:tc>
          <w:tcPr>
            <w:tcW w:w="11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Links</w:t>
            </w:r>
          </w:p>
        </w:tc>
        <w:tc>
          <w:tcPr>
            <w:tcW w:w="277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Indicative KPIs</w:t>
            </w:r>
          </w:p>
        </w:tc>
      </w:tr>
      <w:tr w:rsidR="004D7912">
        <w:tblPrEx>
          <w:tblCellMar>
            <w:top w:w="0" w:type="dxa"/>
            <w:bottom w:w="0" w:type="dxa"/>
          </w:tblCellMar>
        </w:tblPrEx>
        <w:trPr>
          <w:cantSplit/>
        </w:trPr>
        <w:tc>
          <w:tcPr>
            <w:tcW w:w="5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R1</w:t>
            </w:r>
          </w:p>
        </w:tc>
        <w:tc>
          <w:tcPr>
            <w:tcW w:w="2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Scale AI personalisation and launch the customer assistant responsibly</w:t>
            </w:r>
          </w:p>
        </w:tc>
        <w:tc>
          <w:tcPr>
            <w:tcW w:w="17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Personalisation and AI</w:t>
            </w:r>
          </w:p>
        </w:tc>
        <w:tc>
          <w:tcPr>
            <w:tcW w:w="11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O1, O3, T1</w:t>
            </w:r>
          </w:p>
        </w:tc>
        <w:tc>
          <w:tcPr>
            <w:tcW w:w="27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Share of active Clubcard customers on Your Clubcard Prices; assistant usage; brand NPS (baseline 31)</w:t>
            </w:r>
          </w:p>
        </w:tc>
      </w:tr>
      <w:tr w:rsidR="004D7912">
        <w:tblPrEx>
          <w:tblCellMar>
            <w:top w:w="0" w:type="dxa"/>
            <w:bottom w:w="0" w:type="dxa"/>
          </w:tblCellMar>
        </w:tblPrEx>
        <w:trPr>
          <w:cantSplit/>
        </w:trPr>
        <w:tc>
          <w:tcPr>
            <w:tcW w:w="5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R2</w:t>
            </w:r>
          </w:p>
        </w:tc>
        <w:tc>
          <w:tcPr>
            <w:tcW w:w="2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Improve fulfilment and store reliability</w:t>
            </w:r>
          </w:p>
        </w:tc>
        <w:tc>
          <w:tcPr>
            <w:tcW w:w="17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Fulfilment and store reliability</w:t>
            </w:r>
          </w:p>
        </w:tc>
        <w:tc>
          <w:tcPr>
            <w:tcW w:w="11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O2, T1</w:t>
            </w:r>
          </w:p>
        </w:tc>
        <w:tc>
          <w:tcPr>
            <w:tcW w:w="27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Substitution acceptance rate; Which? ratings (baseline three stars); convenience like-for-like growth</w:t>
            </w:r>
          </w:p>
        </w:tc>
      </w:tr>
      <w:tr w:rsidR="004D7912">
        <w:tblPrEx>
          <w:tblCellMar>
            <w:top w:w="0" w:type="dxa"/>
            <w:bottom w:w="0" w:type="dxa"/>
          </w:tblCellMar>
        </w:tblPrEx>
        <w:trPr>
          <w:cantSplit/>
        </w:trPr>
        <w:tc>
          <w:tcPr>
            <w:tcW w:w="5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R3</w:t>
            </w:r>
          </w:p>
        </w:tc>
        <w:tc>
          <w:tcPr>
            <w:tcW w:w="2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Unify Clubcard Plus and Delivery Saver into one membership</w:t>
            </w:r>
          </w:p>
        </w:tc>
        <w:tc>
          <w:tcPr>
            <w:tcW w:w="17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Membership</w:t>
            </w:r>
          </w:p>
        </w:tc>
        <w:tc>
          <w:tcPr>
            <w:tcW w:w="11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O3, T1</w:t>
            </w:r>
          </w:p>
        </w:tc>
        <w:tc>
          <w:tcPr>
            <w:tcW w:w="27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Membership penetration of active Clubcard base; retention; margin per member</w:t>
            </w:r>
          </w:p>
        </w:tc>
      </w:tr>
      <w:tr w:rsidR="004D7912">
        <w:tblPrEx>
          <w:tblCellMar>
            <w:top w:w="0" w:type="dxa"/>
            <w:bottom w:w="0" w:type="dxa"/>
          </w:tblCellMar>
        </w:tblPrEx>
        <w:trPr>
          <w:cantSplit/>
        </w:trPr>
        <w:tc>
          <w:tcPr>
            <w:tcW w:w="5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R4</w:t>
            </w:r>
          </w:p>
        </w:tc>
        <w:tc>
          <w:tcPr>
            <w:tcW w:w="2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Accelerate predictive supply-chain and store technology</w:t>
            </w:r>
          </w:p>
        </w:tc>
        <w:tc>
          <w:tcPr>
            <w:tcW w:w="17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Supply chain and technology</w:t>
            </w:r>
          </w:p>
        </w:tc>
        <w:tc>
          <w:tcPr>
            <w:tcW w:w="11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O2, T2, T5</w:t>
            </w:r>
          </w:p>
        </w:tc>
        <w:tc>
          <w:tcPr>
            <w:tcW w:w="27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On-shelf availability; waste; cost per order; Save to Invest savings</w:t>
            </w:r>
          </w:p>
        </w:tc>
      </w:tr>
      <w:tr w:rsidR="004D7912">
        <w:tblPrEx>
          <w:tblCellMar>
            <w:top w:w="0" w:type="dxa"/>
            <w:bottom w:w="0" w:type="dxa"/>
          </w:tblCellMar>
        </w:tblPrEx>
        <w:trPr>
          <w:cantSplit/>
        </w:trPr>
        <w:tc>
          <w:tcPr>
            <w:tcW w:w="5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R5</w:t>
            </w:r>
          </w:p>
        </w:tc>
        <w:tc>
          <w:tcPr>
            <w:tcW w:w="2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Strengthen price transparency and sustainability reporting</w:t>
            </w:r>
          </w:p>
        </w:tc>
        <w:tc>
          <w:tcPr>
            <w:tcW w:w="17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Price transparency and sustainability</w:t>
            </w:r>
          </w:p>
        </w:tc>
        <w:tc>
          <w:tcPr>
            <w:tcW w:w="11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O5, T2, T4</w:t>
            </w:r>
          </w:p>
        </w:tc>
        <w:tc>
          <w:tcPr>
            <w:tcW w:w="27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Value-for-money rating; regulatory findings; Scope 3 milestones</w:t>
            </w:r>
          </w:p>
        </w:tc>
      </w:tr>
      <w:tr w:rsidR="004D7912">
        <w:tblPrEx>
          <w:tblCellMar>
            <w:top w:w="0" w:type="dxa"/>
            <w:bottom w:w="0" w:type="dxa"/>
          </w:tblCellMar>
        </w:tblPrEx>
        <w:trPr>
          <w:cantSplit/>
        </w:trPr>
        <w:tc>
          <w:tcPr>
            <w:tcW w:w="5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jc w:val="center"/>
            </w:pPr>
            <w:r>
              <w:rPr>
                <w:sz w:val="19"/>
                <w:szCs w:val="19"/>
              </w:rPr>
              <w:t>R6</w:t>
            </w:r>
          </w:p>
        </w:tc>
        <w:tc>
          <w:tcPr>
            <w:tcW w:w="28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Embed agile test-learn-scale governance and colleague capability</w:t>
            </w:r>
          </w:p>
        </w:tc>
        <w:tc>
          <w:tcPr>
            <w:tcW w:w="17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Agility and capability</w:t>
            </w:r>
          </w:p>
        </w:tc>
        <w:tc>
          <w:tcPr>
            <w:tcW w:w="11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O1, T3</w:t>
            </w:r>
          </w:p>
        </w:tc>
        <w:tc>
          <w:tcPr>
            <w:tcW w:w="27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Time from pilot to scale; colleague adoption and engagement</w:t>
            </w:r>
          </w:p>
        </w:tc>
      </w:tr>
    </w:tbl>
    <w:p w:rsidR="004D7912" w:rsidRDefault="00CC0A06">
      <w:pPr>
        <w:spacing w:before="60" w:after="200"/>
      </w:pPr>
      <w:r>
        <w:rPr>
          <w:i/>
          <w:iCs/>
          <w:sz w:val="19"/>
          <w:szCs w:val="19"/>
        </w:rPr>
        <w:t>Source: author’s analysis. KPI baselines are from Tesco PLC (2026c) and Which? (2026).</w:t>
      </w:r>
    </w:p>
    <w:p w:rsidR="004D7912" w:rsidRDefault="00CC0A06">
      <w:pPr>
        <w:spacing w:after="120" w:line="360" w:lineRule="auto"/>
        <w:jc w:val="both"/>
      </w:pPr>
      <w:r>
        <w:rPr>
          <w:b/>
          <w:bCs/>
        </w:rPr>
        <w:t>R1: Scale AI personalisation and launch the customer assistant responsibly.</w:t>
      </w:r>
      <w:r>
        <w:t xml:space="preserve"> Your Clubcard Prices reached 1.5m customers at launch against a coupon audience of over 9m (Tesco PLC, 2026a), and the assistant is still in a colleague trial (Retail Insight Network, 2026). Tesco should extend Your Clubcard Prices to all active Clubcard customers in stages, launch the assistant beyond meal planning to cover list building and substitution preferences, and publish clear consent and explanation controls. This should take place within 12 months, under human oversight and the safeguards in the Data (Use and Access) Act 2025 (GOV.UK, 2025). Personalised pricing should be prioritised over recommendation features, because online grocery evidence suggests personalised price promotions protect loyalty better than recommendations (</w:t>
      </w:r>
      <w:proofErr w:type="spellStart"/>
      <w:r>
        <w:t>Hallikainen</w:t>
      </w:r>
      <w:proofErr w:type="spellEnd"/>
      <w:r>
        <w:t xml:space="preserve"> </w:t>
      </w:r>
      <w:r>
        <w:rPr>
          <w:i/>
          <w:iCs/>
        </w:rPr>
        <w:t>et al.</w:t>
      </w:r>
      <w:r>
        <w:t>, 2022). The main risk is a privacy or accuracy failure that damages trust.</w:t>
      </w:r>
    </w:p>
    <w:p w:rsidR="004D7912" w:rsidRDefault="00CC0A06">
      <w:pPr>
        <w:spacing w:after="120" w:line="360" w:lineRule="auto"/>
        <w:jc w:val="both"/>
      </w:pPr>
      <w:r>
        <w:rPr>
          <w:b/>
          <w:bCs/>
        </w:rPr>
        <w:t>R2: Improve fulfilment and store reliability.</w:t>
      </w:r>
      <w:r>
        <w:t xml:space="preserve"> Substitutions, queueing and self-scanning are three-star areas (2026), and convenience like-for-like growth is 0.3% (Tesco PLC, 2026a). Tesco should use customer preference data and AI to improve substitution matching, set an internal substitution-acceptance target, extend “Book for Later” slots, and test whether shelf-edge labels free colleague time for service in convenience stores (to be tested). Substitution policy should be segmented, because willingness to accept substitutes varies with shoppers’ </w:t>
      </w:r>
      <w:r>
        <w:lastRenderedPageBreak/>
        <w:t xml:space="preserve">purchasing power and with the mix of items in an order (Sousa, </w:t>
      </w:r>
      <w:proofErr w:type="spellStart"/>
      <w:r>
        <w:t>Rabinovich</w:t>
      </w:r>
      <w:proofErr w:type="spellEnd"/>
      <w:r>
        <w:t xml:space="preserve"> and Ribeiro, 2025); this is tested as H2. The aim is to lift the three-star ratings to four. The main risk is operational disruption during the roll-out.</w:t>
      </w:r>
    </w:p>
    <w:p w:rsidR="004D7912" w:rsidRDefault="00CC0A06">
      <w:pPr>
        <w:spacing w:after="120" w:line="360" w:lineRule="auto"/>
        <w:jc w:val="both"/>
      </w:pPr>
      <w:r>
        <w:rPr>
          <w:b/>
          <w:bCs/>
        </w:rPr>
        <w:t>R3: Unify Clubcard Plus and Delivery Saver into one membership.</w:t>
      </w:r>
      <w:r>
        <w:t xml:space="preserve"> Clubcard Plus costs £7.99 a month for 10% off two shops (up to £200 each) and own-brand products, plus mobile benefits (Tesco Mobile, no date), while Delivery Saver has 834k subscribers (Tesco PLC, 2026b). Using figures, a Clubcard Plus member must spend roughly £40 per shop to break even (£95.88 a year ÷ (10% × two shops × 12 months); author’s calculation based on </w:t>
      </w:r>
      <w:proofErr w:type="gramStart"/>
      <w:r>
        <w:t>Which?,</w:t>
      </w:r>
      <w:proofErr w:type="gramEnd"/>
      <w:r>
        <w:t xml:space="preserve"> 2019). A single tiered membership combining delivery, own-brand and mobile benefits should be piloted and priced with break-even modelling. The main risk is margin dilution on a 4.3% margin, so a controlled pilot is essential.</w:t>
      </w:r>
    </w:p>
    <w:p w:rsidR="004D7912" w:rsidRDefault="00CC0A06">
      <w:pPr>
        <w:spacing w:after="120" w:line="360" w:lineRule="auto"/>
        <w:jc w:val="both"/>
      </w:pPr>
      <w:r>
        <w:rPr>
          <w:b/>
          <w:bCs/>
        </w:rPr>
        <w:t>R4: Accelerate predictive supply-chain and store technology.</w:t>
      </w:r>
      <w:r>
        <w:t xml:space="preserve"> Tesco has opened the Aylesford centre, plans London Gateway for 2029 and includes automation and shelf-edge labels in about £1.6bn of FY26/27 capex (Tesco PLC, 2026a; 2026b). It should link demand forecasting to Clubcard purchase patterns and online order books, prioritise availability in convenience and rapid delivery, and report availability and waste KPIs. The main risks are capex competing with price investment and greater cyber exposure.</w:t>
      </w:r>
    </w:p>
    <w:p w:rsidR="004D7912" w:rsidRDefault="00CC0A06">
      <w:pPr>
        <w:spacing w:after="120" w:line="360" w:lineRule="auto"/>
        <w:jc w:val="both"/>
      </w:pPr>
      <w:r>
        <w:rPr>
          <w:b/>
          <w:bCs/>
        </w:rPr>
        <w:t>R5: Strengthen price transparency and sustainability reporting.</w:t>
      </w:r>
      <w:r>
        <w:t xml:space="preserve"> Value for money scores three stars (</w:t>
      </w:r>
      <w:bookmarkStart w:id="0" w:name="_GoBack"/>
      <w:bookmarkEnd w:id="0"/>
      <w:r>
        <w:t>2026), a 2023 Which? analysis challenged some Clubcard “regular” prices (ITV News, 2023), and CMA fines can reach 10% of turnover (RPC, 2025). Tesco should publish plain-English explanations of how Clubcard Prices are set, show non-Clubcard prices and unit prices clearly, obtain independent assurance of its pricing practices, and report interim Scope 3 milestones towards its 2050 value-chain net zero target (Tesco PLC, 2026b). The main risk is a short-term dip in promotional effectiveness, which is outweighed by regulatory and reputational protection.</w:t>
      </w:r>
    </w:p>
    <w:p w:rsidR="004D7912" w:rsidRDefault="00CC0A06">
      <w:pPr>
        <w:spacing w:after="120" w:line="360" w:lineRule="auto"/>
        <w:jc w:val="both"/>
      </w:pPr>
      <w:r>
        <w:rPr>
          <w:b/>
          <w:bCs/>
        </w:rPr>
        <w:t>R6: Embed agile test-learn-scale governance and colleague capability.</w:t>
      </w:r>
      <w:r>
        <w:t xml:space="preserve"> Tesco’s pilot-to-scale record with Whoosh and Your Clubcard Prices shows the capability exists (Tesco PLC, 2026a; 2026c), and agile organisations iterate in short cycles and scale what works (Rigby, Sutherland and Takeuchi, 2016). Because agility is best understood as a bundle of dynamic capabilities enabled by IT, data, culture and leadership (Asghar, </w:t>
      </w:r>
      <w:proofErr w:type="spellStart"/>
      <w:r>
        <w:t>Kanbach</w:t>
      </w:r>
      <w:proofErr w:type="spellEnd"/>
      <w:r>
        <w:t xml:space="preserve"> and Kraus, 2025), the stage-gates should measure these enablers rather than treat agility as a slogan. Tesco should formalise stage-gates based on customer KPIs, create cross-functional teams across stores, </w:t>
      </w:r>
      <w:r>
        <w:lastRenderedPageBreak/>
        <w:t>online and data, and invest in data and AI skills for colleagues. The main risk is change fatigue among colleagues, mitigated by involving them in trials, as in the 280,000-colleague AI trial (Retail Insight Network, 2026).</w:t>
      </w:r>
    </w:p>
    <w:p w:rsidR="004D7912" w:rsidRDefault="00CC0A06">
      <w:pPr>
        <w:spacing w:after="120" w:line="360" w:lineRule="auto"/>
        <w:jc w:val="both"/>
      </w:pPr>
      <w:r>
        <w:rPr>
          <w:b/>
          <w:bCs/>
        </w:rPr>
        <w:t>Sequencing and stage-gates.</w:t>
      </w:r>
      <w:r>
        <w:t xml:space="preserve"> R2, R5 and R1 (reliability, transparency and personalisation) are the first priorities; R3 and R4 follow once pilots provide evidence; R6 runs throughout. Table 14 sets out the phases, decision points and risks. Funding should come from Save to Invest savings and the existing capex envelope rather than new borrowing (Tesco PLC, 2026a), although a full financial appraisal is outside the scope of this report.</w:t>
      </w:r>
    </w:p>
    <w:p w:rsidR="004D7912" w:rsidRDefault="00CC0A06">
      <w:pPr>
        <w:keepNext/>
        <w:spacing w:before="160" w:after="80"/>
      </w:pPr>
      <w:r>
        <w:rPr>
          <w:b/>
          <w:bCs/>
          <w:sz w:val="22"/>
          <w:szCs w:val="22"/>
        </w:rPr>
        <w:t>Table 14: Implementation roadmap, stage-gates and risks</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50"/>
        <w:gridCol w:w="3000"/>
        <w:gridCol w:w="2700"/>
        <w:gridCol w:w="2077"/>
      </w:tblGrid>
      <w:tr w:rsidR="004D7912">
        <w:tblPrEx>
          <w:tblCellMar>
            <w:top w:w="0" w:type="dxa"/>
            <w:bottom w:w="0" w:type="dxa"/>
          </w:tblCellMar>
        </w:tblPrEx>
        <w:trPr>
          <w:cantSplit/>
          <w:tblHeader/>
        </w:trPr>
        <w:tc>
          <w:tcPr>
            <w:tcW w:w="125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Phase</w:t>
            </w:r>
          </w:p>
        </w:tc>
        <w:tc>
          <w:tcPr>
            <w:tcW w:w="30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Actions</w:t>
            </w:r>
          </w:p>
        </w:tc>
        <w:tc>
          <w:tcPr>
            <w:tcW w:w="2700"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Stage-gate (decision rule)</w:t>
            </w:r>
          </w:p>
        </w:tc>
        <w:tc>
          <w:tcPr>
            <w:tcW w:w="2077" w:type="dxa"/>
            <w:tcBorders>
              <w:top w:val="single" w:sz="4" w:space="0" w:color="BFBFBF"/>
              <w:left w:val="single" w:sz="4" w:space="0" w:color="BFBFBF"/>
              <w:bottom w:val="single" w:sz="4" w:space="0" w:color="BFBFBF"/>
              <w:right w:val="single" w:sz="4" w:space="0" w:color="BFBFBF"/>
            </w:tcBorders>
            <w:shd w:val="clear" w:color="auto" w:fill="DCE6F2"/>
            <w:tcMar>
              <w:top w:w="60" w:type="dxa"/>
              <w:left w:w="90" w:type="dxa"/>
              <w:bottom w:w="40" w:type="dxa"/>
              <w:right w:w="90" w:type="dxa"/>
            </w:tcMar>
          </w:tcPr>
          <w:p w:rsidR="004D7912" w:rsidRDefault="00CC0A06">
            <w:pPr>
              <w:spacing w:after="60" w:line="252" w:lineRule="auto"/>
            </w:pPr>
            <w:r>
              <w:rPr>
                <w:b/>
                <w:bCs/>
                <w:sz w:val="19"/>
                <w:szCs w:val="19"/>
              </w:rPr>
              <w:t>Main risk and mitigation</w:t>
            </w:r>
          </w:p>
        </w:tc>
      </w:tr>
      <w:tr w:rsidR="004D7912">
        <w:tblPrEx>
          <w:tblCellMar>
            <w:top w:w="0" w:type="dxa"/>
            <w:bottom w:w="0" w:type="dxa"/>
          </w:tblCellMar>
        </w:tblPrEx>
        <w:trPr>
          <w:cantSplit/>
        </w:trPr>
        <w:tc>
          <w:tcPr>
            <w:tcW w:w="1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Phase 1 (0–12 months)</w:t>
            </w:r>
          </w:p>
        </w:tc>
        <w:tc>
          <w:tcPr>
            <w:tcW w:w="3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R2: set substitution-acceptance baseline and pilot preference-based substitution (H2). R5: publish pricing explanations and obtain assurance. R1: extend Your Clubcard Prices with a hold-out group (H1) and prepare the customer assistant launch.</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Proceed to scale R1 only if H1 shows uplift net of discount cost; proceed with R2 policy that wins the H2 test.</w:t>
            </w:r>
          </w:p>
        </w:tc>
        <w:tc>
          <w:tcPr>
            <w:tcW w:w="20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Privacy or accuracy failure: human oversight and consent controls (GOV.UK, 2025).</w:t>
            </w:r>
          </w:p>
        </w:tc>
      </w:tr>
      <w:tr w:rsidR="004D7912">
        <w:tblPrEx>
          <w:tblCellMar>
            <w:top w:w="0" w:type="dxa"/>
            <w:bottom w:w="0" w:type="dxa"/>
          </w:tblCellMar>
        </w:tblPrEx>
        <w:trPr>
          <w:cantSplit/>
        </w:trPr>
        <w:tc>
          <w:tcPr>
            <w:tcW w:w="1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Phase 2 (12–24 months)</w:t>
            </w:r>
          </w:p>
        </w:tc>
        <w:tc>
          <w:tcPr>
            <w:tcW w:w="3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R3: pilot a unified membership tiers (H3). R4: link demand forecasting to Clubcard and online order data; report availability and waste KPIs.</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Scale R3 only if retention uplift multiplied by margin exceeds discount cost; hold R4 spend within the capex envelope.</w:t>
            </w:r>
          </w:p>
        </w:tc>
        <w:tc>
          <w:tcPr>
            <w:tcW w:w="20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Margin dilution and capex competing with price: controlled pilots and break-even modelling.</w:t>
            </w:r>
          </w:p>
        </w:tc>
      </w:tr>
      <w:tr w:rsidR="004D7912">
        <w:tblPrEx>
          <w:tblCellMar>
            <w:top w:w="0" w:type="dxa"/>
            <w:bottom w:w="0" w:type="dxa"/>
          </w:tblCellMar>
        </w:tblPrEx>
        <w:trPr>
          <w:cantSplit/>
        </w:trPr>
        <w:tc>
          <w:tcPr>
            <w:tcW w:w="125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Phase 3 (24–36 months)</w:t>
            </w:r>
          </w:p>
        </w:tc>
        <w:tc>
          <w:tcPr>
            <w:tcW w:w="30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R6: embed stage-gates and colleague skills across stores, online and data teams. Review hybrid positioning against H4.</w:t>
            </w:r>
          </w:p>
        </w:tc>
        <w:tc>
          <w:tcPr>
            <w:tcW w:w="2700"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Reconsider positioning if the H4 trigger is met.</w:t>
            </w:r>
          </w:p>
        </w:tc>
        <w:tc>
          <w:tcPr>
            <w:tcW w:w="2077" w:type="dxa"/>
            <w:tcBorders>
              <w:top w:val="single" w:sz="4" w:space="0" w:color="BFBFBF"/>
              <w:left w:val="single" w:sz="4" w:space="0" w:color="BFBFBF"/>
              <w:bottom w:val="single" w:sz="4" w:space="0" w:color="BFBFBF"/>
              <w:right w:val="single" w:sz="4" w:space="0" w:color="BFBFBF"/>
            </w:tcBorders>
            <w:tcMar>
              <w:top w:w="60" w:type="dxa"/>
              <w:left w:w="90" w:type="dxa"/>
              <w:bottom w:w="40" w:type="dxa"/>
              <w:right w:w="90" w:type="dxa"/>
            </w:tcMar>
          </w:tcPr>
          <w:p w:rsidR="004D7912" w:rsidRDefault="00CC0A06">
            <w:pPr>
              <w:spacing w:after="60" w:line="252" w:lineRule="auto"/>
            </w:pPr>
            <w:r>
              <w:rPr>
                <w:sz w:val="19"/>
                <w:szCs w:val="19"/>
              </w:rPr>
              <w:t>Change fatigue: co-design with colleagues, as in the 280,000-colleague trial (Retail Insight Network, 2026).</w:t>
            </w:r>
          </w:p>
        </w:tc>
      </w:tr>
    </w:tbl>
    <w:p w:rsidR="004D7912" w:rsidRDefault="00CC0A06">
      <w:pPr>
        <w:spacing w:before="60" w:after="200"/>
      </w:pPr>
      <w:r>
        <w:rPr>
          <w:i/>
          <w:iCs/>
          <w:sz w:val="19"/>
          <w:szCs w:val="19"/>
        </w:rPr>
        <w:t>Source: author’s analysis; timings are indicative.</w:t>
      </w:r>
    </w:p>
    <w:p w:rsidR="004D7912" w:rsidRDefault="00CC0A06">
      <w:pPr>
        <w:pStyle w:val="Heading1"/>
        <w:pageBreakBefore/>
      </w:pPr>
      <w:r>
        <w:lastRenderedPageBreak/>
        <w:t>6. References</w:t>
      </w:r>
    </w:p>
    <w:p w:rsidR="004D7912" w:rsidRDefault="00CC0A06">
      <w:pPr>
        <w:spacing w:after="120" w:line="300" w:lineRule="auto"/>
        <w:ind w:left="567" w:hanging="567"/>
      </w:pPr>
      <w:r>
        <w:t xml:space="preserve">ACS (no date) </w:t>
      </w:r>
      <w:r>
        <w:rPr>
          <w:i/>
          <w:iCs/>
        </w:rPr>
        <w:t>HFSS regulations</w:t>
      </w:r>
      <w:r>
        <w:t>. Available at: https://www.acs.org.uk/advice/hfss-regulations (Accessed: 9 October 2026).</w:t>
      </w:r>
    </w:p>
    <w:p w:rsidR="004D7912" w:rsidRDefault="00CC0A06">
      <w:pPr>
        <w:spacing w:after="120" w:line="300" w:lineRule="auto"/>
        <w:ind w:left="567" w:hanging="567"/>
      </w:pPr>
      <w:r>
        <w:t xml:space="preserve">AI News (2025) ‘Tesco signs three-year AI deal centred on customer experience’, </w:t>
      </w:r>
      <w:r>
        <w:rPr>
          <w:i/>
          <w:iCs/>
        </w:rPr>
        <w:t>Artificial Intelligence News</w:t>
      </w:r>
      <w:r>
        <w:t>, 22 December. Available at: https://www.artificialintelligence-news.com/news/tesco-signs-three-year-ai-deal-centred-on-customer-experience/ (Accessed: 9 October 2026).</w:t>
      </w:r>
    </w:p>
    <w:p w:rsidR="004D7912" w:rsidRDefault="00CC0A06">
      <w:pPr>
        <w:spacing w:after="120" w:line="300" w:lineRule="auto"/>
        <w:ind w:left="567" w:hanging="567"/>
      </w:pPr>
      <w:r>
        <w:t xml:space="preserve">Ansoff, H.I. (1957) ‘Strategies for diversification’, </w:t>
      </w:r>
      <w:r>
        <w:rPr>
          <w:i/>
          <w:iCs/>
        </w:rPr>
        <w:t>Harvard Business Review</w:t>
      </w:r>
      <w:r>
        <w:t>, 35(5), pp. 113–124.</w:t>
      </w:r>
    </w:p>
    <w:p w:rsidR="004D7912" w:rsidRDefault="00CC0A06">
      <w:pPr>
        <w:spacing w:after="120" w:line="300" w:lineRule="auto"/>
        <w:ind w:left="567" w:hanging="567"/>
      </w:pPr>
      <w:r>
        <w:t xml:space="preserve">Asghar, J., </w:t>
      </w:r>
      <w:proofErr w:type="spellStart"/>
      <w:r>
        <w:t>Kanbach</w:t>
      </w:r>
      <w:proofErr w:type="spellEnd"/>
      <w:r>
        <w:t xml:space="preserve">, D.K. and Kraus, S. (2025) ‘Toward a multidimensional concept of organizational agility: a systematic literature review’, </w:t>
      </w:r>
      <w:r>
        <w:rPr>
          <w:i/>
          <w:iCs/>
        </w:rPr>
        <w:t>Management Review Quarterly</w:t>
      </w:r>
      <w:r>
        <w:t>, 76(1), pp. 885–911. doi:10.1007/s11301-025-00497-6.</w:t>
      </w:r>
    </w:p>
    <w:p w:rsidR="004D7912" w:rsidRDefault="00CC0A06">
      <w:pPr>
        <w:spacing w:after="120" w:line="300" w:lineRule="auto"/>
        <w:ind w:left="567" w:hanging="567"/>
      </w:pPr>
      <w:proofErr w:type="spellStart"/>
      <w:r>
        <w:t>Baehre</w:t>
      </w:r>
      <w:proofErr w:type="spellEnd"/>
      <w:r>
        <w:t xml:space="preserve">, S., </w:t>
      </w:r>
      <w:proofErr w:type="spellStart"/>
      <w:r>
        <w:t>O’Dwyer</w:t>
      </w:r>
      <w:proofErr w:type="spellEnd"/>
      <w:r>
        <w:t xml:space="preserve">, M., O’Malley, L. and Lee, N. (2022) ‘The use of Net Promoter Score (NPS) to predict sales growth: insights from an empirical investigation’, </w:t>
      </w:r>
      <w:r>
        <w:rPr>
          <w:i/>
          <w:iCs/>
        </w:rPr>
        <w:t>Journal of the Academy of Marketing Science</w:t>
      </w:r>
      <w:r>
        <w:t>, 50, pp. 67–84. doi:10.1007/s11747-021-00790-2.</w:t>
      </w:r>
    </w:p>
    <w:p w:rsidR="004D7912" w:rsidRDefault="00CC0A06">
      <w:pPr>
        <w:spacing w:after="120" w:line="300" w:lineRule="auto"/>
        <w:ind w:left="567" w:hanging="567"/>
      </w:pPr>
      <w:r>
        <w:t xml:space="preserve">Bank of England (2026) </w:t>
      </w:r>
      <w:r>
        <w:rPr>
          <w:i/>
          <w:iCs/>
        </w:rPr>
        <w:t>Monetary Policy Summary, September 2026</w:t>
      </w:r>
      <w:r>
        <w:t>. Available at: https://www.bankofengland.co.uk/monetary-policy-summary-and-minutes/2026/september-2026 (Accessed: 9 October 2026).</w:t>
      </w:r>
    </w:p>
    <w:p w:rsidR="004D7912" w:rsidRDefault="00CC0A06">
      <w:pPr>
        <w:spacing w:after="120" w:line="300" w:lineRule="auto"/>
        <w:ind w:left="567" w:hanging="567"/>
      </w:pPr>
      <w:r>
        <w:t xml:space="preserve">Barney, J. (1991) ‘Firm resources and sustained competitive advantage’, </w:t>
      </w:r>
      <w:r>
        <w:rPr>
          <w:i/>
          <w:iCs/>
        </w:rPr>
        <w:t>Journal of Management</w:t>
      </w:r>
      <w:r>
        <w:t>, 17(1), pp. 99–120.</w:t>
      </w:r>
    </w:p>
    <w:p w:rsidR="004D7912" w:rsidRDefault="00CC0A06">
      <w:pPr>
        <w:spacing w:after="120" w:line="300" w:lineRule="auto"/>
        <w:ind w:left="567" w:hanging="567"/>
      </w:pPr>
      <w:r>
        <w:t xml:space="preserve">Barney, J.B. (1995) ‘Looking inside for competitive advantage’, </w:t>
      </w:r>
      <w:r>
        <w:rPr>
          <w:i/>
          <w:iCs/>
        </w:rPr>
        <w:t>Academy of Management Executive</w:t>
      </w:r>
      <w:r>
        <w:t>, 9(4), pp. 49–61.</w:t>
      </w:r>
    </w:p>
    <w:p w:rsidR="004D7912" w:rsidRDefault="00CC0A06">
      <w:pPr>
        <w:spacing w:after="120" w:line="300" w:lineRule="auto"/>
        <w:ind w:left="567" w:hanging="567"/>
      </w:pPr>
      <w:r>
        <w:t xml:space="preserve">Bowman, C. and Faulkner, D. (1997) </w:t>
      </w:r>
      <w:r>
        <w:rPr>
          <w:i/>
          <w:iCs/>
        </w:rPr>
        <w:t>Competitive and corporate strategy</w:t>
      </w:r>
      <w:r>
        <w:t>. London: Irwin.</w:t>
      </w:r>
    </w:p>
    <w:p w:rsidR="004D7912" w:rsidRDefault="00CC0A06">
      <w:pPr>
        <w:spacing w:after="120" w:line="300" w:lineRule="auto"/>
        <w:ind w:left="567" w:hanging="567"/>
      </w:pPr>
      <w:proofErr w:type="spellStart"/>
      <w:r>
        <w:t>Dorotic</w:t>
      </w:r>
      <w:proofErr w:type="spellEnd"/>
      <w:r>
        <w:t xml:space="preserve">, M., </w:t>
      </w:r>
      <w:proofErr w:type="spellStart"/>
      <w:r>
        <w:t>Bijmolt</w:t>
      </w:r>
      <w:proofErr w:type="spellEnd"/>
      <w:r>
        <w:t xml:space="preserve">, T.H.A. and </w:t>
      </w:r>
      <w:proofErr w:type="spellStart"/>
      <w:r>
        <w:t>Verhoef</w:t>
      </w:r>
      <w:proofErr w:type="spellEnd"/>
      <w:r>
        <w:t xml:space="preserve">, P.C. (2012) ‘Loyalty programmes: current knowledge and research directions’, </w:t>
      </w:r>
      <w:r>
        <w:rPr>
          <w:i/>
          <w:iCs/>
        </w:rPr>
        <w:t>International Journal of Management Reviews</w:t>
      </w:r>
      <w:r>
        <w:t>, 14(3), pp. 217–237.</w:t>
      </w:r>
    </w:p>
    <w:p w:rsidR="004D7912" w:rsidRDefault="00CC0A06">
      <w:pPr>
        <w:spacing w:after="120" w:line="300" w:lineRule="auto"/>
        <w:ind w:left="567" w:hanging="567"/>
      </w:pPr>
      <w:r>
        <w:t xml:space="preserve">El </w:t>
      </w:r>
      <w:proofErr w:type="spellStart"/>
      <w:r>
        <w:t>Shafeey</w:t>
      </w:r>
      <w:proofErr w:type="spellEnd"/>
      <w:r>
        <w:t xml:space="preserve">, T. and Trott, P. (2014) ‘Resource-based competition: three schools of thought and thirteen criticisms’, </w:t>
      </w:r>
      <w:r>
        <w:rPr>
          <w:i/>
          <w:iCs/>
        </w:rPr>
        <w:t>European Business Review</w:t>
      </w:r>
      <w:r>
        <w:t>, 26(2), pp. 122–148. doi:10.1108/EBR-07-2013-0096.</w:t>
      </w:r>
    </w:p>
    <w:p w:rsidR="004D7912" w:rsidRDefault="00CC0A06">
      <w:pPr>
        <w:spacing w:after="120" w:line="300" w:lineRule="auto"/>
        <w:ind w:left="567" w:hanging="567"/>
      </w:pPr>
      <w:r>
        <w:t xml:space="preserve">GOV.UK (2025) </w:t>
      </w:r>
      <w:r>
        <w:rPr>
          <w:i/>
          <w:iCs/>
        </w:rPr>
        <w:t>Data (Use and Access) Act 2025: data protection and privacy changes</w:t>
      </w:r>
      <w:r>
        <w:t>. Available at: https://www.gov.uk/guidance/data-use-and-access-act-2025-data-protection-and-privacy-changes (Accessed: 9 October 2026).</w:t>
      </w:r>
    </w:p>
    <w:p w:rsidR="004D7912" w:rsidRDefault="00CC0A06">
      <w:pPr>
        <w:spacing w:after="120" w:line="300" w:lineRule="auto"/>
        <w:ind w:left="567" w:hanging="567"/>
      </w:pPr>
      <w:proofErr w:type="spellStart"/>
      <w:r>
        <w:t>Hallikainen</w:t>
      </w:r>
      <w:proofErr w:type="spellEnd"/>
      <w:r>
        <w:t xml:space="preserve">, H., </w:t>
      </w:r>
      <w:proofErr w:type="spellStart"/>
      <w:r>
        <w:t>Luongo</w:t>
      </w:r>
      <w:proofErr w:type="spellEnd"/>
      <w:r>
        <w:t xml:space="preserve">, M., </w:t>
      </w:r>
      <w:proofErr w:type="spellStart"/>
      <w:r>
        <w:t>Dhir</w:t>
      </w:r>
      <w:proofErr w:type="spellEnd"/>
      <w:r>
        <w:t xml:space="preserve">, A. and Laukkanen, T. (2022) ‘Consequences of personalized product recommendations and price promotions in online grocery shopping’, </w:t>
      </w:r>
      <w:r>
        <w:rPr>
          <w:i/>
          <w:iCs/>
        </w:rPr>
        <w:t>Journal of Retailing and Consumer Services</w:t>
      </w:r>
      <w:r>
        <w:t xml:space="preserve">, 69, article 103088. </w:t>
      </w:r>
      <w:proofErr w:type="gramStart"/>
      <w:r>
        <w:t>doi:10.1016/j.jretconser</w:t>
      </w:r>
      <w:proofErr w:type="gramEnd"/>
      <w:r>
        <w:t>.2022.103088.</w:t>
      </w:r>
    </w:p>
    <w:p w:rsidR="004D7912" w:rsidRDefault="00CC0A06">
      <w:pPr>
        <w:spacing w:after="120" w:line="300" w:lineRule="auto"/>
        <w:ind w:left="567" w:hanging="567"/>
      </w:pPr>
      <w:r>
        <w:lastRenderedPageBreak/>
        <w:t xml:space="preserve">HM Revenue &amp; Customs (2026) </w:t>
      </w:r>
      <w:r>
        <w:rPr>
          <w:i/>
          <w:iCs/>
        </w:rPr>
        <w:t>Rates and thresholds for employers 2026 to 2027</w:t>
      </w:r>
      <w:r>
        <w:t>. Available at: https://www.gov.uk/guidance/rates-and-thresholds-for-employers-2026-to-2027 (Accessed: 9 October 2026).</w:t>
      </w:r>
    </w:p>
    <w:p w:rsidR="004D7912" w:rsidRDefault="00CC0A06">
      <w:pPr>
        <w:spacing w:after="120" w:line="300" w:lineRule="auto"/>
        <w:ind w:left="567" w:hanging="567"/>
      </w:pPr>
      <w:proofErr w:type="spellStart"/>
      <w:r>
        <w:t>Humby</w:t>
      </w:r>
      <w:proofErr w:type="spellEnd"/>
      <w:r>
        <w:t xml:space="preserve">, C., Hunt, T. and Phillips, T. (2007) </w:t>
      </w:r>
      <w:r>
        <w:rPr>
          <w:i/>
          <w:iCs/>
        </w:rPr>
        <w:t>Scoring points: how Tesco continues to win customer loyalty</w:t>
      </w:r>
      <w:r>
        <w:t xml:space="preserve">. 2nd </w:t>
      </w:r>
      <w:proofErr w:type="spellStart"/>
      <w:r>
        <w:t>edn</w:t>
      </w:r>
      <w:proofErr w:type="spellEnd"/>
      <w:r>
        <w:t>. London: Kogan Page.</w:t>
      </w:r>
    </w:p>
    <w:p w:rsidR="004D7912" w:rsidRDefault="00CC0A06">
      <w:pPr>
        <w:spacing w:after="120" w:line="300" w:lineRule="auto"/>
        <w:ind w:left="567" w:hanging="567"/>
      </w:pPr>
      <w:r>
        <w:t xml:space="preserve">IG (2026) </w:t>
      </w:r>
      <w:r>
        <w:rPr>
          <w:i/>
          <w:iCs/>
        </w:rPr>
        <w:t>Tesco interim results preview</w:t>
      </w:r>
      <w:r>
        <w:t>. Available at: https://www.ig.com/uk/news-and-trade-ideas/tesco-interim-results-preview--can-strong-market-share-gains-off-260928 (Accessed: 9 October 2026).</w:t>
      </w:r>
    </w:p>
    <w:p w:rsidR="004D7912" w:rsidRDefault="00CC0A06">
      <w:pPr>
        <w:spacing w:after="120" w:line="300" w:lineRule="auto"/>
        <w:ind w:left="567" w:hanging="567"/>
      </w:pPr>
      <w:r>
        <w:t xml:space="preserve">Investing.com (2026) </w:t>
      </w:r>
      <w:r>
        <w:rPr>
          <w:i/>
          <w:iCs/>
        </w:rPr>
        <w:t>Tesco FY 2025/26 slides: market share hits decade high on customer focus</w:t>
      </w:r>
      <w:r>
        <w:t>. Available at: https://www.investing.com/news/company-news/tesco-fy-202526-slides-market-share-hits-decade-high-on-customer-focus-93CH-4617412 (Accessed: 9 October 2026).</w:t>
      </w:r>
    </w:p>
    <w:p w:rsidR="004D7912" w:rsidRDefault="00CC0A06">
      <w:pPr>
        <w:spacing w:after="120" w:line="300" w:lineRule="auto"/>
        <w:ind w:left="567" w:hanging="567"/>
      </w:pPr>
      <w:r>
        <w:t>ITV News (2023) ‘A third of Tesco and Sainsbury’s loyalty card prices “not as good as they seem”, watchdog warns’, 15 September. Available at: https://www.itv.com/news/2023-09-15/supermarket-loyalty-card-prices-not-all-theyre-cracked-up-to-be (Accessed: 9 October 2026).</w:t>
      </w:r>
    </w:p>
    <w:p w:rsidR="004D7912" w:rsidRDefault="00CC0A06">
      <w:pPr>
        <w:spacing w:after="120" w:line="300" w:lineRule="auto"/>
        <w:ind w:left="567" w:hanging="567"/>
      </w:pPr>
      <w:r>
        <w:t xml:space="preserve">Jaramillo, S., </w:t>
      </w:r>
      <w:proofErr w:type="spellStart"/>
      <w:r>
        <w:t>Deitz</w:t>
      </w:r>
      <w:proofErr w:type="spellEnd"/>
      <w:r>
        <w:t xml:space="preserve">, G., Hansen, J.D. and </w:t>
      </w:r>
      <w:proofErr w:type="spellStart"/>
      <w:r>
        <w:t>Babakus</w:t>
      </w:r>
      <w:proofErr w:type="spellEnd"/>
      <w:r>
        <w:t xml:space="preserve">, E. (2024) ‘Taking the measure of net promoter score: an assessment of construct and predictive validity’, </w:t>
      </w:r>
      <w:r>
        <w:rPr>
          <w:i/>
          <w:iCs/>
        </w:rPr>
        <w:t>International Journal of Market Research</w:t>
      </w:r>
      <w:r>
        <w:t>, 66(2–3), pp. 278–302. doi:10.1177/14707853231213274.</w:t>
      </w:r>
    </w:p>
    <w:p w:rsidR="004D7912" w:rsidRDefault="00CC0A06">
      <w:pPr>
        <w:spacing w:after="120" w:line="300" w:lineRule="auto"/>
        <w:ind w:left="567" w:hanging="567"/>
      </w:pPr>
      <w:r>
        <w:t xml:space="preserve">Lemon, K.N. and </w:t>
      </w:r>
      <w:proofErr w:type="spellStart"/>
      <w:r>
        <w:t>Verhoef</w:t>
      </w:r>
      <w:proofErr w:type="spellEnd"/>
      <w:r>
        <w:t xml:space="preserve">, P.C. (2016) ‘Understanding customer experience throughout the customer journey’, </w:t>
      </w:r>
      <w:r>
        <w:rPr>
          <w:i/>
          <w:iCs/>
        </w:rPr>
        <w:t>Journal of Marketing</w:t>
      </w:r>
      <w:r>
        <w:t>, 80(6), pp. 69–96.</w:t>
      </w:r>
    </w:p>
    <w:p w:rsidR="004D7912" w:rsidRDefault="00CC0A06">
      <w:pPr>
        <w:spacing w:after="120" w:line="300" w:lineRule="auto"/>
        <w:ind w:left="567" w:hanging="567"/>
      </w:pPr>
      <w:r>
        <w:t xml:space="preserve">Office for National Statistics (2026) </w:t>
      </w:r>
      <w:r>
        <w:rPr>
          <w:i/>
          <w:iCs/>
        </w:rPr>
        <w:t>Consumer price inflation, UK: August 2026</w:t>
      </w:r>
      <w:r>
        <w:t>. Available at: https://www.ons.gov.uk/economy/inflationandpriceindices/bulletins/consumerpriceinflation/august2026 (Accessed: 9 October 2026).</w:t>
      </w:r>
    </w:p>
    <w:p w:rsidR="004D7912" w:rsidRDefault="00CC0A06">
      <w:pPr>
        <w:spacing w:after="120" w:line="300" w:lineRule="auto"/>
        <w:ind w:left="567" w:hanging="567"/>
      </w:pPr>
      <w:r>
        <w:t xml:space="preserve">Porter, M.E. (2008) ‘The five competitive forces that shape strategy’, </w:t>
      </w:r>
      <w:r>
        <w:rPr>
          <w:i/>
          <w:iCs/>
        </w:rPr>
        <w:t>Harvard Business Review</w:t>
      </w:r>
      <w:r>
        <w:t>, 86(1), pp. 78–93.</w:t>
      </w:r>
    </w:p>
    <w:p w:rsidR="004D7912" w:rsidRDefault="00CC0A06">
      <w:pPr>
        <w:spacing w:after="120" w:line="300" w:lineRule="auto"/>
        <w:ind w:left="567" w:hanging="567"/>
      </w:pPr>
      <w:r>
        <w:t xml:space="preserve">Prahalad, C.K. and Hamel, G. (1990) ‘The core competence of the corporation’, </w:t>
      </w:r>
      <w:r>
        <w:rPr>
          <w:i/>
          <w:iCs/>
        </w:rPr>
        <w:t>Harvard Business Review</w:t>
      </w:r>
      <w:r>
        <w:t>, 68(3), pp. 79–91.</w:t>
      </w:r>
    </w:p>
    <w:p w:rsidR="004D7912" w:rsidRDefault="00CC0A06">
      <w:pPr>
        <w:spacing w:after="120" w:line="300" w:lineRule="auto"/>
        <w:ind w:left="567" w:hanging="567"/>
      </w:pPr>
      <w:r>
        <w:t xml:space="preserve">Reichheld, F.F. (2003) ‘The one number you need to grow’, </w:t>
      </w:r>
      <w:r>
        <w:rPr>
          <w:i/>
          <w:iCs/>
        </w:rPr>
        <w:t>Harvard Business Review</w:t>
      </w:r>
      <w:r>
        <w:t>, 81(12), pp. 46–54.</w:t>
      </w:r>
    </w:p>
    <w:p w:rsidR="004D7912" w:rsidRDefault="00CC0A06">
      <w:pPr>
        <w:spacing w:after="120" w:line="300" w:lineRule="auto"/>
        <w:ind w:left="567" w:hanging="567"/>
      </w:pPr>
      <w:r>
        <w:t>Retail Insight Network (2026) ‘Tesco pilots AI assistant UK’, 10 April. Available at: https://www.retail-insight-network.com/news/tesco-pilots-ai-assistant-uk/ (Accessed: 9 October 2026).</w:t>
      </w:r>
    </w:p>
    <w:p w:rsidR="004D7912" w:rsidRDefault="00CC0A06">
      <w:pPr>
        <w:spacing w:after="120" w:line="300" w:lineRule="auto"/>
        <w:ind w:left="567" w:hanging="567"/>
      </w:pPr>
      <w:r>
        <w:t xml:space="preserve">Rigby, D.K., Sutherland, J. and Takeuchi, H. (2016) ‘Embracing agile’, </w:t>
      </w:r>
      <w:r>
        <w:rPr>
          <w:i/>
          <w:iCs/>
        </w:rPr>
        <w:t>Harvard Business Review</w:t>
      </w:r>
      <w:r>
        <w:t>, 94(5), pp. 40–50.</w:t>
      </w:r>
    </w:p>
    <w:p w:rsidR="004D7912" w:rsidRDefault="00CC0A06">
      <w:pPr>
        <w:spacing w:after="120" w:line="300" w:lineRule="auto"/>
        <w:ind w:left="567" w:hanging="567"/>
      </w:pPr>
      <w:r>
        <w:lastRenderedPageBreak/>
        <w:t xml:space="preserve">Rita, P., Ramos, R.F., Oliveira, P.M. and </w:t>
      </w:r>
      <w:proofErr w:type="spellStart"/>
      <w:r>
        <w:t>Simões</w:t>
      </w:r>
      <w:proofErr w:type="spellEnd"/>
      <w:r>
        <w:t xml:space="preserve">, M.N. (2026) ‘Playing to win: the impact of gamified loyalty programs in grocery retail’, </w:t>
      </w:r>
      <w:r>
        <w:rPr>
          <w:i/>
          <w:iCs/>
        </w:rPr>
        <w:t>Spanish Journal of Marketing – ESIC</w:t>
      </w:r>
      <w:r>
        <w:t>. doi:10.1108/SJME-10-2024-0276 (online first).</w:t>
      </w:r>
    </w:p>
    <w:p w:rsidR="004D7912" w:rsidRDefault="00CC0A06">
      <w:pPr>
        <w:spacing w:after="120" w:line="300" w:lineRule="auto"/>
        <w:ind w:left="567" w:hanging="567"/>
      </w:pPr>
      <w:r>
        <w:t xml:space="preserve">RPC (2025) </w:t>
      </w:r>
      <w:r>
        <w:rPr>
          <w:i/>
          <w:iCs/>
        </w:rPr>
        <w:t>6 April 2025 – date confirmed for UK consumer protection law regime overhaul</w:t>
      </w:r>
      <w:r>
        <w:t>. Available at: https://brc.org.uk/news-and-events/news/associate-insight/2025/6-april-2025-date-confirmed-for-uk-consumer-protection-law-regime-overhaul/ (Accessed: 9 October 2026).</w:t>
      </w:r>
    </w:p>
    <w:p w:rsidR="004D7912" w:rsidRDefault="00CC0A06">
      <w:pPr>
        <w:spacing w:after="120" w:line="300" w:lineRule="auto"/>
        <w:ind w:left="567" w:hanging="567"/>
      </w:pPr>
      <w:r>
        <w:t xml:space="preserve">Sousa, R., </w:t>
      </w:r>
      <w:proofErr w:type="spellStart"/>
      <w:r>
        <w:t>Rabinovich</w:t>
      </w:r>
      <w:proofErr w:type="spellEnd"/>
      <w:r>
        <w:t xml:space="preserve">, E. and Ribeiro, R. (2025) ‘Consumer willingness to accept product substitutions in online orders in grocery retail: implications for fulfilment operations’, </w:t>
      </w:r>
      <w:r>
        <w:rPr>
          <w:i/>
          <w:iCs/>
        </w:rPr>
        <w:t xml:space="preserve">32nd </w:t>
      </w:r>
      <w:proofErr w:type="spellStart"/>
      <w:r>
        <w:rPr>
          <w:i/>
          <w:iCs/>
        </w:rPr>
        <w:t>EurOMA</w:t>
      </w:r>
      <w:proofErr w:type="spellEnd"/>
      <w:r>
        <w:rPr>
          <w:i/>
          <w:iCs/>
        </w:rPr>
        <w:t xml:space="preserve"> Annual Conference</w:t>
      </w:r>
      <w:r>
        <w:t>, Milan, Italy, 13–18 June 2025.</w:t>
      </w:r>
    </w:p>
    <w:p w:rsidR="004D7912" w:rsidRDefault="00CC0A06">
      <w:pPr>
        <w:spacing w:after="120" w:line="300" w:lineRule="auto"/>
        <w:ind w:left="567" w:hanging="567"/>
      </w:pPr>
      <w:r>
        <w:t xml:space="preserve">Teece, D.J., Pisano, G. and </w:t>
      </w:r>
      <w:proofErr w:type="spellStart"/>
      <w:r>
        <w:t>Shuen</w:t>
      </w:r>
      <w:proofErr w:type="spellEnd"/>
      <w:r>
        <w:t xml:space="preserve">, A. (1997) ‘Dynamic capabilities and strategic management’, </w:t>
      </w:r>
      <w:r>
        <w:rPr>
          <w:i/>
          <w:iCs/>
        </w:rPr>
        <w:t>Strategic Management Journal</w:t>
      </w:r>
      <w:r>
        <w:t>, 18(7), pp. 509–533.</w:t>
      </w:r>
    </w:p>
    <w:p w:rsidR="004D7912" w:rsidRDefault="00CC0A06">
      <w:pPr>
        <w:spacing w:after="120" w:line="300" w:lineRule="auto"/>
        <w:ind w:left="567" w:hanging="567"/>
      </w:pPr>
      <w:r>
        <w:t xml:space="preserve">Tesco Mobile (no date) </w:t>
      </w:r>
      <w:r>
        <w:rPr>
          <w:i/>
          <w:iCs/>
        </w:rPr>
        <w:t>Clubcard Plus</w:t>
      </w:r>
      <w:r>
        <w:t>. Available at: https://www.tescomobile.com/why-tesco-mobile/supermarket-value/clubcard-plus (Accessed: 9 October 2026).</w:t>
      </w:r>
    </w:p>
    <w:p w:rsidR="004D7912" w:rsidRDefault="00CC0A06">
      <w:pPr>
        <w:spacing w:after="120" w:line="300" w:lineRule="auto"/>
        <w:ind w:left="567" w:hanging="567"/>
      </w:pPr>
      <w:r>
        <w:t xml:space="preserve">Tesco PLC (2026a) </w:t>
      </w:r>
      <w:r>
        <w:rPr>
          <w:i/>
          <w:iCs/>
        </w:rPr>
        <w:t>Preliminary results 2025/26</w:t>
      </w:r>
      <w:r>
        <w:t>. Available at: https://www.tescoplc.com/media/ch1fbgss/tesco-plc-preliminary-results-statement-fy26.pdf (Accessed: 9 October 2026).</w:t>
      </w:r>
    </w:p>
    <w:p w:rsidR="004D7912" w:rsidRDefault="00CC0A06">
      <w:pPr>
        <w:spacing w:after="120" w:line="300" w:lineRule="auto"/>
        <w:ind w:left="567" w:hanging="567"/>
      </w:pPr>
      <w:r>
        <w:t xml:space="preserve">Tesco PLC (2026b) </w:t>
      </w:r>
      <w:r>
        <w:rPr>
          <w:i/>
          <w:iCs/>
        </w:rPr>
        <w:t>Annual report and financial statements 2026</w:t>
      </w:r>
      <w:r>
        <w:t>. Available at: https://reports.ticker.app/2138002P5RNKC5W2JZ46/2026-05-14/2138002P5RNKC5W2JZ46-2026-02-28-T01_html.md (Accessed: 9 October 2026).</w:t>
      </w:r>
    </w:p>
    <w:p w:rsidR="004D7912" w:rsidRDefault="00CC0A06">
      <w:pPr>
        <w:spacing w:after="120" w:line="300" w:lineRule="auto"/>
        <w:ind w:left="567" w:hanging="567"/>
      </w:pPr>
      <w:r>
        <w:t xml:space="preserve">Tesco PLC (2026c) </w:t>
      </w:r>
      <w:r>
        <w:rPr>
          <w:i/>
          <w:iCs/>
        </w:rPr>
        <w:t>Q1 2026/27 trading statement</w:t>
      </w:r>
      <w:r>
        <w:t>. Available at: https://www.tescoplc.com/media/mtwpdrg2/tesco_plc_q1_trading_statement_2026-27.pdf (Accessed: 9 October 2026).</w:t>
      </w:r>
    </w:p>
    <w:p w:rsidR="004D7912" w:rsidRDefault="00CC0A06">
      <w:pPr>
        <w:spacing w:after="120" w:line="300" w:lineRule="auto"/>
        <w:ind w:left="567" w:hanging="567"/>
      </w:pPr>
      <w:proofErr w:type="spellStart"/>
      <w:r>
        <w:t>Thaichon</w:t>
      </w:r>
      <w:proofErr w:type="spellEnd"/>
      <w:r>
        <w:t xml:space="preserve">, P., Quach, S., </w:t>
      </w:r>
      <w:proofErr w:type="spellStart"/>
      <w:r>
        <w:t>Barari</w:t>
      </w:r>
      <w:proofErr w:type="spellEnd"/>
      <w:r>
        <w:t xml:space="preserve">, M. and Nguyen, M. (2023) ‘Exploring the role of omnichannel retailing technologies: future research directions’, </w:t>
      </w:r>
      <w:r>
        <w:rPr>
          <w:i/>
          <w:iCs/>
        </w:rPr>
        <w:t>Australasian Marketing Journal</w:t>
      </w:r>
      <w:r>
        <w:t>, 32(2), pp. 162–177. doi:10.1177/14413582231167664.</w:t>
      </w:r>
    </w:p>
    <w:p w:rsidR="004D7912" w:rsidRDefault="00CC0A06">
      <w:pPr>
        <w:spacing w:after="120" w:line="300" w:lineRule="auto"/>
        <w:ind w:left="567" w:hanging="567"/>
      </w:pPr>
      <w:r>
        <w:t xml:space="preserve">Thornhill, S. and White, R.E. (2007) ‘Strategic purity: a multi-industry evaluation of pure vs. hybrid business strategies’, </w:t>
      </w:r>
      <w:r>
        <w:rPr>
          <w:i/>
          <w:iCs/>
        </w:rPr>
        <w:t>Strategic Management Journal</w:t>
      </w:r>
      <w:r>
        <w:t>, 28(5), pp. 553–561. doi:10.1002/smj.606.</w:t>
      </w:r>
    </w:p>
    <w:p w:rsidR="004D7912" w:rsidRDefault="00CC0A06">
      <w:pPr>
        <w:spacing w:after="120" w:line="300" w:lineRule="auto"/>
        <w:ind w:left="567" w:hanging="567"/>
      </w:pPr>
      <w:proofErr w:type="spellStart"/>
      <w:r>
        <w:t>Verhoef</w:t>
      </w:r>
      <w:proofErr w:type="spellEnd"/>
      <w:r>
        <w:t xml:space="preserve">, P.C., Kannan, P.K. and Inman, J.J. (2015) ‘From multi-channel retailing to omni-channel retailing: introduction to the special issue on multi-channel retailing’, </w:t>
      </w:r>
      <w:r>
        <w:rPr>
          <w:i/>
          <w:iCs/>
        </w:rPr>
        <w:t>Journal of Retailing</w:t>
      </w:r>
      <w:r>
        <w:t>, 91(2), pp. 174–181.</w:t>
      </w:r>
    </w:p>
    <w:p w:rsidR="004D7912" w:rsidRDefault="00CC0A06">
      <w:pPr>
        <w:spacing w:after="120" w:line="300" w:lineRule="auto"/>
        <w:ind w:left="567" w:hanging="567"/>
      </w:pPr>
      <w:r>
        <w:t xml:space="preserve">Wait, M. (2022) ‘Grocery loyalty cards: do they work? A customer-centred investigation’, </w:t>
      </w:r>
      <w:r>
        <w:rPr>
          <w:i/>
          <w:iCs/>
        </w:rPr>
        <w:t xml:space="preserve">Acta </w:t>
      </w:r>
      <w:proofErr w:type="spellStart"/>
      <w:r>
        <w:rPr>
          <w:i/>
          <w:iCs/>
        </w:rPr>
        <w:t>Commercii</w:t>
      </w:r>
      <w:proofErr w:type="spellEnd"/>
      <w:r>
        <w:t>, 22(1), article a1056. doi:10.4102/</w:t>
      </w:r>
      <w:proofErr w:type="gramStart"/>
      <w:r>
        <w:t>ac.v</w:t>
      </w:r>
      <w:proofErr w:type="gramEnd"/>
      <w:r>
        <w:t>22i1.1056.</w:t>
      </w:r>
    </w:p>
    <w:p w:rsidR="004D7912" w:rsidRDefault="00CC0A06">
      <w:pPr>
        <w:spacing w:after="120" w:line="300" w:lineRule="auto"/>
        <w:ind w:left="567" w:hanging="567"/>
      </w:pPr>
      <w:r>
        <w:lastRenderedPageBreak/>
        <w:t xml:space="preserve">Walter, A.T. (2021) ‘Organizational agility: ill-defined and somewhat confusing? A systematic literature review and conceptualization’, </w:t>
      </w:r>
      <w:r>
        <w:rPr>
          <w:i/>
          <w:iCs/>
        </w:rPr>
        <w:t>Management Review Quarterly</w:t>
      </w:r>
      <w:r>
        <w:t>, 71(2), pp. 343–391. doi:10.1007/s11301-020-00186-6.</w:t>
      </w:r>
    </w:p>
    <w:p w:rsidR="004D7912" w:rsidRDefault="00CC0A06">
      <w:pPr>
        <w:spacing w:after="120" w:line="300" w:lineRule="auto"/>
        <w:ind w:left="567" w:hanging="567"/>
      </w:pPr>
      <w:proofErr w:type="spellStart"/>
      <w:r>
        <w:t>Weihrich</w:t>
      </w:r>
      <w:proofErr w:type="spellEnd"/>
      <w:r>
        <w:t xml:space="preserve">, H. (1982) ‘The TOWS matrix: a tool for situational analysis’, </w:t>
      </w:r>
      <w:r>
        <w:rPr>
          <w:i/>
          <w:iCs/>
        </w:rPr>
        <w:t>Long Range Planning</w:t>
      </w:r>
      <w:r>
        <w:t>, 15(2), pp. 54–66.</w:t>
      </w:r>
    </w:p>
    <w:p w:rsidR="004D7912" w:rsidRDefault="00CC0A06">
      <w:pPr>
        <w:spacing w:after="120" w:line="300" w:lineRule="auto"/>
        <w:ind w:left="567" w:hanging="567"/>
      </w:pPr>
      <w:r>
        <w:t xml:space="preserve">Which? (2019) </w:t>
      </w:r>
      <w:r>
        <w:rPr>
          <w:i/>
          <w:iCs/>
        </w:rPr>
        <w:t xml:space="preserve">Tesco to launch new Clubcard Plus loyalty scheme – is it worth the </w:t>
      </w:r>
      <w:proofErr w:type="gramStart"/>
      <w:r>
        <w:rPr>
          <w:i/>
          <w:iCs/>
        </w:rPr>
        <w:t>cost?</w:t>
      </w:r>
      <w:r>
        <w:t>,</w:t>
      </w:r>
      <w:proofErr w:type="gramEnd"/>
      <w:r>
        <w:t xml:space="preserve"> 14 October. Available at: https://www.which.co.uk/news/2019/10/tesco-to-launch-new-clubcard-plus-loyalty-scheme-is-it-worth-the-cost/ (Accessed: 9 October 2026).</w:t>
      </w:r>
    </w:p>
    <w:p w:rsidR="004D7912" w:rsidRDefault="00CC0A06">
      <w:pPr>
        <w:spacing w:after="120" w:line="300" w:lineRule="auto"/>
        <w:ind w:left="567" w:hanging="567"/>
      </w:pPr>
      <w:r>
        <w:t xml:space="preserve">Which? (2026) </w:t>
      </w:r>
      <w:r>
        <w:rPr>
          <w:i/>
          <w:iCs/>
        </w:rPr>
        <w:t>Best supermarkets 2026</w:t>
      </w:r>
      <w:r>
        <w:t>, 12 February. Available at: https://www.which.co.uk/reviews/supermarkets/article/best-supermarkets-aOJjN2J0A10N (Accessed: 9 October 2026).</w:t>
      </w:r>
    </w:p>
    <w:p w:rsidR="004D7912" w:rsidRDefault="00CC0A06">
      <w:pPr>
        <w:spacing w:after="120" w:line="300" w:lineRule="auto"/>
        <w:ind w:left="567" w:hanging="567"/>
      </w:pPr>
      <w:r>
        <w:t xml:space="preserve">Whittington, R., </w:t>
      </w:r>
      <w:proofErr w:type="spellStart"/>
      <w:r>
        <w:t>Regnér</w:t>
      </w:r>
      <w:proofErr w:type="spellEnd"/>
      <w:r>
        <w:t xml:space="preserve">, P., Angwin, D., Johnson, G. and Scholes, K. (2020) </w:t>
      </w:r>
      <w:r>
        <w:rPr>
          <w:i/>
          <w:iCs/>
        </w:rPr>
        <w:t>Exploring strategy: text and cases</w:t>
      </w:r>
      <w:r>
        <w:t xml:space="preserve">. 12th </w:t>
      </w:r>
      <w:proofErr w:type="spellStart"/>
      <w:r>
        <w:t>edn</w:t>
      </w:r>
      <w:proofErr w:type="spellEnd"/>
      <w:r>
        <w:t>. Harlow: Pearson.</w:t>
      </w:r>
    </w:p>
    <w:p w:rsidR="004D7912" w:rsidRDefault="00CC0A06">
      <w:pPr>
        <w:spacing w:after="120" w:line="300" w:lineRule="auto"/>
        <w:ind w:left="567" w:hanging="567"/>
      </w:pPr>
      <w:r>
        <w:t xml:space="preserve">Worldpanel by Numerator (2026a) </w:t>
      </w:r>
      <w:r>
        <w:rPr>
          <w:i/>
          <w:iCs/>
        </w:rPr>
        <w:t>British shoppers hunt for deals amid Middle East uncertainty</w:t>
      </w:r>
      <w:r>
        <w:t>, 28 April. Available at: https://worldpanelbynumerator.com/insights/british-shoppers-hunt-for-deals-amid-middle-east-uncertainty (Accessed: 9 October 2026).</w:t>
      </w:r>
    </w:p>
    <w:p w:rsidR="004D7912" w:rsidRDefault="00CC0A06">
      <w:pPr>
        <w:spacing w:after="120" w:line="300" w:lineRule="auto"/>
        <w:ind w:left="567" w:hanging="567"/>
      </w:pPr>
      <w:r>
        <w:t xml:space="preserve">Worldpanel by Numerator (2026b) </w:t>
      </w:r>
      <w:r>
        <w:rPr>
          <w:i/>
          <w:iCs/>
        </w:rPr>
        <w:t>GB grocery sales rise 2.0%, but parents tighten belts on school uniform spend</w:t>
      </w:r>
      <w:r>
        <w:t>, 15 September. Available at: https://worldpanelbynumerator.com/insights/grocery-sales-rise-2-0-but-parents-tighten-belts-on-school-uniform-spend (Accessed: 9 October 2026).</w:t>
      </w:r>
    </w:p>
    <w:sectPr w:rsidR="004D7912">
      <w:footerReference w:type="default" r:id="rId10"/>
      <w:footerReference w:type="first" r:id="rId11"/>
      <w:pgSz w:w="11907" w:h="16839"/>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43BE" w:rsidRDefault="00F643BE">
      <w:r>
        <w:separator/>
      </w:r>
    </w:p>
  </w:endnote>
  <w:endnote w:type="continuationSeparator" w:id="0">
    <w:p w:rsidR="00F643BE" w:rsidRDefault="00F64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A06" w:rsidRDefault="00CC0A06">
    <w:pPr>
      <w:jc w:val="center"/>
    </w:pPr>
    <w:r>
      <w:rPr>
        <w:sz w:val="20"/>
        <w:szCs w:val="20"/>
      </w:rPr>
      <w:fldChar w:fldCharType="begin"/>
    </w:r>
    <w:r>
      <w:rPr>
        <w:sz w:val="20"/>
        <w:szCs w:val="20"/>
      </w:rPr>
      <w:instrText>PAGE</w:instrText>
    </w:r>
    <w:r>
      <w:rPr>
        <w:sz w:val="20"/>
        <w:szCs w:val="20"/>
      </w:rPr>
      <w:fldChar w:fldCharType="separate"/>
    </w:r>
    <w:r>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A06" w:rsidRDefault="00CC0A0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43BE" w:rsidRDefault="00F643BE">
      <w:r>
        <w:separator/>
      </w:r>
    </w:p>
  </w:footnote>
  <w:footnote w:type="continuationSeparator" w:id="0">
    <w:p w:rsidR="00F643BE" w:rsidRDefault="00F643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54449"/>
    <w:multiLevelType w:val="hybridMultilevel"/>
    <w:tmpl w:val="EF088C40"/>
    <w:lvl w:ilvl="0" w:tplc="F45C01B8">
      <w:start w:val="1"/>
      <w:numFmt w:val="bullet"/>
      <w:lvlText w:val="●"/>
      <w:lvlJc w:val="left"/>
      <w:pPr>
        <w:ind w:left="720" w:hanging="360"/>
      </w:pPr>
    </w:lvl>
    <w:lvl w:ilvl="1" w:tplc="5CA0F6F6">
      <w:start w:val="1"/>
      <w:numFmt w:val="bullet"/>
      <w:lvlText w:val="○"/>
      <w:lvlJc w:val="left"/>
      <w:pPr>
        <w:ind w:left="1440" w:hanging="360"/>
      </w:pPr>
    </w:lvl>
    <w:lvl w:ilvl="2" w:tplc="D788147C">
      <w:start w:val="1"/>
      <w:numFmt w:val="bullet"/>
      <w:lvlText w:val="■"/>
      <w:lvlJc w:val="left"/>
      <w:pPr>
        <w:ind w:left="2160" w:hanging="360"/>
      </w:pPr>
    </w:lvl>
    <w:lvl w:ilvl="3" w:tplc="61266324">
      <w:start w:val="1"/>
      <w:numFmt w:val="bullet"/>
      <w:lvlText w:val="●"/>
      <w:lvlJc w:val="left"/>
      <w:pPr>
        <w:ind w:left="2880" w:hanging="360"/>
      </w:pPr>
    </w:lvl>
    <w:lvl w:ilvl="4" w:tplc="B2169E80">
      <w:start w:val="1"/>
      <w:numFmt w:val="bullet"/>
      <w:lvlText w:val="○"/>
      <w:lvlJc w:val="left"/>
      <w:pPr>
        <w:ind w:left="3600" w:hanging="360"/>
      </w:pPr>
    </w:lvl>
    <w:lvl w:ilvl="5" w:tplc="1D049E3E">
      <w:start w:val="1"/>
      <w:numFmt w:val="bullet"/>
      <w:lvlText w:val="■"/>
      <w:lvlJc w:val="left"/>
      <w:pPr>
        <w:ind w:left="4320" w:hanging="360"/>
      </w:pPr>
    </w:lvl>
    <w:lvl w:ilvl="6" w:tplc="48183D2A">
      <w:start w:val="1"/>
      <w:numFmt w:val="bullet"/>
      <w:lvlText w:val="●"/>
      <w:lvlJc w:val="left"/>
      <w:pPr>
        <w:ind w:left="5040" w:hanging="360"/>
      </w:pPr>
    </w:lvl>
    <w:lvl w:ilvl="7" w:tplc="F80EBDBC">
      <w:start w:val="1"/>
      <w:numFmt w:val="bullet"/>
      <w:lvlText w:val="●"/>
      <w:lvlJc w:val="left"/>
      <w:pPr>
        <w:ind w:left="5760" w:hanging="360"/>
      </w:pPr>
    </w:lvl>
    <w:lvl w:ilvl="8" w:tplc="4FDE4A40">
      <w:start w:val="1"/>
      <w:numFmt w:val="bullet"/>
      <w:lvlText w:val="●"/>
      <w:lvlJc w:val="left"/>
      <w:pPr>
        <w:ind w:left="6480" w:hanging="360"/>
      </w:pPr>
    </w:lvl>
  </w:abstractNum>
  <w:abstractNum w:abstractNumId="1" w15:restartNumberingAfterBreak="0">
    <w:nsid w:val="650D6CFF"/>
    <w:multiLevelType w:val="hybridMultilevel"/>
    <w:tmpl w:val="8C8C45AE"/>
    <w:lvl w:ilvl="0" w:tplc="AC524BD4">
      <w:start w:val="1"/>
      <w:numFmt w:val="bullet"/>
      <w:lvlText w:val="•"/>
      <w:lvlJc w:val="left"/>
      <w:pPr>
        <w:ind w:left="567" w:hanging="283"/>
      </w:pPr>
    </w:lvl>
    <w:lvl w:ilvl="1" w:tplc="6D443F56">
      <w:numFmt w:val="decimal"/>
      <w:lvlText w:val=""/>
      <w:lvlJc w:val="left"/>
    </w:lvl>
    <w:lvl w:ilvl="2" w:tplc="20327B92">
      <w:numFmt w:val="decimal"/>
      <w:lvlText w:val=""/>
      <w:lvlJc w:val="left"/>
    </w:lvl>
    <w:lvl w:ilvl="3" w:tplc="26E43E94">
      <w:numFmt w:val="decimal"/>
      <w:lvlText w:val=""/>
      <w:lvlJc w:val="left"/>
    </w:lvl>
    <w:lvl w:ilvl="4" w:tplc="094E63FA">
      <w:numFmt w:val="decimal"/>
      <w:lvlText w:val=""/>
      <w:lvlJc w:val="left"/>
    </w:lvl>
    <w:lvl w:ilvl="5" w:tplc="CEF06C28">
      <w:numFmt w:val="decimal"/>
      <w:lvlText w:val=""/>
      <w:lvlJc w:val="left"/>
    </w:lvl>
    <w:lvl w:ilvl="6" w:tplc="D440118C">
      <w:numFmt w:val="decimal"/>
      <w:lvlText w:val=""/>
      <w:lvlJc w:val="left"/>
    </w:lvl>
    <w:lvl w:ilvl="7" w:tplc="67BC24D0">
      <w:numFmt w:val="decimal"/>
      <w:lvlText w:val=""/>
      <w:lvlJc w:val="left"/>
    </w:lvl>
    <w:lvl w:ilvl="8" w:tplc="8CC6057C">
      <w:numFmt w:val="decimal"/>
      <w:lvlText w:val=""/>
      <w:lvlJc w:val="left"/>
    </w:lvl>
  </w:abstractNum>
  <w:num w:numId="1">
    <w:abstractNumId w:val="0"/>
    <w:lvlOverride w:ilvl="0">
      <w:startOverride w:val="1"/>
    </w:lvlOverride>
  </w:num>
  <w:num w:numId="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912"/>
    <w:rsid w:val="004D7912"/>
    <w:rsid w:val="006B2BE2"/>
    <w:rsid w:val="00A46094"/>
    <w:rsid w:val="00CC0A06"/>
    <w:rsid w:val="00F643BE"/>
    <w:rsid w:val="00FE0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FC1E4"/>
  <w15:docId w15:val="{EBE0E52D-2FE6-425D-B86C-E2C0828F0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2E74B5"/>
      <w:sz w:val="32"/>
      <w:szCs w:val="32"/>
    </w:rPr>
  </w:style>
  <w:style w:type="paragraph" w:styleId="Heading2">
    <w:name w:val="heading 2"/>
    <w:uiPriority w:val="9"/>
    <w:unhideWhenUsed/>
    <w:qFormat/>
    <w:pPr>
      <w:spacing w:before="240" w:after="120"/>
      <w:outlineLvl w:val="1"/>
    </w:pPr>
    <w:rPr>
      <w:b/>
      <w:bCs/>
      <w:color w:val="000000"/>
      <w:sz w:val="28"/>
      <w:szCs w:val="28"/>
    </w:rPr>
  </w:style>
  <w:style w:type="paragraph" w:styleId="Heading3">
    <w:name w:val="heading 3"/>
    <w:uiPriority w:val="9"/>
    <w:unhideWhenUsed/>
    <w:qFormat/>
    <w:pPr>
      <w:spacing w:before="200" w:after="100"/>
      <w:outlineLvl w:val="2"/>
    </w:pPr>
    <w:rPr>
      <w:b/>
      <w:bCs/>
      <w:color w:val="1F4D78"/>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9843</Words>
  <Characters>56109</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Strategic and Agile Business Management Report: Tesco</vt:lpstr>
    </vt:vector>
  </TitlesOfParts>
  <Company/>
  <LinksUpToDate>false</LinksUpToDate>
  <CharactersWithSpaces>65821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and Agile Business Management Report: Tesco</dc:title>
  <dc:creator>Rakib Ahmed</dc:creator>
  <cp:lastModifiedBy>Choyon Barua</cp:lastModifiedBy>
  <cp:revision>2</cp:revision>
  <dcterms:created xsi:type="dcterms:W3CDTF">2026-10-09T19:32:00Z</dcterms:created>
  <dcterms:modified xsi:type="dcterms:W3CDTF">2026-10-09T19:32:00Z</dcterms:modified>
</cp:coreProperties>
</file>