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15118" w14:textId="7658E776" w:rsidR="00531A0D" w:rsidRDefault="00E51EFC" w:rsidP="005A05ED">
      <w:pPr>
        <w:rPr>
          <w:sz w:val="24"/>
          <w:szCs w:val="24"/>
        </w:rPr>
      </w:pPr>
      <w:r>
        <w:rPr>
          <w:sz w:val="24"/>
          <w:szCs w:val="24"/>
        </w:rPr>
        <w:t xml:space="preserve">The document chosen for this assignment relates to the </w:t>
      </w:r>
      <w:r w:rsidR="005464A6">
        <w:rPr>
          <w:sz w:val="24"/>
          <w:szCs w:val="24"/>
        </w:rPr>
        <w:t>early nineteenth century</w:t>
      </w:r>
      <w:r w:rsidR="00D1195F">
        <w:rPr>
          <w:sz w:val="24"/>
          <w:szCs w:val="24"/>
        </w:rPr>
        <w:t>,</w:t>
      </w:r>
      <w:r w:rsidR="005464A6">
        <w:rPr>
          <w:sz w:val="24"/>
          <w:szCs w:val="24"/>
        </w:rPr>
        <w:t xml:space="preserve"> </w:t>
      </w:r>
      <w:r w:rsidR="00B34870">
        <w:rPr>
          <w:sz w:val="24"/>
          <w:szCs w:val="24"/>
        </w:rPr>
        <w:t>last will and testament of Thomas Couling of Middlesex London</w:t>
      </w:r>
      <w:r w:rsidR="00D1195F">
        <w:rPr>
          <w:sz w:val="24"/>
          <w:szCs w:val="24"/>
        </w:rPr>
        <w:t xml:space="preserve">, the details of </w:t>
      </w:r>
      <w:r w:rsidR="00D25666">
        <w:rPr>
          <w:sz w:val="24"/>
          <w:szCs w:val="24"/>
        </w:rPr>
        <w:t>which</w:t>
      </w:r>
      <w:r w:rsidR="00D1195F">
        <w:rPr>
          <w:sz w:val="24"/>
          <w:szCs w:val="24"/>
        </w:rPr>
        <w:t xml:space="preserve"> were </w:t>
      </w:r>
      <w:r w:rsidR="005A05ED">
        <w:rPr>
          <w:sz w:val="24"/>
          <w:szCs w:val="24"/>
        </w:rPr>
        <w:t>downloaded from the records of the National Archives website.</w:t>
      </w:r>
      <w:r w:rsidR="001973C4">
        <w:rPr>
          <w:rStyle w:val="FootnoteReference"/>
          <w:sz w:val="24"/>
          <w:szCs w:val="24"/>
        </w:rPr>
        <w:footnoteReference w:id="1"/>
      </w:r>
      <w:r w:rsidR="00377A47">
        <w:rPr>
          <w:sz w:val="24"/>
          <w:szCs w:val="24"/>
        </w:rPr>
        <w:t xml:space="preserve"> </w:t>
      </w:r>
      <w:r w:rsidR="00B34870">
        <w:rPr>
          <w:sz w:val="24"/>
          <w:szCs w:val="24"/>
        </w:rPr>
        <w:t xml:space="preserve">It is important to </w:t>
      </w:r>
      <w:r w:rsidR="005A05ED">
        <w:rPr>
          <w:sz w:val="24"/>
          <w:szCs w:val="24"/>
        </w:rPr>
        <w:t xml:space="preserve">note though, </w:t>
      </w:r>
      <w:r w:rsidR="00B34870">
        <w:rPr>
          <w:sz w:val="24"/>
          <w:szCs w:val="24"/>
        </w:rPr>
        <w:t xml:space="preserve">that neither the original will and testament, nor a copy </w:t>
      </w:r>
      <w:r w:rsidR="00D975D5">
        <w:rPr>
          <w:sz w:val="24"/>
          <w:szCs w:val="24"/>
        </w:rPr>
        <w:t>were</w:t>
      </w:r>
      <w:r w:rsidR="00B34870">
        <w:rPr>
          <w:sz w:val="24"/>
          <w:szCs w:val="24"/>
        </w:rPr>
        <w:t xml:space="preserve"> available to view</w:t>
      </w:r>
      <w:r w:rsidR="00D25666">
        <w:rPr>
          <w:sz w:val="24"/>
          <w:szCs w:val="24"/>
        </w:rPr>
        <w:t>. R</w:t>
      </w:r>
      <w:r w:rsidR="00B34870">
        <w:rPr>
          <w:sz w:val="24"/>
          <w:szCs w:val="24"/>
        </w:rPr>
        <w:t>ather the document transcribed</w:t>
      </w:r>
      <w:r w:rsidR="00EC693D">
        <w:rPr>
          <w:sz w:val="24"/>
          <w:szCs w:val="24"/>
        </w:rPr>
        <w:t>,</w:t>
      </w:r>
      <w:r w:rsidR="00B34870">
        <w:rPr>
          <w:sz w:val="24"/>
          <w:szCs w:val="24"/>
        </w:rPr>
        <w:t xml:space="preserve"> is a </w:t>
      </w:r>
      <w:r w:rsidR="00D975D5">
        <w:rPr>
          <w:sz w:val="24"/>
          <w:szCs w:val="24"/>
        </w:rPr>
        <w:t>reproduction</w:t>
      </w:r>
      <w:r w:rsidR="00B34870">
        <w:rPr>
          <w:sz w:val="24"/>
          <w:szCs w:val="24"/>
        </w:rPr>
        <w:t xml:space="preserve"> of a </w:t>
      </w:r>
      <w:r w:rsidR="00D25666">
        <w:rPr>
          <w:sz w:val="24"/>
          <w:szCs w:val="24"/>
        </w:rPr>
        <w:t xml:space="preserve">page taken from a </w:t>
      </w:r>
      <w:r w:rsidR="00B34870">
        <w:rPr>
          <w:sz w:val="24"/>
          <w:szCs w:val="24"/>
        </w:rPr>
        <w:t xml:space="preserve">register of wills </w:t>
      </w:r>
      <w:r w:rsidR="00D25666">
        <w:rPr>
          <w:sz w:val="24"/>
          <w:szCs w:val="24"/>
        </w:rPr>
        <w:t xml:space="preserve">containing details of Couling’s </w:t>
      </w:r>
      <w:r w:rsidR="00531A0D">
        <w:rPr>
          <w:sz w:val="24"/>
          <w:szCs w:val="24"/>
        </w:rPr>
        <w:t xml:space="preserve">last wishes. </w:t>
      </w:r>
      <w:r w:rsidR="00D975D5">
        <w:rPr>
          <w:sz w:val="24"/>
          <w:szCs w:val="24"/>
        </w:rPr>
        <w:t>Although the purpose of this assignment is to attempt a transcription of the chosen text, this task cannot be carried out without taking into account other important considerations including historical and social factors which will be discussed later.</w:t>
      </w:r>
      <w:r w:rsidR="00531A0D">
        <w:rPr>
          <w:sz w:val="24"/>
          <w:szCs w:val="24"/>
        </w:rPr>
        <w:t xml:space="preserve"> </w:t>
      </w:r>
    </w:p>
    <w:p w14:paraId="643C290A" w14:textId="581B9587" w:rsidR="005A05ED" w:rsidRDefault="005A05ED" w:rsidP="005A05ED">
      <w:pPr>
        <w:rPr>
          <w:sz w:val="24"/>
          <w:szCs w:val="24"/>
        </w:rPr>
      </w:pPr>
      <w:r>
        <w:rPr>
          <w:sz w:val="24"/>
          <w:szCs w:val="24"/>
        </w:rPr>
        <w:t xml:space="preserve">The guidance provided by The National Archives website proved a practical starting point, particularly the section entitled ‘Palaeography’ which provided a useful overview of how to approach the task of </w:t>
      </w:r>
      <w:bookmarkStart w:id="0" w:name="_Hlk155112043"/>
      <w:r>
        <w:rPr>
          <w:sz w:val="24"/>
          <w:szCs w:val="24"/>
        </w:rPr>
        <w:t>transcription.</w:t>
      </w:r>
      <w:bookmarkEnd w:id="0"/>
      <w:r w:rsidR="00E22C71">
        <w:rPr>
          <w:rStyle w:val="FootnoteReference"/>
          <w:sz w:val="24"/>
          <w:szCs w:val="24"/>
        </w:rPr>
        <w:footnoteReference w:id="2"/>
      </w:r>
      <w:r>
        <w:rPr>
          <w:sz w:val="24"/>
          <w:szCs w:val="24"/>
        </w:rPr>
        <w:t xml:space="preserve"> Although the primary source chosen was written in English, the document contained several versions of letters that had been in use since at least the previous century and at times proved difficult to decipher. The ‘Alphabet Document 2’, on The National Archives website contained both capital and lower-case examples of the alphabet dating to 1722 and this source was used to as a quick reference when transcribing the document.</w:t>
      </w:r>
      <w:r>
        <w:rPr>
          <w:rStyle w:val="FootnoteReference"/>
          <w:sz w:val="24"/>
          <w:szCs w:val="24"/>
        </w:rPr>
        <w:footnoteReference w:id="3"/>
      </w:r>
      <w:r>
        <w:rPr>
          <w:sz w:val="24"/>
          <w:szCs w:val="24"/>
        </w:rPr>
        <w:t xml:space="preserve"> As recommended by Grannum and Taylor, a printed copy of the source was used for transcription and though time-consuming, used in conjunction with a magnifying glass it was possible to decipher most of its contents.</w:t>
      </w:r>
      <w:r>
        <w:rPr>
          <w:rStyle w:val="FootnoteReference"/>
          <w:sz w:val="24"/>
          <w:szCs w:val="24"/>
        </w:rPr>
        <w:footnoteReference w:id="4"/>
      </w:r>
      <w:r>
        <w:rPr>
          <w:sz w:val="24"/>
          <w:szCs w:val="24"/>
        </w:rPr>
        <w:t xml:space="preserve"> Each line of the document was numbered as </w:t>
      </w:r>
      <w:r w:rsidR="00D1195F">
        <w:rPr>
          <w:sz w:val="24"/>
          <w:szCs w:val="24"/>
        </w:rPr>
        <w:t xml:space="preserve">suggested </w:t>
      </w:r>
      <w:r>
        <w:rPr>
          <w:sz w:val="24"/>
          <w:szCs w:val="24"/>
        </w:rPr>
        <w:t>by the authors, thus simplifying the process and ensuring that sections of the text were not omitted. Additionally, when words appeared indecipherable, decoding other legible words letter by letter sometimes proved useful and it was possible to return to the document later to attempt a further transcription.</w:t>
      </w:r>
      <w:r>
        <w:rPr>
          <w:rStyle w:val="FootnoteReference"/>
          <w:sz w:val="24"/>
          <w:szCs w:val="24"/>
        </w:rPr>
        <w:footnoteReference w:id="5"/>
      </w:r>
      <w:r>
        <w:rPr>
          <w:sz w:val="24"/>
          <w:szCs w:val="24"/>
        </w:rPr>
        <w:t xml:space="preserve"> </w:t>
      </w:r>
    </w:p>
    <w:p w14:paraId="38E8D2E2" w14:textId="4025DB70" w:rsidR="001519F6" w:rsidRPr="001519F6" w:rsidRDefault="00016B69" w:rsidP="001519F6">
      <w:pPr>
        <w:rPr>
          <w:sz w:val="24"/>
          <w:szCs w:val="24"/>
        </w:rPr>
      </w:pPr>
      <w:r w:rsidRPr="008F029D">
        <w:rPr>
          <w:rFonts w:cstheme="minorHAnsi"/>
          <w:sz w:val="24"/>
          <w:szCs w:val="24"/>
        </w:rPr>
        <w:t xml:space="preserve">The obligation on dying ‘men’ to make a will to make amends for their </w:t>
      </w:r>
      <w:r w:rsidR="00A355FF">
        <w:rPr>
          <w:rFonts w:cstheme="minorHAnsi"/>
          <w:sz w:val="24"/>
          <w:szCs w:val="24"/>
        </w:rPr>
        <w:t>‘</w:t>
      </w:r>
      <w:r w:rsidRPr="008F029D">
        <w:rPr>
          <w:rFonts w:cstheme="minorHAnsi"/>
          <w:sz w:val="24"/>
          <w:szCs w:val="24"/>
        </w:rPr>
        <w:t>sins</w:t>
      </w:r>
      <w:r w:rsidR="00A355FF">
        <w:rPr>
          <w:rFonts w:cstheme="minorHAnsi"/>
          <w:sz w:val="24"/>
          <w:szCs w:val="24"/>
        </w:rPr>
        <w:t>’</w:t>
      </w:r>
      <w:r w:rsidRPr="008F029D">
        <w:rPr>
          <w:rFonts w:cstheme="minorHAnsi"/>
          <w:sz w:val="24"/>
          <w:szCs w:val="24"/>
        </w:rPr>
        <w:t xml:space="preserve"> was regularly reinforced by the clergy</w:t>
      </w:r>
      <w:r w:rsidR="00377A47">
        <w:rPr>
          <w:rFonts w:cstheme="minorHAnsi"/>
          <w:sz w:val="24"/>
          <w:szCs w:val="24"/>
        </w:rPr>
        <w:t xml:space="preserve"> and this was common practice until at least the nineteenth century. </w:t>
      </w:r>
      <w:r>
        <w:rPr>
          <w:rFonts w:cstheme="minorHAnsi"/>
          <w:sz w:val="24"/>
          <w:szCs w:val="24"/>
        </w:rPr>
        <w:t>Indeed, t</w:t>
      </w:r>
      <w:r w:rsidRPr="008F029D">
        <w:rPr>
          <w:rFonts w:cstheme="minorHAnsi"/>
          <w:sz w:val="24"/>
          <w:szCs w:val="24"/>
        </w:rPr>
        <w:t xml:space="preserve">hose making a will were encouraged to include stipulations regarding unpaid tithes and </w:t>
      </w:r>
      <w:r w:rsidR="00377A47">
        <w:rPr>
          <w:rFonts w:cstheme="minorHAnsi"/>
          <w:sz w:val="24"/>
          <w:szCs w:val="24"/>
        </w:rPr>
        <w:t xml:space="preserve">to allocate </w:t>
      </w:r>
      <w:r w:rsidRPr="008F029D">
        <w:rPr>
          <w:rFonts w:cstheme="minorHAnsi"/>
          <w:sz w:val="24"/>
          <w:szCs w:val="24"/>
        </w:rPr>
        <w:t xml:space="preserve">donations from their estate for those </w:t>
      </w:r>
      <w:r w:rsidR="00FA5BAF">
        <w:rPr>
          <w:rFonts w:cstheme="minorHAnsi"/>
          <w:sz w:val="24"/>
          <w:szCs w:val="24"/>
        </w:rPr>
        <w:t xml:space="preserve">in the parish </w:t>
      </w:r>
      <w:r w:rsidR="0042364E">
        <w:rPr>
          <w:rFonts w:cstheme="minorHAnsi"/>
          <w:sz w:val="24"/>
          <w:szCs w:val="24"/>
        </w:rPr>
        <w:t>who were f</w:t>
      </w:r>
      <w:r w:rsidRPr="008F029D">
        <w:rPr>
          <w:rFonts w:cstheme="minorHAnsi"/>
          <w:sz w:val="24"/>
          <w:szCs w:val="24"/>
        </w:rPr>
        <w:t>inancially destitute</w:t>
      </w:r>
      <w:r w:rsidR="00FA5BAF">
        <w:rPr>
          <w:rFonts w:cstheme="minorHAnsi"/>
          <w:sz w:val="24"/>
          <w:szCs w:val="24"/>
        </w:rPr>
        <w:t>.</w:t>
      </w:r>
      <w:r w:rsidRPr="008F029D">
        <w:rPr>
          <w:rStyle w:val="FootnoteReference"/>
          <w:rFonts w:cstheme="minorHAnsi"/>
          <w:sz w:val="24"/>
          <w:szCs w:val="24"/>
        </w:rPr>
        <w:footnoteReference w:id="6"/>
      </w:r>
      <w:r w:rsidRPr="008F029D">
        <w:rPr>
          <w:rFonts w:cstheme="minorHAnsi"/>
          <w:sz w:val="24"/>
          <w:szCs w:val="24"/>
        </w:rPr>
        <w:t xml:space="preserve"> </w:t>
      </w:r>
      <w:r w:rsidR="008951FA" w:rsidRPr="008F029D">
        <w:rPr>
          <w:rFonts w:cstheme="minorHAnsi"/>
          <w:sz w:val="24"/>
          <w:szCs w:val="24"/>
        </w:rPr>
        <w:t>Records indicate that the majority of registered wills were written by men</w:t>
      </w:r>
      <w:r w:rsidR="0042364E">
        <w:rPr>
          <w:rFonts w:cstheme="minorHAnsi"/>
          <w:sz w:val="24"/>
          <w:szCs w:val="24"/>
        </w:rPr>
        <w:t>. W</w:t>
      </w:r>
      <w:r w:rsidR="00377A47">
        <w:rPr>
          <w:rFonts w:cstheme="minorHAnsi"/>
          <w:sz w:val="24"/>
          <w:szCs w:val="24"/>
        </w:rPr>
        <w:t xml:space="preserve">omen had very few rights in common law and until the twentieth century </w:t>
      </w:r>
      <w:r w:rsidR="008951FA" w:rsidRPr="008F029D">
        <w:rPr>
          <w:rFonts w:cstheme="minorHAnsi"/>
          <w:sz w:val="24"/>
          <w:szCs w:val="24"/>
        </w:rPr>
        <w:t xml:space="preserve">required their husband’s permission to </w:t>
      </w:r>
      <w:r w:rsidR="0042364E">
        <w:rPr>
          <w:rFonts w:cstheme="minorHAnsi"/>
          <w:sz w:val="24"/>
          <w:szCs w:val="24"/>
        </w:rPr>
        <w:t>make a will, c</w:t>
      </w:r>
      <w:r w:rsidR="008951FA" w:rsidRPr="008F029D">
        <w:rPr>
          <w:rFonts w:cstheme="minorHAnsi"/>
          <w:sz w:val="24"/>
          <w:szCs w:val="24"/>
        </w:rPr>
        <w:t>onsequently</w:t>
      </w:r>
      <w:r w:rsidR="00377A47">
        <w:rPr>
          <w:rFonts w:cstheme="minorHAnsi"/>
          <w:sz w:val="24"/>
          <w:szCs w:val="24"/>
        </w:rPr>
        <w:t>,</w:t>
      </w:r>
      <w:r w:rsidR="008951FA" w:rsidRPr="008F029D">
        <w:rPr>
          <w:rFonts w:cstheme="minorHAnsi"/>
          <w:sz w:val="24"/>
          <w:szCs w:val="24"/>
        </w:rPr>
        <w:t xml:space="preserve"> most female testators tended to be either spinsters or widows.</w:t>
      </w:r>
      <w:r w:rsidR="008951FA" w:rsidRPr="008F029D">
        <w:rPr>
          <w:rStyle w:val="FootnoteReference"/>
          <w:rFonts w:cstheme="minorHAnsi"/>
          <w:sz w:val="24"/>
          <w:szCs w:val="24"/>
        </w:rPr>
        <w:footnoteReference w:id="7"/>
      </w:r>
      <w:r w:rsidR="008951FA" w:rsidRPr="008F029D">
        <w:rPr>
          <w:rFonts w:cstheme="minorHAnsi"/>
          <w:sz w:val="24"/>
          <w:szCs w:val="24"/>
        </w:rPr>
        <w:t xml:space="preserve"> </w:t>
      </w:r>
      <w:r w:rsidR="00A13A68">
        <w:rPr>
          <w:sz w:val="24"/>
          <w:szCs w:val="24"/>
        </w:rPr>
        <w:t>As Roger Turvey notes, o</w:t>
      </w:r>
      <w:r w:rsidR="00D25666">
        <w:rPr>
          <w:sz w:val="24"/>
          <w:szCs w:val="24"/>
        </w:rPr>
        <w:t xml:space="preserve">riginally the last will and testament were two separate legal documents but by the early sixteenth century, both terms became </w:t>
      </w:r>
      <w:r w:rsidR="00D25666">
        <w:rPr>
          <w:sz w:val="24"/>
          <w:szCs w:val="24"/>
        </w:rPr>
        <w:lastRenderedPageBreak/>
        <w:t>interchangeable</w:t>
      </w:r>
      <w:r w:rsidR="00A13A68">
        <w:rPr>
          <w:sz w:val="24"/>
          <w:szCs w:val="24"/>
        </w:rPr>
        <w:t>.</w:t>
      </w:r>
      <w:r w:rsidR="00A13A68">
        <w:rPr>
          <w:rStyle w:val="FootnoteReference"/>
          <w:sz w:val="24"/>
          <w:szCs w:val="24"/>
        </w:rPr>
        <w:footnoteReference w:id="8"/>
      </w:r>
      <w:r w:rsidR="00D25666">
        <w:rPr>
          <w:sz w:val="24"/>
          <w:szCs w:val="24"/>
        </w:rPr>
        <w:t xml:space="preserve"> </w:t>
      </w:r>
      <w:r w:rsidR="00A13A68">
        <w:rPr>
          <w:sz w:val="24"/>
          <w:szCs w:val="24"/>
        </w:rPr>
        <w:t>T</w:t>
      </w:r>
      <w:r w:rsidR="00D25666">
        <w:rPr>
          <w:sz w:val="24"/>
          <w:szCs w:val="24"/>
        </w:rPr>
        <w:t xml:space="preserve">echnically a will </w:t>
      </w:r>
      <w:r w:rsidR="00A13A68">
        <w:rPr>
          <w:sz w:val="24"/>
          <w:szCs w:val="24"/>
        </w:rPr>
        <w:t xml:space="preserve">was the term used to describe </w:t>
      </w:r>
      <w:r w:rsidR="00D25666">
        <w:rPr>
          <w:sz w:val="24"/>
          <w:szCs w:val="24"/>
        </w:rPr>
        <w:t xml:space="preserve">a written statement by a dying property owner or </w:t>
      </w:r>
      <w:r w:rsidR="00A13A68">
        <w:rPr>
          <w:sz w:val="24"/>
          <w:szCs w:val="24"/>
        </w:rPr>
        <w:t>alternatively for individuals who intended undertaking a long and often hazardous journey.</w:t>
      </w:r>
      <w:r w:rsidR="00A13A68">
        <w:rPr>
          <w:rStyle w:val="FootnoteReference"/>
          <w:sz w:val="24"/>
          <w:szCs w:val="24"/>
        </w:rPr>
        <w:footnoteReference w:id="9"/>
      </w:r>
      <w:r w:rsidR="00C033E1">
        <w:rPr>
          <w:sz w:val="24"/>
          <w:szCs w:val="24"/>
        </w:rPr>
        <w:t xml:space="preserve"> </w:t>
      </w:r>
      <w:r w:rsidR="00A13A68">
        <w:rPr>
          <w:sz w:val="24"/>
          <w:szCs w:val="24"/>
        </w:rPr>
        <w:t xml:space="preserve">It was a way of ensuring that a person’s last wishes with regard to </w:t>
      </w:r>
      <w:r w:rsidR="001519F6">
        <w:rPr>
          <w:sz w:val="24"/>
          <w:szCs w:val="24"/>
        </w:rPr>
        <w:t xml:space="preserve">the disposal of </w:t>
      </w:r>
      <w:r w:rsidR="00A13A68">
        <w:rPr>
          <w:sz w:val="24"/>
          <w:szCs w:val="24"/>
        </w:rPr>
        <w:t>their land and property would be carried out according to common law after their death.</w:t>
      </w:r>
      <w:r w:rsidR="001519F6">
        <w:rPr>
          <w:sz w:val="24"/>
          <w:szCs w:val="24"/>
        </w:rPr>
        <w:t xml:space="preserve"> A testament meanwhile,</w:t>
      </w:r>
      <w:r w:rsidR="00D25666">
        <w:rPr>
          <w:sz w:val="24"/>
          <w:szCs w:val="24"/>
        </w:rPr>
        <w:t xml:space="preserve"> was drawn up beforehand </w:t>
      </w:r>
      <w:r w:rsidR="001519F6">
        <w:rPr>
          <w:sz w:val="24"/>
          <w:szCs w:val="24"/>
        </w:rPr>
        <w:t xml:space="preserve">and dealt with </w:t>
      </w:r>
      <w:r w:rsidR="00D25666">
        <w:rPr>
          <w:sz w:val="24"/>
          <w:szCs w:val="24"/>
        </w:rPr>
        <w:t>personal goods, debts and burial.</w:t>
      </w:r>
      <w:r w:rsidR="00D25666">
        <w:rPr>
          <w:rStyle w:val="FootnoteReference"/>
          <w:sz w:val="24"/>
          <w:szCs w:val="24"/>
        </w:rPr>
        <w:footnoteReference w:id="10"/>
      </w:r>
      <w:r w:rsidR="00D25666">
        <w:rPr>
          <w:sz w:val="24"/>
          <w:szCs w:val="24"/>
        </w:rPr>
        <w:t xml:space="preserve"> </w:t>
      </w:r>
    </w:p>
    <w:p w14:paraId="2592EBD6" w14:textId="0F1AF8AB" w:rsidR="002C68A1" w:rsidRDefault="002C68A1" w:rsidP="00DA28F4">
      <w:pPr>
        <w:rPr>
          <w:sz w:val="24"/>
          <w:szCs w:val="24"/>
        </w:rPr>
      </w:pPr>
      <w:r>
        <w:rPr>
          <w:sz w:val="24"/>
          <w:szCs w:val="24"/>
        </w:rPr>
        <w:t xml:space="preserve">The vast majority of wills that survive today are copies made by ecclesiastical clerks who worked in the diocese in which the testator lived, or if they owned property in more than </w:t>
      </w:r>
      <w:r w:rsidR="00EC693D">
        <w:rPr>
          <w:sz w:val="24"/>
          <w:szCs w:val="24"/>
        </w:rPr>
        <w:t xml:space="preserve">one </w:t>
      </w:r>
      <w:r>
        <w:rPr>
          <w:sz w:val="24"/>
          <w:szCs w:val="24"/>
        </w:rPr>
        <w:t>diocese, in the Prerogative Court of Canterbury.</w:t>
      </w:r>
      <w:r>
        <w:rPr>
          <w:rStyle w:val="FootnoteReference"/>
          <w:sz w:val="24"/>
          <w:szCs w:val="24"/>
        </w:rPr>
        <w:footnoteReference w:id="11"/>
      </w:r>
      <w:r>
        <w:rPr>
          <w:sz w:val="24"/>
          <w:szCs w:val="24"/>
        </w:rPr>
        <w:t xml:space="preserve">  Wills were no longer written in Latin by about the sixteenth century though probate annotations continued to be entered in </w:t>
      </w:r>
      <w:r w:rsidR="00A355FF">
        <w:rPr>
          <w:sz w:val="24"/>
          <w:szCs w:val="24"/>
        </w:rPr>
        <w:t>Latin</w:t>
      </w:r>
      <w:r w:rsidR="00EC693D">
        <w:rPr>
          <w:sz w:val="24"/>
          <w:szCs w:val="24"/>
        </w:rPr>
        <w:t xml:space="preserve">  </w:t>
      </w:r>
      <w:r>
        <w:rPr>
          <w:sz w:val="24"/>
          <w:szCs w:val="24"/>
        </w:rPr>
        <w:t>until 1733.</w:t>
      </w:r>
      <w:r>
        <w:rPr>
          <w:rStyle w:val="FootnoteReference"/>
          <w:sz w:val="24"/>
          <w:szCs w:val="24"/>
        </w:rPr>
        <w:footnoteReference w:id="12"/>
      </w:r>
      <w:r>
        <w:rPr>
          <w:sz w:val="24"/>
          <w:szCs w:val="24"/>
        </w:rPr>
        <w:t xml:space="preserve"> </w:t>
      </w:r>
      <w:r w:rsidR="001519F6">
        <w:rPr>
          <w:sz w:val="24"/>
          <w:szCs w:val="24"/>
        </w:rPr>
        <w:t>The preservation of public records including the ecclesiastical registers of wills, has occurred since the middle-ages,</w:t>
      </w:r>
      <w:r w:rsidR="00061021">
        <w:rPr>
          <w:sz w:val="24"/>
          <w:szCs w:val="24"/>
        </w:rPr>
        <w:t xml:space="preserve"> in part</w:t>
      </w:r>
      <w:r w:rsidR="001519F6">
        <w:rPr>
          <w:sz w:val="24"/>
          <w:szCs w:val="24"/>
        </w:rPr>
        <w:t xml:space="preserve"> to maintain an accurate record of what was owed to church authorities in taxes and services.</w:t>
      </w:r>
      <w:r w:rsidR="001519F6">
        <w:rPr>
          <w:rStyle w:val="FootnoteReference"/>
          <w:sz w:val="24"/>
          <w:szCs w:val="24"/>
        </w:rPr>
        <w:footnoteReference w:id="13"/>
      </w:r>
      <w:r w:rsidR="001519F6">
        <w:rPr>
          <w:sz w:val="24"/>
          <w:szCs w:val="24"/>
        </w:rPr>
        <w:t xml:space="preserve"> </w:t>
      </w:r>
      <w:r w:rsidR="00773094">
        <w:rPr>
          <w:sz w:val="24"/>
          <w:szCs w:val="24"/>
        </w:rPr>
        <w:t>Jurisdiction of wills by ecclesiastical courts was established under Henry II and until 1858, it was the responsibility</w:t>
      </w:r>
      <w:r w:rsidR="00EC693D">
        <w:rPr>
          <w:sz w:val="24"/>
          <w:szCs w:val="24"/>
        </w:rPr>
        <w:t xml:space="preserve"> </w:t>
      </w:r>
      <w:r w:rsidR="00EC693D">
        <w:rPr>
          <w:rFonts w:cstheme="minorHAnsi"/>
          <w:sz w:val="24"/>
          <w:szCs w:val="24"/>
        </w:rPr>
        <w:t>of the ecclesiastical courts to grant probate, a process whereby a will is ‘proved’ or accepted as valid, thereby entitling the executor to carry out the wishes of the testator</w:t>
      </w:r>
      <w:r w:rsidR="00EC693D" w:rsidRPr="008F029D">
        <w:rPr>
          <w:rFonts w:cstheme="minorHAnsi"/>
          <w:sz w:val="24"/>
          <w:szCs w:val="24"/>
        </w:rPr>
        <w:t>.</w:t>
      </w:r>
      <w:r w:rsidR="00EC693D" w:rsidRPr="008F029D">
        <w:rPr>
          <w:rStyle w:val="FootnoteReference"/>
          <w:rFonts w:cstheme="minorHAnsi"/>
          <w:sz w:val="24"/>
          <w:szCs w:val="24"/>
        </w:rPr>
        <w:footnoteReference w:id="14"/>
      </w:r>
      <w:r w:rsidR="00EC693D">
        <w:rPr>
          <w:sz w:val="24"/>
          <w:szCs w:val="24"/>
        </w:rPr>
        <w:t xml:space="preserve"> </w:t>
      </w:r>
    </w:p>
    <w:p w14:paraId="7AF62961" w14:textId="4105AFA3" w:rsidR="00EC1C22" w:rsidRDefault="00DA28F4" w:rsidP="00EC1C22">
      <w:pPr>
        <w:rPr>
          <w:sz w:val="24"/>
          <w:szCs w:val="24"/>
        </w:rPr>
      </w:pPr>
      <w:r>
        <w:rPr>
          <w:rFonts w:cstheme="minorHAnsi"/>
          <w:sz w:val="24"/>
          <w:szCs w:val="24"/>
        </w:rPr>
        <w:t>I</w:t>
      </w:r>
      <w:r w:rsidRPr="008F029D">
        <w:rPr>
          <w:rFonts w:cstheme="minorHAnsi"/>
          <w:sz w:val="24"/>
          <w:szCs w:val="24"/>
        </w:rPr>
        <w:t xml:space="preserve">n England </w:t>
      </w:r>
      <w:r>
        <w:rPr>
          <w:rFonts w:cstheme="minorHAnsi"/>
          <w:sz w:val="24"/>
          <w:szCs w:val="24"/>
        </w:rPr>
        <w:t xml:space="preserve">alone </w:t>
      </w:r>
      <w:r w:rsidRPr="008F029D">
        <w:rPr>
          <w:rFonts w:cstheme="minorHAnsi"/>
          <w:sz w:val="24"/>
          <w:szCs w:val="24"/>
        </w:rPr>
        <w:t xml:space="preserve">there were more than 200 church courts dealing with probate issues, this </w:t>
      </w:r>
      <w:r>
        <w:rPr>
          <w:rFonts w:cstheme="minorHAnsi"/>
          <w:sz w:val="24"/>
          <w:szCs w:val="24"/>
        </w:rPr>
        <w:t xml:space="preserve">though </w:t>
      </w:r>
      <w:r w:rsidRPr="008F029D">
        <w:rPr>
          <w:rFonts w:cstheme="minorHAnsi"/>
          <w:sz w:val="24"/>
          <w:szCs w:val="24"/>
        </w:rPr>
        <w:t>was not a coordinated process, each court kept its own separate register of wills, a situation that remains to this day.</w:t>
      </w:r>
      <w:r w:rsidRPr="008F029D">
        <w:rPr>
          <w:rStyle w:val="FootnoteReference"/>
          <w:rFonts w:cstheme="minorHAnsi"/>
          <w:sz w:val="24"/>
          <w:szCs w:val="24"/>
        </w:rPr>
        <w:footnoteReference w:id="15"/>
      </w:r>
      <w:r>
        <w:rPr>
          <w:sz w:val="24"/>
          <w:szCs w:val="24"/>
        </w:rPr>
        <w:t xml:space="preserve"> </w:t>
      </w:r>
      <w:r w:rsidR="002C68A1">
        <w:rPr>
          <w:sz w:val="24"/>
          <w:szCs w:val="24"/>
        </w:rPr>
        <w:t xml:space="preserve"> </w:t>
      </w:r>
      <w:r w:rsidR="005E495B">
        <w:rPr>
          <w:sz w:val="24"/>
          <w:szCs w:val="24"/>
        </w:rPr>
        <w:t>Access to the information contained in wills made up until the mid-nineteenth century, is generally provided through the enrolled copies of ecclesiastical court registers.</w:t>
      </w:r>
      <w:r w:rsidR="005E495B">
        <w:rPr>
          <w:rStyle w:val="FootnoteReference"/>
          <w:sz w:val="24"/>
          <w:szCs w:val="24"/>
        </w:rPr>
        <w:footnoteReference w:id="16"/>
      </w:r>
      <w:r>
        <w:rPr>
          <w:sz w:val="24"/>
          <w:szCs w:val="24"/>
        </w:rPr>
        <w:t xml:space="preserve"> </w:t>
      </w:r>
      <w:r w:rsidR="00EC1C22">
        <w:rPr>
          <w:sz w:val="24"/>
          <w:szCs w:val="24"/>
        </w:rPr>
        <w:t xml:space="preserve">When probate was granted by the court, </w:t>
      </w:r>
      <w:r w:rsidR="004415F7">
        <w:rPr>
          <w:sz w:val="24"/>
          <w:szCs w:val="24"/>
        </w:rPr>
        <w:t xml:space="preserve">a copy was given to the executor with annotations stating when probate </w:t>
      </w:r>
      <w:r w:rsidR="00A355FF">
        <w:rPr>
          <w:sz w:val="24"/>
          <w:szCs w:val="24"/>
        </w:rPr>
        <w:t xml:space="preserve">was </w:t>
      </w:r>
      <w:r w:rsidR="004415F7">
        <w:rPr>
          <w:sz w:val="24"/>
          <w:szCs w:val="24"/>
        </w:rPr>
        <w:t>granted and to whom.</w:t>
      </w:r>
      <w:r w:rsidR="004415F7">
        <w:rPr>
          <w:rStyle w:val="FootnoteReference"/>
          <w:sz w:val="24"/>
          <w:szCs w:val="24"/>
        </w:rPr>
        <w:footnoteReference w:id="17"/>
      </w:r>
      <w:r w:rsidR="004415F7" w:rsidRPr="00A01059">
        <w:rPr>
          <w:sz w:val="24"/>
          <w:szCs w:val="24"/>
        </w:rPr>
        <w:t xml:space="preserve"> </w:t>
      </w:r>
      <w:r w:rsidR="004415F7">
        <w:rPr>
          <w:sz w:val="24"/>
          <w:szCs w:val="24"/>
        </w:rPr>
        <w:t xml:space="preserve"> Details of the will were then entered into the probate register, a large bound ledger and it these that ledgers that were microfilmed instead of the original wills and held in various archives.</w:t>
      </w:r>
      <w:r w:rsidR="004415F7">
        <w:rPr>
          <w:rStyle w:val="FootnoteReference"/>
          <w:sz w:val="24"/>
          <w:szCs w:val="24"/>
        </w:rPr>
        <w:footnoteReference w:id="18"/>
      </w:r>
      <w:r w:rsidR="00EC1C22">
        <w:rPr>
          <w:sz w:val="24"/>
          <w:szCs w:val="24"/>
        </w:rPr>
        <w:t xml:space="preserve"> The contents of individual wills, were displayed on the recto of each leaf of the register, accompanied by a stamped typographical number entered in the upper right-hand corner of the page.</w:t>
      </w:r>
      <w:r w:rsidR="00EC1C22">
        <w:rPr>
          <w:rStyle w:val="FootnoteReference"/>
          <w:sz w:val="24"/>
          <w:szCs w:val="24"/>
        </w:rPr>
        <w:footnoteReference w:id="19"/>
      </w:r>
      <w:r w:rsidR="004415F7">
        <w:rPr>
          <w:sz w:val="24"/>
          <w:szCs w:val="24"/>
        </w:rPr>
        <w:t xml:space="preserve"> </w:t>
      </w:r>
      <w:r w:rsidR="00EC1C22">
        <w:rPr>
          <w:rFonts w:cstheme="minorHAnsi"/>
          <w:sz w:val="24"/>
          <w:szCs w:val="24"/>
        </w:rPr>
        <w:t>F</w:t>
      </w:r>
      <w:r w:rsidR="00EC1C22" w:rsidRPr="008F029D">
        <w:rPr>
          <w:rFonts w:cstheme="minorHAnsi"/>
          <w:sz w:val="24"/>
          <w:szCs w:val="24"/>
        </w:rPr>
        <w:t xml:space="preserve">rom 12 January 1858 the state took over probate with the establishment of a </w:t>
      </w:r>
      <w:r w:rsidR="00EC1C22" w:rsidRPr="008F029D">
        <w:rPr>
          <w:rFonts w:cstheme="minorHAnsi"/>
          <w:sz w:val="24"/>
          <w:szCs w:val="24"/>
        </w:rPr>
        <w:lastRenderedPageBreak/>
        <w:t>new court of probate based in London</w:t>
      </w:r>
      <w:r w:rsidR="00EC1C22">
        <w:rPr>
          <w:rFonts w:cstheme="minorHAnsi"/>
          <w:sz w:val="24"/>
          <w:szCs w:val="24"/>
        </w:rPr>
        <w:t>.</w:t>
      </w:r>
      <w:r w:rsidR="00EC1C22">
        <w:rPr>
          <w:rStyle w:val="FootnoteReference"/>
          <w:sz w:val="24"/>
          <w:szCs w:val="24"/>
        </w:rPr>
        <w:footnoteReference w:id="20"/>
      </w:r>
      <w:r w:rsidR="00EC1C22">
        <w:rPr>
          <w:sz w:val="24"/>
          <w:szCs w:val="24"/>
        </w:rPr>
        <w:t xml:space="preserve">  Consequently, m</w:t>
      </w:r>
      <w:r w:rsidR="00EC1C22" w:rsidRPr="008F029D">
        <w:rPr>
          <w:sz w:val="24"/>
          <w:szCs w:val="24"/>
        </w:rPr>
        <w:t>uch of the jurisdiction of the ecclesiastical courts was removed</w:t>
      </w:r>
      <w:r w:rsidR="00EC1C22">
        <w:rPr>
          <w:sz w:val="24"/>
          <w:szCs w:val="24"/>
        </w:rPr>
        <w:t>,</w:t>
      </w:r>
      <w:r w:rsidR="00EC1C22" w:rsidRPr="008F029D">
        <w:rPr>
          <w:sz w:val="24"/>
          <w:szCs w:val="24"/>
        </w:rPr>
        <w:t xml:space="preserve"> </w:t>
      </w:r>
      <w:r w:rsidR="00EC1C22">
        <w:rPr>
          <w:sz w:val="24"/>
          <w:szCs w:val="24"/>
        </w:rPr>
        <w:t>especially</w:t>
      </w:r>
      <w:r w:rsidR="00EC1C22" w:rsidRPr="008F029D">
        <w:rPr>
          <w:sz w:val="24"/>
          <w:szCs w:val="24"/>
        </w:rPr>
        <w:t xml:space="preserve"> </w:t>
      </w:r>
      <w:r w:rsidR="00EC1C22">
        <w:rPr>
          <w:sz w:val="24"/>
          <w:szCs w:val="24"/>
        </w:rPr>
        <w:t xml:space="preserve">the responsibility </w:t>
      </w:r>
      <w:r w:rsidR="00EC1C22" w:rsidRPr="008F029D">
        <w:rPr>
          <w:sz w:val="24"/>
          <w:szCs w:val="24"/>
        </w:rPr>
        <w:t xml:space="preserve">over tithes, probate and matrimonial causes leaving their authority confined to </w:t>
      </w:r>
      <w:r w:rsidR="00EC1C22">
        <w:rPr>
          <w:sz w:val="24"/>
          <w:szCs w:val="24"/>
        </w:rPr>
        <w:t xml:space="preserve">dealing with </w:t>
      </w:r>
      <w:r w:rsidR="00EC1C22" w:rsidRPr="008F029D">
        <w:rPr>
          <w:sz w:val="24"/>
          <w:szCs w:val="24"/>
        </w:rPr>
        <w:t>clergy.</w:t>
      </w:r>
      <w:r w:rsidR="00EC1C22" w:rsidRPr="008F029D">
        <w:rPr>
          <w:rStyle w:val="FootnoteReference"/>
          <w:sz w:val="24"/>
          <w:szCs w:val="24"/>
        </w:rPr>
        <w:footnoteReference w:id="21"/>
      </w:r>
      <w:r w:rsidR="00EC1C22">
        <w:rPr>
          <w:sz w:val="24"/>
          <w:szCs w:val="24"/>
        </w:rPr>
        <w:t xml:space="preserve">  </w:t>
      </w:r>
    </w:p>
    <w:p w14:paraId="490CBE7B" w14:textId="5F443B12" w:rsidR="00057B3C" w:rsidRDefault="0042364E" w:rsidP="00057B3C">
      <w:pPr>
        <w:rPr>
          <w:sz w:val="24"/>
          <w:szCs w:val="24"/>
        </w:rPr>
      </w:pPr>
      <w:r>
        <w:rPr>
          <w:sz w:val="24"/>
          <w:szCs w:val="24"/>
        </w:rPr>
        <w:t>For many historians the ‘reconstruction of a story from documents’ is key to their research methodology yet the transcription of a text is merely one step in the process of understanding its significance.</w:t>
      </w:r>
      <w:r>
        <w:rPr>
          <w:rStyle w:val="FootnoteReference"/>
          <w:sz w:val="24"/>
          <w:szCs w:val="24"/>
        </w:rPr>
        <w:footnoteReference w:id="22"/>
      </w:r>
      <w:r>
        <w:rPr>
          <w:sz w:val="24"/>
          <w:szCs w:val="24"/>
        </w:rPr>
        <w:t xml:space="preserve"> The literal meaning of a document, in this case a record of the contents of a will, written at the beginning of the nineteenth century cannot be taken at face value. As </w:t>
      </w:r>
      <w:r w:rsidR="002902B2">
        <w:rPr>
          <w:sz w:val="24"/>
          <w:szCs w:val="24"/>
        </w:rPr>
        <w:t xml:space="preserve">Karin </w:t>
      </w:r>
      <w:r>
        <w:rPr>
          <w:sz w:val="24"/>
          <w:szCs w:val="24"/>
        </w:rPr>
        <w:t>Dannehl notes, documents are objects that relate to the social world in which they were created and as such they need to be subjected to the process of interpretation.</w:t>
      </w:r>
      <w:r>
        <w:rPr>
          <w:rStyle w:val="FootnoteReference"/>
          <w:sz w:val="24"/>
          <w:szCs w:val="24"/>
        </w:rPr>
        <w:footnoteReference w:id="23"/>
      </w:r>
      <w:r>
        <w:rPr>
          <w:sz w:val="24"/>
          <w:szCs w:val="24"/>
        </w:rPr>
        <w:t xml:space="preserve"> Indeed, the transcription of any document must include a consideration of the historical and cultural context in which it was produced and the manner in which it was preserved.</w:t>
      </w:r>
      <w:r>
        <w:rPr>
          <w:rStyle w:val="FootnoteReference"/>
          <w:sz w:val="24"/>
          <w:szCs w:val="24"/>
        </w:rPr>
        <w:footnoteReference w:id="24"/>
      </w:r>
      <w:r>
        <w:rPr>
          <w:sz w:val="24"/>
          <w:szCs w:val="24"/>
        </w:rPr>
        <w:t xml:space="preserve"> For this reason, w</w:t>
      </w:r>
      <w:r w:rsidR="000A7BCC">
        <w:rPr>
          <w:sz w:val="24"/>
          <w:szCs w:val="24"/>
        </w:rPr>
        <w:t>ills and p</w:t>
      </w:r>
      <w:r w:rsidR="00DA28F4">
        <w:rPr>
          <w:sz w:val="24"/>
          <w:szCs w:val="24"/>
        </w:rPr>
        <w:t xml:space="preserve">robate records </w:t>
      </w:r>
      <w:r w:rsidR="002C68A1">
        <w:rPr>
          <w:sz w:val="24"/>
          <w:szCs w:val="24"/>
        </w:rPr>
        <w:t xml:space="preserve">can provide </w:t>
      </w:r>
      <w:r w:rsidR="00DA28F4">
        <w:rPr>
          <w:sz w:val="24"/>
          <w:szCs w:val="24"/>
        </w:rPr>
        <w:t xml:space="preserve">a </w:t>
      </w:r>
      <w:r w:rsidR="00A904AF">
        <w:rPr>
          <w:sz w:val="24"/>
          <w:szCs w:val="24"/>
        </w:rPr>
        <w:t>rich</w:t>
      </w:r>
      <w:r w:rsidR="00DA28F4">
        <w:rPr>
          <w:sz w:val="24"/>
          <w:szCs w:val="24"/>
        </w:rPr>
        <w:t xml:space="preserve"> source of data about the economic, social and religious states of society throug</w:t>
      </w:r>
      <w:r>
        <w:rPr>
          <w:sz w:val="24"/>
          <w:szCs w:val="24"/>
        </w:rPr>
        <w:t>h</w:t>
      </w:r>
      <w:r w:rsidR="00DA28F4">
        <w:rPr>
          <w:sz w:val="24"/>
          <w:szCs w:val="24"/>
        </w:rPr>
        <w:t xml:space="preserve"> the ages</w:t>
      </w:r>
      <w:r w:rsidR="00A904AF">
        <w:rPr>
          <w:sz w:val="24"/>
          <w:szCs w:val="24"/>
        </w:rPr>
        <w:t xml:space="preserve"> and some historians have employed imaginative approaches in their research methodology</w:t>
      </w:r>
      <w:r w:rsidR="00DA28F4">
        <w:rPr>
          <w:sz w:val="24"/>
          <w:szCs w:val="24"/>
        </w:rPr>
        <w:t>.</w:t>
      </w:r>
      <w:r w:rsidR="00DA28F4">
        <w:rPr>
          <w:rStyle w:val="FootnoteReference"/>
          <w:sz w:val="24"/>
          <w:szCs w:val="24"/>
        </w:rPr>
        <w:footnoteReference w:id="25"/>
      </w:r>
      <w:r w:rsidR="00A904AF">
        <w:rPr>
          <w:sz w:val="24"/>
          <w:szCs w:val="24"/>
        </w:rPr>
        <w:t xml:space="preserve"> </w:t>
      </w:r>
      <w:r w:rsidR="000506C3">
        <w:rPr>
          <w:sz w:val="24"/>
          <w:szCs w:val="24"/>
        </w:rPr>
        <w:t>Maragaret Spufford for instance, used the evidence from wills containing dedicatory clauses, to pinpoint the religious beliefs of early seventeenth century residents in Cambridgeshire.</w:t>
      </w:r>
      <w:r w:rsidR="000506C3">
        <w:rPr>
          <w:rStyle w:val="FootnoteReference"/>
          <w:sz w:val="24"/>
          <w:szCs w:val="24"/>
        </w:rPr>
        <w:footnoteReference w:id="26"/>
      </w:r>
      <w:r w:rsidR="000506C3" w:rsidRPr="00A904AF">
        <w:rPr>
          <w:sz w:val="24"/>
          <w:szCs w:val="24"/>
        </w:rPr>
        <w:t xml:space="preserve"> </w:t>
      </w:r>
      <w:r w:rsidR="00016B69">
        <w:rPr>
          <w:sz w:val="24"/>
          <w:szCs w:val="24"/>
        </w:rPr>
        <w:t>Further, assessing the authenticity of a written document is critical. Examining the original source and cross-referencing the details of the author, the wording and the date it was written</w:t>
      </w:r>
      <w:r>
        <w:rPr>
          <w:sz w:val="24"/>
          <w:szCs w:val="24"/>
        </w:rPr>
        <w:t>,</w:t>
      </w:r>
      <w:r w:rsidR="00016B69">
        <w:rPr>
          <w:sz w:val="24"/>
          <w:szCs w:val="24"/>
        </w:rPr>
        <w:t xml:space="preserve"> should highlight any incongruencies in the text. Legal documents including wills were often forged, especially during the Middle Ages, </w:t>
      </w:r>
      <w:r w:rsidR="00057B3C">
        <w:rPr>
          <w:sz w:val="24"/>
          <w:szCs w:val="24"/>
        </w:rPr>
        <w:t xml:space="preserve">sometimes </w:t>
      </w:r>
      <w:r w:rsidR="00016B69">
        <w:rPr>
          <w:sz w:val="24"/>
          <w:szCs w:val="24"/>
        </w:rPr>
        <w:t>to replace authentic ones that had been lost, particularly when a benefactor stood to gain financially.</w:t>
      </w:r>
      <w:r w:rsidR="00016B69">
        <w:rPr>
          <w:rStyle w:val="FootnoteReference"/>
          <w:sz w:val="24"/>
          <w:szCs w:val="24"/>
        </w:rPr>
        <w:footnoteReference w:id="27"/>
      </w:r>
      <w:r w:rsidR="00016B69">
        <w:rPr>
          <w:sz w:val="24"/>
          <w:szCs w:val="24"/>
        </w:rPr>
        <w:t xml:space="preserve"> </w:t>
      </w:r>
    </w:p>
    <w:p w14:paraId="6F999D10" w14:textId="77777777" w:rsidR="00EF76BD" w:rsidRDefault="00057B3C" w:rsidP="00057B3C">
      <w:pPr>
        <w:rPr>
          <w:sz w:val="24"/>
          <w:szCs w:val="24"/>
        </w:rPr>
      </w:pPr>
      <w:r>
        <w:rPr>
          <w:rFonts w:cstheme="minorHAnsi"/>
          <w:sz w:val="24"/>
          <w:szCs w:val="24"/>
        </w:rPr>
        <w:t>At the time Thomas Couling made his will, he was living at 7 Framework Knitters Alms-Houses, Kingsland Road, Shoreditch London. One of twelve cottages, it was built in 1734 following the death of Thomas Bourne, a wealthy merchant and philanthropist. Bourne’s will of 14</w:t>
      </w:r>
      <w:r w:rsidRPr="00C67386">
        <w:rPr>
          <w:rFonts w:cstheme="minorHAnsi"/>
          <w:sz w:val="24"/>
          <w:szCs w:val="24"/>
          <w:vertAlign w:val="superscript"/>
        </w:rPr>
        <w:t>th</w:t>
      </w:r>
      <w:r>
        <w:rPr>
          <w:rFonts w:cstheme="minorHAnsi"/>
          <w:sz w:val="24"/>
          <w:szCs w:val="24"/>
        </w:rPr>
        <w:t xml:space="preserve"> August 1727, contained a number of bequeaths, one of which provided for the ‘erection and maintenance’ of an alms-house ‘for 12 poor freemen of the Framework Knitters Company or part freeman and other part</w:t>
      </w:r>
      <w:r w:rsidR="00C44ED3">
        <w:rPr>
          <w:rFonts w:cstheme="minorHAnsi"/>
          <w:sz w:val="24"/>
          <w:szCs w:val="24"/>
        </w:rPr>
        <w:t>-</w:t>
      </w:r>
      <w:r>
        <w:rPr>
          <w:rFonts w:cstheme="minorHAnsi"/>
          <w:sz w:val="24"/>
          <w:szCs w:val="24"/>
        </w:rPr>
        <w:t>freemen’s widows.’</w:t>
      </w:r>
      <w:r>
        <w:rPr>
          <w:rStyle w:val="FootnoteReference"/>
          <w:rFonts w:cstheme="minorHAnsi"/>
          <w:sz w:val="24"/>
          <w:szCs w:val="24"/>
        </w:rPr>
        <w:footnoteReference w:id="28"/>
      </w:r>
      <w:r>
        <w:rPr>
          <w:rFonts w:cstheme="minorHAnsi"/>
          <w:sz w:val="24"/>
          <w:szCs w:val="24"/>
        </w:rPr>
        <w:t xml:space="preserve"> It can be deduced therefore that Couling was provided with the accommodation because at some time he had been employed as a framework knitter</w:t>
      </w:r>
      <w:r w:rsidR="00AB34BE">
        <w:rPr>
          <w:rFonts w:cstheme="minorHAnsi"/>
          <w:sz w:val="24"/>
          <w:szCs w:val="24"/>
        </w:rPr>
        <w:t xml:space="preserve"> </w:t>
      </w:r>
      <w:r>
        <w:rPr>
          <w:rFonts w:cstheme="minorHAnsi"/>
          <w:sz w:val="24"/>
          <w:szCs w:val="24"/>
        </w:rPr>
        <w:t>himself</w:t>
      </w:r>
      <w:r w:rsidR="00AB34BE">
        <w:rPr>
          <w:rFonts w:cstheme="minorHAnsi"/>
          <w:sz w:val="24"/>
          <w:szCs w:val="24"/>
        </w:rPr>
        <w:t xml:space="preserve">. Couling like his fellow workers were skilled </w:t>
      </w:r>
      <w:r w:rsidR="00AB34BE">
        <w:rPr>
          <w:rFonts w:cstheme="minorHAnsi"/>
          <w:sz w:val="24"/>
          <w:szCs w:val="24"/>
        </w:rPr>
        <w:lastRenderedPageBreak/>
        <w:t xml:space="preserve">operators of their </w:t>
      </w:r>
      <w:r w:rsidR="00CB00DE">
        <w:rPr>
          <w:rFonts w:cstheme="minorHAnsi"/>
          <w:sz w:val="24"/>
          <w:szCs w:val="24"/>
        </w:rPr>
        <w:t xml:space="preserve">home </w:t>
      </w:r>
      <w:r w:rsidR="00AB34BE">
        <w:rPr>
          <w:rFonts w:cstheme="minorHAnsi"/>
          <w:sz w:val="24"/>
          <w:szCs w:val="24"/>
        </w:rPr>
        <w:t>knitting frames, yet they were poorly paid and would have lived and worked in wretched conditions.</w:t>
      </w:r>
      <w:r>
        <w:rPr>
          <w:rStyle w:val="FootnoteReference"/>
          <w:sz w:val="24"/>
          <w:szCs w:val="24"/>
        </w:rPr>
        <w:footnoteReference w:id="29"/>
      </w:r>
      <w:r w:rsidR="0044425C">
        <w:rPr>
          <w:sz w:val="24"/>
          <w:szCs w:val="24"/>
        </w:rPr>
        <w:t xml:space="preserve"> </w:t>
      </w:r>
    </w:p>
    <w:p w14:paraId="1EDA0356" w14:textId="18B49A87" w:rsidR="00057B3C" w:rsidRDefault="00EF76BD" w:rsidP="00057B3C">
      <w:pPr>
        <w:rPr>
          <w:rFonts w:cstheme="minorHAnsi"/>
          <w:sz w:val="24"/>
          <w:szCs w:val="24"/>
        </w:rPr>
      </w:pPr>
      <w:r>
        <w:rPr>
          <w:sz w:val="24"/>
          <w:szCs w:val="24"/>
        </w:rPr>
        <w:t>While it has been possible to identify Couling’s occupation</w:t>
      </w:r>
      <w:r w:rsidR="004456FA">
        <w:rPr>
          <w:sz w:val="24"/>
          <w:szCs w:val="24"/>
        </w:rPr>
        <w:t xml:space="preserve"> and address at the time he made his will, details of his life and death </w:t>
      </w:r>
      <w:r w:rsidR="001E73C8">
        <w:rPr>
          <w:sz w:val="24"/>
          <w:szCs w:val="24"/>
        </w:rPr>
        <w:t>remain elusive</w:t>
      </w:r>
      <w:r w:rsidR="004456FA">
        <w:rPr>
          <w:sz w:val="24"/>
          <w:szCs w:val="24"/>
        </w:rPr>
        <w:t>.</w:t>
      </w:r>
      <w:r>
        <w:rPr>
          <w:sz w:val="24"/>
          <w:szCs w:val="24"/>
        </w:rPr>
        <w:t xml:space="preserve"> </w:t>
      </w:r>
      <w:r w:rsidR="0044425C">
        <w:rPr>
          <w:sz w:val="24"/>
          <w:szCs w:val="24"/>
        </w:rPr>
        <w:t xml:space="preserve">A search of the newspaper archives failed to find any reference to Couling and it </w:t>
      </w:r>
      <w:r w:rsidR="004456FA">
        <w:rPr>
          <w:sz w:val="24"/>
          <w:szCs w:val="24"/>
        </w:rPr>
        <w:t>might</w:t>
      </w:r>
      <w:r w:rsidR="0044425C">
        <w:rPr>
          <w:sz w:val="24"/>
          <w:szCs w:val="24"/>
        </w:rPr>
        <w:t xml:space="preserve"> be </w:t>
      </w:r>
      <w:r w:rsidR="004456FA">
        <w:rPr>
          <w:sz w:val="24"/>
          <w:szCs w:val="24"/>
        </w:rPr>
        <w:t>pre</w:t>
      </w:r>
      <w:r w:rsidR="0044425C">
        <w:rPr>
          <w:sz w:val="24"/>
          <w:szCs w:val="24"/>
        </w:rPr>
        <w:t>sumed that he was not well known or a man of property.</w:t>
      </w:r>
      <w:r w:rsidR="0044425C" w:rsidRPr="0044425C">
        <w:rPr>
          <w:sz w:val="24"/>
          <w:szCs w:val="24"/>
        </w:rPr>
        <w:t xml:space="preserve"> </w:t>
      </w:r>
      <w:r>
        <w:rPr>
          <w:sz w:val="24"/>
          <w:szCs w:val="24"/>
        </w:rPr>
        <w:t xml:space="preserve">Historical data relating to the Frame Knitters of London is held by organisations including </w:t>
      </w:r>
      <w:r w:rsidRPr="002902B2">
        <w:rPr>
          <w:i/>
          <w:iCs/>
          <w:sz w:val="24"/>
          <w:szCs w:val="24"/>
        </w:rPr>
        <w:t>The Framework Knitters Company</w:t>
      </w:r>
      <w:r>
        <w:rPr>
          <w:sz w:val="24"/>
          <w:szCs w:val="24"/>
        </w:rPr>
        <w:t xml:space="preserve">, </w:t>
      </w:r>
      <w:r w:rsidR="0044425C">
        <w:rPr>
          <w:sz w:val="24"/>
          <w:szCs w:val="24"/>
        </w:rPr>
        <w:t>but unfortunately the information is only available to view in person.</w:t>
      </w:r>
      <w:r w:rsidR="001E73C8">
        <w:rPr>
          <w:sz w:val="24"/>
          <w:szCs w:val="24"/>
        </w:rPr>
        <w:t xml:space="preserve"> A more in-depth study, could make use of birth, marriage and death registers to provide a detailed account of Couling’s life and to place his last will and testament in context.</w:t>
      </w:r>
    </w:p>
    <w:p w14:paraId="648CCC52" w14:textId="3DB0D21E" w:rsidR="00AB34BE" w:rsidRDefault="00AB34BE" w:rsidP="00AB34BE">
      <w:pPr>
        <w:rPr>
          <w:rFonts w:cstheme="minorHAnsi"/>
          <w:sz w:val="24"/>
          <w:szCs w:val="24"/>
        </w:rPr>
      </w:pPr>
      <w:r>
        <w:rPr>
          <w:sz w:val="24"/>
          <w:szCs w:val="24"/>
        </w:rPr>
        <w:t>As already mentioned, it was not possible to access the original will for this assignment and only a microfilm version of the ecclesiastical register was available for inspection. There is no visible evidence of any numbering on the top right-</w:t>
      </w:r>
      <w:r w:rsidR="00CB00DE">
        <w:rPr>
          <w:sz w:val="24"/>
          <w:szCs w:val="24"/>
        </w:rPr>
        <w:t>h</w:t>
      </w:r>
      <w:r>
        <w:rPr>
          <w:sz w:val="24"/>
          <w:szCs w:val="24"/>
        </w:rPr>
        <w:t xml:space="preserve">and corner of the copy of the register, which may be an omission due to the microfilming process but there is numbering on the left-hand side, though what this represents is unclear. </w:t>
      </w:r>
      <w:r w:rsidR="004415F7">
        <w:rPr>
          <w:sz w:val="24"/>
          <w:szCs w:val="24"/>
        </w:rPr>
        <w:t xml:space="preserve">As the original will </w:t>
      </w:r>
      <w:r w:rsidR="00BA6098">
        <w:rPr>
          <w:sz w:val="24"/>
          <w:szCs w:val="24"/>
        </w:rPr>
        <w:t xml:space="preserve">was </w:t>
      </w:r>
      <w:r w:rsidR="004415F7">
        <w:rPr>
          <w:sz w:val="24"/>
          <w:szCs w:val="24"/>
        </w:rPr>
        <w:t>not available for inspection, it cannot be determined whether Thomas Couling wrote the will himself</w:t>
      </w:r>
      <w:r w:rsidR="00BA6098">
        <w:rPr>
          <w:sz w:val="24"/>
          <w:szCs w:val="24"/>
        </w:rPr>
        <w:t>, or whether the clerk entering the details into the register changed any of the spelling or wording of the will.</w:t>
      </w:r>
      <w:r w:rsidR="004415F7">
        <w:rPr>
          <w:sz w:val="24"/>
          <w:szCs w:val="24"/>
        </w:rPr>
        <w:t xml:space="preserve"> </w:t>
      </w:r>
      <w:r>
        <w:rPr>
          <w:rFonts w:cstheme="minorHAnsi"/>
          <w:sz w:val="24"/>
          <w:szCs w:val="24"/>
        </w:rPr>
        <w:t>In accordance with the usual format for last will and testaments, in his opening statement, Couling states his name and address and pronounces that he is of sound mind and memory. There is no religious preamble to the will, this practice had become less popular since about the mid-sixteenth century, though it continued well into the eighteenth century.</w:t>
      </w:r>
      <w:r>
        <w:rPr>
          <w:rStyle w:val="FootnoteReference"/>
          <w:rFonts w:cstheme="minorHAnsi"/>
          <w:sz w:val="24"/>
          <w:szCs w:val="24"/>
        </w:rPr>
        <w:footnoteReference w:id="30"/>
      </w:r>
      <w:r>
        <w:rPr>
          <w:rFonts w:cstheme="minorHAnsi"/>
          <w:sz w:val="24"/>
          <w:szCs w:val="24"/>
        </w:rPr>
        <w:t xml:space="preserve"> Couling appoints his ‘beloved wife’ Sarah to be the executor of all that he possessed and to distribute his belongings according to the instructions in his will</w:t>
      </w:r>
      <w:r w:rsidR="00CB00DE">
        <w:rPr>
          <w:rFonts w:cstheme="minorHAnsi"/>
          <w:sz w:val="24"/>
          <w:szCs w:val="24"/>
        </w:rPr>
        <w:t xml:space="preserve">, though there is very little </w:t>
      </w:r>
      <w:r>
        <w:rPr>
          <w:rFonts w:cstheme="minorHAnsi"/>
          <w:sz w:val="24"/>
          <w:szCs w:val="24"/>
        </w:rPr>
        <w:t xml:space="preserve">to indicate what Couling’s possessions consisted of. He was living in an alms house at the time he made the will and it is not clear whether his wife and any dependent children would </w:t>
      </w:r>
      <w:r w:rsidR="00CB00DE">
        <w:rPr>
          <w:rFonts w:cstheme="minorHAnsi"/>
          <w:sz w:val="24"/>
          <w:szCs w:val="24"/>
        </w:rPr>
        <w:t xml:space="preserve">have </w:t>
      </w:r>
      <w:r>
        <w:rPr>
          <w:rFonts w:cstheme="minorHAnsi"/>
          <w:sz w:val="24"/>
          <w:szCs w:val="24"/>
        </w:rPr>
        <w:t>be</w:t>
      </w:r>
      <w:r w:rsidR="00BA6098">
        <w:rPr>
          <w:rFonts w:cstheme="minorHAnsi"/>
          <w:sz w:val="24"/>
          <w:szCs w:val="24"/>
        </w:rPr>
        <w:t xml:space="preserve">en </w:t>
      </w:r>
      <w:r>
        <w:rPr>
          <w:rFonts w:cstheme="minorHAnsi"/>
          <w:sz w:val="24"/>
          <w:szCs w:val="24"/>
        </w:rPr>
        <w:t>allowed to remain there after his death. The will is signed and dated by Couling on 18 January 1805, witnessed accordingly and indicates that it has been ‘proved’ by Samuel</w:t>
      </w:r>
      <w:proofErr w:type="gramStart"/>
      <w:r>
        <w:rPr>
          <w:rFonts w:cstheme="minorHAnsi"/>
          <w:sz w:val="24"/>
          <w:szCs w:val="24"/>
        </w:rPr>
        <w:t>? ,</w:t>
      </w:r>
      <w:proofErr w:type="gramEnd"/>
      <w:r>
        <w:rPr>
          <w:rFonts w:cstheme="minorHAnsi"/>
          <w:sz w:val="24"/>
          <w:szCs w:val="24"/>
        </w:rPr>
        <w:t xml:space="preserve"> Parson, Doctor of Laws. </w:t>
      </w:r>
      <w:r w:rsidR="00CB00DE">
        <w:rPr>
          <w:rFonts w:cstheme="minorHAnsi"/>
          <w:sz w:val="24"/>
          <w:szCs w:val="24"/>
        </w:rPr>
        <w:t xml:space="preserve">The last line of the will contains the letters </w:t>
      </w:r>
      <w:proofErr w:type="spellStart"/>
      <w:r w:rsidR="00CB00DE">
        <w:rPr>
          <w:rFonts w:cstheme="minorHAnsi"/>
          <w:sz w:val="24"/>
          <w:szCs w:val="24"/>
        </w:rPr>
        <w:t>Exd</w:t>
      </w:r>
      <w:proofErr w:type="spellEnd"/>
      <w:r w:rsidR="00CB00DE">
        <w:rPr>
          <w:rFonts w:cstheme="minorHAnsi"/>
          <w:sz w:val="24"/>
          <w:szCs w:val="24"/>
        </w:rPr>
        <w:t>. which may be an abbreviation of executed, to show that the paperwork associated with the process of granting probate has been dealt with.</w:t>
      </w:r>
    </w:p>
    <w:p w14:paraId="2D05F717" w14:textId="6B8A551C" w:rsidR="00C44ED3" w:rsidRDefault="00C44ED3" w:rsidP="00AB34BE">
      <w:pPr>
        <w:rPr>
          <w:rFonts w:cstheme="minorHAnsi"/>
          <w:sz w:val="24"/>
          <w:szCs w:val="24"/>
        </w:rPr>
      </w:pPr>
      <w:r>
        <w:rPr>
          <w:rFonts w:cstheme="minorHAnsi"/>
          <w:sz w:val="24"/>
          <w:szCs w:val="24"/>
        </w:rPr>
        <w:t xml:space="preserve">On the next page is the microfilmed copy of the ecclesiastical ledger containing details not only of Couling’s will, but that of Stephen </w:t>
      </w:r>
      <w:r w:rsidR="0044425C">
        <w:rPr>
          <w:rFonts w:cstheme="minorHAnsi"/>
          <w:sz w:val="24"/>
          <w:szCs w:val="24"/>
        </w:rPr>
        <w:t>C</w:t>
      </w:r>
      <w:r>
        <w:rPr>
          <w:rFonts w:cstheme="minorHAnsi"/>
          <w:sz w:val="24"/>
          <w:szCs w:val="24"/>
        </w:rPr>
        <w:t>ole.</w:t>
      </w:r>
      <w:r w:rsidR="0044425C">
        <w:rPr>
          <w:rFonts w:cstheme="minorHAnsi"/>
          <w:sz w:val="24"/>
          <w:szCs w:val="24"/>
        </w:rPr>
        <w:t xml:space="preserve"> For the purposes of this assignment, only the contents of Thomas Couling’s last will and testament will be transcribed.</w:t>
      </w:r>
    </w:p>
    <w:p w14:paraId="3AA9881A" w14:textId="6ECB6B7F" w:rsidR="00502293" w:rsidRDefault="00FC23E8" w:rsidP="00502293">
      <w:pPr>
        <w:rPr>
          <w:sz w:val="24"/>
          <w:szCs w:val="24"/>
        </w:rPr>
      </w:pPr>
      <w:r>
        <w:rPr>
          <w:noProof/>
        </w:rPr>
        <w:lastRenderedPageBreak/>
        <w:drawing>
          <wp:inline distT="0" distB="0" distL="0" distR="0" wp14:anchorId="0CE7ECE3" wp14:editId="07D1E80C">
            <wp:extent cx="5731510" cy="10082721"/>
            <wp:effectExtent l="0" t="0" r="254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stretch>
                      <a:fillRect/>
                    </a:stretch>
                  </pic:blipFill>
                  <pic:spPr>
                    <a:xfrm>
                      <a:off x="0" y="0"/>
                      <a:ext cx="5731510" cy="10082721"/>
                    </a:xfrm>
                    <a:prstGeom prst="rect">
                      <a:avLst/>
                    </a:prstGeom>
                  </pic:spPr>
                </pic:pic>
              </a:graphicData>
            </a:graphic>
          </wp:inline>
        </w:drawing>
      </w:r>
    </w:p>
    <w:p w14:paraId="5BB6C783" w14:textId="6021C85C" w:rsidR="000506C3" w:rsidRPr="00E40AA4" w:rsidRDefault="00E40AA4" w:rsidP="000506C3">
      <w:pPr>
        <w:rPr>
          <w:sz w:val="24"/>
          <w:szCs w:val="24"/>
          <w:u w:val="single"/>
        </w:rPr>
      </w:pPr>
      <w:r w:rsidRPr="00E40AA4">
        <w:rPr>
          <w:sz w:val="24"/>
          <w:szCs w:val="24"/>
          <w:u w:val="single"/>
        </w:rPr>
        <w:lastRenderedPageBreak/>
        <w:t>Transcription</w:t>
      </w:r>
    </w:p>
    <w:p w14:paraId="0E10DAE3" w14:textId="77777777" w:rsidR="000506C3" w:rsidRDefault="000506C3" w:rsidP="000506C3">
      <w:pPr>
        <w:spacing w:after="0" w:line="240" w:lineRule="auto"/>
        <w:rPr>
          <w:sz w:val="24"/>
          <w:szCs w:val="24"/>
        </w:rPr>
      </w:pPr>
      <w:r>
        <w:rPr>
          <w:sz w:val="24"/>
          <w:szCs w:val="24"/>
        </w:rPr>
        <w:t xml:space="preserve">Thomas </w:t>
      </w:r>
    </w:p>
    <w:p w14:paraId="37A9F854" w14:textId="77777777" w:rsidR="000506C3" w:rsidRDefault="000506C3" w:rsidP="000506C3">
      <w:pPr>
        <w:spacing w:after="0" w:line="240" w:lineRule="auto"/>
        <w:rPr>
          <w:rFonts w:cstheme="minorHAnsi"/>
          <w:sz w:val="24"/>
          <w:szCs w:val="24"/>
        </w:rPr>
      </w:pPr>
      <w:r>
        <w:rPr>
          <w:sz w:val="24"/>
          <w:szCs w:val="24"/>
        </w:rPr>
        <w:t xml:space="preserve">Couling     </w:t>
      </w:r>
      <w:r w:rsidRPr="00AF7275">
        <w:rPr>
          <w:sz w:val="24"/>
          <w:szCs w:val="24"/>
        </w:rPr>
        <w:t>I Tho</w:t>
      </w:r>
      <w:r w:rsidRPr="00AF7275">
        <w:rPr>
          <w:rFonts w:cstheme="minorHAnsi"/>
          <w:sz w:val="24"/>
          <w:szCs w:val="24"/>
        </w:rPr>
        <w:t xml:space="preserve">s. Couling </w:t>
      </w:r>
      <w:r>
        <w:rPr>
          <w:rFonts w:cstheme="minorHAnsi"/>
          <w:sz w:val="24"/>
          <w:szCs w:val="24"/>
        </w:rPr>
        <w:t>at</w:t>
      </w:r>
      <w:r w:rsidRPr="00AF7275">
        <w:rPr>
          <w:rFonts w:cstheme="minorHAnsi"/>
          <w:sz w:val="24"/>
          <w:szCs w:val="24"/>
        </w:rPr>
        <w:t xml:space="preserve"> no. [number] 7 [illegible</w:t>
      </w:r>
      <w:r>
        <w:rPr>
          <w:rFonts w:cstheme="minorHAnsi"/>
          <w:sz w:val="24"/>
          <w:szCs w:val="24"/>
        </w:rPr>
        <w:t>]</w:t>
      </w:r>
    </w:p>
    <w:p w14:paraId="0EA87B65" w14:textId="77777777" w:rsidR="000506C3" w:rsidRPr="00AF7275" w:rsidRDefault="000506C3" w:rsidP="000506C3">
      <w:pPr>
        <w:pStyle w:val="ListParagraph"/>
        <w:ind w:left="993"/>
        <w:rPr>
          <w:rFonts w:cstheme="minorHAnsi"/>
          <w:sz w:val="24"/>
          <w:szCs w:val="24"/>
        </w:rPr>
      </w:pPr>
      <w:r w:rsidRPr="00AF7275">
        <w:rPr>
          <w:rFonts w:cstheme="minorHAnsi"/>
          <w:sz w:val="24"/>
          <w:szCs w:val="24"/>
        </w:rPr>
        <w:t xml:space="preserve">Frame </w:t>
      </w:r>
      <w:r>
        <w:rPr>
          <w:rFonts w:cstheme="minorHAnsi"/>
          <w:sz w:val="24"/>
          <w:szCs w:val="24"/>
        </w:rPr>
        <w:t>w</w:t>
      </w:r>
      <w:r w:rsidRPr="00AF7275">
        <w:rPr>
          <w:rFonts w:cstheme="minorHAnsi"/>
          <w:sz w:val="24"/>
          <w:szCs w:val="24"/>
        </w:rPr>
        <w:t xml:space="preserve">ork </w:t>
      </w:r>
      <w:proofErr w:type="gramStart"/>
      <w:r>
        <w:rPr>
          <w:rFonts w:cstheme="minorHAnsi"/>
          <w:sz w:val="24"/>
          <w:szCs w:val="24"/>
        </w:rPr>
        <w:t>k</w:t>
      </w:r>
      <w:r w:rsidRPr="00AF7275">
        <w:rPr>
          <w:rFonts w:cstheme="minorHAnsi"/>
          <w:sz w:val="24"/>
          <w:szCs w:val="24"/>
        </w:rPr>
        <w:t>nitters</w:t>
      </w:r>
      <w:proofErr w:type="gramEnd"/>
      <w:r w:rsidRPr="00AF7275">
        <w:rPr>
          <w:rFonts w:cstheme="minorHAnsi"/>
          <w:sz w:val="24"/>
          <w:szCs w:val="24"/>
        </w:rPr>
        <w:t xml:space="preserve"> alms Houses Kingsland Road in the county of </w:t>
      </w:r>
    </w:p>
    <w:p w14:paraId="7092931A" w14:textId="77777777" w:rsidR="000506C3" w:rsidRDefault="000506C3" w:rsidP="000506C3">
      <w:pPr>
        <w:pStyle w:val="ListParagraph"/>
        <w:tabs>
          <w:tab w:val="left" w:pos="426"/>
        </w:tabs>
        <w:ind w:left="993"/>
        <w:rPr>
          <w:rFonts w:cstheme="minorHAnsi"/>
          <w:sz w:val="24"/>
          <w:szCs w:val="24"/>
        </w:rPr>
      </w:pPr>
      <w:r w:rsidRPr="002702FD">
        <w:rPr>
          <w:rFonts w:cstheme="minorHAnsi"/>
          <w:sz w:val="24"/>
          <w:szCs w:val="24"/>
        </w:rPr>
        <w:t xml:space="preserve">Middlesex London being of sound mind and memory </w:t>
      </w:r>
      <w:r>
        <w:rPr>
          <w:rFonts w:cstheme="minorHAnsi"/>
          <w:sz w:val="24"/>
          <w:szCs w:val="24"/>
        </w:rPr>
        <w:t>D</w:t>
      </w:r>
      <w:r w:rsidRPr="002702FD">
        <w:rPr>
          <w:rFonts w:cstheme="minorHAnsi"/>
          <w:sz w:val="24"/>
          <w:szCs w:val="24"/>
        </w:rPr>
        <w:t xml:space="preserve">o make this </w:t>
      </w:r>
      <w:proofErr w:type="gramStart"/>
      <w:r w:rsidRPr="002702FD">
        <w:rPr>
          <w:rFonts w:cstheme="minorHAnsi"/>
          <w:sz w:val="24"/>
          <w:szCs w:val="24"/>
        </w:rPr>
        <w:t>my</w:t>
      </w:r>
      <w:proofErr w:type="gramEnd"/>
      <w:r w:rsidRPr="002702FD">
        <w:rPr>
          <w:rFonts w:cstheme="minorHAnsi"/>
          <w:sz w:val="24"/>
          <w:szCs w:val="24"/>
        </w:rPr>
        <w:t xml:space="preserve"> </w:t>
      </w:r>
    </w:p>
    <w:p w14:paraId="42223C3D" w14:textId="77777777" w:rsidR="000506C3" w:rsidRDefault="000506C3" w:rsidP="000506C3">
      <w:pPr>
        <w:pStyle w:val="ListParagraph"/>
        <w:tabs>
          <w:tab w:val="left" w:pos="426"/>
        </w:tabs>
        <w:ind w:left="993"/>
        <w:rPr>
          <w:rFonts w:cstheme="minorHAnsi"/>
          <w:sz w:val="24"/>
          <w:szCs w:val="24"/>
        </w:rPr>
      </w:pPr>
      <w:r w:rsidRPr="002702FD">
        <w:rPr>
          <w:rFonts w:cstheme="minorHAnsi"/>
          <w:sz w:val="24"/>
          <w:szCs w:val="24"/>
        </w:rPr>
        <w:t xml:space="preserve">last will [&amp;] Testament as follows </w:t>
      </w:r>
      <w:proofErr w:type="spellStart"/>
      <w:r>
        <w:rPr>
          <w:rFonts w:cstheme="minorHAnsi"/>
          <w:sz w:val="24"/>
          <w:szCs w:val="24"/>
        </w:rPr>
        <w:t>stru</w:t>
      </w:r>
      <w:proofErr w:type="spellEnd"/>
      <w:r>
        <w:rPr>
          <w:rFonts w:cstheme="minorHAnsi"/>
          <w:sz w:val="24"/>
          <w:szCs w:val="24"/>
        </w:rPr>
        <w:t xml:space="preserve">? </w:t>
      </w:r>
      <w:r w:rsidRPr="002702FD">
        <w:rPr>
          <w:rFonts w:cstheme="minorHAnsi"/>
          <w:sz w:val="24"/>
          <w:szCs w:val="24"/>
        </w:rPr>
        <w:t xml:space="preserve">that I do make Sarah Couling my </w:t>
      </w:r>
    </w:p>
    <w:p w14:paraId="366DCA4D" w14:textId="655CB7A0" w:rsidR="000506C3" w:rsidRDefault="000506C3" w:rsidP="000506C3">
      <w:pPr>
        <w:pStyle w:val="ListParagraph"/>
        <w:tabs>
          <w:tab w:val="left" w:pos="426"/>
        </w:tabs>
        <w:ind w:left="993"/>
        <w:rPr>
          <w:rFonts w:cstheme="minorHAnsi"/>
          <w:sz w:val="24"/>
          <w:szCs w:val="24"/>
        </w:rPr>
      </w:pPr>
      <w:r>
        <w:rPr>
          <w:rFonts w:cstheme="minorHAnsi"/>
          <w:sz w:val="24"/>
          <w:szCs w:val="24"/>
        </w:rPr>
        <w:t>b</w:t>
      </w:r>
      <w:r w:rsidRPr="002702FD">
        <w:rPr>
          <w:rFonts w:cstheme="minorHAnsi"/>
          <w:sz w:val="24"/>
          <w:szCs w:val="24"/>
        </w:rPr>
        <w:t>eloved wife Executrix of all I may be possessed of a</w:t>
      </w:r>
      <w:r>
        <w:rPr>
          <w:rFonts w:cstheme="minorHAnsi"/>
          <w:sz w:val="24"/>
          <w:szCs w:val="24"/>
        </w:rPr>
        <w:t>t my d…… [d</w:t>
      </w:r>
      <w:r w:rsidR="00C44ED3">
        <w:rPr>
          <w:rFonts w:cstheme="minorHAnsi"/>
          <w:sz w:val="24"/>
          <w:szCs w:val="24"/>
        </w:rPr>
        <w:t>eparture?</w:t>
      </w:r>
      <w:r>
        <w:rPr>
          <w:rFonts w:cstheme="minorHAnsi"/>
          <w:sz w:val="24"/>
          <w:szCs w:val="24"/>
        </w:rPr>
        <w:t>] and</w:t>
      </w:r>
    </w:p>
    <w:p w14:paraId="2CF6B328" w14:textId="6014370D" w:rsidR="000506C3" w:rsidRDefault="000506C3" w:rsidP="000506C3">
      <w:pPr>
        <w:pStyle w:val="ListParagraph"/>
        <w:tabs>
          <w:tab w:val="left" w:pos="426"/>
        </w:tabs>
        <w:ind w:left="993"/>
        <w:rPr>
          <w:rFonts w:cstheme="minorHAnsi"/>
          <w:sz w:val="24"/>
          <w:szCs w:val="24"/>
        </w:rPr>
      </w:pPr>
      <w:r w:rsidRPr="00167A93">
        <w:rPr>
          <w:rFonts w:cstheme="minorHAnsi"/>
          <w:sz w:val="24"/>
          <w:szCs w:val="24"/>
        </w:rPr>
        <w:t xml:space="preserve">grant </w:t>
      </w:r>
      <w:r>
        <w:rPr>
          <w:rFonts w:cstheme="minorHAnsi"/>
          <w:sz w:val="24"/>
          <w:szCs w:val="24"/>
        </w:rPr>
        <w:t>William [</w:t>
      </w:r>
      <w:proofErr w:type="spellStart"/>
      <w:r w:rsidR="00557F83">
        <w:rPr>
          <w:rFonts w:cstheme="minorHAnsi"/>
          <w:sz w:val="24"/>
          <w:szCs w:val="24"/>
        </w:rPr>
        <w:t>N</w:t>
      </w:r>
      <w:r>
        <w:rPr>
          <w:rFonts w:cstheme="minorHAnsi"/>
          <w:sz w:val="24"/>
          <w:szCs w:val="24"/>
        </w:rPr>
        <w:t>airmon</w:t>
      </w:r>
      <w:proofErr w:type="spellEnd"/>
      <w:r>
        <w:rPr>
          <w:rFonts w:cstheme="minorHAnsi"/>
          <w:sz w:val="24"/>
          <w:szCs w:val="24"/>
        </w:rPr>
        <w:t xml:space="preserve">?] </w:t>
      </w:r>
      <w:r w:rsidRPr="00167A93">
        <w:rPr>
          <w:rFonts w:cstheme="minorHAnsi"/>
          <w:sz w:val="24"/>
          <w:szCs w:val="24"/>
        </w:rPr>
        <w:t xml:space="preserve">son of alderman </w:t>
      </w:r>
      <w:r>
        <w:rPr>
          <w:rFonts w:cstheme="minorHAnsi"/>
          <w:sz w:val="24"/>
          <w:szCs w:val="24"/>
        </w:rPr>
        <w:t>[</w:t>
      </w:r>
      <w:proofErr w:type="spellStart"/>
      <w:r w:rsidR="00557F83">
        <w:rPr>
          <w:rFonts w:cstheme="minorHAnsi"/>
          <w:sz w:val="24"/>
          <w:szCs w:val="24"/>
        </w:rPr>
        <w:t>N</w:t>
      </w:r>
      <w:r>
        <w:rPr>
          <w:rFonts w:cstheme="minorHAnsi"/>
          <w:sz w:val="24"/>
          <w:szCs w:val="24"/>
        </w:rPr>
        <w:t>airmon</w:t>
      </w:r>
      <w:proofErr w:type="spellEnd"/>
      <w:r>
        <w:rPr>
          <w:rFonts w:cstheme="minorHAnsi"/>
          <w:sz w:val="24"/>
          <w:szCs w:val="24"/>
        </w:rPr>
        <w:t xml:space="preserve">?] </w:t>
      </w:r>
      <w:r w:rsidRPr="00167A93">
        <w:rPr>
          <w:rFonts w:cstheme="minorHAnsi"/>
          <w:sz w:val="24"/>
          <w:szCs w:val="24"/>
        </w:rPr>
        <w:t xml:space="preserve">late of Snow </w:t>
      </w:r>
      <w:r>
        <w:rPr>
          <w:rFonts w:cstheme="minorHAnsi"/>
          <w:sz w:val="24"/>
          <w:szCs w:val="24"/>
        </w:rPr>
        <w:t>[illegible]</w:t>
      </w:r>
    </w:p>
    <w:p w14:paraId="0F43CE71" w14:textId="77777777" w:rsidR="000506C3" w:rsidRPr="00C80E05" w:rsidRDefault="000506C3" w:rsidP="000506C3">
      <w:pPr>
        <w:pStyle w:val="ListParagraph"/>
        <w:tabs>
          <w:tab w:val="left" w:pos="426"/>
        </w:tabs>
        <w:ind w:left="993"/>
        <w:rPr>
          <w:rFonts w:cstheme="minorHAnsi"/>
          <w:sz w:val="24"/>
          <w:szCs w:val="24"/>
        </w:rPr>
      </w:pPr>
      <w:r w:rsidRPr="00C80E05">
        <w:rPr>
          <w:rFonts w:cstheme="minorHAnsi"/>
          <w:sz w:val="24"/>
          <w:szCs w:val="24"/>
        </w:rPr>
        <w:t xml:space="preserve">Hill </w:t>
      </w:r>
      <w:r>
        <w:rPr>
          <w:rFonts w:cstheme="minorHAnsi"/>
          <w:sz w:val="24"/>
          <w:szCs w:val="24"/>
        </w:rPr>
        <w:t xml:space="preserve">and Richard </w:t>
      </w:r>
      <w:r w:rsidRPr="00C80E05">
        <w:rPr>
          <w:rFonts w:cstheme="minorHAnsi"/>
          <w:sz w:val="24"/>
          <w:szCs w:val="24"/>
        </w:rPr>
        <w:t>Wiggins at 62</w:t>
      </w:r>
      <w:r>
        <w:rPr>
          <w:rFonts w:cstheme="minorHAnsi"/>
          <w:sz w:val="24"/>
          <w:szCs w:val="24"/>
        </w:rPr>
        <w:t xml:space="preserve"> Fuller </w:t>
      </w:r>
      <w:proofErr w:type="spellStart"/>
      <w:r>
        <w:rPr>
          <w:rFonts w:cstheme="minorHAnsi"/>
          <w:sz w:val="24"/>
          <w:szCs w:val="24"/>
        </w:rPr>
        <w:t>Gdns</w:t>
      </w:r>
      <w:proofErr w:type="spellEnd"/>
      <w:r>
        <w:rPr>
          <w:rFonts w:cstheme="minorHAnsi"/>
          <w:sz w:val="24"/>
          <w:szCs w:val="24"/>
        </w:rPr>
        <w:t>.</w:t>
      </w:r>
      <w:r w:rsidRPr="00C80E05">
        <w:rPr>
          <w:rFonts w:cstheme="minorHAnsi"/>
          <w:sz w:val="24"/>
          <w:szCs w:val="24"/>
        </w:rPr>
        <w:t xml:space="preserve"> sons Tallow Chandler do </w:t>
      </w:r>
      <w:r>
        <w:rPr>
          <w:rFonts w:cstheme="minorHAnsi"/>
          <w:sz w:val="24"/>
          <w:szCs w:val="24"/>
        </w:rPr>
        <w:t>[illegible]</w:t>
      </w:r>
    </w:p>
    <w:p w14:paraId="37536E69" w14:textId="77777777" w:rsidR="000506C3" w:rsidRDefault="000506C3" w:rsidP="000506C3">
      <w:pPr>
        <w:pStyle w:val="ListParagraph"/>
        <w:tabs>
          <w:tab w:val="left" w:pos="426"/>
        </w:tabs>
        <w:ind w:left="993"/>
        <w:rPr>
          <w:rFonts w:cstheme="minorHAnsi"/>
          <w:sz w:val="24"/>
          <w:szCs w:val="24"/>
        </w:rPr>
      </w:pPr>
      <w:r w:rsidRPr="000017BD">
        <w:rPr>
          <w:rFonts w:cstheme="minorHAnsi"/>
          <w:sz w:val="24"/>
          <w:szCs w:val="24"/>
        </w:rPr>
        <w:t xml:space="preserve">trust to my said wife and </w:t>
      </w:r>
      <w:r>
        <w:rPr>
          <w:rFonts w:cstheme="minorHAnsi"/>
          <w:sz w:val="24"/>
          <w:szCs w:val="24"/>
        </w:rPr>
        <w:t xml:space="preserve">[crossed out] </w:t>
      </w:r>
      <w:r w:rsidRPr="000017BD">
        <w:rPr>
          <w:rFonts w:cstheme="minorHAnsi"/>
          <w:sz w:val="24"/>
          <w:szCs w:val="24"/>
        </w:rPr>
        <w:t xml:space="preserve">my remaining </w:t>
      </w:r>
      <w:proofErr w:type="spellStart"/>
      <w:r w:rsidRPr="000017BD">
        <w:rPr>
          <w:rFonts w:cstheme="minorHAnsi"/>
          <w:sz w:val="24"/>
          <w:szCs w:val="24"/>
        </w:rPr>
        <w:t>appar</w:t>
      </w:r>
      <w:r>
        <w:rPr>
          <w:rFonts w:cstheme="minorHAnsi"/>
          <w:sz w:val="24"/>
          <w:szCs w:val="24"/>
        </w:rPr>
        <w:t>ie</w:t>
      </w:r>
      <w:r w:rsidRPr="000017BD">
        <w:rPr>
          <w:rFonts w:cstheme="minorHAnsi"/>
          <w:sz w:val="24"/>
          <w:szCs w:val="24"/>
        </w:rPr>
        <w:t>l</w:t>
      </w:r>
      <w:proofErr w:type="spellEnd"/>
      <w:r w:rsidRPr="000017BD">
        <w:rPr>
          <w:rFonts w:cstheme="minorHAnsi"/>
          <w:sz w:val="24"/>
          <w:szCs w:val="24"/>
        </w:rPr>
        <w:t xml:space="preserve"> be divided</w:t>
      </w:r>
      <w:r>
        <w:rPr>
          <w:rFonts w:cstheme="minorHAnsi"/>
          <w:sz w:val="24"/>
          <w:szCs w:val="24"/>
        </w:rPr>
        <w:t xml:space="preserve"> [illegible]</w:t>
      </w:r>
    </w:p>
    <w:p w14:paraId="16BF962D" w14:textId="1208F66C" w:rsidR="000506C3" w:rsidRDefault="000506C3" w:rsidP="000506C3">
      <w:pPr>
        <w:pStyle w:val="ListParagraph"/>
        <w:tabs>
          <w:tab w:val="left" w:pos="426"/>
        </w:tabs>
        <w:ind w:left="993"/>
        <w:rPr>
          <w:rFonts w:cstheme="minorHAnsi"/>
          <w:sz w:val="24"/>
          <w:szCs w:val="24"/>
        </w:rPr>
      </w:pPr>
      <w:r w:rsidRPr="000017BD">
        <w:rPr>
          <w:rFonts w:cstheme="minorHAnsi"/>
          <w:sz w:val="24"/>
          <w:szCs w:val="24"/>
        </w:rPr>
        <w:t xml:space="preserve">between my sons and after their </w:t>
      </w:r>
      <w:r>
        <w:rPr>
          <w:rFonts w:cstheme="minorHAnsi"/>
          <w:sz w:val="24"/>
          <w:szCs w:val="24"/>
        </w:rPr>
        <w:t>d…. [d</w:t>
      </w:r>
      <w:r w:rsidR="00557F83">
        <w:rPr>
          <w:rFonts w:cstheme="minorHAnsi"/>
          <w:sz w:val="24"/>
          <w:szCs w:val="24"/>
        </w:rPr>
        <w:t>eparture</w:t>
      </w:r>
      <w:r>
        <w:rPr>
          <w:rFonts w:cstheme="minorHAnsi"/>
          <w:sz w:val="24"/>
          <w:szCs w:val="24"/>
        </w:rPr>
        <w:t>?] then to take an</w:t>
      </w:r>
      <w:r w:rsidRPr="000017BD">
        <w:rPr>
          <w:rFonts w:cstheme="minorHAnsi"/>
          <w:sz w:val="24"/>
          <w:szCs w:val="24"/>
        </w:rPr>
        <w:t xml:space="preserve"> inventory </w:t>
      </w:r>
    </w:p>
    <w:p w14:paraId="4EF102A1" w14:textId="77777777" w:rsidR="000506C3" w:rsidRDefault="000506C3" w:rsidP="000506C3">
      <w:pPr>
        <w:pStyle w:val="ListParagraph"/>
        <w:tabs>
          <w:tab w:val="left" w:pos="426"/>
        </w:tabs>
        <w:ind w:left="993"/>
        <w:rPr>
          <w:rFonts w:cstheme="minorHAnsi"/>
          <w:sz w:val="24"/>
          <w:szCs w:val="24"/>
        </w:rPr>
      </w:pPr>
      <w:r w:rsidRPr="000017BD">
        <w:rPr>
          <w:rFonts w:cstheme="minorHAnsi"/>
          <w:sz w:val="24"/>
          <w:szCs w:val="24"/>
        </w:rPr>
        <w:t>of all that there is left and if any money should be in the bank</w:t>
      </w:r>
    </w:p>
    <w:p w14:paraId="0EFEC2DE" w14:textId="77777777" w:rsidR="000506C3" w:rsidRDefault="000506C3" w:rsidP="000506C3">
      <w:pPr>
        <w:pStyle w:val="ListParagraph"/>
        <w:tabs>
          <w:tab w:val="left" w:pos="426"/>
        </w:tabs>
        <w:ind w:left="993"/>
        <w:rPr>
          <w:rFonts w:cstheme="minorHAnsi"/>
          <w:sz w:val="24"/>
          <w:szCs w:val="24"/>
        </w:rPr>
      </w:pPr>
      <w:r>
        <w:rPr>
          <w:rFonts w:cstheme="minorHAnsi"/>
          <w:sz w:val="24"/>
          <w:szCs w:val="24"/>
        </w:rPr>
        <w:t xml:space="preserve">then </w:t>
      </w:r>
      <w:r w:rsidRPr="000017BD">
        <w:rPr>
          <w:rFonts w:cstheme="minorHAnsi"/>
          <w:sz w:val="24"/>
          <w:szCs w:val="24"/>
        </w:rPr>
        <w:t xml:space="preserve">to </w:t>
      </w:r>
      <w:r>
        <w:rPr>
          <w:rFonts w:cstheme="minorHAnsi"/>
          <w:sz w:val="24"/>
          <w:szCs w:val="24"/>
        </w:rPr>
        <w:t>[sull?]</w:t>
      </w:r>
      <w:r w:rsidRPr="000017BD">
        <w:rPr>
          <w:rFonts w:cstheme="minorHAnsi"/>
          <w:sz w:val="24"/>
          <w:szCs w:val="24"/>
        </w:rPr>
        <w:t xml:space="preserve"> it out </w:t>
      </w:r>
      <w:r>
        <w:rPr>
          <w:rFonts w:cstheme="minorHAnsi"/>
          <w:sz w:val="24"/>
          <w:szCs w:val="24"/>
        </w:rPr>
        <w:t>[</w:t>
      </w:r>
      <w:r w:rsidRPr="000017BD">
        <w:rPr>
          <w:rFonts w:cstheme="minorHAnsi"/>
          <w:sz w:val="24"/>
          <w:szCs w:val="24"/>
        </w:rPr>
        <w:t>&amp;</w:t>
      </w:r>
      <w:r>
        <w:rPr>
          <w:rFonts w:cstheme="minorHAnsi"/>
          <w:sz w:val="24"/>
          <w:szCs w:val="24"/>
        </w:rPr>
        <w:t>]</w:t>
      </w:r>
      <w:r w:rsidRPr="000017BD">
        <w:rPr>
          <w:rFonts w:cstheme="minorHAnsi"/>
          <w:sz w:val="24"/>
          <w:szCs w:val="24"/>
        </w:rPr>
        <w:t xml:space="preserve"> make the most </w:t>
      </w:r>
      <w:r>
        <w:rPr>
          <w:rFonts w:cstheme="minorHAnsi"/>
          <w:sz w:val="24"/>
          <w:szCs w:val="24"/>
        </w:rPr>
        <w:t xml:space="preserve">you can of </w:t>
      </w:r>
      <w:proofErr w:type="spellStart"/>
      <w:r>
        <w:rPr>
          <w:rFonts w:cstheme="minorHAnsi"/>
          <w:sz w:val="24"/>
          <w:szCs w:val="24"/>
        </w:rPr>
        <w:t>every thing</w:t>
      </w:r>
      <w:proofErr w:type="spellEnd"/>
      <w:r>
        <w:rPr>
          <w:rFonts w:cstheme="minorHAnsi"/>
          <w:sz w:val="24"/>
          <w:szCs w:val="24"/>
        </w:rPr>
        <w:t xml:space="preserve"> [&amp;] after </w:t>
      </w:r>
    </w:p>
    <w:p w14:paraId="5E867319" w14:textId="77777777" w:rsidR="000506C3" w:rsidRDefault="000506C3" w:rsidP="000506C3">
      <w:pPr>
        <w:pStyle w:val="ListParagraph"/>
        <w:tabs>
          <w:tab w:val="left" w:pos="426"/>
        </w:tabs>
        <w:ind w:left="993"/>
        <w:rPr>
          <w:rFonts w:cstheme="minorHAnsi"/>
          <w:sz w:val="24"/>
          <w:szCs w:val="24"/>
        </w:rPr>
      </w:pPr>
      <w:r>
        <w:rPr>
          <w:rFonts w:cstheme="minorHAnsi"/>
          <w:sz w:val="24"/>
          <w:szCs w:val="24"/>
        </w:rPr>
        <w:t>paying for funeral or any other debts that may occur. [&amp;] satisfy your</w:t>
      </w:r>
    </w:p>
    <w:p w14:paraId="66FA659D" w14:textId="12E2E853" w:rsidR="000506C3" w:rsidRDefault="000506C3" w:rsidP="000506C3">
      <w:pPr>
        <w:pStyle w:val="ListParagraph"/>
        <w:tabs>
          <w:tab w:val="left" w:pos="426"/>
        </w:tabs>
        <w:ind w:left="993"/>
        <w:rPr>
          <w:rFonts w:cstheme="minorHAnsi"/>
          <w:sz w:val="24"/>
          <w:szCs w:val="24"/>
        </w:rPr>
      </w:pPr>
      <w:r>
        <w:rPr>
          <w:rFonts w:cstheme="minorHAnsi"/>
          <w:sz w:val="24"/>
          <w:szCs w:val="24"/>
        </w:rPr>
        <w:t xml:space="preserve">selves for your trouble then </w:t>
      </w:r>
      <w:proofErr w:type="spellStart"/>
      <w:r>
        <w:rPr>
          <w:rFonts w:cstheme="minorHAnsi"/>
          <w:sz w:val="24"/>
          <w:szCs w:val="24"/>
          <w:u w:val="single"/>
        </w:rPr>
        <w:t>divid</w:t>
      </w:r>
      <w:proofErr w:type="spellEnd"/>
      <w:r w:rsidR="00557F83">
        <w:rPr>
          <w:rFonts w:cstheme="minorHAnsi"/>
          <w:sz w:val="24"/>
          <w:szCs w:val="24"/>
          <w:u w:val="single"/>
        </w:rPr>
        <w:t xml:space="preserve"> (divide)</w:t>
      </w:r>
      <w:r>
        <w:rPr>
          <w:rFonts w:cstheme="minorHAnsi"/>
          <w:sz w:val="24"/>
          <w:szCs w:val="24"/>
          <w:u w:val="single"/>
        </w:rPr>
        <w:t xml:space="preserve"> </w:t>
      </w:r>
      <w:r w:rsidRPr="00341B88">
        <w:rPr>
          <w:rFonts w:cstheme="minorHAnsi"/>
          <w:sz w:val="24"/>
          <w:szCs w:val="24"/>
        </w:rPr>
        <w:t>it as I</w:t>
      </w:r>
      <w:r>
        <w:rPr>
          <w:rFonts w:cstheme="minorHAnsi"/>
          <w:sz w:val="24"/>
          <w:szCs w:val="24"/>
        </w:rPr>
        <w:t xml:space="preserve"> should wish that is to say</w:t>
      </w:r>
    </w:p>
    <w:p w14:paraId="2F192894" w14:textId="77777777" w:rsidR="000506C3" w:rsidRPr="00341B88" w:rsidRDefault="000506C3" w:rsidP="000506C3">
      <w:pPr>
        <w:pStyle w:val="ListParagraph"/>
        <w:tabs>
          <w:tab w:val="left" w:pos="426"/>
        </w:tabs>
        <w:ind w:left="993"/>
        <w:rPr>
          <w:rFonts w:cstheme="minorHAnsi"/>
          <w:sz w:val="24"/>
          <w:szCs w:val="24"/>
        </w:rPr>
      </w:pPr>
      <w:r>
        <w:rPr>
          <w:rFonts w:cstheme="minorHAnsi"/>
          <w:sz w:val="24"/>
          <w:szCs w:val="24"/>
        </w:rPr>
        <w:t xml:space="preserve">Richard </w:t>
      </w:r>
      <w:r w:rsidRPr="00341B88">
        <w:rPr>
          <w:rFonts w:cstheme="minorHAnsi"/>
          <w:sz w:val="24"/>
          <w:szCs w:val="24"/>
        </w:rPr>
        <w:t xml:space="preserve">Couling </w:t>
      </w:r>
      <w:r>
        <w:rPr>
          <w:rFonts w:cstheme="minorHAnsi"/>
          <w:sz w:val="24"/>
          <w:szCs w:val="24"/>
        </w:rPr>
        <w:t>El</w:t>
      </w:r>
      <w:r w:rsidRPr="00341B88">
        <w:rPr>
          <w:rFonts w:cstheme="minorHAnsi"/>
          <w:sz w:val="24"/>
          <w:szCs w:val="24"/>
        </w:rPr>
        <w:t>dest and Thos. Couling and Robert Couling [and] Samue</w:t>
      </w:r>
      <w:r>
        <w:rPr>
          <w:rFonts w:cstheme="minorHAnsi"/>
          <w:sz w:val="24"/>
          <w:szCs w:val="24"/>
        </w:rPr>
        <w:t>l</w:t>
      </w:r>
      <w:r>
        <w:rPr>
          <w:rFonts w:cstheme="minorHAnsi"/>
          <w:sz w:val="24"/>
          <w:szCs w:val="24"/>
        </w:rPr>
        <w:tab/>
        <w:t xml:space="preserve">    </w:t>
      </w:r>
      <w:r w:rsidRPr="00341B88">
        <w:rPr>
          <w:rFonts w:cstheme="minorHAnsi"/>
          <w:sz w:val="24"/>
          <w:szCs w:val="24"/>
        </w:rPr>
        <w:t xml:space="preserve">Couling and my two daughters </w:t>
      </w:r>
      <w:proofErr w:type="gramStart"/>
      <w:r w:rsidRPr="00341B88">
        <w:rPr>
          <w:rFonts w:cstheme="minorHAnsi"/>
          <w:sz w:val="24"/>
          <w:szCs w:val="24"/>
        </w:rPr>
        <w:t>that ?</w:t>
      </w:r>
      <w:proofErr w:type="gramEnd"/>
      <w:r w:rsidRPr="00341B88">
        <w:rPr>
          <w:rFonts w:cstheme="minorHAnsi"/>
          <w:sz w:val="24"/>
          <w:szCs w:val="24"/>
        </w:rPr>
        <w:t xml:space="preserve"> Mary the wife of George</w:t>
      </w:r>
      <w:r>
        <w:rPr>
          <w:rFonts w:cstheme="minorHAnsi"/>
          <w:sz w:val="24"/>
          <w:szCs w:val="24"/>
        </w:rPr>
        <w:t xml:space="preserve"> [illegible mark]</w:t>
      </w:r>
    </w:p>
    <w:p w14:paraId="733688DC" w14:textId="77777777" w:rsidR="000506C3" w:rsidRDefault="000506C3" w:rsidP="000506C3">
      <w:pPr>
        <w:pStyle w:val="ListParagraph"/>
        <w:tabs>
          <w:tab w:val="left" w:pos="426"/>
        </w:tabs>
        <w:ind w:left="993"/>
        <w:rPr>
          <w:rFonts w:cstheme="minorHAnsi"/>
          <w:sz w:val="24"/>
          <w:szCs w:val="24"/>
        </w:rPr>
      </w:pPr>
      <w:r>
        <w:rPr>
          <w:rFonts w:cstheme="minorHAnsi"/>
          <w:sz w:val="24"/>
          <w:szCs w:val="24"/>
        </w:rPr>
        <w:t xml:space="preserve">? and Sarah the wife of Richard? and </w:t>
      </w:r>
      <w:r w:rsidRPr="00265C51">
        <w:rPr>
          <w:rFonts w:cstheme="minorHAnsi"/>
          <w:sz w:val="24"/>
          <w:szCs w:val="24"/>
          <w:u w:val="single"/>
        </w:rPr>
        <w:t>sinned</w:t>
      </w:r>
      <w:r>
        <w:rPr>
          <w:rFonts w:cstheme="minorHAnsi"/>
          <w:sz w:val="24"/>
          <w:szCs w:val="24"/>
          <w:u w:val="single"/>
        </w:rPr>
        <w:t xml:space="preserve"> </w:t>
      </w:r>
      <w:r>
        <w:rPr>
          <w:rFonts w:cstheme="minorHAnsi"/>
          <w:sz w:val="24"/>
          <w:szCs w:val="24"/>
        </w:rPr>
        <w:t>[signed] this 18</w:t>
      </w:r>
    </w:p>
    <w:p w14:paraId="0E2D4AA0" w14:textId="68BC666C" w:rsidR="000506C3" w:rsidRDefault="000506C3" w:rsidP="000506C3">
      <w:pPr>
        <w:pStyle w:val="ListParagraph"/>
        <w:tabs>
          <w:tab w:val="left" w:pos="426"/>
        </w:tabs>
        <w:ind w:left="993"/>
        <w:rPr>
          <w:rFonts w:cstheme="minorHAnsi"/>
          <w:sz w:val="24"/>
          <w:szCs w:val="24"/>
        </w:rPr>
      </w:pPr>
      <w:r>
        <w:rPr>
          <w:rFonts w:cstheme="minorHAnsi"/>
          <w:sz w:val="24"/>
          <w:szCs w:val="24"/>
        </w:rPr>
        <w:t xml:space="preserve">Day </w:t>
      </w:r>
      <w:proofErr w:type="spellStart"/>
      <w:r>
        <w:rPr>
          <w:rFonts w:cstheme="minorHAnsi"/>
          <w:sz w:val="24"/>
          <w:szCs w:val="24"/>
        </w:rPr>
        <w:t>jnary</w:t>
      </w:r>
      <w:proofErr w:type="spellEnd"/>
      <w:r>
        <w:rPr>
          <w:rFonts w:cstheme="minorHAnsi"/>
          <w:sz w:val="24"/>
          <w:szCs w:val="24"/>
        </w:rPr>
        <w:t xml:space="preserve">. [January] </w:t>
      </w:r>
      <w:r w:rsidRPr="00341B88">
        <w:rPr>
          <w:rFonts w:cstheme="minorHAnsi"/>
          <w:sz w:val="24"/>
          <w:szCs w:val="24"/>
          <w:u w:val="single"/>
        </w:rPr>
        <w:t xml:space="preserve">5 .11 </w:t>
      </w:r>
      <w:proofErr w:type="spellStart"/>
      <w:r w:rsidRPr="00341B88">
        <w:rPr>
          <w:rFonts w:cstheme="minorHAnsi"/>
          <w:sz w:val="24"/>
          <w:szCs w:val="24"/>
          <w:u w:val="single"/>
        </w:rPr>
        <w:t>vaD</w:t>
      </w:r>
      <w:proofErr w:type="spellEnd"/>
      <w:r>
        <w:rPr>
          <w:rFonts w:cstheme="minorHAnsi"/>
          <w:sz w:val="24"/>
          <w:szCs w:val="24"/>
        </w:rPr>
        <w:t xml:space="preserve"> 1805 Thos. Couling [I—I?]</w:t>
      </w:r>
      <w:r w:rsidR="00EC693D">
        <w:rPr>
          <w:rFonts w:cstheme="minorHAnsi"/>
          <w:sz w:val="24"/>
          <w:szCs w:val="24"/>
        </w:rPr>
        <w:t xml:space="preserve"> </w:t>
      </w:r>
      <w:r>
        <w:rPr>
          <w:rFonts w:cstheme="minorHAnsi"/>
          <w:sz w:val="24"/>
          <w:szCs w:val="24"/>
        </w:rPr>
        <w:t>Robert Boulter Wm. Harley</w:t>
      </w:r>
    </w:p>
    <w:p w14:paraId="7A948269" w14:textId="77777777" w:rsidR="000506C3" w:rsidRDefault="000506C3" w:rsidP="000506C3">
      <w:pPr>
        <w:pStyle w:val="ListParagraph"/>
        <w:tabs>
          <w:tab w:val="left" w:pos="426"/>
        </w:tabs>
        <w:ind w:left="993"/>
        <w:rPr>
          <w:rFonts w:cstheme="minorHAnsi"/>
          <w:sz w:val="24"/>
          <w:szCs w:val="24"/>
        </w:rPr>
      </w:pPr>
      <w:r>
        <w:rPr>
          <w:rFonts w:cstheme="minorHAnsi"/>
          <w:sz w:val="24"/>
          <w:szCs w:val="24"/>
        </w:rPr>
        <w:t xml:space="preserve">[I—I?] Joseph </w:t>
      </w:r>
      <w:proofErr w:type="spellStart"/>
      <w:r>
        <w:rPr>
          <w:rFonts w:cstheme="minorHAnsi"/>
          <w:sz w:val="24"/>
          <w:szCs w:val="24"/>
        </w:rPr>
        <w:t>Ernington</w:t>
      </w:r>
      <w:proofErr w:type="spellEnd"/>
      <w:r>
        <w:rPr>
          <w:rFonts w:cstheme="minorHAnsi"/>
          <w:sz w:val="24"/>
          <w:szCs w:val="24"/>
        </w:rPr>
        <w:t xml:space="preserve"> [mark illegible].</w:t>
      </w:r>
    </w:p>
    <w:p w14:paraId="2E5BEF61" w14:textId="77777777" w:rsidR="000506C3" w:rsidRDefault="000506C3" w:rsidP="000506C3">
      <w:pPr>
        <w:pStyle w:val="ListParagraph"/>
        <w:tabs>
          <w:tab w:val="left" w:pos="426"/>
        </w:tabs>
        <w:ind w:left="993"/>
        <w:rPr>
          <w:rFonts w:cstheme="minorHAnsi"/>
          <w:sz w:val="24"/>
          <w:szCs w:val="24"/>
        </w:rPr>
      </w:pPr>
      <w:r>
        <w:rPr>
          <w:rFonts w:cstheme="minorHAnsi"/>
          <w:sz w:val="24"/>
          <w:szCs w:val="24"/>
        </w:rPr>
        <w:t>PROVED at London 26</w:t>
      </w:r>
      <w:r w:rsidRPr="00843842">
        <w:rPr>
          <w:rFonts w:cstheme="minorHAnsi"/>
          <w:sz w:val="24"/>
          <w:szCs w:val="24"/>
          <w:vertAlign w:val="superscript"/>
        </w:rPr>
        <w:t>th</w:t>
      </w:r>
      <w:r>
        <w:rPr>
          <w:rFonts w:cstheme="minorHAnsi"/>
          <w:sz w:val="24"/>
          <w:szCs w:val="24"/>
          <w:vertAlign w:val="superscript"/>
        </w:rPr>
        <w:t>.</w:t>
      </w:r>
      <w:r>
        <w:rPr>
          <w:rFonts w:cstheme="minorHAnsi"/>
          <w:sz w:val="24"/>
          <w:szCs w:val="24"/>
        </w:rPr>
        <w:t xml:space="preserve"> January 1811 before His worshipful</w:t>
      </w:r>
    </w:p>
    <w:p w14:paraId="17FB322F" w14:textId="77777777" w:rsidR="000506C3" w:rsidRDefault="000506C3" w:rsidP="000506C3">
      <w:pPr>
        <w:pStyle w:val="ListParagraph"/>
        <w:tabs>
          <w:tab w:val="left" w:pos="426"/>
        </w:tabs>
        <w:ind w:left="993"/>
        <w:rPr>
          <w:rFonts w:cstheme="minorHAnsi"/>
          <w:sz w:val="24"/>
          <w:szCs w:val="24"/>
        </w:rPr>
      </w:pPr>
      <w:r>
        <w:rPr>
          <w:rFonts w:cstheme="minorHAnsi"/>
          <w:sz w:val="24"/>
          <w:szCs w:val="24"/>
        </w:rPr>
        <w:t>Samuel [</w:t>
      </w:r>
      <w:proofErr w:type="spellStart"/>
      <w:r>
        <w:rPr>
          <w:rFonts w:cstheme="minorHAnsi"/>
          <w:sz w:val="24"/>
          <w:szCs w:val="24"/>
        </w:rPr>
        <w:t>poasrt</w:t>
      </w:r>
      <w:proofErr w:type="spellEnd"/>
      <w:r>
        <w:rPr>
          <w:rFonts w:cstheme="minorHAnsi"/>
          <w:sz w:val="24"/>
          <w:szCs w:val="24"/>
        </w:rPr>
        <w:t>?] parson doctor of Laws and surrogate by the oath of [mark illegible]</w:t>
      </w:r>
    </w:p>
    <w:p w14:paraId="1AC0F5AA" w14:textId="14A10C14" w:rsidR="000506C3" w:rsidRDefault="000506C3" w:rsidP="000506C3">
      <w:pPr>
        <w:pStyle w:val="ListParagraph"/>
        <w:tabs>
          <w:tab w:val="left" w:pos="426"/>
        </w:tabs>
        <w:ind w:left="993"/>
        <w:rPr>
          <w:rFonts w:cstheme="minorHAnsi"/>
          <w:sz w:val="24"/>
          <w:szCs w:val="24"/>
        </w:rPr>
      </w:pPr>
      <w:r w:rsidRPr="00152841">
        <w:rPr>
          <w:rFonts w:cstheme="minorHAnsi"/>
          <w:sz w:val="24"/>
          <w:szCs w:val="24"/>
        </w:rPr>
        <w:t xml:space="preserve">Sarah Couling </w:t>
      </w:r>
      <w:proofErr w:type="gramStart"/>
      <w:r w:rsidRPr="00152841">
        <w:rPr>
          <w:rFonts w:cstheme="minorHAnsi"/>
          <w:sz w:val="24"/>
          <w:szCs w:val="24"/>
        </w:rPr>
        <w:t>widow</w:t>
      </w:r>
      <w:proofErr w:type="gramEnd"/>
      <w:r w:rsidRPr="00152841">
        <w:rPr>
          <w:rFonts w:cstheme="minorHAnsi"/>
          <w:sz w:val="24"/>
          <w:szCs w:val="24"/>
        </w:rPr>
        <w:t xml:space="preserve"> the [</w:t>
      </w:r>
      <w:proofErr w:type="spellStart"/>
      <w:r w:rsidR="00557F83">
        <w:rPr>
          <w:rFonts w:cstheme="minorHAnsi"/>
          <w:sz w:val="24"/>
          <w:szCs w:val="24"/>
        </w:rPr>
        <w:t>niert</w:t>
      </w:r>
      <w:proofErr w:type="spellEnd"/>
      <w:r w:rsidRPr="00152841">
        <w:rPr>
          <w:rFonts w:cstheme="minorHAnsi"/>
          <w:sz w:val="24"/>
          <w:szCs w:val="24"/>
        </w:rPr>
        <w:t>?] and sole Executrix [mark illegible]</w:t>
      </w:r>
    </w:p>
    <w:p w14:paraId="779D4442" w14:textId="32A18949" w:rsidR="000506C3" w:rsidRDefault="000506C3" w:rsidP="000506C3">
      <w:pPr>
        <w:pStyle w:val="ListParagraph"/>
        <w:tabs>
          <w:tab w:val="left" w:pos="426"/>
        </w:tabs>
        <w:ind w:left="993"/>
        <w:rPr>
          <w:rFonts w:cstheme="minorHAnsi"/>
          <w:sz w:val="24"/>
          <w:szCs w:val="24"/>
        </w:rPr>
      </w:pPr>
      <w:proofErr w:type="spellStart"/>
      <w:r w:rsidRPr="00152841">
        <w:rPr>
          <w:rFonts w:cstheme="minorHAnsi"/>
          <w:sz w:val="24"/>
          <w:szCs w:val="24"/>
        </w:rPr>
        <w:t>E</w:t>
      </w:r>
      <w:r w:rsidR="00CB00DE">
        <w:rPr>
          <w:rFonts w:cstheme="minorHAnsi"/>
          <w:sz w:val="24"/>
          <w:szCs w:val="24"/>
        </w:rPr>
        <w:t>x</w:t>
      </w:r>
      <w:r w:rsidRPr="00152841">
        <w:rPr>
          <w:rFonts w:cstheme="minorHAnsi"/>
          <w:sz w:val="24"/>
          <w:szCs w:val="24"/>
        </w:rPr>
        <w:t>D</w:t>
      </w:r>
      <w:proofErr w:type="spellEnd"/>
      <w:r>
        <w:rPr>
          <w:rFonts w:cstheme="minorHAnsi"/>
          <w:sz w:val="24"/>
          <w:szCs w:val="24"/>
        </w:rPr>
        <w:t>.</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p>
    <w:p w14:paraId="67509F72" w14:textId="5D827E90" w:rsidR="000506C3" w:rsidRPr="008A20D1" w:rsidRDefault="000506C3" w:rsidP="000506C3">
      <w:pPr>
        <w:pStyle w:val="ListParagraph"/>
        <w:tabs>
          <w:tab w:val="left" w:pos="426"/>
        </w:tabs>
        <w:ind w:left="993"/>
        <w:rPr>
          <w:rFonts w:cstheme="minorHAnsi"/>
          <w:sz w:val="24"/>
          <w:szCs w:val="24"/>
        </w:rPr>
      </w:pPr>
    </w:p>
    <w:p w14:paraId="38ED4D25" w14:textId="77777777" w:rsidR="00EC693D" w:rsidRPr="008F029D" w:rsidRDefault="00EC693D" w:rsidP="00EC693D">
      <w:pPr>
        <w:rPr>
          <w:sz w:val="24"/>
          <w:szCs w:val="24"/>
        </w:rPr>
      </w:pPr>
    </w:p>
    <w:p w14:paraId="69009647" w14:textId="0340794C" w:rsidR="00A8636B" w:rsidRDefault="00A8636B" w:rsidP="00A8636B">
      <w:pPr>
        <w:rPr>
          <w:sz w:val="24"/>
          <w:szCs w:val="24"/>
        </w:rPr>
      </w:pPr>
      <w:r>
        <w:rPr>
          <w:sz w:val="24"/>
          <w:szCs w:val="24"/>
        </w:rPr>
        <w:t>Using a microfilm copy of a probate record raises several issues. As John Tosh notes, primary sources can be thought of as ‘contemporary with the event’, which in the case of this particular document, certainly fulfils the criteria.</w:t>
      </w:r>
      <w:r>
        <w:rPr>
          <w:rStyle w:val="FootnoteReference"/>
          <w:sz w:val="24"/>
          <w:szCs w:val="24"/>
        </w:rPr>
        <w:footnoteReference w:id="31"/>
      </w:r>
      <w:r>
        <w:rPr>
          <w:sz w:val="24"/>
          <w:szCs w:val="24"/>
        </w:rPr>
        <w:t xml:space="preserve"> Nevertheless, the document is one step removed from the original will, the details of which have been entered by a clerk of the ecclesiastical court. The obvious disadvantage is that errors or omissions may have occurred not only by the clerk transcribing details of the will into the ecclesiastical record, but also during the microfilming process. </w:t>
      </w:r>
      <w:r w:rsidR="00A355FF">
        <w:rPr>
          <w:sz w:val="24"/>
          <w:szCs w:val="24"/>
        </w:rPr>
        <w:t>T</w:t>
      </w:r>
      <w:r>
        <w:rPr>
          <w:sz w:val="24"/>
          <w:szCs w:val="24"/>
        </w:rPr>
        <w:t xml:space="preserve">he digitisation of historical documents has revolutionised the way in which researchers access primary sources, both geographically and in the ease of using online databases, </w:t>
      </w:r>
      <w:r w:rsidR="00A355FF">
        <w:rPr>
          <w:sz w:val="24"/>
          <w:szCs w:val="24"/>
        </w:rPr>
        <w:t xml:space="preserve">though </w:t>
      </w:r>
      <w:r>
        <w:rPr>
          <w:sz w:val="24"/>
          <w:szCs w:val="24"/>
        </w:rPr>
        <w:t xml:space="preserve">as Tosh notes, these records may not always be </w:t>
      </w:r>
      <w:r w:rsidR="00E40AA4">
        <w:rPr>
          <w:sz w:val="24"/>
          <w:szCs w:val="24"/>
        </w:rPr>
        <w:t xml:space="preserve">the most </w:t>
      </w:r>
      <w:r>
        <w:rPr>
          <w:sz w:val="24"/>
          <w:szCs w:val="24"/>
        </w:rPr>
        <w:t>comprehensive or accurate.</w:t>
      </w:r>
      <w:r>
        <w:rPr>
          <w:rStyle w:val="FootnoteReference"/>
          <w:sz w:val="24"/>
          <w:szCs w:val="24"/>
        </w:rPr>
        <w:footnoteReference w:id="32"/>
      </w:r>
      <w:r w:rsidR="00A355FF">
        <w:rPr>
          <w:sz w:val="24"/>
          <w:szCs w:val="24"/>
        </w:rPr>
        <w:t xml:space="preserve"> </w:t>
      </w:r>
      <w:r>
        <w:rPr>
          <w:sz w:val="24"/>
          <w:szCs w:val="24"/>
        </w:rPr>
        <w:t xml:space="preserve">Additionally, as already noted, original documents provide ‘a </w:t>
      </w:r>
      <w:r>
        <w:rPr>
          <w:sz w:val="24"/>
          <w:szCs w:val="24"/>
        </w:rPr>
        <w:lastRenderedPageBreak/>
        <w:t>connection to the past’ that digitised copies cannot, and academics argue that the very ‘physicality’ of primary sources is an integral part of material culture.</w:t>
      </w:r>
      <w:r>
        <w:rPr>
          <w:rStyle w:val="FootnoteReference"/>
          <w:sz w:val="24"/>
          <w:szCs w:val="24"/>
        </w:rPr>
        <w:footnoteReference w:id="33"/>
      </w:r>
      <w:r>
        <w:rPr>
          <w:sz w:val="24"/>
          <w:szCs w:val="24"/>
        </w:rPr>
        <w:t xml:space="preserve"> </w:t>
      </w:r>
    </w:p>
    <w:p w14:paraId="56921B2D" w14:textId="67C8A935" w:rsidR="00A8636B" w:rsidRDefault="00A8636B" w:rsidP="00A8636B">
      <w:pPr>
        <w:rPr>
          <w:sz w:val="24"/>
          <w:szCs w:val="24"/>
        </w:rPr>
      </w:pPr>
      <w:r>
        <w:rPr>
          <w:sz w:val="24"/>
          <w:szCs w:val="24"/>
        </w:rPr>
        <w:t xml:space="preserve">The Ministry of Justice recently revealed </w:t>
      </w:r>
      <w:r w:rsidR="00A355FF">
        <w:rPr>
          <w:sz w:val="24"/>
          <w:szCs w:val="24"/>
        </w:rPr>
        <w:t>its</w:t>
      </w:r>
      <w:r>
        <w:rPr>
          <w:sz w:val="24"/>
          <w:szCs w:val="24"/>
        </w:rPr>
        <w:t xml:space="preserve"> plans to digitise approximately 100 million </w:t>
      </w:r>
      <w:r w:rsidR="00A355FF">
        <w:rPr>
          <w:sz w:val="24"/>
          <w:szCs w:val="24"/>
        </w:rPr>
        <w:t xml:space="preserve">British </w:t>
      </w:r>
      <w:r>
        <w:rPr>
          <w:sz w:val="24"/>
          <w:szCs w:val="24"/>
        </w:rPr>
        <w:t>last will and testaments, dating back more than 150 years, in order to save an estimated £4.5m a year.</w:t>
      </w:r>
      <w:r>
        <w:rPr>
          <w:rStyle w:val="FootnoteReference"/>
          <w:sz w:val="24"/>
          <w:szCs w:val="24"/>
        </w:rPr>
        <w:footnoteReference w:id="34"/>
      </w:r>
      <w:r>
        <w:rPr>
          <w:sz w:val="24"/>
          <w:szCs w:val="24"/>
        </w:rPr>
        <w:t xml:space="preserve"> Original wills will be destroyed  after 25 years and a digital copy retained, though the original wills of those they define as ‘famous’ people will still be </w:t>
      </w:r>
      <w:r w:rsidR="00557F83">
        <w:rPr>
          <w:sz w:val="24"/>
          <w:szCs w:val="24"/>
        </w:rPr>
        <w:t>preserved</w:t>
      </w:r>
      <w:r>
        <w:rPr>
          <w:sz w:val="24"/>
          <w:szCs w:val="24"/>
        </w:rPr>
        <w:t>.</w:t>
      </w:r>
      <w:r>
        <w:rPr>
          <w:rStyle w:val="FootnoteReference"/>
          <w:sz w:val="24"/>
          <w:szCs w:val="24"/>
        </w:rPr>
        <w:footnoteReference w:id="35"/>
      </w:r>
      <w:r>
        <w:rPr>
          <w:sz w:val="24"/>
          <w:szCs w:val="24"/>
        </w:rPr>
        <w:t xml:space="preserve"> Historians understandably have grave reservations about the plan and the increasing risk posed to digitised data by cyber-attacks,  </w:t>
      </w:r>
      <w:r w:rsidR="00557F83">
        <w:rPr>
          <w:sz w:val="24"/>
          <w:szCs w:val="24"/>
        </w:rPr>
        <w:t xml:space="preserve">recent </w:t>
      </w:r>
      <w:r w:rsidR="00A355FF">
        <w:rPr>
          <w:sz w:val="24"/>
          <w:szCs w:val="24"/>
        </w:rPr>
        <w:t xml:space="preserve">incident affecting </w:t>
      </w:r>
      <w:r>
        <w:rPr>
          <w:sz w:val="24"/>
          <w:szCs w:val="24"/>
        </w:rPr>
        <w:t>the British Library</w:t>
      </w:r>
      <w:r w:rsidR="0044425C">
        <w:rPr>
          <w:sz w:val="24"/>
          <w:szCs w:val="24"/>
        </w:rPr>
        <w:t xml:space="preserve"> website</w:t>
      </w:r>
      <w:r>
        <w:rPr>
          <w:sz w:val="24"/>
          <w:szCs w:val="24"/>
        </w:rPr>
        <w:t>.</w:t>
      </w:r>
      <w:r>
        <w:rPr>
          <w:rStyle w:val="FootnoteReference"/>
          <w:sz w:val="24"/>
          <w:szCs w:val="24"/>
        </w:rPr>
        <w:footnoteReference w:id="36"/>
      </w:r>
      <w:r>
        <w:rPr>
          <w:sz w:val="24"/>
          <w:szCs w:val="24"/>
        </w:rPr>
        <w:t xml:space="preserve"> Financial cut backs may in the future affect other preserved texts and as a consequence, directly impact the methodology and quality of historical research.</w:t>
      </w:r>
    </w:p>
    <w:p w14:paraId="3B02BEBD" w14:textId="735C3352" w:rsidR="00E40AA4" w:rsidRDefault="00E40AA4">
      <w:pPr>
        <w:rPr>
          <w:sz w:val="24"/>
          <w:szCs w:val="24"/>
        </w:rPr>
      </w:pPr>
      <w:r>
        <w:rPr>
          <w:sz w:val="24"/>
          <w:szCs w:val="24"/>
        </w:rPr>
        <w:br w:type="page"/>
      </w:r>
    </w:p>
    <w:p w14:paraId="3329C8C0" w14:textId="77777777" w:rsidR="00E40AA4" w:rsidRDefault="00E40AA4" w:rsidP="00A8636B">
      <w:pPr>
        <w:rPr>
          <w:sz w:val="24"/>
          <w:szCs w:val="24"/>
        </w:rPr>
      </w:pPr>
    </w:p>
    <w:p w14:paraId="1B01C1D7" w14:textId="77777777" w:rsidR="000506C3" w:rsidRDefault="000506C3" w:rsidP="000506C3">
      <w:pPr>
        <w:pStyle w:val="ListParagraph"/>
        <w:tabs>
          <w:tab w:val="left" w:pos="426"/>
        </w:tabs>
        <w:ind w:left="0"/>
        <w:rPr>
          <w:rFonts w:cstheme="minorHAnsi"/>
          <w:sz w:val="24"/>
          <w:szCs w:val="24"/>
        </w:rPr>
      </w:pPr>
    </w:p>
    <w:p w14:paraId="1A79E2D0" w14:textId="77777777" w:rsidR="00E40AA4" w:rsidRPr="00E40AA4" w:rsidRDefault="00E40AA4" w:rsidP="00E40AA4">
      <w:pPr>
        <w:rPr>
          <w:b/>
          <w:bCs/>
          <w:sz w:val="24"/>
          <w:szCs w:val="24"/>
        </w:rPr>
      </w:pPr>
      <w:r w:rsidRPr="00E40AA4">
        <w:rPr>
          <w:b/>
          <w:bCs/>
          <w:sz w:val="24"/>
          <w:szCs w:val="24"/>
        </w:rPr>
        <w:t>Bibliography</w:t>
      </w:r>
    </w:p>
    <w:p w14:paraId="50FF15CF" w14:textId="6E451231" w:rsidR="00E40AA4" w:rsidRDefault="00E40AA4" w:rsidP="00E40AA4">
      <w:pPr>
        <w:spacing w:before="240" w:line="240" w:lineRule="auto"/>
        <w:rPr>
          <w:rStyle w:val="Hyperlink"/>
          <w:sz w:val="24"/>
          <w:szCs w:val="24"/>
        </w:rPr>
      </w:pPr>
      <w:r w:rsidRPr="00C0647C">
        <w:rPr>
          <w:sz w:val="24"/>
          <w:szCs w:val="24"/>
        </w:rPr>
        <w:t>Bird</w:t>
      </w:r>
      <w:r>
        <w:rPr>
          <w:sz w:val="24"/>
          <w:szCs w:val="24"/>
        </w:rPr>
        <w:t>,</w:t>
      </w:r>
      <w:r w:rsidRPr="00C0647C">
        <w:rPr>
          <w:sz w:val="24"/>
          <w:szCs w:val="24"/>
        </w:rPr>
        <w:t xml:space="preserve"> </w:t>
      </w:r>
      <w:r>
        <w:rPr>
          <w:sz w:val="24"/>
          <w:szCs w:val="24"/>
        </w:rPr>
        <w:t xml:space="preserve">Jannes, </w:t>
      </w:r>
      <w:r w:rsidRPr="00C0647C">
        <w:rPr>
          <w:sz w:val="24"/>
          <w:szCs w:val="24"/>
        </w:rPr>
        <w:t>ed</w:t>
      </w:r>
      <w:r w:rsidR="00A355FF">
        <w:rPr>
          <w:sz w:val="24"/>
          <w:szCs w:val="24"/>
        </w:rPr>
        <w:t>,</w:t>
      </w:r>
      <w:r w:rsidRPr="00C0647C">
        <w:rPr>
          <w:sz w:val="24"/>
          <w:szCs w:val="24"/>
        </w:rPr>
        <w:t xml:space="preserve"> ‘Framework Knitters’ Alms-houses’, in Survey of London: Volume 8, Shoreditch (London 1922)</w:t>
      </w:r>
      <w:r>
        <w:rPr>
          <w:sz w:val="24"/>
          <w:szCs w:val="24"/>
        </w:rPr>
        <w:t>,</w:t>
      </w:r>
      <w:r w:rsidRPr="00C0647C">
        <w:rPr>
          <w:sz w:val="24"/>
          <w:szCs w:val="24"/>
        </w:rPr>
        <w:t xml:space="preserve"> </w:t>
      </w:r>
      <w:r w:rsidRPr="00C0647C">
        <w:rPr>
          <w:i/>
          <w:iCs/>
          <w:sz w:val="24"/>
          <w:szCs w:val="24"/>
        </w:rPr>
        <w:t>British History Online,</w:t>
      </w:r>
      <w:r w:rsidRPr="00C0647C">
        <w:rPr>
          <w:sz w:val="24"/>
          <w:szCs w:val="24"/>
        </w:rPr>
        <w:t xml:space="preserve"> </w:t>
      </w:r>
      <w:hyperlink r:id="rId9" w:history="1">
        <w:r w:rsidRPr="00C0647C">
          <w:rPr>
            <w:rStyle w:val="Hyperlink"/>
            <w:sz w:val="24"/>
            <w:szCs w:val="24"/>
          </w:rPr>
          <w:t>https://www.british-history-ac.uk/survey-London/vol18</w:t>
        </w:r>
      </w:hyperlink>
      <w:r>
        <w:rPr>
          <w:rStyle w:val="Hyperlink"/>
          <w:sz w:val="24"/>
          <w:szCs w:val="24"/>
        </w:rPr>
        <w:t xml:space="preserve"> </w:t>
      </w:r>
    </w:p>
    <w:p w14:paraId="64F494A4" w14:textId="77777777" w:rsidR="00E40AA4" w:rsidRDefault="00E40AA4" w:rsidP="00E40AA4">
      <w:pPr>
        <w:spacing w:line="240" w:lineRule="auto"/>
        <w:rPr>
          <w:sz w:val="24"/>
          <w:szCs w:val="24"/>
        </w:rPr>
      </w:pPr>
      <w:r>
        <w:rPr>
          <w:sz w:val="24"/>
          <w:szCs w:val="24"/>
        </w:rPr>
        <w:t xml:space="preserve">Booth, Robert, ‘Ministry of Justice plan to destroy historical wills is insane’, The Guardian, Mon 18 December 2023, </w:t>
      </w:r>
      <w:hyperlink r:id="rId10" w:history="1">
        <w:r w:rsidRPr="00533579">
          <w:rPr>
            <w:rStyle w:val="Hyperlink"/>
            <w:sz w:val="24"/>
            <w:szCs w:val="24"/>
          </w:rPr>
          <w:t>https://www.theguardian.com/society/2023/dec/18/ministry-of-justice-plan-to-destroy-historical-wills-is-insane-say-experts</w:t>
        </w:r>
      </w:hyperlink>
    </w:p>
    <w:p w14:paraId="15F74DBE" w14:textId="77777777" w:rsidR="00E40AA4" w:rsidRDefault="00E40AA4" w:rsidP="00E40AA4">
      <w:pPr>
        <w:spacing w:line="240" w:lineRule="auto"/>
        <w:rPr>
          <w:sz w:val="24"/>
          <w:szCs w:val="24"/>
        </w:rPr>
      </w:pPr>
      <w:r>
        <w:rPr>
          <w:sz w:val="24"/>
          <w:szCs w:val="24"/>
        </w:rPr>
        <w:t>Brougham, Henry ‘The Ecclesiastical Courts’ (HL Deb 10 February 1857) vol 144 cc422-51</w:t>
      </w:r>
    </w:p>
    <w:p w14:paraId="4B6E36A8" w14:textId="77777777" w:rsidR="00E40AA4" w:rsidRDefault="00000000" w:rsidP="00E40AA4">
      <w:pPr>
        <w:spacing w:line="240" w:lineRule="auto"/>
        <w:rPr>
          <w:sz w:val="24"/>
          <w:szCs w:val="24"/>
        </w:rPr>
      </w:pPr>
      <w:hyperlink r:id="rId11" w:history="1">
        <w:r w:rsidR="00E40AA4" w:rsidRPr="00227639">
          <w:rPr>
            <w:rStyle w:val="Hyperlink"/>
            <w:sz w:val="24"/>
            <w:szCs w:val="24"/>
          </w:rPr>
          <w:t>https://www.hansard.uk/Lords/1857-02-10/debates</w:t>
        </w:r>
      </w:hyperlink>
      <w:r w:rsidR="00E40AA4">
        <w:rPr>
          <w:sz w:val="24"/>
          <w:szCs w:val="24"/>
        </w:rPr>
        <w:t xml:space="preserve"> </w:t>
      </w:r>
    </w:p>
    <w:p w14:paraId="5E33B38E" w14:textId="2E1AB426" w:rsidR="00E40AA4" w:rsidRDefault="00E40AA4" w:rsidP="00E40AA4">
      <w:pPr>
        <w:pStyle w:val="FootnoteText"/>
      </w:pPr>
      <w:r w:rsidRPr="00C0647C">
        <w:rPr>
          <w:sz w:val="24"/>
          <w:szCs w:val="24"/>
        </w:rPr>
        <w:t xml:space="preserve">Dannehl, </w:t>
      </w:r>
      <w:r>
        <w:rPr>
          <w:sz w:val="24"/>
          <w:szCs w:val="24"/>
        </w:rPr>
        <w:t xml:space="preserve">Karin, </w:t>
      </w:r>
      <w:r w:rsidRPr="00C0647C">
        <w:rPr>
          <w:sz w:val="24"/>
          <w:szCs w:val="24"/>
        </w:rPr>
        <w:t xml:space="preserve">‘Object biographies’ in History and Material Culture ed by Karen </w:t>
      </w:r>
      <w:proofErr w:type="gramStart"/>
      <w:r w:rsidRPr="00C0647C">
        <w:rPr>
          <w:sz w:val="24"/>
          <w:szCs w:val="24"/>
        </w:rPr>
        <w:t>Harvey</w:t>
      </w:r>
      <w:r>
        <w:rPr>
          <w:sz w:val="24"/>
          <w:szCs w:val="24"/>
        </w:rPr>
        <w:t>,</w:t>
      </w:r>
      <w:r w:rsidRPr="00C0647C">
        <w:rPr>
          <w:sz w:val="24"/>
          <w:szCs w:val="24"/>
        </w:rPr>
        <w:t xml:space="preserve">  (</w:t>
      </w:r>
      <w:proofErr w:type="gramEnd"/>
      <w:r w:rsidRPr="00C0647C">
        <w:rPr>
          <w:sz w:val="24"/>
          <w:szCs w:val="24"/>
        </w:rPr>
        <w:t>London: Routledge, 2009).</w:t>
      </w:r>
      <w:r w:rsidRPr="00C0647C">
        <w:t xml:space="preserve"> </w:t>
      </w:r>
    </w:p>
    <w:p w14:paraId="62388A33" w14:textId="77777777" w:rsidR="00E40AA4" w:rsidRDefault="00E40AA4" w:rsidP="00E40AA4">
      <w:pPr>
        <w:pStyle w:val="FootnoteText"/>
        <w:rPr>
          <w:sz w:val="24"/>
          <w:szCs w:val="24"/>
        </w:rPr>
      </w:pPr>
    </w:p>
    <w:p w14:paraId="007C3757" w14:textId="77777777" w:rsidR="00E40AA4" w:rsidRDefault="00E40AA4" w:rsidP="00E40AA4">
      <w:pPr>
        <w:spacing w:line="240" w:lineRule="auto"/>
        <w:rPr>
          <w:sz w:val="24"/>
          <w:szCs w:val="24"/>
        </w:rPr>
      </w:pPr>
      <w:r>
        <w:rPr>
          <w:sz w:val="24"/>
          <w:szCs w:val="24"/>
        </w:rPr>
        <w:t xml:space="preserve">Farge, Arlette, ‘The Allure of the Archives’, Yale University Press </w:t>
      </w:r>
      <w:hyperlink r:id="rId12" w:history="1">
        <w:r w:rsidRPr="00227639">
          <w:rPr>
            <w:rStyle w:val="Hyperlink"/>
            <w:sz w:val="24"/>
            <w:szCs w:val="24"/>
          </w:rPr>
          <w:t>https://jstor.org/stable/j.ctt5vm50t.3</w:t>
        </w:r>
      </w:hyperlink>
    </w:p>
    <w:p w14:paraId="3863B589" w14:textId="77777777" w:rsidR="00E40AA4" w:rsidRDefault="00E40AA4" w:rsidP="00E40AA4">
      <w:pPr>
        <w:spacing w:line="240" w:lineRule="auto"/>
        <w:rPr>
          <w:rStyle w:val="Hyperlink"/>
          <w:sz w:val="24"/>
          <w:szCs w:val="24"/>
        </w:rPr>
      </w:pPr>
      <w:r>
        <w:rPr>
          <w:sz w:val="24"/>
          <w:szCs w:val="24"/>
        </w:rPr>
        <w:t xml:space="preserve">Grannum, Karen and Nigel Taylor, ‘Wills and Other Probate Documents’ </w:t>
      </w:r>
      <w:r w:rsidRPr="006D032D">
        <w:rPr>
          <w:sz w:val="24"/>
          <w:szCs w:val="24"/>
        </w:rPr>
        <w:t>The National Archives,</w:t>
      </w:r>
      <w:r>
        <w:rPr>
          <w:i/>
          <w:iCs/>
          <w:sz w:val="24"/>
          <w:szCs w:val="24"/>
        </w:rPr>
        <w:t xml:space="preserve"> </w:t>
      </w:r>
      <w:r>
        <w:rPr>
          <w:sz w:val="24"/>
          <w:szCs w:val="24"/>
        </w:rPr>
        <w:t>2</w:t>
      </w:r>
      <w:r w:rsidRPr="006D032D">
        <w:rPr>
          <w:sz w:val="24"/>
          <w:szCs w:val="24"/>
          <w:vertAlign w:val="superscript"/>
        </w:rPr>
        <w:t>nd</w:t>
      </w:r>
      <w:r>
        <w:rPr>
          <w:sz w:val="24"/>
          <w:szCs w:val="24"/>
        </w:rPr>
        <w:t xml:space="preserve"> edition, 2004, </w:t>
      </w:r>
      <w:hyperlink r:id="rId13" w:history="1">
        <w:r w:rsidRPr="00227639">
          <w:rPr>
            <w:rStyle w:val="Hyperlink"/>
            <w:sz w:val="24"/>
            <w:szCs w:val="24"/>
          </w:rPr>
          <w:t>https://nationalarchives.gov.uk/help-with-your-research</w:t>
        </w:r>
      </w:hyperlink>
      <w:r>
        <w:rPr>
          <w:rStyle w:val="Hyperlink"/>
          <w:sz w:val="24"/>
          <w:szCs w:val="24"/>
        </w:rPr>
        <w:t xml:space="preserve"> </w:t>
      </w:r>
    </w:p>
    <w:p w14:paraId="643813B2" w14:textId="77777777" w:rsidR="00E40AA4" w:rsidRDefault="00E40AA4" w:rsidP="00E40AA4">
      <w:pPr>
        <w:spacing w:line="240" w:lineRule="auto"/>
        <w:rPr>
          <w:sz w:val="24"/>
          <w:szCs w:val="24"/>
        </w:rPr>
      </w:pPr>
      <w:r>
        <w:rPr>
          <w:sz w:val="24"/>
          <w:szCs w:val="24"/>
        </w:rPr>
        <w:t xml:space="preserve">Haertle, Eugene A. ‘The History of the Probate Court’, </w:t>
      </w:r>
      <w:r>
        <w:rPr>
          <w:i/>
          <w:iCs/>
          <w:sz w:val="24"/>
          <w:szCs w:val="24"/>
        </w:rPr>
        <w:t xml:space="preserve">Marquette Law Review, </w:t>
      </w:r>
      <w:r>
        <w:rPr>
          <w:sz w:val="24"/>
          <w:szCs w:val="24"/>
        </w:rPr>
        <w:t xml:space="preserve">vol 45 issue 4 Spring 1962 Art. 7 </w:t>
      </w:r>
      <w:hyperlink r:id="rId14" w:history="1">
        <w:r w:rsidRPr="00227639">
          <w:rPr>
            <w:rStyle w:val="Hyperlink"/>
            <w:sz w:val="24"/>
            <w:szCs w:val="24"/>
          </w:rPr>
          <w:t xml:space="preserve">http://scholarship.law.marquette.edu/mulr/vol45/  </w:t>
        </w:r>
      </w:hyperlink>
    </w:p>
    <w:p w14:paraId="5658918B" w14:textId="73FDF506" w:rsidR="00E40AA4" w:rsidRDefault="00E40AA4" w:rsidP="00E40AA4">
      <w:pPr>
        <w:spacing w:line="240" w:lineRule="auto"/>
        <w:rPr>
          <w:sz w:val="24"/>
          <w:szCs w:val="24"/>
        </w:rPr>
      </w:pPr>
      <w:bookmarkStart w:id="10" w:name="_Hlk155855531"/>
      <w:proofErr w:type="spellStart"/>
      <w:r>
        <w:rPr>
          <w:sz w:val="24"/>
          <w:szCs w:val="24"/>
        </w:rPr>
        <w:t>Helmholz</w:t>
      </w:r>
      <w:proofErr w:type="spellEnd"/>
      <w:r>
        <w:rPr>
          <w:sz w:val="24"/>
          <w:szCs w:val="24"/>
        </w:rPr>
        <w:t xml:space="preserve"> R. H., ‘Testimony, Law and Probate Jurisdiction’, </w:t>
      </w:r>
      <w:r>
        <w:rPr>
          <w:i/>
          <w:iCs/>
          <w:sz w:val="24"/>
          <w:szCs w:val="24"/>
        </w:rPr>
        <w:t xml:space="preserve">The Oxford History of the Laws of England: </w:t>
      </w:r>
      <w:r w:rsidR="00A355FF">
        <w:rPr>
          <w:i/>
          <w:iCs/>
          <w:sz w:val="24"/>
          <w:szCs w:val="24"/>
        </w:rPr>
        <w:t>T</w:t>
      </w:r>
      <w:r>
        <w:rPr>
          <w:i/>
          <w:iCs/>
          <w:sz w:val="24"/>
          <w:szCs w:val="24"/>
        </w:rPr>
        <w:t xml:space="preserve">he Canon Law and Ecclesiastical Jurisdiction from 597 to the 1640s </w:t>
      </w:r>
      <w:r>
        <w:rPr>
          <w:sz w:val="24"/>
          <w:szCs w:val="24"/>
        </w:rPr>
        <w:t xml:space="preserve">(Oxford, 2004 online edition, Oxford Academic 22 March 2012, </w:t>
      </w:r>
      <w:hyperlink r:id="rId15" w:history="1">
        <w:r w:rsidRPr="00533579">
          <w:rPr>
            <w:rStyle w:val="Hyperlink"/>
            <w:sz w:val="24"/>
            <w:szCs w:val="24"/>
          </w:rPr>
          <w:t>https://doi.org/10.1093/acprof:oso/9780198258971.003.0007</w:t>
        </w:r>
      </w:hyperlink>
      <w:bookmarkEnd w:id="10"/>
      <w:r>
        <w:rPr>
          <w:sz w:val="24"/>
          <w:szCs w:val="24"/>
        </w:rPr>
        <w:t xml:space="preserve"> </w:t>
      </w:r>
    </w:p>
    <w:p w14:paraId="1ED46155" w14:textId="77777777" w:rsidR="00E40AA4" w:rsidRPr="00C0647C" w:rsidRDefault="00E40AA4" w:rsidP="00E40AA4">
      <w:pPr>
        <w:pStyle w:val="FootnoteText"/>
        <w:rPr>
          <w:sz w:val="24"/>
          <w:szCs w:val="24"/>
        </w:rPr>
      </w:pPr>
      <w:bookmarkStart w:id="11" w:name="_Hlk155855912"/>
      <w:r w:rsidRPr="00C0647C">
        <w:rPr>
          <w:sz w:val="24"/>
          <w:szCs w:val="24"/>
        </w:rPr>
        <w:t>Lewis</w:t>
      </w:r>
      <w:r>
        <w:rPr>
          <w:sz w:val="24"/>
          <w:szCs w:val="24"/>
        </w:rPr>
        <w:t xml:space="preserve">, Mary ‘Frame Knitting’, May 24 2021, The Framework Knitters Company, </w:t>
      </w:r>
      <w:hyperlink r:id="rId16" w:history="1">
        <w:r w:rsidRPr="00533579">
          <w:rPr>
            <w:rStyle w:val="Hyperlink"/>
            <w:sz w:val="24"/>
            <w:szCs w:val="24"/>
          </w:rPr>
          <w:t>https://www.frameworkknitters.co.uk/about/company-heritage</w:t>
        </w:r>
      </w:hyperlink>
      <w:bookmarkEnd w:id="11"/>
      <w:r>
        <w:rPr>
          <w:sz w:val="24"/>
          <w:szCs w:val="24"/>
        </w:rPr>
        <w:t xml:space="preserve"> </w:t>
      </w:r>
    </w:p>
    <w:p w14:paraId="54A6B991" w14:textId="77777777" w:rsidR="00E40AA4" w:rsidRDefault="00E40AA4" w:rsidP="00E40AA4">
      <w:pPr>
        <w:pStyle w:val="FootnoteText"/>
        <w:rPr>
          <w:sz w:val="24"/>
          <w:szCs w:val="24"/>
        </w:rPr>
      </w:pPr>
    </w:p>
    <w:p w14:paraId="1B29D8A7" w14:textId="77777777" w:rsidR="00E40AA4" w:rsidRDefault="00E40AA4" w:rsidP="00E40AA4">
      <w:pPr>
        <w:pStyle w:val="FootnoteText"/>
      </w:pPr>
      <w:r w:rsidRPr="00C0647C">
        <w:rPr>
          <w:sz w:val="24"/>
          <w:szCs w:val="24"/>
        </w:rPr>
        <w:t>Macdonald</w:t>
      </w:r>
      <w:r>
        <w:rPr>
          <w:sz w:val="24"/>
          <w:szCs w:val="24"/>
        </w:rPr>
        <w:t>,</w:t>
      </w:r>
      <w:r w:rsidRPr="00C0647C">
        <w:rPr>
          <w:sz w:val="24"/>
          <w:szCs w:val="24"/>
        </w:rPr>
        <w:t xml:space="preserve"> </w:t>
      </w:r>
      <w:r>
        <w:rPr>
          <w:sz w:val="24"/>
          <w:szCs w:val="24"/>
        </w:rPr>
        <w:t xml:space="preserve">Keith </w:t>
      </w:r>
      <w:r w:rsidRPr="00C0647C">
        <w:rPr>
          <w:sz w:val="24"/>
          <w:szCs w:val="24"/>
        </w:rPr>
        <w:t xml:space="preserve">and Colin Tipton, ‘Using Documents’ in </w:t>
      </w:r>
      <w:r w:rsidRPr="00C0647C">
        <w:rPr>
          <w:i/>
          <w:iCs/>
          <w:sz w:val="24"/>
          <w:szCs w:val="24"/>
        </w:rPr>
        <w:t xml:space="preserve">Researching Social Life, </w:t>
      </w:r>
      <w:r w:rsidRPr="00C0647C">
        <w:rPr>
          <w:sz w:val="24"/>
          <w:szCs w:val="24"/>
        </w:rPr>
        <w:t>ed by Nigel Gilbert</w:t>
      </w:r>
      <w:r w:rsidRPr="00C0647C">
        <w:rPr>
          <w:i/>
          <w:iCs/>
          <w:sz w:val="24"/>
          <w:szCs w:val="24"/>
        </w:rPr>
        <w:t xml:space="preserve"> </w:t>
      </w:r>
      <w:r w:rsidRPr="00C0647C">
        <w:rPr>
          <w:sz w:val="24"/>
          <w:szCs w:val="24"/>
        </w:rPr>
        <w:t>(London: Sage, 1993).</w:t>
      </w:r>
      <w:r w:rsidRPr="00C0647C">
        <w:t xml:space="preserve"> </w:t>
      </w:r>
    </w:p>
    <w:p w14:paraId="2F694481" w14:textId="77777777" w:rsidR="00E40AA4" w:rsidRDefault="00E40AA4" w:rsidP="00E40AA4">
      <w:pPr>
        <w:pStyle w:val="FootnoteText"/>
      </w:pPr>
    </w:p>
    <w:p w14:paraId="7475C76D" w14:textId="0314ACEE" w:rsidR="00E40AA4" w:rsidRDefault="00A355FF" w:rsidP="00E40AA4">
      <w:pPr>
        <w:pStyle w:val="FootnoteText"/>
        <w:rPr>
          <w:sz w:val="24"/>
          <w:szCs w:val="24"/>
        </w:rPr>
      </w:pPr>
      <w:r>
        <w:rPr>
          <w:sz w:val="24"/>
          <w:szCs w:val="24"/>
        </w:rPr>
        <w:t>‘</w:t>
      </w:r>
      <w:r w:rsidR="00E40AA4" w:rsidRPr="00AB6933">
        <w:rPr>
          <w:sz w:val="24"/>
          <w:szCs w:val="24"/>
        </w:rPr>
        <w:t>Palaeography</w:t>
      </w:r>
      <w:r w:rsidR="00E40AA4">
        <w:rPr>
          <w:sz w:val="24"/>
          <w:szCs w:val="24"/>
        </w:rPr>
        <w:t>’</w:t>
      </w:r>
      <w:r w:rsidR="00E40AA4" w:rsidRPr="00AB6933">
        <w:rPr>
          <w:sz w:val="24"/>
          <w:szCs w:val="24"/>
        </w:rPr>
        <w:t xml:space="preserve">, </w:t>
      </w:r>
      <w:r w:rsidR="00E40AA4" w:rsidRPr="00F14BB8">
        <w:rPr>
          <w:i/>
          <w:iCs/>
          <w:sz w:val="24"/>
          <w:szCs w:val="24"/>
        </w:rPr>
        <w:t>The National Archives</w:t>
      </w:r>
      <w:proofErr w:type="gramStart"/>
      <w:r w:rsidR="00E40AA4" w:rsidRPr="00AB6933">
        <w:rPr>
          <w:sz w:val="24"/>
          <w:szCs w:val="24"/>
        </w:rPr>
        <w:t xml:space="preserve">, </w:t>
      </w:r>
      <w:r w:rsidR="00E40AA4">
        <w:rPr>
          <w:sz w:val="24"/>
          <w:szCs w:val="24"/>
        </w:rPr>
        <w:t>,</w:t>
      </w:r>
      <w:proofErr w:type="gramEnd"/>
      <w:hyperlink r:id="rId17" w:history="1">
        <w:r w:rsidR="00E40AA4" w:rsidRPr="00533579">
          <w:rPr>
            <w:rStyle w:val="Hyperlink"/>
            <w:sz w:val="24"/>
            <w:szCs w:val="24"/>
          </w:rPr>
          <w:t>https://www.nationalarchives.gov.uk/palaeography</w:t>
        </w:r>
      </w:hyperlink>
    </w:p>
    <w:p w14:paraId="65709423" w14:textId="77777777" w:rsidR="00E40AA4" w:rsidRDefault="00E40AA4" w:rsidP="00E40AA4">
      <w:pPr>
        <w:pStyle w:val="FootnoteText"/>
        <w:rPr>
          <w:sz w:val="24"/>
          <w:szCs w:val="24"/>
        </w:rPr>
      </w:pPr>
    </w:p>
    <w:p w14:paraId="2AEFE027" w14:textId="77777777" w:rsidR="00E40AA4" w:rsidRDefault="00E40AA4" w:rsidP="00E40AA4">
      <w:pPr>
        <w:pStyle w:val="FootnoteText"/>
        <w:rPr>
          <w:rStyle w:val="Hyperlink"/>
          <w:sz w:val="24"/>
          <w:szCs w:val="24"/>
        </w:rPr>
      </w:pPr>
      <w:r w:rsidRPr="00571076">
        <w:rPr>
          <w:sz w:val="24"/>
          <w:szCs w:val="24"/>
        </w:rPr>
        <w:t xml:space="preserve">‘The Prerogative Court of Canterbury and Related Probate Jurisdictions’, </w:t>
      </w:r>
      <w:r w:rsidRPr="00571076">
        <w:rPr>
          <w:i/>
          <w:iCs/>
          <w:sz w:val="24"/>
          <w:szCs w:val="24"/>
        </w:rPr>
        <w:t xml:space="preserve">The National Archives, </w:t>
      </w:r>
      <w:hyperlink r:id="rId18" w:history="1">
        <w:r w:rsidRPr="00571076">
          <w:rPr>
            <w:rStyle w:val="Hyperlink"/>
            <w:sz w:val="24"/>
            <w:szCs w:val="24"/>
          </w:rPr>
          <w:t>https://discovery.nationalarchives.gov.uk/details/record?catid=10909&amp;catln=3</w:t>
        </w:r>
      </w:hyperlink>
    </w:p>
    <w:p w14:paraId="4F76FF0D" w14:textId="77777777" w:rsidR="00E40AA4" w:rsidRPr="00571076" w:rsidRDefault="00E40AA4" w:rsidP="00E40AA4">
      <w:pPr>
        <w:pStyle w:val="FootnoteText"/>
        <w:rPr>
          <w:sz w:val="24"/>
          <w:szCs w:val="24"/>
        </w:rPr>
      </w:pPr>
    </w:p>
    <w:p w14:paraId="2323691F" w14:textId="77777777" w:rsidR="00E40AA4" w:rsidRDefault="00E40AA4" w:rsidP="00E40AA4">
      <w:pPr>
        <w:pStyle w:val="FootnoteText"/>
      </w:pPr>
      <w:r>
        <w:rPr>
          <w:sz w:val="24"/>
          <w:szCs w:val="24"/>
        </w:rPr>
        <w:t>T</w:t>
      </w:r>
      <w:r w:rsidRPr="009853F3">
        <w:rPr>
          <w:sz w:val="24"/>
          <w:szCs w:val="24"/>
        </w:rPr>
        <w:t xml:space="preserve">osh, </w:t>
      </w:r>
      <w:r>
        <w:rPr>
          <w:sz w:val="24"/>
          <w:szCs w:val="24"/>
        </w:rPr>
        <w:t xml:space="preserve">John, </w:t>
      </w:r>
      <w:r w:rsidRPr="009853F3">
        <w:rPr>
          <w:i/>
          <w:iCs/>
          <w:sz w:val="24"/>
          <w:szCs w:val="24"/>
        </w:rPr>
        <w:t>The Pursuit of History</w:t>
      </w:r>
      <w:r w:rsidRPr="009853F3">
        <w:rPr>
          <w:sz w:val="24"/>
          <w:szCs w:val="24"/>
        </w:rPr>
        <w:t>, (London: Routledge, 2015).</w:t>
      </w:r>
      <w:r w:rsidRPr="009853F3">
        <w:t xml:space="preserve"> </w:t>
      </w:r>
    </w:p>
    <w:p w14:paraId="2084841C" w14:textId="77777777" w:rsidR="00E40AA4" w:rsidRDefault="00E40AA4" w:rsidP="00E40AA4">
      <w:pPr>
        <w:pStyle w:val="FootnoteText"/>
      </w:pPr>
    </w:p>
    <w:p w14:paraId="16CCE258" w14:textId="77777777" w:rsidR="00E40AA4" w:rsidRDefault="00E40AA4" w:rsidP="00E40AA4">
      <w:pPr>
        <w:spacing w:line="240" w:lineRule="auto"/>
        <w:rPr>
          <w:sz w:val="24"/>
          <w:szCs w:val="24"/>
        </w:rPr>
      </w:pPr>
      <w:r>
        <w:rPr>
          <w:sz w:val="24"/>
          <w:szCs w:val="24"/>
        </w:rPr>
        <w:t xml:space="preserve">Turvey, Roger, ‘Until Death Do Us Part: The Last Wills and Testaments of a Husband and Wife in Early Sixteenth Century Pembrokeshire’, </w:t>
      </w:r>
      <w:r>
        <w:rPr>
          <w:i/>
          <w:iCs/>
          <w:sz w:val="24"/>
          <w:szCs w:val="24"/>
        </w:rPr>
        <w:t>Pembrokeshire Historical Society,</w:t>
      </w:r>
      <w:r>
        <w:rPr>
          <w:sz w:val="24"/>
          <w:szCs w:val="24"/>
        </w:rPr>
        <w:t xml:space="preserve"> </w:t>
      </w:r>
      <w:hyperlink r:id="rId19" w:history="1">
        <w:r w:rsidRPr="00227639">
          <w:rPr>
            <w:rStyle w:val="Hyperlink"/>
            <w:sz w:val="24"/>
            <w:szCs w:val="24"/>
          </w:rPr>
          <w:t>https://www.pembrokeshirehistoricalsociety.co.uk</w:t>
        </w:r>
      </w:hyperlink>
      <w:r>
        <w:rPr>
          <w:sz w:val="24"/>
          <w:szCs w:val="24"/>
        </w:rPr>
        <w:t xml:space="preserve"> </w:t>
      </w:r>
    </w:p>
    <w:p w14:paraId="4D13F7F9" w14:textId="77777777" w:rsidR="00E40AA4" w:rsidRDefault="00E40AA4" w:rsidP="00E40AA4">
      <w:pPr>
        <w:pStyle w:val="FootnoteText"/>
      </w:pPr>
      <w:r w:rsidRPr="009853F3">
        <w:rPr>
          <w:sz w:val="24"/>
          <w:szCs w:val="24"/>
        </w:rPr>
        <w:lastRenderedPageBreak/>
        <w:t xml:space="preserve">‘Will of Thomas Couling of No 7 Framework Knitters alms Houses Kingsland Rd London’, </w:t>
      </w:r>
      <w:r w:rsidRPr="00F14BB8">
        <w:rPr>
          <w:i/>
          <w:iCs/>
          <w:sz w:val="24"/>
          <w:szCs w:val="24"/>
        </w:rPr>
        <w:t>The National Archives,</w:t>
      </w:r>
      <w:r w:rsidRPr="009853F3">
        <w:rPr>
          <w:sz w:val="24"/>
          <w:szCs w:val="24"/>
        </w:rPr>
        <w:t xml:space="preserve"> PROB 11/1518/387, [26 January 1811]</w:t>
      </w:r>
      <w:r>
        <w:rPr>
          <w:sz w:val="24"/>
          <w:szCs w:val="24"/>
        </w:rPr>
        <w:t>.</w:t>
      </w:r>
      <w:r w:rsidRPr="009853F3">
        <w:t xml:space="preserve"> </w:t>
      </w:r>
    </w:p>
    <w:p w14:paraId="121CF988" w14:textId="77777777" w:rsidR="00E40AA4" w:rsidRDefault="00E40AA4" w:rsidP="00E40AA4">
      <w:pPr>
        <w:pStyle w:val="FootnoteText"/>
      </w:pPr>
    </w:p>
    <w:p w14:paraId="7C9D835C" w14:textId="77777777" w:rsidR="00E40AA4" w:rsidRDefault="00E40AA4" w:rsidP="00E40AA4">
      <w:pPr>
        <w:spacing w:line="240" w:lineRule="auto"/>
        <w:rPr>
          <w:sz w:val="24"/>
          <w:szCs w:val="24"/>
        </w:rPr>
      </w:pPr>
      <w:r>
        <w:rPr>
          <w:sz w:val="24"/>
          <w:szCs w:val="24"/>
        </w:rPr>
        <w:t xml:space="preserve">‘Wills and Administrations before 1858’, </w:t>
      </w:r>
      <w:r>
        <w:rPr>
          <w:i/>
          <w:iCs/>
          <w:sz w:val="24"/>
          <w:szCs w:val="24"/>
        </w:rPr>
        <w:t>The National Archives</w:t>
      </w:r>
      <w:r>
        <w:rPr>
          <w:sz w:val="24"/>
          <w:szCs w:val="24"/>
        </w:rPr>
        <w:t xml:space="preserve"> </w:t>
      </w:r>
      <w:hyperlink r:id="rId20" w:history="1">
        <w:r w:rsidRPr="00533579">
          <w:rPr>
            <w:rStyle w:val="Hyperlink"/>
            <w:sz w:val="24"/>
            <w:szCs w:val="24"/>
          </w:rPr>
          <w:t>https://www.nationalarchives.gov.uk</w:t>
        </w:r>
      </w:hyperlink>
      <w:r>
        <w:rPr>
          <w:sz w:val="24"/>
          <w:szCs w:val="24"/>
        </w:rPr>
        <w:t xml:space="preserve"> </w:t>
      </w:r>
    </w:p>
    <w:p w14:paraId="41C56006" w14:textId="77777777" w:rsidR="00E40AA4" w:rsidRDefault="00E40AA4" w:rsidP="00E40AA4">
      <w:pPr>
        <w:spacing w:line="240" w:lineRule="auto"/>
        <w:rPr>
          <w:sz w:val="24"/>
          <w:szCs w:val="24"/>
        </w:rPr>
      </w:pPr>
      <w:r>
        <w:rPr>
          <w:sz w:val="24"/>
          <w:szCs w:val="24"/>
        </w:rPr>
        <w:t xml:space="preserve"> </w:t>
      </w:r>
    </w:p>
    <w:p w14:paraId="5BE48C7A" w14:textId="14D723C4" w:rsidR="00502293" w:rsidRDefault="00502293" w:rsidP="0020439B">
      <w:pPr>
        <w:jc w:val="center"/>
        <w:rPr>
          <w:sz w:val="24"/>
          <w:szCs w:val="24"/>
        </w:rPr>
      </w:pPr>
    </w:p>
    <w:sectPr w:rsidR="00502293" w:rsidSect="00890DA6">
      <w:headerReference w:type="default" r:id="rId21"/>
      <w:footerReference w:type="default" r:id="rId2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908B3" w14:textId="77777777" w:rsidR="00890DA6" w:rsidRDefault="00890DA6" w:rsidP="002903BA">
      <w:pPr>
        <w:spacing w:after="0" w:line="240" w:lineRule="auto"/>
      </w:pPr>
      <w:r>
        <w:separator/>
      </w:r>
    </w:p>
  </w:endnote>
  <w:endnote w:type="continuationSeparator" w:id="0">
    <w:p w14:paraId="5A87A571" w14:textId="77777777" w:rsidR="00890DA6" w:rsidRDefault="00890DA6" w:rsidP="00290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390497"/>
      <w:docPartObj>
        <w:docPartGallery w:val="Page Numbers (Bottom of Page)"/>
        <w:docPartUnique/>
      </w:docPartObj>
    </w:sdtPr>
    <w:sdtEndPr>
      <w:rPr>
        <w:noProof/>
      </w:rPr>
    </w:sdtEndPr>
    <w:sdtContent>
      <w:p w14:paraId="25DD63EB" w14:textId="10E458C1" w:rsidR="007749C3" w:rsidRDefault="007749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50153E" w14:textId="77777777" w:rsidR="00D674A5" w:rsidRDefault="00D67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3BE33" w14:textId="77777777" w:rsidR="00890DA6" w:rsidRDefault="00890DA6" w:rsidP="002903BA">
      <w:pPr>
        <w:spacing w:after="0" w:line="240" w:lineRule="auto"/>
      </w:pPr>
      <w:r>
        <w:separator/>
      </w:r>
    </w:p>
  </w:footnote>
  <w:footnote w:type="continuationSeparator" w:id="0">
    <w:p w14:paraId="37982B99" w14:textId="77777777" w:rsidR="00890DA6" w:rsidRDefault="00890DA6" w:rsidP="002903BA">
      <w:pPr>
        <w:spacing w:after="0" w:line="240" w:lineRule="auto"/>
      </w:pPr>
      <w:r>
        <w:continuationSeparator/>
      </w:r>
    </w:p>
  </w:footnote>
  <w:footnote w:id="1">
    <w:p w14:paraId="4A9F9BCD" w14:textId="57C3789B" w:rsidR="001973C4" w:rsidRDefault="001973C4">
      <w:pPr>
        <w:pStyle w:val="FootnoteText"/>
      </w:pPr>
      <w:r>
        <w:rPr>
          <w:rStyle w:val="FootnoteReference"/>
        </w:rPr>
        <w:footnoteRef/>
      </w:r>
      <w:r>
        <w:t xml:space="preserve"> Will of Thomas Couling of No 7 Framework Knitters alms Houses Kingsland Rd London</w:t>
      </w:r>
      <w:r w:rsidR="00377A47">
        <w:t xml:space="preserve">’, </w:t>
      </w:r>
      <w:r w:rsidR="0008023F" w:rsidRPr="0008023F">
        <w:rPr>
          <w:i/>
          <w:iCs/>
        </w:rPr>
        <w:t>The National Archives,</w:t>
      </w:r>
      <w:r w:rsidR="0008023F">
        <w:t xml:space="preserve"> ‘</w:t>
      </w:r>
      <w:r w:rsidR="00377A47">
        <w:t>PROB 11/1518/387, [26 January 1811], accessed 19 December 2023.</w:t>
      </w:r>
      <w:r w:rsidR="0008023F">
        <w:t xml:space="preserve"> </w:t>
      </w:r>
    </w:p>
  </w:footnote>
  <w:footnote w:id="2">
    <w:p w14:paraId="35444039" w14:textId="56C8E1FD" w:rsidR="00E22C71" w:rsidRDefault="00E22C71">
      <w:pPr>
        <w:pStyle w:val="FootnoteText"/>
      </w:pPr>
      <w:r>
        <w:rPr>
          <w:rStyle w:val="FootnoteReference"/>
        </w:rPr>
        <w:footnoteRef/>
      </w:r>
      <w:r>
        <w:t xml:space="preserve"> </w:t>
      </w:r>
      <w:bookmarkStart w:id="1" w:name="_Hlk155803885"/>
      <w:r w:rsidR="0008023F">
        <w:t>‘</w:t>
      </w:r>
      <w:r>
        <w:t>Palaeography,</w:t>
      </w:r>
      <w:r w:rsidR="0008023F">
        <w:t>’</w:t>
      </w:r>
      <w:r>
        <w:t xml:space="preserve"> </w:t>
      </w:r>
      <w:r w:rsidRPr="0008023F">
        <w:rPr>
          <w:i/>
          <w:iCs/>
        </w:rPr>
        <w:t>The National Archives</w:t>
      </w:r>
      <w:r>
        <w:t xml:space="preserve">, </w:t>
      </w:r>
      <w:hyperlink r:id="rId1" w:history="1">
        <w:r w:rsidR="0008023F" w:rsidRPr="00A40FCB">
          <w:rPr>
            <w:rStyle w:val="Hyperlink"/>
          </w:rPr>
          <w:t>https://www.nationalarchives.gov.uk/palaeography</w:t>
        </w:r>
      </w:hyperlink>
      <w:bookmarkEnd w:id="1"/>
      <w:r w:rsidR="0008023F">
        <w:t xml:space="preserve"> [accessed 21 November 2023].</w:t>
      </w:r>
    </w:p>
  </w:footnote>
  <w:footnote w:id="3">
    <w:p w14:paraId="72FF6369" w14:textId="2632F271" w:rsidR="005A05ED" w:rsidRDefault="005A05ED" w:rsidP="005A05ED">
      <w:pPr>
        <w:pStyle w:val="FootnoteText"/>
      </w:pPr>
      <w:r>
        <w:rPr>
          <w:rStyle w:val="FootnoteReference"/>
        </w:rPr>
        <w:footnoteRef/>
      </w:r>
      <w:r>
        <w:t xml:space="preserve"> </w:t>
      </w:r>
      <w:bookmarkStart w:id="2" w:name="_Hlk155798357"/>
      <w:r w:rsidR="0008023F">
        <w:t>Ibid.</w:t>
      </w:r>
    </w:p>
    <w:bookmarkEnd w:id="2"/>
  </w:footnote>
  <w:footnote w:id="4">
    <w:p w14:paraId="6142A011" w14:textId="5FB0357F" w:rsidR="005A05ED" w:rsidRDefault="005A05ED" w:rsidP="005A05ED">
      <w:pPr>
        <w:pStyle w:val="FootnoteText"/>
      </w:pPr>
      <w:r>
        <w:rPr>
          <w:rStyle w:val="FootnoteReference"/>
        </w:rPr>
        <w:footnoteRef/>
      </w:r>
      <w:r>
        <w:t xml:space="preserve"> K. Grannum and N. Taylor</w:t>
      </w:r>
      <w:r w:rsidR="0008023F">
        <w:t>,</w:t>
      </w:r>
      <w:r>
        <w:t xml:space="preserve"> ‘Wills and other Probate Documents’, The National Archives, </w:t>
      </w:r>
      <w:hyperlink r:id="rId2" w:history="1">
        <w:r w:rsidR="0008023F" w:rsidRPr="00A40FCB">
          <w:rPr>
            <w:rStyle w:val="Hyperlink"/>
          </w:rPr>
          <w:t>https://www.archive.gov.uk/help-with-your-research</w:t>
        </w:r>
      </w:hyperlink>
      <w:r>
        <w:t>[</w:t>
      </w:r>
      <w:r w:rsidR="0008023F">
        <w:t xml:space="preserve"> [</w:t>
      </w:r>
      <w:r>
        <w:t>accessed 22 November 2023] p.6</w:t>
      </w:r>
      <w:r w:rsidR="0008023F">
        <w:t>.</w:t>
      </w:r>
    </w:p>
  </w:footnote>
  <w:footnote w:id="5">
    <w:p w14:paraId="54039A05" w14:textId="77777777" w:rsidR="005A05ED" w:rsidRDefault="005A05ED" w:rsidP="005A05ED">
      <w:pPr>
        <w:pStyle w:val="FootnoteText"/>
      </w:pPr>
      <w:r>
        <w:rPr>
          <w:rStyle w:val="FootnoteReference"/>
        </w:rPr>
        <w:footnoteRef/>
      </w:r>
      <w:r>
        <w:t xml:space="preserve"> ibid</w:t>
      </w:r>
    </w:p>
  </w:footnote>
  <w:footnote w:id="6">
    <w:p w14:paraId="6069B543" w14:textId="77777777" w:rsidR="00016B69" w:rsidRDefault="00016B69" w:rsidP="00016B69">
      <w:pPr>
        <w:pStyle w:val="FootnoteText"/>
      </w:pPr>
      <w:r>
        <w:rPr>
          <w:rStyle w:val="FootnoteReference"/>
        </w:rPr>
        <w:footnoteRef/>
      </w:r>
      <w:r>
        <w:t xml:space="preserve"> ibid</w:t>
      </w:r>
    </w:p>
  </w:footnote>
  <w:footnote w:id="7">
    <w:p w14:paraId="0FF39F45" w14:textId="77777777" w:rsidR="008951FA" w:rsidRDefault="008951FA" w:rsidP="008951FA">
      <w:pPr>
        <w:pStyle w:val="FootnoteText"/>
      </w:pPr>
      <w:r>
        <w:rPr>
          <w:rStyle w:val="FootnoteReference"/>
        </w:rPr>
        <w:footnoteRef/>
      </w:r>
      <w:r>
        <w:t xml:space="preserve"> ‘</w:t>
      </w:r>
      <w:bookmarkStart w:id="3" w:name="_Hlk155798368"/>
      <w:r>
        <w:t xml:space="preserve">Wills and administration before 1858’, </w:t>
      </w:r>
      <w:r w:rsidRPr="0008023F">
        <w:rPr>
          <w:i/>
          <w:iCs/>
        </w:rPr>
        <w:t>The National Archives</w:t>
      </w:r>
      <w:r>
        <w:t xml:space="preserve">, </w:t>
      </w:r>
      <w:hyperlink r:id="rId3" w:history="1">
        <w:r w:rsidRPr="00CE3FCB">
          <w:rPr>
            <w:rStyle w:val="Hyperlink"/>
          </w:rPr>
          <w:t>https://www.nationalarchives.gov.uk</w:t>
        </w:r>
      </w:hyperlink>
      <w:r>
        <w:t xml:space="preserve"> [accessed 22 December 2023].</w:t>
      </w:r>
      <w:bookmarkEnd w:id="3"/>
    </w:p>
  </w:footnote>
  <w:footnote w:id="8">
    <w:p w14:paraId="244CC15E" w14:textId="781DD6EF" w:rsidR="00A13A68" w:rsidRPr="00552EDA" w:rsidRDefault="00A13A68">
      <w:pPr>
        <w:pStyle w:val="FootnoteText"/>
      </w:pPr>
      <w:r>
        <w:rPr>
          <w:rStyle w:val="FootnoteReference"/>
        </w:rPr>
        <w:footnoteRef/>
      </w:r>
      <w:r>
        <w:t xml:space="preserve"> Roger Turvey</w:t>
      </w:r>
      <w:r w:rsidR="0008023F">
        <w:t xml:space="preserve">, </w:t>
      </w:r>
      <w:r w:rsidR="00552EDA">
        <w:t xml:space="preserve">‘Until Death Do Us Part: The Last Wills and Testaments of a Husband and Wife in Early sixteenth Century Pembrokeshire’, </w:t>
      </w:r>
      <w:r w:rsidR="00552EDA">
        <w:rPr>
          <w:i/>
          <w:iCs/>
        </w:rPr>
        <w:t xml:space="preserve">Pembrokeshire Historical Society, </w:t>
      </w:r>
      <w:hyperlink r:id="rId4" w:history="1">
        <w:r w:rsidR="00552EDA" w:rsidRPr="00A40FCB">
          <w:rPr>
            <w:rStyle w:val="Hyperlink"/>
          </w:rPr>
          <w:t>https://www.pembrokeshirehistoricalsociety.co.uk</w:t>
        </w:r>
      </w:hyperlink>
      <w:r w:rsidR="00552EDA">
        <w:t xml:space="preserve"> [accessed 16 December 2023].</w:t>
      </w:r>
    </w:p>
  </w:footnote>
  <w:footnote w:id="9">
    <w:p w14:paraId="510B51A5" w14:textId="669C7C4F" w:rsidR="00A13A68" w:rsidRDefault="00A13A68">
      <w:pPr>
        <w:pStyle w:val="FootnoteText"/>
      </w:pPr>
      <w:r>
        <w:rPr>
          <w:rStyle w:val="FootnoteReference"/>
        </w:rPr>
        <w:footnoteRef/>
      </w:r>
      <w:r>
        <w:t xml:space="preserve"> </w:t>
      </w:r>
      <w:r w:rsidR="00552EDA">
        <w:t>Ibid.</w:t>
      </w:r>
    </w:p>
  </w:footnote>
  <w:footnote w:id="10">
    <w:p w14:paraId="2DB0FDF2" w14:textId="1763A93E" w:rsidR="00D25666" w:rsidRDefault="00D25666" w:rsidP="00D25666">
      <w:pPr>
        <w:pStyle w:val="FootnoteText"/>
      </w:pPr>
      <w:r>
        <w:rPr>
          <w:rStyle w:val="FootnoteReference"/>
        </w:rPr>
        <w:footnoteRef/>
      </w:r>
      <w:r>
        <w:t xml:space="preserve"> </w:t>
      </w:r>
      <w:r w:rsidR="00552EDA">
        <w:t>Ibid.</w:t>
      </w:r>
    </w:p>
  </w:footnote>
  <w:footnote w:id="11">
    <w:p w14:paraId="1B200D08" w14:textId="5A74A1B9" w:rsidR="002C68A1" w:rsidRDefault="002C68A1" w:rsidP="002C68A1">
      <w:pPr>
        <w:pStyle w:val="FootnoteText"/>
      </w:pPr>
      <w:r>
        <w:rPr>
          <w:rStyle w:val="FootnoteReference"/>
        </w:rPr>
        <w:footnoteRef/>
      </w:r>
      <w:r>
        <w:t xml:space="preserve"> </w:t>
      </w:r>
      <w:r w:rsidR="00552EDA">
        <w:t>Ibid.</w:t>
      </w:r>
    </w:p>
  </w:footnote>
  <w:footnote w:id="12">
    <w:p w14:paraId="37A0B842" w14:textId="439DCE49" w:rsidR="002C68A1" w:rsidRPr="00552EDA" w:rsidRDefault="002C68A1" w:rsidP="002C68A1">
      <w:pPr>
        <w:pStyle w:val="FootnoteText"/>
      </w:pPr>
      <w:r>
        <w:rPr>
          <w:rStyle w:val="FootnoteReference"/>
        </w:rPr>
        <w:footnoteRef/>
      </w:r>
      <w:r>
        <w:t xml:space="preserve"> ‘The Pre</w:t>
      </w:r>
      <w:r w:rsidR="00552EDA">
        <w:t xml:space="preserve">rogative Court of Canterbury and Related Probate Jurisdictions’, </w:t>
      </w:r>
      <w:r w:rsidR="00552EDA" w:rsidRPr="00552EDA">
        <w:rPr>
          <w:i/>
          <w:iCs/>
        </w:rPr>
        <w:t>The National Archives</w:t>
      </w:r>
      <w:r w:rsidR="00552EDA">
        <w:rPr>
          <w:i/>
          <w:iCs/>
        </w:rPr>
        <w:t xml:space="preserve">, </w:t>
      </w:r>
      <w:hyperlink r:id="rId5" w:history="1">
        <w:r w:rsidR="00C26013" w:rsidRPr="00A40FCB">
          <w:rPr>
            <w:rStyle w:val="Hyperlink"/>
          </w:rPr>
          <w:t>https://discovery.nationalarchives.gov.uk/details/record?catid=10909&amp;catln=3</w:t>
        </w:r>
      </w:hyperlink>
      <w:r w:rsidR="00C26013">
        <w:t xml:space="preserve"> [accessed 6 January 2024].</w:t>
      </w:r>
    </w:p>
  </w:footnote>
  <w:footnote w:id="13">
    <w:p w14:paraId="06DE0343" w14:textId="799472A8" w:rsidR="001519F6" w:rsidRDefault="001519F6" w:rsidP="001519F6">
      <w:pPr>
        <w:pStyle w:val="FootnoteText"/>
      </w:pPr>
      <w:r>
        <w:rPr>
          <w:rStyle w:val="FootnoteReference"/>
        </w:rPr>
        <w:footnoteRef/>
      </w:r>
      <w:r>
        <w:t xml:space="preserve"> Tosh</w:t>
      </w:r>
      <w:r w:rsidR="00C26013">
        <w:t xml:space="preserve">, John, </w:t>
      </w:r>
      <w:r w:rsidR="00C26013" w:rsidRPr="00C26013">
        <w:rPr>
          <w:i/>
          <w:iCs/>
        </w:rPr>
        <w:t>The Pursuit of History,</w:t>
      </w:r>
      <w:r w:rsidR="00C26013">
        <w:t xml:space="preserve"> (London: Routledge, 2015), p.88.</w:t>
      </w:r>
    </w:p>
  </w:footnote>
  <w:footnote w:id="14">
    <w:p w14:paraId="338EE36E" w14:textId="3CB714BC" w:rsidR="00EC693D" w:rsidRDefault="00EC693D" w:rsidP="00EC693D">
      <w:pPr>
        <w:pStyle w:val="FootnoteText"/>
      </w:pPr>
      <w:r>
        <w:rPr>
          <w:rStyle w:val="FootnoteReference"/>
        </w:rPr>
        <w:footnoteRef/>
      </w:r>
      <w:r>
        <w:t xml:space="preserve"> </w:t>
      </w:r>
      <w:bookmarkStart w:id="4" w:name="_Hlk154497437"/>
      <w:r>
        <w:t>K</w:t>
      </w:r>
      <w:r w:rsidR="00C26013">
        <w:t>aren</w:t>
      </w:r>
      <w:r>
        <w:t xml:space="preserve"> Grannum and N</w:t>
      </w:r>
      <w:r w:rsidR="00C26013">
        <w:t xml:space="preserve">igel </w:t>
      </w:r>
      <w:r>
        <w:t xml:space="preserve">Taylor ‘Wills and other Probate Documents’, </w:t>
      </w:r>
      <w:r w:rsidRPr="00C26013">
        <w:rPr>
          <w:i/>
          <w:iCs/>
        </w:rPr>
        <w:t>The National Archives</w:t>
      </w:r>
      <w:r>
        <w:t xml:space="preserve">, </w:t>
      </w:r>
      <w:hyperlink r:id="rId6" w:history="1">
        <w:r w:rsidRPr="00E003CD">
          <w:rPr>
            <w:rStyle w:val="Hyperlink"/>
          </w:rPr>
          <w:t>https://www.archive.org/details/willsotherprobate0000gram/</w:t>
        </w:r>
      </w:hyperlink>
      <w:r>
        <w:t xml:space="preserve"> [accessed 22 November 2023] p.6</w:t>
      </w:r>
      <w:bookmarkEnd w:id="4"/>
      <w:r w:rsidR="00C26013">
        <w:t>.</w:t>
      </w:r>
    </w:p>
  </w:footnote>
  <w:footnote w:id="15">
    <w:p w14:paraId="795F7B21" w14:textId="677ECFDB" w:rsidR="00DA28F4" w:rsidRDefault="00DA28F4" w:rsidP="00DA28F4">
      <w:pPr>
        <w:pStyle w:val="FootnoteText"/>
      </w:pPr>
      <w:r>
        <w:rPr>
          <w:rStyle w:val="FootnoteReference"/>
        </w:rPr>
        <w:footnoteRef/>
      </w:r>
      <w:r>
        <w:t xml:space="preserve"> ‘Wills and administrat</w:t>
      </w:r>
      <w:r w:rsidR="004E37E7">
        <w:t>i</w:t>
      </w:r>
      <w:r>
        <w:t>on</w:t>
      </w:r>
      <w:r w:rsidR="004E37E7">
        <w:t xml:space="preserve"> before 1858’</w:t>
      </w:r>
    </w:p>
  </w:footnote>
  <w:footnote w:id="16">
    <w:p w14:paraId="162DADDB" w14:textId="77777777" w:rsidR="005E495B" w:rsidRDefault="005E495B" w:rsidP="005E495B">
      <w:pPr>
        <w:pStyle w:val="FootnoteText"/>
      </w:pPr>
      <w:r>
        <w:rPr>
          <w:rStyle w:val="FootnoteReference"/>
        </w:rPr>
        <w:footnoteRef/>
      </w:r>
      <w:r>
        <w:t xml:space="preserve"> Turvey </w:t>
      </w:r>
    </w:p>
  </w:footnote>
  <w:footnote w:id="17">
    <w:p w14:paraId="39DF2839" w14:textId="72A56C7A" w:rsidR="004415F7" w:rsidRDefault="004415F7" w:rsidP="004415F7">
      <w:pPr>
        <w:pStyle w:val="FootnoteText"/>
      </w:pPr>
      <w:r>
        <w:rPr>
          <w:rStyle w:val="FootnoteReference"/>
        </w:rPr>
        <w:footnoteRef/>
      </w:r>
      <w:r>
        <w:t xml:space="preserve"> </w:t>
      </w:r>
      <w:r w:rsidR="00C26013">
        <w:t>ibid</w:t>
      </w:r>
    </w:p>
  </w:footnote>
  <w:footnote w:id="18">
    <w:p w14:paraId="2D5AF9E3" w14:textId="60658502" w:rsidR="004415F7" w:rsidRDefault="004415F7" w:rsidP="004415F7">
      <w:pPr>
        <w:pStyle w:val="FootnoteText"/>
      </w:pPr>
      <w:r>
        <w:rPr>
          <w:rStyle w:val="FootnoteReference"/>
        </w:rPr>
        <w:footnoteRef/>
      </w:r>
      <w:r>
        <w:t xml:space="preserve"> Grannum </w:t>
      </w:r>
      <w:r w:rsidR="004E37E7">
        <w:t xml:space="preserve">and Taylor, </w:t>
      </w:r>
      <w:r>
        <w:t>p.18</w:t>
      </w:r>
      <w:r w:rsidR="004E37E7">
        <w:t>.</w:t>
      </w:r>
    </w:p>
  </w:footnote>
  <w:footnote w:id="19">
    <w:p w14:paraId="6F8B6D37" w14:textId="01F8F0DC" w:rsidR="00EC1C22" w:rsidRDefault="00EC1C22" w:rsidP="00EC1C22">
      <w:pPr>
        <w:pStyle w:val="FootnoteText"/>
      </w:pPr>
      <w:r>
        <w:rPr>
          <w:rStyle w:val="FootnoteReference"/>
        </w:rPr>
        <w:footnoteRef/>
      </w:r>
      <w:r>
        <w:t xml:space="preserve"> ‘The Pre</w:t>
      </w:r>
      <w:r w:rsidR="00C26013">
        <w:t>rogative Court’</w:t>
      </w:r>
    </w:p>
  </w:footnote>
  <w:footnote w:id="20">
    <w:p w14:paraId="52E9D6F5" w14:textId="72A28CED" w:rsidR="00EC1C22" w:rsidRPr="00042E12" w:rsidRDefault="00EC1C22" w:rsidP="00EC1C22">
      <w:pPr>
        <w:pStyle w:val="FootnoteText"/>
      </w:pPr>
      <w:r>
        <w:rPr>
          <w:rStyle w:val="FootnoteReference"/>
        </w:rPr>
        <w:footnoteRef/>
      </w:r>
      <w:r>
        <w:t xml:space="preserve"> R. H. </w:t>
      </w:r>
      <w:proofErr w:type="spellStart"/>
      <w:r>
        <w:t>Helmholz</w:t>
      </w:r>
      <w:proofErr w:type="spellEnd"/>
      <w:r>
        <w:t xml:space="preserve">, ‘Testimony Law and Probate Jurisdiction’, </w:t>
      </w:r>
      <w:r>
        <w:rPr>
          <w:i/>
          <w:iCs/>
        </w:rPr>
        <w:t xml:space="preserve">The Oxford History of the Laws of England: The Canon Law and Ecclesiastical Jurisdiction, </w:t>
      </w:r>
      <w:r w:rsidR="004E37E7" w:rsidRPr="004E37E7">
        <w:rPr>
          <w:i/>
          <w:iCs/>
        </w:rPr>
        <w:t xml:space="preserve">from 597 to the 1640s </w:t>
      </w:r>
      <w:r w:rsidR="004E37E7" w:rsidRPr="004E37E7">
        <w:t xml:space="preserve">(Oxford, 2004 online edition, Oxford Academic 22 March 2012, </w:t>
      </w:r>
      <w:hyperlink r:id="rId7" w:history="1">
        <w:r w:rsidR="004E37E7" w:rsidRPr="004E37E7">
          <w:rPr>
            <w:rStyle w:val="Hyperlink"/>
          </w:rPr>
          <w:t>https://doi.org/10.1093/acprof:oso/9780198258971.003.0007</w:t>
        </w:r>
      </w:hyperlink>
      <w:r w:rsidR="004E37E7">
        <w:t xml:space="preserve"> [accessed 21 November 2023].</w:t>
      </w:r>
    </w:p>
  </w:footnote>
  <w:footnote w:id="21">
    <w:p w14:paraId="6FE85822" w14:textId="4A137AF8" w:rsidR="00EC1C22" w:rsidRPr="00E1073B" w:rsidRDefault="00EC1C22" w:rsidP="00EC1C22">
      <w:pPr>
        <w:pStyle w:val="FootnoteText"/>
      </w:pPr>
      <w:r>
        <w:rPr>
          <w:rStyle w:val="FootnoteReference"/>
        </w:rPr>
        <w:footnoteRef/>
      </w:r>
      <w:r>
        <w:t xml:space="preserve"> John Cannon ed, </w:t>
      </w:r>
      <w:r>
        <w:rPr>
          <w:i/>
          <w:iCs/>
        </w:rPr>
        <w:t>The Oxford Companion to British History,</w:t>
      </w:r>
      <w:r>
        <w:t xml:space="preserve"> (Oxford: University Oxford Press, 1997)</w:t>
      </w:r>
      <w:r w:rsidR="004E37E7">
        <w:t>, p.321</w:t>
      </w:r>
    </w:p>
  </w:footnote>
  <w:footnote w:id="22">
    <w:p w14:paraId="7E867157" w14:textId="1BF9534E" w:rsidR="0042364E" w:rsidRDefault="0042364E" w:rsidP="0042364E">
      <w:pPr>
        <w:pStyle w:val="FootnoteText"/>
      </w:pPr>
      <w:r>
        <w:rPr>
          <w:rStyle w:val="FootnoteReference"/>
        </w:rPr>
        <w:footnoteRef/>
      </w:r>
      <w:r>
        <w:t xml:space="preserve"> </w:t>
      </w:r>
      <w:bookmarkStart w:id="5" w:name="_Hlk155798496"/>
      <w:r>
        <w:t xml:space="preserve">Karin Dannehl, ‘Object biographies’ in </w:t>
      </w:r>
      <w:r w:rsidRPr="004E37E7">
        <w:rPr>
          <w:i/>
          <w:iCs/>
        </w:rPr>
        <w:t>History and Material Culture</w:t>
      </w:r>
      <w:r>
        <w:t xml:space="preserve"> ed by Karen Harvey</w:t>
      </w:r>
      <w:r w:rsidR="004E37E7">
        <w:t>,</w:t>
      </w:r>
      <w:r>
        <w:t xml:space="preserve"> (London: Routledge, 2009)</w:t>
      </w:r>
      <w:bookmarkEnd w:id="5"/>
      <w:r w:rsidR="004E37E7">
        <w:t>, p.130.</w:t>
      </w:r>
    </w:p>
  </w:footnote>
  <w:footnote w:id="23">
    <w:p w14:paraId="37D375D8" w14:textId="2C96DF3F" w:rsidR="0042364E" w:rsidRDefault="0042364E">
      <w:pPr>
        <w:pStyle w:val="FootnoteText"/>
      </w:pPr>
      <w:r>
        <w:rPr>
          <w:rStyle w:val="FootnoteReference"/>
        </w:rPr>
        <w:footnoteRef/>
      </w:r>
      <w:r>
        <w:t xml:space="preserve"> ibid</w:t>
      </w:r>
    </w:p>
  </w:footnote>
  <w:footnote w:id="24">
    <w:p w14:paraId="06B70401" w14:textId="2B305E0A" w:rsidR="0042364E" w:rsidRPr="0073421F" w:rsidRDefault="0042364E" w:rsidP="0042364E">
      <w:pPr>
        <w:pStyle w:val="FootnoteText"/>
        <w:rPr>
          <w:i/>
          <w:iCs/>
        </w:rPr>
      </w:pPr>
      <w:r>
        <w:rPr>
          <w:rStyle w:val="FootnoteReference"/>
        </w:rPr>
        <w:footnoteRef/>
      </w:r>
      <w:r>
        <w:t xml:space="preserve"> </w:t>
      </w:r>
      <w:bookmarkStart w:id="6" w:name="_Hlk155798534"/>
      <w:r>
        <w:t xml:space="preserve">Keith Macdonald and Colin Tipton, ‘Using Documents’ in p.197 in </w:t>
      </w:r>
      <w:r w:rsidRPr="0073421F">
        <w:rPr>
          <w:i/>
          <w:iCs/>
        </w:rPr>
        <w:t>Researching Social Life</w:t>
      </w:r>
      <w:r>
        <w:rPr>
          <w:i/>
          <w:iCs/>
        </w:rPr>
        <w:t xml:space="preserve">, </w:t>
      </w:r>
      <w:r w:rsidRPr="0073421F">
        <w:t>ed by Nigel Gilbert</w:t>
      </w:r>
      <w:r>
        <w:rPr>
          <w:i/>
          <w:iCs/>
        </w:rPr>
        <w:t xml:space="preserve"> </w:t>
      </w:r>
      <w:r>
        <w:t>(London: Sage, 1993)</w:t>
      </w:r>
      <w:bookmarkEnd w:id="6"/>
      <w:r w:rsidR="004E37E7">
        <w:t>, p.197.</w:t>
      </w:r>
    </w:p>
  </w:footnote>
  <w:footnote w:id="25">
    <w:p w14:paraId="36CA027B" w14:textId="77777777" w:rsidR="00DA28F4" w:rsidRDefault="00DA28F4" w:rsidP="00DA28F4">
      <w:pPr>
        <w:pStyle w:val="FootnoteText"/>
      </w:pPr>
      <w:r>
        <w:rPr>
          <w:rStyle w:val="FootnoteReference"/>
        </w:rPr>
        <w:footnoteRef/>
      </w:r>
      <w:r>
        <w:t xml:space="preserve"> Roger Turvey, ‘Until Death Do Us Part: The Last Wills and Testaments of a Husband and Wife in Early sixteenth Century Pembrokeshire’, Pembrokeshire Historical Society, </w:t>
      </w:r>
      <w:hyperlink r:id="rId8" w:history="1">
        <w:r w:rsidRPr="005B66FB">
          <w:rPr>
            <w:rStyle w:val="Hyperlink"/>
          </w:rPr>
          <w:t>https://www.pembrokeshirehistoricalsciety.co.uk</w:t>
        </w:r>
      </w:hyperlink>
      <w:r>
        <w:t xml:space="preserve"> [accessed 4 January 2024]. </w:t>
      </w:r>
    </w:p>
  </w:footnote>
  <w:footnote w:id="26">
    <w:p w14:paraId="6F21EC1C" w14:textId="4A0E3D6F" w:rsidR="000506C3" w:rsidRDefault="000506C3" w:rsidP="000506C3">
      <w:pPr>
        <w:pStyle w:val="FootnoteText"/>
      </w:pPr>
      <w:r>
        <w:rPr>
          <w:rStyle w:val="FootnoteReference"/>
        </w:rPr>
        <w:footnoteRef/>
      </w:r>
      <w:r>
        <w:t xml:space="preserve"> Tosh</w:t>
      </w:r>
      <w:r w:rsidR="004E37E7">
        <w:t xml:space="preserve">, </w:t>
      </w:r>
      <w:r>
        <w:t>p.112</w:t>
      </w:r>
      <w:r w:rsidR="004E37E7">
        <w:t>.</w:t>
      </w:r>
    </w:p>
  </w:footnote>
  <w:footnote w:id="27">
    <w:p w14:paraId="5F057784" w14:textId="00831C39" w:rsidR="00016B69" w:rsidRDefault="00016B69" w:rsidP="00016B69">
      <w:pPr>
        <w:pStyle w:val="FootnoteText"/>
      </w:pPr>
      <w:r>
        <w:rPr>
          <w:rStyle w:val="FootnoteReference"/>
        </w:rPr>
        <w:footnoteRef/>
      </w:r>
      <w:r>
        <w:t xml:space="preserve"> Tosh, p.102.</w:t>
      </w:r>
    </w:p>
  </w:footnote>
  <w:footnote w:id="28">
    <w:p w14:paraId="43C6068E" w14:textId="7C5B208D" w:rsidR="00057B3C" w:rsidRPr="00C67386" w:rsidRDefault="00057B3C" w:rsidP="00057B3C">
      <w:pPr>
        <w:pStyle w:val="FootnoteText"/>
      </w:pPr>
      <w:r>
        <w:rPr>
          <w:rStyle w:val="FootnoteReference"/>
        </w:rPr>
        <w:footnoteRef/>
      </w:r>
      <w:r>
        <w:t xml:space="preserve"> </w:t>
      </w:r>
      <w:bookmarkStart w:id="7" w:name="_Hlk155798589"/>
      <w:r>
        <w:t>Jannes Bird</w:t>
      </w:r>
      <w:r w:rsidR="004E37E7">
        <w:t xml:space="preserve">, </w:t>
      </w:r>
      <w:r>
        <w:t xml:space="preserve">ed ‘Framework Knitters’ Alms-houses’, in Survey of London: Volume 8, Shoreditch (London 1922) pp. 132-133, </w:t>
      </w:r>
      <w:r>
        <w:rPr>
          <w:i/>
          <w:iCs/>
        </w:rPr>
        <w:t>British History Online,</w:t>
      </w:r>
      <w:r>
        <w:t xml:space="preserve"> </w:t>
      </w:r>
      <w:hyperlink r:id="rId9" w:history="1">
        <w:r w:rsidRPr="001F7B26">
          <w:rPr>
            <w:rStyle w:val="Hyperlink"/>
          </w:rPr>
          <w:t>https://www.british-history-ac.uk/survey-London/vol18</w:t>
        </w:r>
      </w:hyperlink>
      <w:r>
        <w:t xml:space="preserve"> (accessed 14 December 2023).</w:t>
      </w:r>
    </w:p>
    <w:bookmarkEnd w:id="7"/>
  </w:footnote>
  <w:footnote w:id="29">
    <w:p w14:paraId="2860A746" w14:textId="5B911D36" w:rsidR="00057B3C" w:rsidRDefault="00057B3C" w:rsidP="00057B3C">
      <w:pPr>
        <w:pStyle w:val="FootnoteText"/>
      </w:pPr>
      <w:r>
        <w:rPr>
          <w:rStyle w:val="FootnoteReference"/>
        </w:rPr>
        <w:footnoteRef/>
      </w:r>
      <w:r>
        <w:t xml:space="preserve"> </w:t>
      </w:r>
      <w:bookmarkStart w:id="8" w:name="_Hlk155798639"/>
      <w:r>
        <w:t>Mary Lewis</w:t>
      </w:r>
      <w:r w:rsidR="004E37E7">
        <w:rPr>
          <w:sz w:val="24"/>
          <w:szCs w:val="24"/>
        </w:rPr>
        <w:t>, ‘</w:t>
      </w:r>
      <w:r w:rsidR="004E37E7" w:rsidRPr="004E37E7">
        <w:t xml:space="preserve">Frame Knitting’, May 24 2021, The Framework Knitters Company, </w:t>
      </w:r>
      <w:hyperlink r:id="rId10" w:history="1">
        <w:r w:rsidR="004E37E7" w:rsidRPr="004E37E7">
          <w:rPr>
            <w:rStyle w:val="Hyperlink"/>
          </w:rPr>
          <w:t>https://www.frameworkknitters.co.uk/about/company-heritage</w:t>
        </w:r>
      </w:hyperlink>
    </w:p>
    <w:bookmarkEnd w:id="8"/>
  </w:footnote>
  <w:footnote w:id="30">
    <w:p w14:paraId="48CEA795" w14:textId="7C348136" w:rsidR="00AB34BE" w:rsidRDefault="00AB34BE" w:rsidP="00AB34BE">
      <w:pPr>
        <w:pStyle w:val="FootnoteText"/>
      </w:pPr>
      <w:r>
        <w:rPr>
          <w:rStyle w:val="FootnoteReference"/>
        </w:rPr>
        <w:footnoteRef/>
      </w:r>
      <w:r>
        <w:t xml:space="preserve"> Tosh</w:t>
      </w:r>
      <w:r w:rsidR="004E37E7">
        <w:t>, p.112.</w:t>
      </w:r>
    </w:p>
  </w:footnote>
  <w:footnote w:id="31">
    <w:p w14:paraId="3E297114" w14:textId="77777777" w:rsidR="00A8636B" w:rsidRDefault="00A8636B" w:rsidP="00A8636B">
      <w:pPr>
        <w:pStyle w:val="FootnoteText"/>
      </w:pPr>
      <w:r>
        <w:rPr>
          <w:rStyle w:val="FootnoteReference"/>
        </w:rPr>
        <w:footnoteRef/>
      </w:r>
      <w:r>
        <w:t xml:space="preserve"> </w:t>
      </w:r>
      <w:bookmarkStart w:id="9" w:name="_Hlk155805438"/>
      <w:r>
        <w:t>ibid</w:t>
      </w:r>
    </w:p>
    <w:bookmarkEnd w:id="9"/>
  </w:footnote>
  <w:footnote w:id="32">
    <w:p w14:paraId="56E3DD0A" w14:textId="77777777" w:rsidR="00A8636B" w:rsidRDefault="00A8636B" w:rsidP="00A8636B">
      <w:pPr>
        <w:pStyle w:val="FootnoteText"/>
      </w:pPr>
      <w:r>
        <w:rPr>
          <w:rStyle w:val="FootnoteReference"/>
        </w:rPr>
        <w:footnoteRef/>
      </w:r>
      <w:r>
        <w:t xml:space="preserve"> ibid</w:t>
      </w:r>
    </w:p>
  </w:footnote>
  <w:footnote w:id="33">
    <w:p w14:paraId="7EA39B20" w14:textId="77777777" w:rsidR="00A8636B" w:rsidRDefault="00A8636B" w:rsidP="00A8636B">
      <w:pPr>
        <w:pStyle w:val="FootnoteText"/>
      </w:pPr>
      <w:r>
        <w:rPr>
          <w:rStyle w:val="FootnoteReference"/>
        </w:rPr>
        <w:footnoteRef/>
      </w:r>
      <w:r>
        <w:t xml:space="preserve"> Robert Booth, ‘Ministry of Justice plan to destroy historical wills is “insane” say experts,’ The Guardian, </w:t>
      </w:r>
      <w:hyperlink r:id="rId11" w:history="1">
        <w:r w:rsidRPr="00B70129">
          <w:rPr>
            <w:rStyle w:val="Hyperlink"/>
          </w:rPr>
          <w:t>https://theguardian.com/society/2023/dec/18/ministry-of-justice-plan-to-destroy-historicalwills-is-insne-say-expert</w:t>
        </w:r>
      </w:hyperlink>
      <w:r>
        <w:t xml:space="preserve"> Monday 18 December 2023</w:t>
      </w:r>
    </w:p>
  </w:footnote>
  <w:footnote w:id="34">
    <w:p w14:paraId="65831A4D" w14:textId="77777777" w:rsidR="00A8636B" w:rsidRDefault="00A8636B" w:rsidP="00A8636B">
      <w:pPr>
        <w:pStyle w:val="FootnoteText"/>
      </w:pPr>
      <w:r>
        <w:rPr>
          <w:rStyle w:val="FootnoteReference"/>
        </w:rPr>
        <w:footnoteRef/>
      </w:r>
      <w:r>
        <w:t xml:space="preserve"> Ibid.</w:t>
      </w:r>
    </w:p>
  </w:footnote>
  <w:footnote w:id="35">
    <w:p w14:paraId="7194E997" w14:textId="77777777" w:rsidR="00A8636B" w:rsidRDefault="00A8636B" w:rsidP="00A8636B">
      <w:pPr>
        <w:pStyle w:val="FootnoteText"/>
      </w:pPr>
      <w:r>
        <w:rPr>
          <w:rStyle w:val="FootnoteReference"/>
        </w:rPr>
        <w:footnoteRef/>
      </w:r>
      <w:r>
        <w:t xml:space="preserve"> Ibid.</w:t>
      </w:r>
    </w:p>
  </w:footnote>
  <w:footnote w:id="36">
    <w:p w14:paraId="78D23C17" w14:textId="77777777" w:rsidR="00A8636B" w:rsidRDefault="00A8636B" w:rsidP="00A8636B">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0707948"/>
      <w:docPartObj>
        <w:docPartGallery w:val="Page Numbers (Top of Page)"/>
        <w:docPartUnique/>
      </w:docPartObj>
    </w:sdtPr>
    <w:sdtEndPr>
      <w:rPr>
        <w:noProof/>
      </w:rPr>
    </w:sdtEndPr>
    <w:sdtContent>
      <w:p w14:paraId="62B89F1E" w14:textId="7FBFEE1B" w:rsidR="007749C3" w:rsidRDefault="007749C3">
        <w:pPr>
          <w:pStyle w:val="Header"/>
          <w:jc w:val="center"/>
        </w:pPr>
        <w:r>
          <w:t xml:space="preserve">Assignment 5: Transcription </w:t>
        </w:r>
        <w:r>
          <w:rPr>
            <w:noProof/>
          </w:rPr>
          <w:tab/>
        </w:r>
        <w:r>
          <w:rPr>
            <w:noProof/>
          </w:rPr>
          <w:tab/>
          <w:t>2309416</w:t>
        </w:r>
      </w:p>
    </w:sdtContent>
  </w:sdt>
  <w:p w14:paraId="201F69BD" w14:textId="77777777" w:rsidR="00D674A5" w:rsidRDefault="00D674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86964"/>
    <w:multiLevelType w:val="hybridMultilevel"/>
    <w:tmpl w:val="8F0AE202"/>
    <w:lvl w:ilvl="0" w:tplc="92C61908">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70752D"/>
    <w:multiLevelType w:val="hybridMultilevel"/>
    <w:tmpl w:val="4282CD48"/>
    <w:lvl w:ilvl="0" w:tplc="047C467A">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517611"/>
    <w:multiLevelType w:val="hybridMultilevel"/>
    <w:tmpl w:val="F43EB340"/>
    <w:lvl w:ilvl="0" w:tplc="19204B08">
      <w:start w:val="1"/>
      <w:numFmt w:val="decimal"/>
      <w:lvlText w:val="%1."/>
      <w:lvlJc w:val="left"/>
      <w:pPr>
        <w:ind w:left="360" w:hanging="360"/>
      </w:pPr>
      <w:rPr>
        <w:rFonts w:cstheme="min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25410911">
    <w:abstractNumId w:val="1"/>
  </w:num>
  <w:num w:numId="2" w16cid:durableId="529029651">
    <w:abstractNumId w:val="0"/>
  </w:num>
  <w:num w:numId="3" w16cid:durableId="300811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DCD"/>
    <w:rsid w:val="000017BD"/>
    <w:rsid w:val="00016B69"/>
    <w:rsid w:val="00025967"/>
    <w:rsid w:val="0004257A"/>
    <w:rsid w:val="00042E12"/>
    <w:rsid w:val="000506C3"/>
    <w:rsid w:val="00057B3C"/>
    <w:rsid w:val="00061021"/>
    <w:rsid w:val="000706C1"/>
    <w:rsid w:val="0008023F"/>
    <w:rsid w:val="000A7BCC"/>
    <w:rsid w:val="000B1066"/>
    <w:rsid w:val="000D7A58"/>
    <w:rsid w:val="001036F1"/>
    <w:rsid w:val="00116734"/>
    <w:rsid w:val="0015000F"/>
    <w:rsid w:val="001519F6"/>
    <w:rsid w:val="00152841"/>
    <w:rsid w:val="00153AB0"/>
    <w:rsid w:val="00166749"/>
    <w:rsid w:val="00167A93"/>
    <w:rsid w:val="00171223"/>
    <w:rsid w:val="0018397B"/>
    <w:rsid w:val="001973C4"/>
    <w:rsid w:val="001B520A"/>
    <w:rsid w:val="001D651D"/>
    <w:rsid w:val="001E2B57"/>
    <w:rsid w:val="001E73C8"/>
    <w:rsid w:val="0020439B"/>
    <w:rsid w:val="00215D47"/>
    <w:rsid w:val="002341EE"/>
    <w:rsid w:val="00240130"/>
    <w:rsid w:val="00245CA3"/>
    <w:rsid w:val="00247F5A"/>
    <w:rsid w:val="00265C51"/>
    <w:rsid w:val="002702FD"/>
    <w:rsid w:val="0027049D"/>
    <w:rsid w:val="00274ED3"/>
    <w:rsid w:val="002902B2"/>
    <w:rsid w:val="002903BA"/>
    <w:rsid w:val="00296256"/>
    <w:rsid w:val="00296660"/>
    <w:rsid w:val="002C0BB1"/>
    <w:rsid w:val="002C68A1"/>
    <w:rsid w:val="002C78AD"/>
    <w:rsid w:val="002F06D8"/>
    <w:rsid w:val="00305AF7"/>
    <w:rsid w:val="00314952"/>
    <w:rsid w:val="00333CCF"/>
    <w:rsid w:val="00341B88"/>
    <w:rsid w:val="00377A47"/>
    <w:rsid w:val="003B56C3"/>
    <w:rsid w:val="003B6A01"/>
    <w:rsid w:val="003C39C9"/>
    <w:rsid w:val="003C5F86"/>
    <w:rsid w:val="003D5706"/>
    <w:rsid w:val="003E3FE9"/>
    <w:rsid w:val="003E7395"/>
    <w:rsid w:val="00400F39"/>
    <w:rsid w:val="0042364E"/>
    <w:rsid w:val="004407B8"/>
    <w:rsid w:val="004415F7"/>
    <w:rsid w:val="0044425C"/>
    <w:rsid w:val="0044558C"/>
    <w:rsid w:val="004456FA"/>
    <w:rsid w:val="00464F4E"/>
    <w:rsid w:val="00476E0A"/>
    <w:rsid w:val="004C0983"/>
    <w:rsid w:val="004D1132"/>
    <w:rsid w:val="004D5D57"/>
    <w:rsid w:val="004E37E7"/>
    <w:rsid w:val="004E58EE"/>
    <w:rsid w:val="004F0D29"/>
    <w:rsid w:val="00502293"/>
    <w:rsid w:val="005163E1"/>
    <w:rsid w:val="00520F3D"/>
    <w:rsid w:val="00531A0D"/>
    <w:rsid w:val="005464A6"/>
    <w:rsid w:val="00552EDA"/>
    <w:rsid w:val="00556366"/>
    <w:rsid w:val="00557F83"/>
    <w:rsid w:val="0057094F"/>
    <w:rsid w:val="005778D9"/>
    <w:rsid w:val="00594325"/>
    <w:rsid w:val="005A05ED"/>
    <w:rsid w:val="005A4496"/>
    <w:rsid w:val="005B2BEE"/>
    <w:rsid w:val="005E495B"/>
    <w:rsid w:val="005E6DCD"/>
    <w:rsid w:val="00647126"/>
    <w:rsid w:val="006677A1"/>
    <w:rsid w:val="0067294F"/>
    <w:rsid w:val="00691D49"/>
    <w:rsid w:val="006B1CE4"/>
    <w:rsid w:val="006B7A90"/>
    <w:rsid w:val="006E7FB6"/>
    <w:rsid w:val="0072566E"/>
    <w:rsid w:val="0073421F"/>
    <w:rsid w:val="00746BA5"/>
    <w:rsid w:val="00747CDA"/>
    <w:rsid w:val="007537AC"/>
    <w:rsid w:val="00760C31"/>
    <w:rsid w:val="00773094"/>
    <w:rsid w:val="007749C3"/>
    <w:rsid w:val="007756B0"/>
    <w:rsid w:val="007821D9"/>
    <w:rsid w:val="007A3583"/>
    <w:rsid w:val="007B0A9D"/>
    <w:rsid w:val="007B6788"/>
    <w:rsid w:val="007C16AB"/>
    <w:rsid w:val="007F00C2"/>
    <w:rsid w:val="00825704"/>
    <w:rsid w:val="008354CD"/>
    <w:rsid w:val="00843842"/>
    <w:rsid w:val="00850734"/>
    <w:rsid w:val="00870913"/>
    <w:rsid w:val="00890DA6"/>
    <w:rsid w:val="0089167C"/>
    <w:rsid w:val="008951FA"/>
    <w:rsid w:val="008A20D1"/>
    <w:rsid w:val="008B1679"/>
    <w:rsid w:val="008B51AF"/>
    <w:rsid w:val="008B62E1"/>
    <w:rsid w:val="008C1CB4"/>
    <w:rsid w:val="008D0B1F"/>
    <w:rsid w:val="008F029D"/>
    <w:rsid w:val="009021D3"/>
    <w:rsid w:val="00926E43"/>
    <w:rsid w:val="009333D7"/>
    <w:rsid w:val="00935561"/>
    <w:rsid w:val="00956304"/>
    <w:rsid w:val="009610B2"/>
    <w:rsid w:val="00977760"/>
    <w:rsid w:val="009A3B7C"/>
    <w:rsid w:val="009D49B4"/>
    <w:rsid w:val="00A01059"/>
    <w:rsid w:val="00A05810"/>
    <w:rsid w:val="00A10165"/>
    <w:rsid w:val="00A13A68"/>
    <w:rsid w:val="00A14BF0"/>
    <w:rsid w:val="00A160ED"/>
    <w:rsid w:val="00A226F5"/>
    <w:rsid w:val="00A355FF"/>
    <w:rsid w:val="00A4399D"/>
    <w:rsid w:val="00A4489A"/>
    <w:rsid w:val="00A77AE4"/>
    <w:rsid w:val="00A8161D"/>
    <w:rsid w:val="00A8636B"/>
    <w:rsid w:val="00A904AF"/>
    <w:rsid w:val="00A92A30"/>
    <w:rsid w:val="00AA2179"/>
    <w:rsid w:val="00AB34BE"/>
    <w:rsid w:val="00AF7275"/>
    <w:rsid w:val="00B02B22"/>
    <w:rsid w:val="00B03D85"/>
    <w:rsid w:val="00B230AD"/>
    <w:rsid w:val="00B34870"/>
    <w:rsid w:val="00B539B9"/>
    <w:rsid w:val="00B555D3"/>
    <w:rsid w:val="00B56D1E"/>
    <w:rsid w:val="00B73630"/>
    <w:rsid w:val="00B86FE0"/>
    <w:rsid w:val="00B87062"/>
    <w:rsid w:val="00B87B97"/>
    <w:rsid w:val="00B87C5E"/>
    <w:rsid w:val="00BA6098"/>
    <w:rsid w:val="00BC4AF5"/>
    <w:rsid w:val="00C033E1"/>
    <w:rsid w:val="00C26013"/>
    <w:rsid w:val="00C27F7C"/>
    <w:rsid w:val="00C322E4"/>
    <w:rsid w:val="00C44ED3"/>
    <w:rsid w:val="00C46E4B"/>
    <w:rsid w:val="00C67386"/>
    <w:rsid w:val="00C80E05"/>
    <w:rsid w:val="00CB00DE"/>
    <w:rsid w:val="00CB49F6"/>
    <w:rsid w:val="00CE58B7"/>
    <w:rsid w:val="00D1195F"/>
    <w:rsid w:val="00D134C7"/>
    <w:rsid w:val="00D25666"/>
    <w:rsid w:val="00D60CDD"/>
    <w:rsid w:val="00D67396"/>
    <w:rsid w:val="00D674A5"/>
    <w:rsid w:val="00D7144F"/>
    <w:rsid w:val="00D73130"/>
    <w:rsid w:val="00D93410"/>
    <w:rsid w:val="00D975D5"/>
    <w:rsid w:val="00DA28F4"/>
    <w:rsid w:val="00DA60B2"/>
    <w:rsid w:val="00DA732A"/>
    <w:rsid w:val="00DC12D9"/>
    <w:rsid w:val="00DC5A36"/>
    <w:rsid w:val="00DE55F8"/>
    <w:rsid w:val="00DE7D2A"/>
    <w:rsid w:val="00E02E2F"/>
    <w:rsid w:val="00E061E7"/>
    <w:rsid w:val="00E1073B"/>
    <w:rsid w:val="00E16227"/>
    <w:rsid w:val="00E22C71"/>
    <w:rsid w:val="00E247ED"/>
    <w:rsid w:val="00E40AA4"/>
    <w:rsid w:val="00E45E13"/>
    <w:rsid w:val="00E51EFC"/>
    <w:rsid w:val="00E55EED"/>
    <w:rsid w:val="00E60474"/>
    <w:rsid w:val="00E82677"/>
    <w:rsid w:val="00EC1C22"/>
    <w:rsid w:val="00EC4E1A"/>
    <w:rsid w:val="00EC693D"/>
    <w:rsid w:val="00ED68B0"/>
    <w:rsid w:val="00EF69B0"/>
    <w:rsid w:val="00EF76BD"/>
    <w:rsid w:val="00F008EA"/>
    <w:rsid w:val="00F227CE"/>
    <w:rsid w:val="00F251F4"/>
    <w:rsid w:val="00F33756"/>
    <w:rsid w:val="00F36CC6"/>
    <w:rsid w:val="00FA5BAF"/>
    <w:rsid w:val="00FA76E9"/>
    <w:rsid w:val="00FC23E8"/>
    <w:rsid w:val="00FE5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814853"/>
  <w15:chartTrackingRefBased/>
  <w15:docId w15:val="{87EF9CC3-2686-4D53-8A50-0C683575D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33D7"/>
    <w:rPr>
      <w:color w:val="0563C1" w:themeColor="hyperlink"/>
      <w:u w:val="single"/>
    </w:rPr>
  </w:style>
  <w:style w:type="character" w:styleId="UnresolvedMention">
    <w:name w:val="Unresolved Mention"/>
    <w:basedOn w:val="DefaultParagraphFont"/>
    <w:uiPriority w:val="99"/>
    <w:semiHidden/>
    <w:unhideWhenUsed/>
    <w:rsid w:val="009333D7"/>
    <w:rPr>
      <w:color w:val="605E5C"/>
      <w:shd w:val="clear" w:color="auto" w:fill="E1DFDD"/>
    </w:rPr>
  </w:style>
  <w:style w:type="paragraph" w:styleId="ListParagraph">
    <w:name w:val="List Paragraph"/>
    <w:basedOn w:val="Normal"/>
    <w:uiPriority w:val="34"/>
    <w:qFormat/>
    <w:rsid w:val="002702FD"/>
    <w:pPr>
      <w:ind w:left="720"/>
      <w:contextualSpacing/>
    </w:pPr>
  </w:style>
  <w:style w:type="paragraph" w:styleId="FootnoteText">
    <w:name w:val="footnote text"/>
    <w:basedOn w:val="Normal"/>
    <w:link w:val="FootnoteTextChar"/>
    <w:uiPriority w:val="99"/>
    <w:semiHidden/>
    <w:unhideWhenUsed/>
    <w:rsid w:val="002903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03BA"/>
    <w:rPr>
      <w:sz w:val="20"/>
      <w:szCs w:val="20"/>
    </w:rPr>
  </w:style>
  <w:style w:type="character" w:styleId="FootnoteReference">
    <w:name w:val="footnote reference"/>
    <w:basedOn w:val="DefaultParagraphFont"/>
    <w:uiPriority w:val="99"/>
    <w:semiHidden/>
    <w:unhideWhenUsed/>
    <w:rsid w:val="002903BA"/>
    <w:rPr>
      <w:vertAlign w:val="superscript"/>
    </w:rPr>
  </w:style>
  <w:style w:type="paragraph" w:styleId="Header">
    <w:name w:val="header"/>
    <w:basedOn w:val="Normal"/>
    <w:link w:val="HeaderChar"/>
    <w:uiPriority w:val="99"/>
    <w:unhideWhenUsed/>
    <w:rsid w:val="00D67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4A5"/>
  </w:style>
  <w:style w:type="paragraph" w:styleId="Footer">
    <w:name w:val="footer"/>
    <w:basedOn w:val="Normal"/>
    <w:link w:val="FooterChar"/>
    <w:uiPriority w:val="99"/>
    <w:unhideWhenUsed/>
    <w:rsid w:val="00D67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4A5"/>
  </w:style>
  <w:style w:type="character" w:styleId="FollowedHyperlink">
    <w:name w:val="FollowedHyperlink"/>
    <w:basedOn w:val="DefaultParagraphFont"/>
    <w:uiPriority w:val="99"/>
    <w:semiHidden/>
    <w:unhideWhenUsed/>
    <w:rsid w:val="000802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nationalarchives.gov.uk/help-with-your-research" TargetMode="External"/><Relationship Id="rId18" Type="http://schemas.openxmlformats.org/officeDocument/2006/relationships/hyperlink" Target="https://discovery.nationalarchives.gov.uk/details/record?catid=10909&amp;catln=3"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jstor.org/stable/j.ctt5vm50t.3" TargetMode="External"/><Relationship Id="rId17" Type="http://schemas.openxmlformats.org/officeDocument/2006/relationships/hyperlink" Target="https://www.nationalarchives.gov.uk/palaeography" TargetMode="External"/><Relationship Id="rId2" Type="http://schemas.openxmlformats.org/officeDocument/2006/relationships/numbering" Target="numbering.xml"/><Relationship Id="rId16" Type="http://schemas.openxmlformats.org/officeDocument/2006/relationships/hyperlink" Target="https://www.frameworkknitters.co.uk/about/company-heritage" TargetMode="External"/><Relationship Id="rId20" Type="http://schemas.openxmlformats.org/officeDocument/2006/relationships/hyperlink" Target="https://www.nationalarchives.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nsard.uk/Lords/1857-02-10/debat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93/acprof:oso/9780198258971.003.0007" TargetMode="External"/><Relationship Id="rId23" Type="http://schemas.openxmlformats.org/officeDocument/2006/relationships/fontTable" Target="fontTable.xml"/><Relationship Id="rId10" Type="http://schemas.openxmlformats.org/officeDocument/2006/relationships/hyperlink" Target="https://www.theguardian.com/society/2023/dec/18/ministry-of-justice-plan-to-destroy-historical-wills-is-insane-say-experts" TargetMode="External"/><Relationship Id="rId19" Type="http://schemas.openxmlformats.org/officeDocument/2006/relationships/hyperlink" Target="https://www.pembrokeshirehistoricalsociety.co.uk" TargetMode="External"/><Relationship Id="rId4" Type="http://schemas.openxmlformats.org/officeDocument/2006/relationships/settings" Target="settings.xml"/><Relationship Id="rId9" Type="http://schemas.openxmlformats.org/officeDocument/2006/relationships/hyperlink" Target="https://www.british-history-ac.uk/survey-London/vol18" TargetMode="External"/><Relationship Id="rId14" Type="http://schemas.openxmlformats.org/officeDocument/2006/relationships/hyperlink" Target="http://scholarship.law.marquette.edu/mulr/vol45/%20%20"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pembrokeshirehistoricalsciety.co.uk" TargetMode="External"/><Relationship Id="rId3" Type="http://schemas.openxmlformats.org/officeDocument/2006/relationships/hyperlink" Target="https://www.nationalarchives.gov.uk" TargetMode="External"/><Relationship Id="rId7" Type="http://schemas.openxmlformats.org/officeDocument/2006/relationships/hyperlink" Target="https://doi.org/10.1093/acprof:oso/9780198258971.003.0007" TargetMode="External"/><Relationship Id="rId2" Type="http://schemas.openxmlformats.org/officeDocument/2006/relationships/hyperlink" Target="https://www.archive.gov.uk/help-with-your-research" TargetMode="External"/><Relationship Id="rId1" Type="http://schemas.openxmlformats.org/officeDocument/2006/relationships/hyperlink" Target="https://www.nationalarchives.gov.uk/palaeography" TargetMode="External"/><Relationship Id="rId6" Type="http://schemas.openxmlformats.org/officeDocument/2006/relationships/hyperlink" Target="https://www.archive.org/details/willsotherprobate0000gram/" TargetMode="External"/><Relationship Id="rId11" Type="http://schemas.openxmlformats.org/officeDocument/2006/relationships/hyperlink" Target="https://theguardian.com/society/2023/dec/18/ministry-of-justice-plan-to-destroy-historicalwills-is-insne-say-expert" TargetMode="External"/><Relationship Id="rId5" Type="http://schemas.openxmlformats.org/officeDocument/2006/relationships/hyperlink" Target="https://discovery.nationalarchives.gov.uk/details/record?catid=10909&amp;catln=3" TargetMode="External"/><Relationship Id="rId10" Type="http://schemas.openxmlformats.org/officeDocument/2006/relationships/hyperlink" Target="https://www.frameworkknitters.co.uk/about/company-heritage" TargetMode="External"/><Relationship Id="rId4" Type="http://schemas.openxmlformats.org/officeDocument/2006/relationships/hyperlink" Target="https://www.pembrokeshirehistoricalsociety.co.uk" TargetMode="External"/><Relationship Id="rId9" Type="http://schemas.openxmlformats.org/officeDocument/2006/relationships/hyperlink" Target="https://www.british-history-ac.uk/survey-London/vol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B0F22-47E9-4401-9807-331F41EAF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2574</Words>
  <Characters>14673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Goatcher</dc:creator>
  <cp:keywords/>
  <dc:description/>
  <cp:lastModifiedBy>Joan Goatcher</cp:lastModifiedBy>
  <cp:revision>2</cp:revision>
  <cp:lastPrinted>2024-01-09T09:25:00Z</cp:lastPrinted>
  <dcterms:created xsi:type="dcterms:W3CDTF">2024-01-11T15:48:00Z</dcterms:created>
  <dcterms:modified xsi:type="dcterms:W3CDTF">2024-01-11T15:48:00Z</dcterms:modified>
</cp:coreProperties>
</file>