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93B1F8" w14:textId="0AE2C641" w:rsidR="00BA7203" w:rsidRDefault="003F7F60" w:rsidP="00296491">
      <w:r>
        <w:rPr>
          <w:noProof/>
        </w:rPr>
        <mc:AlternateContent>
          <mc:Choice Requires="wps">
            <w:drawing>
              <wp:anchor distT="0" distB="0" distL="114300" distR="114300" simplePos="0" relativeHeight="251665408" behindDoc="0" locked="0" layoutInCell="1" allowOverlap="1" wp14:anchorId="60147FD5" wp14:editId="38DC6815">
                <wp:simplePos x="0" y="0"/>
                <wp:positionH relativeFrom="column">
                  <wp:posOffset>6028055</wp:posOffset>
                </wp:positionH>
                <wp:positionV relativeFrom="paragraph">
                  <wp:posOffset>7002780</wp:posOffset>
                </wp:positionV>
                <wp:extent cx="476250" cy="304800"/>
                <wp:effectExtent l="0" t="0" r="0" b="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6250" cy="304800"/>
                        </a:xfrm>
                        <a:prstGeom prst="rect">
                          <a:avLst/>
                        </a:prstGeom>
                        <a:solidFill>
                          <a:srgbClr val="FFFFFF"/>
                        </a:solidFill>
                        <a:ln w="9525">
                          <a:noFill/>
                          <a:miter lim="800000"/>
                          <a:headEnd/>
                          <a:tailEnd/>
                        </a:ln>
                      </wps:spPr>
                      <wps:txbx>
                        <w:txbxContent>
                          <w:p w14:paraId="6760744A" w14:textId="77777777" w:rsidR="00034313" w:rsidRDefault="00034313" w:rsidP="00034313">
                            <w:r>
                              <w:t>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0147FD5" id="_x0000_t202" coordsize="21600,21600" o:spt="202" path="m,l,21600r21600,l21600,xe">
                <v:stroke joinstyle="miter"/>
                <v:path gradientshapeok="t" o:connecttype="rect"/>
              </v:shapetype>
              <v:shape id="Text Box 1" o:spid="_x0000_s1026" type="#_x0000_t202" style="position:absolute;margin-left:474.65pt;margin-top:551.4pt;width:37.5pt;height:2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" stroked="f">
                <v:textbox>
                  <w:txbxContent>
                    <w:p w14:paraId="6760744A" w14:textId="77777777" w:rsidR="00034313" w:rsidRDefault="00034313" w:rsidP="00034313">
                      <w:r>
                        <w:t>10%</w:t>
                      </w:r>
                    </w:p>
                  </w:txbxContent>
                </v:textbox>
              </v:shape>
            </w:pict>
          </mc:Fallback>
        </mc:AlternateContent>
      </w:r>
      <w:r w:rsidR="00862F06">
        <w:t>James Cassels</w:t>
      </w:r>
      <w:r w:rsidR="0061272F">
        <w:t xml:space="preserve"> – 1602332</w:t>
      </w:r>
    </w:p>
    <w:p w14:paraId="3D45C627" w14:textId="78CFA58F" w:rsidR="0061272F" w:rsidRDefault="0061272F" w:rsidP="00296491">
      <w:r>
        <w:t>Essay#2</w:t>
      </w:r>
      <w:r w:rsidR="00995E1E">
        <w:t xml:space="preserve"> - </w:t>
      </w:r>
      <w:r>
        <w:t>20</w:t>
      </w:r>
      <w:r w:rsidRPr="0061272F">
        <w:rPr>
          <w:vertAlign w:val="superscript"/>
        </w:rPr>
        <w:t>th</w:t>
      </w:r>
      <w:r>
        <w:t xml:space="preserve"> Century Philosophy</w:t>
      </w:r>
      <w:r w:rsidR="00995E1E">
        <w:t xml:space="preserve"> -</w:t>
      </w:r>
      <w:r w:rsidR="0074213E">
        <w:t xml:space="preserve"> Question#5 </w:t>
      </w:r>
      <w:r w:rsidR="00004FD1">
        <w:t>–</w:t>
      </w:r>
      <w:r w:rsidR="0074213E">
        <w:t xml:space="preserve"> </w:t>
      </w:r>
      <w:bookmarkStart w:id="0" w:name="_Hlk94989354"/>
      <w:r w:rsidR="0074213E">
        <w:t>Wittgenst</w:t>
      </w:r>
      <w:r w:rsidR="00004FD1">
        <w:t>ein suggests that the peculiar grammar of the word “I”</w:t>
      </w:r>
      <w:r w:rsidR="00F65C00">
        <w:t xml:space="preserve"> is liable to mislead us into thinking that there is a non-bodily entity</w:t>
      </w:r>
      <w:r w:rsidR="004D6218">
        <w:t>, a real “I” that lives in my body.</w:t>
      </w:r>
      <w:r w:rsidR="007F0B01">
        <w:rPr>
          <w:rStyle w:val="FootnoteReference"/>
        </w:rPr>
        <w:footnoteReference w:id="1"/>
      </w:r>
      <w:r w:rsidR="004D6218">
        <w:t xml:space="preserve"> Outline and </w:t>
      </w:r>
      <w:r w:rsidR="003208AF">
        <w:t xml:space="preserve">evaluate this suggestion. </w:t>
      </w:r>
      <w:r>
        <w:t xml:space="preserve"> </w:t>
      </w:r>
      <w:bookmarkEnd w:id="0"/>
    </w:p>
    <w:p w14:paraId="510F5110" w14:textId="77777777" w:rsidR="002E1E79" w:rsidRDefault="002E1E79" w:rsidP="00296491"/>
    <w:p w14:paraId="5DA0F8CE" w14:textId="28AB6078" w:rsidR="00721102" w:rsidRDefault="00721102" w:rsidP="00296491"/>
    <w:p w14:paraId="6A8C675A" w14:textId="167427E6" w:rsidR="004E1EFA" w:rsidRDefault="002E1E79" w:rsidP="00560419">
      <w:r>
        <w:t>The</w:t>
      </w:r>
      <w:r w:rsidR="00744347">
        <w:t xml:space="preserve"> </w:t>
      </w:r>
      <w:r>
        <w:t xml:space="preserve">foundations of </w:t>
      </w:r>
      <w:r w:rsidR="00721102">
        <w:t>Ludwig Wittgenstein</w:t>
      </w:r>
      <w:r w:rsidR="003C685D">
        <w:t xml:space="preserve">’s philosophy </w:t>
      </w:r>
      <w:r w:rsidR="00744347">
        <w:t>focus on</w:t>
      </w:r>
      <w:r w:rsidR="00590F59">
        <w:t xml:space="preserve"> </w:t>
      </w:r>
      <w:r w:rsidR="00BE5E91">
        <w:t>gramma</w:t>
      </w:r>
      <w:r>
        <w:t>r</w:t>
      </w:r>
      <w:r w:rsidR="000E56B3">
        <w:t xml:space="preserve">, </w:t>
      </w:r>
      <w:r w:rsidR="003A1F83">
        <w:t>language,</w:t>
      </w:r>
      <w:r w:rsidR="000E56B3">
        <w:t xml:space="preserve"> and commu</w:t>
      </w:r>
      <w:r w:rsidR="0089175D">
        <w:t>nication</w:t>
      </w:r>
      <w:r w:rsidR="009513C4">
        <w:t>.</w:t>
      </w:r>
      <w:r w:rsidR="00744347">
        <w:t xml:space="preserve"> Regarding the essay question</w:t>
      </w:r>
      <w:r w:rsidR="00BC3803">
        <w:t xml:space="preserve"> </w:t>
      </w:r>
      <w:r w:rsidR="00FD2219">
        <w:t>–</w:t>
      </w:r>
      <w:r w:rsidR="00BC3803">
        <w:t xml:space="preserve"> </w:t>
      </w:r>
      <w:r w:rsidR="00FD2219">
        <w:t>“</w:t>
      </w:r>
      <w:r w:rsidR="00BC3803">
        <w:t>Wittgenstein suggests that the peculiar grammar of the word “I” is liable to mislead us into thinking that there is a non-bodily entity, a real “I” that lives in my body</w:t>
      </w:r>
      <w:r w:rsidR="00FD2219">
        <w:t>”</w:t>
      </w:r>
      <w:r w:rsidR="00BC3803">
        <w:t>.</w:t>
      </w:r>
      <w:r w:rsidR="00BC3803">
        <w:t xml:space="preserve"> </w:t>
      </w:r>
      <w:r w:rsidR="003F496F">
        <w:t>Wittgenstein</w:t>
      </w:r>
      <w:r w:rsidR="00744347">
        <w:t xml:space="preserve"> </w:t>
      </w:r>
      <w:r w:rsidR="005A79F0">
        <w:t>is</w:t>
      </w:r>
      <w:r w:rsidR="00744347">
        <w:t xml:space="preserve"> concerned</w:t>
      </w:r>
      <w:r w:rsidR="00B64670">
        <w:t xml:space="preserve"> </w:t>
      </w:r>
      <w:r w:rsidR="005A79F0">
        <w:t>with the grammar and terminology of the term “I”</w:t>
      </w:r>
      <w:r w:rsidR="00BC3803">
        <w:t xml:space="preserve"> and its relative</w:t>
      </w:r>
      <w:r w:rsidR="005A79F0">
        <w:t xml:space="preserve"> use in the world.</w:t>
      </w:r>
    </w:p>
    <w:p w14:paraId="67509F5A" w14:textId="41DD62BF" w:rsidR="008851C8" w:rsidRDefault="003F496F" w:rsidP="00560419">
      <w:r>
        <w:t>S</w:t>
      </w:r>
      <w:r w:rsidR="00272AAB">
        <w:t xml:space="preserve">peculating the mode of interactive </w:t>
      </w:r>
      <w:r>
        <w:t>communication,</w:t>
      </w:r>
      <w:r w:rsidR="00BC3803">
        <w:t xml:space="preserve"> </w:t>
      </w:r>
      <w:r>
        <w:t xml:space="preserve">Wittgenstein </w:t>
      </w:r>
      <w:r w:rsidR="00BC3803">
        <w:t>posited that we successfully communicate with one-another by a combinational mode of grammar and pictorialism.</w:t>
      </w:r>
      <w:r w:rsidR="00BC3803">
        <w:rPr>
          <w:rStyle w:val="FootnoteReference"/>
        </w:rPr>
        <w:footnoteReference w:id="2"/>
      </w:r>
      <w:r w:rsidR="00560419">
        <w:t xml:space="preserve"> </w:t>
      </w:r>
      <w:r w:rsidR="005A79F0">
        <w:t xml:space="preserve">The question </w:t>
      </w:r>
      <w:r w:rsidR="00FD2219">
        <w:t>entails</w:t>
      </w:r>
      <w:r w:rsidR="00560419">
        <w:t xml:space="preserve"> </w:t>
      </w:r>
      <w:r>
        <w:t>then,</w:t>
      </w:r>
      <w:r w:rsidR="005A79F0">
        <w:t xml:space="preserve"> to what picture</w:t>
      </w:r>
      <w:r w:rsidR="004D0F88">
        <w:t>, if any,</w:t>
      </w:r>
      <w:r w:rsidR="005A79F0">
        <w:t xml:space="preserve"> does the term “I” relate</w:t>
      </w:r>
      <w:r w:rsidR="00560419">
        <w:t xml:space="preserve">? </w:t>
      </w:r>
      <w:r>
        <w:t xml:space="preserve">In his </w:t>
      </w:r>
      <w:proofErr w:type="spellStart"/>
      <w:r w:rsidRPr="00900569">
        <w:rPr>
          <w:i/>
          <w:iCs/>
        </w:rPr>
        <w:t>Tractatus</w:t>
      </w:r>
      <w:proofErr w:type="spellEnd"/>
      <w:r w:rsidRPr="00900569">
        <w:rPr>
          <w:i/>
          <w:iCs/>
        </w:rPr>
        <w:t xml:space="preserve"> Logico-</w:t>
      </w:r>
      <w:proofErr w:type="spellStart"/>
      <w:r w:rsidRPr="00900569">
        <w:rPr>
          <w:i/>
          <w:iCs/>
        </w:rPr>
        <w:t>Philosophicus</w:t>
      </w:r>
      <w:proofErr w:type="spellEnd"/>
      <w:r>
        <w:rPr>
          <w:i/>
          <w:iCs/>
        </w:rPr>
        <w:t>,</w:t>
      </w:r>
      <w:r w:rsidRPr="00900569">
        <w:rPr>
          <w:rStyle w:val="FootnoteReference"/>
          <w:i/>
          <w:iCs/>
        </w:rPr>
        <w:footnoteReference w:id="3"/>
      </w:r>
      <w:r>
        <w:rPr>
          <w:i/>
          <w:iCs/>
        </w:rPr>
        <w:t xml:space="preserve"> </w:t>
      </w:r>
      <w:r>
        <w:t>Wittgenstein asks</w:t>
      </w:r>
      <w:r>
        <w:rPr>
          <w:i/>
          <w:iCs/>
        </w:rPr>
        <w:t xml:space="preserve"> </w:t>
      </w:r>
      <w:r>
        <w:t xml:space="preserve">‘how </w:t>
      </w:r>
      <w:r>
        <w:t>it is that</w:t>
      </w:r>
      <w:r>
        <w:t xml:space="preserve"> we manage to communicate ideas to one-another?</w:t>
      </w:r>
      <w:r>
        <w:t xml:space="preserve"> </w:t>
      </w:r>
      <w:r>
        <w:t xml:space="preserve">To which </w:t>
      </w:r>
      <w:r>
        <w:t xml:space="preserve">he </w:t>
      </w:r>
      <w:r w:rsidR="004D0F88">
        <w:t>theorized</w:t>
      </w:r>
      <w:r>
        <w:t xml:space="preserve"> that language works by triggering within us pictures of how things are in the world</w:t>
      </w:r>
      <w:r w:rsidR="0006567C">
        <w:t>, stating - ‘we make to ourselves pictures of facts’</w:t>
      </w:r>
      <w:r w:rsidR="0006567C">
        <w:rPr>
          <w:rStyle w:val="FootnoteReference"/>
        </w:rPr>
        <w:footnoteReference w:id="4"/>
      </w:r>
      <w:r w:rsidR="0006567C">
        <w:t xml:space="preserve"> and ‘the picture is a model of reality.’</w:t>
      </w:r>
      <w:r w:rsidR="0006567C">
        <w:rPr>
          <w:rStyle w:val="FootnoteReference"/>
        </w:rPr>
        <w:footnoteReference w:id="5"/>
      </w:r>
    </w:p>
    <w:p w14:paraId="65220FB4" w14:textId="77777777" w:rsidR="00161640" w:rsidRDefault="00161640" w:rsidP="00560419"/>
    <w:p w14:paraId="0A7CB4D7" w14:textId="1110961C" w:rsidR="00560419" w:rsidRDefault="00560419" w:rsidP="00560419">
      <w:r>
        <w:lastRenderedPageBreak/>
        <w:t xml:space="preserve">I will begin this short essay by outlining Wittgenstein’s </w:t>
      </w:r>
      <w:r>
        <w:t xml:space="preserve">suggestion </w:t>
      </w:r>
      <w:r>
        <w:t>relative to his</w:t>
      </w:r>
      <w:r>
        <w:t xml:space="preserve"> ‘picture theory of language.’</w:t>
      </w:r>
      <w:r>
        <w:rPr>
          <w:rStyle w:val="FootnoteReference"/>
        </w:rPr>
        <w:footnoteReference w:id="6"/>
      </w:r>
      <w:r w:rsidRPr="00560419">
        <w:t xml:space="preserve"> </w:t>
      </w:r>
      <w:r>
        <w:t>With respect to my study sources and utili</w:t>
      </w:r>
      <w:r>
        <w:t>zed</w:t>
      </w:r>
      <w:r>
        <w:t xml:space="preserve"> literature - in addition to the </w:t>
      </w:r>
      <w:proofErr w:type="spellStart"/>
      <w:r w:rsidRPr="008F7A8B">
        <w:rPr>
          <w:i/>
          <w:iCs/>
        </w:rPr>
        <w:t>Tractatus</w:t>
      </w:r>
      <w:proofErr w:type="spellEnd"/>
      <w:r w:rsidRPr="008F7A8B">
        <w:rPr>
          <w:i/>
          <w:iCs/>
        </w:rPr>
        <w:t xml:space="preserve"> Logico-</w:t>
      </w:r>
      <w:proofErr w:type="spellStart"/>
      <w:r w:rsidRPr="008F7A8B">
        <w:rPr>
          <w:i/>
          <w:iCs/>
        </w:rPr>
        <w:t>Philosophicus</w:t>
      </w:r>
      <w:proofErr w:type="spellEnd"/>
      <w:r>
        <w:t xml:space="preserve">, I predominantly </w:t>
      </w:r>
      <w:r>
        <w:t>refer to</w:t>
      </w:r>
      <w:r>
        <w:t xml:space="preserve"> the Wittgensteinian publication known as </w:t>
      </w:r>
      <w:r>
        <w:rPr>
          <w:i/>
          <w:iCs/>
        </w:rPr>
        <w:t>T</w:t>
      </w:r>
      <w:r w:rsidRPr="008F7A8B">
        <w:rPr>
          <w:i/>
          <w:iCs/>
        </w:rPr>
        <w:t xml:space="preserve">he </w:t>
      </w:r>
      <w:r>
        <w:rPr>
          <w:i/>
          <w:iCs/>
        </w:rPr>
        <w:t>B</w:t>
      </w:r>
      <w:r w:rsidRPr="008F7A8B">
        <w:rPr>
          <w:i/>
          <w:iCs/>
        </w:rPr>
        <w:t xml:space="preserve">lue </w:t>
      </w:r>
      <w:r>
        <w:rPr>
          <w:i/>
          <w:iCs/>
        </w:rPr>
        <w:t>B</w:t>
      </w:r>
      <w:r w:rsidRPr="008F7A8B">
        <w:rPr>
          <w:i/>
          <w:iCs/>
        </w:rPr>
        <w:t>ook</w:t>
      </w:r>
      <w:r>
        <w:rPr>
          <w:i/>
          <w:iCs/>
        </w:rPr>
        <w:t>,</w:t>
      </w:r>
      <w:r>
        <w:rPr>
          <w:rStyle w:val="FootnoteReference"/>
          <w:i/>
          <w:iCs/>
        </w:rPr>
        <w:footnoteReference w:id="7"/>
      </w:r>
      <w:r>
        <w:t xml:space="preserve"> and secondarily, B. A. Worthington’s publication – </w:t>
      </w:r>
      <w:proofErr w:type="spellStart"/>
      <w:r w:rsidRPr="002D1001">
        <w:rPr>
          <w:i/>
          <w:iCs/>
        </w:rPr>
        <w:t>Selfconsciousness</w:t>
      </w:r>
      <w:proofErr w:type="spellEnd"/>
      <w:r w:rsidRPr="002D1001">
        <w:rPr>
          <w:i/>
          <w:iCs/>
        </w:rPr>
        <w:t xml:space="preserve"> and </w:t>
      </w:r>
      <w:proofErr w:type="spellStart"/>
      <w:r w:rsidRPr="002D1001">
        <w:rPr>
          <w:i/>
          <w:iCs/>
        </w:rPr>
        <w:t>Selfreference</w:t>
      </w:r>
      <w:proofErr w:type="spellEnd"/>
      <w:r w:rsidRPr="002D1001">
        <w:rPr>
          <w:i/>
          <w:iCs/>
        </w:rPr>
        <w:t xml:space="preserve">: An Interpretation of Wittgenstein’s </w:t>
      </w:r>
      <w:proofErr w:type="spellStart"/>
      <w:r w:rsidRPr="002D1001">
        <w:rPr>
          <w:i/>
          <w:iCs/>
        </w:rPr>
        <w:t>Tractatus</w:t>
      </w:r>
      <w:proofErr w:type="spellEnd"/>
      <w:r w:rsidRPr="002D1001">
        <w:rPr>
          <w:i/>
          <w:iCs/>
        </w:rPr>
        <w:t>.</w:t>
      </w:r>
      <w:r w:rsidRPr="002D1001">
        <w:rPr>
          <w:rStyle w:val="FootnoteReference"/>
          <w:i/>
          <w:iCs/>
        </w:rPr>
        <w:footnoteReference w:id="8"/>
      </w:r>
      <w:r>
        <w:t xml:space="preserve"> F</w:t>
      </w:r>
      <w:r w:rsidRPr="008663D2">
        <w:t>urther online secondary study sources were obtained from both</w:t>
      </w:r>
      <w:r>
        <w:rPr>
          <w:i/>
          <w:iCs/>
        </w:rPr>
        <w:t xml:space="preserve"> Stanford Encyclopedia of Philosophy,</w:t>
      </w:r>
      <w:r>
        <w:rPr>
          <w:rStyle w:val="FootnoteReference"/>
          <w:i/>
          <w:iCs/>
        </w:rPr>
        <w:footnoteReference w:id="9"/>
      </w:r>
      <w:r>
        <w:rPr>
          <w:i/>
          <w:iCs/>
        </w:rPr>
        <w:t xml:space="preserve"> </w:t>
      </w:r>
      <w:r w:rsidRPr="008663D2">
        <w:t>and</w:t>
      </w:r>
      <w:r>
        <w:rPr>
          <w:i/>
          <w:iCs/>
        </w:rPr>
        <w:t xml:space="preserve"> Internet Encyclopedia of Philosophy</w:t>
      </w:r>
      <w:r>
        <w:rPr>
          <w:rStyle w:val="FootnoteReference"/>
          <w:i/>
          <w:iCs/>
        </w:rPr>
        <w:footnoteReference w:id="10"/>
      </w:r>
      <w:r>
        <w:rPr>
          <w:i/>
          <w:iCs/>
        </w:rPr>
        <w:t>(Wittgenstein</w:t>
      </w:r>
      <w:r w:rsidRPr="0002170D">
        <w:t>)</w:t>
      </w:r>
      <w:r w:rsidR="0002170D" w:rsidRPr="0002170D">
        <w:t>, as well as</w:t>
      </w:r>
      <w:r w:rsidR="0002170D">
        <w:rPr>
          <w:i/>
          <w:iCs/>
        </w:rPr>
        <w:t xml:space="preserve"> the philosophical review.</w:t>
      </w:r>
      <w:r w:rsidR="0002170D">
        <w:rPr>
          <w:rStyle w:val="FootnoteReference"/>
          <w:i/>
          <w:iCs/>
        </w:rPr>
        <w:footnoteReference w:id="11"/>
      </w:r>
    </w:p>
    <w:p w14:paraId="53669CE2" w14:textId="6D3244CA" w:rsidR="00744347" w:rsidRDefault="00744347" w:rsidP="00296491"/>
    <w:p w14:paraId="74EF67C2" w14:textId="0509CCA8" w:rsidR="007C76C7" w:rsidRDefault="00A321FA" w:rsidP="00296491">
      <w:r>
        <w:t xml:space="preserve">If I say “I” feel pain”, three words are employed which conjure three pictures, although the pictures overlap. (1) “I” – it is this one – me – who feels pain. (2) “Feel” </w:t>
      </w:r>
      <w:r w:rsidR="007C76C7">
        <w:t>a variable equating to</w:t>
      </w:r>
      <w:r>
        <w:t xml:space="preserve"> experiencing, a sense </w:t>
      </w:r>
      <w:r w:rsidR="007C76C7">
        <w:t xml:space="preserve">of feeling. (3) “Pain” an image of suffering which may be seen </w:t>
      </w:r>
      <w:r w:rsidR="00B64670">
        <w:t>up</w:t>
      </w:r>
      <w:r w:rsidR="007C76C7">
        <w:t>on the facial expression</w:t>
      </w:r>
      <w:r w:rsidR="00B64670">
        <w:t xml:space="preserve"> of the subject - me</w:t>
      </w:r>
      <w:r w:rsidR="007C76C7">
        <w:t>. Now I must as</w:t>
      </w:r>
      <w:r w:rsidR="00B64670">
        <w:t>k</w:t>
      </w:r>
      <w:r w:rsidR="007C76C7">
        <w:t xml:space="preserve"> – (if not in Wittgenstein) where is the confusion?</w:t>
      </w:r>
      <w:r>
        <w:t xml:space="preserve"> </w:t>
      </w:r>
    </w:p>
    <w:p w14:paraId="47CD9CCF" w14:textId="54F92438" w:rsidR="005821FC" w:rsidRDefault="005B5609" w:rsidP="00296491">
      <w:r>
        <w:t xml:space="preserve">In the </w:t>
      </w:r>
      <w:r w:rsidRPr="005B5609">
        <w:rPr>
          <w:i/>
          <w:iCs/>
        </w:rPr>
        <w:t>blue book</w:t>
      </w:r>
      <w:r>
        <w:t xml:space="preserve"> Wittgenstein suggests that confusion </w:t>
      </w:r>
      <w:r w:rsidR="00695E1A">
        <w:t>can</w:t>
      </w:r>
      <w:r>
        <w:t xml:space="preserve"> </w:t>
      </w:r>
      <w:r w:rsidR="00902320">
        <w:t>arise from the use of the term “I” in representing an entity or being distinct from the embodied one whom refers to oneself as such.</w:t>
      </w:r>
      <w:r w:rsidR="00902320">
        <w:rPr>
          <w:rStyle w:val="FootnoteReference"/>
        </w:rPr>
        <w:footnoteReference w:id="12"/>
      </w:r>
      <w:r w:rsidR="00902320">
        <w:t xml:space="preserve"> He outlays various scenarios in which the term “I” </w:t>
      </w:r>
      <w:r w:rsidR="008B4BD1">
        <w:t xml:space="preserve">could be seen as insufficient and cause for </w:t>
      </w:r>
      <w:r w:rsidR="00CA71AC">
        <w:t xml:space="preserve">philosophical </w:t>
      </w:r>
      <w:r w:rsidR="008B4BD1">
        <w:t xml:space="preserve">confusion – a grammatic error. </w:t>
      </w:r>
      <w:r w:rsidR="00A92E2D">
        <w:t xml:space="preserve">As such Wittgenstein outlays a somewhat confusing and weak argument providing obscure and altogether unlikely scenarios in which one </w:t>
      </w:r>
      <w:r w:rsidR="00A92E2D">
        <w:t>referring</w:t>
      </w:r>
      <w:r w:rsidR="00A92E2D">
        <w:t xml:space="preserve"> to </w:t>
      </w:r>
      <w:r w:rsidR="00A92E2D">
        <w:lastRenderedPageBreak/>
        <w:t xml:space="preserve">themselves or </w:t>
      </w:r>
      <w:r w:rsidR="00A92E2D">
        <w:t>an-</w:t>
      </w:r>
      <w:r w:rsidR="00A92E2D">
        <w:t>other</w:t>
      </w:r>
      <w:r w:rsidR="00A92E2D">
        <w:t>,</w:t>
      </w:r>
      <w:r w:rsidR="00A92E2D">
        <w:t xml:space="preserve"> for example</w:t>
      </w:r>
      <w:r w:rsidR="00A92E2D">
        <w:t xml:space="preserve"> -</w:t>
      </w:r>
      <w:r w:rsidR="00F05ABF">
        <w:t xml:space="preserve"> as</w:t>
      </w:r>
      <w:r w:rsidR="00A92E2D">
        <w:t xml:space="preserve"> having a bump on the forehead,</w:t>
      </w:r>
      <w:r w:rsidR="00A92E2D">
        <w:rPr>
          <w:rStyle w:val="FootnoteReference"/>
        </w:rPr>
        <w:footnoteReference w:id="13"/>
      </w:r>
      <w:r w:rsidR="00A92E2D">
        <w:t xml:space="preserve"> could potentially contain the cause for confusion as to who it is that is being refer</w:t>
      </w:r>
      <w:r w:rsidR="00F05ABF">
        <w:t>re</w:t>
      </w:r>
      <w:r w:rsidR="00A92E2D">
        <w:t xml:space="preserve">d to. </w:t>
      </w:r>
      <w:r w:rsidR="00F05ABF">
        <w:t xml:space="preserve">However, rather than suggesting there exists a problem in this sense, Wittgenstein only promotes the idea that there is room for error and that the statement “I” have a bump on my forehead, or “I” have toothache – am in pain </w:t>
      </w:r>
      <w:r w:rsidR="00057B69">
        <w:t>and so-on</w:t>
      </w:r>
      <w:r w:rsidR="00F05ABF">
        <w:t xml:space="preserve">, leaves open the possibility </w:t>
      </w:r>
      <w:r w:rsidR="005821FC">
        <w:t>for error.</w:t>
      </w:r>
      <w:r w:rsidR="00A92E2D">
        <w:t xml:space="preserve"> </w:t>
      </w:r>
    </w:p>
    <w:p w14:paraId="50052D8C" w14:textId="6297D42D" w:rsidR="005B5609" w:rsidRDefault="005821FC" w:rsidP="00296491">
      <w:r>
        <w:t>At this point it is worthy of consideration that t</w:t>
      </w:r>
      <w:r w:rsidR="008B4BD1">
        <w:t xml:space="preserve">hroughout Wittgensteinian philosophy there exists an underlying </w:t>
      </w:r>
      <w:r w:rsidR="00CA71AC">
        <w:t xml:space="preserve">critique of </w:t>
      </w:r>
      <w:r w:rsidR="008B4BD1">
        <w:t>Cartesianism</w:t>
      </w:r>
      <w:r w:rsidR="00CA71AC">
        <w:t xml:space="preserve"> and mind/body dualism.</w:t>
      </w:r>
      <w:r w:rsidR="00CA71AC">
        <w:rPr>
          <w:rStyle w:val="FootnoteReference"/>
        </w:rPr>
        <w:footnoteReference w:id="14"/>
      </w:r>
      <w:r w:rsidR="00CA71AC">
        <w:t xml:space="preserve"> </w:t>
      </w:r>
      <w:r>
        <w:t xml:space="preserve">Wittgenstein’s outlay of this argument ends by applying the possibility of confusion </w:t>
      </w:r>
      <w:r w:rsidR="003E5CD8">
        <w:t>from</w:t>
      </w:r>
      <w:r>
        <w:t xml:space="preserve"> the field of </w:t>
      </w:r>
      <w:r w:rsidR="003E5CD8">
        <w:t xml:space="preserve">the </w:t>
      </w:r>
      <w:r>
        <w:t>philosophy</w:t>
      </w:r>
      <w:r w:rsidR="003E5CD8">
        <w:t xml:space="preserve"> of language</w:t>
      </w:r>
      <w:r>
        <w:t>, to the Cartesian principle ‘Cogito-ergo-sum’.</w:t>
      </w:r>
      <w:r w:rsidR="00AF07D0">
        <w:rPr>
          <w:rStyle w:val="FootnoteReference"/>
        </w:rPr>
        <w:footnoteReference w:id="15"/>
      </w:r>
      <w:r>
        <w:t xml:space="preserve"> </w:t>
      </w:r>
      <w:r w:rsidR="004E2EC0">
        <w:t xml:space="preserve">It is this Cartesian principle which I feel that Wittgenstein </w:t>
      </w:r>
      <w:r w:rsidR="00576D51">
        <w:t xml:space="preserve">sets out to undermine. </w:t>
      </w:r>
      <w:r w:rsidR="00DC611F">
        <w:t>The term “I”</w:t>
      </w:r>
      <w:r w:rsidR="000A513D">
        <w:t xml:space="preserve"> is synonymous with one </w:t>
      </w:r>
      <w:r w:rsidR="00FF243A">
        <w:t>raising one</w:t>
      </w:r>
      <w:r w:rsidR="00542946">
        <w:t>’</w:t>
      </w:r>
      <w:r w:rsidR="00FF243A">
        <w:t>s hand or pointing to one- self</w:t>
      </w:r>
      <w:r w:rsidR="00542946">
        <w:t xml:space="preserve"> in reference. However, Wittgenstein is attempting to relay that </w:t>
      </w:r>
      <w:r w:rsidR="00CF507D">
        <w:t>such</w:t>
      </w:r>
      <w:r w:rsidR="00DF3ACA">
        <w:t xml:space="preserve"> “I” terminology does not</w:t>
      </w:r>
      <w:r w:rsidR="005C7E85">
        <w:t xml:space="preserve"> denote</w:t>
      </w:r>
      <w:r w:rsidR="00CF507D">
        <w:t>,</w:t>
      </w:r>
      <w:r w:rsidR="000D3B0F">
        <w:t xml:space="preserve"> but could be mistakenly seen to</w:t>
      </w:r>
      <w:r w:rsidR="003F4E92">
        <w:t xml:space="preserve"> appear </w:t>
      </w:r>
      <w:r w:rsidR="000B1D10">
        <w:t>as though</w:t>
      </w:r>
      <w:r w:rsidR="00CF507D">
        <w:t>,</w:t>
      </w:r>
      <w:r w:rsidR="000D3B0F">
        <w:t xml:space="preserve"> there exists within the body </w:t>
      </w:r>
      <w:r w:rsidR="000C3F5B">
        <w:t xml:space="preserve">a being which is separate to </w:t>
      </w:r>
      <w:r w:rsidR="000B1D10">
        <w:t xml:space="preserve">the </w:t>
      </w:r>
      <w:r w:rsidR="000C3F5B">
        <w:t xml:space="preserve">body or entity, as though </w:t>
      </w:r>
      <w:r w:rsidR="00662C63">
        <w:t xml:space="preserve">a person is in </w:t>
      </w:r>
      <w:r w:rsidR="001958A3">
        <w:t>a dual</w:t>
      </w:r>
      <w:r w:rsidR="00662C63">
        <w:t xml:space="preserve"> way split in the sense that – “I” have a body</w:t>
      </w:r>
      <w:r w:rsidR="00CF507D">
        <w:t xml:space="preserve"> - being a philosophical and grammatical error</w:t>
      </w:r>
      <w:r w:rsidR="00662C63">
        <w:t xml:space="preserve">. </w:t>
      </w:r>
      <w:r w:rsidR="00344D7B">
        <w:t>In this way it could be seen as a grammatic confusion</w:t>
      </w:r>
      <w:r w:rsidR="00D35C6A">
        <w:t xml:space="preserve">, in that the term “I” suggests a </w:t>
      </w:r>
      <w:r w:rsidR="001958A3">
        <w:t>subjective</w:t>
      </w:r>
      <w:r w:rsidR="00E77BBC">
        <w:t xml:space="preserve"> </w:t>
      </w:r>
      <w:r w:rsidR="00D35C6A">
        <w:t xml:space="preserve">distinction. </w:t>
      </w:r>
      <w:r w:rsidR="00A30E09">
        <w:t>However, it could be said that when referring to one-self as “I”</w:t>
      </w:r>
      <w:r w:rsidR="00D1373B">
        <w:t>, or indeed pointing to one-self</w:t>
      </w:r>
      <w:r w:rsidR="00E75256">
        <w:t xml:space="preserve"> in </w:t>
      </w:r>
      <w:r w:rsidR="00CF507D">
        <w:t>self-</w:t>
      </w:r>
      <w:r w:rsidR="00E75256">
        <w:t>reference,</w:t>
      </w:r>
      <w:r w:rsidR="00A30E09">
        <w:t xml:space="preserve"> that one is refer</w:t>
      </w:r>
      <w:r w:rsidR="001169F9">
        <w:t xml:space="preserve">ring to the whole being – the body and mind combined, such as in </w:t>
      </w:r>
      <w:r w:rsidR="0030585C">
        <w:t>Merlau-</w:t>
      </w:r>
      <w:proofErr w:type="spellStart"/>
      <w:r w:rsidR="00974428">
        <w:t>P</w:t>
      </w:r>
      <w:r w:rsidR="0030585C">
        <w:t>onty’s</w:t>
      </w:r>
      <w:proofErr w:type="spellEnd"/>
      <w:r w:rsidR="00974428">
        <w:t xml:space="preserve"> ‘body-subject’</w:t>
      </w:r>
      <w:r w:rsidR="006A3C7A">
        <w:t>.</w:t>
      </w:r>
      <w:r w:rsidR="00797A26">
        <w:rPr>
          <w:rStyle w:val="FootnoteReference"/>
        </w:rPr>
        <w:footnoteReference w:id="16"/>
      </w:r>
    </w:p>
    <w:p w14:paraId="18767A18" w14:textId="397ACBCC" w:rsidR="00161640" w:rsidRDefault="0002170D" w:rsidP="00296491">
      <w:r>
        <w:t>I</w:t>
      </w:r>
      <w:r w:rsidR="004D0F88">
        <w:t>t could be said</w:t>
      </w:r>
      <w:r>
        <w:t xml:space="preserve"> that Wittgenstein</w:t>
      </w:r>
      <w:r w:rsidR="004D0F88">
        <w:t xml:space="preserve"> was an </w:t>
      </w:r>
      <w:r>
        <w:t xml:space="preserve">existentialist </w:t>
      </w:r>
      <w:r w:rsidR="004D0F88">
        <w:t>empiricist, a</w:t>
      </w:r>
      <w:r>
        <w:t>s he believed that we can only understand what we can see</w:t>
      </w:r>
      <w:r w:rsidR="00013425">
        <w:t xml:space="preserve"> </w:t>
      </w:r>
      <w:r w:rsidR="005B5609">
        <w:t xml:space="preserve">and is therefore </w:t>
      </w:r>
      <w:r w:rsidR="00013425">
        <w:t>existent</w:t>
      </w:r>
      <w:r>
        <w:t xml:space="preserve"> in the world, hence, </w:t>
      </w:r>
      <w:r w:rsidR="00013425">
        <w:t xml:space="preserve">what we can </w:t>
      </w:r>
      <w:r>
        <w:t xml:space="preserve">experience in the world. </w:t>
      </w:r>
      <w:r w:rsidR="00013425">
        <w:t xml:space="preserve">His philosophy of language exclaims that ‘the right philosophical method is to say </w:t>
      </w:r>
      <w:r w:rsidR="00013425">
        <w:lastRenderedPageBreak/>
        <w:t>nothing but what can be said, i.e. – natural sciences – but not philosophy</w:t>
      </w:r>
      <w:r w:rsidR="004578C9">
        <w:t>.</w:t>
      </w:r>
      <w:r w:rsidR="00013425">
        <w:t>’</w:t>
      </w:r>
      <w:r w:rsidR="00013425">
        <w:rPr>
          <w:rStyle w:val="FootnoteReference"/>
        </w:rPr>
        <w:footnoteReference w:id="17"/>
      </w:r>
      <w:r w:rsidR="00013425">
        <w:t xml:space="preserve"> </w:t>
      </w:r>
      <w:r w:rsidR="00981316">
        <w:t>He</w:t>
      </w:r>
      <w:r w:rsidR="00313B9C">
        <w:t xml:space="preserve"> is alluding here to the principle</w:t>
      </w:r>
      <w:r w:rsidR="004578C9">
        <w:t xml:space="preserve"> </w:t>
      </w:r>
      <w:r w:rsidR="00313B9C">
        <w:t>that we can talk physics as physics represents “things” as they are in the world</w:t>
      </w:r>
      <w:r w:rsidR="00921872">
        <w:t>. H</w:t>
      </w:r>
      <w:r w:rsidR="00313B9C">
        <w:t xml:space="preserve">owever, </w:t>
      </w:r>
      <w:r w:rsidR="00AE561A">
        <w:t xml:space="preserve">in Wittgenstein - </w:t>
      </w:r>
      <w:r w:rsidR="00313B9C">
        <w:t>metaphysics, or that which lies beyond physics and the physical world, cannot be spoken of without the possibility of error being provided for. The term “I”</w:t>
      </w:r>
      <w:r w:rsidR="00334EED">
        <w:t xml:space="preserve"> then</w:t>
      </w:r>
      <w:r w:rsidR="00313B9C">
        <w:t xml:space="preserve"> is ultimately inexpressible</w:t>
      </w:r>
      <w:r w:rsidR="001F03B4">
        <w:t>,</w:t>
      </w:r>
      <w:r w:rsidR="00513281">
        <w:t xml:space="preserve"> therefore -</w:t>
      </w:r>
      <w:r w:rsidR="00882BCD">
        <w:t xml:space="preserve"> beyond conception</w:t>
      </w:r>
      <w:r w:rsidR="00513281">
        <w:t xml:space="preserve"> -</w:t>
      </w:r>
      <w:r w:rsidR="00882BCD">
        <w:t xml:space="preserve"> beyond the world</w:t>
      </w:r>
      <w:r w:rsidR="00EB1439">
        <w:t>.</w:t>
      </w:r>
      <w:r w:rsidR="00883699">
        <w:t xml:space="preserve"> His philosophy of language is underpinned by relative symbolism and facticity. For example</w:t>
      </w:r>
      <w:r w:rsidR="005B5609">
        <w:t>,</w:t>
      </w:r>
      <w:r w:rsidR="00883699">
        <w:t xml:space="preserve"> Wittgenstein notes that “A” is the same sign as “A”.</w:t>
      </w:r>
      <w:r w:rsidR="00883699">
        <w:rPr>
          <w:rStyle w:val="FootnoteReference"/>
        </w:rPr>
        <w:footnoteReference w:id="18"/>
      </w:r>
      <w:r w:rsidR="00883699">
        <w:t xml:space="preserve"> </w:t>
      </w:r>
      <w:r w:rsidR="00883699">
        <w:t>Likewise “I” is the same sign as “I”, yet i</w:t>
      </w:r>
      <w:r w:rsidR="005B5609">
        <w:t>t i</w:t>
      </w:r>
      <w:r w:rsidR="00883699">
        <w:t xml:space="preserve">s problematic in that </w:t>
      </w:r>
      <w:r w:rsidR="005B5609">
        <w:t>“</w:t>
      </w:r>
      <w:r w:rsidR="00883699">
        <w:t>I</w:t>
      </w:r>
      <w:r w:rsidR="005B5609">
        <w:t>”</w:t>
      </w:r>
      <w:r w:rsidR="00883699">
        <w:t xml:space="preserve"> represents the subject</w:t>
      </w:r>
      <w:r w:rsidR="00883699">
        <w:t xml:space="preserve"> who refers to it</w:t>
      </w:r>
      <w:r w:rsidR="00883699">
        <w:t xml:space="preserve">, </w:t>
      </w:r>
      <w:r w:rsidR="00883699">
        <w:t>and</w:t>
      </w:r>
      <w:r w:rsidR="00883699">
        <w:t xml:space="preserve"> it is not objectively expressible</w:t>
      </w:r>
      <w:r w:rsidR="005B5609">
        <w:t>.</w:t>
      </w:r>
      <w:r w:rsidR="00EB1439">
        <w:t xml:space="preserve"> I cannot say that I am in pain to mean</w:t>
      </w:r>
      <w:r w:rsidR="00A2464F">
        <w:t xml:space="preserve"> that it is </w:t>
      </w:r>
      <w:r w:rsidR="00165D5C">
        <w:t>an-other</w:t>
      </w:r>
      <w:r w:rsidR="00A2464F">
        <w:t xml:space="preserve"> who is in pain</w:t>
      </w:r>
      <w:r w:rsidR="00EB3E7B">
        <w:t xml:space="preserve"> no more than I can point to another and say it is “I” who is in pain without being sens</w:t>
      </w:r>
      <w:r w:rsidR="001A18F0">
        <w:t>e</w:t>
      </w:r>
      <w:r w:rsidR="00EB3E7B">
        <w:t>less</w:t>
      </w:r>
      <w:r w:rsidR="00A2464F">
        <w:t>.</w:t>
      </w:r>
      <w:r w:rsidR="005B5609">
        <w:t xml:space="preserve"> I</w:t>
      </w:r>
      <w:r w:rsidR="00883699">
        <w:t>n Wittgenstein, the inexpressible is the mystical,</w:t>
      </w:r>
      <w:r w:rsidR="005B5609">
        <w:rPr>
          <w:rStyle w:val="FootnoteReference"/>
        </w:rPr>
        <w:footnoteReference w:id="19"/>
      </w:r>
      <w:r w:rsidR="00883699">
        <w:t xml:space="preserve"> and whereof one cannot speak, thereof one must be silent.</w:t>
      </w:r>
      <w:r w:rsidR="00883699">
        <w:rPr>
          <w:rStyle w:val="FootnoteReference"/>
        </w:rPr>
        <w:footnoteReference w:id="20"/>
      </w:r>
      <w:r w:rsidR="00883699">
        <w:t xml:space="preserve"> </w:t>
      </w:r>
      <w:r w:rsidR="00CF507D">
        <w:t>T</w:t>
      </w:r>
      <w:r w:rsidR="00883699">
        <w:t xml:space="preserve">his allots the use of the term “I” as a mystery which cannot </w:t>
      </w:r>
      <w:r w:rsidR="005B5609">
        <w:t>realistically be</w:t>
      </w:r>
      <w:r w:rsidR="00883699">
        <w:t xml:space="preserve"> spoken</w:t>
      </w:r>
      <w:r w:rsidR="00883699">
        <w:t>.</w:t>
      </w:r>
    </w:p>
    <w:p w14:paraId="36E92062" w14:textId="77777777" w:rsidR="00FE3B2F" w:rsidRDefault="00FE3B2F" w:rsidP="00296491"/>
    <w:p w14:paraId="00296B14" w14:textId="3E41850E" w:rsidR="004D0F88" w:rsidRDefault="004578C9" w:rsidP="00296491">
      <w:r>
        <w:t xml:space="preserve">In the final analysis </w:t>
      </w:r>
      <w:r w:rsidR="005C7E22">
        <w:t xml:space="preserve">– in the closing dialogues </w:t>
      </w:r>
      <w:r>
        <w:t xml:space="preserve">of the </w:t>
      </w:r>
      <w:proofErr w:type="spellStart"/>
      <w:r w:rsidR="00695E1A">
        <w:rPr>
          <w:i/>
          <w:iCs/>
        </w:rPr>
        <w:t>T</w:t>
      </w:r>
      <w:r w:rsidRPr="004578C9">
        <w:rPr>
          <w:i/>
          <w:iCs/>
        </w:rPr>
        <w:t>ractacus</w:t>
      </w:r>
      <w:proofErr w:type="spellEnd"/>
      <w:r>
        <w:rPr>
          <w:i/>
          <w:iCs/>
        </w:rPr>
        <w:t xml:space="preserve">, </w:t>
      </w:r>
      <w:r w:rsidRPr="004578C9">
        <w:t>Wittgenstein tells us that ‘anyone understanding him, comes to realize that his propositions are senseless</w:t>
      </w:r>
      <w:r w:rsidR="005B5609">
        <w:t>.</w:t>
      </w:r>
      <w:r>
        <w:rPr>
          <w:rStyle w:val="FootnoteReference"/>
        </w:rPr>
        <w:footnoteReference w:id="21"/>
      </w:r>
      <w:r>
        <w:t xml:space="preserve"> </w:t>
      </w:r>
      <w:r w:rsidR="00873707">
        <w:t xml:space="preserve">It is </w:t>
      </w:r>
      <w:r w:rsidR="006E1F83">
        <w:t xml:space="preserve">in </w:t>
      </w:r>
      <w:r w:rsidR="00873707">
        <w:t xml:space="preserve">this </w:t>
      </w:r>
      <w:r w:rsidR="006E1F83">
        <w:t xml:space="preserve">conclusion wherein my conclusion </w:t>
      </w:r>
      <w:r w:rsidR="00813F81">
        <w:t>lands.</w:t>
      </w:r>
      <w:r w:rsidR="005E4DCC">
        <w:t xml:space="preserve"> Wittgenstein’s senseless propositions here </w:t>
      </w:r>
      <w:r w:rsidR="00000CB5">
        <w:t xml:space="preserve">perhaps embody the intention </w:t>
      </w:r>
      <w:r w:rsidR="00A1526B">
        <w:t>of</w:t>
      </w:r>
      <w:r w:rsidR="00D0307E">
        <w:t xml:space="preserve"> hav</w:t>
      </w:r>
      <w:r w:rsidR="00A1526B">
        <w:t>ing</w:t>
      </w:r>
      <w:r w:rsidR="00D0307E">
        <w:t xml:space="preserve"> two effects. 1. </w:t>
      </w:r>
      <w:r w:rsidR="00C01E7B">
        <w:t xml:space="preserve">To undermine dualism. 2. To lead us to the realisation that all </w:t>
      </w:r>
      <w:r w:rsidR="003C61F2">
        <w:t xml:space="preserve">metaphysical propositions </w:t>
      </w:r>
      <w:r w:rsidR="004B6B99">
        <w:t xml:space="preserve">are senseless and unavoidably </w:t>
      </w:r>
      <w:r w:rsidR="00026E35">
        <w:t>demonstrate a lack of meaning</w:t>
      </w:r>
      <w:r w:rsidR="00695E1A">
        <w:t>,</w:t>
      </w:r>
      <w:r w:rsidR="001A18F0">
        <w:rPr>
          <w:rStyle w:val="FootnoteReference"/>
        </w:rPr>
        <w:footnoteReference w:id="22"/>
      </w:r>
      <w:r w:rsidR="00026E35">
        <w:t xml:space="preserve"> and in-fact </w:t>
      </w:r>
      <w:r w:rsidR="005662D9">
        <w:t xml:space="preserve">are simply </w:t>
      </w:r>
      <w:r w:rsidR="00D858D1">
        <w:t xml:space="preserve">a </w:t>
      </w:r>
      <w:r w:rsidR="005662D9">
        <w:t>‘</w:t>
      </w:r>
      <w:r w:rsidR="00D858D1">
        <w:t>stab in the dark’</w:t>
      </w:r>
      <w:r w:rsidR="00296002">
        <w:t xml:space="preserve"> </w:t>
      </w:r>
      <w:r w:rsidR="00296002">
        <w:rPr>
          <w:rStyle w:val="FootnoteReference"/>
        </w:rPr>
        <w:footnoteReference w:id="23"/>
      </w:r>
      <w:r w:rsidR="00D858D1">
        <w:t xml:space="preserve"> at an unrealisable </w:t>
      </w:r>
      <w:r w:rsidR="00F9234F">
        <w:t>indubitability.</w:t>
      </w:r>
      <w:r w:rsidR="001A18F0">
        <w:t xml:space="preserve"> </w:t>
      </w:r>
      <w:r w:rsidR="00A1526B">
        <w:t xml:space="preserve">Without </w:t>
      </w:r>
      <w:r w:rsidR="00E8312E">
        <w:t>bearing</w:t>
      </w:r>
      <w:r w:rsidR="00A1526B">
        <w:t xml:space="preserve"> in mind </w:t>
      </w:r>
      <w:r w:rsidR="00E8312E">
        <w:t xml:space="preserve">Wittgenstein’s conclusion, confusion is the operative word here. It is possible to see the confusion arising from </w:t>
      </w:r>
      <w:r w:rsidR="00FE3B2F">
        <w:t>C</w:t>
      </w:r>
      <w:r w:rsidR="00E8312E">
        <w:t xml:space="preserve">artesian dualism by means of the confusion in which Wittgenstein adopts to outlay the </w:t>
      </w:r>
      <w:r w:rsidR="00E8312E">
        <w:lastRenderedPageBreak/>
        <w:t xml:space="preserve">principles of his argument. it is however senseless, and that by Wittgensteinian account, is Wittgenstein’s intention. In Wittgenstein, we cannot so much as sensibly talk of </w:t>
      </w:r>
      <w:r w:rsidR="00161640">
        <w:t xml:space="preserve">the term “I” in any sense more than a universal referential, and he adopts confusion as a technique </w:t>
      </w:r>
      <w:proofErr w:type="gramStart"/>
      <w:r w:rsidR="00161640">
        <w:t>in order to</w:t>
      </w:r>
      <w:proofErr w:type="gramEnd"/>
      <w:r w:rsidR="00161640">
        <w:t xml:space="preserve"> exemplify confusion as a hypothesis. </w:t>
      </w:r>
    </w:p>
    <w:p w14:paraId="729A5229" w14:textId="02D50B72" w:rsidR="00FE3B2F" w:rsidRDefault="00FE3B2F" w:rsidP="00296491">
      <w:r>
        <w:t>(Word-count – 1502)</w:t>
      </w:r>
    </w:p>
    <w:p w14:paraId="4224C6B1" w14:textId="17E74993" w:rsidR="00F23A66" w:rsidRDefault="00F23A66" w:rsidP="00296491"/>
    <w:p w14:paraId="1EFE4BA5" w14:textId="1CA8B81C" w:rsidR="00F23A66" w:rsidRDefault="00F23A66" w:rsidP="00296491"/>
    <w:p w14:paraId="0FABC25F" w14:textId="4B4C72D4" w:rsidR="00F23A66" w:rsidRDefault="00F23A66" w:rsidP="00296491"/>
    <w:p w14:paraId="4EDE1152" w14:textId="384B5C9E" w:rsidR="00F23A66" w:rsidRDefault="00F23A66" w:rsidP="00296491"/>
    <w:p w14:paraId="3E2CED78" w14:textId="5C9EE6CA" w:rsidR="00F23A66" w:rsidRDefault="00F23A66" w:rsidP="00296491"/>
    <w:p w14:paraId="5708B730" w14:textId="0468842F" w:rsidR="00F23A66" w:rsidRDefault="00F23A66" w:rsidP="00296491"/>
    <w:p w14:paraId="38A3A716" w14:textId="794DD0AE" w:rsidR="00F23A66" w:rsidRDefault="00F23A66" w:rsidP="00296491"/>
    <w:p w14:paraId="394B8D4F" w14:textId="2278F155" w:rsidR="00F23A66" w:rsidRDefault="00F23A66" w:rsidP="00296491"/>
    <w:p w14:paraId="14CF175C" w14:textId="67BFD0DA" w:rsidR="00F23A66" w:rsidRDefault="00F23A66" w:rsidP="00296491"/>
    <w:p w14:paraId="44BC3062" w14:textId="0298FCBE" w:rsidR="00F23A66" w:rsidRDefault="00F23A66" w:rsidP="00296491"/>
    <w:p w14:paraId="4224B008" w14:textId="148206CA" w:rsidR="00F23A66" w:rsidRDefault="00F23A66" w:rsidP="00296491"/>
    <w:p w14:paraId="5B4B42BB" w14:textId="714BE77B" w:rsidR="00F23A66" w:rsidRDefault="00F23A66" w:rsidP="00296491"/>
    <w:p w14:paraId="07FC5AF0" w14:textId="77396966" w:rsidR="00F23A66" w:rsidRDefault="00F23A66" w:rsidP="00296491"/>
    <w:p w14:paraId="708D6171" w14:textId="7AE021C3" w:rsidR="00F23A66" w:rsidRDefault="00F23A66" w:rsidP="00296491"/>
    <w:p w14:paraId="037C1D78" w14:textId="4B834029" w:rsidR="00F23A66" w:rsidRDefault="00F23A66" w:rsidP="00296491"/>
    <w:p w14:paraId="05414E3F" w14:textId="77777777" w:rsidR="00F23A66" w:rsidRDefault="00F23A66" w:rsidP="00296491"/>
    <w:p w14:paraId="4339D3D0" w14:textId="7D0E61A3" w:rsidR="00F23A66" w:rsidRDefault="00F23A66" w:rsidP="00296491">
      <w:r>
        <w:lastRenderedPageBreak/>
        <w:t xml:space="preserve">(Bibliography) </w:t>
      </w:r>
    </w:p>
    <w:p w14:paraId="058214BD" w14:textId="77777777" w:rsidR="00F23A66" w:rsidRPr="00F23A66" w:rsidRDefault="00F23A66" w:rsidP="00F23A66">
      <w:pPr>
        <w:pStyle w:val="Bibliography"/>
        <w:rPr>
          <w:rFonts w:ascii="Calibri" w:hAnsi="Calibri" w:cs="Calibri"/>
        </w:rPr>
      </w:pPr>
      <w:r>
        <w:fldChar w:fldCharType="begin"/>
      </w:r>
      <w:r>
        <w:instrText xml:space="preserve"> ADDIN ZOTERO_BIBL {"uncited":[],"omitted":[],"custom":[]} CSL_BIBLIOGRAPHY </w:instrText>
      </w:r>
      <w:r>
        <w:fldChar w:fldCharType="separate"/>
      </w:r>
      <w:proofErr w:type="spellStart"/>
      <w:r w:rsidRPr="00F23A66">
        <w:rPr>
          <w:rFonts w:ascii="Calibri" w:hAnsi="Calibri" w:cs="Calibri"/>
        </w:rPr>
        <w:t>Biletzki</w:t>
      </w:r>
      <w:proofErr w:type="spellEnd"/>
      <w:r w:rsidRPr="00F23A66">
        <w:rPr>
          <w:rFonts w:ascii="Calibri" w:hAnsi="Calibri" w:cs="Calibri"/>
        </w:rPr>
        <w:t xml:space="preserve">, Anat, and Anat Matar, ‘Ludwig Wittgenstein’, in </w:t>
      </w:r>
      <w:r w:rsidRPr="00F23A66">
        <w:rPr>
          <w:rFonts w:ascii="Calibri" w:hAnsi="Calibri" w:cs="Calibri"/>
          <w:i/>
          <w:iCs/>
        </w:rPr>
        <w:t>The Stanford Encyclopedia of Philosophy</w:t>
      </w:r>
      <w:r w:rsidRPr="00F23A66">
        <w:rPr>
          <w:rFonts w:ascii="Calibri" w:hAnsi="Calibri" w:cs="Calibri"/>
        </w:rPr>
        <w:t>, ed. by Edward N. Zalta, Winter 2021 (Metaphysics Research Lab, Stanford University, 2021) &lt;https://plato.stanford.edu/archives/win2021/entries/wittgenstein/&gt; [accessed 31 January 2022]</w:t>
      </w:r>
    </w:p>
    <w:p w14:paraId="6A62566C" w14:textId="77777777" w:rsidR="00F23A66" w:rsidRPr="00F23A66" w:rsidRDefault="00F23A66" w:rsidP="00F23A66">
      <w:pPr>
        <w:pStyle w:val="Bibliography"/>
        <w:rPr>
          <w:rFonts w:ascii="Calibri" w:hAnsi="Calibri" w:cs="Calibri"/>
        </w:rPr>
      </w:pPr>
      <w:r w:rsidRPr="00F23A66">
        <w:rPr>
          <w:rFonts w:ascii="Calibri" w:hAnsi="Calibri" w:cs="Calibri"/>
        </w:rPr>
        <w:t xml:space="preserve">Descartes, René, </w:t>
      </w:r>
      <w:r w:rsidRPr="00F23A66">
        <w:rPr>
          <w:rFonts w:ascii="Calibri" w:hAnsi="Calibri" w:cs="Calibri"/>
          <w:i/>
          <w:iCs/>
        </w:rPr>
        <w:t>Discourse on Method and the Meditations</w:t>
      </w:r>
      <w:r w:rsidRPr="00F23A66">
        <w:rPr>
          <w:rFonts w:ascii="Calibri" w:hAnsi="Calibri" w:cs="Calibri"/>
        </w:rPr>
        <w:t xml:space="preserve">, ed. by Betty Radice and Robert </w:t>
      </w:r>
      <w:proofErr w:type="spellStart"/>
      <w:r w:rsidRPr="00F23A66">
        <w:rPr>
          <w:rFonts w:ascii="Calibri" w:hAnsi="Calibri" w:cs="Calibri"/>
        </w:rPr>
        <w:t>Baldick</w:t>
      </w:r>
      <w:proofErr w:type="spellEnd"/>
      <w:r w:rsidRPr="00F23A66">
        <w:rPr>
          <w:rFonts w:ascii="Calibri" w:hAnsi="Calibri" w:cs="Calibri"/>
        </w:rPr>
        <w:t xml:space="preserve"> (England: Penguin Books, 1972)</w:t>
      </w:r>
    </w:p>
    <w:p w14:paraId="599A5D2D" w14:textId="77777777" w:rsidR="00F23A66" w:rsidRPr="00F23A66" w:rsidRDefault="00F23A66" w:rsidP="00F23A66">
      <w:pPr>
        <w:pStyle w:val="Bibliography"/>
        <w:rPr>
          <w:rFonts w:ascii="Calibri" w:hAnsi="Calibri" w:cs="Calibri"/>
        </w:rPr>
      </w:pPr>
      <w:proofErr w:type="spellStart"/>
      <w:r w:rsidRPr="00F23A66">
        <w:rPr>
          <w:rFonts w:ascii="Calibri" w:hAnsi="Calibri" w:cs="Calibri"/>
        </w:rPr>
        <w:t>Gueroult</w:t>
      </w:r>
      <w:proofErr w:type="spellEnd"/>
      <w:r w:rsidRPr="00F23A66">
        <w:rPr>
          <w:rFonts w:ascii="Calibri" w:hAnsi="Calibri" w:cs="Calibri"/>
        </w:rPr>
        <w:t xml:space="preserve">, Martial, </w:t>
      </w:r>
      <w:r w:rsidRPr="00F23A66">
        <w:rPr>
          <w:rFonts w:ascii="Calibri" w:hAnsi="Calibri" w:cs="Calibri"/>
          <w:i/>
          <w:iCs/>
        </w:rPr>
        <w:t>Descartes’ Philosophy Interpreted According to the Order of Reasons II. The Soul and the Body.</w:t>
      </w:r>
      <w:r w:rsidRPr="00F23A66">
        <w:rPr>
          <w:rFonts w:ascii="Calibri" w:hAnsi="Calibri" w:cs="Calibri"/>
        </w:rPr>
        <w:t xml:space="preserve">, trans. by Roger </w:t>
      </w:r>
      <w:proofErr w:type="spellStart"/>
      <w:r w:rsidRPr="00F23A66">
        <w:rPr>
          <w:rFonts w:ascii="Calibri" w:hAnsi="Calibri" w:cs="Calibri"/>
        </w:rPr>
        <w:t>Ariew</w:t>
      </w:r>
      <w:proofErr w:type="spellEnd"/>
      <w:r w:rsidRPr="00F23A66">
        <w:rPr>
          <w:rFonts w:ascii="Calibri" w:hAnsi="Calibri" w:cs="Calibri"/>
        </w:rPr>
        <w:t xml:space="preserve"> (Minneapolis: University of Minnesota Press, 1985)</w:t>
      </w:r>
    </w:p>
    <w:p w14:paraId="11F56F6D" w14:textId="77777777" w:rsidR="00F23A66" w:rsidRPr="00F23A66" w:rsidRDefault="00F23A66" w:rsidP="00F23A66">
      <w:pPr>
        <w:pStyle w:val="Bibliography"/>
        <w:rPr>
          <w:rFonts w:ascii="Calibri" w:hAnsi="Calibri" w:cs="Calibri"/>
        </w:rPr>
      </w:pPr>
      <w:r w:rsidRPr="00F23A66">
        <w:rPr>
          <w:rFonts w:ascii="Calibri" w:hAnsi="Calibri" w:cs="Calibri"/>
        </w:rPr>
        <w:t xml:space="preserve">Keyt, David, ‘Wittgenstein’s Picture Theory of Language’, </w:t>
      </w:r>
      <w:r w:rsidRPr="00F23A66">
        <w:rPr>
          <w:rFonts w:ascii="Calibri" w:hAnsi="Calibri" w:cs="Calibri"/>
          <w:i/>
          <w:iCs/>
        </w:rPr>
        <w:t>Duke University Press, (on Behalf of) The Philosophical Review</w:t>
      </w:r>
      <w:r w:rsidRPr="00F23A66">
        <w:rPr>
          <w:rFonts w:ascii="Calibri" w:hAnsi="Calibri" w:cs="Calibri"/>
        </w:rPr>
        <w:t>, 73.4 (1964), 493–511</w:t>
      </w:r>
    </w:p>
    <w:p w14:paraId="0FC0678A" w14:textId="77777777" w:rsidR="00F23A66" w:rsidRPr="00F23A66" w:rsidRDefault="00F23A66" w:rsidP="00F23A66">
      <w:pPr>
        <w:pStyle w:val="Bibliography"/>
        <w:rPr>
          <w:rFonts w:ascii="Calibri" w:hAnsi="Calibri" w:cs="Calibri"/>
        </w:rPr>
      </w:pPr>
      <w:r w:rsidRPr="00F23A66">
        <w:rPr>
          <w:rFonts w:ascii="Calibri" w:hAnsi="Calibri" w:cs="Calibri"/>
        </w:rPr>
        <w:t xml:space="preserve">Richter, Duncan J., ‘Wittgenstein, Ludwig |’, </w:t>
      </w:r>
      <w:r w:rsidRPr="00F23A66">
        <w:rPr>
          <w:rFonts w:ascii="Calibri" w:hAnsi="Calibri" w:cs="Calibri"/>
          <w:i/>
          <w:iCs/>
        </w:rPr>
        <w:t>Internet Encyclopedia of Philosophy</w:t>
      </w:r>
      <w:r w:rsidRPr="00F23A66">
        <w:rPr>
          <w:rFonts w:ascii="Calibri" w:hAnsi="Calibri" w:cs="Calibri"/>
        </w:rPr>
        <w:t xml:space="preserve"> (Online, n/d) &lt;https://www.iep.utm.edu/wittgens/&gt; [accessed 17 December 2019]</w:t>
      </w:r>
    </w:p>
    <w:p w14:paraId="6350E2C9" w14:textId="77777777" w:rsidR="00F23A66" w:rsidRPr="00F23A66" w:rsidRDefault="00F23A66" w:rsidP="00F23A66">
      <w:pPr>
        <w:pStyle w:val="Bibliography"/>
        <w:rPr>
          <w:rFonts w:ascii="Calibri" w:hAnsi="Calibri" w:cs="Calibri"/>
        </w:rPr>
      </w:pPr>
      <w:r w:rsidRPr="00F23A66">
        <w:rPr>
          <w:rFonts w:ascii="Calibri" w:hAnsi="Calibri" w:cs="Calibri"/>
        </w:rPr>
        <w:t xml:space="preserve">Williams, Meredith, </w:t>
      </w:r>
      <w:r w:rsidRPr="00F23A66">
        <w:rPr>
          <w:rFonts w:ascii="Calibri" w:hAnsi="Calibri" w:cs="Calibri"/>
          <w:i/>
          <w:iCs/>
        </w:rPr>
        <w:t>Wittgenstein, Mind, and Meaning: Toward a Social Conception of Mind</w:t>
      </w:r>
      <w:r w:rsidRPr="00F23A66">
        <w:rPr>
          <w:rFonts w:ascii="Calibri" w:hAnsi="Calibri" w:cs="Calibri"/>
        </w:rPr>
        <w:t xml:space="preserve"> (London: Routledge, 2002)</w:t>
      </w:r>
    </w:p>
    <w:p w14:paraId="31192811" w14:textId="77777777" w:rsidR="00F23A66" w:rsidRPr="00F23A66" w:rsidRDefault="00F23A66" w:rsidP="00F23A66">
      <w:pPr>
        <w:pStyle w:val="Bibliography"/>
        <w:rPr>
          <w:rFonts w:ascii="Calibri" w:hAnsi="Calibri" w:cs="Calibri"/>
        </w:rPr>
      </w:pPr>
      <w:r w:rsidRPr="00F23A66">
        <w:rPr>
          <w:rFonts w:ascii="Calibri" w:hAnsi="Calibri" w:cs="Calibri"/>
        </w:rPr>
        <w:t xml:space="preserve">Wittgenstein, Ludwig, </w:t>
      </w:r>
      <w:r w:rsidRPr="00F23A66">
        <w:rPr>
          <w:rFonts w:ascii="Calibri" w:hAnsi="Calibri" w:cs="Calibri"/>
          <w:i/>
          <w:iCs/>
        </w:rPr>
        <w:t>Preliminary Studies for the ‘Philosophical Investigations’ Generally Known as The Blue and Brown Books</w:t>
      </w:r>
      <w:r w:rsidRPr="00F23A66">
        <w:rPr>
          <w:rFonts w:ascii="Calibri" w:hAnsi="Calibri" w:cs="Calibri"/>
        </w:rPr>
        <w:t xml:space="preserve"> (Basil Blackwell, 1969)</w:t>
      </w:r>
    </w:p>
    <w:p w14:paraId="2D22CEFF" w14:textId="77777777" w:rsidR="00F23A66" w:rsidRPr="00F23A66" w:rsidRDefault="00F23A66" w:rsidP="00F23A66">
      <w:pPr>
        <w:pStyle w:val="Bibliography"/>
        <w:rPr>
          <w:rFonts w:ascii="Calibri" w:hAnsi="Calibri" w:cs="Calibri"/>
        </w:rPr>
      </w:pPr>
      <w:r w:rsidRPr="00F23A66">
        <w:rPr>
          <w:rFonts w:ascii="Calibri" w:hAnsi="Calibri" w:cs="Calibri"/>
        </w:rPr>
        <w:t xml:space="preserve">———, </w:t>
      </w:r>
      <w:proofErr w:type="spellStart"/>
      <w:r w:rsidRPr="00F23A66">
        <w:rPr>
          <w:rFonts w:ascii="Calibri" w:hAnsi="Calibri" w:cs="Calibri"/>
          <w:i/>
          <w:iCs/>
        </w:rPr>
        <w:t>Tractacus</w:t>
      </w:r>
      <w:proofErr w:type="spellEnd"/>
      <w:r w:rsidRPr="00F23A66">
        <w:rPr>
          <w:rFonts w:ascii="Calibri" w:hAnsi="Calibri" w:cs="Calibri"/>
          <w:i/>
          <w:iCs/>
        </w:rPr>
        <w:t xml:space="preserve"> Logico-</w:t>
      </w:r>
      <w:proofErr w:type="spellStart"/>
      <w:r w:rsidRPr="00F23A66">
        <w:rPr>
          <w:rFonts w:ascii="Calibri" w:hAnsi="Calibri" w:cs="Calibri"/>
          <w:i/>
          <w:iCs/>
        </w:rPr>
        <w:t>Philosophicus</w:t>
      </w:r>
      <w:proofErr w:type="spellEnd"/>
      <w:r w:rsidRPr="00F23A66">
        <w:rPr>
          <w:rFonts w:ascii="Calibri" w:hAnsi="Calibri" w:cs="Calibri"/>
        </w:rPr>
        <w:t>, trans. by C. K. Ogden (London, Boston &amp; Henley: Routledge &amp; Kegan Paul Ltd., 1981)</w:t>
      </w:r>
    </w:p>
    <w:p w14:paraId="2B6BD6AB" w14:textId="77777777" w:rsidR="00F23A66" w:rsidRPr="00F23A66" w:rsidRDefault="00F23A66" w:rsidP="00F23A66">
      <w:pPr>
        <w:pStyle w:val="Bibliography"/>
        <w:rPr>
          <w:rFonts w:ascii="Calibri" w:hAnsi="Calibri" w:cs="Calibri"/>
        </w:rPr>
      </w:pPr>
      <w:r w:rsidRPr="00F23A66">
        <w:rPr>
          <w:rFonts w:ascii="Calibri" w:hAnsi="Calibri" w:cs="Calibri"/>
        </w:rPr>
        <w:t xml:space="preserve">Worthington, B. A, </w:t>
      </w:r>
      <w:proofErr w:type="spellStart"/>
      <w:r w:rsidRPr="00F23A66">
        <w:rPr>
          <w:rFonts w:ascii="Calibri" w:hAnsi="Calibri" w:cs="Calibri"/>
          <w:i/>
          <w:iCs/>
        </w:rPr>
        <w:t>Selfconsciousness</w:t>
      </w:r>
      <w:proofErr w:type="spellEnd"/>
      <w:r w:rsidRPr="00F23A66">
        <w:rPr>
          <w:rFonts w:ascii="Calibri" w:hAnsi="Calibri" w:cs="Calibri"/>
          <w:i/>
          <w:iCs/>
        </w:rPr>
        <w:t xml:space="preserve"> and </w:t>
      </w:r>
      <w:proofErr w:type="spellStart"/>
      <w:r w:rsidRPr="00F23A66">
        <w:rPr>
          <w:rFonts w:ascii="Calibri" w:hAnsi="Calibri" w:cs="Calibri"/>
          <w:i/>
          <w:iCs/>
        </w:rPr>
        <w:t>Selfreference</w:t>
      </w:r>
      <w:proofErr w:type="spellEnd"/>
      <w:r w:rsidRPr="00F23A66">
        <w:rPr>
          <w:rFonts w:ascii="Calibri" w:hAnsi="Calibri" w:cs="Calibri"/>
          <w:i/>
          <w:iCs/>
        </w:rPr>
        <w:t xml:space="preserve">: An Interpretation of Wittgenstein’s </w:t>
      </w:r>
      <w:proofErr w:type="spellStart"/>
      <w:r w:rsidRPr="00F23A66">
        <w:rPr>
          <w:rFonts w:ascii="Calibri" w:hAnsi="Calibri" w:cs="Calibri"/>
          <w:i/>
          <w:iCs/>
        </w:rPr>
        <w:t>Tractacus</w:t>
      </w:r>
      <w:proofErr w:type="spellEnd"/>
      <w:r w:rsidRPr="00F23A66">
        <w:rPr>
          <w:rFonts w:ascii="Calibri" w:hAnsi="Calibri" w:cs="Calibri"/>
        </w:rPr>
        <w:t>, Avebury Series in Philosophy (Avebury, 1988)</w:t>
      </w:r>
    </w:p>
    <w:p w14:paraId="3694643B" w14:textId="71FFF132" w:rsidR="00F23A66" w:rsidRDefault="00F23A66" w:rsidP="00296491">
      <w:r>
        <w:fldChar w:fldCharType="end"/>
      </w:r>
    </w:p>
    <w:p w14:paraId="1C078103" w14:textId="66ED1ED6" w:rsidR="00A1526B" w:rsidRDefault="00A1526B" w:rsidP="00296491"/>
    <w:p w14:paraId="31C4F446" w14:textId="77777777" w:rsidR="00A1526B" w:rsidRPr="00296491" w:rsidRDefault="00A1526B" w:rsidP="00296491"/>
    <w:sectPr w:rsidR="00A1526B" w:rsidRPr="00296491" w:rsidSect="00531D6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748E33" w14:textId="77777777" w:rsidR="00A055EE" w:rsidRDefault="00A055EE" w:rsidP="007F0B01">
      <w:pPr>
        <w:spacing w:after="0" w:line="240" w:lineRule="auto"/>
      </w:pPr>
      <w:r>
        <w:separator/>
      </w:r>
    </w:p>
  </w:endnote>
  <w:endnote w:type="continuationSeparator" w:id="0">
    <w:p w14:paraId="13C57565" w14:textId="77777777" w:rsidR="00A055EE" w:rsidRDefault="00A055EE" w:rsidP="007F0B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7BDF9A" w14:textId="77777777" w:rsidR="00A055EE" w:rsidRDefault="00A055EE" w:rsidP="007F0B01">
      <w:pPr>
        <w:spacing w:after="0" w:line="240" w:lineRule="auto"/>
      </w:pPr>
      <w:r>
        <w:separator/>
      </w:r>
    </w:p>
  </w:footnote>
  <w:footnote w:type="continuationSeparator" w:id="0">
    <w:p w14:paraId="63C6E6A3" w14:textId="77777777" w:rsidR="00A055EE" w:rsidRDefault="00A055EE" w:rsidP="007F0B01">
      <w:pPr>
        <w:spacing w:after="0" w:line="240" w:lineRule="auto"/>
      </w:pPr>
      <w:r>
        <w:continuationSeparator/>
      </w:r>
    </w:p>
  </w:footnote>
  <w:footnote w:id="1">
    <w:p w14:paraId="35DD69ED" w14:textId="07CD2901" w:rsidR="007F0B01" w:rsidRDefault="007F0B01">
      <w:pPr>
        <w:pStyle w:val="FootnoteText"/>
      </w:pPr>
      <w:r>
        <w:rPr>
          <w:rStyle w:val="FootnoteReference"/>
        </w:rPr>
        <w:footnoteRef/>
      </w:r>
      <w:r>
        <w:t xml:space="preserve"> </w:t>
      </w:r>
      <w:r>
        <w:fldChar w:fldCharType="begin"/>
      </w:r>
      <w:r>
        <w:instrText xml:space="preserve"> ADDIN ZOTERO_ITEM CSL_CITATION {"citationID":"Y9r1dHaH","properties":{"formattedCitation":"Ludwig Wittgenstein, {\\i{}Preliminary Studies for the \\uc0\\u8216{}Philosophical Investigations\\uc0\\u8217{} Generally Known as The Blue and Brown Books} (Basil Blackwell, 1969).","plainCitation":"Ludwig Wittgenstein, Preliminary Studies for the ‘Philosophical Investigations’ Generally Known as The Blue and Brown Books (Basil Blackwell, 1969).","noteIndex":1},"citationItems":[{"id":101,"uris":["http://zotero.org/users/local/0EA2PV3q/items/KN4FAFST"],"uri":["http://zotero.org/users/local/0EA2PV3q/items/KN4FAFST"],"itemData":{"id":101,"type":"book","publisher":"Basil Blackwell","title":"Preliminary Studies for the \"Philosophical Investigations\" Generally known as The Blue and Brown Books","author":[{"family":"Wittgenstein","given":"Ludwig"}],"issued":{"date-parts":[["1969"]]}}}],"schema":"https://github.com/citation-style-language/schema/raw/master/csl-citation.json"} </w:instrText>
      </w:r>
      <w:r>
        <w:fldChar w:fldCharType="separate"/>
      </w:r>
      <w:r w:rsidRPr="007F0B01">
        <w:rPr>
          <w:rFonts w:ascii="Calibri" w:hAnsi="Calibri" w:cs="Calibri"/>
          <w:szCs w:val="24"/>
        </w:rPr>
        <w:t xml:space="preserve">Ludwig Wittgenstein, </w:t>
      </w:r>
      <w:r w:rsidRPr="007F0B01">
        <w:rPr>
          <w:rFonts w:ascii="Calibri" w:hAnsi="Calibri" w:cs="Calibri"/>
          <w:i/>
          <w:iCs/>
          <w:szCs w:val="24"/>
        </w:rPr>
        <w:t>Preliminary Studies for the ‘Philosophical Investigations’ Generally Known as The Blue and Brown Books</w:t>
      </w:r>
      <w:r w:rsidRPr="007F0B01">
        <w:rPr>
          <w:rFonts w:ascii="Calibri" w:hAnsi="Calibri" w:cs="Calibri"/>
          <w:szCs w:val="24"/>
        </w:rPr>
        <w:t xml:space="preserve"> (Basil Blackwell, 1969).</w:t>
      </w:r>
      <w:r>
        <w:fldChar w:fldCharType="end"/>
      </w:r>
      <w:r>
        <w:t xml:space="preserve"> P.66</w:t>
      </w:r>
    </w:p>
  </w:footnote>
  <w:footnote w:id="2">
    <w:p w14:paraId="74BD68BD" w14:textId="77777777" w:rsidR="00BC3803" w:rsidRDefault="00BC3803" w:rsidP="00BC3803">
      <w:pPr>
        <w:pStyle w:val="FootnoteText"/>
      </w:pPr>
      <w:r>
        <w:rPr>
          <w:rStyle w:val="FootnoteReference"/>
        </w:rPr>
        <w:footnoteRef/>
      </w:r>
      <w:r>
        <w:t xml:space="preserve"> </w:t>
      </w:r>
      <w:r>
        <w:fldChar w:fldCharType="begin"/>
      </w:r>
      <w:r>
        <w:instrText xml:space="preserve"> ADDIN ZOTERO_ITEM CSL_CITATION {"citationID":"o2kAOeon","properties":{"formattedCitation":"David Keyt, \\uc0\\u8216{}Wittgenstein\\uc0\\u8217{}s Picture Theory of Language\\uc0\\u8217{}, {\\i{}Duke University Press, (on Behalf of) The Philosophical Review}, 73.4 (1964), 493\\uc0\\u8211{}511.","plainCitation":"David Keyt, ‘Wittgenstein’s Picture Theory of Language’, Duke University Press, (on Behalf of) The Philosophical Review, 73.4 (1964), 493–511.","noteIndex":2},"citationItems":[{"id":152,"uris":["http://zotero.org/users/local/0EA2PV3q/items/TIYQD2A4"],"uri":["http://zotero.org/users/local/0EA2PV3q/items/TIYQD2A4"],"itemData":{"id":152,"type":"article-journal","container-title":"Duke University Press, (on behalf of) The Philosophical Review","issue":"4","page":"493-511","title":"Wittgenstein's Picture Theory of Language","volume":"73","author":[{"family":"Keyt","given":"David"}],"issued":{"date-parts":[["1964",10]]}}}],"schema":"https://github.com/citation-style-language/schema/raw/master/csl-citation.json"} </w:instrText>
      </w:r>
      <w:r>
        <w:fldChar w:fldCharType="separate"/>
      </w:r>
      <w:r w:rsidRPr="00C339AA">
        <w:rPr>
          <w:rFonts w:ascii="Calibri" w:hAnsi="Calibri" w:cs="Calibri"/>
          <w:szCs w:val="24"/>
        </w:rPr>
        <w:t xml:space="preserve">David Keyt, ‘Wittgenstein’s Picture Theory of Language’, </w:t>
      </w:r>
      <w:r w:rsidRPr="00C339AA">
        <w:rPr>
          <w:rFonts w:ascii="Calibri" w:hAnsi="Calibri" w:cs="Calibri"/>
          <w:i/>
          <w:iCs/>
          <w:szCs w:val="24"/>
        </w:rPr>
        <w:t>Duke University Press, (on Behalf of) The Philosophical Review</w:t>
      </w:r>
      <w:r w:rsidRPr="00C339AA">
        <w:rPr>
          <w:rFonts w:ascii="Calibri" w:hAnsi="Calibri" w:cs="Calibri"/>
          <w:szCs w:val="24"/>
        </w:rPr>
        <w:t>, 73.4 (1964),</w:t>
      </w:r>
      <w:r>
        <w:rPr>
          <w:rFonts w:ascii="Calibri" w:hAnsi="Calibri" w:cs="Calibri"/>
          <w:szCs w:val="24"/>
        </w:rPr>
        <w:t xml:space="preserve"> </w:t>
      </w:r>
      <w:r w:rsidRPr="00C339AA">
        <w:rPr>
          <w:rFonts w:ascii="Calibri" w:hAnsi="Calibri" w:cs="Calibri"/>
          <w:szCs w:val="24"/>
        </w:rPr>
        <w:t>493–511.</w:t>
      </w:r>
      <w:r>
        <w:fldChar w:fldCharType="end"/>
      </w:r>
    </w:p>
  </w:footnote>
  <w:footnote w:id="3">
    <w:p w14:paraId="48866170" w14:textId="77777777" w:rsidR="003F496F" w:rsidRDefault="003F496F" w:rsidP="003F496F">
      <w:pPr>
        <w:pStyle w:val="FootnoteText"/>
      </w:pPr>
      <w:r>
        <w:rPr>
          <w:rStyle w:val="FootnoteReference"/>
        </w:rPr>
        <w:footnoteRef/>
      </w:r>
      <w:r>
        <w:t xml:space="preserve"> </w:t>
      </w:r>
      <w:r>
        <w:fldChar w:fldCharType="begin"/>
      </w:r>
      <w:r>
        <w:instrText xml:space="preserve"> ADDIN ZOTERO_ITEM CSL_CITATION {"citationID":"g9j6upxs","properties":{"formattedCitation":"Ludwig Wittgenstein, {\\i{}Tractacus Logico-Philosophicus}, trans. by C. K. Ogden (London, Boston &amp; Henley: Routledge &amp; Kegan Paul Ltd., 1981).","plainCitation":"Ludwig Wittgenstein, Tractacus Logico-Philosophicus, trans. by C. K. Ogden (London, Boston &amp; Henley: Routledge &amp; Kegan Paul Ltd., 1981).","noteIndex":3},"citationItems":[{"id":60,"uris":["http://zotero.org/users/local/0EA2PV3q/items/GUSGJLH4"],"uri":["http://zotero.org/users/local/0EA2PV3q/items/GUSGJLH4"],"itemData":{"id":60,"type":"book","event-place":"London, Boston &amp; Henley","publisher":"Routledge &amp; Kegan Paul Ltd.","publisher-place":"London, Boston &amp; Henley","title":"Tractacus Logico-Philosophicus","author":[{"family":"Wittgenstein","given":"Ludwig"}],"translator":[{"family":"Ogden","given":"C. K."}],"issued":{"date-parts":[["1981"]]}}}],"schema":"https://github.com/citation-style-language/schema/raw/master/csl-citation.json"} </w:instrText>
      </w:r>
      <w:r>
        <w:fldChar w:fldCharType="separate"/>
      </w:r>
      <w:r w:rsidRPr="00B83F52">
        <w:rPr>
          <w:rFonts w:ascii="Calibri" w:hAnsi="Calibri" w:cs="Calibri"/>
          <w:szCs w:val="24"/>
        </w:rPr>
        <w:t xml:space="preserve">Ludwig Wittgenstein, </w:t>
      </w:r>
      <w:proofErr w:type="spellStart"/>
      <w:r w:rsidRPr="00B83F52">
        <w:rPr>
          <w:rFonts w:ascii="Calibri" w:hAnsi="Calibri" w:cs="Calibri"/>
          <w:i/>
          <w:iCs/>
          <w:szCs w:val="24"/>
        </w:rPr>
        <w:t>Tractacus</w:t>
      </w:r>
      <w:proofErr w:type="spellEnd"/>
      <w:r w:rsidRPr="00B83F52">
        <w:rPr>
          <w:rFonts w:ascii="Calibri" w:hAnsi="Calibri" w:cs="Calibri"/>
          <w:i/>
          <w:iCs/>
          <w:szCs w:val="24"/>
        </w:rPr>
        <w:t xml:space="preserve"> Logico-</w:t>
      </w:r>
      <w:proofErr w:type="spellStart"/>
      <w:r w:rsidRPr="00B83F52">
        <w:rPr>
          <w:rFonts w:ascii="Calibri" w:hAnsi="Calibri" w:cs="Calibri"/>
          <w:i/>
          <w:iCs/>
          <w:szCs w:val="24"/>
        </w:rPr>
        <w:t>Philosophicus</w:t>
      </w:r>
      <w:proofErr w:type="spellEnd"/>
      <w:r w:rsidRPr="00B83F52">
        <w:rPr>
          <w:rFonts w:ascii="Calibri" w:hAnsi="Calibri" w:cs="Calibri"/>
          <w:szCs w:val="24"/>
        </w:rPr>
        <w:t>, trans. by C. K. Ogden (London, Boston &amp; Henley: Routledge &amp; Kegan Paul Ltd., 1981).</w:t>
      </w:r>
      <w:r>
        <w:fldChar w:fldCharType="end"/>
      </w:r>
    </w:p>
  </w:footnote>
  <w:footnote w:id="4">
    <w:p w14:paraId="08D68D62" w14:textId="794DC151" w:rsidR="0006567C" w:rsidRDefault="0006567C">
      <w:pPr>
        <w:pStyle w:val="FootnoteText"/>
      </w:pPr>
      <w:r>
        <w:rPr>
          <w:rStyle w:val="FootnoteReference"/>
        </w:rPr>
        <w:footnoteRef/>
      </w:r>
      <w:r>
        <w:t xml:space="preserve"> </w:t>
      </w:r>
      <w:r>
        <w:fldChar w:fldCharType="begin"/>
      </w:r>
      <w:r>
        <w:instrText xml:space="preserve"> ADDIN ZOTERO_ITEM CSL_CITATION {"citationID":"H9DN8iW1","properties":{"formattedCitation":"Wittgenstein, {\\i{}Tractacus Logico-Philosophicus}.","plainCitation":"Wittgenstein, Tractacus Logico-Philosophicus.","noteIndex":4},"citationItems":[{"id":60,"uris":["http://zotero.org/users/local/0EA2PV3q/items/GUSGJLH4"],"uri":["http://zotero.org/users/local/0EA2PV3q/items/GUSGJLH4"],"itemData":{"id":60,"type":"book","event-place":"London, Boston &amp; Henley","publisher":"Routledge &amp; Kegan Paul Ltd.","publisher-place":"London, Boston &amp; Henley","title":"Tractacus Logico-Philosophicus","author":[{"family":"Wittgenstein","given":"Ludwig"}],"translator":[{"family":"Ogden","given":"C. K."}],"issued":{"date-parts":[["1981"]]}}}],"schema":"https://github.com/citation-style-language/schema/raw/master/csl-citation.json"} </w:instrText>
      </w:r>
      <w:r>
        <w:fldChar w:fldCharType="separate"/>
      </w:r>
      <w:r w:rsidRPr="0006567C">
        <w:rPr>
          <w:rFonts w:ascii="Calibri" w:hAnsi="Calibri" w:cs="Calibri"/>
          <w:szCs w:val="24"/>
        </w:rPr>
        <w:t xml:space="preserve">Wittgenstein, </w:t>
      </w:r>
      <w:proofErr w:type="spellStart"/>
      <w:r w:rsidRPr="0006567C">
        <w:rPr>
          <w:rFonts w:ascii="Calibri" w:hAnsi="Calibri" w:cs="Calibri"/>
          <w:i/>
          <w:iCs/>
          <w:szCs w:val="24"/>
        </w:rPr>
        <w:t>Tractacus</w:t>
      </w:r>
      <w:proofErr w:type="spellEnd"/>
      <w:r w:rsidRPr="0006567C">
        <w:rPr>
          <w:rFonts w:ascii="Calibri" w:hAnsi="Calibri" w:cs="Calibri"/>
          <w:i/>
          <w:iCs/>
          <w:szCs w:val="24"/>
        </w:rPr>
        <w:t xml:space="preserve"> Logico-</w:t>
      </w:r>
      <w:proofErr w:type="spellStart"/>
      <w:r w:rsidRPr="0006567C">
        <w:rPr>
          <w:rFonts w:ascii="Calibri" w:hAnsi="Calibri" w:cs="Calibri"/>
          <w:i/>
          <w:iCs/>
          <w:szCs w:val="24"/>
        </w:rPr>
        <w:t>Philosophicus</w:t>
      </w:r>
      <w:proofErr w:type="spellEnd"/>
      <w:r w:rsidRPr="0006567C">
        <w:rPr>
          <w:rFonts w:ascii="Calibri" w:hAnsi="Calibri" w:cs="Calibri"/>
          <w:szCs w:val="24"/>
        </w:rPr>
        <w:t>.</w:t>
      </w:r>
      <w:r>
        <w:fldChar w:fldCharType="end"/>
      </w:r>
      <w:r>
        <w:t xml:space="preserve"> 2.1</w:t>
      </w:r>
    </w:p>
  </w:footnote>
  <w:footnote w:id="5">
    <w:p w14:paraId="327389C1" w14:textId="58510BB1" w:rsidR="0006567C" w:rsidRDefault="0006567C">
      <w:pPr>
        <w:pStyle w:val="FootnoteText"/>
      </w:pPr>
      <w:r>
        <w:rPr>
          <w:rStyle w:val="FootnoteReference"/>
        </w:rPr>
        <w:footnoteRef/>
      </w:r>
      <w:r>
        <w:t xml:space="preserve"> </w:t>
      </w:r>
      <w:r>
        <w:fldChar w:fldCharType="begin"/>
      </w:r>
      <w:r>
        <w:instrText xml:space="preserve"> ADDIN ZOTERO_ITEM CSL_CITATION {"citationID":"mnBegQBZ","properties":{"formattedCitation":"Wittgenstein, {\\i{}Tractacus Logico-Philosophicus}.","plainCitation":"Wittgenstein, Tractacus Logico-Philosophicus.","noteIndex":4},"citationItems":[{"id":60,"uris":["http://zotero.org/users/local/0EA2PV3q/items/GUSGJLH4"],"uri":["http://zotero.org/users/local/0EA2PV3q/items/GUSGJLH4"],"itemData":{"id":60,"type":"book","event-place":"London, Boston &amp; Henley","publisher":"Routledge &amp; Kegan Paul Ltd.","publisher-place":"London, Boston &amp; Henley","title":"Tractacus Logico-Philosophicus","author":[{"family":"Wittgenstein","given":"Ludwig"}],"translator":[{"family":"Ogden","given":"C. K."}],"issued":{"date-parts":[["1981"]]}}}],"schema":"https://github.com/citation-style-language/schema/raw/master/csl-citation.json"} </w:instrText>
      </w:r>
      <w:r>
        <w:fldChar w:fldCharType="separate"/>
      </w:r>
      <w:r w:rsidRPr="0006567C">
        <w:rPr>
          <w:rFonts w:ascii="Calibri" w:hAnsi="Calibri" w:cs="Calibri"/>
          <w:szCs w:val="24"/>
        </w:rPr>
        <w:t xml:space="preserve">Wittgenstein, </w:t>
      </w:r>
      <w:proofErr w:type="spellStart"/>
      <w:r w:rsidRPr="0006567C">
        <w:rPr>
          <w:rFonts w:ascii="Calibri" w:hAnsi="Calibri" w:cs="Calibri"/>
          <w:i/>
          <w:iCs/>
          <w:szCs w:val="24"/>
        </w:rPr>
        <w:t>Tractacus</w:t>
      </w:r>
      <w:proofErr w:type="spellEnd"/>
      <w:r w:rsidRPr="0006567C">
        <w:rPr>
          <w:rFonts w:ascii="Calibri" w:hAnsi="Calibri" w:cs="Calibri"/>
          <w:i/>
          <w:iCs/>
          <w:szCs w:val="24"/>
        </w:rPr>
        <w:t xml:space="preserve"> Logico-</w:t>
      </w:r>
      <w:proofErr w:type="spellStart"/>
      <w:r w:rsidRPr="0006567C">
        <w:rPr>
          <w:rFonts w:ascii="Calibri" w:hAnsi="Calibri" w:cs="Calibri"/>
          <w:i/>
          <w:iCs/>
          <w:szCs w:val="24"/>
        </w:rPr>
        <w:t>Philosophicus</w:t>
      </w:r>
      <w:proofErr w:type="spellEnd"/>
      <w:r w:rsidRPr="0006567C">
        <w:rPr>
          <w:rFonts w:ascii="Calibri" w:hAnsi="Calibri" w:cs="Calibri"/>
          <w:szCs w:val="24"/>
        </w:rPr>
        <w:t>.</w:t>
      </w:r>
      <w:r>
        <w:fldChar w:fldCharType="end"/>
      </w:r>
      <w:r>
        <w:t xml:space="preserve"> 2.12</w:t>
      </w:r>
    </w:p>
  </w:footnote>
  <w:footnote w:id="6">
    <w:p w14:paraId="0D6767C1" w14:textId="5A03DF25" w:rsidR="00560419" w:rsidRDefault="00560419" w:rsidP="00560419">
      <w:pPr>
        <w:pStyle w:val="FootnoteText"/>
      </w:pPr>
      <w:r>
        <w:rPr>
          <w:rStyle w:val="FootnoteReference"/>
        </w:rPr>
        <w:footnoteRef/>
      </w:r>
      <w:r>
        <w:t xml:space="preserve"> </w:t>
      </w:r>
      <w:r>
        <w:fldChar w:fldCharType="begin"/>
      </w:r>
      <w:r w:rsidR="0006567C">
        <w:instrText xml:space="preserve"> ADDIN ZOTERO_ITEM CSL_CITATION {"citationID":"fySrj5X0","properties":{"formattedCitation":"Keyt.","plainCitation":"Keyt.","noteIndex":5},"citationItems":[{"id":152,"uris":["http://zotero.org/users/local/0EA2PV3q/items/TIYQD2A4"],"uri":["http://zotero.org/users/local/0EA2PV3q/items/TIYQD2A4"],"itemData":{"id":152,"type":"article-journal","container-title":"Duke University Press, (on behalf of) The Philosophical Review","issue":"4","page":"493-511","title":"Wittgenstein's Picture Theory of Language","volume":"73","author":[{"family":"Keyt","given":"David"}],"issued":{"date-parts":[["1964",10]]}}}],"schema":"https://github.com/citation-style-language/schema/raw/master/csl-citation.json"} </w:instrText>
      </w:r>
      <w:r>
        <w:fldChar w:fldCharType="separate"/>
      </w:r>
      <w:r w:rsidRPr="00C339AA">
        <w:rPr>
          <w:rFonts w:ascii="Calibri" w:hAnsi="Calibri" w:cs="Calibri"/>
        </w:rPr>
        <w:t>Keyt.</w:t>
      </w:r>
      <w:r>
        <w:fldChar w:fldCharType="end"/>
      </w:r>
      <w:r>
        <w:t xml:space="preserve"> Pp. 493-511.</w:t>
      </w:r>
    </w:p>
  </w:footnote>
  <w:footnote w:id="7">
    <w:p w14:paraId="3C85EB6D" w14:textId="59B3C255" w:rsidR="00560419" w:rsidRDefault="00560419" w:rsidP="00560419">
      <w:pPr>
        <w:pStyle w:val="FootnoteText"/>
      </w:pPr>
      <w:r>
        <w:rPr>
          <w:rStyle w:val="FootnoteReference"/>
        </w:rPr>
        <w:footnoteRef/>
      </w:r>
      <w:r>
        <w:t xml:space="preserve"> </w:t>
      </w:r>
      <w:r>
        <w:fldChar w:fldCharType="begin"/>
      </w:r>
      <w:r w:rsidR="0006567C">
        <w:instrText xml:space="preserve"> ADDIN ZOTERO_ITEM CSL_CITATION {"citationID":"H8rpJQDj","properties":{"formattedCitation":"Wittgenstein, {\\i{}Preliminary Studies for the \\uc0\\u8216{}Philosophical Investigations\\uc0\\u8217{} Generally Known as The Blue and Brown Books}.","plainCitation":"Wittgenstein, Preliminary Studies for the ‘Philosophical Investigations’ Generally Known as The Blue and Brown Books.","noteIndex":7},"citationItems":[{"id":101,"uris":["http://zotero.org/users/local/0EA2PV3q/items/KN4FAFST"],"uri":["http://zotero.org/users/local/0EA2PV3q/items/KN4FAFST"],"itemData":{"id":101,"type":"book","publisher":"Basil Blackwell","title":"Preliminary Studies for the \"Philosophical Investigations\" Generally known as The Blue and Brown Books","author":[{"family":"Wittgenstein","given":"Ludwig"}],"issued":{"date-parts":[["1969"]]}}}],"schema":"https://github.com/citation-style-language/schema/raw/master/csl-citation.json"} </w:instrText>
      </w:r>
      <w:r>
        <w:fldChar w:fldCharType="separate"/>
      </w:r>
      <w:r w:rsidRPr="008F7A8B">
        <w:rPr>
          <w:rFonts w:ascii="Calibri" w:hAnsi="Calibri" w:cs="Calibri"/>
          <w:szCs w:val="24"/>
        </w:rPr>
        <w:t xml:space="preserve">Wittgenstein, </w:t>
      </w:r>
      <w:r w:rsidRPr="008F7A8B">
        <w:rPr>
          <w:rFonts w:ascii="Calibri" w:hAnsi="Calibri" w:cs="Calibri"/>
          <w:i/>
          <w:iCs/>
          <w:szCs w:val="24"/>
        </w:rPr>
        <w:t>Preliminary Studies for the ‘Philosophical Investigations’ Generally Known as The Blue and Brown Books</w:t>
      </w:r>
      <w:r w:rsidRPr="008F7A8B">
        <w:rPr>
          <w:rFonts w:ascii="Calibri" w:hAnsi="Calibri" w:cs="Calibri"/>
          <w:szCs w:val="24"/>
        </w:rPr>
        <w:t>.</w:t>
      </w:r>
      <w:r>
        <w:fldChar w:fldCharType="end"/>
      </w:r>
    </w:p>
  </w:footnote>
  <w:footnote w:id="8">
    <w:p w14:paraId="78A579C1" w14:textId="7B3FE91B" w:rsidR="00560419" w:rsidRDefault="00560419" w:rsidP="00560419">
      <w:pPr>
        <w:pStyle w:val="FootnoteText"/>
      </w:pPr>
      <w:r>
        <w:rPr>
          <w:rStyle w:val="FootnoteReference"/>
        </w:rPr>
        <w:footnoteRef/>
      </w:r>
      <w:r>
        <w:t xml:space="preserve"> </w:t>
      </w:r>
      <w:r>
        <w:fldChar w:fldCharType="begin"/>
      </w:r>
      <w:r w:rsidR="0006567C">
        <w:instrText xml:space="preserve"> ADDIN ZOTERO_ITEM CSL_CITATION {"citationID":"zoLX55kz","properties":{"formattedCitation":"B. A Worthington, {\\i{}Selfconsciousness and Selfreference: An Interpretation of Wittgenstein\\uc0\\u8217{}s Tractacus}, Avebury Series in Philosophy (Avebury, 1988).","plainCitation":"B. A Worthington, Selfconsciousness and Selfreference: An Interpretation of Wittgenstein’s Tractacus, Avebury Series in Philosophy (Avebury, 1988).","noteIndex":7},"citationItems":[{"id":121,"uris":["http://zotero.org/users/local/0EA2PV3q/items/7KU3TFRY"],"uri":["http://zotero.org/users/local/0EA2PV3q/items/7KU3TFRY"],"itemData":{"id":121,"type":"book","collection-title":"Avebury Series in Philosophy","publisher":"Avebury","title":"Selfconsciousness and Selfreference: An Interpretation of Wittgenstein's Tractacus","author":[{"family":"Worthington","given":"B. A"}],"issued":{"date-parts":[["1988"]]}}}],"schema":"https://github.com/citation-style-language/schema/raw/master/csl-citation.json"} </w:instrText>
      </w:r>
      <w:r>
        <w:fldChar w:fldCharType="separate"/>
      </w:r>
      <w:r w:rsidRPr="002D1001">
        <w:rPr>
          <w:rFonts w:ascii="Calibri" w:hAnsi="Calibri" w:cs="Calibri"/>
          <w:szCs w:val="24"/>
        </w:rPr>
        <w:t xml:space="preserve">B. A Worthington, </w:t>
      </w:r>
      <w:r w:rsidRPr="002D1001">
        <w:rPr>
          <w:rFonts w:ascii="Calibri" w:hAnsi="Calibri" w:cs="Calibri"/>
          <w:i/>
          <w:iCs/>
          <w:szCs w:val="24"/>
        </w:rPr>
        <w:t>Selfconsciousness and Selfreference: An Interpretation of Wittgenstein’s Tractacus</w:t>
      </w:r>
      <w:r w:rsidRPr="002D1001">
        <w:rPr>
          <w:rFonts w:ascii="Calibri" w:hAnsi="Calibri" w:cs="Calibri"/>
          <w:szCs w:val="24"/>
        </w:rPr>
        <w:t>, Avebury Series in Philosophy (Avebury, 1988).</w:t>
      </w:r>
      <w:r>
        <w:fldChar w:fldCharType="end"/>
      </w:r>
    </w:p>
  </w:footnote>
  <w:footnote w:id="9">
    <w:p w14:paraId="7F3CD40D" w14:textId="5FCF4473" w:rsidR="00560419" w:rsidRDefault="00560419" w:rsidP="00560419">
      <w:pPr>
        <w:pStyle w:val="FootnoteText"/>
      </w:pPr>
      <w:r>
        <w:rPr>
          <w:rStyle w:val="FootnoteReference"/>
        </w:rPr>
        <w:footnoteRef/>
      </w:r>
      <w:r>
        <w:t xml:space="preserve"> </w:t>
      </w:r>
      <w:r>
        <w:fldChar w:fldCharType="begin"/>
      </w:r>
      <w:r w:rsidR="0006567C">
        <w:instrText xml:space="preserve"> ADDIN ZOTERO_ITEM CSL_CITATION {"citationID":"P4l98Upw","properties":{"formattedCitation":"Anat Biletzki and Anat Matar, \\uc0\\u8216{}Ludwig Wittgenstein\\uc0\\u8217{}, in {\\i{}The Stanford Encyclopedia of Philosophy}, ed. by Edward N. Zalta, Winter 2021 (Metaphysics Research Lab, Stanford University, 2021) &lt;https://plato.stanford.edu/archives/win2021/entries/wittgenstein/&gt; [accessed 31 January 2022].","plainCitation":"Anat Biletzki and Anat Matar, ‘Ludwig Wittgenstein’, in The Stanford Encyclopedia of Philosophy, ed. by Edward N. Zalta, Winter 2021 (Metaphysics Research Lab, Stanford University, 2021) &lt;https://plato.stanford.edu/archives/win2021/entries/wittgenstein/&gt; [accessed 31 January 2022].","noteIndex":8},"citationItems":[{"id":155,"uris":["http://zotero.org/users/local/0EA2PV3q/items/I73K2E8M"],"uri":["http://zotero.org/users/local/0EA2PV3q/items/I73K2E8M"],"itemData":{"id":155,"type":"chapter","abstract":"Considered by some to be the greatest philosopher of the 20th century,Ludwig Wittgenstein played a central, if controversial, role inmid-20th-century analytic philosophy. He continues to influence, andincur debate in, current philosophical thought in topics as diverse aslogic and language, perception and intention, ethics and religion,aesthetics and culture, and even political thought. Furthermore, acentral factor in investigating Wittgenstein’s works is themultifarious nature of the project of interpreting them; this leads tountold difficulties in the ascertainment of his philosophicalsubstance and method., Originally, there were two commonly recognized stages ofWittgenstein’s thought—the early and the later—bothof which were taken to be pivotal in their respective periods. In thisorthodox two-stage interpretation, it is commonly acknowledged thatthe early Wittgenstein is epitomized in his TractatusLogico-Philosophicus. By showing the application of modern logicto metaphysics, via language, he provided new insights into therelations between world, thought, and language and thereby into thenature of philosophy. It is the later Wittgenstein, mostly recognizedin the Philosophical Investigations, who took the morerevolutionary step in critiquing all of traditional philosophyincluding its climax in his own early work. The nature of his newphilosophy is heralded as anti-systematic through and through, yetstill conducive to genuine philosophical understanding of traditionalproblems. In more recent scholarship, this division has beenquestioned: some interpreters have claimed a certain unity between allstages of his thought, while others talk of a more nuanced division,adding stages such as the middle Wittgenstein and the post-laterWittgenstein.","container-title":"The Stanford Encyclopedia of Philosophy","edition":"Winter 2021","publisher":"Metaphysics Research Lab, Stanford University","source":"Stanford Encyclopedia of Philosophy","title":"Ludwig Wittgenstein","URL":"https://plato.stanford.edu/archives/win2021/entries/wittgenstein/","author":[{"family":"Biletzki","given":"Anat"},{"family":"Matar","given":"Anat"}],"editor":[{"family":"Zalta","given":"Edward N."}],"accessed":{"date-parts":[["2022",1,31]]},"issued":{"date-parts":[["2021"]]}}}],"schema":"https://github.com/citation-style-language/schema/raw/master/csl-citation.json"} </w:instrText>
      </w:r>
      <w:r>
        <w:fldChar w:fldCharType="separate"/>
      </w:r>
      <w:r w:rsidRPr="008663D2">
        <w:rPr>
          <w:rFonts w:ascii="Calibri" w:hAnsi="Calibri" w:cs="Calibri"/>
          <w:szCs w:val="24"/>
        </w:rPr>
        <w:t xml:space="preserve">Anat </w:t>
      </w:r>
      <w:proofErr w:type="spellStart"/>
      <w:r w:rsidRPr="008663D2">
        <w:rPr>
          <w:rFonts w:ascii="Calibri" w:hAnsi="Calibri" w:cs="Calibri"/>
          <w:szCs w:val="24"/>
        </w:rPr>
        <w:t>Biletzki</w:t>
      </w:r>
      <w:proofErr w:type="spellEnd"/>
      <w:r w:rsidRPr="008663D2">
        <w:rPr>
          <w:rFonts w:ascii="Calibri" w:hAnsi="Calibri" w:cs="Calibri"/>
          <w:szCs w:val="24"/>
        </w:rPr>
        <w:t xml:space="preserve"> and Anat Matar, ‘Ludwig Wittgenstein’, in </w:t>
      </w:r>
      <w:r w:rsidRPr="008663D2">
        <w:rPr>
          <w:rFonts w:ascii="Calibri" w:hAnsi="Calibri" w:cs="Calibri"/>
          <w:i/>
          <w:iCs/>
          <w:szCs w:val="24"/>
        </w:rPr>
        <w:t>The Stanford Encyclopedia of Philosophy</w:t>
      </w:r>
      <w:r w:rsidRPr="008663D2">
        <w:rPr>
          <w:rFonts w:ascii="Calibri" w:hAnsi="Calibri" w:cs="Calibri"/>
          <w:szCs w:val="24"/>
        </w:rPr>
        <w:t>, ed. by Edward N. Zalta, Winter 2021 (Metaphysics Research Lab, Stanford University, 2021) &lt;https://plato.stanford.edu/archives/win2021/entries/wittgenstein/&gt; [accessed 31 January 2022].</w:t>
      </w:r>
      <w:r>
        <w:fldChar w:fldCharType="end"/>
      </w:r>
    </w:p>
  </w:footnote>
  <w:footnote w:id="10">
    <w:p w14:paraId="5B9FE923" w14:textId="0CAF3EC9" w:rsidR="00560419" w:rsidRDefault="00560419" w:rsidP="00560419">
      <w:pPr>
        <w:pStyle w:val="FootnoteText"/>
      </w:pPr>
      <w:r>
        <w:rPr>
          <w:rStyle w:val="FootnoteReference"/>
        </w:rPr>
        <w:footnoteRef/>
      </w:r>
      <w:r>
        <w:t xml:space="preserve"> </w:t>
      </w:r>
      <w:r>
        <w:fldChar w:fldCharType="begin"/>
      </w:r>
      <w:r w:rsidR="0006567C">
        <w:instrText xml:space="preserve"> ADDIN ZOTERO_ITEM CSL_CITATION {"citationID":"vLEdLqKD","properties":{"formattedCitation":"Duncan J. Richter, \\uc0\\u8216{}Wittgenstein, Ludwig |\\uc0\\u8217{}, {\\i{}Internet Encyclopedia of Philosophy} (Online, n/d) &lt;https://www.iep.utm.edu/wittgens/&gt; [accessed 17 December 2019].","plainCitation":"Duncan J. Richter, ‘Wittgenstein, Ludwig |’, Internet Encyclopedia of Philosophy (Online, n/d) &lt;https://www.iep.utm.edu/wittgens/&gt; [accessed 17 December 2019].","noteIndex":9},"citationItems":[{"id":54,"uris":["http://zotero.org/users/local/0EA2PV3q/items/52CUV5Q5"],"uri":["http://zotero.org/users/local/0EA2PV3q/items/52CUV5Q5"],"itemData":{"id":54,"type":"entry-encyclopedia","container-title":"Internet Encyclopedia of Philosophy","event-place":"Online","publisher-place":"Online","title":"Wittgenstein, Ludwig |","URL":"https://www.iep.utm.edu/wittgens/","author":[{"family":"Richter","given":"Duncan J."}],"accessed":{"date-parts":[["2019",12,17]]},"issued":{"literal":"n/d"}}}],"schema":"https://github.com/citation-style-language/schema/raw/master/csl-citation.json"} </w:instrText>
      </w:r>
      <w:r>
        <w:fldChar w:fldCharType="separate"/>
      </w:r>
      <w:r w:rsidRPr="003D6385">
        <w:rPr>
          <w:rFonts w:ascii="Calibri" w:hAnsi="Calibri" w:cs="Calibri"/>
          <w:szCs w:val="24"/>
        </w:rPr>
        <w:t xml:space="preserve">Duncan J. Richter, ‘Wittgenstein, Ludwig |’, </w:t>
      </w:r>
      <w:r w:rsidRPr="003D6385">
        <w:rPr>
          <w:rFonts w:ascii="Calibri" w:hAnsi="Calibri" w:cs="Calibri"/>
          <w:i/>
          <w:iCs/>
          <w:szCs w:val="24"/>
        </w:rPr>
        <w:t>Internet Encyclopedia of Philosophy</w:t>
      </w:r>
      <w:r w:rsidRPr="003D6385">
        <w:rPr>
          <w:rFonts w:ascii="Calibri" w:hAnsi="Calibri" w:cs="Calibri"/>
          <w:szCs w:val="24"/>
        </w:rPr>
        <w:t xml:space="preserve"> (Online, n/d) &lt;https://www.iep.utm.edu/wittgens/&gt; [accessed 17 December 2019].</w:t>
      </w:r>
      <w:r>
        <w:fldChar w:fldCharType="end"/>
      </w:r>
    </w:p>
  </w:footnote>
  <w:footnote w:id="11">
    <w:p w14:paraId="445B7C86" w14:textId="2234A824" w:rsidR="0002170D" w:rsidRDefault="0002170D">
      <w:pPr>
        <w:pStyle w:val="FootnoteText"/>
      </w:pPr>
      <w:r>
        <w:rPr>
          <w:rStyle w:val="FootnoteReference"/>
        </w:rPr>
        <w:footnoteRef/>
      </w:r>
      <w:r>
        <w:t xml:space="preserve"> </w:t>
      </w:r>
      <w:r>
        <w:fldChar w:fldCharType="begin"/>
      </w:r>
      <w:r>
        <w:instrText xml:space="preserve"> ADDIN ZOTERO_ITEM CSL_CITATION {"citationID":"zbI7WFpg","properties":{"formattedCitation":"Keyt.","plainCitation":"Keyt.","noteIndex":11},"citationItems":[{"id":152,"uris":["http://zotero.org/users/local/0EA2PV3q/items/TIYQD2A4"],"uri":["http://zotero.org/users/local/0EA2PV3q/items/TIYQD2A4"],"itemData":{"id":152,"type":"article-journal","container-title":"Duke University Press, (on behalf of) The Philosophical Review","issue":"4","page":"493-511","title":"Wittgenstein's Picture Theory of Language","volume":"73","author":[{"family":"Keyt","given":"David"}],"issued":{"date-parts":[["1964",10]]}}}],"schema":"https://github.com/citation-style-language/schema/raw/master/csl-citation.json"} </w:instrText>
      </w:r>
      <w:r>
        <w:fldChar w:fldCharType="separate"/>
      </w:r>
      <w:r w:rsidRPr="0002170D">
        <w:rPr>
          <w:rFonts w:ascii="Calibri" w:hAnsi="Calibri" w:cs="Calibri"/>
        </w:rPr>
        <w:t>Keyt.</w:t>
      </w:r>
      <w:r>
        <w:fldChar w:fldCharType="end"/>
      </w:r>
    </w:p>
  </w:footnote>
  <w:footnote w:id="12">
    <w:p w14:paraId="35BEA6E4" w14:textId="5FEBD7CE" w:rsidR="00902320" w:rsidRDefault="00902320">
      <w:pPr>
        <w:pStyle w:val="FootnoteText"/>
      </w:pPr>
      <w:r>
        <w:rPr>
          <w:rStyle w:val="FootnoteReference"/>
        </w:rPr>
        <w:footnoteRef/>
      </w:r>
      <w:r>
        <w:t xml:space="preserve"> </w:t>
      </w:r>
      <w:r>
        <w:fldChar w:fldCharType="begin"/>
      </w:r>
      <w:r>
        <w:instrText xml:space="preserve"> ADDIN ZOTERO_ITEM CSL_CITATION {"citationID":"ONkoPcr4","properties":{"formattedCitation":"Wittgenstein, {\\i{}Preliminary Studies for the \\uc0\\u8216{}Philosophical Investigations\\uc0\\u8217{} Generally Known as The Blue and Brown Books}.","plainCitation":"Wittgenstein, Preliminary Studies for the ‘Philosophical Investigations’ Generally Known as The Blue and Brown Books.","noteIndex":12},"citationItems":[{"id":101,"uris":["http://zotero.org/users/local/0EA2PV3q/items/KN4FAFST"],"uri":["http://zotero.org/users/local/0EA2PV3q/items/KN4FAFST"],"itemData":{"id":101,"type":"book","publisher":"Basil Blackwell","title":"Preliminary Studies for the \"Philosophical Investigations\" Generally known as The Blue and Brown Books","author":[{"family":"Wittgenstein","given":"Ludwig"}],"issued":{"date-parts":[["1969"]]}}}],"schema":"https://github.com/citation-style-language/schema/raw/master/csl-citation.json"} </w:instrText>
      </w:r>
      <w:r>
        <w:fldChar w:fldCharType="separate"/>
      </w:r>
      <w:r w:rsidRPr="00902320">
        <w:rPr>
          <w:rFonts w:ascii="Calibri" w:hAnsi="Calibri" w:cs="Calibri"/>
          <w:szCs w:val="24"/>
        </w:rPr>
        <w:t xml:space="preserve">Wittgenstein, </w:t>
      </w:r>
      <w:r w:rsidRPr="00902320">
        <w:rPr>
          <w:rFonts w:ascii="Calibri" w:hAnsi="Calibri" w:cs="Calibri"/>
          <w:i/>
          <w:iCs/>
          <w:szCs w:val="24"/>
        </w:rPr>
        <w:t>Preliminary Studies for the ‘Philosophical Investigations’ Generally Known as The Blue and Brown Books</w:t>
      </w:r>
      <w:r w:rsidRPr="00902320">
        <w:rPr>
          <w:rFonts w:ascii="Calibri" w:hAnsi="Calibri" w:cs="Calibri"/>
          <w:szCs w:val="24"/>
        </w:rPr>
        <w:t>.</w:t>
      </w:r>
      <w:r>
        <w:fldChar w:fldCharType="end"/>
      </w:r>
      <w:r>
        <w:t xml:space="preserve"> p.69</w:t>
      </w:r>
    </w:p>
  </w:footnote>
  <w:footnote w:id="13">
    <w:p w14:paraId="23E3332A" w14:textId="7D4F2642" w:rsidR="00A92E2D" w:rsidRDefault="00A92E2D">
      <w:pPr>
        <w:pStyle w:val="FootnoteText"/>
      </w:pPr>
      <w:r>
        <w:rPr>
          <w:rStyle w:val="FootnoteReference"/>
        </w:rPr>
        <w:footnoteRef/>
      </w:r>
      <w:r>
        <w:t xml:space="preserve"> </w:t>
      </w:r>
      <w:r>
        <w:fldChar w:fldCharType="begin"/>
      </w:r>
      <w:r w:rsidR="004F3198">
        <w:instrText xml:space="preserve"> ADDIN ZOTERO_ITEM CSL_CITATION {"citationID":"Cr4L9tri","properties":{"formattedCitation":"Wittgenstein, {\\i{}Preliminary Studies for the \\uc0\\u8216{}Philosophical Investigations\\uc0\\u8217{} Generally Known as The Blue and Brown Books}.","plainCitation":"Wittgenstein, Preliminary Studies for the ‘Philosophical Investigations’ Generally Known as The Blue and Brown Books.","noteIndex":13},"citationItems":[{"id":101,"uris":["http://zotero.org/users/local/0EA2PV3q/items/KN4FAFST"],"uri":["http://zotero.org/users/local/0EA2PV3q/items/KN4FAFST"],"itemData":{"id":101,"type":"book","publisher":"Basil Blackwell","title":"Preliminary Studies for the \"Philosophical Investigations\" Generally known as The Blue and Brown Books","author":[{"family":"Wittgenstein","given":"Ludwig"}],"issued":{"date-parts":[["1969"]]}}}],"schema":"https://github.com/citation-style-language/schema/raw/master/csl-citation.json"} </w:instrText>
      </w:r>
      <w:r>
        <w:fldChar w:fldCharType="separate"/>
      </w:r>
      <w:r w:rsidR="004F3198" w:rsidRPr="004F3198">
        <w:rPr>
          <w:rFonts w:ascii="Calibri" w:hAnsi="Calibri" w:cs="Calibri"/>
          <w:szCs w:val="24"/>
        </w:rPr>
        <w:t xml:space="preserve">Wittgenstein, </w:t>
      </w:r>
      <w:r w:rsidR="004F3198" w:rsidRPr="004F3198">
        <w:rPr>
          <w:rFonts w:ascii="Calibri" w:hAnsi="Calibri" w:cs="Calibri"/>
          <w:i/>
          <w:iCs/>
          <w:szCs w:val="24"/>
        </w:rPr>
        <w:t>Preliminary Studies for the ‘Philosophical Investigations’ Generally Known as The Blue and Brown Books</w:t>
      </w:r>
      <w:r w:rsidR="004F3198" w:rsidRPr="004F3198">
        <w:rPr>
          <w:rFonts w:ascii="Calibri" w:hAnsi="Calibri" w:cs="Calibri"/>
          <w:szCs w:val="24"/>
        </w:rPr>
        <w:t>.</w:t>
      </w:r>
      <w:r>
        <w:fldChar w:fldCharType="end"/>
      </w:r>
      <w:r w:rsidR="004F3198">
        <w:t xml:space="preserve"> Pp.66-67</w:t>
      </w:r>
    </w:p>
  </w:footnote>
  <w:footnote w:id="14">
    <w:p w14:paraId="69391B2C" w14:textId="29B27A59" w:rsidR="00CA71AC" w:rsidRDefault="00CA71AC">
      <w:pPr>
        <w:pStyle w:val="FootnoteText"/>
      </w:pPr>
      <w:r>
        <w:rPr>
          <w:rStyle w:val="FootnoteReference"/>
        </w:rPr>
        <w:footnoteRef/>
      </w:r>
      <w:r>
        <w:t xml:space="preserve"> </w:t>
      </w:r>
      <w:r>
        <w:fldChar w:fldCharType="begin"/>
      </w:r>
      <w:r>
        <w:instrText xml:space="preserve"> ADDIN ZOTERO_ITEM CSL_CITATION {"citationID":"4SKAnV7v","properties":{"formattedCitation":"Martial Gueroult, {\\i{}Descartes\\uc0\\u8217{} Philosophy Interpreted According to the Order of Reasons II. The Soul and the Body.}, trans. by Roger Ariew (Minneapolis: University of Minnesota Press, 1985).","plainCitation":"Martial Gueroult, Descartes’ Philosophy Interpreted According to the Order of Reasons II. The Soul and the Body., trans. by Roger Ariew (Minneapolis: University of Minnesota Press, 1985).","noteIndex":13},"citationItems":[{"id":63,"uris":["http://zotero.org/users/local/0EA2PV3q/items/ACHK3786"],"uri":["http://zotero.org/users/local/0EA2PV3q/items/ACHK3786"],"itemData":{"id":63,"type":"book","event-place":"Minneapolis","publisher":"University of Minnesota Press","publisher-place":"Minneapolis","title":"Descartes' Philosophy Interpreted According to the Order of Reasons II. The Soul and the Body.","author":[{"family":"Gueroult","given":"Martial"}],"translator":[{"family":"Ariew","given":"Roger"}],"issued":{"date-parts":[["1985"]]}}}],"schema":"https://github.com/citation-style-language/schema/raw/master/csl-citation.json"} </w:instrText>
      </w:r>
      <w:r>
        <w:fldChar w:fldCharType="separate"/>
      </w:r>
      <w:r w:rsidRPr="00CA71AC">
        <w:rPr>
          <w:rFonts w:ascii="Calibri" w:hAnsi="Calibri" w:cs="Calibri"/>
          <w:szCs w:val="24"/>
        </w:rPr>
        <w:t xml:space="preserve">Martial </w:t>
      </w:r>
      <w:proofErr w:type="spellStart"/>
      <w:r w:rsidRPr="00CA71AC">
        <w:rPr>
          <w:rFonts w:ascii="Calibri" w:hAnsi="Calibri" w:cs="Calibri"/>
          <w:szCs w:val="24"/>
        </w:rPr>
        <w:t>Gueroult</w:t>
      </w:r>
      <w:proofErr w:type="spellEnd"/>
      <w:r w:rsidRPr="00CA71AC">
        <w:rPr>
          <w:rFonts w:ascii="Calibri" w:hAnsi="Calibri" w:cs="Calibri"/>
          <w:szCs w:val="24"/>
        </w:rPr>
        <w:t xml:space="preserve">, </w:t>
      </w:r>
      <w:r w:rsidRPr="00CA71AC">
        <w:rPr>
          <w:rFonts w:ascii="Calibri" w:hAnsi="Calibri" w:cs="Calibri"/>
          <w:i/>
          <w:iCs/>
          <w:szCs w:val="24"/>
        </w:rPr>
        <w:t>Descartes’ Philosophy Interpreted According to the Order of Reasons II. The Soul and the Body.</w:t>
      </w:r>
      <w:r w:rsidRPr="00CA71AC">
        <w:rPr>
          <w:rFonts w:ascii="Calibri" w:hAnsi="Calibri" w:cs="Calibri"/>
          <w:szCs w:val="24"/>
        </w:rPr>
        <w:t xml:space="preserve">, trans. by Roger </w:t>
      </w:r>
      <w:proofErr w:type="spellStart"/>
      <w:r w:rsidRPr="00CA71AC">
        <w:rPr>
          <w:rFonts w:ascii="Calibri" w:hAnsi="Calibri" w:cs="Calibri"/>
          <w:szCs w:val="24"/>
        </w:rPr>
        <w:t>Ariew</w:t>
      </w:r>
      <w:proofErr w:type="spellEnd"/>
      <w:r w:rsidRPr="00CA71AC">
        <w:rPr>
          <w:rFonts w:ascii="Calibri" w:hAnsi="Calibri" w:cs="Calibri"/>
          <w:szCs w:val="24"/>
        </w:rPr>
        <w:t xml:space="preserve"> (Minneapolis: University of Minnesota Press, 1985).</w:t>
      </w:r>
      <w:r>
        <w:fldChar w:fldCharType="end"/>
      </w:r>
      <w:r>
        <w:t xml:space="preserve"> Pp.35-36</w:t>
      </w:r>
    </w:p>
  </w:footnote>
  <w:footnote w:id="15">
    <w:p w14:paraId="51F4E12C" w14:textId="2D8D160A" w:rsidR="00AF07D0" w:rsidRDefault="00AF07D0">
      <w:pPr>
        <w:pStyle w:val="FootnoteText"/>
      </w:pPr>
      <w:r>
        <w:rPr>
          <w:rStyle w:val="FootnoteReference"/>
        </w:rPr>
        <w:footnoteRef/>
      </w:r>
      <w:r>
        <w:t xml:space="preserve"> </w:t>
      </w:r>
      <w:r>
        <w:fldChar w:fldCharType="begin"/>
      </w:r>
      <w:r>
        <w:instrText xml:space="preserve"> ADDIN ZOTERO_ITEM CSL_CITATION {"citationID":"Jxi0CcIK","properties":{"formattedCitation":"Ren\\uc0\\u233{} Descartes, {\\i{}Discourse on Method and the Meditations}, ed. by Betty Radice and Robert Baldick (England: Penguin Books, 1972).","plainCitation":"René Descartes, Discourse on Method and the Meditations, ed. by Betty Radice and Robert Baldick (England: Penguin Books, 1972).","noteIndex":15},"citationItems":[{"id":119,"uris":["http://zotero.org/users/local/0EA2PV3q/items/R952A8AE"],"uri":["http://zotero.org/users/local/0EA2PV3q/items/R952A8AE"],"itemData":{"id":119,"type":"book","abstract":"René Descartes was a central figure in the scientific revolution of the seventeenth century. In his Discourse on Method he outlined the contrast between mathematics and experimental sciences, and the extent to which each one can achieve certainty. Drawing on his own work in geometry, optics, astronomy and physiology, Descartes developed the hypothetical method that characterizes modern science, and this soon came to replace the traditional techniques derived from Aristotle. Many of Descartes' most radical ideas - such as the disparity between our perceptions and the realities that cause them - have been highly influential in the development of modern philosophy.","event-place":"England","language":"en","number-of-pages":"187","publisher":"Penguin Books","publisher-place":"England","title":"Discourse on Method and the Meditations","author":[{"family":"Descartes","given":"René"}],"editor":[{"family":"Radice","given":"Betty"},{"family":"Baldick","given":"Robert"}],"issued":{"date-parts":[["1972"]]}}}],"schema":"https://github.com/citation-style-language/schema/raw/master/csl-citation.json"} </w:instrText>
      </w:r>
      <w:r>
        <w:fldChar w:fldCharType="separate"/>
      </w:r>
      <w:r w:rsidRPr="00AF07D0">
        <w:rPr>
          <w:rFonts w:ascii="Calibri" w:hAnsi="Calibri" w:cs="Calibri"/>
          <w:szCs w:val="24"/>
        </w:rPr>
        <w:t xml:space="preserve">René Descartes, </w:t>
      </w:r>
      <w:r w:rsidRPr="00AF07D0">
        <w:rPr>
          <w:rFonts w:ascii="Calibri" w:hAnsi="Calibri" w:cs="Calibri"/>
          <w:i/>
          <w:iCs/>
          <w:szCs w:val="24"/>
        </w:rPr>
        <w:t>Discourse on Method and the Meditations</w:t>
      </w:r>
      <w:r w:rsidRPr="00AF07D0">
        <w:rPr>
          <w:rFonts w:ascii="Calibri" w:hAnsi="Calibri" w:cs="Calibri"/>
          <w:szCs w:val="24"/>
        </w:rPr>
        <w:t xml:space="preserve">, ed. by Betty Radice and Robert </w:t>
      </w:r>
      <w:proofErr w:type="spellStart"/>
      <w:r w:rsidRPr="00AF07D0">
        <w:rPr>
          <w:rFonts w:ascii="Calibri" w:hAnsi="Calibri" w:cs="Calibri"/>
          <w:szCs w:val="24"/>
        </w:rPr>
        <w:t>Baldick</w:t>
      </w:r>
      <w:proofErr w:type="spellEnd"/>
      <w:r w:rsidRPr="00AF07D0">
        <w:rPr>
          <w:rFonts w:ascii="Calibri" w:hAnsi="Calibri" w:cs="Calibri"/>
          <w:szCs w:val="24"/>
        </w:rPr>
        <w:t xml:space="preserve"> (England: Penguin Books, 1972).</w:t>
      </w:r>
      <w:r>
        <w:fldChar w:fldCharType="end"/>
      </w:r>
      <w:r>
        <w:t xml:space="preserve"> 4. Part IV</w:t>
      </w:r>
    </w:p>
  </w:footnote>
  <w:footnote w:id="16">
    <w:p w14:paraId="5BD0A5B9" w14:textId="59192498" w:rsidR="00797A26" w:rsidRDefault="00797A26">
      <w:pPr>
        <w:pStyle w:val="FootnoteText"/>
      </w:pPr>
      <w:r>
        <w:rPr>
          <w:rStyle w:val="FootnoteReference"/>
        </w:rPr>
        <w:footnoteRef/>
      </w:r>
      <w:r>
        <w:t xml:space="preserve"> </w:t>
      </w:r>
      <w:r w:rsidR="000704B8">
        <w:t>‘Merlau-</w:t>
      </w:r>
      <w:proofErr w:type="spellStart"/>
      <w:r w:rsidR="000704B8">
        <w:t>Ponty’s</w:t>
      </w:r>
      <w:proofErr w:type="spellEnd"/>
      <w:r w:rsidR="00BB33AA">
        <w:t xml:space="preserve"> Concept of the Body-Subject</w:t>
      </w:r>
      <w:r w:rsidR="005C1EAA">
        <w:t xml:space="preserve">,’ </w:t>
      </w:r>
      <w:r w:rsidR="005C1EAA" w:rsidRPr="005C1EAA">
        <w:rPr>
          <w:i/>
          <w:iCs/>
        </w:rPr>
        <w:t>Nursing Philosophy</w:t>
      </w:r>
      <w:r w:rsidR="0015083C">
        <w:rPr>
          <w:i/>
          <w:iCs/>
        </w:rPr>
        <w:t xml:space="preserve">, </w:t>
      </w:r>
      <w:r w:rsidR="0015083C" w:rsidRPr="005D3EDF">
        <w:t>Vol. 1. No. 2, October 2000</w:t>
      </w:r>
      <w:r w:rsidR="005D3EDF" w:rsidRPr="005D3EDF">
        <w:t>. Pp.1-2</w:t>
      </w:r>
    </w:p>
  </w:footnote>
  <w:footnote w:id="17">
    <w:p w14:paraId="3E423A31" w14:textId="58DD62F6" w:rsidR="00013425" w:rsidRDefault="00013425">
      <w:pPr>
        <w:pStyle w:val="FootnoteText"/>
      </w:pPr>
      <w:r>
        <w:rPr>
          <w:rStyle w:val="FootnoteReference"/>
        </w:rPr>
        <w:footnoteRef/>
      </w:r>
      <w:r>
        <w:t xml:space="preserve"> </w:t>
      </w:r>
      <w:r>
        <w:fldChar w:fldCharType="begin"/>
      </w:r>
      <w:r w:rsidR="004578C9">
        <w:instrText xml:space="preserve"> ADDIN ZOTERO_ITEM CSL_CITATION {"citationID":"QBOW7C83","properties":{"formattedCitation":"Wittgenstein, {\\i{}Tractacus Logico-Philosophicus}.","plainCitation":"Wittgenstein, Tractacus Logico-Philosophicus.","noteIndex":12},"citationItems":[{"id":60,"uris":["http://zotero.org/users/local/0EA2PV3q/items/GUSGJLH4"],"uri":["http://zotero.org/users/local/0EA2PV3q/items/GUSGJLH4"],"itemData":{"id":60,"type":"book","event-place":"London, Boston &amp; Henley","publisher":"Routledge &amp; Kegan Paul Ltd.","publisher-place":"London, Boston &amp; Henley","title":"Tractacus Logico-Philosophicus","author":[{"family":"Wittgenstein","given":"Ludwig"}],"translator":[{"family":"Ogden","given":"C. K."}],"issued":{"date-parts":[["1981"]]}}}],"schema":"https://github.com/citation-style-language/schema/raw/master/csl-citation.json"} </w:instrText>
      </w:r>
      <w:r>
        <w:fldChar w:fldCharType="separate"/>
      </w:r>
      <w:r w:rsidRPr="00013425">
        <w:rPr>
          <w:rFonts w:ascii="Calibri" w:hAnsi="Calibri" w:cs="Calibri"/>
          <w:szCs w:val="24"/>
        </w:rPr>
        <w:t xml:space="preserve">Wittgenstein, </w:t>
      </w:r>
      <w:proofErr w:type="spellStart"/>
      <w:r w:rsidRPr="00013425">
        <w:rPr>
          <w:rFonts w:ascii="Calibri" w:hAnsi="Calibri" w:cs="Calibri"/>
          <w:i/>
          <w:iCs/>
          <w:szCs w:val="24"/>
        </w:rPr>
        <w:t>Tractacus</w:t>
      </w:r>
      <w:proofErr w:type="spellEnd"/>
      <w:r w:rsidRPr="00013425">
        <w:rPr>
          <w:rFonts w:ascii="Calibri" w:hAnsi="Calibri" w:cs="Calibri"/>
          <w:i/>
          <w:iCs/>
          <w:szCs w:val="24"/>
        </w:rPr>
        <w:t xml:space="preserve"> Logico-</w:t>
      </w:r>
      <w:proofErr w:type="spellStart"/>
      <w:r w:rsidRPr="00013425">
        <w:rPr>
          <w:rFonts w:ascii="Calibri" w:hAnsi="Calibri" w:cs="Calibri"/>
          <w:i/>
          <w:iCs/>
          <w:szCs w:val="24"/>
        </w:rPr>
        <w:t>Philosophicus</w:t>
      </w:r>
      <w:proofErr w:type="spellEnd"/>
      <w:r w:rsidRPr="00013425">
        <w:rPr>
          <w:rFonts w:ascii="Calibri" w:hAnsi="Calibri" w:cs="Calibri"/>
          <w:szCs w:val="24"/>
        </w:rPr>
        <w:t>.</w:t>
      </w:r>
      <w:r>
        <w:fldChar w:fldCharType="end"/>
      </w:r>
      <w:r>
        <w:t xml:space="preserve"> 6.53</w:t>
      </w:r>
    </w:p>
  </w:footnote>
  <w:footnote w:id="18">
    <w:p w14:paraId="47B99791" w14:textId="53F4E0F3" w:rsidR="00883699" w:rsidRDefault="00883699" w:rsidP="00883699">
      <w:pPr>
        <w:pStyle w:val="FootnoteText"/>
      </w:pPr>
      <w:r>
        <w:rPr>
          <w:rStyle w:val="FootnoteReference"/>
        </w:rPr>
        <w:footnoteRef/>
      </w:r>
      <w:r>
        <w:t xml:space="preserve"> </w:t>
      </w:r>
      <w:r>
        <w:fldChar w:fldCharType="begin"/>
      </w:r>
      <w:r w:rsidR="004578C9">
        <w:instrText xml:space="preserve"> ADDIN ZOTERO_ITEM CSL_CITATION {"citationID":"ZMYRKIrG","properties":{"formattedCitation":"Wittgenstein, {\\i{}Tractacus Logico-Philosophicus}.","plainCitation":"Wittgenstein, Tractacus Logico-Philosophicus.","noteIndex":14},"citationItems":[{"id":60,"uris":["http://zotero.org/users/local/0EA2PV3q/items/GUSGJLH4"],"uri":["http://zotero.org/users/local/0EA2PV3q/items/GUSGJLH4"],"itemData":{"id":60,"type":"book","event-place":"London, Boston &amp; Henley","publisher":"Routledge &amp; Kegan Paul Ltd.","publisher-place":"London, Boston &amp; Henley","title":"Tractacus Logico-Philosophicus","author":[{"family":"Wittgenstein","given":"Ludwig"}],"translator":[{"family":"Ogden","given":"C. K."}],"issued":{"date-parts":[["1981"]]}}}],"schema":"https://github.com/citation-style-language/schema/raw/master/csl-citation.json"} </w:instrText>
      </w:r>
      <w:r>
        <w:fldChar w:fldCharType="separate"/>
      </w:r>
      <w:r w:rsidRPr="00BE2AF7">
        <w:rPr>
          <w:rFonts w:ascii="Calibri" w:hAnsi="Calibri" w:cs="Calibri"/>
          <w:szCs w:val="24"/>
        </w:rPr>
        <w:t xml:space="preserve">Wittgenstein, </w:t>
      </w:r>
      <w:proofErr w:type="spellStart"/>
      <w:r w:rsidRPr="00BE2AF7">
        <w:rPr>
          <w:rFonts w:ascii="Calibri" w:hAnsi="Calibri" w:cs="Calibri"/>
          <w:i/>
          <w:iCs/>
          <w:szCs w:val="24"/>
        </w:rPr>
        <w:t>Tractacus</w:t>
      </w:r>
      <w:proofErr w:type="spellEnd"/>
      <w:r w:rsidRPr="00BE2AF7">
        <w:rPr>
          <w:rFonts w:ascii="Calibri" w:hAnsi="Calibri" w:cs="Calibri"/>
          <w:i/>
          <w:iCs/>
          <w:szCs w:val="24"/>
        </w:rPr>
        <w:t xml:space="preserve"> Logico-</w:t>
      </w:r>
      <w:proofErr w:type="spellStart"/>
      <w:r w:rsidRPr="00BE2AF7">
        <w:rPr>
          <w:rFonts w:ascii="Calibri" w:hAnsi="Calibri" w:cs="Calibri"/>
          <w:i/>
          <w:iCs/>
          <w:szCs w:val="24"/>
        </w:rPr>
        <w:t>Philosophicus</w:t>
      </w:r>
      <w:proofErr w:type="spellEnd"/>
      <w:r w:rsidRPr="00BE2AF7">
        <w:rPr>
          <w:rFonts w:ascii="Calibri" w:hAnsi="Calibri" w:cs="Calibri"/>
          <w:szCs w:val="24"/>
        </w:rPr>
        <w:t>.</w:t>
      </w:r>
      <w:r>
        <w:fldChar w:fldCharType="end"/>
      </w:r>
      <w:r>
        <w:t xml:space="preserve"> 3.203</w:t>
      </w:r>
    </w:p>
  </w:footnote>
  <w:footnote w:id="19">
    <w:p w14:paraId="370E21DD" w14:textId="6E4E4832" w:rsidR="005B5609" w:rsidRDefault="005B5609">
      <w:pPr>
        <w:pStyle w:val="FootnoteText"/>
      </w:pPr>
      <w:r>
        <w:rPr>
          <w:rStyle w:val="FootnoteReference"/>
        </w:rPr>
        <w:footnoteRef/>
      </w:r>
      <w:r>
        <w:t xml:space="preserve"> </w:t>
      </w:r>
      <w:r>
        <w:fldChar w:fldCharType="begin"/>
      </w:r>
      <w:r>
        <w:instrText xml:space="preserve"> ADDIN ZOTERO_ITEM CSL_CITATION {"citationID":"eUs3Zr5M","properties":{"formattedCitation":"Wittgenstein, {\\i{}Tractacus Logico-Philosophicus}.","plainCitation":"Wittgenstein, Tractacus Logico-Philosophicus.","noteIndex":15},"citationItems":[{"id":60,"uris":["http://zotero.org/users/local/0EA2PV3q/items/GUSGJLH4"],"uri":["http://zotero.org/users/local/0EA2PV3q/items/GUSGJLH4"],"itemData":{"id":60,"type":"book","event-place":"London, Boston &amp; Henley","publisher":"Routledge &amp; Kegan Paul Ltd.","publisher-place":"London, Boston &amp; Henley","title":"Tractacus Logico-Philosophicus","author":[{"family":"Wittgenstein","given":"Ludwig"}],"translator":[{"family":"Ogden","given":"C. K."}],"issued":{"date-parts":[["1981"]]}}}],"schema":"https://github.com/citation-style-language/schema/raw/master/csl-citation.json"} </w:instrText>
      </w:r>
      <w:r>
        <w:fldChar w:fldCharType="separate"/>
      </w:r>
      <w:r w:rsidRPr="005B5609">
        <w:rPr>
          <w:rFonts w:ascii="Calibri" w:hAnsi="Calibri" w:cs="Calibri"/>
          <w:szCs w:val="24"/>
        </w:rPr>
        <w:t xml:space="preserve">Wittgenstein, </w:t>
      </w:r>
      <w:proofErr w:type="spellStart"/>
      <w:r w:rsidRPr="005B5609">
        <w:rPr>
          <w:rFonts w:ascii="Calibri" w:hAnsi="Calibri" w:cs="Calibri"/>
          <w:i/>
          <w:iCs/>
          <w:szCs w:val="24"/>
        </w:rPr>
        <w:t>Tractacus</w:t>
      </w:r>
      <w:proofErr w:type="spellEnd"/>
      <w:r w:rsidRPr="005B5609">
        <w:rPr>
          <w:rFonts w:ascii="Calibri" w:hAnsi="Calibri" w:cs="Calibri"/>
          <w:i/>
          <w:iCs/>
          <w:szCs w:val="24"/>
        </w:rPr>
        <w:t xml:space="preserve"> Logico-</w:t>
      </w:r>
      <w:proofErr w:type="spellStart"/>
      <w:r w:rsidRPr="005B5609">
        <w:rPr>
          <w:rFonts w:ascii="Calibri" w:hAnsi="Calibri" w:cs="Calibri"/>
          <w:i/>
          <w:iCs/>
          <w:szCs w:val="24"/>
        </w:rPr>
        <w:t>Philosophicus</w:t>
      </w:r>
      <w:proofErr w:type="spellEnd"/>
      <w:r w:rsidRPr="005B5609">
        <w:rPr>
          <w:rFonts w:ascii="Calibri" w:hAnsi="Calibri" w:cs="Calibri"/>
          <w:szCs w:val="24"/>
        </w:rPr>
        <w:t>.</w:t>
      </w:r>
      <w:r>
        <w:fldChar w:fldCharType="end"/>
      </w:r>
      <w:r>
        <w:t xml:space="preserve"> 6.522</w:t>
      </w:r>
    </w:p>
  </w:footnote>
  <w:footnote w:id="20">
    <w:p w14:paraId="55FAA556" w14:textId="77777777" w:rsidR="00883699" w:rsidRDefault="00883699" w:rsidP="00883699">
      <w:pPr>
        <w:pStyle w:val="FootnoteText"/>
      </w:pPr>
      <w:r>
        <w:rPr>
          <w:rStyle w:val="FootnoteReference"/>
        </w:rPr>
        <w:footnoteRef/>
      </w:r>
      <w:r>
        <w:t xml:space="preserve"> </w:t>
      </w:r>
      <w:r>
        <w:fldChar w:fldCharType="begin"/>
      </w:r>
      <w:r>
        <w:instrText xml:space="preserve"> ADDIN ZOTERO_ITEM CSL_CITATION {"citationID":"g4SEeU4N","properties":{"formattedCitation":"Wittgenstein, {\\i{}Tractacus Logico-Philosophicus}.","plainCitation":"Wittgenstein, Tractacus Logico-Philosophicus.","noteIndex":13},"citationItems":[{"id":60,"uris":["http://zotero.org/users/local/0EA2PV3q/items/GUSGJLH4"],"uri":["http://zotero.org/users/local/0EA2PV3q/items/GUSGJLH4"],"itemData":{"id":60,"type":"book","event-place":"London, Boston &amp; Henley","publisher":"Routledge &amp; Kegan Paul Ltd.","publisher-place":"London, Boston &amp; Henley","title":"Tractacus Logico-Philosophicus","author":[{"family":"Wittgenstein","given":"Ludwig"}],"translator":[{"family":"Ogden","given":"C. K."}],"issued":{"date-parts":[["1981"]]}}}],"schema":"https://github.com/citation-style-language/schema/raw/master/csl-citation.json"} </w:instrText>
      </w:r>
      <w:r>
        <w:fldChar w:fldCharType="separate"/>
      </w:r>
      <w:r w:rsidRPr="007C13E8">
        <w:rPr>
          <w:rFonts w:ascii="Calibri" w:hAnsi="Calibri" w:cs="Calibri"/>
          <w:szCs w:val="24"/>
        </w:rPr>
        <w:t xml:space="preserve">Wittgenstein, </w:t>
      </w:r>
      <w:proofErr w:type="spellStart"/>
      <w:r w:rsidRPr="007C13E8">
        <w:rPr>
          <w:rFonts w:ascii="Calibri" w:hAnsi="Calibri" w:cs="Calibri"/>
          <w:i/>
          <w:iCs/>
          <w:szCs w:val="24"/>
        </w:rPr>
        <w:t>Tractacus</w:t>
      </w:r>
      <w:proofErr w:type="spellEnd"/>
      <w:r w:rsidRPr="007C13E8">
        <w:rPr>
          <w:rFonts w:ascii="Calibri" w:hAnsi="Calibri" w:cs="Calibri"/>
          <w:i/>
          <w:iCs/>
          <w:szCs w:val="24"/>
        </w:rPr>
        <w:t xml:space="preserve"> Logico-</w:t>
      </w:r>
      <w:proofErr w:type="spellStart"/>
      <w:r w:rsidRPr="007C13E8">
        <w:rPr>
          <w:rFonts w:ascii="Calibri" w:hAnsi="Calibri" w:cs="Calibri"/>
          <w:i/>
          <w:iCs/>
          <w:szCs w:val="24"/>
        </w:rPr>
        <w:t>Philosophicus</w:t>
      </w:r>
      <w:proofErr w:type="spellEnd"/>
      <w:r w:rsidRPr="007C13E8">
        <w:rPr>
          <w:rFonts w:ascii="Calibri" w:hAnsi="Calibri" w:cs="Calibri"/>
          <w:szCs w:val="24"/>
        </w:rPr>
        <w:t>.</w:t>
      </w:r>
      <w:r>
        <w:fldChar w:fldCharType="end"/>
      </w:r>
      <w:r>
        <w:t xml:space="preserve"> 7.</w:t>
      </w:r>
    </w:p>
  </w:footnote>
  <w:footnote w:id="21">
    <w:p w14:paraId="7CA4A6BD" w14:textId="175C9A46" w:rsidR="004578C9" w:rsidRDefault="004578C9">
      <w:pPr>
        <w:pStyle w:val="FootnoteText"/>
      </w:pPr>
      <w:r>
        <w:rPr>
          <w:rStyle w:val="FootnoteReference"/>
        </w:rPr>
        <w:footnoteRef/>
      </w:r>
      <w:r>
        <w:t xml:space="preserve"> </w:t>
      </w:r>
      <w:r>
        <w:fldChar w:fldCharType="begin"/>
      </w:r>
      <w:r>
        <w:instrText xml:space="preserve"> ADDIN ZOTERO_ITEM CSL_CITATION {"citationID":"cpdBG1tz","properties":{"formattedCitation":"Wittgenstein, {\\i{}Tractacus Logico-Philosophicus}.","plainCitation":"Wittgenstein, Tractacus Logico-Philosophicus.","noteIndex":16},"citationItems":[{"id":60,"uris":["http://zotero.org/users/local/0EA2PV3q/items/GUSGJLH4"],"uri":["http://zotero.org/users/local/0EA2PV3q/items/GUSGJLH4"],"itemData":{"id":60,"type":"book","event-place":"London, Boston &amp; Henley","publisher":"Routledge &amp; Kegan Paul Ltd.","publisher-place":"London, Boston &amp; Henley","title":"Tractacus Logico-Philosophicus","author":[{"family":"Wittgenstein","given":"Ludwig"}],"translator":[{"family":"Ogden","given":"C. K."}],"issued":{"date-parts":[["1981"]]}}}],"schema":"https://github.com/citation-style-language/schema/raw/master/csl-citation.json"} </w:instrText>
      </w:r>
      <w:r>
        <w:fldChar w:fldCharType="separate"/>
      </w:r>
      <w:r w:rsidRPr="004578C9">
        <w:rPr>
          <w:rFonts w:ascii="Calibri" w:hAnsi="Calibri" w:cs="Calibri"/>
          <w:szCs w:val="24"/>
        </w:rPr>
        <w:t xml:space="preserve">Wittgenstein, </w:t>
      </w:r>
      <w:proofErr w:type="spellStart"/>
      <w:r w:rsidRPr="004578C9">
        <w:rPr>
          <w:rFonts w:ascii="Calibri" w:hAnsi="Calibri" w:cs="Calibri"/>
          <w:i/>
          <w:iCs/>
          <w:szCs w:val="24"/>
        </w:rPr>
        <w:t>Tractacus</w:t>
      </w:r>
      <w:proofErr w:type="spellEnd"/>
      <w:r w:rsidRPr="004578C9">
        <w:rPr>
          <w:rFonts w:ascii="Calibri" w:hAnsi="Calibri" w:cs="Calibri"/>
          <w:i/>
          <w:iCs/>
          <w:szCs w:val="24"/>
        </w:rPr>
        <w:t xml:space="preserve"> Logico-</w:t>
      </w:r>
      <w:proofErr w:type="spellStart"/>
      <w:r w:rsidRPr="004578C9">
        <w:rPr>
          <w:rFonts w:ascii="Calibri" w:hAnsi="Calibri" w:cs="Calibri"/>
          <w:i/>
          <w:iCs/>
          <w:szCs w:val="24"/>
        </w:rPr>
        <w:t>Philosophicus</w:t>
      </w:r>
      <w:proofErr w:type="spellEnd"/>
      <w:r w:rsidRPr="004578C9">
        <w:rPr>
          <w:rFonts w:ascii="Calibri" w:hAnsi="Calibri" w:cs="Calibri"/>
          <w:szCs w:val="24"/>
        </w:rPr>
        <w:t>.</w:t>
      </w:r>
      <w:r>
        <w:fldChar w:fldCharType="end"/>
      </w:r>
      <w:r>
        <w:t xml:space="preserve"> 6.54</w:t>
      </w:r>
    </w:p>
  </w:footnote>
  <w:footnote w:id="22">
    <w:p w14:paraId="420BF854" w14:textId="211F3DCE" w:rsidR="001A18F0" w:rsidRDefault="001A18F0">
      <w:pPr>
        <w:pStyle w:val="FootnoteText"/>
      </w:pPr>
      <w:r>
        <w:rPr>
          <w:rStyle w:val="FootnoteReference"/>
        </w:rPr>
        <w:footnoteRef/>
      </w:r>
      <w:r>
        <w:t xml:space="preserve"> </w:t>
      </w:r>
      <w:r>
        <w:fldChar w:fldCharType="begin"/>
      </w:r>
      <w:r>
        <w:instrText xml:space="preserve"> ADDIN ZOTERO_ITEM CSL_CITATION {"citationID":"DvzlNTyz","properties":{"formattedCitation":"Wittgenstein, {\\i{}Tractacus Logico-Philosophicus}.","plainCitation":"Wittgenstein, Tractacus Logico-Philosophicus.","noteIndex":22},"citationItems":[{"id":60,"uris":["http://zotero.org/users/local/0EA2PV3q/items/GUSGJLH4"],"uri":["http://zotero.org/users/local/0EA2PV3q/items/GUSGJLH4"],"itemData":{"id":60,"type":"book","event-place":"London, Boston &amp; Henley","publisher":"Routledge &amp; Kegan Paul Ltd.","publisher-place":"London, Boston &amp; Henley","title":"Tractacus Logico-Philosophicus","author":[{"family":"Wittgenstein","given":"Ludwig"}],"translator":[{"family":"Ogden","given":"C. K."}],"issued":{"date-parts":[["1981"]]}}}],"schema":"https://github.com/citation-style-language/schema/raw/master/csl-citation.json"} </w:instrText>
      </w:r>
      <w:r>
        <w:fldChar w:fldCharType="separate"/>
      </w:r>
      <w:r w:rsidRPr="001A18F0">
        <w:rPr>
          <w:rFonts w:ascii="Calibri" w:hAnsi="Calibri" w:cs="Calibri"/>
          <w:szCs w:val="24"/>
        </w:rPr>
        <w:t xml:space="preserve">Wittgenstein, </w:t>
      </w:r>
      <w:proofErr w:type="spellStart"/>
      <w:r w:rsidRPr="001A18F0">
        <w:rPr>
          <w:rFonts w:ascii="Calibri" w:hAnsi="Calibri" w:cs="Calibri"/>
          <w:i/>
          <w:iCs/>
          <w:szCs w:val="24"/>
        </w:rPr>
        <w:t>Tractacus</w:t>
      </w:r>
      <w:proofErr w:type="spellEnd"/>
      <w:r w:rsidRPr="001A18F0">
        <w:rPr>
          <w:rFonts w:ascii="Calibri" w:hAnsi="Calibri" w:cs="Calibri"/>
          <w:i/>
          <w:iCs/>
          <w:szCs w:val="24"/>
        </w:rPr>
        <w:t xml:space="preserve"> Logico-</w:t>
      </w:r>
      <w:proofErr w:type="spellStart"/>
      <w:r w:rsidRPr="001A18F0">
        <w:rPr>
          <w:rFonts w:ascii="Calibri" w:hAnsi="Calibri" w:cs="Calibri"/>
          <w:i/>
          <w:iCs/>
          <w:szCs w:val="24"/>
        </w:rPr>
        <w:t>Philosophicus</w:t>
      </w:r>
      <w:proofErr w:type="spellEnd"/>
      <w:r w:rsidRPr="001A18F0">
        <w:rPr>
          <w:rFonts w:ascii="Calibri" w:hAnsi="Calibri" w:cs="Calibri"/>
          <w:szCs w:val="24"/>
        </w:rPr>
        <w:t>.</w:t>
      </w:r>
      <w:r>
        <w:fldChar w:fldCharType="end"/>
      </w:r>
      <w:r w:rsidR="00331036">
        <w:t xml:space="preserve"> 6.53</w:t>
      </w:r>
    </w:p>
  </w:footnote>
  <w:footnote w:id="23">
    <w:p w14:paraId="31D81D24" w14:textId="62B2AE56" w:rsidR="00296002" w:rsidRDefault="00296002">
      <w:pPr>
        <w:pStyle w:val="FootnoteText"/>
      </w:pPr>
      <w:r>
        <w:rPr>
          <w:rStyle w:val="FootnoteReference"/>
        </w:rPr>
        <w:footnoteRef/>
      </w:r>
      <w:r>
        <w:t xml:space="preserve"> </w:t>
      </w:r>
      <w:r>
        <w:fldChar w:fldCharType="begin"/>
      </w:r>
      <w:r>
        <w:instrText xml:space="preserve"> ADDIN ZOTERO_ITEM CSL_CITATION {"citationID":"xW32ZCx9","properties":{"formattedCitation":"Meredith Williams, {\\i{}Wittgenstein, Mind, and Meaning: Toward a Social Conception of Mind} (London: Routledge, 2002).","plainCitation":"Meredith Williams, Wittgenstein, Mind, and Meaning: Toward a Social Conception of Mind (London: Routledge, 2002).","noteIndex":22},"citationItems":[{"id":67,"uris":["http://zotero.org/users/local/0EA2PV3q/items/Y73U62R9"],"uri":["http://zotero.org/users/local/0EA2PV3q/items/Y73U62R9"],"itemData":{"id":67,"type":"book","abstract":"Wittgenstein, Mind and Meaning offers a re-reading of Wittgenstein's later writings on language and mind, and explores the tensions between Wittgenstein's ideas and contemporary cognitivist conceptions of the mental. Williams' theme throughout is the anti-individualism that she takes to underlie Wittgenstein's criticism of Cartesian thought. This book lays the foundation for a social conception of mind. This book addresses both Wittgenstein's later works as well as contemporary issues in philosophy of mind. It provides fresh insight into the later Wittgenstein and raises vital questions about the foundations of cognitivism and its wider implications on psychology and cognitive science.","event-place":"London","language":"en","number-of-pages":"350","publisher":"Routledge","publisher-place":"London","title":"Wittgenstein, Mind, and Meaning: Toward a Social Conception of Mind","title-short":"Wittgenstein, Mind, and Meaning","author":[{"family":"Williams","given":"Meredith"}],"issued":{"date-parts":[["2002"]]}}}],"schema":"https://github.com/citation-style-language/schema/raw/master/csl-citation.json"} </w:instrText>
      </w:r>
      <w:r>
        <w:fldChar w:fldCharType="separate"/>
      </w:r>
      <w:r w:rsidRPr="00296002">
        <w:rPr>
          <w:rFonts w:ascii="Calibri" w:hAnsi="Calibri" w:cs="Calibri"/>
          <w:szCs w:val="24"/>
        </w:rPr>
        <w:t xml:space="preserve">Meredith Williams, </w:t>
      </w:r>
      <w:r w:rsidRPr="00296002">
        <w:rPr>
          <w:rFonts w:ascii="Calibri" w:hAnsi="Calibri" w:cs="Calibri"/>
          <w:i/>
          <w:iCs/>
          <w:szCs w:val="24"/>
        </w:rPr>
        <w:t>Wittgenstein, Mind, and Meaning: Toward a Social Conception of Mind</w:t>
      </w:r>
      <w:r w:rsidRPr="00296002">
        <w:rPr>
          <w:rFonts w:ascii="Calibri" w:hAnsi="Calibri" w:cs="Calibri"/>
          <w:szCs w:val="24"/>
        </w:rPr>
        <w:t xml:space="preserve"> (London: Routledge, 2002).</w:t>
      </w:r>
      <w:r>
        <w:fldChar w:fldCharType="end"/>
      </w:r>
      <w:r w:rsidR="009F5A6A">
        <w:t xml:space="preserve"> P.162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830F69"/>
    <w:multiLevelType w:val="hybridMultilevel"/>
    <w:tmpl w:val="AC665D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2A753D"/>
    <w:multiLevelType w:val="hybridMultilevel"/>
    <w:tmpl w:val="0E820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BE254C"/>
    <w:multiLevelType w:val="hybridMultilevel"/>
    <w:tmpl w:val="DC66DA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313"/>
    <w:rsid w:val="00000CB5"/>
    <w:rsid w:val="00001299"/>
    <w:rsid w:val="00001E9A"/>
    <w:rsid w:val="00004FD1"/>
    <w:rsid w:val="00011249"/>
    <w:rsid w:val="00013425"/>
    <w:rsid w:val="0002170D"/>
    <w:rsid w:val="00026E35"/>
    <w:rsid w:val="00031650"/>
    <w:rsid w:val="00033FC4"/>
    <w:rsid w:val="00034313"/>
    <w:rsid w:val="00046885"/>
    <w:rsid w:val="00057B69"/>
    <w:rsid w:val="0006567C"/>
    <w:rsid w:val="000704B8"/>
    <w:rsid w:val="00080022"/>
    <w:rsid w:val="000A513D"/>
    <w:rsid w:val="000A6D61"/>
    <w:rsid w:val="000B1D10"/>
    <w:rsid w:val="000C3F5B"/>
    <w:rsid w:val="000D3B0F"/>
    <w:rsid w:val="000E56B3"/>
    <w:rsid w:val="00101696"/>
    <w:rsid w:val="00113FFE"/>
    <w:rsid w:val="001169F9"/>
    <w:rsid w:val="00122680"/>
    <w:rsid w:val="001258E5"/>
    <w:rsid w:val="00143E9B"/>
    <w:rsid w:val="0015083C"/>
    <w:rsid w:val="00161640"/>
    <w:rsid w:val="00165D5C"/>
    <w:rsid w:val="001958A3"/>
    <w:rsid w:val="001A18F0"/>
    <w:rsid w:val="001B6430"/>
    <w:rsid w:val="001D426B"/>
    <w:rsid w:val="001F03B4"/>
    <w:rsid w:val="0023265E"/>
    <w:rsid w:val="00263D59"/>
    <w:rsid w:val="00272AAB"/>
    <w:rsid w:val="0028017E"/>
    <w:rsid w:val="002841D2"/>
    <w:rsid w:val="002863A2"/>
    <w:rsid w:val="00296002"/>
    <w:rsid w:val="00296491"/>
    <w:rsid w:val="002D1001"/>
    <w:rsid w:val="002D3BA6"/>
    <w:rsid w:val="002E1E79"/>
    <w:rsid w:val="002E6527"/>
    <w:rsid w:val="002F13B8"/>
    <w:rsid w:val="002F6181"/>
    <w:rsid w:val="0030585C"/>
    <w:rsid w:val="00313B9C"/>
    <w:rsid w:val="003208AF"/>
    <w:rsid w:val="00331036"/>
    <w:rsid w:val="00334EED"/>
    <w:rsid w:val="00344D7B"/>
    <w:rsid w:val="00357AA6"/>
    <w:rsid w:val="00371BCC"/>
    <w:rsid w:val="00383A2E"/>
    <w:rsid w:val="00395A9C"/>
    <w:rsid w:val="003A1F83"/>
    <w:rsid w:val="003B62B7"/>
    <w:rsid w:val="003B6DB3"/>
    <w:rsid w:val="003C61F2"/>
    <w:rsid w:val="003C685D"/>
    <w:rsid w:val="003D5B9C"/>
    <w:rsid w:val="003D6385"/>
    <w:rsid w:val="003E5CD8"/>
    <w:rsid w:val="003F496F"/>
    <w:rsid w:val="003F4E92"/>
    <w:rsid w:val="003F7F60"/>
    <w:rsid w:val="00420AE2"/>
    <w:rsid w:val="004266B9"/>
    <w:rsid w:val="00440C68"/>
    <w:rsid w:val="00452ECF"/>
    <w:rsid w:val="004578C9"/>
    <w:rsid w:val="00463D99"/>
    <w:rsid w:val="00465D20"/>
    <w:rsid w:val="004A25DB"/>
    <w:rsid w:val="004A42CA"/>
    <w:rsid w:val="004B6B99"/>
    <w:rsid w:val="004C3DC7"/>
    <w:rsid w:val="004C7728"/>
    <w:rsid w:val="004D0F88"/>
    <w:rsid w:val="004D6218"/>
    <w:rsid w:val="004E1EFA"/>
    <w:rsid w:val="004E2EC0"/>
    <w:rsid w:val="004E5A51"/>
    <w:rsid w:val="004F3198"/>
    <w:rsid w:val="0050721D"/>
    <w:rsid w:val="00513281"/>
    <w:rsid w:val="0052403A"/>
    <w:rsid w:val="00527BA0"/>
    <w:rsid w:val="00531D6C"/>
    <w:rsid w:val="00542946"/>
    <w:rsid w:val="005565B6"/>
    <w:rsid w:val="00560419"/>
    <w:rsid w:val="005662D9"/>
    <w:rsid w:val="00576D51"/>
    <w:rsid w:val="005821FC"/>
    <w:rsid w:val="00590F59"/>
    <w:rsid w:val="0059127C"/>
    <w:rsid w:val="005A73EC"/>
    <w:rsid w:val="005A79F0"/>
    <w:rsid w:val="005B5609"/>
    <w:rsid w:val="005C1EAA"/>
    <w:rsid w:val="005C7E22"/>
    <w:rsid w:val="005C7E85"/>
    <w:rsid w:val="005D3DD8"/>
    <w:rsid w:val="005D3EDF"/>
    <w:rsid w:val="005E4DCC"/>
    <w:rsid w:val="006065D9"/>
    <w:rsid w:val="0061205D"/>
    <w:rsid w:val="0061272F"/>
    <w:rsid w:val="00631185"/>
    <w:rsid w:val="006401A9"/>
    <w:rsid w:val="00662C63"/>
    <w:rsid w:val="00684DBC"/>
    <w:rsid w:val="006850F9"/>
    <w:rsid w:val="00693715"/>
    <w:rsid w:val="00695E1A"/>
    <w:rsid w:val="006A3C7A"/>
    <w:rsid w:val="006E1F83"/>
    <w:rsid w:val="006F36AA"/>
    <w:rsid w:val="00717640"/>
    <w:rsid w:val="00721102"/>
    <w:rsid w:val="00724F63"/>
    <w:rsid w:val="0074213E"/>
    <w:rsid w:val="00744347"/>
    <w:rsid w:val="0075018B"/>
    <w:rsid w:val="00752C94"/>
    <w:rsid w:val="00755F9D"/>
    <w:rsid w:val="007575A5"/>
    <w:rsid w:val="007719A5"/>
    <w:rsid w:val="00781127"/>
    <w:rsid w:val="00791D10"/>
    <w:rsid w:val="00792DDA"/>
    <w:rsid w:val="00797A26"/>
    <w:rsid w:val="007A1A0C"/>
    <w:rsid w:val="007B7B49"/>
    <w:rsid w:val="007C13E8"/>
    <w:rsid w:val="007C1496"/>
    <w:rsid w:val="007C3319"/>
    <w:rsid w:val="007C76C7"/>
    <w:rsid w:val="007E78FB"/>
    <w:rsid w:val="007F0B01"/>
    <w:rsid w:val="00813F81"/>
    <w:rsid w:val="00826378"/>
    <w:rsid w:val="008369B5"/>
    <w:rsid w:val="00862F06"/>
    <w:rsid w:val="00864580"/>
    <w:rsid w:val="008663D2"/>
    <w:rsid w:val="0086686F"/>
    <w:rsid w:val="0087128A"/>
    <w:rsid w:val="00873707"/>
    <w:rsid w:val="00874350"/>
    <w:rsid w:val="00882BCD"/>
    <w:rsid w:val="00883699"/>
    <w:rsid w:val="008851C8"/>
    <w:rsid w:val="0089175D"/>
    <w:rsid w:val="008A424E"/>
    <w:rsid w:val="008B4652"/>
    <w:rsid w:val="008B4BD1"/>
    <w:rsid w:val="008D06DB"/>
    <w:rsid w:val="008D6B10"/>
    <w:rsid w:val="008E2A9B"/>
    <w:rsid w:val="008F7A8B"/>
    <w:rsid w:val="00900569"/>
    <w:rsid w:val="00902320"/>
    <w:rsid w:val="00911C23"/>
    <w:rsid w:val="00914218"/>
    <w:rsid w:val="00915CB6"/>
    <w:rsid w:val="00921872"/>
    <w:rsid w:val="009220E1"/>
    <w:rsid w:val="009272CF"/>
    <w:rsid w:val="0093422E"/>
    <w:rsid w:val="00936ADA"/>
    <w:rsid w:val="00936D05"/>
    <w:rsid w:val="00941E0C"/>
    <w:rsid w:val="0094492D"/>
    <w:rsid w:val="009513C4"/>
    <w:rsid w:val="00960326"/>
    <w:rsid w:val="00970793"/>
    <w:rsid w:val="009721CB"/>
    <w:rsid w:val="00974428"/>
    <w:rsid w:val="00977520"/>
    <w:rsid w:val="00981316"/>
    <w:rsid w:val="00995E1E"/>
    <w:rsid w:val="009B0B7A"/>
    <w:rsid w:val="009C5EBC"/>
    <w:rsid w:val="009F5A6A"/>
    <w:rsid w:val="00A055EE"/>
    <w:rsid w:val="00A1526B"/>
    <w:rsid w:val="00A2464F"/>
    <w:rsid w:val="00A30E09"/>
    <w:rsid w:val="00A321FA"/>
    <w:rsid w:val="00A35112"/>
    <w:rsid w:val="00A52C2A"/>
    <w:rsid w:val="00A763DF"/>
    <w:rsid w:val="00A774BC"/>
    <w:rsid w:val="00A86B83"/>
    <w:rsid w:val="00A92E2D"/>
    <w:rsid w:val="00A9548B"/>
    <w:rsid w:val="00AA6A44"/>
    <w:rsid w:val="00AA718B"/>
    <w:rsid w:val="00AC1159"/>
    <w:rsid w:val="00AC7A34"/>
    <w:rsid w:val="00AD32F6"/>
    <w:rsid w:val="00AE1E9C"/>
    <w:rsid w:val="00AE5522"/>
    <w:rsid w:val="00AE561A"/>
    <w:rsid w:val="00AF07D0"/>
    <w:rsid w:val="00AF27BD"/>
    <w:rsid w:val="00AF2AAB"/>
    <w:rsid w:val="00B4355F"/>
    <w:rsid w:val="00B5120E"/>
    <w:rsid w:val="00B64670"/>
    <w:rsid w:val="00B71E0D"/>
    <w:rsid w:val="00B73A84"/>
    <w:rsid w:val="00B83F52"/>
    <w:rsid w:val="00B911A4"/>
    <w:rsid w:val="00B91CE7"/>
    <w:rsid w:val="00BA7203"/>
    <w:rsid w:val="00BB113B"/>
    <w:rsid w:val="00BB33AA"/>
    <w:rsid w:val="00BB4A65"/>
    <w:rsid w:val="00BC3803"/>
    <w:rsid w:val="00BD10C7"/>
    <w:rsid w:val="00BE2AF7"/>
    <w:rsid w:val="00BE50C2"/>
    <w:rsid w:val="00BE5E91"/>
    <w:rsid w:val="00BF5502"/>
    <w:rsid w:val="00BF7D46"/>
    <w:rsid w:val="00C01E7B"/>
    <w:rsid w:val="00C15D66"/>
    <w:rsid w:val="00C16E21"/>
    <w:rsid w:val="00C339AA"/>
    <w:rsid w:val="00C364CD"/>
    <w:rsid w:val="00C853BC"/>
    <w:rsid w:val="00C9067E"/>
    <w:rsid w:val="00C91A71"/>
    <w:rsid w:val="00C96CF7"/>
    <w:rsid w:val="00CA63D0"/>
    <w:rsid w:val="00CA71AC"/>
    <w:rsid w:val="00CC1244"/>
    <w:rsid w:val="00CC66C3"/>
    <w:rsid w:val="00CD18BA"/>
    <w:rsid w:val="00CD1A9D"/>
    <w:rsid w:val="00CD742A"/>
    <w:rsid w:val="00CF23CC"/>
    <w:rsid w:val="00CF507D"/>
    <w:rsid w:val="00CF5A98"/>
    <w:rsid w:val="00CF7879"/>
    <w:rsid w:val="00D0307E"/>
    <w:rsid w:val="00D1373B"/>
    <w:rsid w:val="00D17A01"/>
    <w:rsid w:val="00D2132E"/>
    <w:rsid w:val="00D35C6A"/>
    <w:rsid w:val="00D41C3F"/>
    <w:rsid w:val="00D43277"/>
    <w:rsid w:val="00D51118"/>
    <w:rsid w:val="00D55172"/>
    <w:rsid w:val="00D84BE2"/>
    <w:rsid w:val="00D858D1"/>
    <w:rsid w:val="00DB1D9D"/>
    <w:rsid w:val="00DB7722"/>
    <w:rsid w:val="00DC0116"/>
    <w:rsid w:val="00DC611F"/>
    <w:rsid w:val="00DD3BAB"/>
    <w:rsid w:val="00DD6FC0"/>
    <w:rsid w:val="00DD78AD"/>
    <w:rsid w:val="00DF3ACA"/>
    <w:rsid w:val="00E06D3B"/>
    <w:rsid w:val="00E1272F"/>
    <w:rsid w:val="00E36710"/>
    <w:rsid w:val="00E4751A"/>
    <w:rsid w:val="00E62AE3"/>
    <w:rsid w:val="00E66464"/>
    <w:rsid w:val="00E711F6"/>
    <w:rsid w:val="00E7416D"/>
    <w:rsid w:val="00E75256"/>
    <w:rsid w:val="00E77BBC"/>
    <w:rsid w:val="00E8312E"/>
    <w:rsid w:val="00EB1439"/>
    <w:rsid w:val="00EB3E7B"/>
    <w:rsid w:val="00F05ABF"/>
    <w:rsid w:val="00F143D9"/>
    <w:rsid w:val="00F23A66"/>
    <w:rsid w:val="00F34F06"/>
    <w:rsid w:val="00F57E15"/>
    <w:rsid w:val="00F65C00"/>
    <w:rsid w:val="00F9234F"/>
    <w:rsid w:val="00F95DC1"/>
    <w:rsid w:val="00FA272F"/>
    <w:rsid w:val="00FA5C82"/>
    <w:rsid w:val="00FB2090"/>
    <w:rsid w:val="00FC6A05"/>
    <w:rsid w:val="00FD2219"/>
    <w:rsid w:val="00FE3B2F"/>
    <w:rsid w:val="00FE5723"/>
    <w:rsid w:val="00FF243A"/>
    <w:rsid w:val="00FF72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07427"/>
  <w15:docId w15:val="{D0D6CBCB-F1D8-4F17-B588-42E088AC6F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343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4313"/>
    <w:rPr>
      <w:rFonts w:ascii="Tahoma" w:hAnsi="Tahoma" w:cs="Tahoma"/>
      <w:sz w:val="16"/>
      <w:szCs w:val="16"/>
    </w:rPr>
  </w:style>
  <w:style w:type="paragraph" w:styleId="ListParagraph">
    <w:name w:val="List Paragraph"/>
    <w:basedOn w:val="Normal"/>
    <w:uiPriority w:val="34"/>
    <w:qFormat/>
    <w:rsid w:val="00034313"/>
    <w:pPr>
      <w:ind w:left="720"/>
      <w:contextualSpacing/>
    </w:pPr>
  </w:style>
  <w:style w:type="paragraph" w:styleId="FootnoteText">
    <w:name w:val="footnote text"/>
    <w:basedOn w:val="Normal"/>
    <w:link w:val="FootnoteTextChar"/>
    <w:uiPriority w:val="99"/>
    <w:semiHidden/>
    <w:unhideWhenUsed/>
    <w:rsid w:val="007F0B0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F0B01"/>
    <w:rPr>
      <w:sz w:val="20"/>
      <w:szCs w:val="20"/>
    </w:rPr>
  </w:style>
  <w:style w:type="character" w:styleId="FootnoteReference">
    <w:name w:val="footnote reference"/>
    <w:basedOn w:val="DefaultParagraphFont"/>
    <w:uiPriority w:val="99"/>
    <w:semiHidden/>
    <w:unhideWhenUsed/>
    <w:rsid w:val="007F0B01"/>
    <w:rPr>
      <w:vertAlign w:val="superscript"/>
    </w:rPr>
  </w:style>
  <w:style w:type="paragraph" w:styleId="Bibliography">
    <w:name w:val="Bibliography"/>
    <w:basedOn w:val="Normal"/>
    <w:next w:val="Normal"/>
    <w:uiPriority w:val="37"/>
    <w:unhideWhenUsed/>
    <w:rsid w:val="00FE3B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1DCDABCFA65E84D8B810BF0C5457A5E" ma:contentTypeVersion="4" ma:contentTypeDescription="Create a new document." ma:contentTypeScope="" ma:versionID="6434fdbb12a238defb5780c7082a8490">
  <xsd:schema xmlns:xsd="http://www.w3.org/2001/XMLSchema" xmlns:xs="http://www.w3.org/2001/XMLSchema" xmlns:p="http://schemas.microsoft.com/office/2006/metadata/properties" xmlns:ns3="7ac54d59-15ae-468f-8833-3c6b8f4d3013" targetNamespace="http://schemas.microsoft.com/office/2006/metadata/properties" ma:root="true" ma:fieldsID="81363d5ca55745a6c5130c61dd3ef80c" ns3:_="">
    <xsd:import namespace="7ac54d59-15ae-468f-8833-3c6b8f4d301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c54d59-15ae-468f-8833-3c6b8f4d301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64DD90-35D3-4FD1-9382-3548998A041B}">
  <ds:schemaRefs>
    <ds:schemaRef ds:uri="http://schemas.microsoft.com/sharepoint/v3/contenttype/forms"/>
  </ds:schemaRefs>
</ds:datastoreItem>
</file>

<file path=customXml/itemProps2.xml><?xml version="1.0" encoding="utf-8"?>
<ds:datastoreItem xmlns:ds="http://schemas.openxmlformats.org/officeDocument/2006/customXml" ds:itemID="{DC7F44B9-E23F-47B4-9D8E-9F36FF88AD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c54d59-15ae-468f-8833-3c6b8f4d301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3B9E3BE-D12A-4EAC-A155-B00AFD21E9F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21935F7-7002-4999-8D08-123C963BB3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1274</Words>
  <Characters>7263</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Jay Andrew Cassels (1602332)</cp:lastModifiedBy>
  <cp:revision>2</cp:revision>
  <dcterms:created xsi:type="dcterms:W3CDTF">2022-02-06T17:02:00Z</dcterms:created>
  <dcterms:modified xsi:type="dcterms:W3CDTF">2022-02-06T17:02:00Z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zotero-version="5.0.96.3"&gt;&lt;session id="u309GrGR"/&gt;&lt;style id="http://www.zotero.org/styles/modern-humanities-research-association" hasBibliography="1" bibliographyStyleHasBeenSet="1"/&gt;&lt;prefs&gt;&lt;pref name="fieldType" value="Field"/&gt;&lt;pre</vt:lpwstr>
  </property>
  <property fmtid="{D5CDD505-2E9C-101B-9397-08002B2CF9AE}" pid="3" name="ZOTERO_PREF_2">
    <vt:lpwstr>f name="automaticJournalAbbreviations" value="true"/&gt;&lt;pref name="noteType" value="1"/&gt;&lt;/prefs&gt;&lt;/data&gt;</vt:lpwstr>
  </property>
  <property fmtid="{D5CDD505-2E9C-101B-9397-08002B2CF9AE}" pid="4" name="ContentTypeId">
    <vt:lpwstr>0x01010071DCDABCFA65E84D8B810BF0C5457A5E</vt:lpwstr>
  </property>
</Properties>
</file>