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5" w14:textId="77777777" w:rsidR="00323B18" w:rsidRDefault="00323B18" w:rsidP="002065AA">
      <w:pPr>
        <w:spacing w:line="360" w:lineRule="auto"/>
        <w:jc w:val="center"/>
        <w:rPr>
          <w:rFonts w:ascii="Times New Roman" w:eastAsia="Times New Roman" w:hAnsi="Times New Roman" w:cs="Times New Roman"/>
          <w:b/>
          <w:sz w:val="32"/>
          <w:szCs w:val="32"/>
        </w:rPr>
      </w:pPr>
    </w:p>
    <w:p w14:paraId="00000006" w14:textId="34992CF3" w:rsidR="00323B18" w:rsidRDefault="00914C74" w:rsidP="00914C74">
      <w:pPr>
        <w:spacing w:line="360" w:lineRule="auto"/>
        <w:rPr>
          <w:rFonts w:ascii="Times New Roman" w:eastAsia="Times New Roman" w:hAnsi="Times New Roman" w:cs="Times New Roman"/>
          <w:b/>
          <w:sz w:val="32"/>
          <w:szCs w:val="32"/>
        </w:rPr>
      </w:pPr>
      <w:r>
        <w:rPr>
          <w:noProof/>
        </w:rPr>
        <w:drawing>
          <wp:inline distT="0" distB="0" distL="0" distR="0" wp14:anchorId="735E2BF5" wp14:editId="622A1A6D">
            <wp:extent cx="1809750" cy="676275"/>
            <wp:effectExtent l="0" t="0" r="0" b="9525"/>
            <wp:docPr id="1" name="Image 1" descr="A black and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ack and white text&#10;&#10;Description automatically generated"/>
                    <pic:cNvPicPr>
                      <a:picLocks/>
                    </pic:cNvPicPr>
                  </pic:nvPicPr>
                  <pic:blipFill>
                    <a:blip r:embed="rId8" cstate="print"/>
                    <a:stretch>
                      <a:fillRect/>
                    </a:stretch>
                  </pic:blipFill>
                  <pic:spPr>
                    <a:xfrm>
                      <a:off x="0" y="0"/>
                      <a:ext cx="1809750" cy="676275"/>
                    </a:xfrm>
                    <a:prstGeom prst="rect">
                      <a:avLst/>
                    </a:prstGeom>
                  </pic:spPr>
                </pic:pic>
              </a:graphicData>
            </a:graphic>
          </wp:inline>
        </w:drawing>
      </w:r>
    </w:p>
    <w:p w14:paraId="00000007" w14:textId="77777777" w:rsidR="00323B18" w:rsidRDefault="00323B18" w:rsidP="002065AA">
      <w:pPr>
        <w:spacing w:line="360" w:lineRule="auto"/>
        <w:jc w:val="center"/>
        <w:rPr>
          <w:rFonts w:ascii="Times New Roman" w:eastAsia="Times New Roman" w:hAnsi="Times New Roman" w:cs="Times New Roman"/>
          <w:b/>
          <w:sz w:val="32"/>
          <w:szCs w:val="32"/>
        </w:rPr>
      </w:pPr>
    </w:p>
    <w:p w14:paraId="00000008" w14:textId="77777777" w:rsidR="00323B18" w:rsidRDefault="00323B18" w:rsidP="002065AA">
      <w:pPr>
        <w:spacing w:line="360" w:lineRule="auto"/>
        <w:jc w:val="center"/>
        <w:rPr>
          <w:rFonts w:ascii="Times New Roman" w:eastAsia="Times New Roman" w:hAnsi="Times New Roman" w:cs="Times New Roman"/>
          <w:b/>
          <w:sz w:val="32"/>
          <w:szCs w:val="32"/>
        </w:rPr>
      </w:pPr>
    </w:p>
    <w:p w14:paraId="00000009" w14:textId="77777777" w:rsidR="00323B18" w:rsidRDefault="00323B18" w:rsidP="002065AA">
      <w:pPr>
        <w:spacing w:line="360" w:lineRule="auto"/>
        <w:jc w:val="center"/>
        <w:rPr>
          <w:rFonts w:ascii="Times New Roman" w:eastAsia="Times New Roman" w:hAnsi="Times New Roman" w:cs="Times New Roman"/>
          <w:b/>
          <w:sz w:val="32"/>
          <w:szCs w:val="32"/>
        </w:rPr>
      </w:pPr>
    </w:p>
    <w:p w14:paraId="0000000A" w14:textId="77777777" w:rsidR="00323B18" w:rsidRDefault="00323B18" w:rsidP="002065AA">
      <w:pPr>
        <w:spacing w:line="360" w:lineRule="auto"/>
        <w:jc w:val="center"/>
        <w:rPr>
          <w:rFonts w:ascii="Times New Roman" w:eastAsia="Times New Roman" w:hAnsi="Times New Roman" w:cs="Times New Roman"/>
          <w:b/>
          <w:sz w:val="32"/>
          <w:szCs w:val="32"/>
        </w:rPr>
      </w:pPr>
    </w:p>
    <w:p w14:paraId="0000000B" w14:textId="77777777" w:rsidR="00323B18" w:rsidRDefault="00323B18" w:rsidP="002065AA">
      <w:pPr>
        <w:spacing w:line="360" w:lineRule="auto"/>
        <w:jc w:val="center"/>
        <w:rPr>
          <w:rFonts w:ascii="Times New Roman" w:eastAsia="Times New Roman" w:hAnsi="Times New Roman" w:cs="Times New Roman"/>
          <w:b/>
          <w:sz w:val="32"/>
          <w:szCs w:val="32"/>
        </w:rPr>
      </w:pPr>
    </w:p>
    <w:p w14:paraId="0000000C" w14:textId="77777777" w:rsidR="00323B18" w:rsidRDefault="00323B18" w:rsidP="002065AA">
      <w:pPr>
        <w:spacing w:line="360" w:lineRule="auto"/>
        <w:jc w:val="center"/>
        <w:rPr>
          <w:rFonts w:ascii="Times New Roman" w:eastAsia="Times New Roman" w:hAnsi="Times New Roman" w:cs="Times New Roman"/>
          <w:b/>
          <w:sz w:val="32"/>
          <w:szCs w:val="32"/>
        </w:rPr>
      </w:pPr>
    </w:p>
    <w:p w14:paraId="0000000D" w14:textId="62DEBD5A" w:rsidR="00323B18" w:rsidRDefault="00337510" w:rsidP="002065A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Course work : Essay </w:t>
      </w:r>
    </w:p>
    <w:p w14:paraId="0000000E" w14:textId="77777777" w:rsidR="00323B18" w:rsidRDefault="00323B18" w:rsidP="002065AA">
      <w:pPr>
        <w:spacing w:line="360" w:lineRule="auto"/>
        <w:jc w:val="center"/>
        <w:rPr>
          <w:rFonts w:ascii="Times New Roman" w:eastAsia="Times New Roman" w:hAnsi="Times New Roman" w:cs="Times New Roman"/>
          <w:b/>
          <w:sz w:val="32"/>
          <w:szCs w:val="32"/>
        </w:rPr>
      </w:pPr>
    </w:p>
    <w:p w14:paraId="2EC7F0D4" w14:textId="40DBCA9F" w:rsidR="00337510" w:rsidRDefault="00337510" w:rsidP="002065A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NAME : </w:t>
      </w:r>
      <w:r w:rsidR="00583B86">
        <w:rPr>
          <w:rFonts w:ascii="Times New Roman" w:eastAsia="Times New Roman" w:hAnsi="Times New Roman" w:cs="Times New Roman"/>
          <w:b/>
          <w:sz w:val="32"/>
          <w:szCs w:val="32"/>
        </w:rPr>
        <w:t>MANAGEMENT ECONOMICS</w:t>
      </w:r>
    </w:p>
    <w:p w14:paraId="7719D52C" w14:textId="77777777" w:rsidR="00337510" w:rsidRDefault="00337510" w:rsidP="002065A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 LCBB5008</w:t>
      </w:r>
    </w:p>
    <w:p w14:paraId="5E74AD0A" w14:textId="77777777" w:rsidR="00337510" w:rsidRDefault="00337510" w:rsidP="002065A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 CRINA MIHUT </w:t>
      </w:r>
    </w:p>
    <w:p w14:paraId="4B0ED6CC" w14:textId="640CBE9F" w:rsidR="00337510" w:rsidRDefault="00337510" w:rsidP="002065A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 2218982</w:t>
      </w:r>
    </w:p>
    <w:p w14:paraId="0000000F" w14:textId="53E58CFC" w:rsidR="00323B18" w:rsidRDefault="00337510" w:rsidP="002065A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 RIAZ BHATTI </w:t>
      </w:r>
      <w:r w:rsidR="00583B86">
        <w:rPr>
          <w:rFonts w:ascii="Times New Roman" w:eastAsia="Times New Roman" w:hAnsi="Times New Roman" w:cs="Times New Roman"/>
          <w:b/>
          <w:sz w:val="32"/>
          <w:szCs w:val="32"/>
        </w:rPr>
        <w:t xml:space="preserve"> </w:t>
      </w:r>
    </w:p>
    <w:p w14:paraId="7CB6A198" w14:textId="05623B0F" w:rsidR="002065AA" w:rsidRDefault="002065AA" w:rsidP="002065AA">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00000013" w14:textId="77777777" w:rsidR="00323B18" w:rsidRDefault="008F48E5" w:rsidP="002065AA">
      <w:pPr>
        <w:pStyle w:val="Heading1"/>
        <w:rPr>
          <w:b w:val="0"/>
        </w:rPr>
      </w:pPr>
      <w:bookmarkStart w:id="0" w:name="_Toc171951494"/>
      <w:r>
        <w:lastRenderedPageBreak/>
        <w:t>Introduction</w:t>
      </w:r>
      <w:bookmarkEnd w:id="0"/>
      <w:r>
        <w:t xml:space="preserve"> </w:t>
      </w:r>
    </w:p>
    <w:p w14:paraId="00000014" w14:textId="77777777"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has been severely affected by COVID-19, which has disrupted daily life, health services, and the global economy. The epidemic changed buyer behaviour, lowered travel, and disrupted supply chains worldwide. Businesses in the UK had to quickly adjust to faraway employment and new safety regulations, as well as deal with unforeseen obstacles including restrictions and decreased demand.</w:t>
      </w:r>
    </w:p>
    <w:p w14:paraId="00000015" w14:textId="77777777" w:rsidR="00323B18" w:rsidRDefault="008F48E5" w:rsidP="002065AA">
      <w:pPr>
        <w:pStyle w:val="Heading1"/>
      </w:pPr>
      <w:bookmarkStart w:id="1" w:name="_Toc171951495"/>
      <w:r>
        <w:t>Fundamental economic problems</w:t>
      </w:r>
      <w:bookmarkEnd w:id="1"/>
    </w:p>
    <w:p w14:paraId="00000016" w14:textId="32C26D8D"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Coronavirus pandemic has highlighted and exacerbated a few crucial monetary issues, especially inside the setting of the UK and its dependence on worldwide stock chains. One of the essential issues featured is the delicacy and interconnectedness of worldwide stock chains. The pandemic made huge disturbances due unexpected lockdowns, line terminations, and limitations on development, prompting a fountain of store network disappointments. For example, as labourers became sick or were likely to take isolation measures, creation eased back or halted completely. This was intensified by strategic difficulties, for example, port terminations and diminished delivery limits, which deferred the transportation of merchandise. The UK, in the same way as other created economies, depends vigorously on the consistent working of these stockpile chains for both bringing in unrefined components and trading completed items. The pandemic-actuated disturbances prompted deficiencies in different areas, uncovering the weakness of without a moment to spare stock frameworks</w:t>
      </w:r>
      <w:r w:rsidR="00583B86">
        <w:rPr>
          <w:rFonts w:ascii="Times New Roman" w:eastAsia="Times New Roman" w:hAnsi="Times New Roman" w:cs="Times New Roman"/>
          <w:sz w:val="24"/>
          <w:szCs w:val="24"/>
        </w:rPr>
        <w:t xml:space="preserve"> (</w:t>
      </w:r>
      <w:r w:rsidR="00583B86" w:rsidRPr="00583B86">
        <w:rPr>
          <w:rFonts w:ascii="Times New Roman" w:hAnsi="Times New Roman" w:cs="Times New Roman"/>
          <w:color w:val="222222"/>
          <w:sz w:val="24"/>
          <w:szCs w:val="24"/>
          <w:shd w:val="clear" w:color="auto" w:fill="FFFFFF"/>
        </w:rPr>
        <w:t>Graham, 2023</w:t>
      </w:r>
      <w:r w:rsidR="00583B86">
        <w:rPr>
          <w:rFonts w:ascii="Times New Roman" w:eastAsia="Times New Roman" w:hAnsi="Times New Roman" w:cs="Times New Roman"/>
          <w:sz w:val="24"/>
          <w:szCs w:val="24"/>
        </w:rPr>
        <w:t>)</w:t>
      </w:r>
      <w:r>
        <w:rPr>
          <w:rFonts w:ascii="Times New Roman" w:eastAsia="Times New Roman" w:hAnsi="Times New Roman" w:cs="Times New Roman"/>
          <w:sz w:val="24"/>
          <w:szCs w:val="24"/>
        </w:rPr>
        <w:t>. These frameworks, while productive under typical conditions, demonstrated insufficient during the emergency, as they come up short on cushion expected to ingest abrupt shocks. The lack of work, especially drivers, further intensified the issue, as it hindered the conveyance of products, including fundamental things like fuel.</w:t>
      </w:r>
    </w:p>
    <w:p w14:paraId="551B42D5" w14:textId="5FC8CE56" w:rsidR="00583B86"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has added one more layer of intricacy to the UK's financial difficulties. The flight of EU nationals, a large number of whom were utilised in basic areas like transportation, exacerbated the work deficiencies. The mix of Brexit and Coronavirus made a powerful coincidence where the standard progression of work and products was seriously upset. This present circumstance featured the UK's reliance on traveller work and the challenges in rapidly supplanting this labour force in the midst of rigid migration arrangements and wellbeing related limitations. One critical repercussion of these store network interruptions has been inflationary tensions. With scaled down supply and consistent or expanded request, costs have unavoidably risen</w:t>
      </w:r>
      <w:r w:rsidR="00583B86">
        <w:rPr>
          <w:rFonts w:ascii="Times New Roman" w:eastAsia="Times New Roman" w:hAnsi="Times New Roman" w:cs="Times New Roman"/>
          <w:sz w:val="24"/>
          <w:szCs w:val="24"/>
        </w:rPr>
        <w:t xml:space="preserve"> (</w:t>
      </w:r>
      <w:r w:rsidR="00583B86" w:rsidRPr="00583B86">
        <w:rPr>
          <w:rFonts w:ascii="Times New Roman" w:hAnsi="Times New Roman" w:cs="Times New Roman"/>
          <w:color w:val="222222"/>
          <w:sz w:val="24"/>
          <w:szCs w:val="24"/>
          <w:shd w:val="clear" w:color="auto" w:fill="FFFFFF"/>
        </w:rPr>
        <w:t>Hao</w:t>
      </w:r>
      <w:r w:rsidR="00583B86">
        <w:rPr>
          <w:rFonts w:ascii="Times New Roman" w:hAnsi="Times New Roman" w:cs="Times New Roman"/>
          <w:color w:val="222222"/>
          <w:sz w:val="24"/>
          <w:szCs w:val="24"/>
          <w:shd w:val="clear" w:color="auto" w:fill="FFFFFF"/>
        </w:rPr>
        <w:t xml:space="preserve"> et al., 202</w:t>
      </w:r>
      <w:r w:rsidR="002065AA">
        <w:rPr>
          <w:rFonts w:ascii="Times New Roman" w:hAnsi="Times New Roman" w:cs="Times New Roman"/>
          <w:color w:val="222222"/>
          <w:sz w:val="24"/>
          <w:szCs w:val="24"/>
          <w:shd w:val="clear" w:color="auto" w:fill="FFFFFF"/>
        </w:rPr>
        <w:t>0</w:t>
      </w:r>
      <w:r w:rsidR="00583B8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w:t>
      </w:r>
      <w:r>
        <w:rPr>
          <w:rFonts w:ascii="Times New Roman" w:eastAsia="Times New Roman" w:hAnsi="Times New Roman" w:cs="Times New Roman"/>
          <w:sz w:val="24"/>
          <w:szCs w:val="24"/>
        </w:rPr>
        <w:lastRenderedPageBreak/>
        <w:t>was especially apparent in the fuel area, where the lack of drivers prompted calculated bottlenecks, causing alarm purchasing and critical cost climbs. The flood in fuel costs had an expanding influence, expanding transportation costs and thus the expense of labour and products across the economy. The change in purchaser conduct from administrations to products during the pandemic further stressed supply chains. As individuals invested more energy at home, interest for home merchandise, hardware, and other unmistakable items took off</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Sharma</w:t>
      </w:r>
      <w:r w:rsidR="002065AA">
        <w:rPr>
          <w:rFonts w:ascii="Times New Roman" w:hAnsi="Times New Roman" w:cs="Times New Roman"/>
          <w:color w:val="222222"/>
          <w:sz w:val="24"/>
          <w:szCs w:val="24"/>
          <w:shd w:val="clear" w:color="auto" w:fill="FFFFFF"/>
        </w:rPr>
        <w:t xml:space="preserve"> et al., 2024</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18" w14:textId="201ED772"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difficulties featured by the pandemic have additionally stressed the significance of versatility and enhancement in supply chains. Over-dependence on unambiguous nations or districts for basic supplies ended up being a critical weakness. Subsequently, there has been a push towards expanding supply sources and expanding homegrown creation capacities where doable. This methodology means to relieve the gamble of future interruptions and assemble more vigorous and strong stockpile chains. Moreover, the pandemic has sped up the reception of innovation in store networks on the board. Advanced instruments, robotization, and constant information examination have become fundamental for exploring the intricacies of current stockpile chains. These advances empower better perceivability, more precise interest determination, and speedier reaction times to disturbances, assisting with streamlining a portion of the difficulties looked during the pandemic</w:t>
      </w:r>
      <w:r w:rsidR="00583B8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emergency has highlighted the requirement for stronger and differentiated supply chains, better labour force arranging, and the essential utilisation of innovation to upgrade production networks of executives</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Mohsin</w:t>
      </w:r>
      <w:r w:rsidR="002065AA">
        <w:rPr>
          <w:rFonts w:ascii="Times New Roman" w:hAnsi="Times New Roman" w:cs="Times New Roman"/>
          <w:color w:val="222222"/>
          <w:sz w:val="24"/>
          <w:szCs w:val="24"/>
          <w:shd w:val="clear" w:color="auto" w:fill="FFFFFF"/>
        </w:rPr>
        <w:t xml:space="preserve"> et al., 2020</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Resolving these issues is critical for moderating the effect of future disturbances and guaranteeing the soundness and productivity of worldwide monetary frameworks. The experience has likewise built up the significance of spryness and versatility in both business procedures and strategy structures, as economies explore the intricacies of a post-pandemic world.</w:t>
      </w:r>
    </w:p>
    <w:p w14:paraId="00000019" w14:textId="77777777" w:rsidR="00323B18" w:rsidRDefault="008F48E5" w:rsidP="002065AA">
      <w:pPr>
        <w:pStyle w:val="Heading1"/>
      </w:pPr>
      <w:bookmarkStart w:id="2" w:name="_Toc171951496"/>
      <w:r>
        <w:t>Ways in which the economic problems can be resolved</w:t>
      </w:r>
      <w:bookmarkEnd w:id="2"/>
    </w:p>
    <w:p w14:paraId="0000001A" w14:textId="77777777"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issues uncovered by the Coronavirus pandemic and Brexit require a complex methodology including government intercession, business development, and worldwide participation. The following are a few procedures that can assist with tending to these difficulties really: </w:t>
      </w:r>
    </w:p>
    <w:p w14:paraId="0000001C" w14:textId="16854F30"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Unofficial law and Support:</w:t>
      </w:r>
      <w:r>
        <w:rPr>
          <w:rFonts w:ascii="Times New Roman" w:eastAsia="Times New Roman" w:hAnsi="Times New Roman" w:cs="Times New Roman"/>
          <w:sz w:val="24"/>
          <w:szCs w:val="24"/>
        </w:rPr>
        <w:t xml:space="preserve"> The public authority can assume an essential part in settling supply chains through smart guidelines and monetary help. Loosening up a portion of the rigid </w:t>
      </w:r>
      <w:r>
        <w:rPr>
          <w:rFonts w:ascii="Times New Roman" w:eastAsia="Times New Roman" w:hAnsi="Times New Roman" w:cs="Times New Roman"/>
          <w:sz w:val="24"/>
          <w:szCs w:val="24"/>
        </w:rPr>
        <w:lastRenderedPageBreak/>
        <w:t>Coronavirus rules, like facilitating limitations on movement and operations, can assist with relieving quick store network interruptions. Besides, fostering a committed deficiency supervisory crew can empower quick reaction to arising inventory network issues, guaranteeing a stronger framework. Offering monetary help to basic ventures through appropriations, awards, and low-premium credits can assist organisations with enduring financial vulnerabilities and put resources into long haul flexibility</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Yu</w:t>
      </w:r>
      <w:r w:rsidR="002065AA">
        <w:rPr>
          <w:rFonts w:ascii="Times New Roman" w:hAnsi="Times New Roman" w:cs="Times New Roman"/>
          <w:color w:val="222222"/>
          <w:sz w:val="24"/>
          <w:szCs w:val="24"/>
          <w:shd w:val="clear" w:color="auto" w:fill="FFFFFF"/>
        </w:rPr>
        <w:t xml:space="preserve"> et al., 2021</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Movement Policies:</w:t>
      </w:r>
      <w:r>
        <w:rPr>
          <w:rFonts w:ascii="Times New Roman" w:eastAsia="Times New Roman" w:hAnsi="Times New Roman" w:cs="Times New Roman"/>
          <w:sz w:val="24"/>
          <w:szCs w:val="24"/>
        </w:rPr>
        <w:t xml:space="preserve"> The work deficiencies exacerbated by Brexit and the pandemic feature the requirement for adaptable and logical migration arrangements. Facilitating migration limitations and making pathways for fundamental specialists, especially in areas like transportation and planned operations, can assist with lightning work deficiencies. Also, programs that draw in talented specialists and hold them through long-lasting residency choices can fortify the labour force and lessen reliance on brief work. </w:t>
      </w:r>
    </w:p>
    <w:p w14:paraId="0000001E" w14:textId="65145F4E"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Improving Provider Collaborations:</w:t>
      </w:r>
      <w:r>
        <w:rPr>
          <w:rFonts w:ascii="Times New Roman" w:eastAsia="Times New Roman" w:hAnsi="Times New Roman" w:cs="Times New Roman"/>
          <w:sz w:val="24"/>
          <w:szCs w:val="24"/>
        </w:rPr>
        <w:t xml:space="preserve"> Reinforcing joint efforts among providers and organisations is fundamental for making hearty inventory organisations. State run administrations and industry bodies can work with these joint efforts through systems administration occasions, exchange fairs, and computerised stages that associate providers with likely accomplices. Empowering joint endeavours and associations can likewise assist organisations with sharing assets and aptitude, prompting more productive and tough stock chains. </w:t>
      </w:r>
      <w:r>
        <w:rPr>
          <w:rFonts w:ascii="Times New Roman" w:eastAsia="Times New Roman" w:hAnsi="Times New Roman" w:cs="Times New Roman"/>
          <w:b/>
          <w:i/>
          <w:sz w:val="24"/>
          <w:szCs w:val="24"/>
        </w:rPr>
        <w:t>Squander Decrease and Sustainability:</w:t>
      </w:r>
      <w:r>
        <w:rPr>
          <w:rFonts w:ascii="Times New Roman" w:eastAsia="Times New Roman" w:hAnsi="Times New Roman" w:cs="Times New Roman"/>
          <w:sz w:val="24"/>
          <w:szCs w:val="24"/>
        </w:rPr>
        <w:t xml:space="preserve"> Making elective ways of diminishing waste is essential for further developing inventory network productivity. Organisations can take on roundabout economy standards, where items are intended for reuse, reusing, and remanufacturing. Government motivators for feasible practices, for example, tax reductions and awards for green drives, can additionally urge organisations to embrace these techniques</w:t>
      </w:r>
      <w:r w:rsidR="002065AA">
        <w:rPr>
          <w:rFonts w:ascii="Times New Roman" w:eastAsia="Times New Roman" w:hAnsi="Times New Roman" w:cs="Times New Roman"/>
          <w:sz w:val="24"/>
          <w:szCs w:val="24"/>
        </w:rPr>
        <w:t xml:space="preserve"> (</w:t>
      </w:r>
      <w:proofErr w:type="spellStart"/>
      <w:r w:rsidR="002065AA" w:rsidRPr="00583B86">
        <w:rPr>
          <w:rFonts w:ascii="Times New Roman" w:hAnsi="Times New Roman" w:cs="Times New Roman"/>
          <w:color w:val="222222"/>
          <w:sz w:val="24"/>
          <w:szCs w:val="24"/>
          <w:shd w:val="clear" w:color="auto" w:fill="FFFFFF"/>
        </w:rPr>
        <w:t>Angner</w:t>
      </w:r>
      <w:proofErr w:type="spellEnd"/>
      <w:r w:rsidR="002065AA" w:rsidRPr="00583B86">
        <w:rPr>
          <w:rFonts w:ascii="Times New Roman" w:hAnsi="Times New Roman" w:cs="Times New Roman"/>
          <w:color w:val="222222"/>
          <w:sz w:val="24"/>
          <w:szCs w:val="24"/>
          <w:shd w:val="clear" w:color="auto" w:fill="FFFFFF"/>
        </w:rPr>
        <w:t>, 2020</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20" w14:textId="4C585111"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Production network Appraisal and Improvement:</w:t>
      </w:r>
      <w:r>
        <w:rPr>
          <w:rFonts w:ascii="Times New Roman" w:eastAsia="Times New Roman" w:hAnsi="Times New Roman" w:cs="Times New Roman"/>
          <w:sz w:val="24"/>
          <w:szCs w:val="24"/>
        </w:rPr>
        <w:t xml:space="preserve"> Consistently evaluating and further developing production network processes is imperative for recognizing weaknesses and executing restorative measures. Organisations ought to direct careful reviews of their inventory chains to pinpoint failure points and shortcomings. These instruments empower organisations to expect disturbances and change activities proactively. </w:t>
      </w:r>
      <w:r>
        <w:rPr>
          <w:rFonts w:ascii="Times New Roman" w:eastAsia="Times New Roman" w:hAnsi="Times New Roman" w:cs="Times New Roman"/>
          <w:b/>
          <w:i/>
          <w:sz w:val="24"/>
          <w:szCs w:val="24"/>
        </w:rPr>
        <w:t>Value Management:</w:t>
      </w:r>
      <w:r>
        <w:rPr>
          <w:rFonts w:ascii="Times New Roman" w:eastAsia="Times New Roman" w:hAnsi="Times New Roman" w:cs="Times New Roman"/>
          <w:sz w:val="24"/>
          <w:szCs w:val="24"/>
        </w:rPr>
        <w:t xml:space="preserve"> Working with providers to lessen costs through discussion and coordinated effort can assist with overseeing cost pressures. Laying out long haul agreements and arrangements can give steadiness and consistency to the two players, empowering better preparation and cost control. Also, investigating elective providers and enhancing obtaining choices can make serious tension, assisting with holding costs under control. </w:t>
      </w:r>
    </w:p>
    <w:p w14:paraId="00000023" w14:textId="732AC467"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Partner Communication:</w:t>
      </w:r>
      <w:r>
        <w:rPr>
          <w:rFonts w:ascii="Times New Roman" w:eastAsia="Times New Roman" w:hAnsi="Times New Roman" w:cs="Times New Roman"/>
          <w:sz w:val="24"/>
          <w:szCs w:val="24"/>
        </w:rPr>
        <w:t xml:space="preserve"> Staying up with the latest is vital for keeping up with trust and guaranteeing composed reactions to store network issues. Straightforward and regular correspondence with providers, clients, and financial backers can assist with overseeing assumptions and cultivate cooperation. Involving advanced stages and devices for ongoing updates and data sharing can smooth out correspondence and upgrade navigation. </w:t>
      </w:r>
      <w:r>
        <w:rPr>
          <w:rFonts w:ascii="Times New Roman" w:eastAsia="Times New Roman" w:hAnsi="Times New Roman" w:cs="Times New Roman"/>
          <w:b/>
          <w:i/>
          <w:sz w:val="24"/>
          <w:szCs w:val="24"/>
        </w:rPr>
        <w:t>Government Organizations and Limit Building:</w:t>
      </w:r>
      <w:r>
        <w:rPr>
          <w:rFonts w:ascii="Times New Roman" w:eastAsia="Times New Roman" w:hAnsi="Times New Roman" w:cs="Times New Roman"/>
          <w:sz w:val="24"/>
          <w:szCs w:val="24"/>
        </w:rPr>
        <w:t xml:space="preserve"> Upgrading the limit of government offices answerable for exchange, coordinated factors, and monetary advancement can work on their capacity to successfully uphold organisations. Preparing programs, expanded financing, and the reception of current innovations can reinforce these organisations' abilities. This, thus, can work with smoother administrative cycles, better emergency the executives, and more compelling help for organisations. </w:t>
      </w:r>
      <w:r>
        <w:rPr>
          <w:rFonts w:ascii="Times New Roman" w:eastAsia="Times New Roman" w:hAnsi="Times New Roman" w:cs="Times New Roman"/>
          <w:b/>
          <w:i/>
          <w:sz w:val="24"/>
          <w:szCs w:val="24"/>
        </w:rPr>
        <w:t>Charge Motivations and Monetary Support:</w:t>
      </w:r>
      <w:r>
        <w:rPr>
          <w:rFonts w:ascii="Times New Roman" w:eastAsia="Times New Roman" w:hAnsi="Times New Roman" w:cs="Times New Roman"/>
          <w:sz w:val="24"/>
          <w:szCs w:val="24"/>
        </w:rPr>
        <w:t xml:space="preserve"> Giving duty motivators to organisations that put resources into production network strength, innovation reception, and labour force preparation can empower proactive measures. Monetary help through awards and sponsorships can likewise assist organisations with putting resources into essential frameworks and innovation to improve their inventory network capacities</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Surya</w:t>
      </w:r>
      <w:r w:rsidR="002065AA">
        <w:rPr>
          <w:rFonts w:ascii="Times New Roman" w:hAnsi="Times New Roman" w:cs="Times New Roman"/>
          <w:color w:val="222222"/>
          <w:sz w:val="24"/>
          <w:szCs w:val="24"/>
          <w:shd w:val="clear" w:color="auto" w:fill="FFFFFF"/>
        </w:rPr>
        <w:t xml:space="preserve"> et al., 2021</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25" w14:textId="77777777" w:rsidR="00323B18" w:rsidRDefault="008F48E5" w:rsidP="002065AA">
      <w:pPr>
        <w:pStyle w:val="Heading1"/>
      </w:pPr>
      <w:bookmarkStart w:id="3" w:name="_Toc171951497"/>
      <w:r>
        <w:t>Relevance of demand and supply in this case study</w:t>
      </w:r>
      <w:bookmarkEnd w:id="3"/>
      <w:r>
        <w:t xml:space="preserve"> </w:t>
      </w:r>
    </w:p>
    <w:p w14:paraId="00000026" w14:textId="16A2F15D"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Demand and supply </w:t>
      </w:r>
      <w:r w:rsidR="00583B86">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vital to understanding and tending to the monetary difficulties featured for the situation investigation of the Coronavirus pandemic's effect on the UK. The </w:t>
      </w:r>
      <w:r w:rsidR="00583B86">
        <w:rPr>
          <w:rFonts w:ascii="Times New Roman" w:eastAsia="Times New Roman" w:hAnsi="Times New Roman" w:cs="Times New Roman"/>
          <w:sz w:val="24"/>
          <w:szCs w:val="24"/>
        </w:rPr>
        <w:t>mind-boggling</w:t>
      </w:r>
      <w:r>
        <w:rPr>
          <w:rFonts w:ascii="Times New Roman" w:eastAsia="Times New Roman" w:hAnsi="Times New Roman" w:cs="Times New Roman"/>
          <w:sz w:val="24"/>
          <w:szCs w:val="24"/>
        </w:rPr>
        <w:t xml:space="preserve"> balance among request and supply impacts valuing methodologies, rivalry, business efficiency, promoting, stock administration, finance, specialist maintenance, risk the executives, and generally market elements. </w:t>
      </w:r>
    </w:p>
    <w:p w14:paraId="00000028" w14:textId="2A4CB7B3" w:rsidR="00323B18" w:rsidRPr="00F1028F" w:rsidRDefault="008F48E5" w:rsidP="00F1028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Estimating Procedure:</w:t>
      </w:r>
      <w:r>
        <w:rPr>
          <w:rFonts w:ascii="Times New Roman" w:eastAsia="Times New Roman" w:hAnsi="Times New Roman" w:cs="Times New Roman"/>
          <w:sz w:val="24"/>
          <w:szCs w:val="24"/>
        </w:rPr>
        <w:t xml:space="preserve"> Successful valuing techniques are urgent in dealing with the tensions of interest and supply. Organisations can utilise dynamic estimating models that change costs in light of current market interest and supply conditions. For example, during times of appeal and restricted supply, costs can be raised to oversee requests and forestall stockouts. Such procedures assist with keeping up with market balance and guarantee business manageability</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Lee</w:t>
      </w:r>
      <w:r w:rsidR="002065AA">
        <w:rPr>
          <w:rFonts w:ascii="Times New Roman" w:hAnsi="Times New Roman" w:cs="Times New Roman"/>
          <w:color w:val="222222"/>
          <w:sz w:val="24"/>
          <w:szCs w:val="24"/>
          <w:shd w:val="clear" w:color="auto" w:fill="FFFFFF"/>
        </w:rPr>
        <w:t xml:space="preserve"> et al., 2020</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F1028F">
        <w:rPr>
          <w:rFonts w:ascii="Times New Roman" w:eastAsia="Times New Roman" w:hAnsi="Times New Roman" w:cs="Times New Roman"/>
          <w:b/>
          <w:sz w:val="24"/>
          <w:szCs w:val="24"/>
        </w:rPr>
        <w:t>Rivalry:</w:t>
      </w:r>
      <w:r w:rsidRPr="00F1028F">
        <w:rPr>
          <w:rFonts w:ascii="Times New Roman" w:eastAsia="Times New Roman" w:hAnsi="Times New Roman" w:cs="Times New Roman"/>
          <w:sz w:val="24"/>
          <w:szCs w:val="24"/>
        </w:rPr>
        <w:t xml:space="preserve"> Serious business sectors drive costs lower, helping customers and encouraging development. With regards to store network disturbances, empowering rivalry among providers can prompt better evaluating and terms for organisations. Upgraded rivalry can likewise provoke providers to further develop proficiency and dependability, adding to stronger stock chains. </w:t>
      </w:r>
    </w:p>
    <w:p w14:paraId="65EB249F" w14:textId="320C24D8" w:rsidR="00F1028F" w:rsidRPr="00F1028F" w:rsidRDefault="008F48E5" w:rsidP="00F1028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Business Efficiency:</w:t>
      </w:r>
      <w:r>
        <w:rPr>
          <w:rFonts w:ascii="Times New Roman" w:eastAsia="Times New Roman" w:hAnsi="Times New Roman" w:cs="Times New Roman"/>
          <w:sz w:val="24"/>
          <w:szCs w:val="24"/>
        </w:rPr>
        <w:t xml:space="preserve"> Effective administration of interest and supply straightforwardly influences business efficiency. By advancing their store network and stock administration, organisations can guarantee that they fulfil client needs without overloading or confronting deficiencies, in this way amplifying efficiency and productivity. </w:t>
      </w:r>
      <w:r w:rsidRPr="00F1028F">
        <w:rPr>
          <w:rFonts w:ascii="Times New Roman" w:eastAsia="Times New Roman" w:hAnsi="Times New Roman" w:cs="Times New Roman"/>
          <w:b/>
          <w:sz w:val="24"/>
          <w:szCs w:val="24"/>
        </w:rPr>
        <w:t>Showcasing Procedure:</w:t>
      </w:r>
      <w:r w:rsidRPr="00F1028F">
        <w:rPr>
          <w:rFonts w:ascii="Times New Roman" w:eastAsia="Times New Roman" w:hAnsi="Times New Roman" w:cs="Times New Roman"/>
          <w:sz w:val="24"/>
          <w:szCs w:val="24"/>
        </w:rPr>
        <w:t xml:space="preserve"> Powerful advertising systems can assist with adjusting demand by elevating items and administrations to the perfect crowd at the ideal time. During times of low interest, designated promoting efforts can invigorate interest and drive deals. This equilibrium keeps up with consistent business tasks and consumer loyalty</w:t>
      </w:r>
      <w:r w:rsidR="002065AA" w:rsidRPr="00F1028F">
        <w:rPr>
          <w:rFonts w:ascii="Times New Roman" w:eastAsia="Times New Roman" w:hAnsi="Times New Roman" w:cs="Times New Roman"/>
          <w:sz w:val="24"/>
          <w:szCs w:val="24"/>
        </w:rPr>
        <w:t xml:space="preserve"> (</w:t>
      </w:r>
      <w:r w:rsidR="002065AA" w:rsidRPr="00F1028F">
        <w:rPr>
          <w:rFonts w:ascii="Times New Roman" w:hAnsi="Times New Roman" w:cs="Times New Roman"/>
          <w:color w:val="222222"/>
          <w:sz w:val="24"/>
          <w:szCs w:val="24"/>
          <w:shd w:val="clear" w:color="auto" w:fill="FFFFFF"/>
        </w:rPr>
        <w:t>Kano et al., 2020</w:t>
      </w:r>
      <w:r w:rsidR="002065AA" w:rsidRPr="00F1028F">
        <w:rPr>
          <w:rFonts w:ascii="Times New Roman" w:eastAsia="Times New Roman" w:hAnsi="Times New Roman" w:cs="Times New Roman"/>
          <w:sz w:val="24"/>
          <w:szCs w:val="24"/>
        </w:rPr>
        <w:t>)</w:t>
      </w:r>
      <w:r w:rsidRPr="00F1028F">
        <w:rPr>
          <w:rFonts w:ascii="Times New Roman" w:eastAsia="Times New Roman" w:hAnsi="Times New Roman" w:cs="Times New Roman"/>
          <w:sz w:val="24"/>
          <w:szCs w:val="24"/>
        </w:rPr>
        <w:t xml:space="preserve">. </w:t>
      </w:r>
      <w:r w:rsidRPr="00F1028F">
        <w:rPr>
          <w:rFonts w:ascii="Times New Roman" w:eastAsia="Times New Roman" w:hAnsi="Times New Roman" w:cs="Times New Roman"/>
          <w:b/>
          <w:sz w:val="24"/>
          <w:szCs w:val="24"/>
        </w:rPr>
        <w:t>Stock Administration:</w:t>
      </w:r>
      <w:r w:rsidRPr="00F1028F">
        <w:rPr>
          <w:rFonts w:ascii="Times New Roman" w:eastAsia="Times New Roman" w:hAnsi="Times New Roman" w:cs="Times New Roman"/>
          <w:sz w:val="24"/>
          <w:szCs w:val="24"/>
        </w:rPr>
        <w:t xml:space="preserve"> Stock administration frameworks like Without a moment to spare (JIT) are basic in keeping up with the balance of interest and supply. JIT limits stock expenses and decreases squander by adjusting creation plans intimately with market interest. Organisations need to figure out some kind of harmony between lean stock practices and keeping up with adequate cushion stock to deal with unanticipated disturbances. </w:t>
      </w:r>
    </w:p>
    <w:p w14:paraId="5606737A" w14:textId="133B52FB" w:rsidR="00F1028F" w:rsidRPr="00F1028F" w:rsidRDefault="008F48E5" w:rsidP="00F1028F">
      <w:pPr>
        <w:spacing w:line="360" w:lineRule="auto"/>
        <w:jc w:val="both"/>
        <w:rPr>
          <w:rFonts w:ascii="Times New Roman" w:eastAsia="Times New Roman" w:hAnsi="Times New Roman" w:cs="Times New Roman"/>
          <w:sz w:val="24"/>
          <w:szCs w:val="24"/>
        </w:rPr>
      </w:pPr>
      <w:r w:rsidRPr="00F1028F">
        <w:rPr>
          <w:rFonts w:ascii="Times New Roman" w:eastAsia="Times New Roman" w:hAnsi="Times New Roman" w:cs="Times New Roman"/>
          <w:b/>
          <w:sz w:val="24"/>
          <w:szCs w:val="24"/>
        </w:rPr>
        <w:t>Finance Fascination:</w:t>
      </w:r>
      <w:r w:rsidRPr="00F1028F">
        <w:rPr>
          <w:rFonts w:ascii="Times New Roman" w:eastAsia="Times New Roman" w:hAnsi="Times New Roman" w:cs="Times New Roman"/>
          <w:sz w:val="24"/>
          <w:szCs w:val="24"/>
        </w:rPr>
        <w:t xml:space="preserve"> By drawing in significant ventures, organisations can upgrade their framework, expand supply sources, and embrace cutting edge innovations, consequently working on their capacity to successfully oversee request and supply. This monetary support is urgent for long haul development and strength. </w:t>
      </w:r>
      <w:r w:rsidRPr="00F1028F">
        <w:rPr>
          <w:rFonts w:ascii="Times New Roman" w:eastAsia="Times New Roman" w:hAnsi="Times New Roman" w:cs="Times New Roman"/>
          <w:b/>
          <w:sz w:val="24"/>
          <w:szCs w:val="24"/>
        </w:rPr>
        <w:t>Specialist Maintenance:</w:t>
      </w:r>
      <w:r w:rsidRPr="00F1028F">
        <w:rPr>
          <w:rFonts w:ascii="Times New Roman" w:eastAsia="Times New Roman" w:hAnsi="Times New Roman" w:cs="Times New Roman"/>
          <w:sz w:val="24"/>
          <w:szCs w:val="24"/>
        </w:rPr>
        <w:t xml:space="preserve"> High worker maintenance and fulfilment are necessary to keeping up with consistent tasks. Offering serious pay rates and advantages can draw in and hold gifted specialists, diminishing work deficiencies and guaranteeing steady creation and appropriation. Cheerful and spurred representatives are more useful and less inclined to leave, in this manner keeping a steady labour force that can adjust to changing interest and supply conditions. </w:t>
      </w:r>
    </w:p>
    <w:p w14:paraId="0000002F" w14:textId="7032557C" w:rsidR="00323B18" w:rsidRPr="00F1028F" w:rsidRDefault="008F48E5" w:rsidP="00F1028F">
      <w:pPr>
        <w:spacing w:line="360" w:lineRule="auto"/>
        <w:jc w:val="both"/>
        <w:rPr>
          <w:rFonts w:ascii="Times New Roman" w:eastAsia="Times New Roman" w:hAnsi="Times New Roman" w:cs="Times New Roman"/>
          <w:sz w:val="24"/>
          <w:szCs w:val="24"/>
        </w:rPr>
      </w:pPr>
      <w:r w:rsidRPr="00F1028F">
        <w:rPr>
          <w:rFonts w:ascii="Times New Roman" w:eastAsia="Times New Roman" w:hAnsi="Times New Roman" w:cs="Times New Roman"/>
          <w:b/>
          <w:sz w:val="24"/>
          <w:szCs w:val="24"/>
        </w:rPr>
        <w:t>Risk The executives:</w:t>
      </w:r>
      <w:r w:rsidRPr="00F1028F">
        <w:rPr>
          <w:rFonts w:ascii="Times New Roman" w:eastAsia="Times New Roman" w:hAnsi="Times New Roman" w:cs="Times New Roman"/>
          <w:sz w:val="24"/>
          <w:szCs w:val="24"/>
        </w:rPr>
        <w:t xml:space="preserve"> Viable gamble the board methodologies are fundamental for keeping up with the harmony of interest and supply</w:t>
      </w:r>
      <w:r w:rsidR="00583B86" w:rsidRPr="00F1028F">
        <w:rPr>
          <w:rFonts w:ascii="Times New Roman" w:eastAsia="Times New Roman" w:hAnsi="Times New Roman" w:cs="Times New Roman"/>
          <w:sz w:val="24"/>
          <w:szCs w:val="24"/>
        </w:rPr>
        <w:t>.</w:t>
      </w:r>
      <w:r w:rsidRPr="00F1028F">
        <w:rPr>
          <w:rFonts w:ascii="Times New Roman" w:eastAsia="Times New Roman" w:hAnsi="Times New Roman" w:cs="Times New Roman"/>
          <w:sz w:val="24"/>
          <w:szCs w:val="24"/>
        </w:rPr>
        <w:t xml:space="preserve"> Differentiating providers, keeping up with key reserves, and taking on adaptable creation cycles can alleviate these dangers, guaranteeing congruity and soundness</w:t>
      </w:r>
      <w:r w:rsidR="002065AA" w:rsidRPr="00F1028F">
        <w:rPr>
          <w:rFonts w:ascii="Times New Roman" w:eastAsia="Times New Roman" w:hAnsi="Times New Roman" w:cs="Times New Roman"/>
          <w:sz w:val="24"/>
          <w:szCs w:val="24"/>
        </w:rPr>
        <w:t xml:space="preserve"> (</w:t>
      </w:r>
      <w:r w:rsidR="002065AA" w:rsidRPr="00F1028F">
        <w:rPr>
          <w:rFonts w:ascii="Times New Roman" w:hAnsi="Times New Roman" w:cs="Times New Roman"/>
          <w:color w:val="222222"/>
          <w:sz w:val="24"/>
          <w:szCs w:val="24"/>
          <w:shd w:val="clear" w:color="auto" w:fill="FFFFFF"/>
        </w:rPr>
        <w:t>Diagne</w:t>
      </w:r>
      <w:r w:rsidR="002065AA" w:rsidRPr="00F1028F">
        <w:rPr>
          <w:rFonts w:ascii="Times New Roman" w:eastAsia="Times New Roman" w:hAnsi="Times New Roman" w:cs="Times New Roman"/>
          <w:sz w:val="24"/>
          <w:szCs w:val="24"/>
        </w:rPr>
        <w:t xml:space="preserve"> et al., 2021)</w:t>
      </w:r>
      <w:r w:rsidRPr="00F1028F">
        <w:rPr>
          <w:rFonts w:ascii="Times New Roman" w:eastAsia="Times New Roman" w:hAnsi="Times New Roman" w:cs="Times New Roman"/>
          <w:sz w:val="24"/>
          <w:szCs w:val="24"/>
        </w:rPr>
        <w:t xml:space="preserve">. </w:t>
      </w:r>
      <w:r w:rsidRPr="00F1028F">
        <w:rPr>
          <w:rFonts w:ascii="Times New Roman" w:eastAsia="Times New Roman" w:hAnsi="Times New Roman" w:cs="Times New Roman"/>
          <w:b/>
          <w:sz w:val="24"/>
          <w:szCs w:val="24"/>
        </w:rPr>
        <w:t>Overseeing Deficiencies and Moving Interest:</w:t>
      </w:r>
      <w:r w:rsidRPr="00F1028F">
        <w:rPr>
          <w:rFonts w:ascii="Times New Roman" w:eastAsia="Times New Roman" w:hAnsi="Times New Roman" w:cs="Times New Roman"/>
          <w:sz w:val="24"/>
          <w:szCs w:val="24"/>
        </w:rPr>
        <w:t xml:space="preserve"> The capacity to oversee deficiencies and answer moving business sector requests is urgent for business achievement. Organisations should be nimble in redistributing assets and changing creation to meet changing client needs. This proactive methodology forestalls bottlenecks, diminishes lead times, and upgrades consumer loyalty. All in all, request and supply are principal to tending to the monetary difficulties presented by the Coronavirus pandemic. </w:t>
      </w:r>
    </w:p>
    <w:p w14:paraId="00000030" w14:textId="77777777" w:rsidR="00323B18" w:rsidRDefault="008F48E5" w:rsidP="002065AA">
      <w:pPr>
        <w:pStyle w:val="Heading1"/>
      </w:pPr>
      <w:bookmarkStart w:id="4" w:name="_Toc171951498"/>
      <w:r>
        <w:lastRenderedPageBreak/>
        <w:t>Difference between elasticity and inelasticity of demand with reference to price changes</w:t>
      </w:r>
      <w:bookmarkEnd w:id="4"/>
    </w:p>
    <w:p w14:paraId="00000031" w14:textId="12782133"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Flexibility and inelasticity of interest allude to how delicate the amount requested of a decent is to changes in its cost. These ideas are pivotal in understanding purchaser conduct, especially with regards to fuel costs. </w:t>
      </w:r>
      <w:r>
        <w:rPr>
          <w:rFonts w:ascii="Times New Roman" w:eastAsia="Times New Roman" w:hAnsi="Times New Roman" w:cs="Times New Roman"/>
          <w:i/>
          <w:sz w:val="24"/>
          <w:szCs w:val="24"/>
        </w:rPr>
        <w:t>Versatility of demand</w:t>
      </w:r>
      <w:r>
        <w:rPr>
          <w:rFonts w:ascii="Times New Roman" w:eastAsia="Times New Roman" w:hAnsi="Times New Roman" w:cs="Times New Roman"/>
          <w:sz w:val="24"/>
          <w:szCs w:val="24"/>
        </w:rPr>
        <w:t xml:space="preserve"> happens when a little change in value prompts a massive change in the amount requested. For instance, in the event that fuel costs decline somewhat and this prompts a significant expansion in fuel utilisation, the interest for fuel is viewed as versatile. Factors adding to the versatility of fuel request could incorporate the accessibility of elective energy sources, public transportation choices, and the capacity of buyers to change their utilisation designs rapidly. In a situation where fuel costs drop, customers might decide to drive more, change from public vehicles to private vehicles, or buy bigger, less eco-friendly vehicles, essentially expanding fuel interest</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Arthur, 2021</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32" w14:textId="4BDCE4C0"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again, </w:t>
      </w:r>
      <w:r>
        <w:rPr>
          <w:rFonts w:ascii="Times New Roman" w:eastAsia="Times New Roman" w:hAnsi="Times New Roman" w:cs="Times New Roman"/>
          <w:i/>
          <w:sz w:val="24"/>
          <w:szCs w:val="24"/>
        </w:rPr>
        <w:t>inelasticity of demand</w:t>
      </w:r>
      <w:r>
        <w:rPr>
          <w:rFonts w:ascii="Times New Roman" w:eastAsia="Times New Roman" w:hAnsi="Times New Roman" w:cs="Times New Roman"/>
          <w:sz w:val="24"/>
          <w:szCs w:val="24"/>
        </w:rPr>
        <w:t xml:space="preserve"> depicts what is going on where changes in cost affect the amount requested. Fuel request is frequently viewed as inelastic in light of the fact that it is a need for most buyers and organisations, who can only with significant effort decrease their use in spite of cost increments. For example, when fuel costs rise sharply, the amount of fuel requested probably would not diminish significantly on the grounds that people actually need to drive, products actually should be shipped. In such cases, shoppers could retain the greater expenses or make negligible changes, for example, diminishing relaxation travel, yet their general fuel utilisation remains somewhat steady. The distinction among versatile and inelastic interest for fuel is huge for policymakers and organisations. With inelastic interest, huge cost increments can prompt higher income for fuel providers without an enormous drop in deal volume, as shoppers have restricted other options and should keep buying fuel. On the other hand, with flexible interest, even minor value changes can bring about enormous fluctuations in fuel utilisation, affecting provider income and impacting more extensive monetary action</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Samuelson</w:t>
      </w:r>
      <w:r w:rsidR="002065AA">
        <w:rPr>
          <w:rFonts w:ascii="Times New Roman" w:hAnsi="Times New Roman" w:cs="Times New Roman"/>
          <w:color w:val="222222"/>
          <w:sz w:val="24"/>
          <w:szCs w:val="24"/>
          <w:shd w:val="clear" w:color="auto" w:fill="FFFFFF"/>
        </w:rPr>
        <w:t xml:space="preserve"> et al., 2021</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33" w14:textId="77777777" w:rsidR="00323B18" w:rsidRDefault="008F48E5" w:rsidP="002065AA">
      <w:pPr>
        <w:pStyle w:val="Heading1"/>
      </w:pPr>
      <w:bookmarkStart w:id="5" w:name="_Toc171951499"/>
      <w:r>
        <w:t>Laws of supply and demand</w:t>
      </w:r>
      <w:bookmarkEnd w:id="5"/>
      <w:r>
        <w:t xml:space="preserve"> </w:t>
      </w:r>
    </w:p>
    <w:p w14:paraId="00000034" w14:textId="77777777"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laws of market interest are major rules that make sense of the collaboration between the accessibility of products (supply) and the longing for those merchandise (request), and what this cooperation means for costs and amounts in a market. </w:t>
      </w:r>
    </w:p>
    <w:p w14:paraId="00000036" w14:textId="4F46DD93"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Expanded Request with Unaltered Inventory:</w:t>
      </w:r>
      <w:r>
        <w:rPr>
          <w:rFonts w:ascii="Times New Roman" w:eastAsia="Times New Roman" w:hAnsi="Times New Roman" w:cs="Times New Roman"/>
          <w:sz w:val="24"/>
          <w:szCs w:val="24"/>
        </w:rPr>
        <w:t xml:space="preserve"> When interest for an item ascends while supply stays steady, costs increment and more amounts are sold. This present circumstance happens on the </w:t>
      </w:r>
      <w:r>
        <w:rPr>
          <w:rFonts w:ascii="Times New Roman" w:eastAsia="Times New Roman" w:hAnsi="Times New Roman" w:cs="Times New Roman"/>
          <w:sz w:val="24"/>
          <w:szCs w:val="24"/>
        </w:rPr>
        <w:lastRenderedPageBreak/>
        <w:t xml:space="preserve">grounds that purchasers will follow through on greater expenses because of the expanded craving for the item. Greater costs make a motivator for vendors to expand their stock to exploit the productive open door, prompting higher amounts being accessible on the lookout. </w:t>
      </w:r>
      <w:r>
        <w:rPr>
          <w:rFonts w:ascii="Times New Roman" w:eastAsia="Times New Roman" w:hAnsi="Times New Roman" w:cs="Times New Roman"/>
          <w:i/>
          <w:sz w:val="24"/>
          <w:szCs w:val="24"/>
        </w:rPr>
        <w:t>Diminished Request with Unaltered Stock:</w:t>
      </w:r>
      <w:r>
        <w:rPr>
          <w:rFonts w:ascii="Times New Roman" w:eastAsia="Times New Roman" w:hAnsi="Times New Roman" w:cs="Times New Roman"/>
          <w:sz w:val="24"/>
          <w:szCs w:val="24"/>
        </w:rPr>
        <w:t xml:space="preserve"> When interest for an item falls while supply stays steady, costs decline and less amounts are sold. In this situation, customers are less keen on buying the item, provoking dealers to bring down costs to animate purchasing. With decreased net revenues, providers cut back on creation, bringing about a lower amount of the item accessible on the lookout</w:t>
      </w:r>
      <w:r w:rsidR="002065AA">
        <w:rPr>
          <w:rFonts w:ascii="Times New Roman" w:eastAsia="Times New Roman" w:hAnsi="Times New Roman" w:cs="Times New Roman"/>
          <w:sz w:val="24"/>
          <w:szCs w:val="24"/>
        </w:rPr>
        <w:t xml:space="preserve"> (</w:t>
      </w:r>
      <w:r w:rsidR="002065AA" w:rsidRPr="00583B86">
        <w:rPr>
          <w:rFonts w:ascii="Times New Roman" w:hAnsi="Times New Roman" w:cs="Times New Roman"/>
          <w:color w:val="222222"/>
          <w:sz w:val="24"/>
          <w:szCs w:val="24"/>
          <w:shd w:val="clear" w:color="auto" w:fill="FFFFFF"/>
        </w:rPr>
        <w:t>Benami</w:t>
      </w:r>
      <w:r w:rsidR="002065AA">
        <w:rPr>
          <w:rFonts w:ascii="Times New Roman" w:hAnsi="Times New Roman" w:cs="Times New Roman"/>
          <w:color w:val="222222"/>
          <w:sz w:val="24"/>
          <w:szCs w:val="24"/>
          <w:shd w:val="clear" w:color="auto" w:fill="FFFFFF"/>
        </w:rPr>
        <w:t xml:space="preserve"> et al., 2021</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0000038" w14:textId="6CAF2166"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Expanded Supply with Unaltered Interest:</w:t>
      </w:r>
      <w:r>
        <w:rPr>
          <w:rFonts w:ascii="Times New Roman" w:eastAsia="Times New Roman" w:hAnsi="Times New Roman" w:cs="Times New Roman"/>
          <w:sz w:val="24"/>
          <w:szCs w:val="24"/>
        </w:rPr>
        <w:t xml:space="preserve"> When supply of an item increments while request stays consistent, costs fall and higher amounts are sold. This happens on the grounds that a wealth of products prompts expanded contests among vendors. To draw in purchasers, vendors lessen costs, making the item more reasonable and empowering higher utilisation, subsequently moving bigger amounts at lower costs. </w:t>
      </w:r>
      <w:r>
        <w:rPr>
          <w:rFonts w:ascii="Times New Roman" w:eastAsia="Times New Roman" w:hAnsi="Times New Roman" w:cs="Times New Roman"/>
          <w:i/>
          <w:sz w:val="24"/>
          <w:szCs w:val="24"/>
        </w:rPr>
        <w:t>Diminished Supply with Unaltered Interest:</w:t>
      </w:r>
      <w:r>
        <w:rPr>
          <w:rFonts w:ascii="Times New Roman" w:eastAsia="Times New Roman" w:hAnsi="Times New Roman" w:cs="Times New Roman"/>
          <w:sz w:val="24"/>
          <w:szCs w:val="24"/>
        </w:rPr>
        <w:t xml:space="preserve"> When supply of an item diminishes while request stays steady, costs rise and less amounts are sold. For this situation, the shortage of products makes shoppers able to follow through on greater expenses to get the restricted accessible stockpile. Merchants, perceiving the higher ability to pay, increment costs, however the general amount accessible in the market diminishes because of the decreased creation or accessibility. These regulations delineate what changes in the organic market mean for market elements, directing choices for the two buyers and makers and impacting monetary arrangements and business systems</w:t>
      </w:r>
      <w:r w:rsidR="002065AA">
        <w:rPr>
          <w:rFonts w:ascii="Times New Roman" w:eastAsia="Times New Roman" w:hAnsi="Times New Roman" w:cs="Times New Roman"/>
          <w:sz w:val="24"/>
          <w:szCs w:val="24"/>
        </w:rPr>
        <w:t xml:space="preserve"> (</w:t>
      </w:r>
      <w:proofErr w:type="spellStart"/>
      <w:r w:rsidR="002065AA" w:rsidRPr="00583B86">
        <w:rPr>
          <w:rFonts w:ascii="Times New Roman" w:hAnsi="Times New Roman" w:cs="Times New Roman"/>
          <w:color w:val="222222"/>
          <w:sz w:val="24"/>
          <w:szCs w:val="24"/>
          <w:shd w:val="clear" w:color="auto" w:fill="FFFFFF"/>
        </w:rPr>
        <w:t>Notteboom</w:t>
      </w:r>
      <w:proofErr w:type="spellEnd"/>
      <w:r w:rsidR="002065AA">
        <w:rPr>
          <w:rFonts w:ascii="Times New Roman" w:hAnsi="Times New Roman" w:cs="Times New Roman"/>
          <w:color w:val="222222"/>
          <w:sz w:val="24"/>
          <w:szCs w:val="24"/>
          <w:shd w:val="clear" w:color="auto" w:fill="FFFFFF"/>
        </w:rPr>
        <w:t xml:space="preserve"> et al., 2022</w:t>
      </w:r>
      <w:r w:rsidR="002065AA">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00000039" w14:textId="77777777" w:rsidR="00323B18" w:rsidRDefault="008F48E5" w:rsidP="002065AA">
      <w:pPr>
        <w:pStyle w:val="Heading1"/>
      </w:pPr>
      <w:bookmarkStart w:id="6" w:name="_Toc171951500"/>
      <w:r>
        <w:t>Conclusion</w:t>
      </w:r>
      <w:bookmarkEnd w:id="6"/>
      <w:r>
        <w:t xml:space="preserve"> </w:t>
      </w:r>
    </w:p>
    <w:p w14:paraId="0000003A" w14:textId="77777777" w:rsidR="00323B18" w:rsidRDefault="008F48E5" w:rsidP="002065A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carrying out essential estimating, cultivating rivalry, improving efficiency, utilising compelling advertising, advancing stock administration, drawing in speculation, holding gifted labourers, overseeing chances, and answering business sector shifts, organisations can explore the intricacies of the ongoing financial scene. These methodologies guarantee that organisations can fulfil client needs, keep up with stable tasks, and accomplish long haul development in a post-pandemic world.</w:t>
      </w:r>
    </w:p>
    <w:p w14:paraId="0000003B" w14:textId="77777777" w:rsidR="00323B18" w:rsidRDefault="008F48E5" w:rsidP="002065AA">
      <w:pPr>
        <w:spacing w:line="360" w:lineRule="auto"/>
        <w:jc w:val="both"/>
        <w:rPr>
          <w:rFonts w:ascii="Times New Roman" w:eastAsia="Times New Roman" w:hAnsi="Times New Roman" w:cs="Times New Roman"/>
          <w:b/>
          <w:sz w:val="24"/>
          <w:szCs w:val="24"/>
        </w:rPr>
      </w:pPr>
      <w:r>
        <w:br w:type="page"/>
      </w:r>
    </w:p>
    <w:p w14:paraId="733CEAB1" w14:textId="2B6A8981" w:rsidR="00583B86" w:rsidRPr="00583B86" w:rsidRDefault="008F48E5" w:rsidP="002065AA">
      <w:pPr>
        <w:pStyle w:val="Heading1"/>
      </w:pPr>
      <w:bookmarkStart w:id="7" w:name="_Toc171951501"/>
      <w:r>
        <w:lastRenderedPageBreak/>
        <w:t>Reference List</w:t>
      </w:r>
      <w:bookmarkEnd w:id="7"/>
      <w:r>
        <w:t xml:space="preserve"> </w:t>
      </w:r>
    </w:p>
    <w:p w14:paraId="5CA3676D"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proofErr w:type="spellStart"/>
      <w:r w:rsidRPr="002065AA">
        <w:rPr>
          <w:rFonts w:ascii="Times New Roman" w:hAnsi="Times New Roman" w:cs="Times New Roman"/>
          <w:color w:val="222222"/>
          <w:sz w:val="24"/>
          <w:szCs w:val="24"/>
          <w:shd w:val="clear" w:color="auto" w:fill="FFFFFF"/>
        </w:rPr>
        <w:t>Angner</w:t>
      </w:r>
      <w:proofErr w:type="spellEnd"/>
      <w:r w:rsidRPr="002065AA">
        <w:rPr>
          <w:rFonts w:ascii="Times New Roman" w:hAnsi="Times New Roman" w:cs="Times New Roman"/>
          <w:color w:val="222222"/>
          <w:sz w:val="24"/>
          <w:szCs w:val="24"/>
          <w:shd w:val="clear" w:color="auto" w:fill="FFFFFF"/>
        </w:rPr>
        <w:t>, E., (2020). </w:t>
      </w:r>
      <w:r w:rsidRPr="002065AA">
        <w:rPr>
          <w:rFonts w:ascii="Times New Roman" w:hAnsi="Times New Roman" w:cs="Times New Roman"/>
          <w:i/>
          <w:iCs/>
          <w:color w:val="222222"/>
          <w:sz w:val="24"/>
          <w:szCs w:val="24"/>
          <w:shd w:val="clear" w:color="auto" w:fill="FFFFFF"/>
        </w:rPr>
        <w:t xml:space="preserve">A course in </w:t>
      </w:r>
      <w:proofErr w:type="spellStart"/>
      <w:r w:rsidRPr="002065AA">
        <w:rPr>
          <w:rFonts w:ascii="Times New Roman" w:hAnsi="Times New Roman" w:cs="Times New Roman"/>
          <w:i/>
          <w:iCs/>
          <w:color w:val="222222"/>
          <w:sz w:val="24"/>
          <w:szCs w:val="24"/>
          <w:shd w:val="clear" w:color="auto" w:fill="FFFFFF"/>
        </w:rPr>
        <w:t>behavioral</w:t>
      </w:r>
      <w:proofErr w:type="spellEnd"/>
      <w:r w:rsidRPr="002065AA">
        <w:rPr>
          <w:rFonts w:ascii="Times New Roman" w:hAnsi="Times New Roman" w:cs="Times New Roman"/>
          <w:i/>
          <w:iCs/>
          <w:color w:val="222222"/>
          <w:sz w:val="24"/>
          <w:szCs w:val="24"/>
          <w:shd w:val="clear" w:color="auto" w:fill="FFFFFF"/>
        </w:rPr>
        <w:t xml:space="preserve"> economics</w:t>
      </w:r>
      <w:r w:rsidRPr="002065AA">
        <w:rPr>
          <w:rFonts w:ascii="Times New Roman" w:hAnsi="Times New Roman" w:cs="Times New Roman"/>
          <w:color w:val="222222"/>
          <w:sz w:val="24"/>
          <w:szCs w:val="24"/>
          <w:shd w:val="clear" w:color="auto" w:fill="FFFFFF"/>
        </w:rPr>
        <w:t>. Bloomsbury Publishing.</w:t>
      </w:r>
    </w:p>
    <w:p w14:paraId="03C3A4DB"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Arthur, W.B., (2021). Foundations of complexity economics. </w:t>
      </w:r>
      <w:r w:rsidRPr="002065AA">
        <w:rPr>
          <w:rFonts w:ascii="Times New Roman" w:hAnsi="Times New Roman" w:cs="Times New Roman"/>
          <w:i/>
          <w:iCs/>
          <w:color w:val="222222"/>
          <w:sz w:val="24"/>
          <w:szCs w:val="24"/>
          <w:shd w:val="clear" w:color="auto" w:fill="FFFFFF"/>
        </w:rPr>
        <w:t>Nature Reviews Physics</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3</w:t>
      </w:r>
      <w:r w:rsidRPr="002065AA">
        <w:rPr>
          <w:rFonts w:ascii="Times New Roman" w:hAnsi="Times New Roman" w:cs="Times New Roman"/>
          <w:color w:val="222222"/>
          <w:sz w:val="24"/>
          <w:szCs w:val="24"/>
          <w:shd w:val="clear" w:color="auto" w:fill="FFFFFF"/>
        </w:rPr>
        <w:t>(2), pp.136-145.</w:t>
      </w:r>
    </w:p>
    <w:p w14:paraId="03981A63"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 xml:space="preserve">Benami, E., Jin, Z., Carter, M.R., Ghosh, A., </w:t>
      </w:r>
      <w:proofErr w:type="spellStart"/>
      <w:r w:rsidRPr="002065AA">
        <w:rPr>
          <w:rFonts w:ascii="Times New Roman" w:hAnsi="Times New Roman" w:cs="Times New Roman"/>
          <w:color w:val="222222"/>
          <w:sz w:val="24"/>
          <w:szCs w:val="24"/>
          <w:shd w:val="clear" w:color="auto" w:fill="FFFFFF"/>
        </w:rPr>
        <w:t>Hijmans</w:t>
      </w:r>
      <w:proofErr w:type="spellEnd"/>
      <w:r w:rsidRPr="002065AA">
        <w:rPr>
          <w:rFonts w:ascii="Times New Roman" w:hAnsi="Times New Roman" w:cs="Times New Roman"/>
          <w:color w:val="222222"/>
          <w:sz w:val="24"/>
          <w:szCs w:val="24"/>
          <w:shd w:val="clear" w:color="auto" w:fill="FFFFFF"/>
        </w:rPr>
        <w:t xml:space="preserve">, R.J., Hobbs, A., </w:t>
      </w:r>
      <w:proofErr w:type="spellStart"/>
      <w:r w:rsidRPr="002065AA">
        <w:rPr>
          <w:rFonts w:ascii="Times New Roman" w:hAnsi="Times New Roman" w:cs="Times New Roman"/>
          <w:color w:val="222222"/>
          <w:sz w:val="24"/>
          <w:szCs w:val="24"/>
          <w:shd w:val="clear" w:color="auto" w:fill="FFFFFF"/>
        </w:rPr>
        <w:t>Kenduiywo</w:t>
      </w:r>
      <w:proofErr w:type="spellEnd"/>
      <w:r w:rsidRPr="002065AA">
        <w:rPr>
          <w:rFonts w:ascii="Times New Roman" w:hAnsi="Times New Roman" w:cs="Times New Roman"/>
          <w:color w:val="222222"/>
          <w:sz w:val="24"/>
          <w:szCs w:val="24"/>
          <w:shd w:val="clear" w:color="auto" w:fill="FFFFFF"/>
        </w:rPr>
        <w:t>, B. and Lobell, D.B., (2021). Uniting remote sensing, crop modelling and economics for agricultural risk management. </w:t>
      </w:r>
      <w:r w:rsidRPr="002065AA">
        <w:rPr>
          <w:rFonts w:ascii="Times New Roman" w:hAnsi="Times New Roman" w:cs="Times New Roman"/>
          <w:i/>
          <w:iCs/>
          <w:color w:val="222222"/>
          <w:sz w:val="24"/>
          <w:szCs w:val="24"/>
          <w:shd w:val="clear" w:color="auto" w:fill="FFFFFF"/>
        </w:rPr>
        <w:t>Nature Reviews Earth &amp; Environment</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2</w:t>
      </w:r>
      <w:r w:rsidRPr="002065AA">
        <w:rPr>
          <w:rFonts w:ascii="Times New Roman" w:hAnsi="Times New Roman" w:cs="Times New Roman"/>
          <w:color w:val="222222"/>
          <w:sz w:val="24"/>
          <w:szCs w:val="24"/>
          <w:shd w:val="clear" w:color="auto" w:fill="FFFFFF"/>
        </w:rPr>
        <w:t>(2), pp.140-159.</w:t>
      </w:r>
    </w:p>
    <w:p w14:paraId="7D38FD9C"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 xml:space="preserve">Diagne, C., Leroy, B., </w:t>
      </w:r>
      <w:proofErr w:type="spellStart"/>
      <w:r w:rsidRPr="002065AA">
        <w:rPr>
          <w:rFonts w:ascii="Times New Roman" w:hAnsi="Times New Roman" w:cs="Times New Roman"/>
          <w:color w:val="222222"/>
          <w:sz w:val="24"/>
          <w:szCs w:val="24"/>
          <w:shd w:val="clear" w:color="auto" w:fill="FFFFFF"/>
        </w:rPr>
        <w:t>Vaissière</w:t>
      </w:r>
      <w:proofErr w:type="spellEnd"/>
      <w:r w:rsidRPr="002065AA">
        <w:rPr>
          <w:rFonts w:ascii="Times New Roman" w:hAnsi="Times New Roman" w:cs="Times New Roman"/>
          <w:color w:val="222222"/>
          <w:sz w:val="24"/>
          <w:szCs w:val="24"/>
          <w:shd w:val="clear" w:color="auto" w:fill="FFFFFF"/>
        </w:rPr>
        <w:t xml:space="preserve">, A.C., </w:t>
      </w:r>
      <w:proofErr w:type="spellStart"/>
      <w:r w:rsidRPr="002065AA">
        <w:rPr>
          <w:rFonts w:ascii="Times New Roman" w:hAnsi="Times New Roman" w:cs="Times New Roman"/>
          <w:color w:val="222222"/>
          <w:sz w:val="24"/>
          <w:szCs w:val="24"/>
          <w:shd w:val="clear" w:color="auto" w:fill="FFFFFF"/>
        </w:rPr>
        <w:t>Gozlan</w:t>
      </w:r>
      <w:proofErr w:type="spellEnd"/>
      <w:r w:rsidRPr="002065AA">
        <w:rPr>
          <w:rFonts w:ascii="Times New Roman" w:hAnsi="Times New Roman" w:cs="Times New Roman"/>
          <w:color w:val="222222"/>
          <w:sz w:val="24"/>
          <w:szCs w:val="24"/>
          <w:shd w:val="clear" w:color="auto" w:fill="FFFFFF"/>
        </w:rPr>
        <w:t xml:space="preserve">, R.E., Roiz, D., </w:t>
      </w:r>
      <w:proofErr w:type="spellStart"/>
      <w:r w:rsidRPr="002065AA">
        <w:rPr>
          <w:rFonts w:ascii="Times New Roman" w:hAnsi="Times New Roman" w:cs="Times New Roman"/>
          <w:color w:val="222222"/>
          <w:sz w:val="24"/>
          <w:szCs w:val="24"/>
          <w:shd w:val="clear" w:color="auto" w:fill="FFFFFF"/>
        </w:rPr>
        <w:t>Jarić</w:t>
      </w:r>
      <w:proofErr w:type="spellEnd"/>
      <w:r w:rsidRPr="002065AA">
        <w:rPr>
          <w:rFonts w:ascii="Times New Roman" w:hAnsi="Times New Roman" w:cs="Times New Roman"/>
          <w:color w:val="222222"/>
          <w:sz w:val="24"/>
          <w:szCs w:val="24"/>
          <w:shd w:val="clear" w:color="auto" w:fill="FFFFFF"/>
        </w:rPr>
        <w:t xml:space="preserve">, I., Salles, J.M., Bradshaw, C.J. and </w:t>
      </w:r>
      <w:proofErr w:type="spellStart"/>
      <w:r w:rsidRPr="002065AA">
        <w:rPr>
          <w:rFonts w:ascii="Times New Roman" w:hAnsi="Times New Roman" w:cs="Times New Roman"/>
          <w:color w:val="222222"/>
          <w:sz w:val="24"/>
          <w:szCs w:val="24"/>
          <w:shd w:val="clear" w:color="auto" w:fill="FFFFFF"/>
        </w:rPr>
        <w:t>Courchamp</w:t>
      </w:r>
      <w:proofErr w:type="spellEnd"/>
      <w:r w:rsidRPr="002065AA">
        <w:rPr>
          <w:rFonts w:ascii="Times New Roman" w:hAnsi="Times New Roman" w:cs="Times New Roman"/>
          <w:color w:val="222222"/>
          <w:sz w:val="24"/>
          <w:szCs w:val="24"/>
          <w:shd w:val="clear" w:color="auto" w:fill="FFFFFF"/>
        </w:rPr>
        <w:t>, F., (2021). High and rising economic costs of biological invasions worldwide. </w:t>
      </w:r>
      <w:r w:rsidRPr="002065AA">
        <w:rPr>
          <w:rFonts w:ascii="Times New Roman" w:hAnsi="Times New Roman" w:cs="Times New Roman"/>
          <w:i/>
          <w:iCs/>
          <w:color w:val="222222"/>
          <w:sz w:val="24"/>
          <w:szCs w:val="24"/>
          <w:shd w:val="clear" w:color="auto" w:fill="FFFFFF"/>
        </w:rPr>
        <w:t>Nature</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592</w:t>
      </w:r>
      <w:r w:rsidRPr="002065AA">
        <w:rPr>
          <w:rFonts w:ascii="Times New Roman" w:hAnsi="Times New Roman" w:cs="Times New Roman"/>
          <w:color w:val="222222"/>
          <w:sz w:val="24"/>
          <w:szCs w:val="24"/>
          <w:shd w:val="clear" w:color="auto" w:fill="FFFFFF"/>
        </w:rPr>
        <w:t>(7855), pp.571-576.</w:t>
      </w:r>
    </w:p>
    <w:p w14:paraId="0E664BFA" w14:textId="77777777" w:rsidR="002065AA" w:rsidRPr="002065AA" w:rsidRDefault="002065AA" w:rsidP="002065AA">
      <w:pPr>
        <w:spacing w:line="360" w:lineRule="auto"/>
        <w:jc w:val="both"/>
        <w:rPr>
          <w:rFonts w:ascii="Times New Roman" w:hAnsi="Times New Roman" w:cs="Times New Roman"/>
          <w:sz w:val="24"/>
          <w:szCs w:val="24"/>
        </w:rPr>
      </w:pPr>
      <w:r w:rsidRPr="002065AA">
        <w:rPr>
          <w:rFonts w:ascii="Times New Roman" w:hAnsi="Times New Roman" w:cs="Times New Roman"/>
          <w:color w:val="222222"/>
          <w:sz w:val="24"/>
          <w:szCs w:val="24"/>
          <w:shd w:val="clear" w:color="auto" w:fill="FFFFFF"/>
        </w:rPr>
        <w:t>Graham, A., (2023). </w:t>
      </w:r>
      <w:r w:rsidRPr="002065AA">
        <w:rPr>
          <w:rFonts w:ascii="Times New Roman" w:hAnsi="Times New Roman" w:cs="Times New Roman"/>
          <w:i/>
          <w:iCs/>
          <w:color w:val="222222"/>
          <w:sz w:val="24"/>
          <w:szCs w:val="24"/>
          <w:shd w:val="clear" w:color="auto" w:fill="FFFFFF"/>
        </w:rPr>
        <w:t>Managing airports: An international perspective</w:t>
      </w:r>
      <w:r w:rsidRPr="002065AA">
        <w:rPr>
          <w:rFonts w:ascii="Times New Roman" w:hAnsi="Times New Roman" w:cs="Times New Roman"/>
          <w:color w:val="222222"/>
          <w:sz w:val="24"/>
          <w:szCs w:val="24"/>
          <w:shd w:val="clear" w:color="auto" w:fill="FFFFFF"/>
        </w:rPr>
        <w:t>. Routledge.</w:t>
      </w:r>
    </w:p>
    <w:p w14:paraId="057D6481" w14:textId="77777777" w:rsidR="002065AA" w:rsidRPr="002065AA" w:rsidRDefault="002065AA" w:rsidP="002065AA">
      <w:pPr>
        <w:spacing w:line="360" w:lineRule="auto"/>
        <w:jc w:val="both"/>
        <w:rPr>
          <w:rFonts w:ascii="Times New Roman" w:hAnsi="Times New Roman" w:cs="Times New Roman"/>
          <w:sz w:val="24"/>
          <w:szCs w:val="24"/>
        </w:rPr>
      </w:pPr>
      <w:r w:rsidRPr="002065AA">
        <w:rPr>
          <w:rFonts w:ascii="Times New Roman" w:hAnsi="Times New Roman" w:cs="Times New Roman"/>
          <w:color w:val="222222"/>
          <w:sz w:val="24"/>
          <w:szCs w:val="24"/>
          <w:shd w:val="clear" w:color="auto" w:fill="FFFFFF"/>
        </w:rPr>
        <w:t>Hao, X., Li, Y., Ren, S., Wu, H. and Hao, Y., (2023). The role of digitalization on green economic growth: Does industrial structure optimization and green innovation matter?. </w:t>
      </w:r>
      <w:r w:rsidRPr="002065AA">
        <w:rPr>
          <w:rFonts w:ascii="Times New Roman" w:hAnsi="Times New Roman" w:cs="Times New Roman"/>
          <w:i/>
          <w:iCs/>
          <w:color w:val="222222"/>
          <w:sz w:val="24"/>
          <w:szCs w:val="24"/>
          <w:shd w:val="clear" w:color="auto" w:fill="FFFFFF"/>
        </w:rPr>
        <w:t>Journal of environmental management</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325</w:t>
      </w:r>
      <w:r w:rsidRPr="002065AA">
        <w:rPr>
          <w:rFonts w:ascii="Times New Roman" w:hAnsi="Times New Roman" w:cs="Times New Roman"/>
          <w:color w:val="222222"/>
          <w:sz w:val="24"/>
          <w:szCs w:val="24"/>
          <w:shd w:val="clear" w:color="auto" w:fill="FFFFFF"/>
        </w:rPr>
        <w:t>, p.116504.</w:t>
      </w:r>
    </w:p>
    <w:p w14:paraId="3685628F"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Kano, L., Tsang, E.W. and Yeung, H.W.C., (2020). Global value chains: A review of the multi-disciplinary literature. </w:t>
      </w:r>
      <w:r w:rsidRPr="002065AA">
        <w:rPr>
          <w:rFonts w:ascii="Times New Roman" w:hAnsi="Times New Roman" w:cs="Times New Roman"/>
          <w:i/>
          <w:iCs/>
          <w:color w:val="222222"/>
          <w:sz w:val="24"/>
          <w:szCs w:val="24"/>
          <w:shd w:val="clear" w:color="auto" w:fill="FFFFFF"/>
        </w:rPr>
        <w:t>Journal of international business studies</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51</w:t>
      </w:r>
      <w:r w:rsidRPr="002065AA">
        <w:rPr>
          <w:rFonts w:ascii="Times New Roman" w:hAnsi="Times New Roman" w:cs="Times New Roman"/>
          <w:color w:val="222222"/>
          <w:sz w:val="24"/>
          <w:szCs w:val="24"/>
          <w:shd w:val="clear" w:color="auto" w:fill="FFFFFF"/>
        </w:rPr>
        <w:t>(4), pp.577-622.</w:t>
      </w:r>
    </w:p>
    <w:p w14:paraId="3622DC8B"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Lee, E., Oliveira, D.S.B.L., Oliveira, L.S.B.L., Jimenez, E., Kim, Y., Wang, M., Ergas, S.J. and Zhang, Q., (2020). Comparative environmental and economic life cycle assessment of high solids anaerobic co-digestion for biosolids and organic waste management. </w:t>
      </w:r>
      <w:r w:rsidRPr="002065AA">
        <w:rPr>
          <w:rFonts w:ascii="Times New Roman" w:hAnsi="Times New Roman" w:cs="Times New Roman"/>
          <w:i/>
          <w:iCs/>
          <w:color w:val="222222"/>
          <w:sz w:val="24"/>
          <w:szCs w:val="24"/>
          <w:shd w:val="clear" w:color="auto" w:fill="FFFFFF"/>
        </w:rPr>
        <w:t>Water Research</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171</w:t>
      </w:r>
      <w:r w:rsidRPr="002065AA">
        <w:rPr>
          <w:rFonts w:ascii="Times New Roman" w:hAnsi="Times New Roman" w:cs="Times New Roman"/>
          <w:color w:val="222222"/>
          <w:sz w:val="24"/>
          <w:szCs w:val="24"/>
          <w:shd w:val="clear" w:color="auto" w:fill="FFFFFF"/>
        </w:rPr>
        <w:t>, p.115443.</w:t>
      </w:r>
    </w:p>
    <w:p w14:paraId="72739D1B"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 xml:space="preserve">Mohsin, M., Kamran, H.W., Nawaz, M.A., Hussain, M.S. and Dahri, A.S., (2021). Assessing the impact of transition from </w:t>
      </w:r>
      <w:proofErr w:type="spellStart"/>
      <w:r w:rsidRPr="002065AA">
        <w:rPr>
          <w:rFonts w:ascii="Times New Roman" w:hAnsi="Times New Roman" w:cs="Times New Roman"/>
          <w:color w:val="222222"/>
          <w:sz w:val="24"/>
          <w:szCs w:val="24"/>
          <w:shd w:val="clear" w:color="auto" w:fill="FFFFFF"/>
        </w:rPr>
        <w:t>nonrenewable</w:t>
      </w:r>
      <w:proofErr w:type="spellEnd"/>
      <w:r w:rsidRPr="002065AA">
        <w:rPr>
          <w:rFonts w:ascii="Times New Roman" w:hAnsi="Times New Roman" w:cs="Times New Roman"/>
          <w:color w:val="222222"/>
          <w:sz w:val="24"/>
          <w:szCs w:val="24"/>
          <w:shd w:val="clear" w:color="auto" w:fill="FFFFFF"/>
        </w:rPr>
        <w:t xml:space="preserve"> to renewable energy consumption on economic growth-environmental nexus from developing Asian economies. </w:t>
      </w:r>
      <w:r w:rsidRPr="002065AA">
        <w:rPr>
          <w:rFonts w:ascii="Times New Roman" w:hAnsi="Times New Roman" w:cs="Times New Roman"/>
          <w:i/>
          <w:iCs/>
          <w:color w:val="222222"/>
          <w:sz w:val="24"/>
          <w:szCs w:val="24"/>
          <w:shd w:val="clear" w:color="auto" w:fill="FFFFFF"/>
        </w:rPr>
        <w:t>Journal of environmental management</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284</w:t>
      </w:r>
      <w:r w:rsidRPr="002065AA">
        <w:rPr>
          <w:rFonts w:ascii="Times New Roman" w:hAnsi="Times New Roman" w:cs="Times New Roman"/>
          <w:color w:val="222222"/>
          <w:sz w:val="24"/>
          <w:szCs w:val="24"/>
          <w:shd w:val="clear" w:color="auto" w:fill="FFFFFF"/>
        </w:rPr>
        <w:t>, p.111999.</w:t>
      </w:r>
    </w:p>
    <w:p w14:paraId="585F0221"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proofErr w:type="spellStart"/>
      <w:r w:rsidRPr="002065AA">
        <w:rPr>
          <w:rFonts w:ascii="Times New Roman" w:hAnsi="Times New Roman" w:cs="Times New Roman"/>
          <w:color w:val="222222"/>
          <w:sz w:val="24"/>
          <w:szCs w:val="24"/>
          <w:shd w:val="clear" w:color="auto" w:fill="FFFFFF"/>
        </w:rPr>
        <w:t>Notteboom</w:t>
      </w:r>
      <w:proofErr w:type="spellEnd"/>
      <w:r w:rsidRPr="002065AA">
        <w:rPr>
          <w:rFonts w:ascii="Times New Roman" w:hAnsi="Times New Roman" w:cs="Times New Roman"/>
          <w:color w:val="222222"/>
          <w:sz w:val="24"/>
          <w:szCs w:val="24"/>
          <w:shd w:val="clear" w:color="auto" w:fill="FFFFFF"/>
        </w:rPr>
        <w:t>, T., Pallis, A. and Rodrigue, J.P., (2022). </w:t>
      </w:r>
      <w:r w:rsidRPr="002065AA">
        <w:rPr>
          <w:rFonts w:ascii="Times New Roman" w:hAnsi="Times New Roman" w:cs="Times New Roman"/>
          <w:i/>
          <w:iCs/>
          <w:color w:val="222222"/>
          <w:sz w:val="24"/>
          <w:szCs w:val="24"/>
          <w:shd w:val="clear" w:color="auto" w:fill="FFFFFF"/>
        </w:rPr>
        <w:t>Port economics, management and policy</w:t>
      </w:r>
      <w:r w:rsidRPr="002065AA">
        <w:rPr>
          <w:rFonts w:ascii="Times New Roman" w:hAnsi="Times New Roman" w:cs="Times New Roman"/>
          <w:color w:val="222222"/>
          <w:sz w:val="24"/>
          <w:szCs w:val="24"/>
          <w:shd w:val="clear" w:color="auto" w:fill="FFFFFF"/>
        </w:rPr>
        <w:t>. Routledge.</w:t>
      </w:r>
    </w:p>
    <w:p w14:paraId="4FE1866D"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Samuelson, W.F., Marks, S.G. and Zagorsky, J.L., (2021). </w:t>
      </w:r>
      <w:r w:rsidRPr="002065AA">
        <w:rPr>
          <w:rFonts w:ascii="Times New Roman" w:hAnsi="Times New Roman" w:cs="Times New Roman"/>
          <w:i/>
          <w:iCs/>
          <w:color w:val="222222"/>
          <w:sz w:val="24"/>
          <w:szCs w:val="24"/>
          <w:shd w:val="clear" w:color="auto" w:fill="FFFFFF"/>
        </w:rPr>
        <w:t>Managerial economics</w:t>
      </w:r>
      <w:r w:rsidRPr="002065AA">
        <w:rPr>
          <w:rFonts w:ascii="Times New Roman" w:hAnsi="Times New Roman" w:cs="Times New Roman"/>
          <w:color w:val="222222"/>
          <w:sz w:val="24"/>
          <w:szCs w:val="24"/>
          <w:shd w:val="clear" w:color="auto" w:fill="FFFFFF"/>
        </w:rPr>
        <w:t>. John Wiley &amp; Sons.</w:t>
      </w:r>
    </w:p>
    <w:p w14:paraId="19EEE6A8"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 xml:space="preserve">Sharma, P., Leung, T.Y., Kingshott, R.P., </w:t>
      </w:r>
      <w:proofErr w:type="spellStart"/>
      <w:r w:rsidRPr="002065AA">
        <w:rPr>
          <w:rFonts w:ascii="Times New Roman" w:hAnsi="Times New Roman" w:cs="Times New Roman"/>
          <w:color w:val="222222"/>
          <w:sz w:val="24"/>
          <w:szCs w:val="24"/>
          <w:shd w:val="clear" w:color="auto" w:fill="FFFFFF"/>
        </w:rPr>
        <w:t>Davcik</w:t>
      </w:r>
      <w:proofErr w:type="spellEnd"/>
      <w:r w:rsidRPr="002065AA">
        <w:rPr>
          <w:rFonts w:ascii="Times New Roman" w:hAnsi="Times New Roman" w:cs="Times New Roman"/>
          <w:color w:val="222222"/>
          <w:sz w:val="24"/>
          <w:szCs w:val="24"/>
          <w:shd w:val="clear" w:color="auto" w:fill="FFFFFF"/>
        </w:rPr>
        <w:t>, N.S. and Cardinali, S., (2020). Managing uncertainty during a global pandemic: An international business perspective. </w:t>
      </w:r>
      <w:r w:rsidRPr="002065AA">
        <w:rPr>
          <w:rFonts w:ascii="Times New Roman" w:hAnsi="Times New Roman" w:cs="Times New Roman"/>
          <w:i/>
          <w:iCs/>
          <w:color w:val="222222"/>
          <w:sz w:val="24"/>
          <w:szCs w:val="24"/>
          <w:shd w:val="clear" w:color="auto" w:fill="FFFFFF"/>
        </w:rPr>
        <w:t>Journal of business research</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116</w:t>
      </w:r>
      <w:r w:rsidRPr="002065AA">
        <w:rPr>
          <w:rFonts w:ascii="Times New Roman" w:hAnsi="Times New Roman" w:cs="Times New Roman"/>
          <w:color w:val="222222"/>
          <w:sz w:val="24"/>
          <w:szCs w:val="24"/>
          <w:shd w:val="clear" w:color="auto" w:fill="FFFFFF"/>
        </w:rPr>
        <w:t>, pp.188-192.</w:t>
      </w:r>
    </w:p>
    <w:p w14:paraId="7D137373"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lastRenderedPageBreak/>
        <w:t xml:space="preserve">Surya, B., Menne, F., </w:t>
      </w:r>
      <w:proofErr w:type="spellStart"/>
      <w:r w:rsidRPr="002065AA">
        <w:rPr>
          <w:rFonts w:ascii="Times New Roman" w:hAnsi="Times New Roman" w:cs="Times New Roman"/>
          <w:color w:val="222222"/>
          <w:sz w:val="24"/>
          <w:szCs w:val="24"/>
          <w:shd w:val="clear" w:color="auto" w:fill="FFFFFF"/>
        </w:rPr>
        <w:t>Sabhan</w:t>
      </w:r>
      <w:proofErr w:type="spellEnd"/>
      <w:r w:rsidRPr="002065AA">
        <w:rPr>
          <w:rFonts w:ascii="Times New Roman" w:hAnsi="Times New Roman" w:cs="Times New Roman"/>
          <w:color w:val="222222"/>
          <w:sz w:val="24"/>
          <w:szCs w:val="24"/>
          <w:shd w:val="clear" w:color="auto" w:fill="FFFFFF"/>
        </w:rPr>
        <w:t>, H., Suriani, S., Abubakar, H. and Idris, M., (2021). Economic growth, increasing productivity of SMEs, and open innovation. </w:t>
      </w:r>
      <w:r w:rsidRPr="002065AA">
        <w:rPr>
          <w:rFonts w:ascii="Times New Roman" w:hAnsi="Times New Roman" w:cs="Times New Roman"/>
          <w:i/>
          <w:iCs/>
          <w:color w:val="222222"/>
          <w:sz w:val="24"/>
          <w:szCs w:val="24"/>
          <w:shd w:val="clear" w:color="auto" w:fill="FFFFFF"/>
        </w:rPr>
        <w:t>Journal of Open Innovation: Technology, Market, and Complexity</w:t>
      </w:r>
      <w:r w:rsidRPr="002065AA">
        <w:rPr>
          <w:rFonts w:ascii="Times New Roman" w:hAnsi="Times New Roman" w:cs="Times New Roman"/>
          <w:color w:val="222222"/>
          <w:sz w:val="24"/>
          <w:szCs w:val="24"/>
          <w:shd w:val="clear" w:color="auto" w:fill="FFFFFF"/>
        </w:rPr>
        <w:t>, </w:t>
      </w:r>
      <w:r w:rsidRPr="002065AA">
        <w:rPr>
          <w:rFonts w:ascii="Times New Roman" w:hAnsi="Times New Roman" w:cs="Times New Roman"/>
          <w:i/>
          <w:iCs/>
          <w:color w:val="222222"/>
          <w:sz w:val="24"/>
          <w:szCs w:val="24"/>
          <w:shd w:val="clear" w:color="auto" w:fill="FFFFFF"/>
        </w:rPr>
        <w:t>7</w:t>
      </w:r>
      <w:r w:rsidRPr="002065AA">
        <w:rPr>
          <w:rFonts w:ascii="Times New Roman" w:hAnsi="Times New Roman" w:cs="Times New Roman"/>
          <w:color w:val="222222"/>
          <w:sz w:val="24"/>
          <w:szCs w:val="24"/>
          <w:shd w:val="clear" w:color="auto" w:fill="FFFFFF"/>
        </w:rPr>
        <w:t>(1), p.20.</w:t>
      </w:r>
    </w:p>
    <w:p w14:paraId="6E40FA5C" w14:textId="77777777" w:rsidR="002065AA" w:rsidRPr="002065AA" w:rsidRDefault="002065AA" w:rsidP="002065AA">
      <w:pPr>
        <w:spacing w:line="360" w:lineRule="auto"/>
        <w:jc w:val="both"/>
        <w:rPr>
          <w:rFonts w:ascii="Times New Roman" w:hAnsi="Times New Roman" w:cs="Times New Roman"/>
          <w:color w:val="222222"/>
          <w:sz w:val="24"/>
          <w:szCs w:val="24"/>
          <w:shd w:val="clear" w:color="auto" w:fill="FFFFFF"/>
        </w:rPr>
      </w:pPr>
      <w:r w:rsidRPr="002065AA">
        <w:rPr>
          <w:rFonts w:ascii="Times New Roman" w:hAnsi="Times New Roman" w:cs="Times New Roman"/>
          <w:color w:val="222222"/>
          <w:sz w:val="24"/>
          <w:szCs w:val="24"/>
          <w:shd w:val="clear" w:color="auto" w:fill="FFFFFF"/>
        </w:rPr>
        <w:t>Yu, Z., Razzaq, A., Rehman, A., Shah, A., Jameel, K. and Mor, R.S., (2021). Disruption in global supply chain and socio-economic shocks: a lesson from COVID-19 for sustainable production and consumption. </w:t>
      </w:r>
      <w:r w:rsidRPr="002065AA">
        <w:rPr>
          <w:rFonts w:ascii="Times New Roman" w:hAnsi="Times New Roman" w:cs="Times New Roman"/>
          <w:i/>
          <w:iCs/>
          <w:color w:val="222222"/>
          <w:sz w:val="24"/>
          <w:szCs w:val="24"/>
          <w:shd w:val="clear" w:color="auto" w:fill="FFFFFF"/>
        </w:rPr>
        <w:t>Operations Management Research</w:t>
      </w:r>
      <w:r w:rsidRPr="002065AA">
        <w:rPr>
          <w:rFonts w:ascii="Times New Roman" w:hAnsi="Times New Roman" w:cs="Times New Roman"/>
          <w:color w:val="222222"/>
          <w:sz w:val="24"/>
          <w:szCs w:val="24"/>
          <w:shd w:val="clear" w:color="auto" w:fill="FFFFFF"/>
        </w:rPr>
        <w:t>, pp.1-16.</w:t>
      </w:r>
    </w:p>
    <w:sectPr w:rsidR="002065AA" w:rsidRPr="002065AA">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470E42" w14:textId="77777777" w:rsidR="004731C6" w:rsidRDefault="004731C6" w:rsidP="002065AA">
      <w:pPr>
        <w:spacing w:line="240" w:lineRule="auto"/>
      </w:pPr>
      <w:r>
        <w:separator/>
      </w:r>
    </w:p>
  </w:endnote>
  <w:endnote w:type="continuationSeparator" w:id="0">
    <w:p w14:paraId="447CA97E" w14:textId="77777777" w:rsidR="004731C6" w:rsidRDefault="004731C6" w:rsidP="002065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2143106494"/>
      <w:docPartObj>
        <w:docPartGallery w:val="Page Numbers (Bottom of Page)"/>
        <w:docPartUnique/>
      </w:docPartObj>
    </w:sdtPr>
    <w:sdtEndPr>
      <w:rPr>
        <w:noProof/>
      </w:rPr>
    </w:sdtEndPr>
    <w:sdtContent>
      <w:p w14:paraId="52C996B5" w14:textId="60693BA2" w:rsidR="002065AA" w:rsidRPr="002065AA" w:rsidRDefault="002065AA">
        <w:pPr>
          <w:pStyle w:val="Footer"/>
          <w:jc w:val="right"/>
          <w:rPr>
            <w:rFonts w:ascii="Times New Roman" w:hAnsi="Times New Roman" w:cs="Times New Roman"/>
            <w:sz w:val="20"/>
            <w:szCs w:val="20"/>
          </w:rPr>
        </w:pPr>
        <w:r w:rsidRPr="002065AA">
          <w:rPr>
            <w:rFonts w:ascii="Times New Roman" w:hAnsi="Times New Roman" w:cs="Times New Roman"/>
            <w:sz w:val="20"/>
            <w:szCs w:val="20"/>
          </w:rPr>
          <w:fldChar w:fldCharType="begin"/>
        </w:r>
        <w:r w:rsidRPr="002065AA">
          <w:rPr>
            <w:rFonts w:ascii="Times New Roman" w:hAnsi="Times New Roman" w:cs="Times New Roman"/>
            <w:sz w:val="20"/>
            <w:szCs w:val="20"/>
          </w:rPr>
          <w:instrText xml:space="preserve"> PAGE   \* MERGEFORMAT </w:instrText>
        </w:r>
        <w:r w:rsidRPr="002065AA">
          <w:rPr>
            <w:rFonts w:ascii="Times New Roman" w:hAnsi="Times New Roman" w:cs="Times New Roman"/>
            <w:sz w:val="20"/>
            <w:szCs w:val="20"/>
          </w:rPr>
          <w:fldChar w:fldCharType="separate"/>
        </w:r>
        <w:r w:rsidRPr="002065AA">
          <w:rPr>
            <w:rFonts w:ascii="Times New Roman" w:hAnsi="Times New Roman" w:cs="Times New Roman"/>
            <w:noProof/>
            <w:sz w:val="20"/>
            <w:szCs w:val="20"/>
          </w:rPr>
          <w:t>2</w:t>
        </w:r>
        <w:r w:rsidRPr="002065AA">
          <w:rPr>
            <w:rFonts w:ascii="Times New Roman" w:hAnsi="Times New Roman" w:cs="Times New Roman"/>
            <w:noProof/>
            <w:sz w:val="20"/>
            <w:szCs w:val="20"/>
          </w:rPr>
          <w:fldChar w:fldCharType="end"/>
        </w:r>
      </w:p>
    </w:sdtContent>
  </w:sdt>
  <w:p w14:paraId="0E9F219D" w14:textId="77777777" w:rsidR="002065AA" w:rsidRDefault="00206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9EC325" w14:textId="77777777" w:rsidR="004731C6" w:rsidRDefault="004731C6" w:rsidP="002065AA">
      <w:pPr>
        <w:spacing w:line="240" w:lineRule="auto"/>
      </w:pPr>
      <w:r>
        <w:separator/>
      </w:r>
    </w:p>
  </w:footnote>
  <w:footnote w:type="continuationSeparator" w:id="0">
    <w:p w14:paraId="50CA0EAF" w14:textId="77777777" w:rsidR="004731C6" w:rsidRDefault="004731C6" w:rsidP="002065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706AD8"/>
    <w:multiLevelType w:val="hybridMultilevel"/>
    <w:tmpl w:val="559240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AC45CF1"/>
    <w:multiLevelType w:val="multilevel"/>
    <w:tmpl w:val="BF129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72771914">
    <w:abstractNumId w:val="1"/>
  </w:num>
  <w:num w:numId="2" w16cid:durableId="1848978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B18"/>
    <w:rsid w:val="00080C0F"/>
    <w:rsid w:val="000E795F"/>
    <w:rsid w:val="00134B7E"/>
    <w:rsid w:val="002065AA"/>
    <w:rsid w:val="0023093B"/>
    <w:rsid w:val="00323B18"/>
    <w:rsid w:val="00337510"/>
    <w:rsid w:val="00444F82"/>
    <w:rsid w:val="004731C6"/>
    <w:rsid w:val="00583B86"/>
    <w:rsid w:val="005E5EFC"/>
    <w:rsid w:val="00684B99"/>
    <w:rsid w:val="00876895"/>
    <w:rsid w:val="008F48E5"/>
    <w:rsid w:val="009079C5"/>
    <w:rsid w:val="00914C74"/>
    <w:rsid w:val="00AF04BB"/>
    <w:rsid w:val="00B2592B"/>
    <w:rsid w:val="00BE6060"/>
    <w:rsid w:val="00C33D72"/>
    <w:rsid w:val="00DB6797"/>
    <w:rsid w:val="00E16BC6"/>
    <w:rsid w:val="00F102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33CAEF"/>
  <w15:docId w15:val="{DAB3294F-A400-461F-8160-7EF2970F2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83B8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583B86"/>
    <w:pPr>
      <w:ind w:left="720"/>
      <w:contextualSpacing/>
    </w:pPr>
  </w:style>
  <w:style w:type="paragraph" w:styleId="TOCHeading">
    <w:name w:val="TOC Heading"/>
    <w:basedOn w:val="Heading1"/>
    <w:next w:val="Normal"/>
    <w:uiPriority w:val="39"/>
    <w:unhideWhenUsed/>
    <w:qFormat/>
    <w:rsid w:val="002065A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065AA"/>
    <w:pPr>
      <w:spacing w:after="100"/>
    </w:pPr>
  </w:style>
  <w:style w:type="character" w:styleId="Hyperlink">
    <w:name w:val="Hyperlink"/>
    <w:basedOn w:val="DefaultParagraphFont"/>
    <w:uiPriority w:val="99"/>
    <w:unhideWhenUsed/>
    <w:rsid w:val="002065AA"/>
    <w:rPr>
      <w:color w:val="0000FF" w:themeColor="hyperlink"/>
      <w:u w:val="single"/>
    </w:rPr>
  </w:style>
  <w:style w:type="paragraph" w:styleId="Header">
    <w:name w:val="header"/>
    <w:basedOn w:val="Normal"/>
    <w:link w:val="HeaderChar"/>
    <w:uiPriority w:val="99"/>
    <w:unhideWhenUsed/>
    <w:rsid w:val="002065AA"/>
    <w:pPr>
      <w:tabs>
        <w:tab w:val="center" w:pos="4513"/>
        <w:tab w:val="right" w:pos="9026"/>
      </w:tabs>
      <w:spacing w:line="240" w:lineRule="auto"/>
    </w:pPr>
  </w:style>
  <w:style w:type="character" w:customStyle="1" w:styleId="HeaderChar">
    <w:name w:val="Header Char"/>
    <w:basedOn w:val="DefaultParagraphFont"/>
    <w:link w:val="Header"/>
    <w:uiPriority w:val="99"/>
    <w:rsid w:val="002065AA"/>
  </w:style>
  <w:style w:type="paragraph" w:styleId="Footer">
    <w:name w:val="footer"/>
    <w:basedOn w:val="Normal"/>
    <w:link w:val="FooterChar"/>
    <w:uiPriority w:val="99"/>
    <w:unhideWhenUsed/>
    <w:rsid w:val="002065AA"/>
    <w:pPr>
      <w:tabs>
        <w:tab w:val="center" w:pos="4513"/>
        <w:tab w:val="right" w:pos="9026"/>
      </w:tabs>
      <w:spacing w:line="240" w:lineRule="auto"/>
    </w:pPr>
  </w:style>
  <w:style w:type="character" w:customStyle="1" w:styleId="FooterChar">
    <w:name w:val="Footer Char"/>
    <w:basedOn w:val="DefaultParagraphFont"/>
    <w:link w:val="Footer"/>
    <w:uiPriority w:val="99"/>
    <w:rsid w:val="002065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0F0A16-B570-48C1-BA66-EAD9F0510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3187</Words>
  <Characters>18168</Characters>
  <Application>Microsoft Office Word</Application>
  <DocSecurity>0</DocSecurity>
  <Lines>151</Lines>
  <Paragraphs>42</Paragraphs>
  <ScaleCrop>false</ScaleCrop>
  <Company/>
  <LinksUpToDate>false</LinksUpToDate>
  <CharactersWithSpaces>21313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Crina Mihut (2218982)</cp:lastModifiedBy>
  <cp:revision>3</cp:revision>
  <dcterms:created xsi:type="dcterms:W3CDTF">2024-07-25T17:42:00Z</dcterms:created>
  <dcterms:modified xsi:type="dcterms:W3CDTF">2024-07-25T17:43:00Z</dcterms:modified>
</cp:coreProperties>
</file>