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48850" w14:textId="77777777" w:rsidR="003C6BA7" w:rsidRPr="000A72EF" w:rsidRDefault="003C6BA7" w:rsidP="003C6BA7">
      <w:pPr>
        <w:spacing w:line="360" w:lineRule="auto"/>
        <w:jc w:val="center"/>
        <w:rPr>
          <w:rFonts w:eastAsia="Times New Roman"/>
          <w:b/>
          <w:bCs/>
          <w:lang w:val="en-GB"/>
        </w:rPr>
      </w:pPr>
    </w:p>
    <w:p w14:paraId="6F5B3902" w14:textId="77777777" w:rsidR="003C6BA7" w:rsidRPr="000A72EF" w:rsidRDefault="003C6BA7" w:rsidP="003C6BA7">
      <w:pPr>
        <w:spacing w:line="360" w:lineRule="auto"/>
        <w:jc w:val="center"/>
        <w:rPr>
          <w:rFonts w:eastAsia="Times New Roman"/>
          <w:b/>
          <w:bCs/>
          <w:lang w:val="en-GB"/>
        </w:rPr>
      </w:pPr>
    </w:p>
    <w:p w14:paraId="32AF2B13" w14:textId="77777777" w:rsidR="003C6BA7" w:rsidRPr="000A72EF" w:rsidRDefault="003C6BA7" w:rsidP="003C6BA7">
      <w:pPr>
        <w:spacing w:line="360" w:lineRule="auto"/>
        <w:jc w:val="center"/>
        <w:rPr>
          <w:rFonts w:eastAsia="Times New Roman"/>
          <w:b/>
          <w:bCs/>
          <w:lang w:val="en-GB"/>
        </w:rPr>
      </w:pPr>
    </w:p>
    <w:p w14:paraId="75E46AF6" w14:textId="77777777" w:rsidR="003C6BA7" w:rsidRPr="000A72EF" w:rsidRDefault="003C6BA7" w:rsidP="003C6BA7">
      <w:pPr>
        <w:spacing w:line="360" w:lineRule="auto"/>
        <w:jc w:val="center"/>
        <w:rPr>
          <w:rFonts w:eastAsia="Times New Roman"/>
          <w:b/>
          <w:bCs/>
          <w:lang w:val="en-GB"/>
        </w:rPr>
      </w:pPr>
    </w:p>
    <w:p w14:paraId="2B9E961A" w14:textId="77777777" w:rsidR="003C6BA7" w:rsidRPr="000A72EF" w:rsidRDefault="003C6BA7" w:rsidP="003C6BA7">
      <w:pPr>
        <w:spacing w:line="360" w:lineRule="auto"/>
        <w:jc w:val="center"/>
        <w:rPr>
          <w:rFonts w:eastAsia="Times New Roman"/>
          <w:b/>
          <w:bCs/>
          <w:lang w:val="en-GB"/>
        </w:rPr>
      </w:pPr>
    </w:p>
    <w:p w14:paraId="26D238D8" w14:textId="77777777" w:rsidR="003C6BA7" w:rsidRPr="000A72EF" w:rsidRDefault="003C6BA7" w:rsidP="003C6BA7">
      <w:pPr>
        <w:spacing w:line="360" w:lineRule="auto"/>
        <w:jc w:val="center"/>
        <w:rPr>
          <w:rFonts w:eastAsia="Times New Roman"/>
          <w:b/>
          <w:bCs/>
          <w:lang w:val="en-GB"/>
        </w:rPr>
      </w:pPr>
    </w:p>
    <w:p w14:paraId="26B7BE52" w14:textId="77777777" w:rsidR="003C6BA7" w:rsidRPr="000A72EF" w:rsidRDefault="003C6BA7" w:rsidP="003C6BA7">
      <w:pPr>
        <w:spacing w:line="360" w:lineRule="auto"/>
        <w:jc w:val="center"/>
        <w:rPr>
          <w:rFonts w:eastAsia="Times New Roman"/>
          <w:b/>
          <w:bCs/>
          <w:lang w:val="en-GB"/>
        </w:rPr>
      </w:pPr>
    </w:p>
    <w:p w14:paraId="7D9B5BD0" w14:textId="77777777" w:rsidR="003C6BA7" w:rsidRPr="000A72EF" w:rsidRDefault="003C6BA7" w:rsidP="003C6BA7">
      <w:pPr>
        <w:spacing w:line="360" w:lineRule="auto"/>
        <w:jc w:val="center"/>
        <w:rPr>
          <w:rFonts w:eastAsia="Times New Roman"/>
          <w:b/>
          <w:bCs/>
          <w:lang w:val="en-GB"/>
        </w:rPr>
      </w:pPr>
    </w:p>
    <w:p w14:paraId="3DF24C43" w14:textId="77777777" w:rsidR="003C6BA7" w:rsidRPr="000A72EF" w:rsidRDefault="003C6BA7" w:rsidP="003C6BA7">
      <w:pPr>
        <w:spacing w:line="360" w:lineRule="auto"/>
        <w:jc w:val="center"/>
        <w:rPr>
          <w:rFonts w:eastAsia="Times New Roman"/>
          <w:b/>
          <w:bCs/>
          <w:lang w:val="en-GB"/>
        </w:rPr>
      </w:pPr>
    </w:p>
    <w:p w14:paraId="11095CB9" w14:textId="77777777" w:rsidR="003C6BA7" w:rsidRPr="000A72EF" w:rsidRDefault="003C6BA7" w:rsidP="003C6BA7">
      <w:pPr>
        <w:spacing w:line="360" w:lineRule="auto"/>
        <w:jc w:val="center"/>
        <w:rPr>
          <w:rFonts w:eastAsia="Times New Roman"/>
          <w:b/>
          <w:bCs/>
          <w:lang w:val="en-GB"/>
        </w:rPr>
      </w:pPr>
    </w:p>
    <w:p w14:paraId="67965290" w14:textId="77777777" w:rsidR="003C6BA7" w:rsidRPr="000A72EF" w:rsidRDefault="003C6BA7" w:rsidP="003C6BA7">
      <w:pPr>
        <w:spacing w:line="360" w:lineRule="auto"/>
        <w:jc w:val="center"/>
        <w:rPr>
          <w:rFonts w:eastAsia="Times New Roman"/>
          <w:b/>
          <w:bCs/>
          <w:lang w:val="en-GB"/>
        </w:rPr>
      </w:pPr>
    </w:p>
    <w:p w14:paraId="1139992E" w14:textId="77777777" w:rsidR="003C6BA7" w:rsidRPr="000A72EF" w:rsidRDefault="003C6BA7" w:rsidP="003C6BA7">
      <w:pPr>
        <w:spacing w:line="360" w:lineRule="auto"/>
        <w:jc w:val="center"/>
        <w:rPr>
          <w:rFonts w:eastAsia="Times New Roman"/>
          <w:b/>
          <w:bCs/>
          <w:lang w:val="en-GB"/>
        </w:rPr>
      </w:pPr>
    </w:p>
    <w:p w14:paraId="53E3DF7A" w14:textId="0CEA3D2D" w:rsidR="001445B5" w:rsidRPr="000A72EF" w:rsidRDefault="00607058" w:rsidP="003C6BA7">
      <w:pPr>
        <w:spacing w:line="360" w:lineRule="auto"/>
        <w:jc w:val="center"/>
        <w:rPr>
          <w:rFonts w:eastAsia="Times New Roman"/>
          <w:b/>
          <w:bCs/>
          <w:lang w:val="en-GB"/>
        </w:rPr>
      </w:pPr>
      <w:r w:rsidRPr="000A72EF">
        <w:rPr>
          <w:rFonts w:eastAsia="Times New Roman"/>
          <w:b/>
          <w:bCs/>
          <w:lang w:val="en-GB"/>
        </w:rPr>
        <w:t xml:space="preserve">Student name: </w:t>
      </w:r>
      <w:r w:rsidRPr="000A72EF">
        <w:rPr>
          <w:rFonts w:eastAsia="Times New Roman"/>
          <w:b/>
          <w:bCs/>
          <w:color w:val="222222"/>
          <w:lang w:val="en-GB"/>
        </w:rPr>
        <w:t>Martin-Andrei-Iancu</w:t>
      </w:r>
    </w:p>
    <w:p w14:paraId="68012ADA" w14:textId="1B00DD99" w:rsidR="001445B5" w:rsidRPr="000A72EF" w:rsidRDefault="00607058" w:rsidP="003C6BA7">
      <w:pPr>
        <w:spacing w:line="360" w:lineRule="auto"/>
        <w:jc w:val="center"/>
        <w:rPr>
          <w:rFonts w:eastAsia="Times New Roman"/>
          <w:b/>
          <w:bCs/>
          <w:lang w:val="en-GB"/>
        </w:rPr>
      </w:pPr>
      <w:r w:rsidRPr="000A72EF">
        <w:rPr>
          <w:rFonts w:eastAsia="Times New Roman"/>
          <w:b/>
          <w:bCs/>
          <w:lang w:val="en-GB"/>
        </w:rPr>
        <w:t>Student ID number:</w:t>
      </w:r>
      <w:r w:rsidRPr="000A72EF">
        <w:rPr>
          <w:rFonts w:eastAsia="Times New Roman"/>
          <w:b/>
          <w:bCs/>
          <w:color w:val="222222"/>
          <w:lang w:val="en-GB"/>
        </w:rPr>
        <w:t>2530102</w:t>
      </w:r>
    </w:p>
    <w:p w14:paraId="0FD5DDBE" w14:textId="77777777" w:rsidR="001445B5" w:rsidRPr="000A72EF" w:rsidRDefault="00607058" w:rsidP="003C6BA7">
      <w:pPr>
        <w:spacing w:line="360" w:lineRule="auto"/>
        <w:jc w:val="center"/>
        <w:rPr>
          <w:rFonts w:eastAsia="Times New Roman"/>
          <w:b/>
          <w:bCs/>
          <w:lang w:val="en-GB"/>
        </w:rPr>
      </w:pPr>
      <w:r w:rsidRPr="000A72EF">
        <w:rPr>
          <w:rFonts w:eastAsia="Times New Roman"/>
          <w:b/>
          <w:bCs/>
          <w:lang w:val="en-GB"/>
        </w:rPr>
        <w:t>Programme: Certificate of Higher Education Skills for the Workplace (Health &amp; Social Care)</w:t>
      </w:r>
    </w:p>
    <w:p w14:paraId="1AA86EC2" w14:textId="77777777" w:rsidR="001445B5" w:rsidRPr="000A72EF" w:rsidRDefault="00607058" w:rsidP="003C6BA7">
      <w:pPr>
        <w:spacing w:line="360" w:lineRule="auto"/>
        <w:jc w:val="center"/>
        <w:rPr>
          <w:rFonts w:eastAsia="Times New Roman"/>
          <w:b/>
          <w:bCs/>
          <w:lang w:val="en-GB"/>
        </w:rPr>
      </w:pPr>
      <w:r w:rsidRPr="000A72EF">
        <w:rPr>
          <w:rFonts w:eastAsia="Times New Roman"/>
          <w:b/>
          <w:bCs/>
          <w:lang w:val="en-GB"/>
        </w:rPr>
        <w:t>Module: Introduction to Public Health</w:t>
      </w:r>
    </w:p>
    <w:p w14:paraId="4AADCCD0" w14:textId="77777777" w:rsidR="001445B5" w:rsidRPr="000A72EF" w:rsidRDefault="00607058" w:rsidP="003C6BA7">
      <w:pPr>
        <w:spacing w:line="360" w:lineRule="auto"/>
        <w:jc w:val="center"/>
        <w:rPr>
          <w:rFonts w:eastAsia="Times New Roman"/>
          <w:b/>
          <w:bCs/>
          <w:lang w:val="en-GB"/>
        </w:rPr>
      </w:pPr>
      <w:r w:rsidRPr="000A72EF">
        <w:rPr>
          <w:rFonts w:eastAsia="Times New Roman"/>
          <w:b/>
          <w:bCs/>
          <w:lang w:val="en-GB"/>
        </w:rPr>
        <w:t>Module code: LCHS4008</w:t>
      </w:r>
      <w:r w:rsidRPr="000A72EF">
        <w:rPr>
          <w:lang w:val="en-GB"/>
        </w:rPr>
        <w:br w:type="page"/>
      </w:r>
    </w:p>
    <w:sdt>
      <w:sdtPr>
        <w:rPr>
          <w:rFonts w:ascii="Arial" w:eastAsia="Arial" w:hAnsi="Arial" w:cs="Arial"/>
          <w:color w:val="auto"/>
          <w:sz w:val="22"/>
          <w:szCs w:val="22"/>
          <w:lang w:val="en"/>
        </w:rPr>
        <w:id w:val="1206069748"/>
        <w:docPartObj>
          <w:docPartGallery w:val="Table of Contents"/>
          <w:docPartUnique/>
        </w:docPartObj>
      </w:sdtPr>
      <w:sdtEndPr>
        <w:rPr>
          <w:b/>
          <w:bCs/>
        </w:rPr>
      </w:sdtEndPr>
      <w:sdtContent>
        <w:p w14:paraId="15B3A6EA" w14:textId="2ADDB904" w:rsidR="003C6BA7" w:rsidRPr="000A72EF" w:rsidRDefault="003C6BA7" w:rsidP="003C6BA7">
          <w:pPr>
            <w:pStyle w:val="TOCHeading"/>
            <w:spacing w:line="360" w:lineRule="auto"/>
            <w:jc w:val="center"/>
            <w:rPr>
              <w:rFonts w:ascii="Arial" w:hAnsi="Arial" w:cs="Arial"/>
              <w:b/>
              <w:bCs/>
              <w:color w:val="auto"/>
              <w:sz w:val="22"/>
              <w:szCs w:val="22"/>
            </w:rPr>
          </w:pPr>
          <w:r w:rsidRPr="000A72EF">
            <w:rPr>
              <w:rFonts w:ascii="Arial" w:hAnsi="Arial" w:cs="Arial"/>
              <w:b/>
              <w:bCs/>
              <w:color w:val="auto"/>
              <w:sz w:val="22"/>
              <w:szCs w:val="22"/>
            </w:rPr>
            <w:t>Table of Contents</w:t>
          </w:r>
        </w:p>
        <w:p w14:paraId="32331BCF" w14:textId="790FED7E" w:rsidR="003C6BA7" w:rsidRPr="000A72EF" w:rsidRDefault="003C6BA7" w:rsidP="003C6BA7">
          <w:pPr>
            <w:pStyle w:val="TOC1"/>
            <w:tabs>
              <w:tab w:val="right" w:leader="dot" w:pos="9350"/>
            </w:tabs>
            <w:spacing w:line="360" w:lineRule="auto"/>
            <w:jc w:val="both"/>
            <w:rPr>
              <w:noProof/>
              <w:lang w:val="en-GB"/>
            </w:rPr>
          </w:pPr>
          <w:r w:rsidRPr="000A72EF">
            <w:rPr>
              <w:lang w:val="en-GB"/>
            </w:rPr>
            <w:fldChar w:fldCharType="begin"/>
          </w:r>
          <w:r w:rsidRPr="000A72EF">
            <w:rPr>
              <w:lang w:val="en-GB"/>
            </w:rPr>
            <w:instrText xml:space="preserve"> TOC \o "1-3" \h \z \u </w:instrText>
          </w:r>
          <w:r w:rsidRPr="000A72EF">
            <w:rPr>
              <w:lang w:val="en-GB"/>
            </w:rPr>
            <w:fldChar w:fldCharType="separate"/>
          </w:r>
          <w:hyperlink w:anchor="_Toc237429952" w:history="1">
            <w:r w:rsidRPr="000A72EF">
              <w:rPr>
                <w:rStyle w:val="Hyperlink"/>
                <w:noProof/>
                <w:lang w:val="en-GB"/>
              </w:rPr>
              <w:t>1. Introduction</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_Toc237429952 \h </w:instrText>
            </w:r>
            <w:r w:rsidRPr="000A72EF">
              <w:rPr>
                <w:noProof/>
                <w:webHidden/>
                <w:lang w:val="en-GB"/>
              </w:rPr>
            </w:r>
            <w:r w:rsidRPr="000A72EF">
              <w:rPr>
                <w:noProof/>
                <w:webHidden/>
                <w:lang w:val="en-GB"/>
              </w:rPr>
              <w:fldChar w:fldCharType="separate"/>
            </w:r>
            <w:r w:rsidRPr="000A72EF">
              <w:rPr>
                <w:noProof/>
                <w:webHidden/>
                <w:lang w:val="en-GB"/>
              </w:rPr>
              <w:t>3</w:t>
            </w:r>
            <w:r w:rsidRPr="000A72EF">
              <w:rPr>
                <w:noProof/>
                <w:webHidden/>
                <w:lang w:val="en-GB"/>
              </w:rPr>
              <w:fldChar w:fldCharType="end"/>
            </w:r>
          </w:hyperlink>
        </w:p>
        <w:p w14:paraId="6DBEACFD" w14:textId="554DA7A1" w:rsidR="003C6BA7" w:rsidRPr="000A72EF" w:rsidRDefault="003C6BA7" w:rsidP="003C6BA7">
          <w:pPr>
            <w:pStyle w:val="TOC2"/>
            <w:tabs>
              <w:tab w:val="right" w:leader="dot" w:pos="9350"/>
            </w:tabs>
            <w:spacing w:line="360" w:lineRule="auto"/>
            <w:jc w:val="both"/>
            <w:rPr>
              <w:noProof/>
              <w:lang w:val="en-GB"/>
            </w:rPr>
          </w:pPr>
          <w:hyperlink w:anchor="_Toc237429953" w:history="1">
            <w:r w:rsidRPr="000A72EF">
              <w:rPr>
                <w:rStyle w:val="Hyperlink"/>
                <w:noProof/>
                <w:lang w:val="en-GB"/>
              </w:rPr>
              <w:t>1.1 Definition of Polio</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_Toc237429953 \h </w:instrText>
            </w:r>
            <w:r w:rsidRPr="000A72EF">
              <w:rPr>
                <w:noProof/>
                <w:webHidden/>
                <w:lang w:val="en-GB"/>
              </w:rPr>
            </w:r>
            <w:r w:rsidRPr="000A72EF">
              <w:rPr>
                <w:noProof/>
                <w:webHidden/>
                <w:lang w:val="en-GB"/>
              </w:rPr>
              <w:fldChar w:fldCharType="separate"/>
            </w:r>
            <w:r w:rsidRPr="000A72EF">
              <w:rPr>
                <w:noProof/>
                <w:webHidden/>
                <w:lang w:val="en-GB"/>
              </w:rPr>
              <w:t>3</w:t>
            </w:r>
            <w:r w:rsidRPr="000A72EF">
              <w:rPr>
                <w:noProof/>
                <w:webHidden/>
                <w:lang w:val="en-GB"/>
              </w:rPr>
              <w:fldChar w:fldCharType="end"/>
            </w:r>
          </w:hyperlink>
        </w:p>
        <w:p w14:paraId="46FF491D" w14:textId="5F2333F1" w:rsidR="003C6BA7" w:rsidRPr="000A72EF" w:rsidRDefault="003C6BA7" w:rsidP="003C6BA7">
          <w:pPr>
            <w:pStyle w:val="TOC2"/>
            <w:tabs>
              <w:tab w:val="right" w:leader="dot" w:pos="9350"/>
            </w:tabs>
            <w:spacing w:line="360" w:lineRule="auto"/>
            <w:jc w:val="both"/>
            <w:rPr>
              <w:noProof/>
              <w:lang w:val="en-GB"/>
            </w:rPr>
          </w:pPr>
          <w:hyperlink w:anchor="_Toc237429954" w:history="1">
            <w:r w:rsidRPr="000A72EF">
              <w:rPr>
                <w:rStyle w:val="Hyperlink"/>
                <w:noProof/>
                <w:lang w:val="en-GB"/>
              </w:rPr>
              <w:t>1.2 Signs and Symptoms</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_Toc237429954 \h </w:instrText>
            </w:r>
            <w:r w:rsidRPr="000A72EF">
              <w:rPr>
                <w:noProof/>
                <w:webHidden/>
                <w:lang w:val="en-GB"/>
              </w:rPr>
            </w:r>
            <w:r w:rsidRPr="000A72EF">
              <w:rPr>
                <w:noProof/>
                <w:webHidden/>
                <w:lang w:val="en-GB"/>
              </w:rPr>
              <w:fldChar w:fldCharType="separate"/>
            </w:r>
            <w:r w:rsidRPr="000A72EF">
              <w:rPr>
                <w:noProof/>
                <w:webHidden/>
                <w:lang w:val="en-GB"/>
              </w:rPr>
              <w:t>3</w:t>
            </w:r>
            <w:r w:rsidRPr="000A72EF">
              <w:rPr>
                <w:noProof/>
                <w:webHidden/>
                <w:lang w:val="en-GB"/>
              </w:rPr>
              <w:fldChar w:fldCharType="end"/>
            </w:r>
          </w:hyperlink>
        </w:p>
        <w:p w14:paraId="4AA4CA41" w14:textId="7D2450A2" w:rsidR="003C6BA7" w:rsidRPr="000A72EF" w:rsidRDefault="003C6BA7" w:rsidP="003C6BA7">
          <w:pPr>
            <w:pStyle w:val="TOC2"/>
            <w:tabs>
              <w:tab w:val="right" w:leader="dot" w:pos="9350"/>
            </w:tabs>
            <w:spacing w:line="360" w:lineRule="auto"/>
            <w:jc w:val="both"/>
            <w:rPr>
              <w:noProof/>
              <w:lang w:val="en-GB"/>
            </w:rPr>
          </w:pPr>
          <w:hyperlink w:anchor="_Toc237429955" w:history="1">
            <w:r w:rsidRPr="000A72EF">
              <w:rPr>
                <w:rStyle w:val="Hyperlink"/>
                <w:noProof/>
                <w:lang w:val="en-GB"/>
              </w:rPr>
              <w:t>1.3 Incidence and Severity</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_Toc237429955 \h </w:instrText>
            </w:r>
            <w:r w:rsidRPr="000A72EF">
              <w:rPr>
                <w:noProof/>
                <w:webHidden/>
                <w:lang w:val="en-GB"/>
              </w:rPr>
            </w:r>
            <w:r w:rsidRPr="000A72EF">
              <w:rPr>
                <w:noProof/>
                <w:webHidden/>
                <w:lang w:val="en-GB"/>
              </w:rPr>
              <w:fldChar w:fldCharType="separate"/>
            </w:r>
            <w:r w:rsidRPr="000A72EF">
              <w:rPr>
                <w:noProof/>
                <w:webHidden/>
                <w:lang w:val="en-GB"/>
              </w:rPr>
              <w:t>3</w:t>
            </w:r>
            <w:r w:rsidRPr="000A72EF">
              <w:rPr>
                <w:noProof/>
                <w:webHidden/>
                <w:lang w:val="en-GB"/>
              </w:rPr>
              <w:fldChar w:fldCharType="end"/>
            </w:r>
          </w:hyperlink>
        </w:p>
        <w:p w14:paraId="2EF00EF5" w14:textId="41D5F8E6" w:rsidR="003C6BA7" w:rsidRPr="000A72EF" w:rsidRDefault="003C6BA7" w:rsidP="003C6BA7">
          <w:pPr>
            <w:pStyle w:val="TOC1"/>
            <w:tabs>
              <w:tab w:val="right" w:leader="dot" w:pos="9350"/>
            </w:tabs>
            <w:spacing w:line="360" w:lineRule="auto"/>
            <w:jc w:val="both"/>
            <w:rPr>
              <w:noProof/>
              <w:lang w:val="en-GB"/>
            </w:rPr>
          </w:pPr>
          <w:hyperlink w:anchor="_Toc237429956" w:history="1">
            <w:r w:rsidRPr="000A72EF">
              <w:rPr>
                <w:rStyle w:val="Hyperlink"/>
                <w:noProof/>
                <w:lang w:val="en-GB"/>
              </w:rPr>
              <w:t>2. Main Body</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_Toc237429956 \h </w:instrText>
            </w:r>
            <w:r w:rsidRPr="000A72EF">
              <w:rPr>
                <w:noProof/>
                <w:webHidden/>
                <w:lang w:val="en-GB"/>
              </w:rPr>
            </w:r>
            <w:r w:rsidRPr="000A72EF">
              <w:rPr>
                <w:noProof/>
                <w:webHidden/>
                <w:lang w:val="en-GB"/>
              </w:rPr>
              <w:fldChar w:fldCharType="separate"/>
            </w:r>
            <w:r w:rsidRPr="000A72EF">
              <w:rPr>
                <w:noProof/>
                <w:webHidden/>
                <w:lang w:val="en-GB"/>
              </w:rPr>
              <w:t>3</w:t>
            </w:r>
            <w:r w:rsidRPr="000A72EF">
              <w:rPr>
                <w:noProof/>
                <w:webHidden/>
                <w:lang w:val="en-GB"/>
              </w:rPr>
              <w:fldChar w:fldCharType="end"/>
            </w:r>
          </w:hyperlink>
        </w:p>
        <w:p w14:paraId="4A7AA3B2" w14:textId="34E27CEA" w:rsidR="003C6BA7" w:rsidRPr="000A72EF" w:rsidRDefault="003C6BA7" w:rsidP="003C6BA7">
          <w:pPr>
            <w:pStyle w:val="TOC2"/>
            <w:tabs>
              <w:tab w:val="right" w:leader="dot" w:pos="9350"/>
            </w:tabs>
            <w:spacing w:line="360" w:lineRule="auto"/>
            <w:jc w:val="both"/>
            <w:rPr>
              <w:noProof/>
              <w:lang w:val="en-GB"/>
            </w:rPr>
          </w:pPr>
          <w:hyperlink w:anchor="_Toc237429957" w:history="1">
            <w:r w:rsidRPr="000A72EF">
              <w:rPr>
                <w:rStyle w:val="Hyperlink"/>
                <w:noProof/>
                <w:lang w:val="en-GB"/>
              </w:rPr>
              <w:t>2.1 Approaches Used to Measure and Monitor Polio</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_Toc237429957 \h </w:instrText>
            </w:r>
            <w:r w:rsidRPr="000A72EF">
              <w:rPr>
                <w:noProof/>
                <w:webHidden/>
                <w:lang w:val="en-GB"/>
              </w:rPr>
            </w:r>
            <w:r w:rsidRPr="000A72EF">
              <w:rPr>
                <w:noProof/>
                <w:webHidden/>
                <w:lang w:val="en-GB"/>
              </w:rPr>
              <w:fldChar w:fldCharType="separate"/>
            </w:r>
            <w:r w:rsidRPr="000A72EF">
              <w:rPr>
                <w:noProof/>
                <w:webHidden/>
                <w:lang w:val="en-GB"/>
              </w:rPr>
              <w:t>3</w:t>
            </w:r>
            <w:r w:rsidRPr="000A72EF">
              <w:rPr>
                <w:noProof/>
                <w:webHidden/>
                <w:lang w:val="en-GB"/>
              </w:rPr>
              <w:fldChar w:fldCharType="end"/>
            </w:r>
          </w:hyperlink>
        </w:p>
        <w:p w14:paraId="5DE6C392" w14:textId="53FC1F2E" w:rsidR="003C6BA7" w:rsidRPr="000A72EF" w:rsidRDefault="003C6BA7" w:rsidP="003C6BA7">
          <w:pPr>
            <w:pStyle w:val="TOC2"/>
            <w:tabs>
              <w:tab w:val="right" w:leader="dot" w:pos="9350"/>
            </w:tabs>
            <w:spacing w:line="360" w:lineRule="auto"/>
            <w:jc w:val="both"/>
            <w:rPr>
              <w:noProof/>
              <w:lang w:val="en-GB"/>
            </w:rPr>
          </w:pPr>
          <w:hyperlink w:anchor="_Toc237429958" w:history="1">
            <w:r w:rsidRPr="000A72EF">
              <w:rPr>
                <w:rStyle w:val="Hyperlink"/>
                <w:noProof/>
                <w:lang w:val="en-GB"/>
              </w:rPr>
              <w:t>2.2 How Polio Is Controlled</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_Toc237429958 \h </w:instrText>
            </w:r>
            <w:r w:rsidRPr="000A72EF">
              <w:rPr>
                <w:noProof/>
                <w:webHidden/>
                <w:lang w:val="en-GB"/>
              </w:rPr>
            </w:r>
            <w:r w:rsidRPr="000A72EF">
              <w:rPr>
                <w:noProof/>
                <w:webHidden/>
                <w:lang w:val="en-GB"/>
              </w:rPr>
              <w:fldChar w:fldCharType="separate"/>
            </w:r>
            <w:r w:rsidRPr="000A72EF">
              <w:rPr>
                <w:noProof/>
                <w:webHidden/>
                <w:lang w:val="en-GB"/>
              </w:rPr>
              <w:t>4</w:t>
            </w:r>
            <w:r w:rsidRPr="000A72EF">
              <w:rPr>
                <w:noProof/>
                <w:webHidden/>
                <w:lang w:val="en-GB"/>
              </w:rPr>
              <w:fldChar w:fldCharType="end"/>
            </w:r>
          </w:hyperlink>
        </w:p>
        <w:p w14:paraId="78E9A50E" w14:textId="16DD32EE" w:rsidR="003C6BA7" w:rsidRPr="000A72EF" w:rsidRDefault="003C6BA7" w:rsidP="003C6BA7">
          <w:pPr>
            <w:pStyle w:val="TOC2"/>
            <w:tabs>
              <w:tab w:val="right" w:leader="dot" w:pos="9350"/>
            </w:tabs>
            <w:spacing w:line="360" w:lineRule="auto"/>
            <w:jc w:val="both"/>
            <w:rPr>
              <w:noProof/>
              <w:lang w:val="en-GB"/>
            </w:rPr>
          </w:pPr>
          <w:hyperlink w:anchor="_Toc237429959" w:history="1">
            <w:r w:rsidRPr="000A72EF">
              <w:rPr>
                <w:rStyle w:val="Hyperlink"/>
                <w:noProof/>
                <w:lang w:val="en-GB"/>
              </w:rPr>
              <w:t>2.3 Consequences of Polio for People and Communities</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_Toc237429959 \h </w:instrText>
            </w:r>
            <w:r w:rsidRPr="000A72EF">
              <w:rPr>
                <w:noProof/>
                <w:webHidden/>
                <w:lang w:val="en-GB"/>
              </w:rPr>
            </w:r>
            <w:r w:rsidRPr="000A72EF">
              <w:rPr>
                <w:noProof/>
                <w:webHidden/>
                <w:lang w:val="en-GB"/>
              </w:rPr>
              <w:fldChar w:fldCharType="separate"/>
            </w:r>
            <w:r w:rsidRPr="000A72EF">
              <w:rPr>
                <w:noProof/>
                <w:webHidden/>
                <w:lang w:val="en-GB"/>
              </w:rPr>
              <w:t>5</w:t>
            </w:r>
            <w:r w:rsidRPr="000A72EF">
              <w:rPr>
                <w:noProof/>
                <w:webHidden/>
                <w:lang w:val="en-GB"/>
              </w:rPr>
              <w:fldChar w:fldCharType="end"/>
            </w:r>
          </w:hyperlink>
        </w:p>
        <w:p w14:paraId="366E154E" w14:textId="38B998C6" w:rsidR="003C6BA7" w:rsidRPr="000A72EF" w:rsidRDefault="003C6BA7" w:rsidP="003C6BA7">
          <w:pPr>
            <w:pStyle w:val="TOC2"/>
            <w:tabs>
              <w:tab w:val="right" w:leader="dot" w:pos="9350"/>
            </w:tabs>
            <w:spacing w:line="360" w:lineRule="auto"/>
            <w:jc w:val="both"/>
            <w:rPr>
              <w:noProof/>
              <w:lang w:val="en-GB"/>
            </w:rPr>
          </w:pPr>
          <w:hyperlink w:anchor="_Toc237429960" w:history="1">
            <w:r w:rsidRPr="000A72EF">
              <w:rPr>
                <w:rStyle w:val="Hyperlink"/>
                <w:noProof/>
                <w:lang w:val="en-GB"/>
              </w:rPr>
              <w:t>2.4 Health and Social Care Support Services</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_Toc237429960 \h </w:instrText>
            </w:r>
            <w:r w:rsidRPr="000A72EF">
              <w:rPr>
                <w:noProof/>
                <w:webHidden/>
                <w:lang w:val="en-GB"/>
              </w:rPr>
            </w:r>
            <w:r w:rsidRPr="000A72EF">
              <w:rPr>
                <w:noProof/>
                <w:webHidden/>
                <w:lang w:val="en-GB"/>
              </w:rPr>
              <w:fldChar w:fldCharType="separate"/>
            </w:r>
            <w:r w:rsidRPr="000A72EF">
              <w:rPr>
                <w:noProof/>
                <w:webHidden/>
                <w:lang w:val="en-GB"/>
              </w:rPr>
              <w:t>6</w:t>
            </w:r>
            <w:r w:rsidRPr="000A72EF">
              <w:rPr>
                <w:noProof/>
                <w:webHidden/>
                <w:lang w:val="en-GB"/>
              </w:rPr>
              <w:fldChar w:fldCharType="end"/>
            </w:r>
          </w:hyperlink>
        </w:p>
        <w:p w14:paraId="383417B2" w14:textId="40B27B95" w:rsidR="003C6BA7" w:rsidRPr="000A72EF" w:rsidRDefault="003C6BA7" w:rsidP="003C6BA7">
          <w:pPr>
            <w:pStyle w:val="TOC1"/>
            <w:tabs>
              <w:tab w:val="right" w:leader="dot" w:pos="9350"/>
            </w:tabs>
            <w:spacing w:line="360" w:lineRule="auto"/>
            <w:jc w:val="both"/>
            <w:rPr>
              <w:noProof/>
              <w:lang w:val="en-GB"/>
            </w:rPr>
          </w:pPr>
          <w:hyperlink w:anchor="_Toc237429961" w:history="1">
            <w:r w:rsidRPr="000A72EF">
              <w:rPr>
                <w:rStyle w:val="Hyperlink"/>
                <w:noProof/>
                <w:lang w:val="en-GB"/>
              </w:rPr>
              <w:t>3. Conclusion</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_Toc237429961 \h </w:instrText>
            </w:r>
            <w:r w:rsidRPr="000A72EF">
              <w:rPr>
                <w:noProof/>
                <w:webHidden/>
                <w:lang w:val="en-GB"/>
              </w:rPr>
            </w:r>
            <w:r w:rsidRPr="000A72EF">
              <w:rPr>
                <w:noProof/>
                <w:webHidden/>
                <w:lang w:val="en-GB"/>
              </w:rPr>
              <w:fldChar w:fldCharType="separate"/>
            </w:r>
            <w:r w:rsidRPr="000A72EF">
              <w:rPr>
                <w:noProof/>
                <w:webHidden/>
                <w:lang w:val="en-GB"/>
              </w:rPr>
              <w:t>7</w:t>
            </w:r>
            <w:r w:rsidRPr="000A72EF">
              <w:rPr>
                <w:noProof/>
                <w:webHidden/>
                <w:lang w:val="en-GB"/>
              </w:rPr>
              <w:fldChar w:fldCharType="end"/>
            </w:r>
          </w:hyperlink>
        </w:p>
        <w:p w14:paraId="417DD0A5" w14:textId="064B1FC0" w:rsidR="003C6BA7" w:rsidRPr="000A72EF" w:rsidRDefault="003C6BA7" w:rsidP="003C6BA7">
          <w:pPr>
            <w:pStyle w:val="TOC1"/>
            <w:tabs>
              <w:tab w:val="right" w:leader="dot" w:pos="9350"/>
            </w:tabs>
            <w:spacing w:line="360" w:lineRule="auto"/>
            <w:jc w:val="both"/>
            <w:rPr>
              <w:noProof/>
              <w:lang w:val="en-GB"/>
            </w:rPr>
          </w:pPr>
          <w:hyperlink w:anchor="_Toc237429962" w:history="1">
            <w:r w:rsidRPr="000A72EF">
              <w:rPr>
                <w:rStyle w:val="Hyperlink"/>
                <w:noProof/>
                <w:lang w:val="en-GB"/>
              </w:rPr>
              <w:t>References</w:t>
            </w:r>
            <w:r w:rsidRPr="000A72EF">
              <w:rPr>
                <w:noProof/>
                <w:webHidden/>
                <w:lang w:val="en-GB"/>
              </w:rPr>
              <w:tab/>
            </w:r>
            <w:r w:rsidRPr="000A72EF">
              <w:rPr>
                <w:noProof/>
                <w:webHidden/>
                <w:lang w:val="en-GB"/>
              </w:rPr>
              <w:fldChar w:fldCharType="begin"/>
            </w:r>
            <w:r w:rsidRPr="000A72EF">
              <w:rPr>
                <w:noProof/>
                <w:webHidden/>
                <w:lang w:val="en-GB"/>
              </w:rPr>
              <w:instrText xml:space="preserve"> PAGEREF _Toc237429962 \h </w:instrText>
            </w:r>
            <w:r w:rsidRPr="000A72EF">
              <w:rPr>
                <w:noProof/>
                <w:webHidden/>
                <w:lang w:val="en-GB"/>
              </w:rPr>
            </w:r>
            <w:r w:rsidRPr="000A72EF">
              <w:rPr>
                <w:noProof/>
                <w:webHidden/>
                <w:lang w:val="en-GB"/>
              </w:rPr>
              <w:fldChar w:fldCharType="separate"/>
            </w:r>
            <w:r w:rsidRPr="000A72EF">
              <w:rPr>
                <w:noProof/>
                <w:webHidden/>
                <w:lang w:val="en-GB"/>
              </w:rPr>
              <w:t>8</w:t>
            </w:r>
            <w:r w:rsidRPr="000A72EF">
              <w:rPr>
                <w:noProof/>
                <w:webHidden/>
                <w:lang w:val="en-GB"/>
              </w:rPr>
              <w:fldChar w:fldCharType="end"/>
            </w:r>
          </w:hyperlink>
        </w:p>
        <w:p w14:paraId="281726CA" w14:textId="0B0DC8D1" w:rsidR="003C6BA7" w:rsidRPr="000A72EF" w:rsidRDefault="003C6BA7" w:rsidP="003C6BA7">
          <w:pPr>
            <w:spacing w:line="360" w:lineRule="auto"/>
            <w:jc w:val="both"/>
            <w:rPr>
              <w:lang w:val="en-GB"/>
            </w:rPr>
          </w:pPr>
          <w:r w:rsidRPr="000A72EF">
            <w:rPr>
              <w:b/>
              <w:bCs/>
              <w:lang w:val="en-GB"/>
            </w:rPr>
            <w:fldChar w:fldCharType="end"/>
          </w:r>
        </w:p>
      </w:sdtContent>
    </w:sdt>
    <w:p w14:paraId="08971438" w14:textId="77777777" w:rsidR="001445B5" w:rsidRPr="000A72EF" w:rsidRDefault="00607058" w:rsidP="003C6BA7">
      <w:pPr>
        <w:spacing w:line="360" w:lineRule="auto"/>
        <w:jc w:val="both"/>
        <w:rPr>
          <w:rFonts w:eastAsia="Times New Roman"/>
          <w:b/>
          <w:bCs/>
          <w:lang w:val="en-GB"/>
        </w:rPr>
      </w:pPr>
      <w:r w:rsidRPr="000A72EF">
        <w:rPr>
          <w:lang w:val="en-GB"/>
        </w:rPr>
        <w:br w:type="page"/>
      </w:r>
    </w:p>
    <w:p w14:paraId="26EF54DA" w14:textId="77777777" w:rsidR="001445B5" w:rsidRPr="000A72EF" w:rsidRDefault="00607058" w:rsidP="003C6BA7">
      <w:pPr>
        <w:pStyle w:val="Heading1"/>
        <w:rPr>
          <w:rFonts w:ascii="Arial" w:hAnsi="Arial" w:cs="Arial"/>
          <w:sz w:val="22"/>
          <w:szCs w:val="22"/>
          <w:lang w:val="en-GB"/>
        </w:rPr>
      </w:pPr>
      <w:bookmarkStart w:id="0" w:name="_4edeen45915e" w:colFirst="0" w:colLast="0"/>
      <w:bookmarkStart w:id="1" w:name="_Toc237429952"/>
      <w:bookmarkEnd w:id="0"/>
      <w:r w:rsidRPr="000A72EF">
        <w:rPr>
          <w:rFonts w:ascii="Arial" w:hAnsi="Arial" w:cs="Arial"/>
          <w:sz w:val="22"/>
          <w:szCs w:val="22"/>
          <w:lang w:val="en-GB"/>
        </w:rPr>
        <w:lastRenderedPageBreak/>
        <w:t>1. Introduction</w:t>
      </w:r>
      <w:bookmarkEnd w:id="1"/>
    </w:p>
    <w:p w14:paraId="469704FD" w14:textId="77777777" w:rsidR="001445B5" w:rsidRPr="000A72EF" w:rsidRDefault="00607058" w:rsidP="003C6BA7">
      <w:pPr>
        <w:pStyle w:val="Heading2"/>
        <w:rPr>
          <w:rFonts w:ascii="Arial" w:hAnsi="Arial" w:cs="Arial"/>
          <w:sz w:val="22"/>
          <w:szCs w:val="22"/>
          <w:lang w:val="en-GB"/>
        </w:rPr>
      </w:pPr>
      <w:bookmarkStart w:id="2" w:name="_kn72kok4bjuo" w:colFirst="0" w:colLast="0"/>
      <w:bookmarkStart w:id="3" w:name="_Toc237429953"/>
      <w:bookmarkEnd w:id="2"/>
      <w:r w:rsidRPr="000A72EF">
        <w:rPr>
          <w:rFonts w:ascii="Arial" w:hAnsi="Arial" w:cs="Arial"/>
          <w:sz w:val="22"/>
          <w:szCs w:val="22"/>
          <w:lang w:val="en-GB"/>
        </w:rPr>
        <w:t>1.1 Definition of Polio</w:t>
      </w:r>
      <w:bookmarkEnd w:id="3"/>
    </w:p>
    <w:p w14:paraId="2AA736ED"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Poliomyelitis (polio) is an extremely contagious viral illness which mainly strikes young children (Who, 2024). It is transmitted primarily via faecal oral route from person-to-person, and occasionally through contaminated water or food.</w:t>
      </w:r>
    </w:p>
    <w:p w14:paraId="6BF2F3D8" w14:textId="77777777" w:rsidR="001445B5" w:rsidRPr="000A72EF" w:rsidRDefault="00607058" w:rsidP="003C6BA7">
      <w:pPr>
        <w:pStyle w:val="Heading2"/>
        <w:rPr>
          <w:rFonts w:ascii="Arial" w:hAnsi="Arial" w:cs="Arial"/>
          <w:sz w:val="22"/>
          <w:szCs w:val="22"/>
          <w:lang w:val="en-GB"/>
        </w:rPr>
      </w:pPr>
      <w:bookmarkStart w:id="4" w:name="_39bs2myyx7il" w:colFirst="0" w:colLast="0"/>
      <w:bookmarkStart w:id="5" w:name="_Toc237429954"/>
      <w:bookmarkEnd w:id="4"/>
      <w:r w:rsidRPr="000A72EF">
        <w:rPr>
          <w:rFonts w:ascii="Arial" w:hAnsi="Arial" w:cs="Arial"/>
          <w:sz w:val="22"/>
          <w:szCs w:val="22"/>
          <w:lang w:val="en-GB"/>
        </w:rPr>
        <w:t>1.2 Signs and Symptoms</w:t>
      </w:r>
      <w:bookmarkEnd w:id="5"/>
    </w:p>
    <w:p w14:paraId="628185D3" w14:textId="6A29C5E8" w:rsidR="001445B5" w:rsidRPr="000A72EF" w:rsidRDefault="00607058" w:rsidP="003C6BA7">
      <w:pPr>
        <w:spacing w:line="360" w:lineRule="auto"/>
        <w:jc w:val="both"/>
        <w:rPr>
          <w:rFonts w:eastAsia="Times New Roman"/>
          <w:lang w:val="en-GB"/>
        </w:rPr>
      </w:pPr>
      <w:r w:rsidRPr="000A72EF">
        <w:rPr>
          <w:rFonts w:eastAsia="Times New Roman"/>
          <w:lang w:val="en-GB"/>
        </w:rPr>
        <w:t>Some infections are asymptomatic, others result in fever, weakness, headache, abdominal pain, vomiting, and stiff neck and aching in the limbs. About 1 out of 200 infections, the virus enters the nervous system and results in permanent paralysis. When the breathing muscles are involved, 5-10% of those paralysed may die</w:t>
      </w:r>
      <w:r w:rsidR="003A654F" w:rsidRPr="000A72EF">
        <w:rPr>
          <w:rFonts w:eastAsia="Times New Roman"/>
          <w:lang w:val="en-GB"/>
        </w:rPr>
        <w:t xml:space="preserve"> (</w:t>
      </w:r>
      <w:r w:rsidR="003A654F" w:rsidRPr="000A72EF">
        <w:rPr>
          <w:rFonts w:eastAsia="Times New Roman"/>
          <w:lang w:val="en-GB"/>
        </w:rPr>
        <w:t>Wolbert and Higginbotham,  2024)</w:t>
      </w:r>
      <w:r w:rsidR="003A654F" w:rsidRPr="000A72EF">
        <w:rPr>
          <w:rFonts w:eastAsia="Times New Roman"/>
          <w:lang w:val="en-GB"/>
        </w:rPr>
        <w:t>.</w:t>
      </w:r>
    </w:p>
    <w:p w14:paraId="1DF7E046" w14:textId="77777777" w:rsidR="001445B5" w:rsidRPr="000A72EF" w:rsidRDefault="00607058" w:rsidP="003C6BA7">
      <w:pPr>
        <w:pStyle w:val="Heading2"/>
        <w:rPr>
          <w:rFonts w:ascii="Arial" w:hAnsi="Arial" w:cs="Arial"/>
          <w:sz w:val="22"/>
          <w:szCs w:val="22"/>
          <w:lang w:val="en-GB"/>
        </w:rPr>
      </w:pPr>
      <w:bookmarkStart w:id="6" w:name="_b10z0ha520nz" w:colFirst="0" w:colLast="0"/>
      <w:bookmarkStart w:id="7" w:name="_Toc237429955"/>
      <w:bookmarkEnd w:id="6"/>
      <w:r w:rsidRPr="000A72EF">
        <w:rPr>
          <w:rFonts w:ascii="Arial" w:hAnsi="Arial" w:cs="Arial"/>
          <w:sz w:val="22"/>
          <w:szCs w:val="22"/>
          <w:lang w:val="en-GB"/>
        </w:rPr>
        <w:t>1.3 Incidence and Severity</w:t>
      </w:r>
      <w:bookmarkEnd w:id="7"/>
    </w:p>
    <w:p w14:paraId="49639121" w14:textId="61B7E99D" w:rsidR="001445B5" w:rsidRPr="000A72EF" w:rsidRDefault="00607058" w:rsidP="003C6BA7">
      <w:pPr>
        <w:spacing w:line="360" w:lineRule="auto"/>
        <w:jc w:val="both"/>
        <w:rPr>
          <w:rFonts w:eastAsia="Times New Roman"/>
          <w:lang w:val="en-GB"/>
        </w:rPr>
      </w:pPr>
      <w:r w:rsidRPr="000A72EF">
        <w:rPr>
          <w:rFonts w:eastAsia="Times New Roman"/>
          <w:lang w:val="en-GB"/>
        </w:rPr>
        <w:t>Worldwide, wild poliovirus cases have dropped by over 99% since 1988 when there were estimated to be 350,000 cases to only transmission in Afghanistan and Pakistan (Rana, 2022). But there have been 99 cases reported in 2024, that's a sign of transmission. There is not a single case of polio reported in the UK and no sustained community transmission</w:t>
      </w:r>
      <w:r w:rsidR="00C519F8" w:rsidRPr="000A72EF">
        <w:rPr>
          <w:rFonts w:eastAsia="Times New Roman"/>
          <w:lang w:val="en-GB"/>
        </w:rPr>
        <w:t xml:space="preserve"> (</w:t>
      </w:r>
      <w:r w:rsidR="00C519F8" w:rsidRPr="000A72EF">
        <w:rPr>
          <w:rFonts w:eastAsia="Times New Roman"/>
          <w:lang w:val="en-GB"/>
        </w:rPr>
        <w:t>Gov , 2026)</w:t>
      </w:r>
      <w:r w:rsidR="00C519F8" w:rsidRPr="000A72EF">
        <w:rPr>
          <w:rFonts w:eastAsia="Times New Roman"/>
          <w:i/>
          <w:iCs/>
          <w:lang w:val="en-GB"/>
        </w:rPr>
        <w:t>.</w:t>
      </w:r>
      <w:r w:rsidRPr="000A72EF">
        <w:rPr>
          <w:rFonts w:eastAsia="Times New Roman"/>
          <w:lang w:val="en-GB"/>
        </w:rPr>
        <w:t xml:space="preserve"> However, vaccine-derived poliovirus type 2 was found in wastewater at limited locations in 2025 and the public risk is considered low. </w:t>
      </w:r>
    </w:p>
    <w:p w14:paraId="0BC38592" w14:textId="77777777" w:rsidR="001445B5" w:rsidRPr="000A72EF" w:rsidRDefault="00607058" w:rsidP="003C6BA7">
      <w:pPr>
        <w:pStyle w:val="Heading1"/>
        <w:rPr>
          <w:rFonts w:ascii="Arial" w:hAnsi="Arial" w:cs="Arial"/>
          <w:sz w:val="22"/>
          <w:szCs w:val="22"/>
          <w:lang w:val="en-GB"/>
        </w:rPr>
      </w:pPr>
      <w:bookmarkStart w:id="8" w:name="_h5byb7940fsj" w:colFirst="0" w:colLast="0"/>
      <w:bookmarkStart w:id="9" w:name="_Toc237429956"/>
      <w:bookmarkEnd w:id="8"/>
      <w:r w:rsidRPr="000A72EF">
        <w:rPr>
          <w:rFonts w:ascii="Arial" w:hAnsi="Arial" w:cs="Arial"/>
          <w:sz w:val="22"/>
          <w:szCs w:val="22"/>
          <w:lang w:val="en-GB"/>
        </w:rPr>
        <w:t>2. Main Body</w:t>
      </w:r>
      <w:bookmarkEnd w:id="9"/>
      <w:r w:rsidRPr="000A72EF">
        <w:rPr>
          <w:rFonts w:ascii="Arial" w:hAnsi="Arial" w:cs="Arial"/>
          <w:sz w:val="22"/>
          <w:szCs w:val="22"/>
          <w:lang w:val="en-GB"/>
        </w:rPr>
        <w:t xml:space="preserve"> </w:t>
      </w:r>
    </w:p>
    <w:p w14:paraId="66E7D8B3" w14:textId="77777777" w:rsidR="001445B5" w:rsidRPr="000A72EF" w:rsidRDefault="00607058" w:rsidP="003C6BA7">
      <w:pPr>
        <w:pStyle w:val="Heading2"/>
        <w:rPr>
          <w:rFonts w:ascii="Arial" w:hAnsi="Arial" w:cs="Arial"/>
          <w:sz w:val="22"/>
          <w:szCs w:val="22"/>
          <w:lang w:val="en-GB"/>
        </w:rPr>
      </w:pPr>
      <w:bookmarkStart w:id="10" w:name="_tqbautputzz2" w:colFirst="0" w:colLast="0"/>
      <w:bookmarkStart w:id="11" w:name="_Toc237429957"/>
      <w:bookmarkEnd w:id="10"/>
      <w:r w:rsidRPr="000A72EF">
        <w:rPr>
          <w:rFonts w:ascii="Arial" w:hAnsi="Arial" w:cs="Arial"/>
          <w:sz w:val="22"/>
          <w:szCs w:val="22"/>
          <w:lang w:val="en-GB"/>
        </w:rPr>
        <w:t>2.1 Approaches Used to Measure and Monitor Polio</w:t>
      </w:r>
      <w:bookmarkEnd w:id="11"/>
      <w:r w:rsidRPr="000A72EF">
        <w:rPr>
          <w:rFonts w:ascii="Arial" w:hAnsi="Arial" w:cs="Arial"/>
          <w:sz w:val="22"/>
          <w:szCs w:val="22"/>
          <w:lang w:val="en-GB"/>
        </w:rPr>
        <w:t xml:space="preserve"> </w:t>
      </w:r>
    </w:p>
    <w:p w14:paraId="677140BD"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Surveillance of the disease is critical for detection of the transmission of poliovirus, estimation of disease incidence, and prompt public-health response. One important method is the surveillance of acute flaccid paralysis (AFP) of children less than 15 years of age who present with sudden weakness or paralysis. The Global Polio Laboratory Network (GPLN) conducts investigations of AFP cases and testing of clinical specimens for the confirmation of poliovirus infection and determination of the type and genetics of polioviruses. AFP surveillance is one of the key components of WHO's existing global AFP surveillance system.</w:t>
      </w:r>
    </w:p>
    <w:p w14:paraId="7ECD7A35"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Another complementary approach is to perform sewage/wastewater surveillance for the presence of poliovirus, which is an important method. In addition to detecting poliovirus circulation among people who develop and are identified with paralysis, wastewater monitoring can also detect the virus in the environment even when people do not develop symptoms or illness. This is especially important in detecting transmission prior to clinical cases. In England, UKHSA carries out regular environmental surveillance and in 2025, sequencing of 2025 detections did not reveal any sustained community transmission.</w:t>
      </w:r>
    </w:p>
    <w:p w14:paraId="2BD64482"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lastRenderedPageBreak/>
        <w:t>Epidemiological monitoring involves compiling surveillance information to determine the occurrence of disease, geographic spread and trends of disease transmission over time. The other indicator is vaccination coverage as it is important that the population is protected from polio virus transmission. In 2025, WHO and UNICEF estimated that 86% of babies worldwide had been given at least one dose of inactivated polio vaccine and 74% at least two doses.  Coverage data can thus inform about the population or geographic areas where immunity gaps are present and need to be addressed (WHO, 2024).</w:t>
      </w:r>
    </w:p>
    <w:p w14:paraId="560EEF70"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Most importantly, no one surveillance option offers a full solution. Direct surveillance by AFP is the only way to detect suspected clinical disease but cannot detect asymptomatic infection, and environmental surveillance can detect silent circulation but not specifically quantify the number of infected persons (</w:t>
      </w:r>
      <w:r w:rsidRPr="000A72EF">
        <w:rPr>
          <w:rFonts w:eastAsia="Times New Roman"/>
          <w:color w:val="222222"/>
          <w:lang w:val="en-GB"/>
        </w:rPr>
        <w:t xml:space="preserve">Thompson et al. 2022). </w:t>
      </w:r>
    </w:p>
    <w:p w14:paraId="16048F14" w14:textId="77777777" w:rsidR="001445B5" w:rsidRPr="000A72EF" w:rsidRDefault="00607058" w:rsidP="003C6BA7">
      <w:pPr>
        <w:pStyle w:val="Heading2"/>
        <w:rPr>
          <w:rFonts w:ascii="Arial" w:hAnsi="Arial" w:cs="Arial"/>
          <w:sz w:val="22"/>
          <w:szCs w:val="22"/>
          <w:lang w:val="en-GB"/>
        </w:rPr>
      </w:pPr>
      <w:bookmarkStart w:id="12" w:name="_ollmqigvobl6" w:colFirst="0" w:colLast="0"/>
      <w:bookmarkStart w:id="13" w:name="_Toc237429958"/>
      <w:bookmarkEnd w:id="12"/>
      <w:r w:rsidRPr="000A72EF">
        <w:rPr>
          <w:rFonts w:ascii="Arial" w:hAnsi="Arial" w:cs="Arial"/>
          <w:sz w:val="22"/>
          <w:szCs w:val="22"/>
          <w:lang w:val="en-GB"/>
        </w:rPr>
        <w:t>2.2 How Polio Is Controlled</w:t>
      </w:r>
      <w:bookmarkEnd w:id="13"/>
      <w:r w:rsidRPr="000A72EF">
        <w:rPr>
          <w:rFonts w:ascii="Arial" w:hAnsi="Arial" w:cs="Arial"/>
          <w:sz w:val="22"/>
          <w:szCs w:val="22"/>
          <w:lang w:val="en-GB"/>
        </w:rPr>
        <w:t xml:space="preserve"> </w:t>
      </w:r>
    </w:p>
    <w:p w14:paraId="47F1C19D"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Vaccination is the key strategy for prevention and control of polio. Immunisation is a regular part of childhood and provides individual and population immunity, the UK uses the inactivated polio vaccine (IPV) as a routine vaccine  (CDC, 2024).  To quickly immunise a large number of children  including those not reached by routine services  in areas where transmission remains, supplementary vaccination campaigns are conducted. Outbreaks are where the oral polio vaccines (OPV) can be especially helpful as they can offer intestinal immunity and the potential to break transmission. Based on the epidemiological situation, therefore, different vaccines are used: IPV contains immunity to all three poliovirus types; bivalent OPV provides immunity to types 1 and 3.</w:t>
      </w:r>
    </w:p>
    <w:p w14:paraId="209D8B97"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Outbreak control relies on timely reporting and investigation of suspected cases, laboratory testing, contact investigation and increased surveillance. If poliovirus is detected, targeted or mass vaccination responses can be done to boost immunity in impacted communities. Environmental surveillance also plays a role in outbreak control for detecting circulation that might not have been recognised with the associated paralysis.  Complementary protection is achieved by hygiene, sanitation and access to safe water, which are able to minimise faecal–oral transmission, but are not a substitute for vaccination (</w:t>
      </w:r>
      <w:r w:rsidRPr="000A72EF">
        <w:rPr>
          <w:rFonts w:eastAsia="Times New Roman"/>
          <w:color w:val="222222"/>
          <w:lang w:val="en-GB"/>
        </w:rPr>
        <w:t>John et al. 2023).</w:t>
      </w:r>
    </w:p>
    <w:p w14:paraId="5700D461"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 xml:space="preserve">The critical importance of high vaccination coverage is that poliovirus can rapidly spread through populations with immunity gaps. But, unequal coverage, poor access to healthcare, conflict, movement of population and hard-to-reach remote or vulnerable communities may hinder eradication efforts. WHO has declared low routine immunisation coverage, as well as clustering of unvaccinated children, as a driver of vaccine-derived poliovirus outbreaks.  The eradication needs to be achieved through ongoing international coordination, not only with vaccination, but </w:t>
      </w:r>
      <w:r w:rsidRPr="000A72EF">
        <w:rPr>
          <w:rFonts w:eastAsia="Times New Roman"/>
          <w:lang w:val="en-GB"/>
        </w:rPr>
        <w:lastRenderedPageBreak/>
        <w:t>also with surveillance and with community engagement and outbreak response. The ongoing threat of international reintroduction also highlights the importance for countries that have eradicated polio to remain vigilant and ready.</w:t>
      </w:r>
    </w:p>
    <w:p w14:paraId="55E073BD" w14:textId="77777777" w:rsidR="001445B5" w:rsidRPr="000A72EF" w:rsidRDefault="00607058" w:rsidP="003C6BA7">
      <w:pPr>
        <w:pStyle w:val="Heading2"/>
        <w:rPr>
          <w:rFonts w:ascii="Arial" w:hAnsi="Arial" w:cs="Arial"/>
          <w:sz w:val="22"/>
          <w:szCs w:val="22"/>
          <w:lang w:val="en-GB"/>
        </w:rPr>
      </w:pPr>
      <w:bookmarkStart w:id="14" w:name="_ggyn58vfqko" w:colFirst="0" w:colLast="0"/>
      <w:bookmarkStart w:id="15" w:name="_Toc237429959"/>
      <w:bookmarkEnd w:id="14"/>
      <w:r w:rsidRPr="000A72EF">
        <w:rPr>
          <w:rFonts w:ascii="Arial" w:hAnsi="Arial" w:cs="Arial"/>
          <w:sz w:val="22"/>
          <w:szCs w:val="22"/>
          <w:lang w:val="en-GB"/>
        </w:rPr>
        <w:t>2.3 Consequences of Polio for People and Communities</w:t>
      </w:r>
      <w:bookmarkEnd w:id="15"/>
      <w:r w:rsidRPr="000A72EF">
        <w:rPr>
          <w:rFonts w:ascii="Arial" w:hAnsi="Arial" w:cs="Arial"/>
          <w:sz w:val="22"/>
          <w:szCs w:val="22"/>
          <w:lang w:val="en-GB"/>
        </w:rPr>
        <w:t xml:space="preserve"> </w:t>
      </w:r>
    </w:p>
    <w:p w14:paraId="1EC50615" w14:textId="77777777" w:rsidR="001445B5" w:rsidRPr="000A72EF" w:rsidRDefault="00607058" w:rsidP="003C6BA7">
      <w:pPr>
        <w:spacing w:line="360" w:lineRule="auto"/>
        <w:jc w:val="both"/>
        <w:rPr>
          <w:rFonts w:eastAsia="Times New Roman"/>
          <w:b/>
          <w:bCs/>
          <w:i/>
          <w:iCs/>
          <w:lang w:val="en-GB"/>
        </w:rPr>
      </w:pPr>
      <w:r w:rsidRPr="000A72EF">
        <w:rPr>
          <w:rFonts w:eastAsia="Times New Roman"/>
          <w:b/>
          <w:bCs/>
          <w:i/>
          <w:iCs/>
          <w:lang w:val="en-GB"/>
        </w:rPr>
        <w:t>Physical Consequences</w:t>
      </w:r>
    </w:p>
    <w:p w14:paraId="0787271A"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The most severe paralysing physical effect of polio is due to poliovirus invading the nervous system. Paralysis may be permanent and impact movement, muscle strength and independence, and day-to-day activities like walking and personal care. In severe cases, breathing muscles can become paralysed and lead to death, and 5-10% of people that have been paralysed can die from breathing problems.  In addition, some survivors can also experience post-polio syndrome, a muscle weakness and other health issues that occur a number of years following infection (Quarleri, 2022).</w:t>
      </w:r>
    </w:p>
    <w:p w14:paraId="66F3D142" w14:textId="77777777" w:rsidR="001445B5" w:rsidRPr="000A72EF" w:rsidRDefault="00607058" w:rsidP="003C6BA7">
      <w:pPr>
        <w:spacing w:line="360" w:lineRule="auto"/>
        <w:jc w:val="both"/>
        <w:rPr>
          <w:rFonts w:eastAsia="Times New Roman"/>
          <w:b/>
          <w:bCs/>
          <w:i/>
          <w:iCs/>
          <w:lang w:val="en-GB"/>
        </w:rPr>
      </w:pPr>
      <w:r w:rsidRPr="000A72EF">
        <w:rPr>
          <w:rFonts w:eastAsia="Times New Roman"/>
          <w:b/>
          <w:bCs/>
          <w:i/>
          <w:iCs/>
          <w:lang w:val="en-GB"/>
        </w:rPr>
        <w:t xml:space="preserve">Psychological and social consequences </w:t>
      </w:r>
    </w:p>
    <w:p w14:paraId="32AFAF63"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Emotional well-being, independence and participation in social life may be impacted by long-term physical disability. Limiting mobility can pose problems in education, work and community life and reliance on others can limit autonomy. Social exclusion or stigma may also occur for people with a visible disability, especially in communities with little awareness of disability (</w:t>
      </w:r>
      <w:r w:rsidRPr="000A72EF">
        <w:rPr>
          <w:rFonts w:eastAsia="Times New Roman"/>
          <w:color w:val="222222"/>
          <w:lang w:val="en-GB"/>
        </w:rPr>
        <w:t>Nolvi et al. 2022).</w:t>
      </w:r>
      <w:r w:rsidRPr="000A72EF">
        <w:rPr>
          <w:rFonts w:eastAsia="Times New Roman"/>
          <w:lang w:val="en-GB"/>
        </w:rPr>
        <w:t xml:space="preserve"> This means that the impact of paralytic polio may not be limited to physical functioning, but may also impact educational, occupational and social opportunities.</w:t>
      </w:r>
    </w:p>
    <w:p w14:paraId="18E83DB6" w14:textId="77777777" w:rsidR="001445B5" w:rsidRPr="000A72EF" w:rsidRDefault="00607058" w:rsidP="003C6BA7">
      <w:pPr>
        <w:spacing w:line="360" w:lineRule="auto"/>
        <w:jc w:val="both"/>
        <w:rPr>
          <w:rFonts w:eastAsia="Times New Roman"/>
          <w:b/>
          <w:bCs/>
          <w:i/>
          <w:iCs/>
          <w:lang w:val="en-GB"/>
        </w:rPr>
      </w:pPr>
      <w:r w:rsidRPr="000A72EF">
        <w:rPr>
          <w:rFonts w:eastAsia="Times New Roman"/>
          <w:b/>
          <w:bCs/>
          <w:i/>
          <w:iCs/>
          <w:lang w:val="en-GB"/>
        </w:rPr>
        <w:t>Community Consequences</w:t>
      </w:r>
    </w:p>
    <w:p w14:paraId="2094334E"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Families and carers can find that polio puts a heavy burden on them if the person has a lasting disability and will need ongoing support for mobility and daily functioning. Communities and health systems will also require rehabilitation, physiotherapy and assistive devices, as well as longer-term disability support. All this leads to ongoing social and economic expenses for households and public services.</w:t>
      </w:r>
    </w:p>
    <w:p w14:paraId="7080F60C" w14:textId="77777777" w:rsidR="001445B5" w:rsidRPr="000A72EF" w:rsidRDefault="00607058" w:rsidP="003C6BA7">
      <w:pPr>
        <w:spacing w:line="360" w:lineRule="auto"/>
        <w:jc w:val="both"/>
        <w:rPr>
          <w:rFonts w:eastAsia="Times New Roman"/>
          <w:b/>
          <w:bCs/>
          <w:i/>
          <w:iCs/>
          <w:lang w:val="en-GB"/>
        </w:rPr>
      </w:pPr>
      <w:r w:rsidRPr="000A72EF">
        <w:rPr>
          <w:rFonts w:eastAsia="Times New Roman"/>
          <w:b/>
          <w:bCs/>
          <w:i/>
          <w:iCs/>
          <w:lang w:val="en-GB"/>
        </w:rPr>
        <w:t>Critical Perspective</w:t>
      </w:r>
    </w:p>
    <w:p w14:paraId="1E6C2BD6"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The short-term from the long-term effects of poliovirus infection must be distinguished from the long term effects of disability. The majority of infections are without symptoms or symptoms are mild, while paralytic disease may result in permanent disability.  Hence, prevention through vaccines and early public health action is especially significant, not only for the risk of paralysis, but for the physical, psychological, social and economic impacts of permanent disability.</w:t>
      </w:r>
    </w:p>
    <w:p w14:paraId="36DA85C9" w14:textId="77777777" w:rsidR="001445B5" w:rsidRPr="000A72EF" w:rsidRDefault="00607058" w:rsidP="003C6BA7">
      <w:pPr>
        <w:pStyle w:val="Heading2"/>
        <w:rPr>
          <w:rFonts w:ascii="Arial" w:hAnsi="Arial" w:cs="Arial"/>
          <w:sz w:val="22"/>
          <w:szCs w:val="22"/>
          <w:lang w:val="en-GB"/>
        </w:rPr>
      </w:pPr>
      <w:bookmarkStart w:id="16" w:name="_6lpjjlt4mybo" w:colFirst="0" w:colLast="0"/>
      <w:bookmarkStart w:id="17" w:name="_Toc237429960"/>
      <w:bookmarkEnd w:id="16"/>
      <w:r w:rsidRPr="000A72EF">
        <w:rPr>
          <w:rFonts w:ascii="Arial" w:hAnsi="Arial" w:cs="Arial"/>
          <w:sz w:val="22"/>
          <w:szCs w:val="22"/>
          <w:lang w:val="en-GB"/>
        </w:rPr>
        <w:t>2.4 Health and Social Care Support Services</w:t>
      </w:r>
      <w:bookmarkEnd w:id="17"/>
      <w:r w:rsidRPr="000A72EF">
        <w:rPr>
          <w:rFonts w:ascii="Arial" w:hAnsi="Arial" w:cs="Arial"/>
          <w:sz w:val="22"/>
          <w:szCs w:val="22"/>
          <w:lang w:val="en-GB"/>
        </w:rPr>
        <w:t xml:space="preserve"> </w:t>
      </w:r>
    </w:p>
    <w:p w14:paraId="784B5013"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 xml:space="preserve">Patients with polio may need coordinated healthcare, rehabilitation and social care support to their needs. Initial assessment, monitoring of health status, and specialist medical or neurological </w:t>
      </w:r>
      <w:r w:rsidRPr="000A72EF">
        <w:rPr>
          <w:rFonts w:eastAsia="Times New Roman"/>
          <w:lang w:val="en-GB"/>
        </w:rPr>
        <w:lastRenderedPageBreak/>
        <w:t>assessment as appropriate is provided by primary care and public-health professionals. Continued evaluation and treatment of complications from paralysis or post-polio is important. Public-health workers also participate in activities such as vaccination efforts and disease surveillance and outbreak investigation.</w:t>
      </w:r>
    </w:p>
    <w:p w14:paraId="7C4BE3DB"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For those who have suffered from chronic physical disability, rehabilitation is especially crucial. Physiotherapists can help with mobility and physical functioning and occupational therapists can assist with adapting everyday activities and maintain independence. When appropriately assessed and provided, orthoses, wheelchairs and other assistive products can enhance mobility and functioning. WHO states that "rehabilitation is designed to maximise functioning, minimise disability, and facilitate participation in education, employment and life (</w:t>
      </w:r>
      <w:r w:rsidRPr="000A72EF">
        <w:rPr>
          <w:rFonts w:eastAsia="Times New Roman"/>
          <w:color w:val="222222"/>
          <w:lang w:val="en-GB"/>
        </w:rPr>
        <w:t xml:space="preserve">Olateju et al. 2022). </w:t>
      </w:r>
    </w:p>
    <w:p w14:paraId="06714B9D"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Social-care services are able to undertake a needs assessment and offer help with independent living and/or personal activities and community involvement. Families and carers may also need information, practical help and appropriate support as long term disability may add to care responsibilities. Other needs such as psychological and social needs must also be taken into account to minimise isolation and promote all-around well-being.</w:t>
      </w:r>
    </w:p>
    <w:p w14:paraId="436E6DAC"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Professionals should do person-centred assessments, make individual care plans, make referrals and review needs on a regular basis as they change. Support from a multidisciplinary team of doctors, nurses, physiotherapists, occupational therapists and rehabilitation specialists, psychologists and social workers can be more comprehensive. Multidisciplinary collaboration is an identified important aspect of rehabilitation services by WHO.  Thus, polio support should not just aim to treat polio, but to assist individuals to function, be independent, feel dignified, and participate meaningfully in family and community life.</w:t>
      </w:r>
    </w:p>
    <w:p w14:paraId="7E723CB1" w14:textId="77777777" w:rsidR="001445B5" w:rsidRPr="000A72EF" w:rsidRDefault="00607058" w:rsidP="003C6BA7">
      <w:pPr>
        <w:pStyle w:val="Heading1"/>
        <w:rPr>
          <w:rFonts w:ascii="Arial" w:hAnsi="Arial" w:cs="Arial"/>
          <w:sz w:val="22"/>
          <w:szCs w:val="22"/>
          <w:lang w:val="en-GB"/>
        </w:rPr>
      </w:pPr>
      <w:bookmarkStart w:id="18" w:name="_rbdmcmehpxiy" w:colFirst="0" w:colLast="0"/>
      <w:bookmarkStart w:id="19" w:name="_Toc237429961"/>
      <w:bookmarkEnd w:id="18"/>
      <w:r w:rsidRPr="000A72EF">
        <w:rPr>
          <w:rFonts w:ascii="Arial" w:hAnsi="Arial" w:cs="Arial"/>
          <w:sz w:val="22"/>
          <w:szCs w:val="22"/>
          <w:lang w:val="en-GB"/>
        </w:rPr>
        <w:t>3. Conclusion</w:t>
      </w:r>
      <w:bookmarkEnd w:id="19"/>
      <w:r w:rsidRPr="000A72EF">
        <w:rPr>
          <w:rFonts w:ascii="Arial" w:hAnsi="Arial" w:cs="Arial"/>
          <w:sz w:val="22"/>
          <w:szCs w:val="22"/>
          <w:lang w:val="en-GB"/>
        </w:rPr>
        <w:t xml:space="preserve"> </w:t>
      </w:r>
    </w:p>
    <w:p w14:paraId="7F8F5100" w14:textId="77777777" w:rsidR="001445B5" w:rsidRPr="000A72EF" w:rsidRDefault="00607058" w:rsidP="003C6BA7">
      <w:pPr>
        <w:spacing w:line="360" w:lineRule="auto"/>
        <w:jc w:val="both"/>
        <w:rPr>
          <w:rFonts w:eastAsia="Times New Roman"/>
          <w:lang w:val="en-GB"/>
        </w:rPr>
      </w:pPr>
      <w:r w:rsidRPr="000A72EF">
        <w:rPr>
          <w:rFonts w:eastAsia="Times New Roman"/>
          <w:lang w:val="en-GB"/>
        </w:rPr>
        <w:t xml:space="preserve">Notwithstanding the considerable progress towards polio eradication, the threat of ongoing transmission and reintroduction means that polio should continue to be a public-health problem. Surveillance such as acute flaccid paralysis (AFP) surveillance and laboratory testing and environmental surveillance is critical to detecting poliovirus circulation and responding in a timely way. The main prevention and control is vaccination with outbreak vaccination and safe water, sanitation, hygiene and international coordination following. Polio can have significant physical effects, such as permanent paralysis, and can also cause long-term disability, with impacts on psychological, educational, employment, independence and social participation. This means that health and social care workers play an important part in the prevention, assessment, rehab, disability support and person-centred care. In summary, effective immunisation, ongoing surveillance and synergy between public health efforts is crucial for reducing poliovirus </w:t>
      </w:r>
      <w:r w:rsidRPr="000A72EF">
        <w:rPr>
          <w:rFonts w:eastAsia="Times New Roman"/>
          <w:lang w:val="en-GB"/>
        </w:rPr>
        <w:lastRenderedPageBreak/>
        <w:t>transmission, providing care for people affected by polio and preventing ongoing community impact.</w:t>
      </w:r>
      <w:r w:rsidRPr="000A72EF">
        <w:rPr>
          <w:lang w:val="en-GB"/>
        </w:rPr>
        <w:br w:type="page"/>
      </w:r>
    </w:p>
    <w:p w14:paraId="38237333" w14:textId="77777777" w:rsidR="001445B5" w:rsidRPr="000A72EF" w:rsidRDefault="00607058" w:rsidP="003C6BA7">
      <w:pPr>
        <w:pStyle w:val="Heading1"/>
        <w:rPr>
          <w:rFonts w:ascii="Arial" w:hAnsi="Arial" w:cs="Arial"/>
          <w:sz w:val="22"/>
          <w:szCs w:val="22"/>
          <w:lang w:val="en-GB"/>
        </w:rPr>
      </w:pPr>
      <w:bookmarkStart w:id="20" w:name="_aevuwpvqwl62" w:colFirst="0" w:colLast="0"/>
      <w:bookmarkStart w:id="21" w:name="_Toc237429962"/>
      <w:bookmarkEnd w:id="20"/>
      <w:r w:rsidRPr="000A72EF">
        <w:rPr>
          <w:rFonts w:ascii="Arial" w:hAnsi="Arial" w:cs="Arial"/>
          <w:sz w:val="22"/>
          <w:szCs w:val="22"/>
          <w:lang w:val="en-GB"/>
        </w:rPr>
        <w:lastRenderedPageBreak/>
        <w:t>References</w:t>
      </w:r>
      <w:bookmarkEnd w:id="21"/>
      <w:r w:rsidRPr="000A72EF">
        <w:rPr>
          <w:rFonts w:ascii="Arial" w:hAnsi="Arial" w:cs="Arial"/>
          <w:sz w:val="22"/>
          <w:szCs w:val="22"/>
          <w:lang w:val="en-GB"/>
        </w:rPr>
        <w:t xml:space="preserve"> </w:t>
      </w:r>
    </w:p>
    <w:p w14:paraId="13507163" w14:textId="77777777" w:rsidR="000A72EF" w:rsidRPr="000A72EF" w:rsidRDefault="000A72EF" w:rsidP="003C6BA7">
      <w:pPr>
        <w:spacing w:line="360" w:lineRule="auto"/>
        <w:jc w:val="both"/>
        <w:rPr>
          <w:rFonts w:eastAsia="Times New Roman"/>
          <w:b/>
          <w:bCs/>
          <w:lang w:val="en-GB"/>
        </w:rPr>
      </w:pPr>
      <w:r w:rsidRPr="000A72EF">
        <w:rPr>
          <w:rFonts w:eastAsia="Times New Roman"/>
          <w:lang w:val="en-GB"/>
        </w:rPr>
        <w:t xml:space="preserve">CDC, (2024) </w:t>
      </w:r>
      <w:r w:rsidRPr="000A72EF">
        <w:rPr>
          <w:rFonts w:eastAsia="Times New Roman"/>
          <w:i/>
          <w:iCs/>
          <w:lang w:val="en-GB"/>
        </w:rPr>
        <w:t>Polio Vaccination</w:t>
      </w:r>
      <w:r w:rsidRPr="000A72EF">
        <w:rPr>
          <w:rFonts w:eastAsia="Times New Roman"/>
          <w:lang w:val="en-GB"/>
        </w:rPr>
        <w:t xml:space="preserve">, </w:t>
      </w:r>
      <w:r w:rsidRPr="000A72EF">
        <w:rPr>
          <w:rFonts w:eastAsia="Times New Roman"/>
          <w:i/>
          <w:iCs/>
          <w:lang w:val="en-GB"/>
        </w:rPr>
        <w:t>Polio</w:t>
      </w:r>
      <w:r w:rsidRPr="000A72EF">
        <w:rPr>
          <w:rFonts w:eastAsia="Times New Roman"/>
          <w:lang w:val="en-GB"/>
        </w:rPr>
        <w:t>. Available at: https://www.cdc.gov/polio/vaccines/index.html (Accessed: August 12, 2026).</w:t>
      </w:r>
    </w:p>
    <w:p w14:paraId="101AA8BA" w14:textId="77777777" w:rsidR="000A72EF" w:rsidRPr="000A72EF" w:rsidRDefault="000A72EF" w:rsidP="00C519F8">
      <w:pPr>
        <w:spacing w:after="240" w:line="360" w:lineRule="auto"/>
        <w:jc w:val="both"/>
        <w:rPr>
          <w:rFonts w:eastAsia="Times New Roman"/>
          <w:lang w:val="en-GB"/>
        </w:rPr>
      </w:pPr>
      <w:r w:rsidRPr="000A72EF">
        <w:rPr>
          <w:rFonts w:eastAsia="Times New Roman"/>
          <w:lang w:val="en-GB"/>
        </w:rPr>
        <w:t>G</w:t>
      </w:r>
      <w:r w:rsidRPr="000A72EF">
        <w:rPr>
          <w:rFonts w:eastAsia="Times New Roman"/>
          <w:lang w:val="en-GB"/>
        </w:rPr>
        <w:t>ov</w:t>
      </w:r>
      <w:r w:rsidRPr="000A72EF">
        <w:rPr>
          <w:rFonts w:eastAsia="Times New Roman"/>
          <w:lang w:val="en-GB"/>
        </w:rPr>
        <w:t xml:space="preserve"> , (2026)</w:t>
      </w:r>
      <w:r w:rsidRPr="000A72EF">
        <w:rPr>
          <w:rFonts w:eastAsia="Times New Roman"/>
          <w:i/>
          <w:iCs/>
          <w:lang w:val="en-GB"/>
        </w:rPr>
        <w:t xml:space="preserve"> </w:t>
      </w:r>
      <w:r w:rsidRPr="000A72EF">
        <w:rPr>
          <w:rFonts w:eastAsia="Times New Roman"/>
          <w:i/>
          <w:iCs/>
          <w:lang w:val="en-GB"/>
        </w:rPr>
        <w:t>Poliomyelitis and post-polio syndrome: Migrant health guide</w:t>
      </w:r>
      <w:r w:rsidRPr="000A72EF">
        <w:rPr>
          <w:rFonts w:eastAsia="Times New Roman"/>
          <w:lang w:val="en-GB"/>
        </w:rPr>
        <w:t xml:space="preserve"> (2026) </w:t>
      </w:r>
      <w:r w:rsidRPr="000A72EF">
        <w:rPr>
          <w:rFonts w:eastAsia="Times New Roman"/>
          <w:i/>
          <w:iCs/>
          <w:lang w:val="en-GB"/>
        </w:rPr>
        <w:t>GOV.UK</w:t>
      </w:r>
      <w:r w:rsidRPr="000A72EF">
        <w:rPr>
          <w:rFonts w:eastAsia="Times New Roman"/>
          <w:lang w:val="en-GB"/>
        </w:rPr>
        <w:t xml:space="preserve">. Available at: https://www.gov.uk/guidance/poliomyelitis-and-post-polio-syndrome-migrant-health-guide (Accessed: 12 August 2026). </w:t>
      </w:r>
    </w:p>
    <w:p w14:paraId="69C79F2A" w14:textId="77777777" w:rsidR="000A72EF" w:rsidRPr="000A72EF" w:rsidRDefault="000A72EF" w:rsidP="003C6BA7">
      <w:pPr>
        <w:spacing w:line="360" w:lineRule="auto"/>
        <w:jc w:val="both"/>
        <w:rPr>
          <w:rFonts w:eastAsia="Times New Roman"/>
          <w:b/>
          <w:bCs/>
          <w:lang w:val="en-GB"/>
        </w:rPr>
      </w:pPr>
      <w:r w:rsidRPr="000A72EF">
        <w:rPr>
          <w:rFonts w:eastAsia="Times New Roman"/>
          <w:color w:val="222222"/>
          <w:lang w:val="en-GB"/>
        </w:rPr>
        <w:t xml:space="preserve">John, T.J., </w:t>
      </w:r>
      <w:proofErr w:type="spellStart"/>
      <w:r w:rsidRPr="000A72EF">
        <w:rPr>
          <w:rFonts w:eastAsia="Times New Roman"/>
          <w:color w:val="222222"/>
          <w:lang w:val="en-GB"/>
        </w:rPr>
        <w:t>Dharmapalan</w:t>
      </w:r>
      <w:proofErr w:type="spellEnd"/>
      <w:r w:rsidRPr="000A72EF">
        <w:rPr>
          <w:rFonts w:eastAsia="Times New Roman"/>
          <w:color w:val="222222"/>
          <w:lang w:val="en-GB"/>
        </w:rPr>
        <w:t xml:space="preserve">, D., Hirschhorn, N. and Steinglass, R., (2023). How to avoid causing polio in the name of its eradication. </w:t>
      </w:r>
      <w:r w:rsidRPr="000A72EF">
        <w:rPr>
          <w:rFonts w:eastAsia="Times New Roman"/>
          <w:i/>
          <w:iCs/>
          <w:color w:val="222222"/>
          <w:lang w:val="en-GB"/>
        </w:rPr>
        <w:t>The Lancet</w:t>
      </w:r>
      <w:r w:rsidRPr="000A72EF">
        <w:rPr>
          <w:rFonts w:eastAsia="Times New Roman"/>
          <w:color w:val="222222"/>
          <w:lang w:val="en-GB"/>
        </w:rPr>
        <w:t xml:space="preserve">, </w:t>
      </w:r>
      <w:r w:rsidRPr="000A72EF">
        <w:rPr>
          <w:rFonts w:eastAsia="Times New Roman"/>
          <w:i/>
          <w:iCs/>
          <w:color w:val="222222"/>
          <w:lang w:val="en-GB"/>
        </w:rPr>
        <w:t>402</w:t>
      </w:r>
      <w:r w:rsidRPr="000A72EF">
        <w:rPr>
          <w:rFonts w:eastAsia="Times New Roman"/>
          <w:color w:val="222222"/>
          <w:lang w:val="en-GB"/>
        </w:rPr>
        <w:t>(10397), pp.179-180.</w:t>
      </w:r>
      <w:hyperlink r:id="rId7">
        <w:r w:rsidRPr="000A72EF">
          <w:rPr>
            <w:rFonts w:eastAsia="Times New Roman"/>
            <w:color w:val="1155CC"/>
            <w:u w:val="single"/>
            <w:lang w:val="en-GB"/>
          </w:rPr>
          <w:t>https://www.researchgate.net/profile/T-Jacob-John/publication/372353338_How_to_avoid_causing_polio_in_the_name_of_its_eradication/links/6603ef19907e3f27ee6bd89a/How-to-avoid-causing-polio-in-the-name-of-its-eradication.pdf</w:t>
        </w:r>
      </w:hyperlink>
      <w:r w:rsidRPr="000A72EF">
        <w:rPr>
          <w:rFonts w:eastAsia="Times New Roman"/>
          <w:color w:val="222222"/>
          <w:lang w:val="en-GB"/>
        </w:rPr>
        <w:t xml:space="preserve"> </w:t>
      </w:r>
      <w:r w:rsidRPr="000A72EF">
        <w:rPr>
          <w:rFonts w:eastAsia="Times New Roman"/>
          <w:b/>
          <w:bCs/>
          <w:lang w:val="en-GB"/>
        </w:rPr>
        <w:t xml:space="preserve"> </w:t>
      </w:r>
    </w:p>
    <w:p w14:paraId="2A3205EC" w14:textId="77777777" w:rsidR="000A72EF" w:rsidRPr="000A72EF" w:rsidRDefault="000A72EF" w:rsidP="003C6BA7">
      <w:pPr>
        <w:spacing w:line="360" w:lineRule="auto"/>
        <w:jc w:val="both"/>
        <w:rPr>
          <w:rFonts w:eastAsia="Times New Roman"/>
          <w:color w:val="222222"/>
          <w:lang w:val="en-GB"/>
        </w:rPr>
      </w:pPr>
      <w:r w:rsidRPr="000A72EF">
        <w:rPr>
          <w:rFonts w:eastAsia="Times New Roman"/>
          <w:color w:val="222222"/>
          <w:lang w:val="en-GB"/>
        </w:rPr>
        <w:t xml:space="preserve">Nolvi, M., Brogårdh, C., Jacobsson, L. and Lexell, J., (2022). Sense of coherence and coping behaviours in persons with late effects of polio. </w:t>
      </w:r>
      <w:r w:rsidRPr="000A72EF">
        <w:rPr>
          <w:rFonts w:eastAsia="Times New Roman"/>
          <w:i/>
          <w:iCs/>
          <w:color w:val="222222"/>
          <w:lang w:val="en-GB"/>
        </w:rPr>
        <w:t>Annals of physical and rehabilitation medicine</w:t>
      </w:r>
      <w:r w:rsidRPr="000A72EF">
        <w:rPr>
          <w:rFonts w:eastAsia="Times New Roman"/>
          <w:color w:val="222222"/>
          <w:lang w:val="en-GB"/>
        </w:rPr>
        <w:t xml:space="preserve">, </w:t>
      </w:r>
      <w:r w:rsidRPr="000A72EF">
        <w:rPr>
          <w:rFonts w:eastAsia="Times New Roman"/>
          <w:i/>
          <w:iCs/>
          <w:color w:val="222222"/>
          <w:lang w:val="en-GB"/>
        </w:rPr>
        <w:t>65</w:t>
      </w:r>
      <w:r w:rsidRPr="000A72EF">
        <w:rPr>
          <w:rFonts w:eastAsia="Times New Roman"/>
          <w:color w:val="222222"/>
          <w:lang w:val="en-GB"/>
        </w:rPr>
        <w:t>(3), p.101577.</w:t>
      </w:r>
      <w:hyperlink r:id="rId8">
        <w:r w:rsidRPr="000A72EF">
          <w:rPr>
            <w:rFonts w:eastAsia="Times New Roman"/>
            <w:color w:val="1155CC"/>
            <w:u w:val="single"/>
            <w:lang w:val="en-GB"/>
          </w:rPr>
          <w:t>https://www.sciencedirect.com/science/article/pii/S1877065721000956</w:t>
        </w:r>
      </w:hyperlink>
      <w:r w:rsidRPr="000A72EF">
        <w:rPr>
          <w:rFonts w:eastAsia="Times New Roman"/>
          <w:color w:val="222222"/>
          <w:lang w:val="en-GB"/>
        </w:rPr>
        <w:t xml:space="preserve"> </w:t>
      </w:r>
    </w:p>
    <w:p w14:paraId="5C19E548" w14:textId="77777777" w:rsidR="000A72EF" w:rsidRPr="000A72EF" w:rsidRDefault="000A72EF" w:rsidP="003C6BA7">
      <w:pPr>
        <w:spacing w:line="360" w:lineRule="auto"/>
        <w:jc w:val="both"/>
        <w:rPr>
          <w:rFonts w:eastAsia="Times New Roman"/>
          <w:color w:val="222222"/>
          <w:lang w:val="en-GB"/>
        </w:rPr>
      </w:pPr>
      <w:r w:rsidRPr="000A72EF">
        <w:rPr>
          <w:rFonts w:eastAsia="Times New Roman"/>
          <w:color w:val="222222"/>
          <w:lang w:val="en-GB"/>
        </w:rPr>
        <w:t xml:space="preserve">Olateju, A., Peters, M.A., Osaghae, I. and Alonge, O., (2022). How service delivery implementation strategies can contribute to attaining universal health coverage: lessons from polio eradication using an implementation science approach. </w:t>
      </w:r>
      <w:r w:rsidRPr="000A72EF">
        <w:rPr>
          <w:rFonts w:eastAsia="Times New Roman"/>
          <w:i/>
          <w:iCs/>
          <w:color w:val="222222"/>
          <w:lang w:val="en-GB"/>
        </w:rPr>
        <w:t>BMC public health</w:t>
      </w:r>
      <w:r w:rsidRPr="000A72EF">
        <w:rPr>
          <w:rFonts w:eastAsia="Times New Roman"/>
          <w:color w:val="222222"/>
          <w:lang w:val="en-GB"/>
        </w:rPr>
        <w:t xml:space="preserve">, </w:t>
      </w:r>
      <w:r w:rsidRPr="000A72EF">
        <w:rPr>
          <w:rFonts w:eastAsia="Times New Roman"/>
          <w:i/>
          <w:iCs/>
          <w:color w:val="222222"/>
          <w:lang w:val="en-GB"/>
        </w:rPr>
        <w:t>22</w:t>
      </w:r>
      <w:r w:rsidRPr="000A72EF">
        <w:rPr>
          <w:rFonts w:eastAsia="Times New Roman"/>
          <w:color w:val="222222"/>
          <w:lang w:val="en-GB"/>
        </w:rPr>
        <w:t>(1), p.1271.</w:t>
      </w:r>
      <w:hyperlink r:id="rId9">
        <w:r w:rsidRPr="000A72EF">
          <w:rPr>
            <w:rFonts w:eastAsia="Times New Roman"/>
            <w:color w:val="1155CC"/>
            <w:u w:val="single"/>
            <w:lang w:val="en-GB"/>
          </w:rPr>
          <w:t>https://link.springer.com/article/10.1186/s12889-022-13681-0</w:t>
        </w:r>
      </w:hyperlink>
      <w:r w:rsidRPr="000A72EF">
        <w:rPr>
          <w:rFonts w:eastAsia="Times New Roman"/>
          <w:color w:val="222222"/>
          <w:lang w:val="en-GB"/>
        </w:rPr>
        <w:t xml:space="preserve"> </w:t>
      </w:r>
    </w:p>
    <w:p w14:paraId="687DDDFC" w14:textId="77777777" w:rsidR="000A72EF" w:rsidRPr="000A72EF" w:rsidRDefault="000A72EF" w:rsidP="003C6BA7">
      <w:pPr>
        <w:spacing w:after="240" w:line="360" w:lineRule="auto"/>
        <w:jc w:val="both"/>
        <w:rPr>
          <w:rFonts w:eastAsia="Times New Roman"/>
          <w:lang w:val="en-GB"/>
        </w:rPr>
      </w:pPr>
      <w:proofErr w:type="spellStart"/>
      <w:r w:rsidRPr="000A72EF">
        <w:rPr>
          <w:rFonts w:eastAsia="Times New Roman"/>
          <w:lang w:val="en-GB"/>
        </w:rPr>
        <w:t>Quarleri</w:t>
      </w:r>
      <w:proofErr w:type="spellEnd"/>
      <w:r w:rsidRPr="000A72EF">
        <w:rPr>
          <w:rFonts w:eastAsia="Times New Roman"/>
          <w:lang w:val="en-GB"/>
        </w:rPr>
        <w:t xml:space="preserve">, J. (2022) “Poliomyelitis is a current challenge: Long-term sequelae and circulating vaccine-derived poliovirus,” </w:t>
      </w:r>
      <w:r w:rsidRPr="000A72EF">
        <w:rPr>
          <w:rFonts w:eastAsia="Times New Roman"/>
          <w:i/>
          <w:iCs/>
          <w:lang w:val="en-GB"/>
        </w:rPr>
        <w:t>GeroScience</w:t>
      </w:r>
      <w:r w:rsidRPr="000A72EF">
        <w:rPr>
          <w:rFonts w:eastAsia="Times New Roman"/>
          <w:lang w:val="en-GB"/>
        </w:rPr>
        <w:t>, 45(2), pp. 707–717. Available at: https://doi.org/10.1007/s11357-022-00672-7.</w:t>
      </w:r>
    </w:p>
    <w:p w14:paraId="3FB9FCCA" w14:textId="77777777" w:rsidR="000A72EF" w:rsidRPr="000A72EF" w:rsidRDefault="000A72EF" w:rsidP="003C6BA7">
      <w:pPr>
        <w:spacing w:after="240" w:line="360" w:lineRule="auto"/>
        <w:jc w:val="both"/>
        <w:rPr>
          <w:rFonts w:eastAsia="Times New Roman"/>
          <w:lang w:val="en-GB"/>
        </w:rPr>
      </w:pPr>
      <w:r w:rsidRPr="000A72EF">
        <w:rPr>
          <w:rFonts w:eastAsia="Times New Roman"/>
          <w:lang w:val="en-GB"/>
        </w:rPr>
        <w:t xml:space="preserve">Rana, M.S. </w:t>
      </w:r>
      <w:r w:rsidRPr="000A72EF">
        <w:rPr>
          <w:rFonts w:eastAsia="Times New Roman"/>
          <w:i/>
          <w:iCs/>
          <w:lang w:val="en-GB"/>
        </w:rPr>
        <w:t>et al.</w:t>
      </w:r>
      <w:r w:rsidRPr="000A72EF">
        <w:rPr>
          <w:rFonts w:eastAsia="Times New Roman"/>
          <w:lang w:val="en-GB"/>
        </w:rPr>
        <w:t xml:space="preserve"> (2022) “The resurgence of wild poliovirus in Pakistan and Afghanistan: A new setback for polio eradication,” </w:t>
      </w:r>
      <w:r w:rsidRPr="000A72EF">
        <w:rPr>
          <w:rFonts w:eastAsia="Times New Roman"/>
          <w:i/>
          <w:iCs/>
          <w:lang w:val="en-GB"/>
        </w:rPr>
        <w:t>Journal of Infection</w:t>
      </w:r>
      <w:r w:rsidRPr="000A72EF">
        <w:rPr>
          <w:rFonts w:eastAsia="Times New Roman"/>
          <w:lang w:val="en-GB"/>
        </w:rPr>
        <w:t>, 85(3), pp. 334–363. Available at: https://doi.org/10.1016/j.jinf.2022.05.038.</w:t>
      </w:r>
    </w:p>
    <w:p w14:paraId="5D23AEF7" w14:textId="77777777" w:rsidR="000A72EF" w:rsidRPr="000A72EF" w:rsidRDefault="000A72EF" w:rsidP="003C6BA7">
      <w:pPr>
        <w:spacing w:line="360" w:lineRule="auto"/>
        <w:jc w:val="both"/>
        <w:rPr>
          <w:rFonts w:eastAsia="Times New Roman"/>
          <w:lang w:val="en-GB"/>
        </w:rPr>
      </w:pPr>
      <w:r w:rsidRPr="000A72EF">
        <w:rPr>
          <w:rFonts w:eastAsia="Times New Roman"/>
          <w:color w:val="222222"/>
          <w:lang w:val="en-GB"/>
        </w:rPr>
        <w:t xml:space="preserve">Thompson, K.M., Kalkowska, D.A. and Badizadegan, K., (2022). Polio health economics: assessing the benefits and costs of polio, non-polio, and integrated activities of the Global Polio Eradication Initiative. </w:t>
      </w:r>
      <w:r w:rsidRPr="000A72EF">
        <w:rPr>
          <w:rFonts w:eastAsia="Times New Roman"/>
          <w:i/>
          <w:iCs/>
          <w:color w:val="222222"/>
          <w:lang w:val="en-GB"/>
        </w:rPr>
        <w:t>Gates Open Research</w:t>
      </w:r>
      <w:r w:rsidRPr="000A72EF">
        <w:rPr>
          <w:rFonts w:eastAsia="Times New Roman"/>
          <w:color w:val="222222"/>
          <w:lang w:val="en-GB"/>
        </w:rPr>
        <w:t xml:space="preserve">, </w:t>
      </w:r>
      <w:r w:rsidRPr="000A72EF">
        <w:rPr>
          <w:rFonts w:eastAsia="Times New Roman"/>
          <w:i/>
          <w:iCs/>
          <w:color w:val="222222"/>
          <w:lang w:val="en-GB"/>
        </w:rPr>
        <w:t>6</w:t>
      </w:r>
      <w:r w:rsidRPr="000A72EF">
        <w:rPr>
          <w:rFonts w:eastAsia="Times New Roman"/>
          <w:color w:val="222222"/>
          <w:lang w:val="en-GB"/>
        </w:rPr>
        <w:t>, p.5.</w:t>
      </w:r>
      <w:r w:rsidRPr="000A72EF">
        <w:rPr>
          <w:rFonts w:eastAsia="Times New Roman"/>
          <w:lang w:val="en-GB"/>
        </w:rPr>
        <w:t xml:space="preserve"> </w:t>
      </w:r>
      <w:hyperlink r:id="rId10">
        <w:r w:rsidRPr="000A72EF">
          <w:rPr>
            <w:rFonts w:eastAsia="Times New Roman"/>
            <w:color w:val="1155CC"/>
            <w:u w:val="single"/>
            <w:lang w:val="en-GB"/>
          </w:rPr>
          <w:t>https://pmc.ncbi.nlm.nih.gov/articles/PMC8881365/</w:t>
        </w:r>
      </w:hyperlink>
      <w:r w:rsidRPr="000A72EF">
        <w:rPr>
          <w:rFonts w:eastAsia="Times New Roman"/>
          <w:lang w:val="en-GB"/>
        </w:rPr>
        <w:t xml:space="preserve"> </w:t>
      </w:r>
    </w:p>
    <w:p w14:paraId="3CFC34EA" w14:textId="77777777" w:rsidR="000A72EF" w:rsidRPr="000A72EF" w:rsidRDefault="000A72EF" w:rsidP="003C6BA7">
      <w:pPr>
        <w:spacing w:after="240" w:line="360" w:lineRule="auto"/>
        <w:jc w:val="both"/>
        <w:rPr>
          <w:rFonts w:eastAsia="Times New Roman"/>
          <w:lang w:val="en-GB"/>
        </w:rPr>
      </w:pPr>
      <w:r w:rsidRPr="000A72EF">
        <w:rPr>
          <w:rFonts w:eastAsia="Times New Roman"/>
          <w:lang w:val="en-GB"/>
        </w:rPr>
        <w:t xml:space="preserve">WHO, (2024) </w:t>
      </w:r>
      <w:r w:rsidRPr="000A72EF">
        <w:rPr>
          <w:rFonts w:eastAsia="Times New Roman"/>
          <w:i/>
          <w:iCs/>
          <w:lang w:val="en-GB"/>
        </w:rPr>
        <w:t>Immunization Coverage</w:t>
      </w:r>
      <w:r w:rsidRPr="000A72EF">
        <w:rPr>
          <w:rFonts w:eastAsia="Times New Roman"/>
          <w:lang w:val="en-GB"/>
        </w:rPr>
        <w:t xml:space="preserve">, </w:t>
      </w:r>
      <w:r w:rsidRPr="000A72EF">
        <w:rPr>
          <w:rFonts w:eastAsia="Times New Roman"/>
          <w:i/>
          <w:iCs/>
          <w:lang w:val="en-GB"/>
        </w:rPr>
        <w:t>World Health Organization</w:t>
      </w:r>
      <w:r w:rsidRPr="000A72EF">
        <w:rPr>
          <w:rFonts w:eastAsia="Times New Roman"/>
          <w:lang w:val="en-GB"/>
        </w:rPr>
        <w:t>. Available at: https://www.who.int/news-room/fact-sheets/detail/immunization-coverage (Accessed: August 12, 2026).</w:t>
      </w:r>
    </w:p>
    <w:p w14:paraId="3286C029" w14:textId="77777777" w:rsidR="000A72EF" w:rsidRPr="000A72EF" w:rsidRDefault="000A72EF" w:rsidP="003C6BA7">
      <w:pPr>
        <w:spacing w:after="240" w:line="360" w:lineRule="auto"/>
        <w:jc w:val="both"/>
        <w:rPr>
          <w:rFonts w:eastAsia="Times New Roman"/>
          <w:lang w:val="en-GB"/>
        </w:rPr>
      </w:pPr>
      <w:r w:rsidRPr="000A72EF">
        <w:rPr>
          <w:rFonts w:eastAsia="Times New Roman"/>
          <w:lang w:val="en-GB"/>
        </w:rPr>
        <w:lastRenderedPageBreak/>
        <w:t xml:space="preserve">Who, (2024) </w:t>
      </w:r>
      <w:r w:rsidRPr="000A72EF">
        <w:rPr>
          <w:rFonts w:eastAsia="Times New Roman"/>
          <w:i/>
          <w:iCs/>
          <w:lang w:val="en-GB"/>
        </w:rPr>
        <w:t>Poliomyelitis (polio)</w:t>
      </w:r>
      <w:r w:rsidRPr="000A72EF">
        <w:rPr>
          <w:rFonts w:eastAsia="Times New Roman"/>
          <w:lang w:val="en-GB"/>
        </w:rPr>
        <w:t xml:space="preserve">, </w:t>
      </w:r>
      <w:r w:rsidRPr="000A72EF">
        <w:rPr>
          <w:rFonts w:eastAsia="Times New Roman"/>
          <w:i/>
          <w:iCs/>
          <w:lang w:val="en-GB"/>
        </w:rPr>
        <w:t>Www.who.int</w:t>
      </w:r>
      <w:r w:rsidRPr="000A72EF">
        <w:rPr>
          <w:rFonts w:eastAsia="Times New Roman"/>
          <w:lang w:val="en-GB"/>
        </w:rPr>
        <w:t>. Available at: https://www.who.int/health-topics/poliomyelitis (Accessed: August 12, 2026).</w:t>
      </w:r>
    </w:p>
    <w:p w14:paraId="7686C5D9" w14:textId="77777777" w:rsidR="000A72EF" w:rsidRPr="000A72EF" w:rsidRDefault="000A72EF" w:rsidP="003A654F">
      <w:pPr>
        <w:spacing w:after="240" w:line="360" w:lineRule="auto"/>
        <w:jc w:val="both"/>
        <w:rPr>
          <w:rFonts w:eastAsia="Times New Roman"/>
          <w:lang w:val="en-GB"/>
        </w:rPr>
      </w:pPr>
      <w:r w:rsidRPr="000A72EF">
        <w:rPr>
          <w:rFonts w:eastAsia="Times New Roman"/>
          <w:lang w:val="en-GB"/>
        </w:rPr>
        <w:t xml:space="preserve">Wolbert, J.G. and Higginbotham, K. (2024) </w:t>
      </w:r>
      <w:r w:rsidRPr="000A72EF">
        <w:rPr>
          <w:rFonts w:eastAsia="Times New Roman"/>
          <w:i/>
          <w:iCs/>
          <w:lang w:val="en-GB"/>
        </w:rPr>
        <w:t>Poliomyelitis (Polio)</w:t>
      </w:r>
      <w:r w:rsidRPr="000A72EF">
        <w:rPr>
          <w:rFonts w:eastAsia="Times New Roman"/>
          <w:lang w:val="en-GB"/>
        </w:rPr>
        <w:t xml:space="preserve">, </w:t>
      </w:r>
      <w:r w:rsidRPr="000A72EF">
        <w:rPr>
          <w:rFonts w:eastAsia="Times New Roman"/>
          <w:i/>
          <w:iCs/>
          <w:lang w:val="en-GB"/>
        </w:rPr>
        <w:t>PubMed</w:t>
      </w:r>
      <w:r w:rsidRPr="000A72EF">
        <w:rPr>
          <w:rFonts w:eastAsia="Times New Roman"/>
          <w:lang w:val="en-GB"/>
        </w:rPr>
        <w:t xml:space="preserve">. Treasure Island (FL): </w:t>
      </w:r>
      <w:proofErr w:type="spellStart"/>
      <w:r w:rsidRPr="000A72EF">
        <w:rPr>
          <w:rFonts w:eastAsia="Times New Roman"/>
          <w:lang w:val="en-GB"/>
        </w:rPr>
        <w:t>StatPearls</w:t>
      </w:r>
      <w:proofErr w:type="spellEnd"/>
      <w:r w:rsidRPr="000A72EF">
        <w:rPr>
          <w:rFonts w:eastAsia="Times New Roman"/>
          <w:lang w:val="en-GB"/>
        </w:rPr>
        <w:t xml:space="preserve"> Publishing. Available at: https://www.ncbi.nlm.nih.gov/books/NBK558944/ (Accessed: August 12, 2026).</w:t>
      </w:r>
    </w:p>
    <w:p w14:paraId="3E5212C1" w14:textId="77777777" w:rsidR="003A654F" w:rsidRPr="000A72EF" w:rsidRDefault="003A654F" w:rsidP="00C519F8">
      <w:pPr>
        <w:spacing w:after="240" w:line="360" w:lineRule="auto"/>
        <w:jc w:val="both"/>
        <w:rPr>
          <w:rFonts w:eastAsia="Times New Roman"/>
          <w:lang w:val="en-GB"/>
        </w:rPr>
      </w:pPr>
    </w:p>
    <w:sectPr w:rsidR="003A654F" w:rsidRPr="000A72EF">
      <w:headerReference w:type="default" r:id="rId11"/>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149FE" w14:textId="77777777" w:rsidR="00C35B95" w:rsidRDefault="00C35B95">
      <w:pPr>
        <w:spacing w:line="240" w:lineRule="auto"/>
      </w:pPr>
      <w:r>
        <w:separator/>
      </w:r>
    </w:p>
  </w:endnote>
  <w:endnote w:type="continuationSeparator" w:id="0">
    <w:p w14:paraId="1E83982A" w14:textId="77777777" w:rsidR="00C35B95" w:rsidRDefault="00C35B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D3EF593-6115-4906-87ED-511FA0853DB7}"/>
  </w:font>
  <w:font w:name="Cambria">
    <w:panose1 w:val="02040503050406030204"/>
    <w:charset w:val="00"/>
    <w:family w:val="roman"/>
    <w:pitch w:val="variable"/>
    <w:sig w:usb0="E00006FF" w:usb1="420024FF" w:usb2="02000000" w:usb3="00000000" w:csb0="0000019F" w:csb1="00000000"/>
    <w:embedRegular r:id="rId2" w:fontKey="{DE3DCC70-8A59-4CF5-A43F-66E300F0C48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413407"/>
      <w:docPartObj>
        <w:docPartGallery w:val="Page Numbers (Bottom of Page)"/>
        <w:docPartUnique/>
      </w:docPartObj>
    </w:sdtPr>
    <w:sdtContent>
      <w:p w14:paraId="4C42F031" w14:textId="4EAD4929" w:rsidR="003C6BA7" w:rsidRDefault="003C6BA7">
        <w:pPr>
          <w:pStyle w:val="Footer"/>
          <w:jc w:val="right"/>
        </w:pPr>
        <w:r>
          <w:fldChar w:fldCharType="begin"/>
        </w:r>
        <w:r>
          <w:instrText>PAGE   \* MERGEFORMAT</w:instrText>
        </w:r>
        <w:r>
          <w:fldChar w:fldCharType="separate"/>
        </w:r>
        <w:r>
          <w:rPr>
            <w:lang w:val="en-GB"/>
          </w:rPr>
          <w:t>2</w:t>
        </w:r>
        <w:r>
          <w:fldChar w:fldCharType="end"/>
        </w:r>
      </w:p>
    </w:sdtContent>
  </w:sdt>
  <w:p w14:paraId="75AB0A57" w14:textId="77777777" w:rsidR="003C6BA7" w:rsidRDefault="003C6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5061C" w14:textId="77777777" w:rsidR="00C35B95" w:rsidRDefault="00C35B95">
      <w:pPr>
        <w:spacing w:line="240" w:lineRule="auto"/>
      </w:pPr>
      <w:r>
        <w:separator/>
      </w:r>
    </w:p>
  </w:footnote>
  <w:footnote w:type="continuationSeparator" w:id="0">
    <w:p w14:paraId="6B865CE9" w14:textId="77777777" w:rsidR="00C35B95" w:rsidRDefault="00C35B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25ECF" w14:textId="77777777" w:rsidR="001445B5" w:rsidRDefault="00607058">
    <w:r>
      <w:rPr>
        <w:noProof/>
      </w:rPr>
      <w:drawing>
        <wp:anchor distT="114300" distB="114300" distL="114300" distR="114300" simplePos="0" relativeHeight="251658240" behindDoc="0" locked="0" layoutInCell="1" hidden="0" allowOverlap="1" wp14:anchorId="64232843" wp14:editId="33CC6EF1">
          <wp:simplePos x="0" y="0"/>
          <wp:positionH relativeFrom="column">
            <wp:posOffset>-790574</wp:posOffset>
          </wp:positionH>
          <wp:positionV relativeFrom="paragraph">
            <wp:posOffset>-314324</wp:posOffset>
          </wp:positionV>
          <wp:extent cx="1390650" cy="43815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390650" cy="43815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5B5"/>
    <w:rsid w:val="000A72EF"/>
    <w:rsid w:val="001445B5"/>
    <w:rsid w:val="002753D5"/>
    <w:rsid w:val="003A654F"/>
    <w:rsid w:val="003C6BA7"/>
    <w:rsid w:val="00607058"/>
    <w:rsid w:val="008C3B97"/>
    <w:rsid w:val="00C35B95"/>
    <w:rsid w:val="00C519F8"/>
    <w:rsid w:val="00EE7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AD8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C6BA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3C6BA7"/>
    <w:pPr>
      <w:spacing w:after="100"/>
    </w:pPr>
  </w:style>
  <w:style w:type="paragraph" w:styleId="TOC2">
    <w:name w:val="toc 2"/>
    <w:basedOn w:val="Normal"/>
    <w:next w:val="Normal"/>
    <w:autoRedefine/>
    <w:uiPriority w:val="39"/>
    <w:unhideWhenUsed/>
    <w:rsid w:val="003C6BA7"/>
    <w:pPr>
      <w:spacing w:after="100"/>
      <w:ind w:left="220"/>
    </w:pPr>
  </w:style>
  <w:style w:type="character" w:styleId="Hyperlink">
    <w:name w:val="Hyperlink"/>
    <w:basedOn w:val="DefaultParagraphFont"/>
    <w:uiPriority w:val="99"/>
    <w:unhideWhenUsed/>
    <w:rsid w:val="003C6BA7"/>
    <w:rPr>
      <w:color w:val="0000FF" w:themeColor="hyperlink"/>
      <w:u w:val="single"/>
    </w:rPr>
  </w:style>
  <w:style w:type="paragraph" w:styleId="Header">
    <w:name w:val="header"/>
    <w:basedOn w:val="Normal"/>
    <w:link w:val="HeaderChar"/>
    <w:uiPriority w:val="99"/>
    <w:unhideWhenUsed/>
    <w:rsid w:val="003C6BA7"/>
    <w:pPr>
      <w:tabs>
        <w:tab w:val="center" w:pos="4513"/>
        <w:tab w:val="right" w:pos="9026"/>
      </w:tabs>
      <w:spacing w:line="240" w:lineRule="auto"/>
    </w:pPr>
  </w:style>
  <w:style w:type="character" w:customStyle="1" w:styleId="HeaderChar">
    <w:name w:val="Header Char"/>
    <w:basedOn w:val="DefaultParagraphFont"/>
    <w:link w:val="Header"/>
    <w:uiPriority w:val="99"/>
    <w:rsid w:val="003C6BA7"/>
  </w:style>
  <w:style w:type="paragraph" w:styleId="Footer">
    <w:name w:val="footer"/>
    <w:basedOn w:val="Normal"/>
    <w:link w:val="FooterChar"/>
    <w:uiPriority w:val="99"/>
    <w:unhideWhenUsed/>
    <w:rsid w:val="003C6BA7"/>
    <w:pPr>
      <w:tabs>
        <w:tab w:val="center" w:pos="4513"/>
        <w:tab w:val="right" w:pos="9026"/>
      </w:tabs>
      <w:spacing w:line="240" w:lineRule="auto"/>
    </w:pPr>
  </w:style>
  <w:style w:type="character" w:customStyle="1" w:styleId="FooterChar">
    <w:name w:val="Footer Char"/>
    <w:basedOn w:val="DefaultParagraphFont"/>
    <w:link w:val="Footer"/>
    <w:uiPriority w:val="99"/>
    <w:rsid w:val="003C6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87706572100095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T-Jacob-John/publication/372353338_How_to_avoid_causing_polio_in_the_name_of_its_eradication/links/6603ef19907e3f27ee6bd89a/How-to-avoid-causing-polio-in-the-name-of-its-eradication.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pmc.ncbi.nlm.nih.gov/articles/PMC8881365/" TargetMode="External"/><Relationship Id="rId4" Type="http://schemas.openxmlformats.org/officeDocument/2006/relationships/webSettings" Target="webSettings.xml"/><Relationship Id="rId9" Type="http://schemas.openxmlformats.org/officeDocument/2006/relationships/hyperlink" Target="https://link.springer.com/article/10.1186/s12889-022-13681-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260AF-2627-45D8-9BD7-E3579873A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2318</Words>
  <Characters>13213</Characters>
  <Application>Microsoft Office Word</Application>
  <DocSecurity>0</DocSecurity>
  <Lines>110</Lines>
  <Paragraphs>30</Paragraphs>
  <ScaleCrop>false</ScaleCrop>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2026-08-12T06:57:00Z</dcterms:created>
  <dcterms:modified xsi:type="dcterms:W3CDTF">2026-08-12T11:32:00Z</dcterms:modified>
</cp:coreProperties>
</file>