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9031C" w14:textId="77777777" w:rsidR="004D2DD9" w:rsidRDefault="004D2DD9">
      <w:pPr>
        <w:widowControl/>
        <w:ind w:firstLine="0"/>
        <w:jc w:val="center"/>
        <w:rPr>
          <w:rFonts w:eastAsia="宋体"/>
          <w:b/>
          <w:bCs/>
          <w:kern w:val="0"/>
          <w:sz w:val="36"/>
          <w:szCs w:val="36"/>
        </w:rPr>
      </w:pPr>
    </w:p>
    <w:p w14:paraId="7098F873" w14:textId="77777777" w:rsidR="004D2DD9" w:rsidRDefault="004D2DD9">
      <w:pPr>
        <w:widowControl/>
        <w:ind w:firstLine="0"/>
        <w:jc w:val="center"/>
        <w:rPr>
          <w:rFonts w:eastAsia="宋体"/>
          <w:b/>
          <w:bCs/>
          <w:kern w:val="0"/>
          <w:sz w:val="36"/>
          <w:szCs w:val="36"/>
        </w:rPr>
      </w:pPr>
    </w:p>
    <w:p w14:paraId="37804538" w14:textId="77777777" w:rsidR="004D2DD9" w:rsidRDefault="004D2DD9">
      <w:pPr>
        <w:widowControl/>
        <w:ind w:firstLine="0"/>
        <w:jc w:val="center"/>
        <w:rPr>
          <w:rFonts w:eastAsia="宋体"/>
          <w:b/>
          <w:bCs/>
          <w:kern w:val="0"/>
          <w:sz w:val="36"/>
          <w:szCs w:val="36"/>
        </w:rPr>
      </w:pPr>
    </w:p>
    <w:p w14:paraId="4EEC4F7B" w14:textId="77777777" w:rsidR="004D2DD9" w:rsidRDefault="004D2DD9">
      <w:pPr>
        <w:widowControl/>
        <w:ind w:firstLine="0"/>
        <w:jc w:val="center"/>
        <w:rPr>
          <w:rFonts w:eastAsia="宋体"/>
          <w:b/>
          <w:bCs/>
          <w:kern w:val="0"/>
          <w:sz w:val="36"/>
          <w:szCs w:val="36"/>
        </w:rPr>
      </w:pPr>
    </w:p>
    <w:p w14:paraId="5AB20F3A" w14:textId="77777777" w:rsidR="004D2DD9" w:rsidRDefault="00000000">
      <w:pPr>
        <w:widowControl/>
        <w:ind w:firstLine="0"/>
        <w:jc w:val="center"/>
        <w:rPr>
          <w:rFonts w:eastAsia="宋体"/>
          <w:b/>
          <w:bCs/>
          <w:kern w:val="0"/>
          <w:sz w:val="36"/>
          <w:szCs w:val="36"/>
        </w:rPr>
      </w:pPr>
      <w:r>
        <w:rPr>
          <w:rFonts w:eastAsia="宋体"/>
          <w:b/>
          <w:bCs/>
          <w:kern w:val="0"/>
          <w:sz w:val="36"/>
          <w:szCs w:val="36"/>
        </w:rPr>
        <w:t>Strategic Assessment and of Personalized Customer Care in Konami Corporation</w:t>
      </w:r>
    </w:p>
    <w:p w14:paraId="7BFF1356" w14:textId="77777777" w:rsidR="004D2DD9" w:rsidRDefault="004D2DD9">
      <w:pPr>
        <w:spacing w:line="360" w:lineRule="auto"/>
        <w:ind w:firstLineChars="135" w:firstLine="297"/>
        <w:rPr>
          <w:sz w:val="22"/>
          <w:szCs w:val="22"/>
        </w:rPr>
      </w:pPr>
    </w:p>
    <w:p w14:paraId="0395C055" w14:textId="77777777" w:rsidR="004D2DD9" w:rsidRDefault="004D2DD9">
      <w:pPr>
        <w:spacing w:line="360" w:lineRule="auto"/>
        <w:ind w:firstLineChars="135" w:firstLine="297"/>
        <w:rPr>
          <w:sz w:val="22"/>
          <w:szCs w:val="22"/>
        </w:rPr>
      </w:pPr>
    </w:p>
    <w:p w14:paraId="23003A8C" w14:textId="77777777" w:rsidR="004D2DD9" w:rsidRDefault="004D2DD9">
      <w:pPr>
        <w:spacing w:line="360" w:lineRule="auto"/>
        <w:ind w:firstLineChars="135" w:firstLine="297"/>
        <w:rPr>
          <w:sz w:val="22"/>
          <w:szCs w:val="22"/>
        </w:rPr>
      </w:pPr>
    </w:p>
    <w:p w14:paraId="5AD2D324" w14:textId="77777777" w:rsidR="004D2DD9" w:rsidRDefault="004D2DD9">
      <w:pPr>
        <w:spacing w:line="360" w:lineRule="auto"/>
        <w:ind w:firstLineChars="135" w:firstLine="297"/>
        <w:rPr>
          <w:sz w:val="22"/>
          <w:szCs w:val="22"/>
        </w:rPr>
      </w:pPr>
    </w:p>
    <w:p w14:paraId="64FAF474" w14:textId="77777777" w:rsidR="004D2DD9" w:rsidRDefault="004D2DD9">
      <w:pPr>
        <w:spacing w:line="360" w:lineRule="auto"/>
        <w:ind w:firstLineChars="135" w:firstLine="297"/>
        <w:rPr>
          <w:sz w:val="22"/>
          <w:szCs w:val="22"/>
        </w:rPr>
      </w:pPr>
    </w:p>
    <w:p w14:paraId="0A80E0F5" w14:textId="77777777" w:rsidR="004D2DD9" w:rsidRDefault="004D2DD9">
      <w:pPr>
        <w:spacing w:line="360" w:lineRule="auto"/>
        <w:ind w:firstLineChars="135" w:firstLine="297"/>
        <w:rPr>
          <w:sz w:val="22"/>
          <w:szCs w:val="22"/>
        </w:rPr>
      </w:pPr>
    </w:p>
    <w:p w14:paraId="0D42D02D" w14:textId="77777777" w:rsidR="004D2DD9" w:rsidRDefault="004D2DD9">
      <w:pPr>
        <w:spacing w:line="360" w:lineRule="auto"/>
        <w:ind w:firstLineChars="135" w:firstLine="297"/>
        <w:rPr>
          <w:sz w:val="22"/>
          <w:szCs w:val="22"/>
        </w:rPr>
      </w:pPr>
    </w:p>
    <w:p w14:paraId="57391887" w14:textId="77777777" w:rsidR="004D2DD9" w:rsidRDefault="004D2DD9">
      <w:pPr>
        <w:spacing w:line="360" w:lineRule="auto"/>
        <w:ind w:firstLineChars="135" w:firstLine="297"/>
        <w:rPr>
          <w:sz w:val="22"/>
          <w:szCs w:val="22"/>
        </w:rPr>
      </w:pPr>
    </w:p>
    <w:p w14:paraId="446EC623" w14:textId="77777777" w:rsidR="004D2DD9" w:rsidRDefault="004D2DD9">
      <w:pPr>
        <w:spacing w:line="360" w:lineRule="auto"/>
        <w:ind w:firstLineChars="135" w:firstLine="297"/>
        <w:rPr>
          <w:sz w:val="22"/>
          <w:szCs w:val="22"/>
        </w:rPr>
      </w:pPr>
    </w:p>
    <w:p w14:paraId="68B41769" w14:textId="77777777" w:rsidR="004D2DD9" w:rsidRDefault="004D2DD9">
      <w:pPr>
        <w:spacing w:line="360" w:lineRule="auto"/>
        <w:ind w:firstLineChars="135" w:firstLine="297"/>
        <w:rPr>
          <w:sz w:val="22"/>
          <w:szCs w:val="22"/>
        </w:rPr>
      </w:pPr>
    </w:p>
    <w:p w14:paraId="5FF30A28" w14:textId="77777777" w:rsidR="004D2DD9" w:rsidRDefault="004D2DD9">
      <w:pPr>
        <w:spacing w:line="360" w:lineRule="auto"/>
        <w:ind w:firstLineChars="135" w:firstLine="297"/>
        <w:rPr>
          <w:sz w:val="22"/>
          <w:szCs w:val="22"/>
        </w:rPr>
      </w:pPr>
    </w:p>
    <w:p w14:paraId="09D999C5" w14:textId="35E162DF" w:rsidR="004D2DD9" w:rsidRDefault="00000000">
      <w:pPr>
        <w:spacing w:line="360" w:lineRule="auto"/>
        <w:ind w:firstLineChars="620" w:firstLine="1984"/>
        <w:rPr>
          <w:sz w:val="32"/>
          <w:szCs w:val="32"/>
        </w:rPr>
      </w:pPr>
      <w:r>
        <w:rPr>
          <w:rFonts w:hint="eastAsia"/>
          <w:sz w:val="32"/>
          <w:szCs w:val="32"/>
        </w:rPr>
        <w:t>N</w:t>
      </w:r>
      <w:r>
        <w:rPr>
          <w:sz w:val="32"/>
          <w:szCs w:val="32"/>
        </w:rPr>
        <w:t xml:space="preserve">ame: </w:t>
      </w:r>
      <w:r w:rsidR="00B97B85">
        <w:rPr>
          <w:sz w:val="32"/>
          <w:szCs w:val="32"/>
        </w:rPr>
        <w:t>H</w:t>
      </w:r>
      <w:r w:rsidR="00B97B85">
        <w:rPr>
          <w:rFonts w:hint="eastAsia"/>
          <w:sz w:val="32"/>
          <w:szCs w:val="32"/>
        </w:rPr>
        <w:t>uang</w:t>
      </w:r>
      <w:r w:rsidR="00B97B85">
        <w:rPr>
          <w:sz w:val="32"/>
          <w:szCs w:val="32"/>
        </w:rPr>
        <w:t xml:space="preserve"> D</w:t>
      </w:r>
      <w:r w:rsidR="00B97B85">
        <w:rPr>
          <w:rFonts w:hint="eastAsia"/>
          <w:sz w:val="32"/>
          <w:szCs w:val="32"/>
        </w:rPr>
        <w:t>ongxue</w:t>
      </w:r>
    </w:p>
    <w:p w14:paraId="7BECC9FE" w14:textId="218AB594" w:rsidR="004D2DD9" w:rsidRDefault="00000000">
      <w:pPr>
        <w:spacing w:line="360" w:lineRule="auto"/>
        <w:ind w:firstLineChars="620" w:firstLine="1984"/>
        <w:rPr>
          <w:sz w:val="32"/>
          <w:szCs w:val="32"/>
        </w:rPr>
      </w:pPr>
      <w:r>
        <w:rPr>
          <w:rFonts w:hint="eastAsia"/>
          <w:sz w:val="32"/>
          <w:szCs w:val="32"/>
        </w:rPr>
        <w:t>S</w:t>
      </w:r>
      <w:r>
        <w:rPr>
          <w:sz w:val="32"/>
          <w:szCs w:val="32"/>
        </w:rPr>
        <w:t xml:space="preserve">tudent number: </w:t>
      </w:r>
      <w:r w:rsidR="00B97B85">
        <w:rPr>
          <w:sz w:val="32"/>
          <w:szCs w:val="32"/>
        </w:rPr>
        <w:t>2229180</w:t>
      </w:r>
    </w:p>
    <w:p w14:paraId="460E14A7" w14:textId="77777777" w:rsidR="004D2DD9" w:rsidRDefault="00000000">
      <w:pPr>
        <w:spacing w:line="360" w:lineRule="auto"/>
        <w:ind w:firstLineChars="620" w:firstLine="1984"/>
        <w:rPr>
          <w:sz w:val="32"/>
          <w:szCs w:val="32"/>
        </w:rPr>
      </w:pPr>
      <w:r>
        <w:rPr>
          <w:rFonts w:hint="eastAsia"/>
          <w:sz w:val="32"/>
          <w:szCs w:val="32"/>
        </w:rPr>
        <w:t>M</w:t>
      </w:r>
      <w:r>
        <w:rPr>
          <w:sz w:val="32"/>
          <w:szCs w:val="32"/>
        </w:rPr>
        <w:t>odule code: BMMB7013</w:t>
      </w:r>
    </w:p>
    <w:p w14:paraId="253B1C6B" w14:textId="77777777" w:rsidR="004D2DD9" w:rsidRDefault="00000000">
      <w:pPr>
        <w:spacing w:line="480" w:lineRule="auto"/>
        <w:ind w:firstLine="1985"/>
      </w:pPr>
      <w:r>
        <w:rPr>
          <w:rFonts w:hint="eastAsia"/>
          <w:sz w:val="32"/>
          <w:szCs w:val="32"/>
        </w:rPr>
        <w:t>M</w:t>
      </w:r>
      <w:r>
        <w:rPr>
          <w:sz w:val="32"/>
          <w:szCs w:val="32"/>
        </w:rPr>
        <w:t>odule name: Strategic Management</w:t>
      </w:r>
    </w:p>
    <w:p w14:paraId="67BDEEDD" w14:textId="77777777" w:rsidR="004D2DD9" w:rsidRDefault="004D2DD9">
      <w:pPr>
        <w:spacing w:line="480" w:lineRule="auto"/>
      </w:pPr>
    </w:p>
    <w:p w14:paraId="7C8184C0" w14:textId="77777777" w:rsidR="004D2DD9" w:rsidRDefault="004D2DD9">
      <w:pPr>
        <w:spacing w:line="480" w:lineRule="auto"/>
        <w:sectPr w:rsidR="004D2DD9">
          <w:footerReference w:type="even" r:id="rId7"/>
          <w:footerReference w:type="default" r:id="rId8"/>
          <w:pgSz w:w="11906" w:h="16838"/>
          <w:pgMar w:top="1440" w:right="1800" w:bottom="1440" w:left="1800" w:header="851" w:footer="992" w:gutter="0"/>
          <w:pgNumType w:start="1"/>
          <w:cols w:space="425"/>
          <w:docGrid w:type="lines" w:linePitch="312"/>
        </w:sectPr>
      </w:pPr>
    </w:p>
    <w:p w14:paraId="0FCEAC3E" w14:textId="77777777" w:rsidR="004D2DD9" w:rsidRDefault="00000000">
      <w:pPr>
        <w:pStyle w:val="1"/>
        <w:spacing w:line="480" w:lineRule="auto"/>
      </w:pPr>
      <w:bookmarkStart w:id="0" w:name="_Toc152370332"/>
      <w:r>
        <w:lastRenderedPageBreak/>
        <w:t>Abstract</w:t>
      </w:r>
      <w:bookmarkEnd w:id="0"/>
    </w:p>
    <w:p w14:paraId="06B28EFC" w14:textId="77777777" w:rsidR="004D2DD9" w:rsidRDefault="00000000">
      <w:pPr>
        <w:spacing w:beforeLines="100" w:before="312" w:afterLines="100" w:after="312" w:line="480" w:lineRule="auto"/>
        <w:ind w:firstLine="0"/>
      </w:pPr>
      <w:r>
        <w:t xml:space="preserve">This paper conducts a comprehensive strategic assessment of Konami Corporation's personalized customer care strategy. Through an in-depth analysis of both the internal and external environments of the company, the paper unveils the opportunities and challenges that Konami faces in implementing its personalized customer care strategy. In the external analysis section, the paper thoroughly explores the impact of political, economic, social, and technological factors on Konami Corporation, as well as the company's position in the highly competitive gaming industry, utilizing PEST analysis and industry analysis. The internal analysis section focuses on the company's resources, capabilities, organizational structure, and culture, as well as the current state of customer care. In evaluating the strategic options for Konami's personalized customer care strategy, the paper delves into three dimensions: feasibility, rationality, and risk. It points out that Konami possesses extensive game development experience and a broad user base, which are essential for implementing a personalized customer care strategy. However, the company also needs to be vigilant about risks related to brand image, customer service, and product quality. In the strategy implementation section, the paper proposes a series of new customer care strategies and analyzes their impact on different departments of the company, as well as the strategic planning in both the short term and the long term. In conclusion, the paper asserts that Konami needs to find a balance between feasibility, rationality, and risk. By improving customer service, optimizing user experience, enhancing brand image, and expanding market share, Konami can </w:t>
      </w:r>
      <w:r>
        <w:lastRenderedPageBreak/>
        <w:t>achieve business growth and enhance profitability, while remaining cautious of the potential risks associated with personalized customer care strategies.</w:t>
      </w:r>
    </w:p>
    <w:p w14:paraId="0B23FF77" w14:textId="77777777" w:rsidR="004D2DD9" w:rsidRDefault="00000000">
      <w:pPr>
        <w:spacing w:line="480" w:lineRule="auto"/>
        <w:ind w:firstLine="0"/>
      </w:pPr>
      <w:r>
        <w:rPr>
          <w:b/>
          <w:bCs/>
        </w:rPr>
        <w:t>Keywords:</w:t>
      </w:r>
      <w:r>
        <w:t xml:space="preserve"> Personalized Customer Care ; Strategic Assessment ; Konami Corporation; Business Strategy Implementation</w:t>
      </w:r>
    </w:p>
    <w:p w14:paraId="7F0C2842" w14:textId="77777777" w:rsidR="004D2DD9" w:rsidRDefault="004D2DD9">
      <w:pPr>
        <w:spacing w:line="480" w:lineRule="auto"/>
        <w:sectPr w:rsidR="004D2DD9">
          <w:footerReference w:type="default" r:id="rId9"/>
          <w:pgSz w:w="11906" w:h="16838"/>
          <w:pgMar w:top="1440" w:right="1800" w:bottom="1440" w:left="1800" w:header="851" w:footer="992" w:gutter="0"/>
          <w:pgNumType w:fmt="upperRoman" w:start="1"/>
          <w:cols w:space="425"/>
          <w:docGrid w:type="lines" w:linePitch="312"/>
        </w:sectPr>
      </w:pPr>
    </w:p>
    <w:sdt>
      <w:sdtPr>
        <w:rPr>
          <w:b w:val="0"/>
          <w:bCs w:val="0"/>
          <w:kern w:val="2"/>
          <w:sz w:val="24"/>
          <w:szCs w:val="24"/>
          <w:lang w:val="zh-CN"/>
        </w:rPr>
        <w:id w:val="1992669925"/>
        <w:docPartObj>
          <w:docPartGallery w:val="Table of Contents"/>
          <w:docPartUnique/>
        </w:docPartObj>
      </w:sdtPr>
      <w:sdtEndPr>
        <w:rPr>
          <w:sz w:val="22"/>
          <w:szCs w:val="22"/>
          <w:lang w:val="en-US"/>
        </w:rPr>
      </w:sdtEndPr>
      <w:sdtContent>
        <w:p w14:paraId="10715661" w14:textId="77777777" w:rsidR="004D2DD9" w:rsidRDefault="00000000">
          <w:pPr>
            <w:pStyle w:val="TOC10"/>
            <w:jc w:val="center"/>
            <w:rPr>
              <w:sz w:val="32"/>
              <w:szCs w:val="32"/>
            </w:rPr>
          </w:pPr>
          <w:r>
            <w:rPr>
              <w:sz w:val="32"/>
              <w:szCs w:val="32"/>
              <w:lang w:val="zh-CN"/>
            </w:rPr>
            <w:t>Contents</w:t>
          </w:r>
        </w:p>
        <w:p w14:paraId="670B7804" w14:textId="77777777" w:rsidR="004D2DD9" w:rsidRDefault="00000000">
          <w:pPr>
            <w:pStyle w:val="TOC1"/>
            <w:tabs>
              <w:tab w:val="right" w:leader="dot" w:pos="8296"/>
            </w:tabs>
            <w:spacing w:line="360" w:lineRule="auto"/>
            <w:rPr>
              <w:rFonts w:ascii="Times New Roman" w:eastAsiaTheme="minorEastAsia"/>
              <w:b w:val="0"/>
              <w:bCs w:val="0"/>
              <w:caps w:val="0"/>
              <w:sz w:val="22"/>
              <w:szCs w:val="22"/>
            </w:rPr>
          </w:pPr>
          <w:r>
            <w:rPr>
              <w:rFonts w:ascii="Times New Roman"/>
              <w:caps w:val="0"/>
              <w:sz w:val="22"/>
              <w:szCs w:val="22"/>
            </w:rPr>
            <w:fldChar w:fldCharType="begin"/>
          </w:r>
          <w:r>
            <w:rPr>
              <w:rFonts w:ascii="Times New Roman"/>
              <w:caps w:val="0"/>
              <w:sz w:val="22"/>
              <w:szCs w:val="22"/>
            </w:rPr>
            <w:instrText xml:space="preserve"> TOC \o "1-3" \h \z \u </w:instrText>
          </w:r>
          <w:r>
            <w:rPr>
              <w:rFonts w:ascii="Times New Roman"/>
              <w:caps w:val="0"/>
              <w:sz w:val="22"/>
              <w:szCs w:val="22"/>
            </w:rPr>
            <w:fldChar w:fldCharType="separate"/>
          </w:r>
          <w:hyperlink w:anchor="_Toc152370332" w:history="1">
            <w:r>
              <w:rPr>
                <w:rStyle w:val="ab"/>
                <w:rFonts w:ascii="Times New Roman"/>
                <w:caps w:val="0"/>
                <w:sz w:val="22"/>
                <w:szCs w:val="22"/>
              </w:rPr>
              <w:t>Abstract</w:t>
            </w:r>
            <w:r>
              <w:rPr>
                <w:rFonts w:ascii="Times New Roman"/>
                <w:caps w:val="0"/>
                <w:sz w:val="22"/>
                <w:szCs w:val="22"/>
              </w:rPr>
              <w:tab/>
            </w:r>
            <w:r>
              <w:rPr>
                <w:rFonts w:ascii="Times New Roman"/>
                <w:caps w:val="0"/>
                <w:sz w:val="22"/>
                <w:szCs w:val="22"/>
              </w:rPr>
              <w:fldChar w:fldCharType="begin"/>
            </w:r>
            <w:r>
              <w:rPr>
                <w:rFonts w:ascii="Times New Roman"/>
                <w:caps w:val="0"/>
                <w:sz w:val="22"/>
                <w:szCs w:val="22"/>
              </w:rPr>
              <w:instrText xml:space="preserve"> PAGEREF _Toc152370332 \h </w:instrText>
            </w:r>
            <w:r>
              <w:rPr>
                <w:rFonts w:ascii="Times New Roman"/>
                <w:caps w:val="0"/>
                <w:sz w:val="22"/>
                <w:szCs w:val="22"/>
              </w:rPr>
            </w:r>
            <w:r>
              <w:rPr>
                <w:rFonts w:ascii="Times New Roman"/>
                <w:caps w:val="0"/>
                <w:sz w:val="22"/>
                <w:szCs w:val="22"/>
              </w:rPr>
              <w:fldChar w:fldCharType="separate"/>
            </w:r>
            <w:r>
              <w:rPr>
                <w:rFonts w:ascii="Times New Roman"/>
                <w:caps w:val="0"/>
                <w:sz w:val="22"/>
                <w:szCs w:val="22"/>
              </w:rPr>
              <w:t>I</w:t>
            </w:r>
            <w:r>
              <w:rPr>
                <w:rFonts w:ascii="Times New Roman"/>
                <w:caps w:val="0"/>
                <w:sz w:val="22"/>
                <w:szCs w:val="22"/>
              </w:rPr>
              <w:fldChar w:fldCharType="end"/>
            </w:r>
          </w:hyperlink>
        </w:p>
        <w:p w14:paraId="3E0814CF" w14:textId="77777777" w:rsidR="004D2DD9" w:rsidRDefault="00000000">
          <w:pPr>
            <w:pStyle w:val="TOC1"/>
            <w:tabs>
              <w:tab w:val="right" w:leader="dot" w:pos="8296"/>
            </w:tabs>
            <w:spacing w:line="360" w:lineRule="auto"/>
            <w:rPr>
              <w:rFonts w:ascii="Times New Roman" w:eastAsiaTheme="minorEastAsia"/>
              <w:b w:val="0"/>
              <w:bCs w:val="0"/>
              <w:caps w:val="0"/>
              <w:sz w:val="22"/>
              <w:szCs w:val="22"/>
            </w:rPr>
          </w:pPr>
          <w:hyperlink w:anchor="_Toc152370333" w:history="1">
            <w:r>
              <w:rPr>
                <w:rStyle w:val="ab"/>
                <w:rFonts w:ascii="Times New Roman"/>
                <w:caps w:val="0"/>
                <w:sz w:val="22"/>
                <w:szCs w:val="22"/>
              </w:rPr>
              <w:t>I. Preface</w:t>
            </w:r>
            <w:r>
              <w:rPr>
                <w:rFonts w:ascii="Times New Roman"/>
                <w:caps w:val="0"/>
                <w:sz w:val="22"/>
                <w:szCs w:val="22"/>
              </w:rPr>
              <w:tab/>
            </w:r>
            <w:r>
              <w:rPr>
                <w:rFonts w:ascii="Times New Roman"/>
                <w:caps w:val="0"/>
                <w:sz w:val="22"/>
                <w:szCs w:val="22"/>
              </w:rPr>
              <w:fldChar w:fldCharType="begin"/>
            </w:r>
            <w:r>
              <w:rPr>
                <w:rFonts w:ascii="Times New Roman"/>
                <w:caps w:val="0"/>
                <w:sz w:val="22"/>
                <w:szCs w:val="22"/>
              </w:rPr>
              <w:instrText xml:space="preserve"> PAGEREF _Toc152370333 \h </w:instrText>
            </w:r>
            <w:r>
              <w:rPr>
                <w:rFonts w:ascii="Times New Roman"/>
                <w:caps w:val="0"/>
                <w:sz w:val="22"/>
                <w:szCs w:val="22"/>
              </w:rPr>
            </w:r>
            <w:r>
              <w:rPr>
                <w:rFonts w:ascii="Times New Roman"/>
                <w:caps w:val="0"/>
                <w:sz w:val="22"/>
                <w:szCs w:val="22"/>
              </w:rPr>
              <w:fldChar w:fldCharType="separate"/>
            </w:r>
            <w:r>
              <w:rPr>
                <w:rFonts w:ascii="Times New Roman"/>
                <w:caps w:val="0"/>
                <w:sz w:val="22"/>
                <w:szCs w:val="22"/>
              </w:rPr>
              <w:t>1</w:t>
            </w:r>
            <w:r>
              <w:rPr>
                <w:rFonts w:ascii="Times New Roman"/>
                <w:caps w:val="0"/>
                <w:sz w:val="22"/>
                <w:szCs w:val="22"/>
              </w:rPr>
              <w:fldChar w:fldCharType="end"/>
            </w:r>
          </w:hyperlink>
        </w:p>
        <w:p w14:paraId="57131D7E"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34" w:history="1">
            <w:r>
              <w:rPr>
                <w:rStyle w:val="ab"/>
                <w:rFonts w:ascii="Times New Roman"/>
                <w:smallCaps w:val="0"/>
                <w:sz w:val="22"/>
                <w:szCs w:val="22"/>
              </w:rPr>
              <w:t>1.1. A Brief Overview of Konami Corporation</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_Toc152370334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1</w:t>
            </w:r>
            <w:r>
              <w:rPr>
                <w:rFonts w:ascii="Times New Roman"/>
                <w:smallCaps w:val="0"/>
                <w:sz w:val="22"/>
                <w:szCs w:val="22"/>
              </w:rPr>
              <w:fldChar w:fldCharType="end"/>
            </w:r>
          </w:hyperlink>
        </w:p>
        <w:p w14:paraId="135F51E1"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35" w:history="1">
            <w:r>
              <w:rPr>
                <w:rStyle w:val="ab"/>
                <w:rFonts w:ascii="Times New Roman"/>
                <w:smallCaps w:val="0"/>
                <w:sz w:val="22"/>
                <w:szCs w:val="22"/>
              </w:rPr>
              <w:t>1.2. The Purpose and Goals of the Project</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_Toc152370335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1</w:t>
            </w:r>
            <w:r>
              <w:rPr>
                <w:rFonts w:ascii="Times New Roman"/>
                <w:smallCaps w:val="0"/>
                <w:sz w:val="22"/>
                <w:szCs w:val="22"/>
              </w:rPr>
              <w:fldChar w:fldCharType="end"/>
            </w:r>
          </w:hyperlink>
        </w:p>
        <w:p w14:paraId="4AD4D5D1" w14:textId="77777777" w:rsidR="004D2DD9" w:rsidRDefault="00000000">
          <w:pPr>
            <w:pStyle w:val="TOC1"/>
            <w:tabs>
              <w:tab w:val="right" w:leader="dot" w:pos="8296"/>
            </w:tabs>
            <w:spacing w:line="360" w:lineRule="auto"/>
            <w:rPr>
              <w:rFonts w:ascii="Times New Roman" w:eastAsiaTheme="minorEastAsia"/>
              <w:b w:val="0"/>
              <w:bCs w:val="0"/>
              <w:caps w:val="0"/>
              <w:sz w:val="22"/>
              <w:szCs w:val="22"/>
            </w:rPr>
          </w:pPr>
          <w:hyperlink w:anchor="_Toc152370336" w:history="1">
            <w:r>
              <w:rPr>
                <w:rStyle w:val="ab"/>
                <w:rFonts w:ascii="Times New Roman"/>
                <w:caps w:val="0"/>
                <w:sz w:val="22"/>
                <w:szCs w:val="22"/>
              </w:rPr>
              <w:t>II. External Analysis</w:t>
            </w:r>
            <w:r>
              <w:rPr>
                <w:rFonts w:ascii="Times New Roman"/>
                <w:caps w:val="0"/>
                <w:sz w:val="22"/>
                <w:szCs w:val="22"/>
              </w:rPr>
              <w:tab/>
            </w:r>
            <w:r>
              <w:rPr>
                <w:rFonts w:ascii="Times New Roman"/>
                <w:caps w:val="0"/>
                <w:sz w:val="22"/>
                <w:szCs w:val="22"/>
              </w:rPr>
              <w:fldChar w:fldCharType="begin"/>
            </w:r>
            <w:r>
              <w:rPr>
                <w:rFonts w:ascii="Times New Roman"/>
                <w:caps w:val="0"/>
                <w:sz w:val="22"/>
                <w:szCs w:val="22"/>
              </w:rPr>
              <w:instrText xml:space="preserve"> PAGEREF _Toc152370336 \h </w:instrText>
            </w:r>
            <w:r>
              <w:rPr>
                <w:rFonts w:ascii="Times New Roman"/>
                <w:caps w:val="0"/>
                <w:sz w:val="22"/>
                <w:szCs w:val="22"/>
              </w:rPr>
            </w:r>
            <w:r>
              <w:rPr>
                <w:rFonts w:ascii="Times New Roman"/>
                <w:caps w:val="0"/>
                <w:sz w:val="22"/>
                <w:szCs w:val="22"/>
              </w:rPr>
              <w:fldChar w:fldCharType="separate"/>
            </w:r>
            <w:r>
              <w:rPr>
                <w:rFonts w:ascii="Times New Roman"/>
                <w:caps w:val="0"/>
                <w:sz w:val="22"/>
                <w:szCs w:val="22"/>
              </w:rPr>
              <w:t>3</w:t>
            </w:r>
            <w:r>
              <w:rPr>
                <w:rFonts w:ascii="Times New Roman"/>
                <w:caps w:val="0"/>
                <w:sz w:val="22"/>
                <w:szCs w:val="22"/>
              </w:rPr>
              <w:fldChar w:fldCharType="end"/>
            </w:r>
          </w:hyperlink>
        </w:p>
        <w:p w14:paraId="621B8BCA"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37" w:history="1">
            <w:r>
              <w:rPr>
                <w:rStyle w:val="ab"/>
                <w:rFonts w:ascii="Times New Roman"/>
                <w:smallCaps w:val="0"/>
                <w:sz w:val="22"/>
                <w:szCs w:val="22"/>
              </w:rPr>
              <w:t>2.1. PEST Analysis</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_Toc152370337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3</w:t>
            </w:r>
            <w:r>
              <w:rPr>
                <w:rFonts w:ascii="Times New Roman"/>
                <w:smallCaps w:val="0"/>
                <w:sz w:val="22"/>
                <w:szCs w:val="22"/>
              </w:rPr>
              <w:fldChar w:fldCharType="end"/>
            </w:r>
          </w:hyperlink>
        </w:p>
        <w:p w14:paraId="55CEAE8E"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38" w:history="1">
            <w:r>
              <w:rPr>
                <w:rStyle w:val="ab"/>
                <w:rFonts w:ascii="Times New Roman"/>
                <w:i w:val="0"/>
                <w:iCs w:val="0"/>
                <w:sz w:val="22"/>
                <w:szCs w:val="22"/>
              </w:rPr>
              <w:t>2.1.1. Political Factors</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_Toc152370338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3</w:t>
            </w:r>
            <w:r>
              <w:rPr>
                <w:rFonts w:ascii="Times New Roman"/>
                <w:i w:val="0"/>
                <w:iCs w:val="0"/>
                <w:sz w:val="22"/>
                <w:szCs w:val="22"/>
              </w:rPr>
              <w:fldChar w:fldCharType="end"/>
            </w:r>
          </w:hyperlink>
        </w:p>
        <w:p w14:paraId="750B662F"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39" w:history="1">
            <w:r>
              <w:rPr>
                <w:rStyle w:val="ab"/>
                <w:rFonts w:ascii="Times New Roman"/>
                <w:i w:val="0"/>
                <w:iCs w:val="0"/>
                <w:sz w:val="22"/>
                <w:szCs w:val="22"/>
              </w:rPr>
              <w:t>2.1.2. Economic Factors</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_Toc152370339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4</w:t>
            </w:r>
            <w:r>
              <w:rPr>
                <w:rFonts w:ascii="Times New Roman"/>
                <w:i w:val="0"/>
                <w:iCs w:val="0"/>
                <w:sz w:val="22"/>
                <w:szCs w:val="22"/>
              </w:rPr>
              <w:fldChar w:fldCharType="end"/>
            </w:r>
          </w:hyperlink>
        </w:p>
        <w:p w14:paraId="515C08CB"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40" w:history="1">
            <w:r>
              <w:rPr>
                <w:rStyle w:val="ab"/>
                <w:rFonts w:ascii="Times New Roman"/>
                <w:i w:val="0"/>
                <w:iCs w:val="0"/>
                <w:sz w:val="22"/>
                <w:szCs w:val="22"/>
              </w:rPr>
              <w:t>2.1.3. Social Factors</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_Toc152370340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4</w:t>
            </w:r>
            <w:r>
              <w:rPr>
                <w:rFonts w:ascii="Times New Roman"/>
                <w:i w:val="0"/>
                <w:iCs w:val="0"/>
                <w:sz w:val="22"/>
                <w:szCs w:val="22"/>
              </w:rPr>
              <w:fldChar w:fldCharType="end"/>
            </w:r>
          </w:hyperlink>
        </w:p>
        <w:p w14:paraId="52CA26FE"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41" w:history="1">
            <w:r>
              <w:rPr>
                <w:rStyle w:val="ab"/>
                <w:rFonts w:ascii="Times New Roman"/>
                <w:i w:val="0"/>
                <w:iCs w:val="0"/>
                <w:sz w:val="22"/>
                <w:szCs w:val="22"/>
              </w:rPr>
              <w:t>2.1.4. Technological Factors</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_Toc152370341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5</w:t>
            </w:r>
            <w:r>
              <w:rPr>
                <w:rFonts w:ascii="Times New Roman"/>
                <w:i w:val="0"/>
                <w:iCs w:val="0"/>
                <w:sz w:val="22"/>
                <w:szCs w:val="22"/>
              </w:rPr>
              <w:fldChar w:fldCharType="end"/>
            </w:r>
          </w:hyperlink>
        </w:p>
        <w:p w14:paraId="3046B08C"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42" w:history="1">
            <w:r>
              <w:rPr>
                <w:rStyle w:val="ab"/>
                <w:rFonts w:ascii="Times New Roman"/>
                <w:smallCaps w:val="0"/>
                <w:sz w:val="22"/>
                <w:szCs w:val="22"/>
              </w:rPr>
              <w:t>2.2. Industry Analysis</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_Toc152370342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6</w:t>
            </w:r>
            <w:r>
              <w:rPr>
                <w:rFonts w:ascii="Times New Roman"/>
                <w:smallCaps w:val="0"/>
                <w:sz w:val="22"/>
                <w:szCs w:val="22"/>
              </w:rPr>
              <w:fldChar w:fldCharType="end"/>
            </w:r>
          </w:hyperlink>
        </w:p>
        <w:p w14:paraId="22EFAF45"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43" w:history="1">
            <w:r>
              <w:rPr>
                <w:rStyle w:val="ab"/>
                <w:rFonts w:ascii="Times New Roman"/>
                <w:i w:val="0"/>
                <w:iCs w:val="0"/>
                <w:sz w:val="22"/>
                <w:szCs w:val="22"/>
              </w:rPr>
              <w:t>2.2.1. Gaming Industry Overview</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_Toc152370343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6</w:t>
            </w:r>
            <w:r>
              <w:rPr>
                <w:rFonts w:ascii="Times New Roman"/>
                <w:i w:val="0"/>
                <w:iCs w:val="0"/>
                <w:sz w:val="22"/>
                <w:szCs w:val="22"/>
              </w:rPr>
              <w:fldChar w:fldCharType="end"/>
            </w:r>
          </w:hyperlink>
        </w:p>
        <w:p w14:paraId="6023BDAF"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44" w:history="1">
            <w:r>
              <w:rPr>
                <w:rStyle w:val="ab"/>
                <w:rFonts w:ascii="Times New Roman"/>
                <w:i w:val="0"/>
                <w:iCs w:val="0"/>
                <w:sz w:val="22"/>
                <w:szCs w:val="22"/>
              </w:rPr>
              <w:t>2.2.2. Main Competitor Analysis</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_Toc152370344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7</w:t>
            </w:r>
            <w:r>
              <w:rPr>
                <w:rFonts w:ascii="Times New Roman"/>
                <w:i w:val="0"/>
                <w:iCs w:val="0"/>
                <w:sz w:val="22"/>
                <w:szCs w:val="22"/>
              </w:rPr>
              <w:fldChar w:fldCharType="end"/>
            </w:r>
          </w:hyperlink>
        </w:p>
        <w:p w14:paraId="5630D7B0" w14:textId="77777777" w:rsidR="004D2DD9" w:rsidRDefault="00000000">
          <w:pPr>
            <w:pStyle w:val="TOC1"/>
            <w:tabs>
              <w:tab w:val="right" w:leader="dot" w:pos="8296"/>
            </w:tabs>
            <w:spacing w:line="360" w:lineRule="auto"/>
            <w:rPr>
              <w:rFonts w:ascii="Times New Roman" w:eastAsiaTheme="minorEastAsia"/>
              <w:b w:val="0"/>
              <w:bCs w:val="0"/>
              <w:caps w:val="0"/>
              <w:sz w:val="22"/>
              <w:szCs w:val="22"/>
            </w:rPr>
          </w:pPr>
          <w:hyperlink w:anchor="_Toc152370345" w:history="1">
            <w:r>
              <w:rPr>
                <w:rStyle w:val="ab"/>
                <w:rFonts w:ascii="Times New Roman"/>
                <w:caps w:val="0"/>
                <w:sz w:val="22"/>
                <w:szCs w:val="22"/>
              </w:rPr>
              <w:t>III. Internal Analysis</w:t>
            </w:r>
            <w:r>
              <w:rPr>
                <w:rFonts w:ascii="Times New Roman"/>
                <w:caps w:val="0"/>
                <w:sz w:val="22"/>
                <w:szCs w:val="22"/>
              </w:rPr>
              <w:tab/>
            </w:r>
            <w:r>
              <w:rPr>
                <w:rFonts w:ascii="Times New Roman"/>
                <w:caps w:val="0"/>
                <w:sz w:val="22"/>
                <w:szCs w:val="22"/>
              </w:rPr>
              <w:fldChar w:fldCharType="begin"/>
            </w:r>
            <w:r>
              <w:rPr>
                <w:rFonts w:ascii="Times New Roman"/>
                <w:caps w:val="0"/>
                <w:sz w:val="22"/>
                <w:szCs w:val="22"/>
              </w:rPr>
              <w:instrText xml:space="preserve"> PAGEREF _Toc152370345 \h </w:instrText>
            </w:r>
            <w:r>
              <w:rPr>
                <w:rFonts w:ascii="Times New Roman"/>
                <w:caps w:val="0"/>
                <w:sz w:val="22"/>
                <w:szCs w:val="22"/>
              </w:rPr>
            </w:r>
            <w:r>
              <w:rPr>
                <w:rFonts w:ascii="Times New Roman"/>
                <w:caps w:val="0"/>
                <w:sz w:val="22"/>
                <w:szCs w:val="22"/>
              </w:rPr>
              <w:fldChar w:fldCharType="separate"/>
            </w:r>
            <w:r>
              <w:rPr>
                <w:rFonts w:ascii="Times New Roman"/>
                <w:caps w:val="0"/>
                <w:sz w:val="22"/>
                <w:szCs w:val="22"/>
              </w:rPr>
              <w:t>9</w:t>
            </w:r>
            <w:r>
              <w:rPr>
                <w:rFonts w:ascii="Times New Roman"/>
                <w:caps w:val="0"/>
                <w:sz w:val="22"/>
                <w:szCs w:val="22"/>
              </w:rPr>
              <w:fldChar w:fldCharType="end"/>
            </w:r>
          </w:hyperlink>
        </w:p>
        <w:p w14:paraId="2ACF511B"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46" w:history="1">
            <w:r>
              <w:rPr>
                <w:rStyle w:val="ab"/>
                <w:rFonts w:ascii="Times New Roman"/>
                <w:smallCaps w:val="0"/>
                <w:sz w:val="22"/>
                <w:szCs w:val="22"/>
              </w:rPr>
              <w:t>3.1. Resources and Capabilities of Konami Company</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_Toc152370346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9</w:t>
            </w:r>
            <w:r>
              <w:rPr>
                <w:rFonts w:ascii="Times New Roman"/>
                <w:smallCaps w:val="0"/>
                <w:sz w:val="22"/>
                <w:szCs w:val="22"/>
              </w:rPr>
              <w:fldChar w:fldCharType="end"/>
            </w:r>
          </w:hyperlink>
        </w:p>
        <w:p w14:paraId="6E674E4D"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47" w:history="1">
            <w:r>
              <w:rPr>
                <w:rStyle w:val="ab"/>
                <w:rFonts w:ascii="Times New Roman"/>
                <w:i w:val="0"/>
                <w:iCs w:val="0"/>
                <w:sz w:val="22"/>
                <w:szCs w:val="22"/>
              </w:rPr>
              <w:t>3.1.1. Financial Resources and Capabilities</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_Toc152370347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9</w:t>
            </w:r>
            <w:r>
              <w:rPr>
                <w:rFonts w:ascii="Times New Roman"/>
                <w:i w:val="0"/>
                <w:iCs w:val="0"/>
                <w:sz w:val="22"/>
                <w:szCs w:val="22"/>
              </w:rPr>
              <w:fldChar w:fldCharType="end"/>
            </w:r>
          </w:hyperlink>
        </w:p>
        <w:p w14:paraId="0C33C37B"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48" w:history="1">
            <w:r>
              <w:rPr>
                <w:rStyle w:val="ab"/>
                <w:rFonts w:ascii="Times New Roman"/>
                <w:i w:val="0"/>
                <w:iCs w:val="0"/>
                <w:sz w:val="22"/>
                <w:szCs w:val="22"/>
              </w:rPr>
              <w:t>3.1.2. Human Resources and Capabilities</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_Toc152370348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11</w:t>
            </w:r>
            <w:r>
              <w:rPr>
                <w:rFonts w:ascii="Times New Roman"/>
                <w:i w:val="0"/>
                <w:iCs w:val="0"/>
                <w:sz w:val="22"/>
                <w:szCs w:val="22"/>
              </w:rPr>
              <w:fldChar w:fldCharType="end"/>
            </w:r>
          </w:hyperlink>
        </w:p>
        <w:p w14:paraId="38DF018D"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49" w:history="1">
            <w:r>
              <w:rPr>
                <w:rStyle w:val="ab"/>
                <w:rFonts w:ascii="Times New Roman"/>
                <w:smallCaps w:val="0"/>
                <w:sz w:val="22"/>
                <w:szCs w:val="22"/>
              </w:rPr>
              <w:t>3.2. Organizational Structure and Culture</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_Toc152370349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12</w:t>
            </w:r>
            <w:r>
              <w:rPr>
                <w:rFonts w:ascii="Times New Roman"/>
                <w:smallCaps w:val="0"/>
                <w:sz w:val="22"/>
                <w:szCs w:val="22"/>
              </w:rPr>
              <w:fldChar w:fldCharType="end"/>
            </w:r>
          </w:hyperlink>
        </w:p>
        <w:p w14:paraId="5E4B5D15"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50" w:history="1">
            <w:r>
              <w:rPr>
                <w:rStyle w:val="ab"/>
                <w:rFonts w:ascii="Times New Roman"/>
                <w:smallCaps w:val="0"/>
                <w:sz w:val="22"/>
                <w:szCs w:val="22"/>
              </w:rPr>
              <w:t>3.3. Customer Care Situation Analysis</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_Toc152370350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13</w:t>
            </w:r>
            <w:r>
              <w:rPr>
                <w:rFonts w:ascii="Times New Roman"/>
                <w:smallCaps w:val="0"/>
                <w:sz w:val="22"/>
                <w:szCs w:val="22"/>
              </w:rPr>
              <w:fldChar w:fldCharType="end"/>
            </w:r>
          </w:hyperlink>
        </w:p>
        <w:p w14:paraId="0C3EC6D3" w14:textId="77777777" w:rsidR="004D2DD9" w:rsidRDefault="00000000">
          <w:pPr>
            <w:pStyle w:val="TOC1"/>
            <w:tabs>
              <w:tab w:val="right" w:leader="dot" w:pos="8296"/>
            </w:tabs>
            <w:spacing w:line="360" w:lineRule="auto"/>
            <w:rPr>
              <w:rFonts w:ascii="Times New Roman" w:eastAsiaTheme="minorEastAsia"/>
              <w:b w:val="0"/>
              <w:bCs w:val="0"/>
              <w:caps w:val="0"/>
              <w:sz w:val="22"/>
              <w:szCs w:val="22"/>
            </w:rPr>
          </w:pPr>
          <w:hyperlink w:anchor="_Toc152370351" w:history="1">
            <w:r>
              <w:rPr>
                <w:rStyle w:val="ab"/>
                <w:rFonts w:ascii="Times New Roman"/>
                <w:caps w:val="0"/>
                <w:sz w:val="22"/>
                <w:szCs w:val="22"/>
              </w:rPr>
              <w:t>IV. Evaluating the Strategic Options for Konami Corporation's Personalized Customer Care</w:t>
            </w:r>
            <w:r>
              <w:rPr>
                <w:rFonts w:ascii="Times New Roman"/>
                <w:caps w:val="0"/>
                <w:sz w:val="22"/>
                <w:szCs w:val="22"/>
              </w:rPr>
              <w:tab/>
            </w:r>
            <w:r>
              <w:rPr>
                <w:rFonts w:ascii="Times New Roman"/>
                <w:caps w:val="0"/>
                <w:sz w:val="22"/>
                <w:szCs w:val="22"/>
              </w:rPr>
              <w:fldChar w:fldCharType="begin"/>
            </w:r>
            <w:r>
              <w:rPr>
                <w:rFonts w:ascii="Times New Roman"/>
                <w:caps w:val="0"/>
                <w:sz w:val="22"/>
                <w:szCs w:val="22"/>
              </w:rPr>
              <w:instrText xml:space="preserve"> PAGEREF _Toc152370351 \h </w:instrText>
            </w:r>
            <w:r>
              <w:rPr>
                <w:rFonts w:ascii="Times New Roman"/>
                <w:caps w:val="0"/>
                <w:sz w:val="22"/>
                <w:szCs w:val="22"/>
              </w:rPr>
            </w:r>
            <w:r>
              <w:rPr>
                <w:rFonts w:ascii="Times New Roman"/>
                <w:caps w:val="0"/>
                <w:sz w:val="22"/>
                <w:szCs w:val="22"/>
              </w:rPr>
              <w:fldChar w:fldCharType="separate"/>
            </w:r>
            <w:r>
              <w:rPr>
                <w:rFonts w:ascii="Times New Roman"/>
                <w:caps w:val="0"/>
                <w:sz w:val="22"/>
                <w:szCs w:val="22"/>
              </w:rPr>
              <w:t>14</w:t>
            </w:r>
            <w:r>
              <w:rPr>
                <w:rFonts w:ascii="Times New Roman"/>
                <w:caps w:val="0"/>
                <w:sz w:val="22"/>
                <w:szCs w:val="22"/>
              </w:rPr>
              <w:fldChar w:fldCharType="end"/>
            </w:r>
          </w:hyperlink>
        </w:p>
        <w:p w14:paraId="5F5E381C"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52" w:history="1">
            <w:r>
              <w:rPr>
                <w:rStyle w:val="ab"/>
                <w:rFonts w:ascii="Times New Roman"/>
                <w:smallCaps w:val="0"/>
                <w:sz w:val="22"/>
                <w:szCs w:val="22"/>
              </w:rPr>
              <w:t>4.1. Feasibility</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_Toc152370352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14</w:t>
            </w:r>
            <w:r>
              <w:rPr>
                <w:rFonts w:ascii="Times New Roman"/>
                <w:smallCaps w:val="0"/>
                <w:sz w:val="22"/>
                <w:szCs w:val="22"/>
              </w:rPr>
              <w:fldChar w:fldCharType="end"/>
            </w:r>
          </w:hyperlink>
        </w:p>
        <w:p w14:paraId="3C9B7180"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53" w:history="1">
            <w:r>
              <w:rPr>
                <w:rStyle w:val="ab"/>
                <w:rFonts w:ascii="Times New Roman"/>
                <w:i w:val="0"/>
                <w:iCs w:val="0"/>
                <w:sz w:val="22"/>
                <w:szCs w:val="22"/>
              </w:rPr>
              <w:t>4.1.1. Resource Allocation</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_Toc152370353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14</w:t>
            </w:r>
            <w:r>
              <w:rPr>
                <w:rFonts w:ascii="Times New Roman"/>
                <w:i w:val="0"/>
                <w:iCs w:val="0"/>
                <w:sz w:val="22"/>
                <w:szCs w:val="22"/>
              </w:rPr>
              <w:fldChar w:fldCharType="end"/>
            </w:r>
          </w:hyperlink>
        </w:p>
        <w:p w14:paraId="325E017C"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54" w:history="1">
            <w:r>
              <w:rPr>
                <w:rStyle w:val="ab"/>
                <w:rFonts w:ascii="Times New Roman"/>
                <w:i w:val="0"/>
                <w:iCs w:val="0"/>
                <w:sz w:val="22"/>
                <w:szCs w:val="22"/>
              </w:rPr>
              <w:t>4.1.2. Technical Capability</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_Toc152370354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14</w:t>
            </w:r>
            <w:r>
              <w:rPr>
                <w:rFonts w:ascii="Times New Roman"/>
                <w:i w:val="0"/>
                <w:iCs w:val="0"/>
                <w:sz w:val="22"/>
                <w:szCs w:val="22"/>
              </w:rPr>
              <w:fldChar w:fldCharType="end"/>
            </w:r>
          </w:hyperlink>
        </w:p>
        <w:p w14:paraId="5B6BBE8C"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55" w:history="1">
            <w:r>
              <w:rPr>
                <w:rStyle w:val="ab"/>
                <w:rFonts w:ascii="Times New Roman"/>
                <w:i w:val="0"/>
                <w:iCs w:val="0"/>
                <w:sz w:val="22"/>
                <w:szCs w:val="22"/>
              </w:rPr>
              <w:t>4.1.3. Understanding of the Market</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_Toc152370355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14</w:t>
            </w:r>
            <w:r>
              <w:rPr>
                <w:rFonts w:ascii="Times New Roman"/>
                <w:i w:val="0"/>
                <w:iCs w:val="0"/>
                <w:sz w:val="22"/>
                <w:szCs w:val="22"/>
              </w:rPr>
              <w:fldChar w:fldCharType="end"/>
            </w:r>
          </w:hyperlink>
        </w:p>
        <w:p w14:paraId="4F79EC28"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56" w:history="1">
            <w:r>
              <w:rPr>
                <w:rStyle w:val="ab"/>
                <w:rFonts w:ascii="Times New Roman"/>
                <w:smallCaps w:val="0"/>
                <w:sz w:val="22"/>
                <w:szCs w:val="22"/>
              </w:rPr>
              <w:t>4.2. Rationality</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_Toc152370356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15</w:t>
            </w:r>
            <w:r>
              <w:rPr>
                <w:rFonts w:ascii="Times New Roman"/>
                <w:smallCaps w:val="0"/>
                <w:sz w:val="22"/>
                <w:szCs w:val="22"/>
              </w:rPr>
              <w:fldChar w:fldCharType="end"/>
            </w:r>
          </w:hyperlink>
        </w:p>
        <w:p w14:paraId="13659892"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57" w:history="1">
            <w:r>
              <w:rPr>
                <w:rStyle w:val="ab"/>
                <w:rFonts w:ascii="Times New Roman"/>
                <w:i w:val="0"/>
                <w:iCs w:val="0"/>
                <w:sz w:val="22"/>
                <w:szCs w:val="22"/>
              </w:rPr>
              <w:t>4.2.1. Understanding Customer Needs</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_Toc152370357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15</w:t>
            </w:r>
            <w:r>
              <w:rPr>
                <w:rFonts w:ascii="Times New Roman"/>
                <w:i w:val="0"/>
                <w:iCs w:val="0"/>
                <w:sz w:val="22"/>
                <w:szCs w:val="22"/>
              </w:rPr>
              <w:fldChar w:fldCharType="end"/>
            </w:r>
          </w:hyperlink>
        </w:p>
        <w:p w14:paraId="3B9ACAF1"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58" w:history="1">
            <w:r>
              <w:rPr>
                <w:rStyle w:val="ab"/>
                <w:rFonts w:ascii="Times New Roman"/>
                <w:i w:val="0"/>
                <w:iCs w:val="0"/>
                <w:sz w:val="22"/>
                <w:szCs w:val="22"/>
              </w:rPr>
              <w:t>4.2.2. Control Over Product Quality</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_Toc152370358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15</w:t>
            </w:r>
            <w:r>
              <w:rPr>
                <w:rFonts w:ascii="Times New Roman"/>
                <w:i w:val="0"/>
                <w:iCs w:val="0"/>
                <w:sz w:val="22"/>
                <w:szCs w:val="22"/>
              </w:rPr>
              <w:fldChar w:fldCharType="end"/>
            </w:r>
          </w:hyperlink>
        </w:p>
        <w:p w14:paraId="3C685857"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59" w:history="1">
            <w:r>
              <w:rPr>
                <w:rStyle w:val="ab"/>
                <w:rFonts w:ascii="Times New Roman"/>
                <w:i w:val="0"/>
                <w:iCs w:val="0"/>
                <w:sz w:val="22"/>
                <w:szCs w:val="22"/>
              </w:rPr>
              <w:t>4.2.3. Emphasis on Customer Service</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_Toc152370359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16</w:t>
            </w:r>
            <w:r>
              <w:rPr>
                <w:rFonts w:ascii="Times New Roman"/>
                <w:i w:val="0"/>
                <w:iCs w:val="0"/>
                <w:sz w:val="22"/>
                <w:szCs w:val="22"/>
              </w:rPr>
              <w:fldChar w:fldCharType="end"/>
            </w:r>
          </w:hyperlink>
        </w:p>
        <w:p w14:paraId="0A11E4D0"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60" w:history="1">
            <w:r>
              <w:rPr>
                <w:rStyle w:val="ab"/>
                <w:rFonts w:ascii="Times New Roman"/>
                <w:smallCaps w:val="0"/>
                <w:sz w:val="22"/>
                <w:szCs w:val="22"/>
              </w:rPr>
              <w:t>4.3. Risks</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_Toc152370360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16</w:t>
            </w:r>
            <w:r>
              <w:rPr>
                <w:rFonts w:ascii="Times New Roman"/>
                <w:smallCaps w:val="0"/>
                <w:sz w:val="22"/>
                <w:szCs w:val="22"/>
              </w:rPr>
              <w:fldChar w:fldCharType="end"/>
            </w:r>
          </w:hyperlink>
        </w:p>
        <w:p w14:paraId="6B83C5EB"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61" w:history="1">
            <w:r>
              <w:rPr>
                <w:rStyle w:val="ab"/>
                <w:rFonts w:ascii="Times New Roman"/>
                <w:i w:val="0"/>
                <w:iCs w:val="0"/>
                <w:sz w:val="22"/>
                <w:szCs w:val="22"/>
              </w:rPr>
              <w:t>4.3.1. Brand Image Risk</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_Toc152370361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16</w:t>
            </w:r>
            <w:r>
              <w:rPr>
                <w:rFonts w:ascii="Times New Roman"/>
                <w:i w:val="0"/>
                <w:iCs w:val="0"/>
                <w:sz w:val="22"/>
                <w:szCs w:val="22"/>
              </w:rPr>
              <w:fldChar w:fldCharType="end"/>
            </w:r>
          </w:hyperlink>
        </w:p>
        <w:p w14:paraId="394CB7B7"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62" w:history="1">
            <w:r>
              <w:rPr>
                <w:rStyle w:val="ab"/>
                <w:rFonts w:ascii="Times New Roman"/>
                <w:i w:val="0"/>
                <w:iCs w:val="0"/>
                <w:sz w:val="22"/>
                <w:szCs w:val="22"/>
              </w:rPr>
              <w:t>4.3.2. Customer Service Risk</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_Toc152370362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16</w:t>
            </w:r>
            <w:r>
              <w:rPr>
                <w:rFonts w:ascii="Times New Roman"/>
                <w:i w:val="0"/>
                <w:iCs w:val="0"/>
                <w:sz w:val="22"/>
                <w:szCs w:val="22"/>
              </w:rPr>
              <w:fldChar w:fldCharType="end"/>
            </w:r>
          </w:hyperlink>
        </w:p>
        <w:p w14:paraId="4F30BE52"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63" w:history="1">
            <w:r>
              <w:rPr>
                <w:rStyle w:val="ab"/>
                <w:rFonts w:ascii="Times New Roman"/>
                <w:i w:val="0"/>
                <w:iCs w:val="0"/>
                <w:sz w:val="22"/>
                <w:szCs w:val="22"/>
              </w:rPr>
              <w:t>4.3.3. Product Quality Risk</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_Toc152370363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17</w:t>
            </w:r>
            <w:r>
              <w:rPr>
                <w:rFonts w:ascii="Times New Roman"/>
                <w:i w:val="0"/>
                <w:iCs w:val="0"/>
                <w:sz w:val="22"/>
                <w:szCs w:val="22"/>
              </w:rPr>
              <w:fldChar w:fldCharType="end"/>
            </w:r>
          </w:hyperlink>
        </w:p>
        <w:p w14:paraId="1C023DA3"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64" w:history="1">
            <w:r>
              <w:rPr>
                <w:rStyle w:val="ab"/>
                <w:rFonts w:ascii="Times New Roman"/>
                <w:i w:val="0"/>
                <w:iCs w:val="0"/>
                <w:sz w:val="22"/>
                <w:szCs w:val="22"/>
              </w:rPr>
              <w:t>4.3.4. Strategic Risk</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_Toc152370364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17</w:t>
            </w:r>
            <w:r>
              <w:rPr>
                <w:rFonts w:ascii="Times New Roman"/>
                <w:i w:val="0"/>
                <w:iCs w:val="0"/>
                <w:sz w:val="22"/>
                <w:szCs w:val="22"/>
              </w:rPr>
              <w:fldChar w:fldCharType="end"/>
            </w:r>
          </w:hyperlink>
        </w:p>
        <w:p w14:paraId="1D0354A2" w14:textId="77777777" w:rsidR="004D2DD9" w:rsidRDefault="00000000">
          <w:pPr>
            <w:pStyle w:val="TOC1"/>
            <w:tabs>
              <w:tab w:val="right" w:leader="dot" w:pos="8296"/>
            </w:tabs>
            <w:spacing w:line="360" w:lineRule="auto"/>
            <w:rPr>
              <w:rFonts w:ascii="Times New Roman" w:eastAsiaTheme="minorEastAsia"/>
              <w:b w:val="0"/>
              <w:bCs w:val="0"/>
              <w:caps w:val="0"/>
              <w:sz w:val="22"/>
              <w:szCs w:val="22"/>
            </w:rPr>
          </w:pPr>
          <w:hyperlink w:anchor="_Toc152370365" w:history="1">
            <w:r>
              <w:rPr>
                <w:rStyle w:val="ab"/>
                <w:rFonts w:ascii="Times New Roman"/>
                <w:caps w:val="0"/>
                <w:sz w:val="22"/>
                <w:szCs w:val="22"/>
              </w:rPr>
              <w:t>V. Strategy Implementation</w:t>
            </w:r>
            <w:r>
              <w:rPr>
                <w:rFonts w:ascii="Times New Roman"/>
                <w:caps w:val="0"/>
                <w:sz w:val="22"/>
                <w:szCs w:val="22"/>
              </w:rPr>
              <w:tab/>
            </w:r>
            <w:r>
              <w:rPr>
                <w:rFonts w:ascii="Times New Roman"/>
                <w:caps w:val="0"/>
                <w:sz w:val="22"/>
                <w:szCs w:val="22"/>
              </w:rPr>
              <w:fldChar w:fldCharType="begin"/>
            </w:r>
            <w:r>
              <w:rPr>
                <w:rFonts w:ascii="Times New Roman"/>
                <w:caps w:val="0"/>
                <w:sz w:val="22"/>
                <w:szCs w:val="22"/>
              </w:rPr>
              <w:instrText xml:space="preserve"> PAGEREF _Toc152370365 \h </w:instrText>
            </w:r>
            <w:r>
              <w:rPr>
                <w:rFonts w:ascii="Times New Roman"/>
                <w:caps w:val="0"/>
                <w:sz w:val="22"/>
                <w:szCs w:val="22"/>
              </w:rPr>
            </w:r>
            <w:r>
              <w:rPr>
                <w:rFonts w:ascii="Times New Roman"/>
                <w:caps w:val="0"/>
                <w:sz w:val="22"/>
                <w:szCs w:val="22"/>
              </w:rPr>
              <w:fldChar w:fldCharType="separate"/>
            </w:r>
            <w:r>
              <w:rPr>
                <w:rFonts w:ascii="Times New Roman"/>
                <w:caps w:val="0"/>
                <w:sz w:val="22"/>
                <w:szCs w:val="22"/>
              </w:rPr>
              <w:t>18</w:t>
            </w:r>
            <w:r>
              <w:rPr>
                <w:rFonts w:ascii="Times New Roman"/>
                <w:caps w:val="0"/>
                <w:sz w:val="22"/>
                <w:szCs w:val="22"/>
              </w:rPr>
              <w:fldChar w:fldCharType="end"/>
            </w:r>
          </w:hyperlink>
        </w:p>
        <w:p w14:paraId="23D28A18"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66" w:history="1">
            <w:r>
              <w:rPr>
                <w:rStyle w:val="ab"/>
                <w:rFonts w:ascii="Times New Roman"/>
                <w:smallCaps w:val="0"/>
                <w:sz w:val="22"/>
                <w:szCs w:val="22"/>
              </w:rPr>
              <w:t>5.1. Proposing a New Customer Care Strategy</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_Toc152370366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18</w:t>
            </w:r>
            <w:r>
              <w:rPr>
                <w:rFonts w:ascii="Times New Roman"/>
                <w:smallCaps w:val="0"/>
                <w:sz w:val="22"/>
                <w:szCs w:val="22"/>
              </w:rPr>
              <w:fldChar w:fldCharType="end"/>
            </w:r>
          </w:hyperlink>
        </w:p>
        <w:p w14:paraId="5F0879E2"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67" w:history="1">
            <w:r>
              <w:rPr>
                <w:rStyle w:val="ab"/>
                <w:rFonts w:ascii="Times New Roman"/>
                <w:i w:val="0"/>
                <w:iCs w:val="0"/>
                <w:sz w:val="22"/>
                <w:szCs w:val="22"/>
              </w:rPr>
              <w:t>5.1.1. Strengthen the Customer Service System</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_Toc152370367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18</w:t>
            </w:r>
            <w:r>
              <w:rPr>
                <w:rFonts w:ascii="Times New Roman"/>
                <w:i w:val="0"/>
                <w:iCs w:val="0"/>
                <w:sz w:val="22"/>
                <w:szCs w:val="22"/>
              </w:rPr>
              <w:fldChar w:fldCharType="end"/>
            </w:r>
          </w:hyperlink>
        </w:p>
        <w:p w14:paraId="6338B1A9"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68" w:history="1">
            <w:r>
              <w:rPr>
                <w:rStyle w:val="ab"/>
                <w:rFonts w:ascii="Times New Roman"/>
                <w:i w:val="0"/>
                <w:iCs w:val="0"/>
                <w:sz w:val="22"/>
                <w:szCs w:val="22"/>
              </w:rPr>
              <w:t>5.1.2. Enhance Communication with Users</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_Toc152370368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18</w:t>
            </w:r>
            <w:r>
              <w:rPr>
                <w:rFonts w:ascii="Times New Roman"/>
                <w:i w:val="0"/>
                <w:iCs w:val="0"/>
                <w:sz w:val="22"/>
                <w:szCs w:val="22"/>
              </w:rPr>
              <w:fldChar w:fldCharType="end"/>
            </w:r>
          </w:hyperlink>
        </w:p>
        <w:p w14:paraId="11048314"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69" w:history="1">
            <w:r>
              <w:rPr>
                <w:rStyle w:val="ab"/>
                <w:rFonts w:ascii="Times New Roman"/>
                <w:i w:val="0"/>
                <w:iCs w:val="0"/>
                <w:sz w:val="22"/>
                <w:szCs w:val="22"/>
              </w:rPr>
              <w:t>5.1.3. Improve Product Quality and User Experience</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_Toc152370369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18</w:t>
            </w:r>
            <w:r>
              <w:rPr>
                <w:rFonts w:ascii="Times New Roman"/>
                <w:i w:val="0"/>
                <w:iCs w:val="0"/>
                <w:sz w:val="22"/>
                <w:szCs w:val="22"/>
              </w:rPr>
              <w:fldChar w:fldCharType="end"/>
            </w:r>
          </w:hyperlink>
        </w:p>
        <w:p w14:paraId="75255235"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70" w:history="1">
            <w:r>
              <w:rPr>
                <w:rStyle w:val="ab"/>
                <w:rFonts w:ascii="Times New Roman"/>
                <w:i w:val="0"/>
                <w:iCs w:val="0"/>
                <w:sz w:val="22"/>
                <w:szCs w:val="22"/>
              </w:rPr>
              <w:t>5.1.4. Strengthen Brand Image Building</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_Toc152370370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18</w:t>
            </w:r>
            <w:r>
              <w:rPr>
                <w:rFonts w:ascii="Times New Roman"/>
                <w:i w:val="0"/>
                <w:iCs w:val="0"/>
                <w:sz w:val="22"/>
                <w:szCs w:val="22"/>
              </w:rPr>
              <w:fldChar w:fldCharType="end"/>
            </w:r>
          </w:hyperlink>
        </w:p>
        <w:p w14:paraId="33CFA115"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71" w:history="1">
            <w:r>
              <w:rPr>
                <w:rStyle w:val="ab"/>
                <w:rFonts w:ascii="Times New Roman"/>
                <w:smallCaps w:val="0"/>
                <w:sz w:val="22"/>
                <w:szCs w:val="22"/>
              </w:rPr>
              <w:t>5.2. Impact on Different Company Departments</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_Toc152370371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19</w:t>
            </w:r>
            <w:r>
              <w:rPr>
                <w:rFonts w:ascii="Times New Roman"/>
                <w:smallCaps w:val="0"/>
                <w:sz w:val="22"/>
                <w:szCs w:val="22"/>
              </w:rPr>
              <w:fldChar w:fldCharType="end"/>
            </w:r>
          </w:hyperlink>
        </w:p>
        <w:p w14:paraId="3F6376C6"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72" w:history="1">
            <w:r>
              <w:rPr>
                <w:rStyle w:val="ab"/>
                <w:rFonts w:ascii="Times New Roman"/>
                <w:i w:val="0"/>
                <w:iCs w:val="0"/>
                <w:sz w:val="22"/>
                <w:szCs w:val="22"/>
              </w:rPr>
              <w:t>5.2.1. Customer Service Department</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_Toc152370372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19</w:t>
            </w:r>
            <w:r>
              <w:rPr>
                <w:rFonts w:ascii="Times New Roman"/>
                <w:i w:val="0"/>
                <w:iCs w:val="0"/>
                <w:sz w:val="22"/>
                <w:szCs w:val="22"/>
              </w:rPr>
              <w:fldChar w:fldCharType="end"/>
            </w:r>
          </w:hyperlink>
        </w:p>
        <w:p w14:paraId="65D06318"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73" w:history="1">
            <w:r>
              <w:rPr>
                <w:rStyle w:val="ab"/>
                <w:rFonts w:ascii="Times New Roman"/>
                <w:i w:val="0"/>
                <w:iCs w:val="0"/>
                <w:sz w:val="22"/>
                <w:szCs w:val="22"/>
              </w:rPr>
              <w:t>5.2.2. Development Department</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_Toc152370373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19</w:t>
            </w:r>
            <w:r>
              <w:rPr>
                <w:rFonts w:ascii="Times New Roman"/>
                <w:i w:val="0"/>
                <w:iCs w:val="0"/>
                <w:sz w:val="22"/>
                <w:szCs w:val="22"/>
              </w:rPr>
              <w:fldChar w:fldCharType="end"/>
            </w:r>
          </w:hyperlink>
        </w:p>
        <w:p w14:paraId="06766F68"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74" w:history="1">
            <w:r>
              <w:rPr>
                <w:rStyle w:val="ab"/>
                <w:rFonts w:ascii="Times New Roman"/>
                <w:i w:val="0"/>
                <w:iCs w:val="0"/>
                <w:sz w:val="22"/>
                <w:szCs w:val="22"/>
              </w:rPr>
              <w:t>5.2.3. Marketing Department</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_Toc152370374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19</w:t>
            </w:r>
            <w:r>
              <w:rPr>
                <w:rFonts w:ascii="Times New Roman"/>
                <w:i w:val="0"/>
                <w:iCs w:val="0"/>
                <w:sz w:val="22"/>
                <w:szCs w:val="22"/>
              </w:rPr>
              <w:fldChar w:fldCharType="end"/>
            </w:r>
          </w:hyperlink>
        </w:p>
        <w:p w14:paraId="089C9A8A"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75" w:history="1">
            <w:r>
              <w:rPr>
                <w:rStyle w:val="ab"/>
                <w:rFonts w:ascii="Times New Roman"/>
                <w:i w:val="0"/>
                <w:iCs w:val="0"/>
                <w:sz w:val="22"/>
                <w:szCs w:val="22"/>
              </w:rPr>
              <w:t>5.2.4. Decision-making Department</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_Toc152370375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20</w:t>
            </w:r>
            <w:r>
              <w:rPr>
                <w:rFonts w:ascii="Times New Roman"/>
                <w:i w:val="0"/>
                <w:iCs w:val="0"/>
                <w:sz w:val="22"/>
                <w:szCs w:val="22"/>
              </w:rPr>
              <w:fldChar w:fldCharType="end"/>
            </w:r>
          </w:hyperlink>
        </w:p>
        <w:p w14:paraId="7AE1449F" w14:textId="77777777" w:rsidR="004D2DD9" w:rsidRDefault="00000000">
          <w:pPr>
            <w:pStyle w:val="TOC2"/>
            <w:tabs>
              <w:tab w:val="right" w:leader="dot" w:pos="8296"/>
            </w:tabs>
            <w:spacing w:line="360" w:lineRule="auto"/>
            <w:rPr>
              <w:rFonts w:ascii="Times New Roman" w:eastAsiaTheme="minorEastAsia"/>
              <w:smallCaps w:val="0"/>
              <w:sz w:val="22"/>
              <w:szCs w:val="22"/>
            </w:rPr>
          </w:pPr>
          <w:hyperlink w:anchor="_Toc152370376" w:history="1">
            <w:r>
              <w:rPr>
                <w:rStyle w:val="ab"/>
                <w:rFonts w:ascii="Times New Roman"/>
                <w:smallCaps w:val="0"/>
                <w:sz w:val="22"/>
                <w:szCs w:val="22"/>
              </w:rPr>
              <w:t>5.3. Long-term and Short-term Strategic Plans</w:t>
            </w:r>
            <w:r>
              <w:rPr>
                <w:rFonts w:ascii="Times New Roman"/>
                <w:smallCaps w:val="0"/>
                <w:sz w:val="22"/>
                <w:szCs w:val="22"/>
              </w:rPr>
              <w:tab/>
            </w:r>
            <w:r>
              <w:rPr>
                <w:rFonts w:ascii="Times New Roman"/>
                <w:smallCaps w:val="0"/>
                <w:sz w:val="22"/>
                <w:szCs w:val="22"/>
              </w:rPr>
              <w:fldChar w:fldCharType="begin"/>
            </w:r>
            <w:r>
              <w:rPr>
                <w:rFonts w:ascii="Times New Roman"/>
                <w:smallCaps w:val="0"/>
                <w:sz w:val="22"/>
                <w:szCs w:val="22"/>
              </w:rPr>
              <w:instrText xml:space="preserve"> PAGEREF _Toc152370376 \h </w:instrText>
            </w:r>
            <w:r>
              <w:rPr>
                <w:rFonts w:ascii="Times New Roman"/>
                <w:smallCaps w:val="0"/>
                <w:sz w:val="22"/>
                <w:szCs w:val="22"/>
              </w:rPr>
            </w:r>
            <w:r>
              <w:rPr>
                <w:rFonts w:ascii="Times New Roman"/>
                <w:smallCaps w:val="0"/>
                <w:sz w:val="22"/>
                <w:szCs w:val="22"/>
              </w:rPr>
              <w:fldChar w:fldCharType="separate"/>
            </w:r>
            <w:r>
              <w:rPr>
                <w:rFonts w:ascii="Times New Roman"/>
                <w:smallCaps w:val="0"/>
                <w:sz w:val="22"/>
                <w:szCs w:val="22"/>
              </w:rPr>
              <w:t>20</w:t>
            </w:r>
            <w:r>
              <w:rPr>
                <w:rFonts w:ascii="Times New Roman"/>
                <w:smallCaps w:val="0"/>
                <w:sz w:val="22"/>
                <w:szCs w:val="22"/>
              </w:rPr>
              <w:fldChar w:fldCharType="end"/>
            </w:r>
          </w:hyperlink>
        </w:p>
        <w:p w14:paraId="2F127336"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77" w:history="1">
            <w:r>
              <w:rPr>
                <w:rStyle w:val="ab"/>
                <w:rFonts w:ascii="Times New Roman"/>
                <w:i w:val="0"/>
                <w:iCs w:val="0"/>
                <w:sz w:val="22"/>
                <w:szCs w:val="22"/>
              </w:rPr>
              <w:t>5.3.1. Short-term Strategic Plan</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_Toc152370377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20</w:t>
            </w:r>
            <w:r>
              <w:rPr>
                <w:rFonts w:ascii="Times New Roman"/>
                <w:i w:val="0"/>
                <w:iCs w:val="0"/>
                <w:sz w:val="22"/>
                <w:szCs w:val="22"/>
              </w:rPr>
              <w:fldChar w:fldCharType="end"/>
            </w:r>
          </w:hyperlink>
        </w:p>
        <w:p w14:paraId="71DAA45F" w14:textId="77777777" w:rsidR="004D2DD9" w:rsidRDefault="00000000">
          <w:pPr>
            <w:pStyle w:val="TOC3"/>
            <w:tabs>
              <w:tab w:val="right" w:leader="dot" w:pos="8296"/>
            </w:tabs>
            <w:spacing w:line="360" w:lineRule="auto"/>
            <w:rPr>
              <w:rFonts w:ascii="Times New Roman" w:eastAsiaTheme="minorEastAsia"/>
              <w:i w:val="0"/>
              <w:iCs w:val="0"/>
              <w:sz w:val="22"/>
              <w:szCs w:val="22"/>
            </w:rPr>
          </w:pPr>
          <w:hyperlink w:anchor="_Toc152370378" w:history="1">
            <w:r>
              <w:rPr>
                <w:rStyle w:val="ab"/>
                <w:rFonts w:ascii="Times New Roman"/>
                <w:i w:val="0"/>
                <w:iCs w:val="0"/>
                <w:sz w:val="22"/>
                <w:szCs w:val="22"/>
              </w:rPr>
              <w:t>5.3.2. Long-term Strategic Plan</w:t>
            </w:r>
            <w:r>
              <w:rPr>
                <w:rFonts w:ascii="Times New Roman"/>
                <w:i w:val="0"/>
                <w:iCs w:val="0"/>
                <w:sz w:val="22"/>
                <w:szCs w:val="22"/>
              </w:rPr>
              <w:tab/>
            </w:r>
            <w:r>
              <w:rPr>
                <w:rFonts w:ascii="Times New Roman"/>
                <w:i w:val="0"/>
                <w:iCs w:val="0"/>
                <w:sz w:val="22"/>
                <w:szCs w:val="22"/>
              </w:rPr>
              <w:fldChar w:fldCharType="begin"/>
            </w:r>
            <w:r>
              <w:rPr>
                <w:rFonts w:ascii="Times New Roman"/>
                <w:i w:val="0"/>
                <w:iCs w:val="0"/>
                <w:sz w:val="22"/>
                <w:szCs w:val="22"/>
              </w:rPr>
              <w:instrText xml:space="preserve"> PAGEREF _Toc152370378 \h </w:instrText>
            </w:r>
            <w:r>
              <w:rPr>
                <w:rFonts w:ascii="Times New Roman"/>
                <w:i w:val="0"/>
                <w:iCs w:val="0"/>
                <w:sz w:val="22"/>
                <w:szCs w:val="22"/>
              </w:rPr>
            </w:r>
            <w:r>
              <w:rPr>
                <w:rFonts w:ascii="Times New Roman"/>
                <w:i w:val="0"/>
                <w:iCs w:val="0"/>
                <w:sz w:val="22"/>
                <w:szCs w:val="22"/>
              </w:rPr>
              <w:fldChar w:fldCharType="separate"/>
            </w:r>
            <w:r>
              <w:rPr>
                <w:rFonts w:ascii="Times New Roman"/>
                <w:i w:val="0"/>
                <w:iCs w:val="0"/>
                <w:sz w:val="22"/>
                <w:szCs w:val="22"/>
              </w:rPr>
              <w:t>20</w:t>
            </w:r>
            <w:r>
              <w:rPr>
                <w:rFonts w:ascii="Times New Roman"/>
                <w:i w:val="0"/>
                <w:iCs w:val="0"/>
                <w:sz w:val="22"/>
                <w:szCs w:val="22"/>
              </w:rPr>
              <w:fldChar w:fldCharType="end"/>
            </w:r>
          </w:hyperlink>
        </w:p>
        <w:p w14:paraId="6BE0D4D5" w14:textId="77777777" w:rsidR="004D2DD9" w:rsidRDefault="00000000">
          <w:pPr>
            <w:pStyle w:val="TOC1"/>
            <w:tabs>
              <w:tab w:val="right" w:leader="dot" w:pos="8296"/>
            </w:tabs>
            <w:spacing w:line="360" w:lineRule="auto"/>
            <w:rPr>
              <w:rFonts w:ascii="Times New Roman" w:eastAsiaTheme="minorEastAsia"/>
              <w:b w:val="0"/>
              <w:bCs w:val="0"/>
              <w:caps w:val="0"/>
              <w:sz w:val="22"/>
              <w:szCs w:val="22"/>
            </w:rPr>
          </w:pPr>
          <w:hyperlink w:anchor="_Toc152370379" w:history="1">
            <w:r>
              <w:rPr>
                <w:rStyle w:val="ab"/>
                <w:rFonts w:ascii="Times New Roman"/>
                <w:caps w:val="0"/>
                <w:sz w:val="22"/>
                <w:szCs w:val="22"/>
              </w:rPr>
              <w:t>VI. Conclusion</w:t>
            </w:r>
            <w:r>
              <w:rPr>
                <w:rFonts w:ascii="Times New Roman"/>
                <w:caps w:val="0"/>
                <w:sz w:val="22"/>
                <w:szCs w:val="22"/>
              </w:rPr>
              <w:tab/>
            </w:r>
            <w:r>
              <w:rPr>
                <w:rFonts w:ascii="Times New Roman"/>
                <w:caps w:val="0"/>
                <w:sz w:val="22"/>
                <w:szCs w:val="22"/>
              </w:rPr>
              <w:fldChar w:fldCharType="begin"/>
            </w:r>
            <w:r>
              <w:rPr>
                <w:rFonts w:ascii="Times New Roman"/>
                <w:caps w:val="0"/>
                <w:sz w:val="22"/>
                <w:szCs w:val="22"/>
              </w:rPr>
              <w:instrText xml:space="preserve"> PAGEREF _Toc152370379 \h </w:instrText>
            </w:r>
            <w:r>
              <w:rPr>
                <w:rFonts w:ascii="Times New Roman"/>
                <w:caps w:val="0"/>
                <w:sz w:val="22"/>
                <w:szCs w:val="22"/>
              </w:rPr>
            </w:r>
            <w:r>
              <w:rPr>
                <w:rFonts w:ascii="Times New Roman"/>
                <w:caps w:val="0"/>
                <w:sz w:val="22"/>
                <w:szCs w:val="22"/>
              </w:rPr>
              <w:fldChar w:fldCharType="separate"/>
            </w:r>
            <w:r>
              <w:rPr>
                <w:rFonts w:ascii="Times New Roman"/>
                <w:caps w:val="0"/>
                <w:sz w:val="22"/>
                <w:szCs w:val="22"/>
              </w:rPr>
              <w:t>22</w:t>
            </w:r>
            <w:r>
              <w:rPr>
                <w:rFonts w:ascii="Times New Roman"/>
                <w:caps w:val="0"/>
                <w:sz w:val="22"/>
                <w:szCs w:val="22"/>
              </w:rPr>
              <w:fldChar w:fldCharType="end"/>
            </w:r>
          </w:hyperlink>
        </w:p>
        <w:p w14:paraId="2B51E731" w14:textId="77777777" w:rsidR="004D2DD9" w:rsidRDefault="00000000">
          <w:pPr>
            <w:pStyle w:val="TOC1"/>
            <w:tabs>
              <w:tab w:val="right" w:leader="dot" w:pos="8296"/>
            </w:tabs>
            <w:spacing w:line="360" w:lineRule="auto"/>
            <w:rPr>
              <w:rFonts w:ascii="Times New Roman" w:eastAsiaTheme="minorEastAsia"/>
              <w:b w:val="0"/>
              <w:bCs w:val="0"/>
              <w:caps w:val="0"/>
              <w:sz w:val="22"/>
              <w:szCs w:val="22"/>
            </w:rPr>
          </w:pPr>
          <w:hyperlink w:anchor="_Toc152370380" w:history="1">
            <w:r>
              <w:rPr>
                <w:rStyle w:val="ab"/>
                <w:rFonts w:ascii="Times New Roman"/>
                <w:caps w:val="0"/>
                <w:sz w:val="22"/>
                <w:szCs w:val="22"/>
              </w:rPr>
              <w:t>References</w:t>
            </w:r>
            <w:r>
              <w:rPr>
                <w:rFonts w:ascii="Times New Roman"/>
                <w:caps w:val="0"/>
                <w:sz w:val="22"/>
                <w:szCs w:val="22"/>
              </w:rPr>
              <w:tab/>
            </w:r>
            <w:r>
              <w:rPr>
                <w:rFonts w:ascii="Times New Roman"/>
                <w:caps w:val="0"/>
                <w:sz w:val="22"/>
                <w:szCs w:val="22"/>
              </w:rPr>
              <w:fldChar w:fldCharType="begin"/>
            </w:r>
            <w:r>
              <w:rPr>
                <w:rFonts w:ascii="Times New Roman"/>
                <w:caps w:val="0"/>
                <w:sz w:val="22"/>
                <w:szCs w:val="22"/>
              </w:rPr>
              <w:instrText xml:space="preserve"> PAGEREF _Toc152370380 \h </w:instrText>
            </w:r>
            <w:r>
              <w:rPr>
                <w:rFonts w:ascii="Times New Roman"/>
                <w:caps w:val="0"/>
                <w:sz w:val="22"/>
                <w:szCs w:val="22"/>
              </w:rPr>
            </w:r>
            <w:r>
              <w:rPr>
                <w:rFonts w:ascii="Times New Roman"/>
                <w:caps w:val="0"/>
                <w:sz w:val="22"/>
                <w:szCs w:val="22"/>
              </w:rPr>
              <w:fldChar w:fldCharType="separate"/>
            </w:r>
            <w:r>
              <w:rPr>
                <w:rFonts w:ascii="Times New Roman"/>
                <w:caps w:val="0"/>
                <w:sz w:val="22"/>
                <w:szCs w:val="22"/>
              </w:rPr>
              <w:t>23</w:t>
            </w:r>
            <w:r>
              <w:rPr>
                <w:rFonts w:ascii="Times New Roman"/>
                <w:caps w:val="0"/>
                <w:sz w:val="22"/>
                <w:szCs w:val="22"/>
              </w:rPr>
              <w:fldChar w:fldCharType="end"/>
            </w:r>
          </w:hyperlink>
        </w:p>
        <w:p w14:paraId="001F075D" w14:textId="77777777" w:rsidR="004D2DD9" w:rsidRDefault="00000000">
          <w:pPr>
            <w:pStyle w:val="TOC1"/>
            <w:tabs>
              <w:tab w:val="right" w:leader="dot" w:pos="8296"/>
            </w:tabs>
            <w:spacing w:line="360" w:lineRule="auto"/>
            <w:rPr>
              <w:rFonts w:ascii="Times New Roman" w:eastAsiaTheme="minorEastAsia"/>
              <w:b w:val="0"/>
              <w:bCs w:val="0"/>
              <w:caps w:val="0"/>
              <w:sz w:val="22"/>
              <w:szCs w:val="22"/>
            </w:rPr>
          </w:pPr>
          <w:hyperlink w:anchor="_Toc152370381" w:history="1">
            <w:r>
              <w:rPr>
                <w:rStyle w:val="ab"/>
                <w:rFonts w:ascii="Times New Roman"/>
                <w:caps w:val="0"/>
                <w:sz w:val="22"/>
                <w:szCs w:val="22"/>
              </w:rPr>
              <w:t>Appendix</w:t>
            </w:r>
            <w:r>
              <w:rPr>
                <w:rFonts w:ascii="Times New Roman"/>
                <w:caps w:val="0"/>
                <w:sz w:val="22"/>
                <w:szCs w:val="22"/>
              </w:rPr>
              <w:tab/>
            </w:r>
            <w:r>
              <w:rPr>
                <w:rFonts w:ascii="Times New Roman"/>
                <w:caps w:val="0"/>
                <w:sz w:val="22"/>
                <w:szCs w:val="22"/>
              </w:rPr>
              <w:fldChar w:fldCharType="begin"/>
            </w:r>
            <w:r>
              <w:rPr>
                <w:rFonts w:ascii="Times New Roman"/>
                <w:caps w:val="0"/>
                <w:sz w:val="22"/>
                <w:szCs w:val="22"/>
              </w:rPr>
              <w:instrText xml:space="preserve"> PAGEREF _Toc152370381 \h </w:instrText>
            </w:r>
            <w:r>
              <w:rPr>
                <w:rFonts w:ascii="Times New Roman"/>
                <w:caps w:val="0"/>
                <w:sz w:val="22"/>
                <w:szCs w:val="22"/>
              </w:rPr>
            </w:r>
            <w:r>
              <w:rPr>
                <w:rFonts w:ascii="Times New Roman"/>
                <w:caps w:val="0"/>
                <w:sz w:val="22"/>
                <w:szCs w:val="22"/>
              </w:rPr>
              <w:fldChar w:fldCharType="separate"/>
            </w:r>
            <w:r>
              <w:rPr>
                <w:rFonts w:ascii="Times New Roman"/>
                <w:caps w:val="0"/>
                <w:sz w:val="22"/>
                <w:szCs w:val="22"/>
              </w:rPr>
              <w:t>29</w:t>
            </w:r>
            <w:r>
              <w:rPr>
                <w:rFonts w:ascii="Times New Roman"/>
                <w:caps w:val="0"/>
                <w:sz w:val="22"/>
                <w:szCs w:val="22"/>
              </w:rPr>
              <w:fldChar w:fldCharType="end"/>
            </w:r>
          </w:hyperlink>
        </w:p>
        <w:p w14:paraId="416A35FB" w14:textId="77777777" w:rsidR="004D2DD9" w:rsidRDefault="00000000">
          <w:pPr>
            <w:spacing w:line="360" w:lineRule="auto"/>
            <w:ind w:firstLine="0"/>
            <w:rPr>
              <w:sz w:val="22"/>
              <w:szCs w:val="22"/>
            </w:rPr>
          </w:pPr>
          <w:r>
            <w:rPr>
              <w:rFonts w:eastAsiaTheme="minorHAnsi"/>
              <w:sz w:val="22"/>
              <w:szCs w:val="22"/>
            </w:rPr>
            <w:fldChar w:fldCharType="end"/>
          </w:r>
        </w:p>
      </w:sdtContent>
    </w:sdt>
    <w:p w14:paraId="22A5A4B2" w14:textId="77777777" w:rsidR="004D2DD9" w:rsidRDefault="004D2DD9">
      <w:pPr>
        <w:spacing w:line="480" w:lineRule="auto"/>
        <w:sectPr w:rsidR="004D2DD9">
          <w:footerReference w:type="default" r:id="rId10"/>
          <w:pgSz w:w="11906" w:h="16838"/>
          <w:pgMar w:top="1440" w:right="1800" w:bottom="1440" w:left="1800" w:header="851" w:footer="992" w:gutter="0"/>
          <w:pgNumType w:start="1"/>
          <w:cols w:space="425"/>
          <w:titlePg/>
          <w:docGrid w:type="lines" w:linePitch="312"/>
        </w:sectPr>
      </w:pPr>
    </w:p>
    <w:p w14:paraId="47ABFF9B" w14:textId="77777777" w:rsidR="004D2DD9" w:rsidRDefault="00000000">
      <w:pPr>
        <w:pStyle w:val="1"/>
        <w:spacing w:line="360" w:lineRule="auto"/>
      </w:pPr>
      <w:bookmarkStart w:id="1" w:name="_Toc152370333"/>
      <w:r>
        <w:lastRenderedPageBreak/>
        <w:t>I. Preface</w:t>
      </w:r>
      <w:bookmarkEnd w:id="1"/>
    </w:p>
    <w:p w14:paraId="2C79A6F7" w14:textId="77777777" w:rsidR="004D2DD9" w:rsidRDefault="00000000">
      <w:pPr>
        <w:pStyle w:val="2"/>
        <w:spacing w:line="360" w:lineRule="auto"/>
      </w:pPr>
      <w:bookmarkStart w:id="2" w:name="_Toc152370334"/>
      <w:r>
        <w:t>1.1. A Brief Overview of Konami Corporation</w:t>
      </w:r>
      <w:bookmarkEnd w:id="2"/>
    </w:p>
    <w:p w14:paraId="52071A69" w14:textId="77777777" w:rsidR="004D2DD9" w:rsidRDefault="00000000">
      <w:pPr>
        <w:spacing w:beforeLines="100" w:before="312" w:afterLines="100" w:after="312" w:line="360" w:lineRule="auto"/>
        <w:ind w:firstLine="0"/>
        <w:rPr>
          <w:sz w:val="22"/>
          <w:szCs w:val="22"/>
        </w:rPr>
      </w:pPr>
      <w:r>
        <w:rPr>
          <w:sz w:val="22"/>
          <w:szCs w:val="22"/>
        </w:rPr>
        <w:t>Konami Corporation is a globally influential force in the gaming software industry, committed since its inception in 1969 to providing users with innovative and engaging gaming experiences. Konami's business pivots on three main pillars: Digital Entertainment, Gaming and Systems, and Fitness and Sporting Equipment(Luthfie &amp; Khristianto, 2019).</w:t>
      </w:r>
    </w:p>
    <w:p w14:paraId="758D0F53" w14:textId="77777777" w:rsidR="004D2DD9" w:rsidRDefault="00000000">
      <w:pPr>
        <w:spacing w:beforeLines="100" w:before="312" w:afterLines="100" w:after="312" w:line="360" w:lineRule="auto"/>
        <w:ind w:firstLine="0"/>
        <w:rPr>
          <w:sz w:val="22"/>
          <w:szCs w:val="22"/>
        </w:rPr>
      </w:pPr>
      <w:r>
        <w:rPr>
          <w:sz w:val="22"/>
          <w:szCs w:val="22"/>
        </w:rPr>
        <w:t>In the realm of digital entertainment, Konami develops and markets games across various platforms, including mobile, PC, and console games. The portfolio boasts numerous renowned series such as Pro Evolution Soccer, Castlevania, and Metal Gear, all having a substantial following worldwide and forming a core part of Konami's business. In the Gaming and Systems sector, Konami develops and sells various gaming machines and systems(Lukfianka et al., 2017). Moreover, Konami is one of the world's leading producers of card games, including popular titles like "Yu-Gi-Oh!"( Daynasti &amp; Linuwih, 2021).</w:t>
      </w:r>
    </w:p>
    <w:p w14:paraId="3F91D38C" w14:textId="77777777" w:rsidR="004D2DD9" w:rsidRDefault="00000000">
      <w:pPr>
        <w:pStyle w:val="2"/>
        <w:spacing w:line="360" w:lineRule="auto"/>
      </w:pPr>
      <w:bookmarkStart w:id="3" w:name="_Toc152370335"/>
      <w:r>
        <w:t>1.2. The Purpose and Goals of the Project</w:t>
      </w:r>
      <w:bookmarkEnd w:id="3"/>
    </w:p>
    <w:p w14:paraId="586D6704" w14:textId="77777777" w:rsidR="004D2DD9" w:rsidRDefault="00000000">
      <w:pPr>
        <w:spacing w:beforeLines="100" w:before="312" w:afterLines="100" w:after="312" w:line="360" w:lineRule="auto"/>
        <w:ind w:firstLine="0"/>
        <w:rPr>
          <w:sz w:val="22"/>
          <w:szCs w:val="22"/>
        </w:rPr>
      </w:pPr>
      <w:r>
        <w:rPr>
          <w:sz w:val="22"/>
          <w:szCs w:val="22"/>
        </w:rPr>
        <w:t>In the face of the vast transformative tide sweeping across business operations globally, significantly catalyzed by the COVID-19 pandemic, organizations of all magnitudes are burdened with pressing challenges and a compelling need to adapt(Bennett &amp;</w:t>
      </w:r>
      <w:r>
        <w:rPr>
          <w:rFonts w:hint="eastAsia"/>
          <w:sz w:val="22"/>
          <w:szCs w:val="22"/>
        </w:rPr>
        <w:t xml:space="preserve"> </w:t>
      </w:r>
      <w:r>
        <w:rPr>
          <w:sz w:val="22"/>
          <w:szCs w:val="22"/>
        </w:rPr>
        <w:t>McWhorter, 2021). Given this landscape, the quintessence of this project is to devise a strategy adept at negotiating these upheavals. It aspires to pave a new way forward for organizations, foster innovative customer service, and secure enduring resilience and competitive edge for the future.</w:t>
      </w:r>
    </w:p>
    <w:p w14:paraId="7815F764" w14:textId="77777777" w:rsidR="004D2DD9" w:rsidRDefault="00000000">
      <w:pPr>
        <w:spacing w:beforeLines="100" w:before="312" w:afterLines="100" w:after="312" w:line="360" w:lineRule="auto"/>
        <w:ind w:firstLine="0"/>
        <w:rPr>
          <w:sz w:val="22"/>
          <w:szCs w:val="22"/>
        </w:rPr>
      </w:pPr>
      <w:r>
        <w:rPr>
          <w:sz w:val="22"/>
          <w:szCs w:val="22"/>
        </w:rPr>
        <w:t xml:space="preserve">In crafting this strategy, we shall scrutinize Konami comprehensively and profoundly, evaluating its internal and external environment, critically assessing its current strategies, and exploring avenues to foster a more personalized customer experience. This report will provide a comprehensive and profound analysis of Konami, aiming to refine Konami strategic direction </w:t>
      </w:r>
      <w:r>
        <w:rPr>
          <w:sz w:val="22"/>
          <w:szCs w:val="22"/>
        </w:rPr>
        <w:lastRenderedPageBreak/>
        <w:t>and operational approach. It will serve as a cornerstone for Konami decision-making processes, ensuring that Konami are well-equipped to navigate the challenges of this era and to lead the way for others in the industry.</w:t>
      </w:r>
    </w:p>
    <w:p w14:paraId="7DC0A997" w14:textId="77777777" w:rsidR="004D2DD9" w:rsidRDefault="004D2DD9">
      <w:pPr>
        <w:spacing w:beforeLines="100" w:before="312" w:afterLines="100" w:after="312" w:line="360" w:lineRule="auto"/>
        <w:ind w:firstLine="0"/>
      </w:pPr>
    </w:p>
    <w:p w14:paraId="63370635" w14:textId="77777777" w:rsidR="004D2DD9" w:rsidRDefault="00000000">
      <w:pPr>
        <w:widowControl/>
        <w:spacing w:line="360" w:lineRule="auto"/>
        <w:ind w:firstLine="0"/>
        <w:jc w:val="left"/>
      </w:pPr>
      <w:r>
        <w:br w:type="page"/>
      </w:r>
    </w:p>
    <w:p w14:paraId="50F5FEF0" w14:textId="77777777" w:rsidR="004D2DD9" w:rsidRDefault="00000000">
      <w:pPr>
        <w:pStyle w:val="1"/>
        <w:spacing w:line="360" w:lineRule="auto"/>
      </w:pPr>
      <w:bookmarkStart w:id="4" w:name="_Toc152370336"/>
      <w:r>
        <w:lastRenderedPageBreak/>
        <w:t>II. External Analysis</w:t>
      </w:r>
      <w:bookmarkEnd w:id="4"/>
    </w:p>
    <w:p w14:paraId="0842154F" w14:textId="77777777" w:rsidR="004D2DD9" w:rsidRDefault="00000000">
      <w:pPr>
        <w:pStyle w:val="2"/>
        <w:spacing w:line="360" w:lineRule="auto"/>
      </w:pPr>
      <w:bookmarkStart w:id="5" w:name="_Toc152370337"/>
      <w:r>
        <w:t>2.1. PEST Analysis</w:t>
      </w:r>
      <w:bookmarkEnd w:id="5"/>
    </w:p>
    <w:p w14:paraId="6A381C30" w14:textId="77777777" w:rsidR="004D2DD9" w:rsidRDefault="00000000">
      <w:pPr>
        <w:pStyle w:val="3"/>
        <w:spacing w:line="360" w:lineRule="auto"/>
      </w:pPr>
      <w:bookmarkStart w:id="6" w:name="_Toc152370338"/>
      <w:r>
        <w:t>2.1.1. Political Factors</w:t>
      </w:r>
      <w:bookmarkEnd w:id="6"/>
    </w:p>
    <w:p w14:paraId="059E48E3" w14:textId="77777777" w:rsidR="004D2DD9" w:rsidRDefault="00000000">
      <w:pPr>
        <w:spacing w:beforeLines="100" w:before="312" w:afterLines="100" w:after="312" w:line="360" w:lineRule="auto"/>
        <w:ind w:firstLine="0"/>
        <w:rPr>
          <w:sz w:val="22"/>
          <w:szCs w:val="22"/>
        </w:rPr>
      </w:pPr>
      <w:r>
        <w:rPr>
          <w:sz w:val="22"/>
          <w:szCs w:val="22"/>
        </w:rPr>
        <w:t>Political factors have a profound impact on company operations and strategy formulation. Government policies, regulations, and international trade agreements can influence market entry, competitiveness, and profitability of a company (Lin &amp; Zegart, 2018).</w:t>
      </w:r>
    </w:p>
    <w:p w14:paraId="245EF213" w14:textId="77777777" w:rsidR="004D2DD9" w:rsidRDefault="00000000">
      <w:pPr>
        <w:spacing w:beforeLines="100" w:before="312" w:afterLines="100" w:after="312" w:line="360" w:lineRule="auto"/>
        <w:ind w:firstLine="0"/>
        <w:rPr>
          <w:sz w:val="22"/>
          <w:szCs w:val="22"/>
        </w:rPr>
      </w:pPr>
      <w:r>
        <w:rPr>
          <w:sz w:val="22"/>
          <w:szCs w:val="22"/>
        </w:rPr>
        <w:t xml:space="preserve">Being a global enterprise, Konami's products and services are sold and consumed worldwide, making global political stability a significant consideration. For instance, political conflicts and instability could create market uncertainties, affect consumer demand for games, or impact Konami's operations in specific </w:t>
      </w:r>
      <w:bookmarkStart w:id="7" w:name="OLE_LINK6"/>
      <w:r>
        <w:rPr>
          <w:sz w:val="22"/>
          <w:szCs w:val="22"/>
        </w:rPr>
        <w:t>markets</w:t>
      </w:r>
      <w:bookmarkEnd w:id="7"/>
      <w:r>
        <w:rPr>
          <w:sz w:val="22"/>
          <w:szCs w:val="22"/>
        </w:rPr>
        <w:t xml:space="preserve">(Sharma &amp; Kesharwani, 2020). In the context of globalization, international relations and trade agreements also have a significant impact on the company's internationalization strategy (Catão, 2019). Trade agreements between nations could impact the sale of Konami's products in specific markets, such as tariff or quota restrictions. </w:t>
      </w:r>
    </w:p>
    <w:p w14:paraId="697992EC" w14:textId="77777777" w:rsidR="004D2DD9" w:rsidRDefault="00000000">
      <w:pPr>
        <w:spacing w:beforeLines="100" w:before="312" w:afterLines="100" w:after="312" w:line="360" w:lineRule="auto"/>
        <w:ind w:firstLine="0"/>
        <w:rPr>
          <w:sz w:val="22"/>
          <w:szCs w:val="22"/>
        </w:rPr>
      </w:pPr>
      <w:r>
        <w:rPr>
          <w:sz w:val="22"/>
          <w:szCs w:val="22"/>
        </w:rPr>
        <w:t>Moreover, the government's level and style of video game regulation can greatly influence a company's business (Wysocki, 2017). The extent and manner of government regulation on video games could affect Konami's game design and sales strategies. For instance, countries with stringent regulations on gambling elements in video games could restrict the sale of some of Konami's products in these markets.</w:t>
      </w:r>
    </w:p>
    <w:p w14:paraId="780667A2" w14:textId="77777777" w:rsidR="004D2DD9" w:rsidRDefault="00000000">
      <w:pPr>
        <w:spacing w:beforeLines="100" w:before="312" w:afterLines="100" w:after="312" w:line="360" w:lineRule="auto"/>
        <w:ind w:firstLine="0"/>
        <w:rPr>
          <w:sz w:val="22"/>
          <w:szCs w:val="22"/>
        </w:rPr>
      </w:pPr>
      <w:r>
        <w:rPr>
          <w:sz w:val="22"/>
          <w:szCs w:val="22"/>
        </w:rPr>
        <w:t>Moreover, the level of intellectual property protection in a country could impact Konami's operations. If a country's protection of intellectual property rights is weak, it could lead to the piracy of Konami's games, impacting its sales revenue(Chu et al., 2020). Conversely, strong intellectual property protection could increase Konami's competitive edge and protect its innovative game designs.</w:t>
      </w:r>
    </w:p>
    <w:p w14:paraId="28C2B461" w14:textId="77777777" w:rsidR="004D2DD9" w:rsidRDefault="00000000">
      <w:pPr>
        <w:pStyle w:val="3"/>
        <w:spacing w:line="360" w:lineRule="auto"/>
      </w:pPr>
      <w:bookmarkStart w:id="8" w:name="_Toc152370339"/>
      <w:r>
        <w:lastRenderedPageBreak/>
        <w:t>2.1.2. Economic Factors</w:t>
      </w:r>
      <w:bookmarkEnd w:id="8"/>
    </w:p>
    <w:p w14:paraId="508EB0E6" w14:textId="77777777" w:rsidR="004D2DD9" w:rsidRDefault="00000000">
      <w:pPr>
        <w:spacing w:beforeLines="100" w:before="312" w:afterLines="100" w:after="312" w:line="360" w:lineRule="auto"/>
        <w:ind w:firstLine="0"/>
        <w:rPr>
          <w:sz w:val="22"/>
          <w:szCs w:val="22"/>
        </w:rPr>
      </w:pPr>
      <w:r>
        <w:rPr>
          <w:sz w:val="22"/>
          <w:szCs w:val="22"/>
        </w:rPr>
        <w:t>Economic factors are another critical component when conducting a macro-environmental analysis for a company. This includes the global economic situation, regional economic development level, exchange rates, inflation, consumer purchasing power, and economic cycles(Clementino &amp; Perkins, 2021).</w:t>
      </w:r>
    </w:p>
    <w:p w14:paraId="0D254239" w14:textId="77777777" w:rsidR="004D2DD9" w:rsidRDefault="00000000">
      <w:pPr>
        <w:spacing w:beforeLines="100" w:before="312" w:afterLines="100" w:after="312" w:line="360" w:lineRule="auto"/>
        <w:ind w:firstLine="0"/>
        <w:rPr>
          <w:sz w:val="22"/>
          <w:szCs w:val="22"/>
        </w:rPr>
      </w:pPr>
      <w:r>
        <w:rPr>
          <w:sz w:val="22"/>
          <w:szCs w:val="22"/>
        </w:rPr>
        <w:t xml:space="preserve">First, the global economic conditions and their impact on Konami should be considered. As a company operating globally, the overall health of the global economy profoundly influences Konami(Finn, 2019). Second, the economic development levels of different regions also impact Konami. Konami has done exceedingly well in this regard. Apart from traditional games, Konami has achieved immense multinational success under the 'YuGiOh!' brand, developed and produced by its subsidiary Konami Digital Entertainment (Konami, 2022). This brand has evolved into one of the most well-known card games, holding a significant market share that continues to grow annually (Batchelor, 2019). </w:t>
      </w:r>
    </w:p>
    <w:p w14:paraId="696A2FF0" w14:textId="77777777" w:rsidR="004D2DD9" w:rsidRDefault="00000000">
      <w:pPr>
        <w:spacing w:beforeLines="100" w:before="312" w:afterLines="100" w:after="312" w:line="360" w:lineRule="auto"/>
        <w:ind w:firstLine="0"/>
        <w:rPr>
          <w:sz w:val="22"/>
          <w:szCs w:val="22"/>
        </w:rPr>
      </w:pPr>
      <w:r>
        <w:rPr>
          <w:sz w:val="22"/>
          <w:szCs w:val="22"/>
        </w:rPr>
        <w:t>Exchange rate fluctuations are another crucial economic factor affecting Konami. As Konami operates globally, its income and costs may involve multiple currencies. Therefore, changes in exchange rates may have a significant impact on Konami's revenue and profits(Jiang et al., 2022).</w:t>
      </w:r>
      <w:r>
        <w:rPr>
          <w:rFonts w:hint="eastAsia"/>
          <w:sz w:val="22"/>
          <w:szCs w:val="22"/>
        </w:rPr>
        <w:t xml:space="preserve"> </w:t>
      </w:r>
      <w:r>
        <w:rPr>
          <w:sz w:val="22"/>
          <w:szCs w:val="22"/>
        </w:rPr>
        <w:t>Inflation is another economic factor to consider. Inflation could lead to increased operating costs for Konami.</w:t>
      </w:r>
    </w:p>
    <w:p w14:paraId="29BE02F9" w14:textId="77777777" w:rsidR="004D2DD9" w:rsidRDefault="00000000">
      <w:pPr>
        <w:spacing w:beforeLines="100" w:before="312" w:afterLines="100" w:after="312" w:line="360" w:lineRule="auto"/>
        <w:ind w:firstLine="0"/>
        <w:rPr>
          <w:sz w:val="22"/>
          <w:szCs w:val="22"/>
        </w:rPr>
      </w:pPr>
      <w:r>
        <w:rPr>
          <w:sz w:val="22"/>
          <w:szCs w:val="22"/>
        </w:rPr>
        <w:t>Economic cycles significantly impact Konami. During economic booms, consumers tend to spend more freely, potentially increasing Konami's sales. During economic recessions, consumers may cut back on game spending, which could negatively affect Konami's sales(Adarov, 2021).</w:t>
      </w:r>
    </w:p>
    <w:p w14:paraId="7984DCCD" w14:textId="77777777" w:rsidR="004D2DD9" w:rsidRDefault="00000000">
      <w:pPr>
        <w:pStyle w:val="3"/>
        <w:spacing w:line="360" w:lineRule="auto"/>
      </w:pPr>
      <w:bookmarkStart w:id="9" w:name="_Toc152370340"/>
      <w:r>
        <w:t>2.1.3. Social Factors</w:t>
      </w:r>
      <w:bookmarkEnd w:id="9"/>
    </w:p>
    <w:p w14:paraId="79179636" w14:textId="77777777" w:rsidR="004D2DD9" w:rsidRDefault="00000000">
      <w:pPr>
        <w:spacing w:beforeLines="100" w:before="312" w:afterLines="100" w:after="312" w:line="360" w:lineRule="auto"/>
        <w:ind w:firstLine="0"/>
        <w:rPr>
          <w:sz w:val="22"/>
          <w:szCs w:val="22"/>
        </w:rPr>
      </w:pPr>
      <w:r>
        <w:rPr>
          <w:sz w:val="22"/>
          <w:szCs w:val="22"/>
        </w:rPr>
        <w:t xml:space="preserve">First, the changing societal attitudes towards the gaming industry should be considered. In recent years, video games have transitioned from fringe entertainment products to mainstream culture, widely appreciated by people of all age groups. The rise of eSports and the application </w:t>
      </w:r>
      <w:r>
        <w:rPr>
          <w:sz w:val="22"/>
          <w:szCs w:val="22"/>
        </w:rPr>
        <w:lastRenderedPageBreak/>
        <w:t>of video games in education and rehabilitation therapy all reflect the increasing societal acceptance of the gaming industry. For Konami, this is a massive opportunity. It can meet these changing needs through innovative products and services(Bian et al., 2023).</w:t>
      </w:r>
    </w:p>
    <w:p w14:paraId="18EA8BA2" w14:textId="77777777" w:rsidR="004D2DD9" w:rsidRDefault="00000000">
      <w:pPr>
        <w:spacing w:beforeLines="100" w:before="312" w:afterLines="100" w:after="312" w:line="360" w:lineRule="auto"/>
        <w:ind w:firstLine="0"/>
        <w:rPr>
          <w:sz w:val="22"/>
          <w:szCs w:val="22"/>
        </w:rPr>
      </w:pPr>
      <w:r>
        <w:rPr>
          <w:sz w:val="22"/>
          <w:szCs w:val="22"/>
        </w:rPr>
        <w:t xml:space="preserve">Second, demographic changes have also impacted Konami. The global population structure is changing, with a decreasing proportion of young people and an increasing proportion of elderly people, most severe in Japan, a key market for Konami. This may change the demand and consumption habits of the gaming market. Young people may prefer action and competitive games, while older people may lean towards leisure and puzzle games(Buck, 2023). </w:t>
      </w:r>
    </w:p>
    <w:p w14:paraId="78FB7C9F" w14:textId="77777777" w:rsidR="004D2DD9" w:rsidRDefault="00000000">
      <w:pPr>
        <w:spacing w:beforeLines="100" w:before="312" w:afterLines="100" w:after="312" w:line="360" w:lineRule="auto"/>
        <w:ind w:firstLine="0"/>
        <w:rPr>
          <w:sz w:val="22"/>
          <w:szCs w:val="22"/>
        </w:rPr>
      </w:pPr>
      <w:r>
        <w:rPr>
          <w:sz w:val="22"/>
          <w:szCs w:val="22"/>
        </w:rPr>
        <w:t xml:space="preserve">Cultural differences are an essential factor for Konami to consider when operating globally. Since Konami's business spans the globe, it needs to consider cultural differences in different regions, such as language, values, and behavioral habits(Lukosch et al., 2017). </w:t>
      </w:r>
    </w:p>
    <w:p w14:paraId="62E8D77F" w14:textId="77777777" w:rsidR="004D2DD9" w:rsidRDefault="00000000">
      <w:pPr>
        <w:pStyle w:val="3"/>
        <w:spacing w:line="360" w:lineRule="auto"/>
      </w:pPr>
      <w:bookmarkStart w:id="10" w:name="_Toc152370341"/>
      <w:r>
        <w:t>2.1.4. Technological Factors</w:t>
      </w:r>
      <w:bookmarkEnd w:id="10"/>
    </w:p>
    <w:p w14:paraId="19A0072B" w14:textId="77777777" w:rsidR="004D2DD9" w:rsidRDefault="00000000">
      <w:pPr>
        <w:spacing w:beforeLines="100" w:before="312" w:afterLines="100" w:after="312" w:line="360" w:lineRule="auto"/>
        <w:ind w:firstLine="0"/>
        <w:rPr>
          <w:sz w:val="22"/>
          <w:szCs w:val="22"/>
        </w:rPr>
      </w:pPr>
      <w:r>
        <w:rPr>
          <w:sz w:val="22"/>
          <w:szCs w:val="22"/>
        </w:rPr>
        <w:t xml:space="preserve">The development of internet technology has greatly changed the operation of the gaming industry. The rise of online games and mobile games, as well as the shift in game distribution model from traditional physical retail to digital distribution, has given Konami the opportunity to reach a wider range of users globally(Konami, 2022). </w:t>
      </w:r>
    </w:p>
    <w:p w14:paraId="2B3FC2E8" w14:textId="77777777" w:rsidR="004D2DD9" w:rsidRDefault="00000000">
      <w:pPr>
        <w:spacing w:beforeLines="100" w:before="312" w:afterLines="100" w:after="312" w:line="360" w:lineRule="auto"/>
        <w:ind w:firstLine="0"/>
        <w:rPr>
          <w:sz w:val="22"/>
          <w:szCs w:val="22"/>
        </w:rPr>
      </w:pPr>
      <w:r>
        <w:rPr>
          <w:sz w:val="22"/>
          <w:szCs w:val="22"/>
        </w:rPr>
        <w:t>However, this also means that Konami needs to invest more resources in cyber security and data pr</w:t>
      </w:r>
      <w:r>
        <w:rPr>
          <w:rFonts w:hint="eastAsia"/>
          <w:sz w:val="22"/>
          <w:szCs w:val="22"/>
        </w:rPr>
        <w:t>o</w:t>
      </w:r>
      <w:r>
        <w:rPr>
          <w:sz w:val="22"/>
          <w:szCs w:val="22"/>
        </w:rPr>
        <w:t xml:space="preserve">tection to ensure the safety of user information. Furthermore, after the COVID-19 pandemic, the long-term lockdown in many regions has indirectly promoted the development of internet technology in gaming, with various improvements in game applications, such as the expansion of payment channels for online games. These advancements are, in fact, a form of reflection activity in strict pandemic policies, where many people rely on games as a life diversion, reducing psychological pressure from work and life during the pandemic (Sari et al, 2022). </w:t>
      </w:r>
    </w:p>
    <w:p w14:paraId="4825004B" w14:textId="77777777" w:rsidR="004D2DD9" w:rsidRDefault="00000000">
      <w:pPr>
        <w:spacing w:beforeLines="100" w:before="312" w:afterLines="100" w:after="312" w:line="360" w:lineRule="auto"/>
        <w:ind w:firstLine="0"/>
        <w:rPr>
          <w:sz w:val="22"/>
          <w:szCs w:val="22"/>
        </w:rPr>
      </w:pPr>
      <w:r>
        <w:rPr>
          <w:sz w:val="22"/>
          <w:szCs w:val="22"/>
        </w:rPr>
        <w:t xml:space="preserve">Second, advancements in hardware technology, such as more powerful processors, more realistic image rendering technology, and the development of Virtual Reality (VR) and </w:t>
      </w:r>
      <w:r>
        <w:rPr>
          <w:sz w:val="22"/>
          <w:szCs w:val="22"/>
        </w:rPr>
        <w:lastRenderedPageBreak/>
        <w:t>Augmented Reality (AR) technology, have brought new possibilities for games. Konami can leverage these technological innovations to provide players with a more immersive and realistic gaming experience, further enhancing the attractiveness of its products(Monteiro et al., 2018). They can also be used to optimize the balance and playability of games. At the same time, these technologies can be used to analyze and predict player behavior, providing more personalized and accurate services(Cookridge et al., 2018).</w:t>
      </w:r>
    </w:p>
    <w:p w14:paraId="4E89180F" w14:textId="77777777" w:rsidR="004D2DD9" w:rsidRDefault="00000000">
      <w:pPr>
        <w:pStyle w:val="2"/>
        <w:spacing w:line="360" w:lineRule="auto"/>
      </w:pPr>
      <w:bookmarkStart w:id="11" w:name="_Toc152370342"/>
      <w:r>
        <w:t>2.2. Industry Analysis</w:t>
      </w:r>
      <w:bookmarkEnd w:id="11"/>
    </w:p>
    <w:p w14:paraId="7C6CD6FB" w14:textId="77777777" w:rsidR="004D2DD9" w:rsidRDefault="00000000">
      <w:pPr>
        <w:pStyle w:val="3"/>
        <w:spacing w:line="360" w:lineRule="auto"/>
      </w:pPr>
      <w:bookmarkStart w:id="12" w:name="_Toc152370343"/>
      <w:r>
        <w:t>2.2.1. Gaming Industry Overview</w:t>
      </w:r>
      <w:bookmarkEnd w:id="12"/>
    </w:p>
    <w:p w14:paraId="76804BB9" w14:textId="77777777" w:rsidR="004D2DD9" w:rsidRDefault="00000000">
      <w:pPr>
        <w:spacing w:beforeLines="100" w:before="312" w:afterLines="100" w:after="312" w:line="360" w:lineRule="auto"/>
        <w:ind w:firstLine="0"/>
        <w:rPr>
          <w:sz w:val="22"/>
          <w:szCs w:val="22"/>
        </w:rPr>
      </w:pPr>
      <w:r>
        <w:rPr>
          <w:sz w:val="22"/>
          <w:szCs w:val="22"/>
        </w:rPr>
        <w:t>The gaming industry is an essential part of the global entertainment market. With the development of technology, especially the widespread application of the internet, smart devices, and cloud computing, this industry is undergoing profound changes and showing a sustained growth trend(Wallinheimo et al., 2023).</w:t>
      </w:r>
    </w:p>
    <w:p w14:paraId="32E5F1D1" w14:textId="77777777" w:rsidR="004D2DD9" w:rsidRDefault="00000000">
      <w:pPr>
        <w:spacing w:beforeLines="100" w:before="312" w:afterLines="100" w:after="312" w:line="360" w:lineRule="auto"/>
        <w:ind w:firstLine="0"/>
        <w:rPr>
          <w:sz w:val="22"/>
          <w:szCs w:val="22"/>
        </w:rPr>
      </w:pPr>
      <w:r>
        <w:rPr>
          <w:sz w:val="22"/>
          <w:szCs w:val="22"/>
        </w:rPr>
        <w:t>The global gaming market size was valued at USD 249.55 billion in 2022 and is anticipated to grow from USD 281.77 billion in 2023 to USD 665.77 billion by 2030, exhibiting a CAGR of 13.1% during the forecast period (2023-2030) (Fortune, 2023). This indicates that despite various challenges, the gaming industry still maintains robust growth momentum.</w:t>
      </w:r>
    </w:p>
    <w:p w14:paraId="3A7AB146" w14:textId="77777777" w:rsidR="004D2DD9" w:rsidRDefault="00000000">
      <w:pPr>
        <w:spacing w:beforeLines="100" w:before="312" w:afterLines="100" w:after="312" w:line="360" w:lineRule="auto"/>
        <w:ind w:firstLine="0"/>
        <w:jc w:val="center"/>
        <w:rPr>
          <w:sz w:val="22"/>
          <w:szCs w:val="22"/>
        </w:rPr>
      </w:pPr>
      <w:r>
        <w:rPr>
          <w:noProof/>
          <w:sz w:val="22"/>
          <w:szCs w:val="22"/>
        </w:rPr>
        <w:drawing>
          <wp:inline distT="0" distB="0" distL="0" distR="0" wp14:anchorId="6DB9C622" wp14:editId="0AF2FAA5">
            <wp:extent cx="2642870" cy="1768475"/>
            <wp:effectExtent l="0" t="0" r="0" b="0"/>
            <wp:docPr id="19106954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695463" name="图片 1"/>
                    <pic:cNvPicPr>
                      <a:picLocks noChangeAspect="1"/>
                    </pic:cNvPicPr>
                  </pic:nvPicPr>
                  <pic:blipFill>
                    <a:blip r:embed="rId11"/>
                    <a:stretch>
                      <a:fillRect/>
                    </a:stretch>
                  </pic:blipFill>
                  <pic:spPr>
                    <a:xfrm>
                      <a:off x="0" y="0"/>
                      <a:ext cx="2708711" cy="1812566"/>
                    </a:xfrm>
                    <a:prstGeom prst="rect">
                      <a:avLst/>
                    </a:prstGeom>
                  </pic:spPr>
                </pic:pic>
              </a:graphicData>
            </a:graphic>
          </wp:inline>
        </w:drawing>
      </w:r>
    </w:p>
    <w:p w14:paraId="0FEF95D0" w14:textId="77777777" w:rsidR="004D2DD9" w:rsidRDefault="00000000">
      <w:pPr>
        <w:spacing w:beforeLines="100" w:before="312" w:afterLines="100" w:after="312" w:line="360" w:lineRule="auto"/>
        <w:ind w:firstLine="0"/>
        <w:jc w:val="center"/>
        <w:rPr>
          <w:sz w:val="22"/>
          <w:szCs w:val="22"/>
        </w:rPr>
      </w:pPr>
      <w:r>
        <w:rPr>
          <w:sz w:val="22"/>
          <w:szCs w:val="22"/>
        </w:rPr>
        <w:t>Figure 2-1 Global Gaming Market Forecast (2023-2030)</w:t>
      </w:r>
    </w:p>
    <w:p w14:paraId="7552F5B2" w14:textId="77777777" w:rsidR="004D2DD9" w:rsidRDefault="00000000">
      <w:pPr>
        <w:spacing w:beforeLines="100" w:before="312" w:afterLines="100" w:after="312" w:line="360" w:lineRule="auto"/>
        <w:ind w:firstLine="0"/>
        <w:jc w:val="center"/>
        <w:rPr>
          <w:sz w:val="22"/>
          <w:szCs w:val="22"/>
        </w:rPr>
      </w:pPr>
      <w:r>
        <w:rPr>
          <w:sz w:val="22"/>
          <w:szCs w:val="22"/>
        </w:rPr>
        <w:t>Image Source: Fortune, 2023</w:t>
      </w:r>
    </w:p>
    <w:p w14:paraId="0AA8A328" w14:textId="77777777" w:rsidR="004D2DD9" w:rsidRDefault="00000000">
      <w:pPr>
        <w:spacing w:beforeLines="100" w:before="312" w:afterLines="100" w:after="312" w:line="360" w:lineRule="auto"/>
        <w:ind w:firstLine="0"/>
        <w:rPr>
          <w:sz w:val="22"/>
          <w:szCs w:val="22"/>
        </w:rPr>
      </w:pPr>
      <w:r>
        <w:rPr>
          <w:sz w:val="22"/>
          <w:szCs w:val="22"/>
        </w:rPr>
        <w:lastRenderedPageBreak/>
        <w:t>In terms of regional distribution, Asia is the largest gaming market globally, especially China, which leads the global gaming market. Western markets are also essential, especially the United States, whose gaming market size is the second largest globally. Additionally, emerging markets like Latin America and Eastern Europe are gradually emerging (Marie, 2023).</w:t>
      </w:r>
    </w:p>
    <w:p w14:paraId="0287E1D1" w14:textId="77777777" w:rsidR="004D2DD9" w:rsidRDefault="00000000">
      <w:pPr>
        <w:spacing w:beforeLines="100" w:before="312" w:afterLines="100" w:after="312" w:line="360" w:lineRule="auto"/>
        <w:ind w:firstLine="0"/>
        <w:rPr>
          <w:sz w:val="22"/>
          <w:szCs w:val="22"/>
        </w:rPr>
      </w:pPr>
      <w:r>
        <w:rPr>
          <w:sz w:val="22"/>
          <w:szCs w:val="22"/>
        </w:rPr>
        <w:t>Regarding game types, eSports and mobile games are the fastest-growing fields in recent years. From a business model perspective, while players previously paid all the costs to purchase a game upfront, more and more games are adopting a free-to-play model with in-app purchases or subscriptions. This also reflects the changing business model of the gaming industry(Torres, 2022).</w:t>
      </w:r>
    </w:p>
    <w:p w14:paraId="31EECFD1" w14:textId="77777777" w:rsidR="004D2DD9" w:rsidRDefault="00000000">
      <w:pPr>
        <w:spacing w:beforeLines="100" w:before="312" w:afterLines="100" w:after="312" w:line="360" w:lineRule="auto"/>
        <w:ind w:firstLine="0"/>
        <w:rPr>
          <w:sz w:val="22"/>
          <w:szCs w:val="22"/>
        </w:rPr>
      </w:pPr>
      <w:r>
        <w:rPr>
          <w:sz w:val="22"/>
          <w:szCs w:val="22"/>
        </w:rPr>
        <w:t>As a company that places a high emphasis on online channels, Konami carried out effective digital marketing during the pandemic through social media platforms and video streaming websites (Nelva, 2021). However, as a relatively conservative Japanese gaming company, their focus on the internet is noticeably less than that of Western gaming companies. For Konami, understanding and mastering the trends and developments in the gaming industry are critically important for the formulation and implementation of its business strategies.</w:t>
      </w:r>
    </w:p>
    <w:p w14:paraId="31A743F2" w14:textId="77777777" w:rsidR="004D2DD9" w:rsidRDefault="00000000">
      <w:pPr>
        <w:pStyle w:val="3"/>
        <w:spacing w:line="360" w:lineRule="auto"/>
      </w:pPr>
      <w:bookmarkStart w:id="13" w:name="_Toc152370344"/>
      <w:r>
        <w:t>2.2.2. Main Competitor Analysis</w:t>
      </w:r>
      <w:bookmarkEnd w:id="13"/>
    </w:p>
    <w:p w14:paraId="78E65C2C" w14:textId="77777777" w:rsidR="004D2DD9" w:rsidRDefault="00000000">
      <w:pPr>
        <w:spacing w:beforeLines="100" w:before="312" w:afterLines="100" w:after="312" w:line="360" w:lineRule="auto"/>
        <w:ind w:firstLine="0"/>
        <w:rPr>
          <w:sz w:val="22"/>
          <w:szCs w:val="22"/>
        </w:rPr>
      </w:pPr>
      <w:r>
        <w:rPr>
          <w:sz w:val="22"/>
          <w:szCs w:val="22"/>
        </w:rPr>
        <w:t xml:space="preserve">In the global gaming industry, Konami faces competition from many sides. To better understand Konami's market position, it is necessary to know its main competitors in detail. The main direct competitors of Konami in the gaming sector include Bandai Namco, CAPCOM, and EA. EA, a large gaming company in the United States, is known for its series of games such as "NBA" and "FIFA". EA's strength lies in its global sales network and strong marketing capabilities, but its performance in innovation and user experience is not always rated as the best. EA's FIFA series, a football sports game, is the biggest competitor of Konami's PES series. Research shows that playing sports interactive games has a positive effect on players' social life and physical health, as it enhances endurance, muscle strength, and rhythm, and creates an environment where new friends can be made (Anderson, 2023). </w:t>
      </w:r>
    </w:p>
    <w:p w14:paraId="386B0C34" w14:textId="77777777" w:rsidR="004D2DD9" w:rsidRDefault="00000000">
      <w:pPr>
        <w:spacing w:beforeLines="100" w:before="312" w:afterLines="100" w:after="312" w:line="360" w:lineRule="auto"/>
        <w:ind w:firstLine="0"/>
        <w:rPr>
          <w:sz w:val="22"/>
          <w:szCs w:val="22"/>
        </w:rPr>
      </w:pPr>
      <w:r>
        <w:rPr>
          <w:sz w:val="22"/>
          <w:szCs w:val="22"/>
        </w:rPr>
        <w:lastRenderedPageBreak/>
        <w:t>This is also the common perception many people have towards sports video games. Compared to other types of games, sports games are relatively politically correct and therefore can be easily promoted even in countries with more restrictions on the gaming industry. Hence, competing in the sports game market is something Konami absolutely cannot give up(Ningning &amp; Wenguang, 2023).</w:t>
      </w:r>
    </w:p>
    <w:p w14:paraId="7DC0096B" w14:textId="77777777" w:rsidR="004D2DD9" w:rsidRDefault="00000000">
      <w:pPr>
        <w:spacing w:beforeLines="100" w:before="312" w:afterLines="100" w:after="312" w:line="360" w:lineRule="auto"/>
        <w:ind w:firstLine="0"/>
        <w:rPr>
          <w:sz w:val="22"/>
          <w:szCs w:val="22"/>
        </w:rPr>
      </w:pPr>
      <w:r>
        <w:rPr>
          <w:sz w:val="22"/>
          <w:szCs w:val="22"/>
        </w:rPr>
        <w:t xml:space="preserve">CAPCOM, a large gaming company in Japan, owns game series like "Street Fighter" and "Resident Evil". It is the most recognized game company in the action game sector of the gaming industry and competes fiercely with Konami in game production and distribution(Capcom, 2021). Moreover, its rating among users is much higher than Konami, with very few players giving negative reviews to CAPCOM, but there are many players giving negative reviews to Konami. </w:t>
      </w:r>
    </w:p>
    <w:p w14:paraId="4B36489A" w14:textId="77777777" w:rsidR="004D2DD9" w:rsidRDefault="00000000">
      <w:pPr>
        <w:spacing w:beforeLines="100" w:before="312" w:afterLines="100" w:after="312" w:line="360" w:lineRule="auto"/>
        <w:ind w:firstLine="0"/>
        <w:rPr>
          <w:sz w:val="22"/>
          <w:szCs w:val="22"/>
        </w:rPr>
      </w:pPr>
      <w:r>
        <w:rPr>
          <w:sz w:val="22"/>
          <w:szCs w:val="22"/>
        </w:rPr>
        <w:t xml:space="preserve">Bandai Namco, an entertainment industry group headquartered in Japan, was formed by the merger of Bandai and Namco on September 29, 2005. The industries it is involved in include video games, model toys, and entertainment products related to its intellectual property rights, such as video and music(BUMLLC, 2019). It also manufactures many well-known anime and game model toys and capsule products, and its famous products include GUNDAM and PAC-MAN. Although most of the games produced and released by this company do not directly compete with Konami due to different genres, it has a considerable overlap with Konami's business in the field of game models and toys. </w:t>
      </w:r>
      <w:r>
        <w:rPr>
          <w:sz w:val="22"/>
          <w:szCs w:val="22"/>
        </w:rPr>
        <w:br w:type="page"/>
      </w:r>
    </w:p>
    <w:p w14:paraId="7C8C2A29" w14:textId="77777777" w:rsidR="004D2DD9" w:rsidRDefault="00000000">
      <w:pPr>
        <w:pStyle w:val="1"/>
        <w:spacing w:line="360" w:lineRule="auto"/>
      </w:pPr>
      <w:bookmarkStart w:id="14" w:name="_Toc152370345"/>
      <w:r>
        <w:lastRenderedPageBreak/>
        <w:t>III. Internal Analysis</w:t>
      </w:r>
      <w:bookmarkEnd w:id="14"/>
    </w:p>
    <w:p w14:paraId="283A6E84" w14:textId="77777777" w:rsidR="004D2DD9" w:rsidRDefault="00000000">
      <w:pPr>
        <w:pStyle w:val="2"/>
        <w:spacing w:line="360" w:lineRule="auto"/>
      </w:pPr>
      <w:bookmarkStart w:id="15" w:name="_Toc152370346"/>
      <w:r>
        <w:t>3.1. Resources and Capabilities of Konami Company</w:t>
      </w:r>
      <w:bookmarkEnd w:id="15"/>
    </w:p>
    <w:p w14:paraId="64AE8F19" w14:textId="77777777" w:rsidR="004D2DD9" w:rsidRDefault="00000000">
      <w:pPr>
        <w:pStyle w:val="3"/>
        <w:spacing w:line="360" w:lineRule="auto"/>
      </w:pPr>
      <w:bookmarkStart w:id="16" w:name="_Toc152370347"/>
      <w:r>
        <w:t>3.1.1. Financial Resources and Capabilities</w:t>
      </w:r>
      <w:bookmarkEnd w:id="16"/>
    </w:p>
    <w:p w14:paraId="17B4A76C" w14:textId="77777777" w:rsidR="004D2DD9" w:rsidRDefault="00000000">
      <w:pPr>
        <w:spacing w:beforeLines="100" w:before="312" w:afterLines="100" w:after="312" w:line="360" w:lineRule="auto"/>
        <w:ind w:firstLine="0"/>
        <w:rPr>
          <w:sz w:val="22"/>
          <w:szCs w:val="22"/>
        </w:rPr>
      </w:pPr>
      <w:r>
        <w:rPr>
          <w:sz w:val="22"/>
          <w:szCs w:val="22"/>
        </w:rPr>
        <w:t xml:space="preserve">Refer to Appendix 1 of this article, Konami's total operating income showed an upward trend from 2020 to 2022, especially in 2022, the total operating income was £18,667,587 thousand, an increase of 9.85% year-on-year. This data reflects Konami's sales performance and market acceptance on the global market. </w:t>
      </w:r>
    </w:p>
    <w:p w14:paraId="08879EF3" w14:textId="6B993B46" w:rsidR="004D2DD9" w:rsidRDefault="00000000">
      <w:pPr>
        <w:spacing w:beforeLines="100" w:before="312" w:afterLines="100" w:after="312" w:line="360" w:lineRule="auto"/>
        <w:ind w:firstLine="0"/>
        <w:jc w:val="center"/>
      </w:pPr>
      <w:r>
        <w:fldChar w:fldCharType="begin"/>
      </w:r>
      <w:r w:rsidR="00B97B85">
        <w:instrText xml:space="preserve"> INCLUDEPICTURE "C:\\Users\\wang\\Library\\Group Containers\\UBF8T346G9.ms\\WebArchiveCopyPasteTempFiles\\com.microsoft.Word\\c04615a2-989f-4cfd-80e5-962ed86ca697" \* MERGEFORMAT </w:instrText>
      </w:r>
      <w:r>
        <w:fldChar w:fldCharType="separate"/>
      </w:r>
      <w:r>
        <w:rPr>
          <w:noProof/>
        </w:rPr>
        <w:drawing>
          <wp:inline distT="0" distB="0" distL="0" distR="0" wp14:anchorId="26863BD3" wp14:editId="06B1C3C1">
            <wp:extent cx="3532505" cy="2049145"/>
            <wp:effectExtent l="0" t="0" r="0" b="0"/>
            <wp:docPr id="113399697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996979" name="图片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608856" cy="2093796"/>
                    </a:xfrm>
                    <a:prstGeom prst="rect">
                      <a:avLst/>
                    </a:prstGeom>
                    <a:noFill/>
                    <a:ln>
                      <a:noFill/>
                    </a:ln>
                  </pic:spPr>
                </pic:pic>
              </a:graphicData>
            </a:graphic>
          </wp:inline>
        </w:drawing>
      </w:r>
      <w:r>
        <w:fldChar w:fldCharType="end"/>
      </w:r>
    </w:p>
    <w:p w14:paraId="55E9730B" w14:textId="77777777" w:rsidR="004D2DD9" w:rsidRDefault="00000000">
      <w:pPr>
        <w:spacing w:beforeLines="100" w:before="312" w:afterLines="100" w:after="312" w:line="360" w:lineRule="auto"/>
        <w:ind w:firstLine="0"/>
        <w:jc w:val="center"/>
        <w:rPr>
          <w:sz w:val="22"/>
          <w:szCs w:val="22"/>
        </w:rPr>
      </w:pPr>
      <w:r>
        <w:rPr>
          <w:sz w:val="22"/>
          <w:szCs w:val="22"/>
        </w:rPr>
        <w:t>Figure 3.1 Konami's total operating income from 2020 to 2022</w:t>
      </w:r>
    </w:p>
    <w:p w14:paraId="77EF519F" w14:textId="77777777" w:rsidR="004D2DD9" w:rsidRDefault="00000000">
      <w:pPr>
        <w:spacing w:beforeLines="100" w:before="312" w:afterLines="100" w:after="312" w:line="360" w:lineRule="auto"/>
        <w:ind w:firstLine="0"/>
        <w:jc w:val="center"/>
        <w:rPr>
          <w:sz w:val="22"/>
          <w:szCs w:val="22"/>
        </w:rPr>
      </w:pPr>
      <w:r>
        <w:rPr>
          <w:sz w:val="22"/>
          <w:szCs w:val="22"/>
        </w:rPr>
        <w:t>Image Source: Created by the author</w:t>
      </w:r>
    </w:p>
    <w:p w14:paraId="331B3ECB" w14:textId="77777777" w:rsidR="004D2DD9" w:rsidRDefault="00000000">
      <w:pPr>
        <w:spacing w:beforeLines="100" w:before="312" w:afterLines="100" w:after="312" w:line="360" w:lineRule="auto"/>
        <w:ind w:firstLine="0"/>
        <w:rPr>
          <w:sz w:val="22"/>
          <w:szCs w:val="22"/>
        </w:rPr>
      </w:pPr>
      <w:r>
        <w:rPr>
          <w:sz w:val="22"/>
          <w:szCs w:val="22"/>
        </w:rPr>
        <w:t xml:space="preserve">More importantly, this continuous growth in operating income shows the effectiveness of Konami's market strategy and the market demand for its products. The growth in operating profit can better reflect its operating efficiency and benefits. In 2022, its operating profit reached £5,005,600 thousand, an increase of 25.17% year-on-year. </w:t>
      </w:r>
    </w:p>
    <w:p w14:paraId="3744B94E" w14:textId="1E41F17F" w:rsidR="004D2DD9" w:rsidRDefault="00000000">
      <w:pPr>
        <w:spacing w:beforeLines="100" w:before="312" w:afterLines="100" w:after="312" w:line="360" w:lineRule="auto"/>
        <w:ind w:firstLine="0"/>
        <w:jc w:val="center"/>
        <w:rPr>
          <w:sz w:val="22"/>
          <w:szCs w:val="22"/>
        </w:rPr>
      </w:pPr>
      <w:r>
        <w:lastRenderedPageBreak/>
        <w:fldChar w:fldCharType="begin"/>
      </w:r>
      <w:r w:rsidR="00B97B85">
        <w:instrText xml:space="preserve"> INCLUDEPICTURE "C:\\Users\\wang\\Library\\Group Containers\\UBF8T346G9.ms\\WebArchiveCopyPasteTempFiles\\com.microsoft.Word\\c75c3f6c-e3b4-47ff-9354-d80f5d9a4f57" \* MERGEFORMAT </w:instrText>
      </w:r>
      <w:r>
        <w:fldChar w:fldCharType="separate"/>
      </w:r>
      <w:r>
        <w:rPr>
          <w:noProof/>
        </w:rPr>
        <w:drawing>
          <wp:inline distT="0" distB="0" distL="0" distR="0" wp14:anchorId="6CAF7C22" wp14:editId="233A06F6">
            <wp:extent cx="3438525" cy="1955165"/>
            <wp:effectExtent l="0" t="0" r="3175" b="635"/>
            <wp:docPr id="1102471140" name="图片 3"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71140" name="图片 3" descr="图表, 条形图&#10;&#10;描述已自动生成"/>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507480" cy="1994303"/>
                    </a:xfrm>
                    <a:prstGeom prst="rect">
                      <a:avLst/>
                    </a:prstGeom>
                    <a:noFill/>
                    <a:ln>
                      <a:noFill/>
                    </a:ln>
                  </pic:spPr>
                </pic:pic>
              </a:graphicData>
            </a:graphic>
          </wp:inline>
        </w:drawing>
      </w:r>
      <w:r>
        <w:fldChar w:fldCharType="end"/>
      </w:r>
    </w:p>
    <w:p w14:paraId="6285AAB8" w14:textId="77777777" w:rsidR="004D2DD9" w:rsidRDefault="00000000">
      <w:pPr>
        <w:spacing w:beforeLines="100" w:before="312" w:afterLines="100" w:after="312" w:line="360" w:lineRule="auto"/>
        <w:ind w:firstLine="0"/>
        <w:jc w:val="center"/>
        <w:rPr>
          <w:sz w:val="22"/>
          <w:szCs w:val="22"/>
        </w:rPr>
      </w:pPr>
      <w:r>
        <w:rPr>
          <w:sz w:val="22"/>
          <w:szCs w:val="22"/>
        </w:rPr>
        <w:t>Figure 3.2 Konami's operating profit from 2020 to 2022</w:t>
      </w:r>
    </w:p>
    <w:p w14:paraId="3CF33653" w14:textId="77777777" w:rsidR="004D2DD9" w:rsidRDefault="00000000">
      <w:pPr>
        <w:spacing w:beforeLines="100" w:before="312" w:afterLines="100" w:after="312" w:line="360" w:lineRule="auto"/>
        <w:ind w:firstLine="0"/>
        <w:jc w:val="center"/>
        <w:rPr>
          <w:sz w:val="22"/>
          <w:szCs w:val="22"/>
        </w:rPr>
      </w:pPr>
      <w:r>
        <w:rPr>
          <w:sz w:val="22"/>
          <w:szCs w:val="22"/>
        </w:rPr>
        <w:t>Image Source: Created by the author</w:t>
      </w:r>
    </w:p>
    <w:p w14:paraId="5977F40E" w14:textId="77777777" w:rsidR="004D2DD9" w:rsidRDefault="00000000">
      <w:pPr>
        <w:spacing w:beforeLines="100" w:before="312" w:afterLines="100" w:after="312" w:line="360" w:lineRule="auto"/>
        <w:ind w:firstLine="0"/>
        <w:rPr>
          <w:sz w:val="22"/>
          <w:szCs w:val="22"/>
        </w:rPr>
      </w:pPr>
      <w:r>
        <w:rPr>
          <w:sz w:val="22"/>
          <w:szCs w:val="22"/>
        </w:rPr>
        <w:t xml:space="preserve">This shows that Konami has done very well in product sales and cost control. Especially against the backdrop of the pandemic, such growth in operating profit undoubtedly demonstrates Konami's strong adaptability and excellent management level. In terms of net profit, Konami's performance is equally impressive. In 2022, its net profit was £3,415,762 thousand, an increase of 69.88% year-on-year. This data directly reflects Konami's profitability. This growth mainly comes from the increase in Konami's sales revenue and effective cost control, and also benefits from the advantages of its business model and the competitiveness of high-quality products. </w:t>
      </w:r>
    </w:p>
    <w:p w14:paraId="69DA981F" w14:textId="631E12AA" w:rsidR="004D2DD9" w:rsidRDefault="00000000">
      <w:pPr>
        <w:spacing w:beforeLines="100" w:before="312" w:afterLines="100" w:after="312" w:line="360" w:lineRule="auto"/>
        <w:ind w:firstLine="0"/>
        <w:jc w:val="center"/>
      </w:pPr>
      <w:r>
        <w:fldChar w:fldCharType="begin"/>
      </w:r>
      <w:r w:rsidR="00B97B85">
        <w:instrText xml:space="preserve"> INCLUDEPICTURE "C:\\Users\\wang\\Library\\Group Containers\\UBF8T346G9.ms\\WebArchiveCopyPasteTempFiles\\com.microsoft.Word\\67863b9f-861f-4ae4-b304-fe6b71147646" \* MERGEFORMAT </w:instrText>
      </w:r>
      <w:r>
        <w:fldChar w:fldCharType="separate"/>
      </w:r>
      <w:r>
        <w:rPr>
          <w:noProof/>
        </w:rPr>
        <w:drawing>
          <wp:inline distT="0" distB="0" distL="0" distR="0" wp14:anchorId="0429C058" wp14:editId="50C4B38E">
            <wp:extent cx="3480435" cy="1905635"/>
            <wp:effectExtent l="0" t="0" r="0" b="0"/>
            <wp:docPr id="828610930" name="图片 4" descr="Konami's Net Profit from 2020 to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10930" name="图片 4" descr="Konami's Net Profit from 2020 to 20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557285" cy="1948037"/>
                    </a:xfrm>
                    <a:prstGeom prst="rect">
                      <a:avLst/>
                    </a:prstGeom>
                    <a:noFill/>
                    <a:ln>
                      <a:noFill/>
                    </a:ln>
                  </pic:spPr>
                </pic:pic>
              </a:graphicData>
            </a:graphic>
          </wp:inline>
        </w:drawing>
      </w:r>
      <w:r>
        <w:fldChar w:fldCharType="end"/>
      </w:r>
    </w:p>
    <w:p w14:paraId="020AD1B4" w14:textId="77777777" w:rsidR="004D2DD9" w:rsidRDefault="00000000">
      <w:pPr>
        <w:spacing w:beforeLines="100" w:before="312" w:afterLines="100" w:after="312" w:line="360" w:lineRule="auto"/>
        <w:ind w:firstLine="0"/>
        <w:jc w:val="center"/>
        <w:rPr>
          <w:sz w:val="22"/>
          <w:szCs w:val="22"/>
        </w:rPr>
      </w:pPr>
      <w:r>
        <w:rPr>
          <w:sz w:val="22"/>
          <w:szCs w:val="22"/>
        </w:rPr>
        <w:t>Figure 3.3 Konami's net profit in 2021 and 2022</w:t>
      </w:r>
    </w:p>
    <w:p w14:paraId="741BA434" w14:textId="77777777" w:rsidR="004D2DD9" w:rsidRDefault="00000000">
      <w:pPr>
        <w:spacing w:beforeLines="100" w:before="312" w:afterLines="100" w:after="312" w:line="360" w:lineRule="auto"/>
        <w:ind w:firstLine="0"/>
        <w:jc w:val="center"/>
        <w:rPr>
          <w:sz w:val="22"/>
          <w:szCs w:val="22"/>
        </w:rPr>
      </w:pPr>
      <w:r>
        <w:rPr>
          <w:sz w:val="22"/>
          <w:szCs w:val="22"/>
        </w:rPr>
        <w:t>Image Source: Created by the author</w:t>
      </w:r>
    </w:p>
    <w:p w14:paraId="63775979" w14:textId="77777777" w:rsidR="004D2DD9" w:rsidRDefault="00000000">
      <w:pPr>
        <w:spacing w:beforeLines="100" w:before="312" w:afterLines="100" w:after="312" w:line="360" w:lineRule="auto"/>
        <w:ind w:firstLine="0"/>
        <w:rPr>
          <w:sz w:val="22"/>
          <w:szCs w:val="22"/>
        </w:rPr>
      </w:pPr>
      <w:r>
        <w:rPr>
          <w:sz w:val="22"/>
          <w:szCs w:val="22"/>
        </w:rPr>
        <w:t xml:space="preserve">Cash flow is an important indicator to measure the operating situation and financial health of </w:t>
      </w:r>
      <w:r>
        <w:rPr>
          <w:sz w:val="22"/>
          <w:szCs w:val="22"/>
        </w:rPr>
        <w:lastRenderedPageBreak/>
        <w:t>the company. Konami performed well in terms of cash flow from operating activities, with cash flow from operating activities in 2022 being £6,016,941 thousand, an increase from £4,600,758 thousand in 2021. This means that Konami's main business performs well in generating cash flow, indicating that the company's main business operations are good.</w:t>
      </w:r>
    </w:p>
    <w:p w14:paraId="74B06E2A" w14:textId="6CD93462" w:rsidR="004D2DD9" w:rsidRDefault="00000000">
      <w:pPr>
        <w:spacing w:beforeLines="100" w:before="312" w:afterLines="100" w:after="312" w:line="360" w:lineRule="auto"/>
        <w:ind w:firstLine="0"/>
        <w:jc w:val="center"/>
        <w:rPr>
          <w:sz w:val="22"/>
          <w:szCs w:val="22"/>
        </w:rPr>
      </w:pPr>
      <w:r>
        <w:fldChar w:fldCharType="begin"/>
      </w:r>
      <w:r w:rsidR="00B97B85">
        <w:instrText xml:space="preserve"> INCLUDEPICTURE "C:\\Users\\wang\\Library\\Group Containers\\UBF8T346G9.ms\\WebArchiveCopyPasteTempFiles\\com.microsoft.Word\\3b7b35fa-e985-4736-8372-e806045a17a0" \* MERGEFORMAT </w:instrText>
      </w:r>
      <w:r>
        <w:fldChar w:fldCharType="separate"/>
      </w:r>
      <w:r>
        <w:rPr>
          <w:noProof/>
        </w:rPr>
        <w:drawing>
          <wp:inline distT="0" distB="0" distL="0" distR="0" wp14:anchorId="25292248" wp14:editId="3614F9E0">
            <wp:extent cx="3495675" cy="1742440"/>
            <wp:effectExtent l="0" t="0" r="0" b="0"/>
            <wp:docPr id="1659134236" name="图片 5" descr="Konami's Cash Flow from Operating Activities in 2021 and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34236" name="图片 5" descr="Konami's Cash Flow from Operating Activities in 2021 and 20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552171" cy="1770526"/>
                    </a:xfrm>
                    <a:prstGeom prst="rect">
                      <a:avLst/>
                    </a:prstGeom>
                    <a:noFill/>
                    <a:ln>
                      <a:noFill/>
                    </a:ln>
                  </pic:spPr>
                </pic:pic>
              </a:graphicData>
            </a:graphic>
          </wp:inline>
        </w:drawing>
      </w:r>
      <w:r>
        <w:fldChar w:fldCharType="end"/>
      </w:r>
    </w:p>
    <w:p w14:paraId="2F7F4116" w14:textId="77777777" w:rsidR="004D2DD9" w:rsidRDefault="00000000">
      <w:pPr>
        <w:spacing w:beforeLines="100" w:before="312" w:afterLines="100" w:after="312" w:line="360" w:lineRule="auto"/>
        <w:ind w:firstLine="0"/>
        <w:jc w:val="center"/>
        <w:rPr>
          <w:sz w:val="22"/>
          <w:szCs w:val="22"/>
        </w:rPr>
      </w:pPr>
      <w:r>
        <w:rPr>
          <w:sz w:val="22"/>
          <w:szCs w:val="22"/>
        </w:rPr>
        <w:t>Figure 3.4 Konami's cash flow from operating activities in 2021 and 2022</w:t>
      </w:r>
    </w:p>
    <w:p w14:paraId="3FF0BE56" w14:textId="77777777" w:rsidR="004D2DD9" w:rsidRDefault="00000000">
      <w:pPr>
        <w:spacing w:beforeLines="100" w:before="312" w:afterLines="100" w:after="312" w:line="360" w:lineRule="auto"/>
        <w:ind w:firstLine="0"/>
        <w:jc w:val="center"/>
        <w:rPr>
          <w:sz w:val="22"/>
          <w:szCs w:val="22"/>
        </w:rPr>
      </w:pPr>
      <w:r>
        <w:rPr>
          <w:sz w:val="22"/>
          <w:szCs w:val="22"/>
        </w:rPr>
        <w:t>Image Source: Created by the author</w:t>
      </w:r>
    </w:p>
    <w:p w14:paraId="11C2BED0" w14:textId="77777777" w:rsidR="004D2DD9" w:rsidRDefault="00000000">
      <w:pPr>
        <w:spacing w:beforeLines="100" w:before="312" w:afterLines="100" w:after="312" w:line="360" w:lineRule="auto"/>
        <w:ind w:firstLine="0"/>
        <w:rPr>
          <w:sz w:val="22"/>
          <w:szCs w:val="22"/>
        </w:rPr>
      </w:pPr>
      <w:r>
        <w:rPr>
          <w:sz w:val="22"/>
          <w:szCs w:val="22"/>
        </w:rPr>
        <w:t>Some of Konami's key financial ratios also reflect its financial health and profitability. For example, the gross margin of sales in 2022 was 45.02%. This means that Konami can retain 45.02% of the income as gross profit for every unit of product or service sold. This high gross margin indicates Konami's advantage in cost control and pricing strategy. In addition, the net profit margin of sales in 2022 was 18.30%. This shows that after deducting all costs and expenses, Konami can retain 18.30% of the income as net profit for every unit of product or service sold. This high net profit rate shows that Konami has a good profitability. Furthermore, Konami's debt-to-asset ratio was 34.15%. This is a relatively low ratio, indicating that Konami has a robust financial structure and is not overly reliant on debt financing.</w:t>
      </w:r>
    </w:p>
    <w:p w14:paraId="771EF5AB" w14:textId="77777777" w:rsidR="004D2DD9" w:rsidRDefault="00000000">
      <w:pPr>
        <w:pStyle w:val="3"/>
        <w:spacing w:line="360" w:lineRule="auto"/>
      </w:pPr>
      <w:bookmarkStart w:id="17" w:name="_Toc152370348"/>
      <w:r>
        <w:t>3.1.2. Human Resources and Capabilities</w:t>
      </w:r>
      <w:bookmarkEnd w:id="17"/>
    </w:p>
    <w:p w14:paraId="79C3A597" w14:textId="77777777" w:rsidR="004D2DD9" w:rsidRDefault="00000000">
      <w:pPr>
        <w:spacing w:beforeLines="100" w:before="312" w:afterLines="100" w:after="312" w:line="360" w:lineRule="auto"/>
        <w:ind w:firstLine="0"/>
        <w:rPr>
          <w:sz w:val="22"/>
          <w:szCs w:val="22"/>
        </w:rPr>
      </w:pPr>
      <w:r>
        <w:rPr>
          <w:sz w:val="22"/>
          <w:szCs w:val="22"/>
        </w:rPr>
        <w:t xml:space="preserve">The human resources structure of the Konami Group is manifested in its diversified subsidiaries and departmental setup. For instance, companies such as </w:t>
      </w:r>
      <w:bookmarkStart w:id="18" w:name="OLE_LINK1"/>
      <w:r>
        <w:rPr>
          <w:sz w:val="22"/>
          <w:szCs w:val="22"/>
        </w:rPr>
        <w:t>KCE Tokyo</w:t>
      </w:r>
      <w:bookmarkEnd w:id="18"/>
      <w:r>
        <w:rPr>
          <w:sz w:val="22"/>
          <w:szCs w:val="22"/>
        </w:rPr>
        <w:t xml:space="preserve"> and KCE Osaka have led the development of many classic games; KCE JAPAN is divided into WEST and EAST groups, each handling different types of game development tasks(Konami, 2023). KCE STUDIO </w:t>
      </w:r>
      <w:r>
        <w:rPr>
          <w:sz w:val="22"/>
          <w:szCs w:val="22"/>
        </w:rPr>
        <w:lastRenderedPageBreak/>
        <w:t>focuses on the 'Muscle Ranking' series and the 'pop'n music' series. KCE SCHOOL is responsible for training new talents for Konami, with strict teaching standards ensuring the quality of new employees. AM Division and GM Division focus on manufacturing commercial video game machines, and their healthy competition has resulted in many classic products(Konami, 2022). CS Division is responsible for selling Konami's home games, while CP Division is specifically responsible for producing and selling game peripherals. Such division of labor and organizational structure optimizes Konami's human resource allocation and improves its operational efficiency(Konami, 2023).</w:t>
      </w:r>
    </w:p>
    <w:p w14:paraId="61B49773" w14:textId="77777777" w:rsidR="004D2DD9" w:rsidRDefault="00000000">
      <w:pPr>
        <w:spacing w:beforeLines="100" w:before="312" w:afterLines="100" w:after="312" w:line="360" w:lineRule="auto"/>
        <w:ind w:firstLine="0"/>
        <w:rPr>
          <w:sz w:val="22"/>
          <w:szCs w:val="22"/>
        </w:rPr>
      </w:pPr>
      <w:r>
        <w:rPr>
          <w:sz w:val="22"/>
          <w:szCs w:val="22"/>
        </w:rPr>
        <w:t xml:space="preserve">In addition, Konami values talent cultivation and development. The existence of KCE SCHOOL is clear evidence, through strict teaching standards, Konami can continuously cultivate excellent talents for its business development centers. Konami also pays attention to improving employee benefits. The number of employees at Konami fluctuated slightly over the past few years but overall remained stable, reflecting the company's good management of human resources. From 2020 to 2022, the number of employees decreased from 5057 to 4894, a slight drop of about 3.2%. However, during this period, Konami's net profit greatly increased, rising from 14,884.09 million GBP in 2020 to 34,157.62 million GBP in 2022, an increase of nearly 130%. This indicates that the efficiency of Konami's employees has significantly improved, demonstrating its achievements in human resource management. In addition, Konami continues to strive to improve employee treatment, further enhancing employee satisfaction and loyalty. For example, the company has increased the average base salary by 50,000 JPY/month, i.e., 600,000 JPY/year, and the starting salary for new employees has been raised to 290,000 JPY/month (Konami, 2022). </w:t>
      </w:r>
    </w:p>
    <w:p w14:paraId="682311E2" w14:textId="77777777" w:rsidR="004D2DD9" w:rsidRDefault="00000000">
      <w:pPr>
        <w:pStyle w:val="2"/>
        <w:spacing w:line="360" w:lineRule="auto"/>
      </w:pPr>
      <w:bookmarkStart w:id="19" w:name="_Toc152370349"/>
      <w:r>
        <w:t>3.2. Organizational Structure and Culture</w:t>
      </w:r>
      <w:bookmarkEnd w:id="19"/>
    </w:p>
    <w:p w14:paraId="2471F5A7" w14:textId="77777777" w:rsidR="004D2DD9" w:rsidRDefault="00000000">
      <w:pPr>
        <w:spacing w:beforeLines="100" w:before="312" w:afterLines="100" w:after="312" w:line="360" w:lineRule="auto"/>
        <w:ind w:firstLine="0"/>
        <w:rPr>
          <w:sz w:val="22"/>
          <w:szCs w:val="22"/>
        </w:rPr>
      </w:pPr>
      <w:r>
        <w:rPr>
          <w:sz w:val="22"/>
          <w:szCs w:val="22"/>
        </w:rPr>
        <w:t xml:space="preserve">Organizational structure plays a crucial role in the success of a company as it defines how tasks are assigned, who is accountable to whom, and how decisions are made (Lewis, 2019). Konami's organizational structure and culture reflect its leadership position and core values in the gaming industry. The company's structure is compact, divided into various business </w:t>
      </w:r>
      <w:r>
        <w:rPr>
          <w:sz w:val="22"/>
          <w:szCs w:val="22"/>
        </w:rPr>
        <w:lastRenderedPageBreak/>
        <w:t>departments to deal with different challenges and opportunities. This also allows the company to quickly adapt and respond to market changes. Research shows that a flexible organizational structure can enhance a company's adaptability to market changes, thereby improving its competitive advantage (Kröll et al., 2021).</w:t>
      </w:r>
    </w:p>
    <w:p w14:paraId="42E9C662" w14:textId="77777777" w:rsidR="004D2DD9" w:rsidRDefault="00000000">
      <w:pPr>
        <w:spacing w:beforeLines="100" w:before="312" w:afterLines="100" w:after="312" w:line="360" w:lineRule="auto"/>
        <w:ind w:firstLine="0"/>
        <w:rPr>
          <w:sz w:val="22"/>
          <w:szCs w:val="22"/>
        </w:rPr>
      </w:pPr>
      <w:r>
        <w:rPr>
          <w:sz w:val="22"/>
          <w:szCs w:val="22"/>
        </w:rPr>
        <w:t>On the other hand, corporate culture is an essential force in shaping and maintaining employee behavior, ways of thinking, and organizational values (Weerts et al., 2018). Konami's corporate culture emphasizes innovation, collaboration, and respect. An innovative corporate culture can enhance employees' innovation capabilities, thereby improving the company's competitiveness (Kim &amp; Park, 2022). Respectful and collaborative corporate culture also contributes to increasing employee job satisfaction and enthusiasm, thereby improving the overall effectiveness of the organization (Reyes, 2023). Thus, although Konami once had its treatment of talent questioned due to Hideo Kojima's departure, this incident was fundamentally a dispute over production decision-making power within the company. Regarding the general treatment of talent and respect and encouragement for employees, Konami has not had negative news to date.</w:t>
      </w:r>
    </w:p>
    <w:p w14:paraId="1D6C78B8" w14:textId="77777777" w:rsidR="004D2DD9" w:rsidRDefault="00000000">
      <w:pPr>
        <w:pStyle w:val="2"/>
        <w:spacing w:line="360" w:lineRule="auto"/>
      </w:pPr>
      <w:bookmarkStart w:id="20" w:name="_Toc152370350"/>
      <w:r>
        <w:t>3.3. Customer Care Situation Analysis</w:t>
      </w:r>
      <w:bookmarkEnd w:id="20"/>
    </w:p>
    <w:p w14:paraId="655FD986" w14:textId="77777777" w:rsidR="004D2DD9" w:rsidRDefault="00000000">
      <w:pPr>
        <w:spacing w:beforeLines="100" w:before="312" w:afterLines="100" w:after="312" w:line="360" w:lineRule="auto"/>
        <w:ind w:firstLine="0"/>
        <w:rPr>
          <w:sz w:val="22"/>
          <w:szCs w:val="22"/>
        </w:rPr>
      </w:pPr>
      <w:r>
        <w:rPr>
          <w:sz w:val="22"/>
          <w:szCs w:val="22"/>
        </w:rPr>
        <w:t>Konami's current customer care status is reflected in its various actions. The company has always been committed to providing high-quality products and services to meet the needs of different types of players. The company's official website and social media platforms regularly publish news and updates, such as www.konami.com/games/, https://cardgame-network.konami.net/, allowing players to know about the latest games and activities. Moreover, the company has a customer service center, and players can get help through phone calls, emails, or online chats. On the packaging of the physical version of console games, customer service contact information and feedback channels are usually provided(Prange, 2017).</w:t>
      </w:r>
    </w:p>
    <w:p w14:paraId="2928C9BD" w14:textId="77777777" w:rsidR="004D2DD9" w:rsidRDefault="00000000">
      <w:pPr>
        <w:widowControl/>
        <w:spacing w:line="360" w:lineRule="auto"/>
        <w:ind w:firstLine="0"/>
        <w:jc w:val="left"/>
      </w:pPr>
      <w:r>
        <w:br w:type="page"/>
      </w:r>
    </w:p>
    <w:p w14:paraId="1CD02C42" w14:textId="77777777" w:rsidR="004D2DD9" w:rsidRDefault="00000000">
      <w:pPr>
        <w:pStyle w:val="1"/>
        <w:spacing w:line="360" w:lineRule="auto"/>
      </w:pPr>
      <w:bookmarkStart w:id="21" w:name="_Toc152370351"/>
      <w:r>
        <w:lastRenderedPageBreak/>
        <w:t>IV. Evaluating the Strategic Options for Konami Corporation's Personalized Customer Care</w:t>
      </w:r>
      <w:bookmarkEnd w:id="21"/>
    </w:p>
    <w:p w14:paraId="793E9639" w14:textId="77777777" w:rsidR="004D2DD9" w:rsidRDefault="00000000">
      <w:pPr>
        <w:pStyle w:val="2"/>
        <w:spacing w:line="360" w:lineRule="auto"/>
      </w:pPr>
      <w:bookmarkStart w:id="22" w:name="_Toc152370352"/>
      <w:r>
        <w:t>4.1. Feasibility</w:t>
      </w:r>
      <w:bookmarkEnd w:id="22"/>
    </w:p>
    <w:p w14:paraId="7115F606" w14:textId="77777777" w:rsidR="004D2DD9" w:rsidRDefault="00000000">
      <w:pPr>
        <w:pStyle w:val="3"/>
        <w:spacing w:line="360" w:lineRule="auto"/>
      </w:pPr>
      <w:bookmarkStart w:id="23" w:name="_Toc152370353"/>
      <w:r>
        <w:t>4.1.1. Resource Allocation</w:t>
      </w:r>
      <w:bookmarkEnd w:id="23"/>
    </w:p>
    <w:p w14:paraId="728C44FB" w14:textId="77777777" w:rsidR="004D2DD9" w:rsidRDefault="00000000">
      <w:pPr>
        <w:spacing w:beforeLines="100" w:before="312" w:afterLines="100" w:after="312" w:line="360" w:lineRule="auto"/>
        <w:ind w:firstLine="0"/>
        <w:rPr>
          <w:sz w:val="22"/>
          <w:szCs w:val="22"/>
        </w:rPr>
      </w:pPr>
      <w:r>
        <w:rPr>
          <w:rFonts w:hint="eastAsia"/>
          <w:sz w:val="22"/>
          <w:szCs w:val="22"/>
        </w:rPr>
        <w:t>A</w:t>
      </w:r>
      <w:r>
        <w:rPr>
          <w:sz w:val="22"/>
          <w:szCs w:val="22"/>
        </w:rPr>
        <w:t>s demonstrated by Trustpilot user Wisam Ali's review, some games from Konami have been criticized for having issues, even allegations of stealing players' funds (Trustpilot, 2023). Such problems might reflect issues in Konami's resource allocation, including trust issues with players and the degree of attention paid to solving game problems. Additionally, user Tom McCavangh mentioned in his review that he was dissatisfied with Konami's product and the refund process took as long as three months (Trustpilot, 2023). This also reveals potential issues in Konami's human resources and financial management. Konami needs to enhance its service quality, especially in terms of refund policy and process, to avoid inconveniencing customers, while also improving the efficient and rational utilization of company resources.</w:t>
      </w:r>
    </w:p>
    <w:p w14:paraId="0A3F3451" w14:textId="77777777" w:rsidR="004D2DD9" w:rsidRDefault="00000000">
      <w:pPr>
        <w:pStyle w:val="3"/>
        <w:spacing w:line="360" w:lineRule="auto"/>
      </w:pPr>
      <w:bookmarkStart w:id="24" w:name="_Toc152370354"/>
      <w:r>
        <w:t>4.1.2. Technical Capability</w:t>
      </w:r>
      <w:bookmarkEnd w:id="24"/>
    </w:p>
    <w:p w14:paraId="35C6C6E4" w14:textId="77777777" w:rsidR="004D2DD9" w:rsidRDefault="00000000">
      <w:pPr>
        <w:spacing w:beforeLines="100" w:before="312" w:afterLines="100" w:after="312" w:line="360" w:lineRule="auto"/>
        <w:ind w:firstLine="0"/>
        <w:rPr>
          <w:sz w:val="22"/>
          <w:szCs w:val="22"/>
        </w:rPr>
      </w:pPr>
      <w:r>
        <w:rPr>
          <w:sz w:val="22"/>
          <w:szCs w:val="22"/>
        </w:rPr>
        <w:t>Konami is renowned for its high-quality video game technology, which is crucial for implementing a personalized customer care strategy. However, according to reviews from Git Fitz and Abir on Trustpilot, there are some technical issues with Konami's game products, such as AI interference, game network latency, and handling of game errors (Trustpilot, 2023). These issues indicate that the company is lacking in some technical aspects and needs improvement.</w:t>
      </w:r>
    </w:p>
    <w:p w14:paraId="25C8ECE6" w14:textId="77777777" w:rsidR="004D2DD9" w:rsidRDefault="00000000">
      <w:pPr>
        <w:pStyle w:val="3"/>
        <w:spacing w:line="360" w:lineRule="auto"/>
      </w:pPr>
      <w:bookmarkStart w:id="25" w:name="_Toc152370355"/>
      <w:r>
        <w:t>4.1.3. Understanding of the Market</w:t>
      </w:r>
      <w:bookmarkEnd w:id="25"/>
    </w:p>
    <w:p w14:paraId="283505C1" w14:textId="77777777" w:rsidR="004D2DD9" w:rsidRDefault="00000000">
      <w:pPr>
        <w:spacing w:beforeLines="100" w:before="312" w:afterLines="100" w:after="312" w:line="360" w:lineRule="auto"/>
        <w:ind w:firstLine="0"/>
        <w:rPr>
          <w:sz w:val="22"/>
          <w:szCs w:val="22"/>
        </w:rPr>
      </w:pPr>
      <w:r>
        <w:rPr>
          <w:sz w:val="22"/>
          <w:szCs w:val="22"/>
        </w:rPr>
        <w:t xml:space="preserve">As a globally renowned game company, Konami has a deep understanding of the gaming market, which is crucial for implementing a personalized customer care strategy. However, as per the reviews from Trustpilot users Islambek Usupov and Mathew Brock, there might be some issues with Konami's understanding of the market. Islambek Usupov pointed out that Konami </w:t>
      </w:r>
      <w:r>
        <w:rPr>
          <w:sz w:val="22"/>
          <w:szCs w:val="22"/>
        </w:rPr>
        <w:lastRenderedPageBreak/>
        <w:t>has canceled some popular game series, like "Bloody Roar" and "Silent Hill," which might reflect that Konami has failed to timely understand and adapt to market changes and satisfy players' needs (Trustpilot, 2023). Therefore, Konami needs to continually update its market understanding, pay more attention to and understand the needs and expectations of players.</w:t>
      </w:r>
    </w:p>
    <w:p w14:paraId="152A7A8F" w14:textId="77777777" w:rsidR="004D2DD9" w:rsidRDefault="00000000">
      <w:pPr>
        <w:pStyle w:val="2"/>
        <w:spacing w:line="360" w:lineRule="auto"/>
      </w:pPr>
      <w:bookmarkStart w:id="26" w:name="_Toc152370356"/>
      <w:r>
        <w:t>4.2. Rationality</w:t>
      </w:r>
      <w:bookmarkEnd w:id="26"/>
    </w:p>
    <w:p w14:paraId="19AC7154" w14:textId="77777777" w:rsidR="004D2DD9" w:rsidRDefault="00000000">
      <w:pPr>
        <w:pStyle w:val="3"/>
        <w:spacing w:line="360" w:lineRule="auto"/>
      </w:pPr>
      <w:bookmarkStart w:id="27" w:name="_Toc152370357"/>
      <w:r>
        <w:t>4.2.1. Understanding Customer Needs</w:t>
      </w:r>
      <w:bookmarkEnd w:id="27"/>
    </w:p>
    <w:p w14:paraId="078471E5" w14:textId="77777777" w:rsidR="004D2DD9" w:rsidRDefault="00000000">
      <w:pPr>
        <w:spacing w:beforeLines="100" w:before="312" w:afterLines="100" w:after="312" w:line="360" w:lineRule="auto"/>
        <w:ind w:firstLine="0"/>
        <w:rPr>
          <w:sz w:val="22"/>
          <w:szCs w:val="22"/>
        </w:rPr>
      </w:pPr>
      <w:r>
        <w:rPr>
          <w:sz w:val="22"/>
          <w:szCs w:val="22"/>
        </w:rPr>
        <w:t xml:space="preserve">Understanding customer needs is the foundation for Konami to devise and implement a personalized customer care strategy. Only by deeply understanding customer needs and expectations can they provide products and services that meet customer needs. Indeed, to overcome inconveniences caused by the pandemic and to meet the demand of players wanting to play card games and participate in competitions during the pandemic, Konami developed the online tournament 'Remote Duel Yu-Gi-Oh! Championship Series' (RDYCS). The tournament is streamed worldwide via platforms like YouTube, and its success and positive user feedback led Konami to decide to hold the event annually after 2021 (Konami, 2021).But, According to user reviews on Trustpilot, there are some issues with Konami's fulfillment of customer needs. For instance, user John the red expressed his dissatisfaction with Konami's sponsorship of Manchester United, vowing only to purchase Konami's products when they stop sponsoring Manchester United (Trustpilot, 2023). </w:t>
      </w:r>
    </w:p>
    <w:p w14:paraId="7F121184" w14:textId="77777777" w:rsidR="004D2DD9" w:rsidRDefault="00000000">
      <w:pPr>
        <w:pStyle w:val="3"/>
        <w:spacing w:line="360" w:lineRule="auto"/>
      </w:pPr>
      <w:bookmarkStart w:id="28" w:name="_Toc152370358"/>
      <w:r>
        <w:t>4.2.2. Control Over Product Quality</w:t>
      </w:r>
      <w:bookmarkEnd w:id="28"/>
    </w:p>
    <w:p w14:paraId="7336DF0C" w14:textId="77777777" w:rsidR="004D2DD9" w:rsidRDefault="00000000">
      <w:pPr>
        <w:spacing w:beforeLines="100" w:before="312" w:afterLines="100" w:after="312" w:line="360" w:lineRule="auto"/>
        <w:ind w:firstLine="0"/>
        <w:rPr>
          <w:sz w:val="22"/>
          <w:szCs w:val="22"/>
        </w:rPr>
      </w:pPr>
      <w:r>
        <w:rPr>
          <w:sz w:val="22"/>
          <w:szCs w:val="22"/>
        </w:rPr>
        <w:t xml:space="preserve">Product quality is a vital factor influencing customer satisfaction and loyalty. Konami must ensure the quality and performance of its products to meet customer needs and enhance customer satisfaction and loyalty(Balakrishnan &amp; Griffiths, 2018). However, some user reviews on Trustpilot indicate that there are issues with some Konami products. For example, user Charlie expressed dissatisfaction with certain problems in Konami games. He believes that games like PES20 are clearly unreasonable in difficulty settings and lack design in game difficulty curve (Trustpilot, 2023). This situation suggests that Konami needs to pay more </w:t>
      </w:r>
      <w:r>
        <w:rPr>
          <w:sz w:val="22"/>
          <w:szCs w:val="22"/>
        </w:rPr>
        <w:lastRenderedPageBreak/>
        <w:t>attention to product quality and performance to meet customer needs.</w:t>
      </w:r>
    </w:p>
    <w:p w14:paraId="1B17D75B" w14:textId="77777777" w:rsidR="004D2DD9" w:rsidRDefault="00000000">
      <w:pPr>
        <w:pStyle w:val="3"/>
        <w:spacing w:line="360" w:lineRule="auto"/>
      </w:pPr>
      <w:bookmarkStart w:id="29" w:name="_Toc152370359"/>
      <w:r>
        <w:t>4.2.3. Emphasis on Customer Service</w:t>
      </w:r>
      <w:bookmarkEnd w:id="29"/>
    </w:p>
    <w:p w14:paraId="7CAD8B9B" w14:textId="77777777" w:rsidR="004D2DD9" w:rsidRDefault="00000000">
      <w:pPr>
        <w:spacing w:beforeLines="100" w:before="312" w:afterLines="100" w:after="312" w:line="360" w:lineRule="auto"/>
        <w:ind w:firstLine="0"/>
        <w:rPr>
          <w:sz w:val="22"/>
          <w:szCs w:val="22"/>
        </w:rPr>
      </w:pPr>
      <w:r>
        <w:rPr>
          <w:sz w:val="22"/>
          <w:szCs w:val="22"/>
        </w:rPr>
        <w:t>High-quality customer service is key to enhancing customer satisfaction and loyalty. Konami needs to provide professional, efficient customer service to resolve customer issues and meet their needs(Dehdashti &amp; Bashirpour, 2018). However, some user reviews on Trustpilot indicate that there are issues with Konami's customer service. For example, user Daniel expressed dissatisfaction with Konami's customer service, stating that it only provided vague answers without offering solutions to his problems. Another user, Gavin Lau, criticized Konami's customer service personnel for not being able to properly answer his questions and criticized Konami's game servers for having issues 24/7, 365 days a year (Trustpilot, 2023). This situation indicates that Konami needs to improve its customer service, offering more professional, more efficient services to meet customer needs.</w:t>
      </w:r>
    </w:p>
    <w:p w14:paraId="28D1B970" w14:textId="77777777" w:rsidR="004D2DD9" w:rsidRDefault="00000000">
      <w:pPr>
        <w:pStyle w:val="2"/>
        <w:spacing w:line="360" w:lineRule="auto"/>
      </w:pPr>
      <w:bookmarkStart w:id="30" w:name="_Toc152370360"/>
      <w:r>
        <w:t>4.3. Risks</w:t>
      </w:r>
      <w:bookmarkEnd w:id="30"/>
    </w:p>
    <w:p w14:paraId="10C3C88B" w14:textId="77777777" w:rsidR="004D2DD9" w:rsidRDefault="00000000">
      <w:pPr>
        <w:pStyle w:val="3"/>
        <w:spacing w:line="360" w:lineRule="auto"/>
      </w:pPr>
      <w:bookmarkStart w:id="31" w:name="_Toc152370361"/>
      <w:r>
        <w:t>4.3.1. Brand Image Risk</w:t>
      </w:r>
      <w:bookmarkEnd w:id="31"/>
    </w:p>
    <w:p w14:paraId="41F14195" w14:textId="77777777" w:rsidR="004D2DD9" w:rsidRDefault="00000000">
      <w:pPr>
        <w:spacing w:beforeLines="100" w:before="312" w:afterLines="100" w:after="312" w:line="360" w:lineRule="auto"/>
        <w:ind w:firstLine="0"/>
        <w:rPr>
          <w:sz w:val="22"/>
          <w:szCs w:val="22"/>
        </w:rPr>
      </w:pPr>
      <w:r>
        <w:rPr>
          <w:sz w:val="22"/>
          <w:szCs w:val="22"/>
        </w:rPr>
        <w:t>In Trustpilot reviews, some users have expressed dissatisfaction with Konami's business decisions and product quality. For example, Git Fitz and Islambek Usupov have expressed great disappointment with Konami's game products, believing that Konami has ruined some of the games they love (Trustpilot, 2023). Such negative feedback could potentially harm Konami's brand image, thereby affecting its market share and profitability.</w:t>
      </w:r>
    </w:p>
    <w:p w14:paraId="5F6DB6BC" w14:textId="77777777" w:rsidR="004D2DD9" w:rsidRDefault="00000000">
      <w:pPr>
        <w:pStyle w:val="3"/>
        <w:spacing w:line="360" w:lineRule="auto"/>
      </w:pPr>
      <w:bookmarkStart w:id="32" w:name="_Toc152370362"/>
      <w:r>
        <w:t>4.3.2. Customer Service Risk</w:t>
      </w:r>
      <w:bookmarkEnd w:id="32"/>
    </w:p>
    <w:p w14:paraId="0F0840B0" w14:textId="77777777" w:rsidR="004D2DD9" w:rsidRDefault="00000000">
      <w:pPr>
        <w:spacing w:beforeLines="100" w:before="312" w:afterLines="100" w:after="312" w:line="360" w:lineRule="auto"/>
        <w:ind w:firstLine="0"/>
        <w:rPr>
          <w:sz w:val="22"/>
          <w:szCs w:val="22"/>
        </w:rPr>
      </w:pPr>
      <w:r>
        <w:rPr>
          <w:sz w:val="22"/>
          <w:szCs w:val="22"/>
        </w:rPr>
        <w:t xml:space="preserve">Some users have complained about Konami's customer service. For example, Mathew Brock found it extremely difficult and confusing to deal with Konami's customer service, leaving him feeling frustrated and unsure about what to do next (Trustpilot, 2023). Such service experiences could lead Konami to lose customers, who might turn to competitors offering better customer service. Moreover, if Konami fails to improve its customer service, it could further damage its </w:t>
      </w:r>
      <w:r>
        <w:rPr>
          <w:sz w:val="22"/>
          <w:szCs w:val="22"/>
        </w:rPr>
        <w:lastRenderedPageBreak/>
        <w:t>brand image and potentially lead to legal disputes(Havens, 2018).</w:t>
      </w:r>
    </w:p>
    <w:p w14:paraId="4AA6531D" w14:textId="77777777" w:rsidR="004D2DD9" w:rsidRDefault="00000000">
      <w:pPr>
        <w:pStyle w:val="3"/>
        <w:spacing w:line="360" w:lineRule="auto"/>
      </w:pPr>
      <w:bookmarkStart w:id="33" w:name="_Toc152370363"/>
      <w:r>
        <w:t>4.3.3. Product Quality Risk</w:t>
      </w:r>
      <w:bookmarkEnd w:id="33"/>
    </w:p>
    <w:p w14:paraId="69CF5BB2" w14:textId="77777777" w:rsidR="004D2DD9" w:rsidRDefault="00000000">
      <w:pPr>
        <w:spacing w:beforeLines="100" w:before="312" w:afterLines="100" w:after="312" w:line="360" w:lineRule="auto"/>
        <w:ind w:firstLine="0"/>
        <w:rPr>
          <w:sz w:val="22"/>
          <w:szCs w:val="22"/>
        </w:rPr>
      </w:pPr>
      <w:r>
        <w:rPr>
          <w:sz w:val="22"/>
          <w:szCs w:val="22"/>
        </w:rPr>
        <w:t>Based on user feedback, some of Konami's games have issues. For instance, user Tom McCavangh was unsatisfied after using a Konami product and spent three months getting a refund (Trustpilot, 2023). If Konami can't resolve these issues promptly, users may lose confidence in its products and might switch to those of other competitors. Furthermore, product quality issues could lead to an increase in refund requests, thereby increasing Konami's operational costs(Cleveland, 2022).</w:t>
      </w:r>
    </w:p>
    <w:p w14:paraId="52FDA589" w14:textId="77777777" w:rsidR="004D2DD9" w:rsidRDefault="00000000">
      <w:pPr>
        <w:pStyle w:val="3"/>
        <w:spacing w:line="360" w:lineRule="auto"/>
      </w:pPr>
      <w:bookmarkStart w:id="34" w:name="_Toc152370364"/>
      <w:r>
        <w:t>4.3.4. Strategic Risk</w:t>
      </w:r>
      <w:bookmarkEnd w:id="34"/>
    </w:p>
    <w:p w14:paraId="67C46BDB" w14:textId="77777777" w:rsidR="004D2DD9" w:rsidRDefault="00000000">
      <w:pPr>
        <w:spacing w:beforeLines="100" w:before="312" w:afterLines="100" w:after="312" w:line="360" w:lineRule="auto"/>
        <w:ind w:firstLine="0"/>
        <w:rPr>
          <w:sz w:val="22"/>
          <w:szCs w:val="22"/>
        </w:rPr>
      </w:pPr>
      <w:r>
        <w:rPr>
          <w:sz w:val="22"/>
          <w:szCs w:val="22"/>
        </w:rPr>
        <w:t>In terms of Konami's strategic decisions, some users have expressed their concerns. For example, several users like Account Number are disappointed that Konami did not launch the original Silent Hill and Silent Hill 4 on PS4. They believe this was a misguided decision that should be corrected by remaking the games (Trustpilot, 2023). This might suggest problems with Konami's strategic decision-making. If Konami fails to address these issues appropriately, it might lose some customers and potentially have a negative impact on its long-term development.</w:t>
      </w:r>
    </w:p>
    <w:p w14:paraId="756AB0C2" w14:textId="77777777" w:rsidR="004D2DD9" w:rsidRDefault="00000000">
      <w:pPr>
        <w:widowControl/>
        <w:spacing w:line="360" w:lineRule="auto"/>
        <w:ind w:firstLine="0"/>
        <w:jc w:val="left"/>
      </w:pPr>
      <w:r>
        <w:br w:type="page"/>
      </w:r>
    </w:p>
    <w:p w14:paraId="190BFA84" w14:textId="77777777" w:rsidR="004D2DD9" w:rsidRDefault="00000000">
      <w:pPr>
        <w:pStyle w:val="1"/>
        <w:spacing w:line="360" w:lineRule="auto"/>
      </w:pPr>
      <w:bookmarkStart w:id="35" w:name="_Toc152370365"/>
      <w:r>
        <w:lastRenderedPageBreak/>
        <w:t>V. Strategy Implementation</w:t>
      </w:r>
      <w:bookmarkEnd w:id="35"/>
    </w:p>
    <w:p w14:paraId="7B964D20" w14:textId="77777777" w:rsidR="004D2DD9" w:rsidRDefault="00000000">
      <w:pPr>
        <w:pStyle w:val="2"/>
        <w:spacing w:line="360" w:lineRule="auto"/>
      </w:pPr>
      <w:bookmarkStart w:id="36" w:name="_Toc152370366"/>
      <w:r>
        <w:t>5.1. Proposing a New Customer Care Strategy</w:t>
      </w:r>
      <w:bookmarkEnd w:id="36"/>
    </w:p>
    <w:p w14:paraId="5019C726" w14:textId="77777777" w:rsidR="004D2DD9" w:rsidRDefault="00000000">
      <w:pPr>
        <w:pStyle w:val="3"/>
        <w:spacing w:line="360" w:lineRule="auto"/>
      </w:pPr>
      <w:bookmarkStart w:id="37" w:name="_Toc152370367"/>
      <w:r>
        <w:t>5.1.1. Strengthen the Customer Service System</w:t>
      </w:r>
      <w:bookmarkEnd w:id="37"/>
    </w:p>
    <w:p w14:paraId="07F9E6D5" w14:textId="77777777" w:rsidR="004D2DD9" w:rsidRDefault="00000000">
      <w:pPr>
        <w:spacing w:beforeLines="100" w:before="312" w:afterLines="100" w:after="312" w:line="360" w:lineRule="auto"/>
        <w:ind w:firstLine="0"/>
        <w:rPr>
          <w:sz w:val="22"/>
          <w:szCs w:val="22"/>
        </w:rPr>
      </w:pPr>
      <w:r>
        <w:rPr>
          <w:sz w:val="22"/>
          <w:szCs w:val="22"/>
        </w:rPr>
        <w:t>Given user feedback, there are certain issues with Konami's customer service. As a solution, Konami can improve its customer service quality and establish more effective channels for problem resolution. For example, Konami can set up a 24/7 online customer service center, so users can get help anytime. Additionally, can add more comprehensive and detailed FAQs on its website and social media, allowing users to solve some common problems themselves(Tan &amp; Yang, 2022).</w:t>
      </w:r>
    </w:p>
    <w:p w14:paraId="19192DAE" w14:textId="77777777" w:rsidR="004D2DD9" w:rsidRDefault="00000000">
      <w:pPr>
        <w:pStyle w:val="3"/>
        <w:spacing w:line="360" w:lineRule="auto"/>
      </w:pPr>
      <w:bookmarkStart w:id="38" w:name="_Toc152370368"/>
      <w:r>
        <w:t>5.1.2. Enhance Communication with Users</w:t>
      </w:r>
      <w:bookmarkEnd w:id="38"/>
    </w:p>
    <w:p w14:paraId="75FA3DCE" w14:textId="77777777" w:rsidR="004D2DD9" w:rsidRDefault="00000000">
      <w:pPr>
        <w:spacing w:beforeLines="100" w:before="312" w:afterLines="100" w:after="312" w:line="360" w:lineRule="auto"/>
        <w:ind w:firstLine="0"/>
        <w:rPr>
          <w:sz w:val="22"/>
          <w:szCs w:val="22"/>
        </w:rPr>
      </w:pPr>
      <w:r>
        <w:rPr>
          <w:sz w:val="22"/>
          <w:szCs w:val="22"/>
        </w:rPr>
        <w:t>Konami can enhance communication with users to understand their needs and expectations. For example, Konami can regularly conduct surveys on social media or organize user forums to allow users to share their thoughts and suggestions(Angel, 2022). Additionally, Konami can regularly send the company's latest news to users via email or social media, including new product releases, the development of new features, and the company's strategic planning.</w:t>
      </w:r>
    </w:p>
    <w:p w14:paraId="1C22009F" w14:textId="77777777" w:rsidR="004D2DD9" w:rsidRDefault="00000000">
      <w:pPr>
        <w:pStyle w:val="3"/>
        <w:spacing w:line="360" w:lineRule="auto"/>
      </w:pPr>
      <w:bookmarkStart w:id="39" w:name="_Toc152370369"/>
      <w:r>
        <w:t>5.1.3. Improve Product Quality and User Experience</w:t>
      </w:r>
      <w:bookmarkEnd w:id="39"/>
    </w:p>
    <w:p w14:paraId="5F7EA61B" w14:textId="77777777" w:rsidR="004D2DD9" w:rsidRDefault="00000000">
      <w:pPr>
        <w:spacing w:beforeLines="100" w:before="312" w:afterLines="100" w:after="312" w:line="360" w:lineRule="auto"/>
        <w:ind w:firstLine="0"/>
        <w:rPr>
          <w:sz w:val="22"/>
          <w:szCs w:val="22"/>
        </w:rPr>
      </w:pPr>
      <w:r>
        <w:rPr>
          <w:sz w:val="22"/>
          <w:szCs w:val="22"/>
        </w:rPr>
        <w:t>To meet user expectations, Konami needs to improve its product quality and user experience. Specifically, Konami can extend its product testing phase to discover and fix possible issues early. Moreover, based on user feedback, Konami can improve its product designs and functionalities. For instance, according to user feedback, Konami could enhance its football game's AI design, making the game more challenging and competitive.</w:t>
      </w:r>
    </w:p>
    <w:p w14:paraId="18B74B8D" w14:textId="77777777" w:rsidR="004D2DD9" w:rsidRDefault="00000000">
      <w:pPr>
        <w:pStyle w:val="3"/>
        <w:spacing w:line="360" w:lineRule="auto"/>
      </w:pPr>
      <w:bookmarkStart w:id="40" w:name="_Toc152370370"/>
      <w:r>
        <w:t>5.1.4. Strengthen Brand Image Building</w:t>
      </w:r>
      <w:bookmarkEnd w:id="40"/>
    </w:p>
    <w:p w14:paraId="4ADA2FB9" w14:textId="77777777" w:rsidR="004D2DD9" w:rsidRDefault="00000000">
      <w:pPr>
        <w:spacing w:beforeLines="100" w:before="312" w:afterLines="100" w:after="312" w:line="360" w:lineRule="auto"/>
        <w:ind w:firstLine="0"/>
        <w:rPr>
          <w:sz w:val="22"/>
          <w:szCs w:val="22"/>
        </w:rPr>
      </w:pPr>
      <w:r>
        <w:rPr>
          <w:sz w:val="22"/>
          <w:szCs w:val="22"/>
        </w:rPr>
        <w:t xml:space="preserve">To strengthen Konami's brand image, the company needs to devise effective brand promotion </w:t>
      </w:r>
      <w:r>
        <w:rPr>
          <w:sz w:val="22"/>
          <w:szCs w:val="22"/>
        </w:rPr>
        <w:lastRenderedPageBreak/>
        <w:t>strategies. For example, Konami can organize online or offline events like gaming tournaments, user meetups, and charity events to increase brand exposure. Additionally, Konami can invite well-known gaming bloggers or influencers for game promotion and reviews.</w:t>
      </w:r>
    </w:p>
    <w:p w14:paraId="2F659B55" w14:textId="77777777" w:rsidR="004D2DD9" w:rsidRDefault="00000000">
      <w:pPr>
        <w:pStyle w:val="2"/>
        <w:spacing w:line="360" w:lineRule="auto"/>
      </w:pPr>
      <w:bookmarkStart w:id="41" w:name="_Toc152370371"/>
      <w:r>
        <w:t>5.2. Impact on Different Company Departments</w:t>
      </w:r>
      <w:bookmarkEnd w:id="41"/>
    </w:p>
    <w:p w14:paraId="6804DE86" w14:textId="77777777" w:rsidR="004D2DD9" w:rsidRDefault="00000000">
      <w:pPr>
        <w:pStyle w:val="3"/>
        <w:spacing w:line="360" w:lineRule="auto"/>
      </w:pPr>
      <w:bookmarkStart w:id="42" w:name="_Toc152370372"/>
      <w:r>
        <w:t>5.2.1. Customer Service Department</w:t>
      </w:r>
      <w:bookmarkEnd w:id="42"/>
    </w:p>
    <w:p w14:paraId="1DD9A1EF" w14:textId="77777777" w:rsidR="004D2DD9" w:rsidRDefault="00000000">
      <w:pPr>
        <w:spacing w:beforeLines="100" w:before="312" w:afterLines="100" w:after="312" w:line="360" w:lineRule="auto"/>
        <w:ind w:firstLine="0"/>
        <w:rPr>
          <w:sz w:val="22"/>
          <w:szCs w:val="22"/>
        </w:rPr>
      </w:pPr>
      <w:r>
        <w:rPr>
          <w:sz w:val="22"/>
          <w:szCs w:val="22"/>
        </w:rPr>
        <w:t>The Customer Service department is the frontline of the customer care strategy and has a significant impact on enhancing the company's image and ensuring customer satisfaction. They need to demonstrate efficiency and professionalism when addressing customer issues, and win customer trust and satisfaction through positive attitudes and excellent communication skills(Hong et al., 2023). For Konami, investing in the customer service department, including staff training and system upgrading, is a crucial step in implementing the customer care strategy.</w:t>
      </w:r>
    </w:p>
    <w:p w14:paraId="41260CD7" w14:textId="77777777" w:rsidR="004D2DD9" w:rsidRDefault="00000000">
      <w:pPr>
        <w:pStyle w:val="3"/>
        <w:spacing w:line="360" w:lineRule="auto"/>
      </w:pPr>
      <w:bookmarkStart w:id="43" w:name="_Toc152370373"/>
      <w:r>
        <w:t>5.2.2. Development Department</w:t>
      </w:r>
      <w:bookmarkEnd w:id="43"/>
    </w:p>
    <w:p w14:paraId="6BC764BA" w14:textId="77777777" w:rsidR="004D2DD9" w:rsidRDefault="00000000">
      <w:pPr>
        <w:spacing w:beforeLines="100" w:before="312" w:afterLines="100" w:after="312" w:line="360" w:lineRule="auto"/>
        <w:ind w:firstLine="0"/>
        <w:rPr>
          <w:sz w:val="22"/>
          <w:szCs w:val="22"/>
        </w:rPr>
      </w:pPr>
      <w:r>
        <w:rPr>
          <w:sz w:val="22"/>
          <w:szCs w:val="22"/>
        </w:rPr>
        <w:t>The Development department has a decisive impact on product quality and user experience. They need to pay close attention to customer feedback to timely fix issues in products, and they need to be innovative and flexible, proposing and implementing new features that can improve user experience. In the new customer care strategy, the development department needs to play a larger role in responding to customer needs and promoting product innovation(Bulut, 2020).</w:t>
      </w:r>
    </w:p>
    <w:p w14:paraId="5B701E7E" w14:textId="77777777" w:rsidR="004D2DD9" w:rsidRDefault="00000000">
      <w:pPr>
        <w:pStyle w:val="3"/>
        <w:spacing w:line="360" w:lineRule="auto"/>
      </w:pPr>
      <w:bookmarkStart w:id="44" w:name="_Toc152370374"/>
      <w:r>
        <w:t>5.2.3. Marketing Department</w:t>
      </w:r>
      <w:bookmarkEnd w:id="44"/>
    </w:p>
    <w:p w14:paraId="774EA967" w14:textId="77777777" w:rsidR="004D2DD9" w:rsidRDefault="00000000">
      <w:pPr>
        <w:spacing w:beforeLines="100" w:before="312" w:afterLines="100" w:after="312" w:line="360" w:lineRule="auto"/>
        <w:ind w:firstLine="0"/>
        <w:rPr>
          <w:sz w:val="22"/>
          <w:szCs w:val="22"/>
        </w:rPr>
      </w:pPr>
      <w:r>
        <w:rPr>
          <w:sz w:val="22"/>
          <w:szCs w:val="22"/>
        </w:rPr>
        <w:t>The Marketing department is responsible for formulating and executing the company's brand promotion strategies, and their work directly affects the company's brand image and market influence(Witkowski &amp; Manning, 2019). Konami's marketing department needs to work closely with other departments to ensure the company's information and activities effectively reach the target users. They also need to design and implement a series of brand promotion activities to enhance Konami's brand image and awareness.</w:t>
      </w:r>
    </w:p>
    <w:p w14:paraId="1FC5C842" w14:textId="77777777" w:rsidR="004D2DD9" w:rsidRDefault="00000000">
      <w:pPr>
        <w:pStyle w:val="3"/>
        <w:spacing w:line="360" w:lineRule="auto"/>
      </w:pPr>
      <w:bookmarkStart w:id="45" w:name="_Toc152370375"/>
      <w:r>
        <w:lastRenderedPageBreak/>
        <w:t>5.2.4. Decision-making Department</w:t>
      </w:r>
      <w:bookmarkEnd w:id="45"/>
    </w:p>
    <w:p w14:paraId="01A05EED" w14:textId="77777777" w:rsidR="004D2DD9" w:rsidRDefault="00000000">
      <w:pPr>
        <w:spacing w:beforeLines="100" w:before="312" w:afterLines="100" w:after="312" w:line="360" w:lineRule="auto"/>
        <w:ind w:firstLine="0"/>
        <w:rPr>
          <w:sz w:val="22"/>
          <w:szCs w:val="22"/>
        </w:rPr>
      </w:pPr>
      <w:r>
        <w:rPr>
          <w:sz w:val="22"/>
          <w:szCs w:val="22"/>
        </w:rPr>
        <w:t>The Decision-making department, including the company's senior management and board of directors, has a decisive influence on the company's strategic direction and business decisions. They need to understand and support the new customer care strategy and provide necessary resources and support(Shay &amp; Palomba, 2020). When implementing the new customer care strategy, the decision-making department needs to consider the company's long-term development and interests, and actively respond to potential risks and challenges.</w:t>
      </w:r>
    </w:p>
    <w:p w14:paraId="00666080" w14:textId="77777777" w:rsidR="004D2DD9" w:rsidRDefault="00000000">
      <w:pPr>
        <w:pStyle w:val="2"/>
        <w:spacing w:line="360" w:lineRule="auto"/>
      </w:pPr>
      <w:bookmarkStart w:id="46" w:name="_Toc152370376"/>
      <w:r>
        <w:t>5.3. Long-term and Short-term Strategic Plans</w:t>
      </w:r>
      <w:bookmarkEnd w:id="46"/>
    </w:p>
    <w:p w14:paraId="7290BD07" w14:textId="77777777" w:rsidR="004D2DD9" w:rsidRDefault="00000000">
      <w:pPr>
        <w:pStyle w:val="3"/>
        <w:spacing w:line="360" w:lineRule="auto"/>
      </w:pPr>
      <w:bookmarkStart w:id="47" w:name="_Toc152370377"/>
      <w:r>
        <w:t>5.3.1. Short-term Strategic Plan</w:t>
      </w:r>
      <w:bookmarkEnd w:id="47"/>
    </w:p>
    <w:p w14:paraId="35B0B987" w14:textId="77777777" w:rsidR="004D2DD9" w:rsidRDefault="00000000">
      <w:pPr>
        <w:spacing w:beforeLines="100" w:before="312" w:afterLines="100" w:after="312" w:line="360" w:lineRule="auto"/>
        <w:ind w:firstLine="0"/>
        <w:rPr>
          <w:sz w:val="22"/>
          <w:szCs w:val="22"/>
        </w:rPr>
      </w:pPr>
      <w:r>
        <w:rPr>
          <w:sz w:val="22"/>
          <w:szCs w:val="22"/>
        </w:rPr>
        <w:t>In the short term, Konami should focus on improving customer service and enhancing user experience. Firstly, the response speed and problem-solving efficiency of customer service should be improved. To achieve this goal, Konami should enhance the technical level of the service team, for example, by providing more comprehensive product knowledge and skill training, or adopting advanced customer service systems to process user requests faster. Secondly, Konami should improve products according to user feedback, such as fixing issues in the PES series games, to increase user experience satisfaction. This requires the development team to work closely with the customer service department to better understand and meet user needs.</w:t>
      </w:r>
    </w:p>
    <w:p w14:paraId="57CA477C" w14:textId="77777777" w:rsidR="004D2DD9" w:rsidRDefault="00000000">
      <w:pPr>
        <w:pStyle w:val="3"/>
        <w:spacing w:line="360" w:lineRule="auto"/>
      </w:pPr>
      <w:bookmarkStart w:id="48" w:name="_Toc152370378"/>
      <w:r>
        <w:t>5.3.2. Long-term Strategic Plan</w:t>
      </w:r>
      <w:bookmarkEnd w:id="48"/>
    </w:p>
    <w:p w14:paraId="062538EA" w14:textId="77777777" w:rsidR="004D2DD9" w:rsidRDefault="00000000">
      <w:pPr>
        <w:spacing w:beforeLines="100" w:before="312" w:afterLines="100" w:after="312" w:line="360" w:lineRule="auto"/>
        <w:ind w:firstLine="0"/>
        <w:rPr>
          <w:sz w:val="22"/>
          <w:szCs w:val="22"/>
        </w:rPr>
      </w:pPr>
      <w:r>
        <w:rPr>
          <w:sz w:val="22"/>
          <w:szCs w:val="22"/>
        </w:rPr>
        <w:t xml:space="preserve">In the long term, Konami should focus on enhancing its brand image and expanding its market share. To achieve this goal, Konami needs to build and maintain deep relationships with users. This can be achieved by launching personalized user experiences, such as offering customized game content and promotional activities based on users' gaming habits and preferences, or iterating and improving products based on user feedback. Additionally, Konami needs to pay close attention to market changes to seize new business opportunities in time. For example, </w:t>
      </w:r>
      <w:r>
        <w:rPr>
          <w:sz w:val="22"/>
          <w:szCs w:val="22"/>
        </w:rPr>
        <w:lastRenderedPageBreak/>
        <w:t>Konami can further expand its share in the mobile gaming market, or explore the possibilities of emerging technologies such as virtual reality and augmented reality.</w:t>
      </w:r>
    </w:p>
    <w:p w14:paraId="5D052CD1" w14:textId="77777777" w:rsidR="004D2DD9" w:rsidRDefault="00000000">
      <w:pPr>
        <w:spacing w:beforeLines="100" w:before="312" w:afterLines="100" w:after="312" w:line="360" w:lineRule="auto"/>
        <w:ind w:firstLine="0"/>
        <w:rPr>
          <w:sz w:val="22"/>
          <w:szCs w:val="22"/>
        </w:rPr>
      </w:pPr>
      <w:r>
        <w:rPr>
          <w:sz w:val="22"/>
          <w:szCs w:val="22"/>
        </w:rPr>
        <w:t>In general, Konami's short-term and long-term strategic plans should be combined with its current business environment and development goals to achieve continuous growth and profitability. This requires coordination and cooperation among various departments of the company, as well as firm confidence and determination from the company's leadership towards new strategic objectives. Only in this way can Konami successfully implement its new customer care strategy and enhance its position in the highly competitive gaming market.</w:t>
      </w:r>
    </w:p>
    <w:p w14:paraId="2A953687" w14:textId="77777777" w:rsidR="004D2DD9" w:rsidRDefault="00000000">
      <w:pPr>
        <w:widowControl/>
        <w:spacing w:line="360" w:lineRule="auto"/>
        <w:ind w:firstLine="0"/>
        <w:jc w:val="left"/>
      </w:pPr>
      <w:r>
        <w:br w:type="page"/>
      </w:r>
    </w:p>
    <w:p w14:paraId="3959A266" w14:textId="77777777" w:rsidR="004D2DD9" w:rsidRDefault="00000000">
      <w:pPr>
        <w:pStyle w:val="1"/>
        <w:spacing w:line="360" w:lineRule="auto"/>
      </w:pPr>
      <w:bookmarkStart w:id="49" w:name="_Toc152370379"/>
      <w:r>
        <w:lastRenderedPageBreak/>
        <w:t>VI. Conclusion</w:t>
      </w:r>
      <w:bookmarkEnd w:id="49"/>
    </w:p>
    <w:p w14:paraId="3EB7F63A" w14:textId="77777777" w:rsidR="004D2DD9" w:rsidRDefault="00000000">
      <w:pPr>
        <w:spacing w:beforeLines="100" w:before="312" w:afterLines="100" w:after="312" w:line="360" w:lineRule="auto"/>
        <w:ind w:firstLine="0"/>
        <w:rPr>
          <w:sz w:val="22"/>
          <w:szCs w:val="22"/>
        </w:rPr>
      </w:pPr>
      <w:r>
        <w:rPr>
          <w:sz w:val="22"/>
          <w:szCs w:val="22"/>
        </w:rPr>
        <w:t>Through the above analysis, it can be seen that Konami's personalized customer care strategy needs to be balanced and optimized in terms of feasibility, rationality, and risk. From the perspective of feasibility, Konami has extensive game development experience and a wide user base, which provides the basis for implementing a personalized customer care strategy. From the perspective of rationality, by improving customer service, optimizing user experience, enhancing brand image, and expanding market share, Konami can achieve business growth and profitability. However, Konami also needs to be alert to the risks that its personalized customer care strategy may bring, such as user dissatisfaction, product quality issues, brand reputation damage, etc.</w:t>
      </w:r>
    </w:p>
    <w:p w14:paraId="326DDA60" w14:textId="77777777" w:rsidR="004D2DD9" w:rsidRDefault="00000000">
      <w:pPr>
        <w:widowControl/>
        <w:spacing w:line="360" w:lineRule="auto"/>
        <w:ind w:firstLine="0"/>
        <w:jc w:val="left"/>
      </w:pPr>
      <w:r>
        <w:br w:type="page"/>
      </w:r>
    </w:p>
    <w:p w14:paraId="3B5F5D68" w14:textId="77777777" w:rsidR="004D2DD9" w:rsidRDefault="00000000">
      <w:pPr>
        <w:pStyle w:val="1"/>
        <w:spacing w:line="360" w:lineRule="auto"/>
      </w:pPr>
      <w:bookmarkStart w:id="50" w:name="_Toc152370380"/>
      <w:r>
        <w:lastRenderedPageBreak/>
        <w:t>References</w:t>
      </w:r>
      <w:bookmarkEnd w:id="50"/>
    </w:p>
    <w:p w14:paraId="548F3207"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Adarov</w:t>
      </w:r>
      <w:r>
        <w:rPr>
          <w:color w:val="000000" w:themeColor="text1"/>
          <w:sz w:val="22"/>
          <w:szCs w:val="22"/>
          <w:shd w:val="clear" w:color="auto" w:fill="FFFFFF"/>
        </w:rPr>
        <w:t>，</w:t>
      </w:r>
      <w:r>
        <w:rPr>
          <w:color w:val="000000" w:themeColor="text1"/>
          <w:sz w:val="22"/>
          <w:szCs w:val="22"/>
          <w:shd w:val="clear" w:color="auto" w:fill="FFFFFF"/>
        </w:rPr>
        <w:t>A</w:t>
      </w:r>
      <w:r>
        <w:rPr>
          <w:rFonts w:hint="eastAsia"/>
          <w:color w:val="000000" w:themeColor="text1"/>
          <w:sz w:val="22"/>
          <w:szCs w:val="22"/>
          <w:shd w:val="clear" w:color="auto" w:fill="FFFFFF"/>
        </w:rPr>
        <w:t>.</w:t>
      </w:r>
      <w:r>
        <w:rPr>
          <w:color w:val="000000" w:themeColor="text1"/>
          <w:sz w:val="22"/>
          <w:szCs w:val="22"/>
          <w:shd w:val="clear" w:color="auto" w:fill="FFFFFF"/>
        </w:rPr>
        <w:t xml:space="preserve">(2021) </w:t>
      </w:r>
      <w:r>
        <w:rPr>
          <w:rFonts w:hint="eastAsia"/>
          <w:color w:val="000000" w:themeColor="text1"/>
          <w:sz w:val="22"/>
          <w:szCs w:val="22"/>
          <w:shd w:val="clear" w:color="auto" w:fill="FFFFFF"/>
        </w:rPr>
        <w:t>‘</w:t>
      </w:r>
      <w:r>
        <w:rPr>
          <w:color w:val="000000" w:themeColor="text1"/>
          <w:sz w:val="22"/>
          <w:szCs w:val="22"/>
          <w:shd w:val="clear" w:color="auto" w:fill="FFFFFF"/>
        </w:rPr>
        <w:t>Dynamic interactions between financial cycles, business cycles and macroeconomic imbalances: A panel VAR analysis</w:t>
      </w:r>
      <w:r>
        <w:rPr>
          <w:rFonts w:hint="eastAsia"/>
          <w:color w:val="000000" w:themeColor="text1"/>
          <w:sz w:val="22"/>
          <w:szCs w:val="22"/>
          <w:shd w:val="clear" w:color="auto" w:fill="FFFFFF"/>
        </w:rPr>
        <w:t>’，</w:t>
      </w:r>
      <w:r>
        <w:rPr>
          <w:i/>
          <w:iCs/>
          <w:color w:val="000000" w:themeColor="text1"/>
          <w:sz w:val="22"/>
          <w:szCs w:val="22"/>
        </w:rPr>
        <w:t>International review of economics &amp; finance</w:t>
      </w:r>
      <w:r>
        <w:rPr>
          <w:rFonts w:hint="eastAsia"/>
          <w:i/>
          <w:iCs/>
          <w:color w:val="000000" w:themeColor="text1"/>
          <w:sz w:val="22"/>
          <w:szCs w:val="22"/>
        </w:rPr>
        <w:t>，</w:t>
      </w:r>
      <w:r>
        <w:rPr>
          <w:color w:val="000000" w:themeColor="text1"/>
          <w:sz w:val="22"/>
          <w:szCs w:val="22"/>
          <w:shd w:val="clear" w:color="auto" w:fill="FFFFFF"/>
        </w:rPr>
        <w:t>74</w:t>
      </w:r>
      <w:r>
        <w:rPr>
          <w:rFonts w:hint="eastAsia"/>
          <w:color w:val="000000" w:themeColor="text1"/>
          <w:sz w:val="22"/>
          <w:szCs w:val="22"/>
          <w:shd w:val="clear" w:color="auto" w:fill="FFFFFF"/>
        </w:rPr>
        <w:t>，</w:t>
      </w:r>
      <w:r>
        <w:rPr>
          <w:color w:val="000000" w:themeColor="text1"/>
          <w:sz w:val="22"/>
          <w:szCs w:val="22"/>
          <w:shd w:val="clear" w:color="auto" w:fill="FFFFFF"/>
        </w:rPr>
        <w:t xml:space="preserve">pp. 434–451. </w:t>
      </w:r>
    </w:p>
    <w:p w14:paraId="147F08D1" w14:textId="77777777" w:rsidR="004D2DD9" w:rsidRDefault="00000000">
      <w:pPr>
        <w:spacing w:line="360" w:lineRule="auto"/>
        <w:ind w:firstLine="0"/>
        <w:rPr>
          <w:i/>
          <w:iCs/>
          <w:color w:val="000000" w:themeColor="text1"/>
          <w:sz w:val="22"/>
          <w:szCs w:val="22"/>
        </w:rPr>
      </w:pPr>
      <w:r>
        <w:rPr>
          <w:color w:val="000000" w:themeColor="text1"/>
          <w:sz w:val="22"/>
          <w:szCs w:val="22"/>
          <w:shd w:val="clear" w:color="auto" w:fill="FFFFFF"/>
        </w:rPr>
        <w:t xml:space="preserve">Anderson, J. (2023) </w:t>
      </w:r>
      <w:r>
        <w:rPr>
          <w:rFonts w:hint="eastAsia"/>
          <w:color w:val="000000" w:themeColor="text1"/>
          <w:sz w:val="22"/>
          <w:szCs w:val="22"/>
          <w:shd w:val="clear" w:color="auto" w:fill="FFFFFF"/>
        </w:rPr>
        <w:t>‘</w:t>
      </w:r>
      <w:r>
        <w:rPr>
          <w:color w:val="000000" w:themeColor="text1"/>
          <w:sz w:val="22"/>
          <w:szCs w:val="22"/>
          <w:shd w:val="clear" w:color="auto" w:fill="FFFFFF"/>
        </w:rPr>
        <w:t>Is it in the Game? Reflections of Race-Based Stereotypes in EA SPORTS FIFA 22</w:t>
      </w:r>
      <w:r>
        <w:rPr>
          <w:rFonts w:hint="eastAsia"/>
          <w:color w:val="000000" w:themeColor="text1"/>
          <w:sz w:val="22"/>
          <w:szCs w:val="22"/>
          <w:shd w:val="clear" w:color="auto" w:fill="FFFFFF"/>
        </w:rPr>
        <w:t>’，</w:t>
      </w:r>
      <w:r>
        <w:rPr>
          <w:i/>
          <w:iCs/>
          <w:color w:val="000000" w:themeColor="text1"/>
          <w:sz w:val="22"/>
          <w:szCs w:val="22"/>
        </w:rPr>
        <w:t>Communication and sport</w:t>
      </w:r>
      <w:r>
        <w:rPr>
          <w:rFonts w:hint="eastAsia"/>
          <w:i/>
          <w:iCs/>
          <w:color w:val="000000" w:themeColor="text1"/>
          <w:sz w:val="22"/>
          <w:szCs w:val="22"/>
        </w:rPr>
        <w:t>，</w:t>
      </w:r>
      <w:r>
        <w:rPr>
          <w:rFonts w:hint="eastAsia"/>
          <w:color w:val="000000" w:themeColor="text1"/>
          <w:sz w:val="22"/>
          <w:szCs w:val="22"/>
        </w:rPr>
        <w:t>34</w:t>
      </w:r>
      <w:r>
        <w:rPr>
          <w:rFonts w:hint="eastAsia"/>
          <w:color w:val="000000" w:themeColor="text1"/>
          <w:sz w:val="22"/>
          <w:szCs w:val="22"/>
        </w:rPr>
        <w:t>（</w:t>
      </w:r>
      <w:r>
        <w:rPr>
          <w:rFonts w:hint="eastAsia"/>
          <w:color w:val="000000" w:themeColor="text1"/>
          <w:sz w:val="22"/>
          <w:szCs w:val="22"/>
        </w:rPr>
        <w:t>9</w:t>
      </w:r>
      <w:r>
        <w:rPr>
          <w:rFonts w:hint="eastAsia"/>
          <w:color w:val="000000" w:themeColor="text1"/>
          <w:sz w:val="22"/>
          <w:szCs w:val="22"/>
        </w:rPr>
        <w:t>），</w:t>
      </w:r>
      <w:r>
        <w:rPr>
          <w:rFonts w:hint="eastAsia"/>
          <w:color w:val="000000" w:themeColor="text1"/>
          <w:sz w:val="22"/>
          <w:szCs w:val="22"/>
        </w:rPr>
        <w:t>pp</w:t>
      </w:r>
      <w:r>
        <w:rPr>
          <w:color w:val="000000" w:themeColor="text1"/>
          <w:sz w:val="22"/>
          <w:szCs w:val="22"/>
        </w:rPr>
        <w:t>.436-440</w:t>
      </w:r>
    </w:p>
    <w:p w14:paraId="6881FE55"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Angel, T. (2022)</w:t>
      </w:r>
      <w:r>
        <w:rPr>
          <w:rStyle w:val="apple-converted-space"/>
          <w:color w:val="000000" w:themeColor="text1"/>
          <w:sz w:val="22"/>
          <w:szCs w:val="22"/>
          <w:shd w:val="clear" w:color="auto" w:fill="FFFFFF"/>
        </w:rPr>
        <w:t> </w:t>
      </w:r>
      <w:r>
        <w:rPr>
          <w:i/>
          <w:iCs/>
          <w:color w:val="000000" w:themeColor="text1"/>
          <w:sz w:val="22"/>
          <w:szCs w:val="22"/>
        </w:rPr>
        <w:t>Esports and the Media: Challenges and Expectations in a Multi-Screen Society</w:t>
      </w:r>
      <w:r>
        <w:rPr>
          <w:color w:val="000000" w:themeColor="text1"/>
          <w:sz w:val="22"/>
          <w:szCs w:val="22"/>
          <w:shd w:val="clear" w:color="auto" w:fill="FFFFFF"/>
        </w:rPr>
        <w:t>. 1st edn. United Kingdom: Routledge.</w:t>
      </w:r>
    </w:p>
    <w:p w14:paraId="5E06FCDC"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Balakrishnan</w:t>
      </w:r>
      <w:r>
        <w:rPr>
          <w:rFonts w:hint="eastAsia"/>
          <w:color w:val="000000" w:themeColor="text1"/>
          <w:sz w:val="22"/>
          <w:szCs w:val="22"/>
          <w:shd w:val="clear" w:color="auto" w:fill="FFFFFF"/>
        </w:rPr>
        <w:t>，</w:t>
      </w:r>
      <w:r>
        <w:rPr>
          <w:color w:val="000000" w:themeColor="text1"/>
          <w:sz w:val="22"/>
          <w:szCs w:val="22"/>
          <w:shd w:val="clear" w:color="auto" w:fill="FFFFFF"/>
        </w:rPr>
        <w:t>J. and Griffiths</w:t>
      </w:r>
      <w:r>
        <w:rPr>
          <w:rFonts w:hint="eastAsia"/>
          <w:color w:val="000000" w:themeColor="text1"/>
          <w:sz w:val="22"/>
          <w:szCs w:val="22"/>
          <w:shd w:val="clear" w:color="auto" w:fill="FFFFFF"/>
        </w:rPr>
        <w:t>，</w:t>
      </w:r>
      <w:r>
        <w:rPr>
          <w:color w:val="000000" w:themeColor="text1"/>
          <w:sz w:val="22"/>
          <w:szCs w:val="22"/>
          <w:shd w:val="clear" w:color="auto" w:fill="FFFFFF"/>
        </w:rPr>
        <w:t xml:space="preserve">M.D. (2018) </w:t>
      </w:r>
      <w:r>
        <w:rPr>
          <w:rFonts w:hint="eastAsia"/>
          <w:color w:val="000000" w:themeColor="text1"/>
          <w:sz w:val="22"/>
          <w:szCs w:val="22"/>
          <w:shd w:val="clear" w:color="auto" w:fill="FFFFFF"/>
        </w:rPr>
        <w:t>‘</w:t>
      </w:r>
      <w:r>
        <w:rPr>
          <w:color w:val="000000" w:themeColor="text1"/>
          <w:sz w:val="22"/>
          <w:szCs w:val="22"/>
          <w:shd w:val="clear" w:color="auto" w:fill="FFFFFF"/>
        </w:rPr>
        <w:t>Loyalty towards online games, gaming addiction, and purchase intention towards online mobile in-game features</w:t>
      </w:r>
      <w:r>
        <w:rPr>
          <w:rFonts w:hint="eastAsia"/>
          <w:color w:val="000000" w:themeColor="text1"/>
          <w:sz w:val="22"/>
          <w:szCs w:val="22"/>
          <w:shd w:val="clear" w:color="auto" w:fill="FFFFFF"/>
        </w:rPr>
        <w:t>’，</w:t>
      </w:r>
      <w:r>
        <w:rPr>
          <w:i/>
          <w:iCs/>
          <w:color w:val="000000" w:themeColor="text1"/>
          <w:sz w:val="22"/>
          <w:szCs w:val="22"/>
        </w:rPr>
        <w:t>Computers in human behavior</w:t>
      </w:r>
      <w:r>
        <w:rPr>
          <w:rFonts w:hint="eastAsia"/>
          <w:i/>
          <w:iCs/>
          <w:color w:val="000000" w:themeColor="text1"/>
          <w:sz w:val="22"/>
          <w:szCs w:val="22"/>
        </w:rPr>
        <w:t>，</w:t>
      </w:r>
      <w:r>
        <w:rPr>
          <w:color w:val="000000" w:themeColor="text1"/>
          <w:sz w:val="22"/>
          <w:szCs w:val="22"/>
          <w:shd w:val="clear" w:color="auto" w:fill="FFFFFF"/>
        </w:rPr>
        <w:t>87</w:t>
      </w:r>
      <w:r>
        <w:rPr>
          <w:rFonts w:hint="eastAsia"/>
          <w:color w:val="000000" w:themeColor="text1"/>
          <w:sz w:val="22"/>
          <w:szCs w:val="22"/>
          <w:shd w:val="clear" w:color="auto" w:fill="FFFFFF"/>
        </w:rPr>
        <w:t>，</w:t>
      </w:r>
      <w:r>
        <w:rPr>
          <w:color w:val="000000" w:themeColor="text1"/>
          <w:sz w:val="22"/>
          <w:szCs w:val="22"/>
          <w:shd w:val="clear" w:color="auto" w:fill="FFFFFF"/>
        </w:rPr>
        <w:t xml:space="preserve">pp. 238–246. </w:t>
      </w:r>
    </w:p>
    <w:p w14:paraId="4D1F7909"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B</w:t>
      </w:r>
      <w:r>
        <w:rPr>
          <w:rFonts w:hint="eastAsia"/>
          <w:color w:val="000000" w:themeColor="text1"/>
          <w:sz w:val="22"/>
          <w:szCs w:val="22"/>
          <w:shd w:val="clear" w:color="auto" w:fill="FFFFFF"/>
        </w:rPr>
        <w:t>ibi</w:t>
      </w:r>
      <w:r>
        <w:rPr>
          <w:rFonts w:hint="eastAsia"/>
          <w:color w:val="000000" w:themeColor="text1"/>
          <w:sz w:val="22"/>
          <w:szCs w:val="22"/>
          <w:shd w:val="clear" w:color="auto" w:fill="FFFFFF"/>
        </w:rPr>
        <w:t>，</w:t>
      </w:r>
      <w:r>
        <w:rPr>
          <w:color w:val="000000" w:themeColor="text1"/>
          <w:sz w:val="22"/>
          <w:szCs w:val="22"/>
          <w:shd w:val="clear" w:color="auto" w:fill="FFFFFF"/>
        </w:rPr>
        <w:t>W.(2019)</w:t>
      </w:r>
      <w:r>
        <w:rPr>
          <w:rStyle w:val="apple-converted-space"/>
          <w:color w:val="000000" w:themeColor="text1"/>
          <w:sz w:val="22"/>
          <w:szCs w:val="22"/>
          <w:shd w:val="clear" w:color="auto" w:fill="FFFFFF"/>
        </w:rPr>
        <w:t> </w:t>
      </w:r>
      <w:r>
        <w:rPr>
          <w:rStyle w:val="apple-converted-space"/>
          <w:rFonts w:hint="eastAsia"/>
          <w:color w:val="000000" w:themeColor="text1"/>
          <w:sz w:val="22"/>
          <w:szCs w:val="22"/>
          <w:shd w:val="clear" w:color="auto" w:fill="FFFFFF"/>
        </w:rPr>
        <w:t>‘</w:t>
      </w:r>
      <w:r>
        <w:rPr>
          <w:i/>
          <w:iCs/>
          <w:color w:val="000000" w:themeColor="text1"/>
          <w:sz w:val="22"/>
          <w:szCs w:val="22"/>
        </w:rPr>
        <w:t>License! Global</w:t>
      </w:r>
      <w:r>
        <w:rPr>
          <w:rFonts w:hint="eastAsia"/>
          <w:i/>
          <w:iCs/>
          <w:color w:val="000000" w:themeColor="text1"/>
          <w:sz w:val="22"/>
          <w:szCs w:val="22"/>
        </w:rPr>
        <w:t>’，</w:t>
      </w:r>
      <w:r>
        <w:rPr>
          <w:rFonts w:ascii="Times New Roman Italic" w:hAnsi="Times New Roman Italic" w:cs="Times New Roman Italic"/>
          <w:i/>
          <w:iCs/>
          <w:color w:val="000000" w:themeColor="text1"/>
          <w:sz w:val="22"/>
          <w:szCs w:val="22"/>
          <w:shd w:val="clear" w:color="auto" w:fill="FFFFFF"/>
        </w:rPr>
        <w:t>UBMLLC</w:t>
      </w:r>
      <w:r>
        <w:rPr>
          <w:rFonts w:ascii="Times New Roman Italic" w:hAnsi="Times New Roman Italic" w:cs="Times New Roman Italic" w:hint="eastAsia"/>
          <w:i/>
          <w:iCs/>
          <w:color w:val="000000" w:themeColor="text1"/>
          <w:sz w:val="22"/>
          <w:szCs w:val="22"/>
          <w:shd w:val="clear" w:color="auto" w:fill="FFFFFF"/>
        </w:rPr>
        <w:t>，</w:t>
      </w:r>
      <w:r>
        <w:rPr>
          <w:rFonts w:ascii="Times New Roman Italic" w:hAnsi="Times New Roman Italic" w:cs="Times New Roman Italic" w:hint="eastAsia"/>
          <w:color w:val="000000" w:themeColor="text1"/>
          <w:sz w:val="22"/>
          <w:szCs w:val="22"/>
          <w:shd w:val="clear" w:color="auto" w:fill="FFFFFF"/>
        </w:rPr>
        <w:t>30th</w:t>
      </w:r>
      <w:r>
        <w:rPr>
          <w:rFonts w:ascii="Times New Roman Italic" w:hAnsi="Times New Roman Italic" w:cs="Times New Roman Italic" w:hint="eastAsia"/>
          <w:color w:val="000000" w:themeColor="text1"/>
          <w:sz w:val="22"/>
          <w:szCs w:val="22"/>
          <w:shd w:val="clear" w:color="auto" w:fill="FFFFFF"/>
        </w:rPr>
        <w:t>，</w:t>
      </w:r>
      <w:r>
        <w:rPr>
          <w:color w:val="000000" w:themeColor="text1"/>
          <w:sz w:val="22"/>
          <w:szCs w:val="22"/>
          <w:shd w:val="clear" w:color="auto" w:fill="FFFFFF"/>
        </w:rPr>
        <w:t>p</w:t>
      </w:r>
      <w:r>
        <w:rPr>
          <w:rFonts w:hint="eastAsia"/>
          <w:color w:val="000000" w:themeColor="text1"/>
          <w:sz w:val="22"/>
          <w:szCs w:val="22"/>
          <w:shd w:val="clear" w:color="auto" w:fill="FFFFFF"/>
        </w:rPr>
        <w:t>p</w:t>
      </w:r>
      <w:r>
        <w:rPr>
          <w:color w:val="000000" w:themeColor="text1"/>
          <w:sz w:val="22"/>
          <w:szCs w:val="22"/>
          <w:shd w:val="clear" w:color="auto" w:fill="FFFFFF"/>
        </w:rPr>
        <w:t>. 4-10.</w:t>
      </w:r>
    </w:p>
    <w:p w14:paraId="4B732470" w14:textId="77777777" w:rsidR="004D2DD9" w:rsidRDefault="00000000">
      <w:pPr>
        <w:spacing w:line="360" w:lineRule="auto"/>
        <w:ind w:firstLine="0"/>
        <w:rPr>
          <w:color w:val="000000" w:themeColor="text1"/>
          <w:sz w:val="22"/>
          <w:szCs w:val="22"/>
        </w:rPr>
      </w:pPr>
      <w:r>
        <w:rPr>
          <w:color w:val="000000" w:themeColor="text1"/>
          <w:sz w:val="22"/>
          <w:szCs w:val="22"/>
        </w:rPr>
        <w:t>Batchelor</w:t>
      </w:r>
      <w:r>
        <w:rPr>
          <w:rFonts w:hint="eastAsia"/>
          <w:color w:val="000000" w:themeColor="text1"/>
          <w:sz w:val="22"/>
          <w:szCs w:val="22"/>
        </w:rPr>
        <w:t>，</w:t>
      </w:r>
      <w:r>
        <w:rPr>
          <w:color w:val="000000" w:themeColor="text1"/>
          <w:sz w:val="22"/>
          <w:szCs w:val="22"/>
        </w:rPr>
        <w:t xml:space="preserve">J. (2019) </w:t>
      </w:r>
      <w:r>
        <w:rPr>
          <w:i/>
          <w:iCs/>
          <w:color w:val="000000" w:themeColor="text1"/>
          <w:sz w:val="22"/>
          <w:szCs w:val="22"/>
        </w:rPr>
        <w:t>Konami enjoys fifth consecutive year of profit growth</w:t>
      </w:r>
      <w:r>
        <w:rPr>
          <w:color w:val="000000" w:themeColor="text1"/>
          <w:sz w:val="22"/>
          <w:szCs w:val="22"/>
        </w:rPr>
        <w:t>. [online] GamesIndustry.biz. Available at: https://www.gamesindustry.biz/articles/2019-05-09-konami-enjoys-fifth-consecutive-year-of-profit-growth [Accessed 16 July 2023].</w:t>
      </w:r>
    </w:p>
    <w:p w14:paraId="1B49B22F"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Bennett</w:t>
      </w:r>
      <w:r>
        <w:rPr>
          <w:rFonts w:hint="eastAsia"/>
          <w:color w:val="000000" w:themeColor="text1"/>
          <w:sz w:val="22"/>
          <w:szCs w:val="22"/>
          <w:shd w:val="clear" w:color="auto" w:fill="FFFFFF"/>
        </w:rPr>
        <w:t>，</w:t>
      </w:r>
      <w:r>
        <w:rPr>
          <w:color w:val="000000" w:themeColor="text1"/>
          <w:sz w:val="22"/>
          <w:szCs w:val="22"/>
          <w:shd w:val="clear" w:color="auto" w:fill="FFFFFF"/>
        </w:rPr>
        <w:t>E.E. and McWhorter</w:t>
      </w:r>
      <w:r>
        <w:rPr>
          <w:rFonts w:hint="eastAsia"/>
          <w:color w:val="000000" w:themeColor="text1"/>
          <w:sz w:val="22"/>
          <w:szCs w:val="22"/>
          <w:shd w:val="clear" w:color="auto" w:fill="FFFFFF"/>
        </w:rPr>
        <w:t>，</w:t>
      </w:r>
      <w:r>
        <w:rPr>
          <w:color w:val="000000" w:themeColor="text1"/>
          <w:sz w:val="22"/>
          <w:szCs w:val="22"/>
          <w:shd w:val="clear" w:color="auto" w:fill="FFFFFF"/>
        </w:rPr>
        <w:t xml:space="preserve">R.R. (2021) </w:t>
      </w:r>
      <w:r>
        <w:rPr>
          <w:rFonts w:hint="eastAsia"/>
          <w:color w:val="000000" w:themeColor="text1"/>
          <w:sz w:val="22"/>
          <w:szCs w:val="22"/>
          <w:shd w:val="clear" w:color="auto" w:fill="FFFFFF"/>
        </w:rPr>
        <w:t>‘</w:t>
      </w:r>
      <w:r>
        <w:rPr>
          <w:color w:val="000000" w:themeColor="text1"/>
          <w:sz w:val="22"/>
          <w:szCs w:val="22"/>
          <w:shd w:val="clear" w:color="auto" w:fill="FFFFFF"/>
        </w:rPr>
        <w:t>Virtual HRD</w:t>
      </w:r>
      <w:r>
        <w:rPr>
          <w:rFonts w:hint="eastAsia"/>
          <w:color w:val="000000" w:themeColor="text1"/>
          <w:sz w:val="22"/>
          <w:szCs w:val="22"/>
          <w:shd w:val="clear" w:color="auto" w:fill="FFFFFF"/>
        </w:rPr>
        <w:t>’</w:t>
      </w:r>
      <w:r>
        <w:rPr>
          <w:color w:val="000000" w:themeColor="text1"/>
          <w:sz w:val="22"/>
          <w:szCs w:val="22"/>
          <w:shd w:val="clear" w:color="auto" w:fill="FFFFFF"/>
        </w:rPr>
        <w:t>s Role in Crisis and the Post Covid-19 Professional Lifeworld: Accelerating Skills for Digital Transformation</w:t>
      </w:r>
      <w:r>
        <w:rPr>
          <w:rFonts w:hint="eastAsia"/>
          <w:color w:val="000000" w:themeColor="text1"/>
          <w:sz w:val="22"/>
          <w:szCs w:val="22"/>
          <w:shd w:val="clear" w:color="auto" w:fill="FFFFFF"/>
        </w:rPr>
        <w:t>‘，</w:t>
      </w:r>
      <w:r>
        <w:rPr>
          <w:i/>
          <w:iCs/>
          <w:color w:val="000000" w:themeColor="text1"/>
          <w:sz w:val="22"/>
          <w:szCs w:val="22"/>
        </w:rPr>
        <w:t>Advances in developing human resources</w:t>
      </w:r>
      <w:r>
        <w:rPr>
          <w:rFonts w:hint="eastAsia"/>
          <w:i/>
          <w:iCs/>
          <w:color w:val="000000" w:themeColor="text1"/>
          <w:sz w:val="22"/>
          <w:szCs w:val="22"/>
        </w:rPr>
        <w:t>，</w:t>
      </w:r>
      <w:r>
        <w:rPr>
          <w:color w:val="000000" w:themeColor="text1"/>
          <w:sz w:val="22"/>
          <w:szCs w:val="22"/>
          <w:shd w:val="clear" w:color="auto" w:fill="FFFFFF"/>
        </w:rPr>
        <w:t>23(1)</w:t>
      </w:r>
      <w:r>
        <w:rPr>
          <w:rFonts w:hint="eastAsia"/>
          <w:color w:val="000000" w:themeColor="text1"/>
          <w:sz w:val="22"/>
          <w:szCs w:val="22"/>
          <w:shd w:val="clear" w:color="auto" w:fill="FFFFFF"/>
        </w:rPr>
        <w:t>，</w:t>
      </w:r>
      <w:r>
        <w:rPr>
          <w:color w:val="000000" w:themeColor="text1"/>
          <w:sz w:val="22"/>
          <w:szCs w:val="22"/>
          <w:shd w:val="clear" w:color="auto" w:fill="FFFFFF"/>
        </w:rPr>
        <w:t xml:space="preserve">pp. 5–25. </w:t>
      </w:r>
    </w:p>
    <w:p w14:paraId="75457236"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Bian, Y.</w:t>
      </w:r>
      <w:r>
        <w:rPr>
          <w:rStyle w:val="apple-converted-space"/>
          <w:color w:val="000000" w:themeColor="text1"/>
          <w:sz w:val="22"/>
          <w:szCs w:val="22"/>
          <w:shd w:val="clear" w:color="auto" w:fill="FFFFFF"/>
        </w:rPr>
        <w:t> </w:t>
      </w:r>
      <w:r>
        <w:rPr>
          <w:i/>
          <w:iCs/>
          <w:color w:val="000000" w:themeColor="text1"/>
          <w:sz w:val="22"/>
          <w:szCs w:val="22"/>
        </w:rPr>
        <w:t>et al.</w:t>
      </w:r>
      <w:r>
        <w:rPr>
          <w:rStyle w:val="apple-converted-space"/>
          <w:color w:val="000000" w:themeColor="text1"/>
          <w:sz w:val="22"/>
          <w:szCs w:val="22"/>
          <w:shd w:val="clear" w:color="auto" w:fill="FFFFFF"/>
        </w:rPr>
        <w:t> </w:t>
      </w:r>
      <w:r>
        <w:rPr>
          <w:color w:val="000000" w:themeColor="text1"/>
          <w:sz w:val="22"/>
          <w:szCs w:val="22"/>
          <w:shd w:val="clear" w:color="auto" w:fill="FFFFFF"/>
        </w:rPr>
        <w:t xml:space="preserve">(2023) </w:t>
      </w:r>
      <w:r>
        <w:rPr>
          <w:rFonts w:hint="eastAsia"/>
          <w:color w:val="000000" w:themeColor="text1"/>
          <w:sz w:val="22"/>
          <w:szCs w:val="22"/>
          <w:shd w:val="clear" w:color="auto" w:fill="FFFFFF"/>
        </w:rPr>
        <w:t>’</w:t>
      </w:r>
      <w:r>
        <w:rPr>
          <w:color w:val="000000" w:themeColor="text1"/>
          <w:sz w:val="22"/>
          <w:szCs w:val="22"/>
          <w:shd w:val="clear" w:color="auto" w:fill="FFFFFF"/>
        </w:rPr>
        <w:t>The effect of embodied interaction designs on flow experience: examination in VR games</w:t>
      </w:r>
      <w:r>
        <w:rPr>
          <w:rFonts w:hint="eastAsia"/>
          <w:color w:val="000000" w:themeColor="text1"/>
          <w:sz w:val="22"/>
          <w:szCs w:val="22"/>
          <w:shd w:val="clear" w:color="auto" w:fill="FFFFFF"/>
        </w:rPr>
        <w:t>‘，</w:t>
      </w:r>
      <w:r>
        <w:rPr>
          <w:i/>
          <w:iCs/>
          <w:color w:val="000000" w:themeColor="text1"/>
          <w:sz w:val="22"/>
          <w:szCs w:val="22"/>
        </w:rPr>
        <w:t>Virtual reality : the journal of the Virtual Reality Society</w:t>
      </w:r>
      <w:r>
        <w:rPr>
          <w:rFonts w:hint="eastAsia"/>
          <w:i/>
          <w:iCs/>
          <w:color w:val="000000" w:themeColor="text1"/>
          <w:sz w:val="22"/>
          <w:szCs w:val="22"/>
        </w:rPr>
        <w:t>，</w:t>
      </w:r>
      <w:r>
        <w:rPr>
          <w:color w:val="000000" w:themeColor="text1"/>
          <w:sz w:val="22"/>
          <w:szCs w:val="22"/>
          <w:shd w:val="clear" w:color="auto" w:fill="FFFFFF"/>
        </w:rPr>
        <w:t>27(2)</w:t>
      </w:r>
      <w:r>
        <w:rPr>
          <w:rFonts w:hint="eastAsia"/>
          <w:color w:val="000000" w:themeColor="text1"/>
          <w:sz w:val="22"/>
          <w:szCs w:val="22"/>
          <w:shd w:val="clear" w:color="auto" w:fill="FFFFFF"/>
        </w:rPr>
        <w:t>，</w:t>
      </w:r>
      <w:r>
        <w:rPr>
          <w:color w:val="000000" w:themeColor="text1"/>
          <w:sz w:val="22"/>
          <w:szCs w:val="22"/>
          <w:shd w:val="clear" w:color="auto" w:fill="FFFFFF"/>
        </w:rPr>
        <w:t xml:space="preserve">pp. 1549–1565. </w:t>
      </w:r>
    </w:p>
    <w:p w14:paraId="043B8A37"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Buck</w:t>
      </w:r>
      <w:r>
        <w:rPr>
          <w:rFonts w:hint="eastAsia"/>
          <w:color w:val="000000" w:themeColor="text1"/>
          <w:sz w:val="22"/>
          <w:szCs w:val="22"/>
          <w:shd w:val="clear" w:color="auto" w:fill="FFFFFF"/>
        </w:rPr>
        <w:t>，</w:t>
      </w:r>
      <w:r>
        <w:rPr>
          <w:color w:val="000000" w:themeColor="text1"/>
          <w:sz w:val="22"/>
          <w:szCs w:val="22"/>
          <w:shd w:val="clear" w:color="auto" w:fill="FFFFFF"/>
        </w:rPr>
        <w:t xml:space="preserve">A.R. (2022) </w:t>
      </w:r>
      <w:r>
        <w:rPr>
          <w:rFonts w:hint="eastAsia"/>
          <w:color w:val="000000" w:themeColor="text1"/>
          <w:sz w:val="22"/>
          <w:szCs w:val="22"/>
          <w:shd w:val="clear" w:color="auto" w:fill="FFFFFF"/>
        </w:rPr>
        <w:t>’</w:t>
      </w:r>
      <w:r>
        <w:rPr>
          <w:color w:val="000000" w:themeColor="text1"/>
          <w:sz w:val="22"/>
          <w:szCs w:val="22"/>
          <w:shd w:val="clear" w:color="auto" w:fill="FFFFFF"/>
        </w:rPr>
        <w:t>The Price of Consent: Identity Wages in the Games Industry</w:t>
      </w:r>
      <w:r>
        <w:rPr>
          <w:rFonts w:hint="eastAsia"/>
          <w:color w:val="000000" w:themeColor="text1"/>
          <w:sz w:val="22"/>
          <w:szCs w:val="22"/>
          <w:shd w:val="clear" w:color="auto" w:fill="FFFFFF"/>
        </w:rPr>
        <w:t>‘，</w:t>
      </w:r>
      <w:r>
        <w:rPr>
          <w:rStyle w:val="apple-converted-space"/>
          <w:color w:val="000000" w:themeColor="text1"/>
          <w:sz w:val="22"/>
          <w:szCs w:val="22"/>
          <w:shd w:val="clear" w:color="auto" w:fill="FFFFFF"/>
        </w:rPr>
        <w:t> </w:t>
      </w:r>
      <w:r>
        <w:rPr>
          <w:i/>
          <w:iCs/>
          <w:color w:val="000000" w:themeColor="text1"/>
          <w:sz w:val="22"/>
          <w:szCs w:val="22"/>
        </w:rPr>
        <w:t>Journal of contemporary ethnography</w:t>
      </w:r>
      <w:r>
        <w:rPr>
          <w:rFonts w:hint="eastAsia"/>
          <w:i/>
          <w:iCs/>
          <w:color w:val="000000" w:themeColor="text1"/>
          <w:sz w:val="22"/>
          <w:szCs w:val="22"/>
        </w:rPr>
        <w:t>，</w:t>
      </w:r>
      <w:r>
        <w:rPr>
          <w:color w:val="000000" w:themeColor="text1"/>
          <w:sz w:val="22"/>
          <w:szCs w:val="22"/>
          <w:shd w:val="clear" w:color="auto" w:fill="FFFFFF"/>
        </w:rPr>
        <w:t>51(6)</w:t>
      </w:r>
      <w:r>
        <w:rPr>
          <w:rFonts w:hint="eastAsia"/>
          <w:color w:val="000000" w:themeColor="text1"/>
          <w:sz w:val="22"/>
          <w:szCs w:val="22"/>
          <w:shd w:val="clear" w:color="auto" w:fill="FFFFFF"/>
        </w:rPr>
        <w:t>，</w:t>
      </w:r>
      <w:r>
        <w:rPr>
          <w:color w:val="000000" w:themeColor="text1"/>
          <w:sz w:val="22"/>
          <w:szCs w:val="22"/>
          <w:shd w:val="clear" w:color="auto" w:fill="FFFFFF"/>
        </w:rPr>
        <w:t>pp. 868–894.</w:t>
      </w:r>
    </w:p>
    <w:p w14:paraId="7B32188C"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Bulut</w:t>
      </w:r>
      <w:r>
        <w:rPr>
          <w:rFonts w:hint="eastAsia"/>
          <w:color w:val="000000" w:themeColor="text1"/>
          <w:sz w:val="22"/>
          <w:szCs w:val="22"/>
          <w:shd w:val="clear" w:color="auto" w:fill="FFFFFF"/>
        </w:rPr>
        <w:t>，</w:t>
      </w:r>
      <w:r>
        <w:rPr>
          <w:color w:val="000000" w:themeColor="text1"/>
          <w:sz w:val="22"/>
          <w:szCs w:val="22"/>
          <w:shd w:val="clear" w:color="auto" w:fill="FFFFFF"/>
        </w:rPr>
        <w:t>E. (2020)</w:t>
      </w:r>
      <w:r>
        <w:rPr>
          <w:rStyle w:val="apple-converted-space"/>
          <w:color w:val="000000" w:themeColor="text1"/>
          <w:sz w:val="22"/>
          <w:szCs w:val="22"/>
          <w:shd w:val="clear" w:color="auto" w:fill="FFFFFF"/>
        </w:rPr>
        <w:t> </w:t>
      </w:r>
      <w:r>
        <w:rPr>
          <w:i/>
          <w:iCs/>
          <w:color w:val="000000" w:themeColor="text1"/>
          <w:sz w:val="22"/>
          <w:szCs w:val="22"/>
        </w:rPr>
        <w:t>A Precarious Game The Illusion of Dream Jobs in the Video Game Industry</w:t>
      </w:r>
      <w:r>
        <w:rPr>
          <w:color w:val="000000" w:themeColor="text1"/>
          <w:sz w:val="22"/>
          <w:szCs w:val="22"/>
          <w:shd w:val="clear" w:color="auto" w:fill="FFFFFF"/>
        </w:rPr>
        <w:t>. Ithaca: ILR Press</w:t>
      </w:r>
    </w:p>
    <w:p w14:paraId="4BE4B862"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Capcom</w:t>
      </w:r>
      <w:r>
        <w:rPr>
          <w:rFonts w:hint="eastAsia"/>
          <w:color w:val="000000" w:themeColor="text1"/>
          <w:sz w:val="22"/>
          <w:szCs w:val="22"/>
          <w:shd w:val="clear" w:color="auto" w:fill="FFFFFF"/>
        </w:rPr>
        <w:t>.</w:t>
      </w:r>
      <w:r>
        <w:rPr>
          <w:color w:val="000000" w:themeColor="text1"/>
          <w:sz w:val="22"/>
          <w:szCs w:val="22"/>
          <w:shd w:val="clear" w:color="auto" w:fill="FFFFFF"/>
        </w:rPr>
        <w:t xml:space="preserve">(2021) Notice Regarding Dividends from Retained Earnings.Available at: </w:t>
      </w:r>
      <w:r>
        <w:rPr>
          <w:rFonts w:hint="eastAsia"/>
          <w:color w:val="000000" w:themeColor="text1"/>
          <w:sz w:val="22"/>
          <w:szCs w:val="22"/>
          <w:shd w:val="clear" w:color="auto" w:fill="FFFFFF"/>
        </w:rPr>
        <w:t>https://www.marketscreener.com/quote/stock/CAPCOM-CO-LTD-6492670/news/Capcom-Notice-Regarding-Dividends-from-Retained-Earnings-33207230/</w:t>
      </w:r>
      <w:r>
        <w:rPr>
          <w:color w:val="000000" w:themeColor="text1"/>
          <w:sz w:val="22"/>
          <w:szCs w:val="22"/>
          <w:shd w:val="clear" w:color="auto" w:fill="FFFFFF"/>
        </w:rPr>
        <w:t>(</w:t>
      </w:r>
      <w:r>
        <w:rPr>
          <w:color w:val="000000" w:themeColor="text1"/>
          <w:sz w:val="22"/>
          <w:szCs w:val="22"/>
        </w:rPr>
        <w:t>Accessed 13 July 2023</w:t>
      </w:r>
      <w:r>
        <w:rPr>
          <w:color w:val="000000" w:themeColor="text1"/>
          <w:sz w:val="22"/>
          <w:szCs w:val="22"/>
          <w:shd w:val="clear" w:color="auto" w:fill="FFFFFF"/>
        </w:rPr>
        <w:t>)</w:t>
      </w:r>
    </w:p>
    <w:p w14:paraId="20825574"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Catão</w:t>
      </w:r>
      <w:r>
        <w:rPr>
          <w:rFonts w:hint="eastAsia"/>
          <w:color w:val="000000" w:themeColor="text1"/>
          <w:sz w:val="22"/>
          <w:szCs w:val="22"/>
          <w:shd w:val="clear" w:color="auto" w:fill="FFFFFF"/>
        </w:rPr>
        <w:t>，</w:t>
      </w:r>
      <w:r>
        <w:rPr>
          <w:color w:val="000000" w:themeColor="text1"/>
          <w:sz w:val="22"/>
          <w:szCs w:val="22"/>
          <w:shd w:val="clear" w:color="auto" w:fill="FFFFFF"/>
        </w:rPr>
        <w:t>L. (2019)</w:t>
      </w:r>
      <w:r>
        <w:rPr>
          <w:rStyle w:val="apple-converted-space"/>
          <w:color w:val="000000" w:themeColor="text1"/>
          <w:sz w:val="22"/>
          <w:szCs w:val="22"/>
          <w:shd w:val="clear" w:color="auto" w:fill="FFFFFF"/>
        </w:rPr>
        <w:t> </w:t>
      </w:r>
      <w:r>
        <w:rPr>
          <w:i/>
          <w:iCs/>
          <w:color w:val="000000" w:themeColor="text1"/>
          <w:sz w:val="22"/>
          <w:szCs w:val="22"/>
        </w:rPr>
        <w:t>Meeting globalization’s challenges : policies to make trade work for all</w:t>
      </w:r>
      <w:r>
        <w:rPr>
          <w:color w:val="000000" w:themeColor="text1"/>
          <w:sz w:val="22"/>
          <w:szCs w:val="22"/>
          <w:shd w:val="clear" w:color="auto" w:fill="FFFFFF"/>
        </w:rPr>
        <w:t xml:space="preserve">. NJ: </w:t>
      </w:r>
      <w:r>
        <w:rPr>
          <w:color w:val="000000" w:themeColor="text1"/>
          <w:sz w:val="22"/>
          <w:szCs w:val="22"/>
          <w:shd w:val="clear" w:color="auto" w:fill="FFFFFF"/>
        </w:rPr>
        <w:lastRenderedPageBreak/>
        <w:t xml:space="preserve">Princeton University Press. </w:t>
      </w:r>
    </w:p>
    <w:p w14:paraId="4315126A"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Chu</w:t>
      </w:r>
      <w:r>
        <w:rPr>
          <w:rFonts w:hint="eastAsia"/>
          <w:color w:val="000000" w:themeColor="text1"/>
          <w:sz w:val="22"/>
          <w:szCs w:val="22"/>
          <w:shd w:val="clear" w:color="auto" w:fill="FFFFFF"/>
        </w:rPr>
        <w:t>，</w:t>
      </w:r>
      <w:r>
        <w:rPr>
          <w:color w:val="000000" w:themeColor="text1"/>
          <w:sz w:val="22"/>
          <w:szCs w:val="22"/>
          <w:shd w:val="clear" w:color="auto" w:fill="FFFFFF"/>
        </w:rPr>
        <w:t>T.</w:t>
      </w:r>
      <w:r>
        <w:rPr>
          <w:rFonts w:hint="eastAsia"/>
          <w:color w:val="000000" w:themeColor="text1"/>
          <w:sz w:val="22"/>
          <w:szCs w:val="22"/>
          <w:shd w:val="clear" w:color="auto" w:fill="FFFFFF"/>
        </w:rPr>
        <w:t>，</w:t>
      </w:r>
      <w:r>
        <w:rPr>
          <w:color w:val="000000" w:themeColor="text1"/>
          <w:sz w:val="22"/>
          <w:szCs w:val="22"/>
          <w:shd w:val="clear" w:color="auto" w:fill="FFFFFF"/>
        </w:rPr>
        <w:t>Yu</w:t>
      </w:r>
      <w:r>
        <w:rPr>
          <w:rFonts w:hint="eastAsia"/>
          <w:color w:val="000000" w:themeColor="text1"/>
          <w:sz w:val="22"/>
          <w:szCs w:val="22"/>
          <w:shd w:val="clear" w:color="auto" w:fill="FFFFFF"/>
        </w:rPr>
        <w:t>，</w:t>
      </w:r>
      <w:r>
        <w:rPr>
          <w:color w:val="000000" w:themeColor="text1"/>
          <w:sz w:val="22"/>
          <w:szCs w:val="22"/>
          <w:shd w:val="clear" w:color="auto" w:fill="FFFFFF"/>
        </w:rPr>
        <w:t>Y. and Wang</w:t>
      </w:r>
      <w:r>
        <w:rPr>
          <w:rFonts w:hint="eastAsia"/>
          <w:color w:val="000000" w:themeColor="text1"/>
          <w:sz w:val="22"/>
          <w:szCs w:val="22"/>
          <w:shd w:val="clear" w:color="auto" w:fill="FFFFFF"/>
        </w:rPr>
        <w:t>，</w:t>
      </w:r>
      <w:r>
        <w:rPr>
          <w:color w:val="000000" w:themeColor="text1"/>
          <w:sz w:val="22"/>
          <w:szCs w:val="22"/>
          <w:shd w:val="clear" w:color="auto" w:fill="FFFFFF"/>
        </w:rPr>
        <w:t xml:space="preserve">X. (2020) </w:t>
      </w:r>
      <w:r>
        <w:rPr>
          <w:rFonts w:hint="eastAsia"/>
          <w:color w:val="000000" w:themeColor="text1"/>
          <w:sz w:val="22"/>
          <w:szCs w:val="22"/>
          <w:shd w:val="clear" w:color="auto" w:fill="FFFFFF"/>
        </w:rPr>
        <w:t>‘</w:t>
      </w:r>
      <w:r>
        <w:rPr>
          <w:color w:val="000000" w:themeColor="text1"/>
          <w:sz w:val="22"/>
          <w:szCs w:val="22"/>
          <w:shd w:val="clear" w:color="auto" w:fill="FFFFFF"/>
        </w:rPr>
        <w:t>Complex Dynamical Behaviors of a Mixed Duopoly Game Based on Intellectual Property Rights Protection</w:t>
      </w:r>
      <w:r>
        <w:rPr>
          <w:rFonts w:hint="eastAsia"/>
          <w:color w:val="000000" w:themeColor="text1"/>
          <w:sz w:val="22"/>
          <w:szCs w:val="22"/>
          <w:shd w:val="clear" w:color="auto" w:fill="FFFFFF"/>
        </w:rPr>
        <w:t>’，</w:t>
      </w:r>
      <w:r>
        <w:rPr>
          <w:rStyle w:val="apple-converted-space"/>
          <w:color w:val="000000" w:themeColor="text1"/>
          <w:sz w:val="22"/>
          <w:szCs w:val="22"/>
          <w:shd w:val="clear" w:color="auto" w:fill="FFFFFF"/>
        </w:rPr>
        <w:t> </w:t>
      </w:r>
      <w:r>
        <w:rPr>
          <w:i/>
          <w:iCs/>
          <w:color w:val="000000" w:themeColor="text1"/>
          <w:sz w:val="22"/>
          <w:szCs w:val="22"/>
        </w:rPr>
        <w:t>Complexity (New York, N.Y.)</w:t>
      </w:r>
      <w:r>
        <w:rPr>
          <w:rFonts w:hint="eastAsia"/>
          <w:i/>
          <w:iCs/>
          <w:color w:val="000000" w:themeColor="text1"/>
          <w:sz w:val="22"/>
          <w:szCs w:val="22"/>
        </w:rPr>
        <w:t>，</w:t>
      </w:r>
      <w:r>
        <w:rPr>
          <w:color w:val="000000" w:themeColor="text1"/>
          <w:sz w:val="22"/>
          <w:szCs w:val="22"/>
          <w:shd w:val="clear" w:color="auto" w:fill="FFFFFF"/>
        </w:rPr>
        <w:t>2020</w:t>
      </w:r>
      <w:r>
        <w:rPr>
          <w:rFonts w:hint="eastAsia"/>
          <w:color w:val="000000" w:themeColor="text1"/>
          <w:sz w:val="22"/>
          <w:szCs w:val="22"/>
          <w:shd w:val="clear" w:color="auto" w:fill="FFFFFF"/>
        </w:rPr>
        <w:t>，</w:t>
      </w:r>
      <w:r>
        <w:rPr>
          <w:color w:val="000000" w:themeColor="text1"/>
          <w:sz w:val="22"/>
          <w:szCs w:val="22"/>
          <w:shd w:val="clear" w:color="auto" w:fill="FFFFFF"/>
        </w:rPr>
        <w:t xml:space="preserve">pp. 1–11. </w:t>
      </w:r>
    </w:p>
    <w:p w14:paraId="1A704D18"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Clementino</w:t>
      </w:r>
      <w:r>
        <w:rPr>
          <w:rFonts w:hint="eastAsia"/>
          <w:color w:val="000000" w:themeColor="text1"/>
          <w:sz w:val="22"/>
          <w:szCs w:val="22"/>
          <w:shd w:val="clear" w:color="auto" w:fill="FFFFFF"/>
        </w:rPr>
        <w:t>，</w:t>
      </w:r>
      <w:r>
        <w:rPr>
          <w:color w:val="000000" w:themeColor="text1"/>
          <w:sz w:val="22"/>
          <w:szCs w:val="22"/>
          <w:shd w:val="clear" w:color="auto" w:fill="FFFFFF"/>
        </w:rPr>
        <w:t>E. and Perkins</w:t>
      </w:r>
      <w:r>
        <w:rPr>
          <w:rFonts w:hint="eastAsia"/>
          <w:color w:val="000000" w:themeColor="text1"/>
          <w:sz w:val="22"/>
          <w:szCs w:val="22"/>
          <w:shd w:val="clear" w:color="auto" w:fill="FFFFFF"/>
        </w:rPr>
        <w:t>，</w:t>
      </w:r>
      <w:r>
        <w:rPr>
          <w:color w:val="000000" w:themeColor="text1"/>
          <w:sz w:val="22"/>
          <w:szCs w:val="22"/>
          <w:shd w:val="clear" w:color="auto" w:fill="FFFFFF"/>
        </w:rPr>
        <w:t xml:space="preserve">R. (2021) </w:t>
      </w:r>
      <w:r>
        <w:rPr>
          <w:rFonts w:hint="eastAsia"/>
          <w:color w:val="000000" w:themeColor="text1"/>
          <w:sz w:val="22"/>
          <w:szCs w:val="22"/>
          <w:shd w:val="clear" w:color="auto" w:fill="FFFFFF"/>
        </w:rPr>
        <w:t>‘</w:t>
      </w:r>
      <w:r>
        <w:rPr>
          <w:color w:val="000000" w:themeColor="text1"/>
          <w:sz w:val="22"/>
          <w:szCs w:val="22"/>
          <w:shd w:val="clear" w:color="auto" w:fill="FFFFFF"/>
        </w:rPr>
        <w:t>How Do Companies Respond to Environmental</w:t>
      </w:r>
      <w:r>
        <w:rPr>
          <w:rFonts w:hint="eastAsia"/>
          <w:color w:val="000000" w:themeColor="text1"/>
          <w:sz w:val="22"/>
          <w:szCs w:val="22"/>
          <w:shd w:val="clear" w:color="auto" w:fill="FFFFFF"/>
        </w:rPr>
        <w:t>，</w:t>
      </w:r>
      <w:r>
        <w:rPr>
          <w:color w:val="000000" w:themeColor="text1"/>
          <w:sz w:val="22"/>
          <w:szCs w:val="22"/>
          <w:shd w:val="clear" w:color="auto" w:fill="FFFFFF"/>
        </w:rPr>
        <w:t>Social and Governance (ESG) ratings</w:t>
      </w:r>
      <w:r>
        <w:rPr>
          <w:rFonts w:hint="eastAsia"/>
          <w:color w:val="000000" w:themeColor="text1"/>
          <w:sz w:val="22"/>
          <w:szCs w:val="22"/>
          <w:shd w:val="clear" w:color="auto" w:fill="FFFFFF"/>
        </w:rPr>
        <w:t>？</w:t>
      </w:r>
      <w:r>
        <w:rPr>
          <w:color w:val="000000" w:themeColor="text1"/>
          <w:sz w:val="22"/>
          <w:szCs w:val="22"/>
          <w:shd w:val="clear" w:color="auto" w:fill="FFFFFF"/>
        </w:rPr>
        <w:t xml:space="preserve"> Evidence from Italy</w:t>
      </w:r>
      <w:r>
        <w:rPr>
          <w:rFonts w:hint="eastAsia"/>
          <w:color w:val="000000" w:themeColor="text1"/>
          <w:sz w:val="22"/>
          <w:szCs w:val="22"/>
          <w:shd w:val="clear" w:color="auto" w:fill="FFFFFF"/>
        </w:rPr>
        <w:t>’，</w:t>
      </w:r>
      <w:r>
        <w:rPr>
          <w:i/>
          <w:iCs/>
          <w:color w:val="000000" w:themeColor="text1"/>
          <w:sz w:val="22"/>
          <w:szCs w:val="22"/>
        </w:rPr>
        <w:t>Journal of business ethics</w:t>
      </w:r>
      <w:r>
        <w:rPr>
          <w:color w:val="000000" w:themeColor="text1"/>
          <w:sz w:val="22"/>
          <w:szCs w:val="22"/>
          <w:shd w:val="clear" w:color="auto" w:fill="FFFFFF"/>
        </w:rPr>
        <w:t>, 171(2)</w:t>
      </w:r>
      <w:r>
        <w:rPr>
          <w:rFonts w:hint="eastAsia"/>
          <w:color w:val="000000" w:themeColor="text1"/>
          <w:sz w:val="22"/>
          <w:szCs w:val="22"/>
          <w:shd w:val="clear" w:color="auto" w:fill="FFFFFF"/>
        </w:rPr>
        <w:t>，</w:t>
      </w:r>
      <w:r>
        <w:rPr>
          <w:color w:val="000000" w:themeColor="text1"/>
          <w:sz w:val="22"/>
          <w:szCs w:val="22"/>
          <w:shd w:val="clear" w:color="auto" w:fill="FFFFFF"/>
        </w:rPr>
        <w:t xml:space="preserve">pp. 379–397. </w:t>
      </w:r>
    </w:p>
    <w:p w14:paraId="614A4A5D"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Cleveland</w:t>
      </w:r>
      <w:r>
        <w:rPr>
          <w:rFonts w:hint="eastAsia"/>
          <w:color w:val="000000" w:themeColor="text1"/>
          <w:sz w:val="22"/>
          <w:szCs w:val="22"/>
          <w:shd w:val="clear" w:color="auto" w:fill="FFFFFF"/>
        </w:rPr>
        <w:t>，</w:t>
      </w:r>
      <w:r>
        <w:rPr>
          <w:color w:val="000000" w:themeColor="text1"/>
          <w:sz w:val="22"/>
          <w:szCs w:val="22"/>
          <w:shd w:val="clear" w:color="auto" w:fill="FFFFFF"/>
        </w:rPr>
        <w:t>B. (2022)</w:t>
      </w:r>
      <w:r>
        <w:rPr>
          <w:rStyle w:val="apple-converted-space"/>
          <w:color w:val="000000" w:themeColor="text1"/>
          <w:sz w:val="22"/>
          <w:szCs w:val="22"/>
          <w:shd w:val="clear" w:color="auto" w:fill="FFFFFF"/>
        </w:rPr>
        <w:t> </w:t>
      </w:r>
      <w:r>
        <w:rPr>
          <w:i/>
          <w:iCs/>
          <w:color w:val="000000" w:themeColor="text1"/>
          <w:sz w:val="22"/>
          <w:szCs w:val="22"/>
        </w:rPr>
        <w:t>Customer Service Leadership.</w:t>
      </w:r>
      <w:r>
        <w:rPr>
          <w:color w:val="000000" w:themeColor="text1"/>
          <w:sz w:val="22"/>
          <w:szCs w:val="22"/>
          <w:shd w:val="clear" w:color="auto" w:fill="FFFFFF"/>
        </w:rPr>
        <w:t>CA: linkedin.com.</w:t>
      </w:r>
    </w:p>
    <w:p w14:paraId="7A13B7E9" w14:textId="77777777" w:rsidR="004D2DD9" w:rsidRDefault="00000000">
      <w:pPr>
        <w:spacing w:line="360" w:lineRule="auto"/>
        <w:ind w:firstLine="0"/>
        <w:rPr>
          <w:color w:val="000000" w:themeColor="text1"/>
          <w:sz w:val="22"/>
          <w:szCs w:val="22"/>
        </w:rPr>
      </w:pPr>
      <w:r>
        <w:rPr>
          <w:color w:val="000000" w:themeColor="text1"/>
          <w:sz w:val="22"/>
          <w:szCs w:val="22"/>
        </w:rPr>
        <w:t>Cookridge</w:t>
      </w:r>
      <w:r>
        <w:rPr>
          <w:rFonts w:hint="eastAsia"/>
          <w:color w:val="000000" w:themeColor="text1"/>
          <w:sz w:val="22"/>
          <w:szCs w:val="22"/>
        </w:rPr>
        <w:t>，</w:t>
      </w:r>
      <w:r>
        <w:rPr>
          <w:color w:val="000000" w:themeColor="text1"/>
          <w:sz w:val="22"/>
          <w:szCs w:val="22"/>
        </w:rPr>
        <w:t xml:space="preserve">Y. </w:t>
      </w:r>
      <w:r>
        <w:rPr>
          <w:rFonts w:hint="eastAsia"/>
          <w:color w:val="000000" w:themeColor="text1"/>
          <w:sz w:val="22"/>
          <w:szCs w:val="22"/>
        </w:rPr>
        <w:t>，</w:t>
      </w:r>
      <w:r>
        <w:rPr>
          <w:color w:val="000000" w:themeColor="text1"/>
          <w:sz w:val="22"/>
          <w:szCs w:val="22"/>
        </w:rPr>
        <w:t>Ya</w:t>
      </w:r>
      <w:r>
        <w:rPr>
          <w:rFonts w:hint="eastAsia"/>
          <w:color w:val="000000" w:themeColor="text1"/>
          <w:sz w:val="22"/>
          <w:szCs w:val="22"/>
        </w:rPr>
        <w:t>，</w:t>
      </w:r>
      <w:r>
        <w:rPr>
          <w:color w:val="000000" w:themeColor="text1"/>
          <w:sz w:val="22"/>
          <w:szCs w:val="22"/>
        </w:rPr>
        <w:t>J. &amp; Ni</w:t>
      </w:r>
      <w:r>
        <w:rPr>
          <w:rFonts w:hint="eastAsia"/>
          <w:color w:val="000000" w:themeColor="text1"/>
          <w:sz w:val="22"/>
          <w:szCs w:val="22"/>
        </w:rPr>
        <w:t>，</w:t>
      </w:r>
      <w:r>
        <w:rPr>
          <w:color w:val="000000" w:themeColor="text1"/>
          <w:sz w:val="22"/>
          <w:szCs w:val="22"/>
        </w:rPr>
        <w:t xml:space="preserve">A. (2018) </w:t>
      </w:r>
      <w:r>
        <w:rPr>
          <w:rFonts w:hint="eastAsia"/>
          <w:color w:val="000000" w:themeColor="text1"/>
          <w:sz w:val="22"/>
          <w:szCs w:val="22"/>
        </w:rPr>
        <w:t>‘</w:t>
      </w:r>
      <w:r>
        <w:rPr>
          <w:color w:val="000000" w:themeColor="text1"/>
          <w:sz w:val="22"/>
          <w:szCs w:val="22"/>
        </w:rPr>
        <w:t>Unstable Playworkers: Game Modding Enthusiasts and the Digital Gaming Industry</w:t>
      </w:r>
      <w:r>
        <w:rPr>
          <w:rFonts w:hint="eastAsia"/>
          <w:color w:val="000000" w:themeColor="text1"/>
          <w:sz w:val="22"/>
          <w:szCs w:val="22"/>
        </w:rPr>
        <w:t>’，</w:t>
      </w:r>
      <w:r>
        <w:rPr>
          <w:i/>
          <w:iCs/>
          <w:color w:val="000000" w:themeColor="text1"/>
          <w:sz w:val="22"/>
          <w:szCs w:val="22"/>
        </w:rPr>
        <w:t>Open Times</w:t>
      </w:r>
      <w:r>
        <w:rPr>
          <w:rFonts w:hint="eastAsia"/>
          <w:i/>
          <w:iCs/>
          <w:color w:val="000000" w:themeColor="text1"/>
          <w:sz w:val="22"/>
          <w:szCs w:val="22"/>
        </w:rPr>
        <w:t>，</w:t>
      </w:r>
      <w:r>
        <w:rPr>
          <w:color w:val="000000" w:themeColor="text1"/>
          <w:sz w:val="22"/>
          <w:szCs w:val="22"/>
        </w:rPr>
        <w:t>9(06)</w:t>
      </w:r>
      <w:r>
        <w:rPr>
          <w:rFonts w:hint="eastAsia"/>
          <w:color w:val="000000" w:themeColor="text1"/>
          <w:sz w:val="22"/>
          <w:szCs w:val="22"/>
        </w:rPr>
        <w:t>，</w:t>
      </w:r>
      <w:r>
        <w:rPr>
          <w:color w:val="000000" w:themeColor="text1"/>
          <w:sz w:val="22"/>
          <w:szCs w:val="22"/>
        </w:rPr>
        <w:t>pp.196-206.</w:t>
      </w:r>
    </w:p>
    <w:p w14:paraId="61835596"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Daynasti</w:t>
      </w:r>
      <w:r>
        <w:rPr>
          <w:rFonts w:hint="eastAsia"/>
          <w:color w:val="000000" w:themeColor="text1"/>
          <w:sz w:val="22"/>
          <w:szCs w:val="22"/>
          <w:shd w:val="clear" w:color="auto" w:fill="FFFFFF"/>
        </w:rPr>
        <w:t>，</w:t>
      </w:r>
      <w:r>
        <w:rPr>
          <w:color w:val="000000" w:themeColor="text1"/>
          <w:sz w:val="22"/>
          <w:szCs w:val="22"/>
          <w:shd w:val="clear" w:color="auto" w:fill="FFFFFF"/>
        </w:rPr>
        <w:t>C.C. and Linuwih</w:t>
      </w:r>
      <w:r>
        <w:rPr>
          <w:rFonts w:hint="eastAsia"/>
          <w:color w:val="000000" w:themeColor="text1"/>
          <w:sz w:val="22"/>
          <w:szCs w:val="22"/>
          <w:shd w:val="clear" w:color="auto" w:fill="FFFFFF"/>
        </w:rPr>
        <w:t>，</w:t>
      </w:r>
      <w:r>
        <w:rPr>
          <w:color w:val="000000" w:themeColor="text1"/>
          <w:sz w:val="22"/>
          <w:szCs w:val="22"/>
          <w:shd w:val="clear" w:color="auto" w:fill="FFFFFF"/>
        </w:rPr>
        <w:t xml:space="preserve">S. (2021) </w:t>
      </w:r>
      <w:r>
        <w:rPr>
          <w:rFonts w:hint="eastAsia"/>
          <w:color w:val="000000" w:themeColor="text1"/>
          <w:sz w:val="22"/>
          <w:szCs w:val="22"/>
          <w:shd w:val="clear" w:color="auto" w:fill="FFFFFF"/>
        </w:rPr>
        <w:t>‘</w:t>
      </w:r>
      <w:r>
        <w:rPr>
          <w:color w:val="000000" w:themeColor="text1"/>
          <w:sz w:val="22"/>
          <w:szCs w:val="22"/>
          <w:shd w:val="clear" w:color="auto" w:fill="FFFFFF"/>
        </w:rPr>
        <w:t>The development of learning media based on Yu-Gi-Oh Physics Smart Card (YOPSA) to increase learning interest of student on the static fluid material</w:t>
      </w:r>
      <w:r>
        <w:rPr>
          <w:rFonts w:hint="eastAsia"/>
          <w:color w:val="000000" w:themeColor="text1"/>
          <w:sz w:val="22"/>
          <w:szCs w:val="22"/>
          <w:shd w:val="clear" w:color="auto" w:fill="FFFFFF"/>
        </w:rPr>
        <w:t>’，</w:t>
      </w:r>
      <w:r>
        <w:rPr>
          <w:i/>
          <w:iCs/>
          <w:color w:val="000000" w:themeColor="text1"/>
          <w:sz w:val="22"/>
          <w:szCs w:val="22"/>
        </w:rPr>
        <w:t>Journal of physics. Conference series</w:t>
      </w:r>
      <w:r>
        <w:rPr>
          <w:rFonts w:hint="eastAsia"/>
          <w:i/>
          <w:iCs/>
          <w:color w:val="000000" w:themeColor="text1"/>
          <w:sz w:val="22"/>
          <w:szCs w:val="22"/>
        </w:rPr>
        <w:t>，</w:t>
      </w:r>
      <w:r>
        <w:rPr>
          <w:color w:val="000000" w:themeColor="text1"/>
          <w:sz w:val="22"/>
          <w:szCs w:val="22"/>
          <w:shd w:val="clear" w:color="auto" w:fill="FFFFFF"/>
        </w:rPr>
        <w:t>1918(2)</w:t>
      </w:r>
      <w:r>
        <w:rPr>
          <w:rFonts w:hint="eastAsia"/>
          <w:color w:val="000000" w:themeColor="text1"/>
          <w:sz w:val="22"/>
          <w:szCs w:val="22"/>
          <w:shd w:val="clear" w:color="auto" w:fill="FFFFFF"/>
        </w:rPr>
        <w:t>，</w:t>
      </w:r>
      <w:r>
        <w:rPr>
          <w:color w:val="000000" w:themeColor="text1"/>
          <w:sz w:val="22"/>
          <w:szCs w:val="22"/>
          <w:shd w:val="clear" w:color="auto" w:fill="FFFFFF"/>
        </w:rPr>
        <w:t xml:space="preserve">p. 22020. </w:t>
      </w:r>
    </w:p>
    <w:p w14:paraId="067743B9" w14:textId="77777777" w:rsidR="004D2DD9" w:rsidRDefault="00000000">
      <w:pPr>
        <w:spacing w:line="360" w:lineRule="auto"/>
        <w:ind w:firstLine="0"/>
        <w:rPr>
          <w:color w:val="000000" w:themeColor="text1"/>
          <w:sz w:val="22"/>
          <w:szCs w:val="22"/>
        </w:rPr>
      </w:pPr>
      <w:r>
        <w:rPr>
          <w:color w:val="000000" w:themeColor="text1"/>
          <w:sz w:val="22"/>
          <w:szCs w:val="22"/>
        </w:rPr>
        <w:t>Dealessandri</w:t>
      </w:r>
      <w:r>
        <w:rPr>
          <w:rFonts w:hint="eastAsia"/>
          <w:color w:val="000000" w:themeColor="text1"/>
          <w:sz w:val="22"/>
          <w:szCs w:val="22"/>
        </w:rPr>
        <w:t>，</w:t>
      </w:r>
      <w:r>
        <w:rPr>
          <w:color w:val="000000" w:themeColor="text1"/>
          <w:sz w:val="22"/>
          <w:szCs w:val="22"/>
        </w:rPr>
        <w:t xml:space="preserve">M. (2023) </w:t>
      </w:r>
      <w:r>
        <w:rPr>
          <w:i/>
          <w:iCs/>
          <w:color w:val="000000" w:themeColor="text1"/>
          <w:sz w:val="22"/>
          <w:szCs w:val="22"/>
        </w:rPr>
        <w:t>China's games market reached $45.5bn in 2022</w:t>
      </w:r>
      <w:r>
        <w:rPr>
          <w:color w:val="000000" w:themeColor="text1"/>
          <w:sz w:val="22"/>
          <w:szCs w:val="22"/>
        </w:rPr>
        <w:t xml:space="preserve">. [online] GamesIndustry.biz.Available at: https://www.gamesindustry.biz/chinas-games-market-reached-455bn-in-2022 </w:t>
      </w:r>
      <w:r>
        <w:rPr>
          <w:rFonts w:hint="eastAsia"/>
          <w:color w:val="000000" w:themeColor="text1"/>
          <w:sz w:val="22"/>
          <w:szCs w:val="22"/>
        </w:rPr>
        <w:t>（</w:t>
      </w:r>
      <w:r>
        <w:rPr>
          <w:color w:val="000000" w:themeColor="text1"/>
          <w:sz w:val="22"/>
          <w:szCs w:val="22"/>
        </w:rPr>
        <w:t>Accessed 13 July 2023</w:t>
      </w:r>
      <w:r>
        <w:rPr>
          <w:rFonts w:hint="eastAsia"/>
          <w:color w:val="000000" w:themeColor="text1"/>
          <w:sz w:val="22"/>
          <w:szCs w:val="22"/>
        </w:rPr>
        <w:t>）</w:t>
      </w:r>
      <w:r>
        <w:rPr>
          <w:color w:val="000000" w:themeColor="text1"/>
          <w:sz w:val="22"/>
          <w:szCs w:val="22"/>
        </w:rPr>
        <w:t>.</w:t>
      </w:r>
    </w:p>
    <w:p w14:paraId="286DB6B9"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Finn</w:t>
      </w:r>
      <w:r>
        <w:rPr>
          <w:rFonts w:hint="eastAsia"/>
          <w:color w:val="000000" w:themeColor="text1"/>
          <w:sz w:val="22"/>
          <w:szCs w:val="22"/>
          <w:shd w:val="clear" w:color="auto" w:fill="FFFFFF"/>
        </w:rPr>
        <w:t>，</w:t>
      </w:r>
      <w:r>
        <w:rPr>
          <w:color w:val="000000" w:themeColor="text1"/>
          <w:sz w:val="22"/>
          <w:szCs w:val="22"/>
          <w:shd w:val="clear" w:color="auto" w:fill="FFFFFF"/>
        </w:rPr>
        <w:t>D.K. (2019)</w:t>
      </w:r>
      <w:r>
        <w:rPr>
          <w:rStyle w:val="apple-converted-space"/>
          <w:color w:val="000000" w:themeColor="text1"/>
          <w:sz w:val="22"/>
          <w:szCs w:val="22"/>
          <w:shd w:val="clear" w:color="auto" w:fill="FFFFFF"/>
        </w:rPr>
        <w:t> </w:t>
      </w:r>
      <w:r>
        <w:rPr>
          <w:i/>
          <w:iCs/>
          <w:color w:val="000000" w:themeColor="text1"/>
          <w:sz w:val="22"/>
          <w:szCs w:val="22"/>
        </w:rPr>
        <w:t>Consumer ethics in a global economy : how buying here causes injustice there</w:t>
      </w:r>
      <w:r>
        <w:rPr>
          <w:color w:val="000000" w:themeColor="text1"/>
          <w:sz w:val="22"/>
          <w:szCs w:val="22"/>
          <w:shd w:val="clear" w:color="auto" w:fill="FFFFFF"/>
        </w:rPr>
        <w:t>. Washington, District of Columbia: Georgetown University Press.</w:t>
      </w:r>
    </w:p>
    <w:p w14:paraId="1407989F" w14:textId="77777777" w:rsidR="004D2DD9" w:rsidRDefault="00000000">
      <w:pPr>
        <w:spacing w:line="360" w:lineRule="auto"/>
        <w:ind w:firstLine="0"/>
        <w:rPr>
          <w:color w:val="000000" w:themeColor="text1"/>
          <w:sz w:val="22"/>
          <w:szCs w:val="22"/>
        </w:rPr>
      </w:pPr>
      <w:r>
        <w:rPr>
          <w:color w:val="000000" w:themeColor="text1"/>
          <w:sz w:val="22"/>
          <w:szCs w:val="22"/>
        </w:rPr>
        <w:t>Fortune</w:t>
      </w:r>
      <w:r>
        <w:rPr>
          <w:rFonts w:hint="eastAsia"/>
          <w:color w:val="000000" w:themeColor="text1"/>
          <w:sz w:val="22"/>
          <w:szCs w:val="22"/>
        </w:rPr>
        <w:t>，</w:t>
      </w:r>
      <w:r>
        <w:rPr>
          <w:color w:val="000000" w:themeColor="text1"/>
          <w:sz w:val="22"/>
          <w:szCs w:val="22"/>
        </w:rPr>
        <w:t xml:space="preserve">B.I. (2023) </w:t>
      </w:r>
      <w:r>
        <w:rPr>
          <w:rFonts w:hint="eastAsia"/>
          <w:color w:val="000000" w:themeColor="text1"/>
          <w:sz w:val="22"/>
          <w:szCs w:val="22"/>
        </w:rPr>
        <w:t>‘</w:t>
      </w:r>
      <w:r>
        <w:rPr>
          <w:color w:val="000000" w:themeColor="text1"/>
          <w:sz w:val="22"/>
          <w:szCs w:val="22"/>
        </w:rPr>
        <w:t>Gaming Market Size</w:t>
      </w:r>
      <w:r>
        <w:rPr>
          <w:rFonts w:hint="eastAsia"/>
          <w:color w:val="000000" w:themeColor="text1"/>
          <w:sz w:val="22"/>
          <w:szCs w:val="22"/>
        </w:rPr>
        <w:t>，</w:t>
      </w:r>
      <w:r>
        <w:rPr>
          <w:color w:val="000000" w:themeColor="text1"/>
          <w:sz w:val="22"/>
          <w:szCs w:val="22"/>
        </w:rPr>
        <w:t>Share &amp; COVID-19 Impact Analysis</w:t>
      </w:r>
      <w:r>
        <w:rPr>
          <w:rFonts w:hint="eastAsia"/>
          <w:color w:val="000000" w:themeColor="text1"/>
          <w:sz w:val="22"/>
          <w:szCs w:val="22"/>
        </w:rPr>
        <w:t>，</w:t>
      </w:r>
      <w:r>
        <w:rPr>
          <w:color w:val="000000" w:themeColor="text1"/>
          <w:sz w:val="22"/>
          <w:szCs w:val="22"/>
        </w:rPr>
        <w:t>By Game Type (Shooter</w:t>
      </w:r>
      <w:r>
        <w:rPr>
          <w:rFonts w:hint="eastAsia"/>
          <w:color w:val="000000" w:themeColor="text1"/>
          <w:sz w:val="22"/>
          <w:szCs w:val="22"/>
        </w:rPr>
        <w:t>，</w:t>
      </w:r>
      <w:r>
        <w:rPr>
          <w:color w:val="000000" w:themeColor="text1"/>
          <w:sz w:val="22"/>
          <w:szCs w:val="22"/>
        </w:rPr>
        <w:t>Action</w:t>
      </w:r>
      <w:r>
        <w:rPr>
          <w:rFonts w:hint="eastAsia"/>
          <w:color w:val="000000" w:themeColor="text1"/>
          <w:sz w:val="22"/>
          <w:szCs w:val="22"/>
        </w:rPr>
        <w:t>，</w:t>
      </w:r>
      <w:r>
        <w:rPr>
          <w:color w:val="000000" w:themeColor="text1"/>
          <w:sz w:val="22"/>
          <w:szCs w:val="22"/>
        </w:rPr>
        <w:t>Sports</w:t>
      </w:r>
      <w:r>
        <w:rPr>
          <w:rFonts w:hint="eastAsia"/>
          <w:color w:val="000000" w:themeColor="text1"/>
          <w:sz w:val="22"/>
          <w:szCs w:val="22"/>
        </w:rPr>
        <w:t>，</w:t>
      </w:r>
      <w:r>
        <w:rPr>
          <w:color w:val="000000" w:themeColor="text1"/>
          <w:sz w:val="22"/>
          <w:szCs w:val="22"/>
        </w:rPr>
        <w:t>Role Playing</w:t>
      </w:r>
      <w:r>
        <w:rPr>
          <w:rFonts w:hint="eastAsia"/>
          <w:color w:val="000000" w:themeColor="text1"/>
          <w:sz w:val="22"/>
          <w:szCs w:val="22"/>
        </w:rPr>
        <w:t xml:space="preserve"> </w:t>
      </w:r>
      <w:r>
        <w:rPr>
          <w:color w:val="000000" w:themeColor="text1"/>
          <w:sz w:val="22"/>
          <w:szCs w:val="22"/>
        </w:rPr>
        <w:t>and Others)</w:t>
      </w:r>
      <w:r>
        <w:rPr>
          <w:rFonts w:hint="eastAsia"/>
          <w:color w:val="000000" w:themeColor="text1"/>
          <w:sz w:val="22"/>
          <w:szCs w:val="22"/>
        </w:rPr>
        <w:t>，</w:t>
      </w:r>
      <w:r>
        <w:rPr>
          <w:color w:val="000000" w:themeColor="text1"/>
          <w:sz w:val="22"/>
          <w:szCs w:val="22"/>
        </w:rPr>
        <w:t>By Device Type (PC/MMO</w:t>
      </w:r>
      <w:r>
        <w:rPr>
          <w:rFonts w:hint="eastAsia"/>
          <w:color w:val="000000" w:themeColor="text1"/>
          <w:sz w:val="22"/>
          <w:szCs w:val="22"/>
        </w:rPr>
        <w:t>，</w:t>
      </w:r>
      <w:r>
        <w:rPr>
          <w:color w:val="000000" w:themeColor="text1"/>
          <w:sz w:val="22"/>
          <w:szCs w:val="22"/>
        </w:rPr>
        <w:t>Tablet</w:t>
      </w:r>
      <w:r>
        <w:rPr>
          <w:rFonts w:hint="eastAsia"/>
          <w:color w:val="000000" w:themeColor="text1"/>
          <w:sz w:val="22"/>
          <w:szCs w:val="22"/>
        </w:rPr>
        <w:t>，</w:t>
      </w:r>
      <w:r>
        <w:rPr>
          <w:color w:val="000000" w:themeColor="text1"/>
          <w:sz w:val="22"/>
          <w:szCs w:val="22"/>
        </w:rPr>
        <w:t>Mobile Phone</w:t>
      </w:r>
      <w:r>
        <w:rPr>
          <w:rFonts w:hint="eastAsia"/>
          <w:color w:val="000000" w:themeColor="text1"/>
          <w:sz w:val="22"/>
          <w:szCs w:val="22"/>
        </w:rPr>
        <w:t>，</w:t>
      </w:r>
      <w:r>
        <w:rPr>
          <w:color w:val="000000" w:themeColor="text1"/>
          <w:sz w:val="22"/>
          <w:szCs w:val="22"/>
        </w:rPr>
        <w:t>and TV/Console)</w:t>
      </w:r>
      <w:r>
        <w:rPr>
          <w:rFonts w:hint="eastAsia"/>
          <w:color w:val="000000" w:themeColor="text1"/>
          <w:sz w:val="22"/>
          <w:szCs w:val="22"/>
        </w:rPr>
        <w:t>，</w:t>
      </w:r>
      <w:r>
        <w:rPr>
          <w:color w:val="000000" w:themeColor="text1"/>
          <w:sz w:val="22"/>
          <w:szCs w:val="22"/>
        </w:rPr>
        <w:t>By End-User (Male and Female)</w:t>
      </w:r>
      <w:r>
        <w:rPr>
          <w:rFonts w:hint="eastAsia"/>
          <w:color w:val="000000" w:themeColor="text1"/>
          <w:sz w:val="22"/>
          <w:szCs w:val="22"/>
        </w:rPr>
        <w:t>，</w:t>
      </w:r>
      <w:r>
        <w:rPr>
          <w:color w:val="000000" w:themeColor="text1"/>
          <w:sz w:val="22"/>
          <w:szCs w:val="22"/>
        </w:rPr>
        <w:t>and Regional Forecast</w:t>
      </w:r>
      <w:r>
        <w:rPr>
          <w:rFonts w:hint="eastAsia"/>
          <w:color w:val="000000" w:themeColor="text1"/>
          <w:sz w:val="22"/>
          <w:szCs w:val="22"/>
        </w:rPr>
        <w:t>，</w:t>
      </w:r>
      <w:r>
        <w:rPr>
          <w:color w:val="000000" w:themeColor="text1"/>
          <w:sz w:val="22"/>
          <w:szCs w:val="22"/>
        </w:rPr>
        <w:t>2023-2030</w:t>
      </w:r>
      <w:r>
        <w:rPr>
          <w:rFonts w:hint="eastAsia"/>
          <w:color w:val="000000" w:themeColor="text1"/>
          <w:sz w:val="22"/>
          <w:szCs w:val="22"/>
        </w:rPr>
        <w:t>’，</w:t>
      </w:r>
      <w:r>
        <w:rPr>
          <w:i/>
          <w:iCs/>
          <w:color w:val="000000" w:themeColor="text1"/>
          <w:sz w:val="22"/>
          <w:szCs w:val="22"/>
        </w:rPr>
        <w:t>Market Research Report</w:t>
      </w:r>
      <w:r>
        <w:rPr>
          <w:rFonts w:hint="eastAsia"/>
          <w:i/>
          <w:iCs/>
          <w:color w:val="000000" w:themeColor="text1"/>
          <w:sz w:val="22"/>
          <w:szCs w:val="22"/>
        </w:rPr>
        <w:t>，</w:t>
      </w:r>
      <w:r>
        <w:rPr>
          <w:color w:val="000000" w:themeColor="text1"/>
          <w:sz w:val="22"/>
          <w:szCs w:val="22"/>
        </w:rPr>
        <w:t>1(1)</w:t>
      </w:r>
      <w:r>
        <w:rPr>
          <w:rFonts w:hint="eastAsia"/>
          <w:color w:val="000000" w:themeColor="text1"/>
          <w:sz w:val="22"/>
          <w:szCs w:val="22"/>
        </w:rPr>
        <w:t>，</w:t>
      </w:r>
      <w:r>
        <w:rPr>
          <w:color w:val="000000" w:themeColor="text1"/>
          <w:sz w:val="22"/>
          <w:szCs w:val="22"/>
        </w:rPr>
        <w:t>p</w:t>
      </w:r>
      <w:r>
        <w:rPr>
          <w:rFonts w:hint="eastAsia"/>
          <w:color w:val="000000" w:themeColor="text1"/>
          <w:sz w:val="22"/>
          <w:szCs w:val="22"/>
        </w:rPr>
        <w:t>p</w:t>
      </w:r>
      <w:r>
        <w:rPr>
          <w:color w:val="000000" w:themeColor="text1"/>
          <w:sz w:val="22"/>
          <w:szCs w:val="22"/>
        </w:rPr>
        <w:t>. 1-180.</w:t>
      </w:r>
    </w:p>
    <w:p w14:paraId="0276D532"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Havens</w:t>
      </w:r>
      <w:r>
        <w:rPr>
          <w:rFonts w:hint="eastAsia"/>
          <w:color w:val="000000" w:themeColor="text1"/>
          <w:sz w:val="22"/>
          <w:szCs w:val="22"/>
          <w:shd w:val="clear" w:color="auto" w:fill="FFFFFF"/>
        </w:rPr>
        <w:t>，</w:t>
      </w:r>
      <w:r>
        <w:rPr>
          <w:color w:val="000000" w:themeColor="text1"/>
          <w:sz w:val="22"/>
          <w:szCs w:val="22"/>
          <w:shd w:val="clear" w:color="auto" w:fill="FFFFFF"/>
        </w:rPr>
        <w:t>J. (2018)</w:t>
      </w:r>
      <w:r>
        <w:rPr>
          <w:rStyle w:val="apple-converted-space"/>
          <w:color w:val="000000" w:themeColor="text1"/>
          <w:sz w:val="22"/>
          <w:szCs w:val="22"/>
          <w:shd w:val="clear" w:color="auto" w:fill="FFFFFF"/>
        </w:rPr>
        <w:t> </w:t>
      </w:r>
      <w:r>
        <w:rPr>
          <w:i/>
          <w:iCs/>
          <w:color w:val="000000" w:themeColor="text1"/>
          <w:sz w:val="22"/>
          <w:szCs w:val="22"/>
        </w:rPr>
        <w:t>Remarkable customer service. [1 of 8], The value of remarkable customer service</w:t>
      </w:r>
      <w:r>
        <w:rPr>
          <w:color w:val="000000" w:themeColor="text1"/>
          <w:sz w:val="22"/>
          <w:szCs w:val="22"/>
          <w:shd w:val="clear" w:color="auto" w:fill="FFFFFF"/>
        </w:rPr>
        <w:t>. Bloomington</w:t>
      </w:r>
      <w:r>
        <w:rPr>
          <w:rFonts w:hint="eastAsia"/>
          <w:color w:val="000000" w:themeColor="text1"/>
          <w:sz w:val="22"/>
          <w:szCs w:val="22"/>
          <w:shd w:val="clear" w:color="auto" w:fill="FFFFFF"/>
        </w:rPr>
        <w:t>，</w:t>
      </w:r>
      <w:r>
        <w:rPr>
          <w:color w:val="000000" w:themeColor="text1"/>
          <w:sz w:val="22"/>
          <w:szCs w:val="22"/>
          <w:shd w:val="clear" w:color="auto" w:fill="FFFFFF"/>
        </w:rPr>
        <w:t>IL: The Jeff Havens Company.</w:t>
      </w:r>
    </w:p>
    <w:p w14:paraId="23DD92F1"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Hong</w:t>
      </w:r>
      <w:r>
        <w:rPr>
          <w:rFonts w:hint="eastAsia"/>
          <w:color w:val="000000" w:themeColor="text1"/>
          <w:sz w:val="22"/>
          <w:szCs w:val="22"/>
          <w:shd w:val="clear" w:color="auto" w:fill="FFFFFF"/>
        </w:rPr>
        <w:t>，</w:t>
      </w:r>
      <w:r>
        <w:rPr>
          <w:color w:val="000000" w:themeColor="text1"/>
          <w:sz w:val="22"/>
          <w:szCs w:val="22"/>
          <w:shd w:val="clear" w:color="auto" w:fill="FFFFFF"/>
        </w:rPr>
        <w:t>H.J.</w:t>
      </w:r>
      <w:r>
        <w:rPr>
          <w:rFonts w:hint="eastAsia"/>
          <w:color w:val="000000" w:themeColor="text1"/>
          <w:sz w:val="22"/>
          <w:szCs w:val="22"/>
          <w:shd w:val="clear" w:color="auto" w:fill="FFFFFF"/>
        </w:rPr>
        <w:t>，</w:t>
      </w:r>
      <w:r>
        <w:rPr>
          <w:color w:val="000000" w:themeColor="text1"/>
          <w:sz w:val="22"/>
          <w:szCs w:val="22"/>
          <w:shd w:val="clear" w:color="auto" w:fill="FFFFFF"/>
        </w:rPr>
        <w:t>Wilkinson</w:t>
      </w:r>
      <w:r>
        <w:rPr>
          <w:rFonts w:hint="eastAsia"/>
          <w:color w:val="000000" w:themeColor="text1"/>
          <w:sz w:val="22"/>
          <w:szCs w:val="22"/>
          <w:shd w:val="clear" w:color="auto" w:fill="FFFFFF"/>
        </w:rPr>
        <w:t>，</w:t>
      </w:r>
      <w:r>
        <w:rPr>
          <w:color w:val="000000" w:themeColor="text1"/>
          <w:sz w:val="22"/>
          <w:szCs w:val="22"/>
          <w:shd w:val="clear" w:color="auto" w:fill="FFFFFF"/>
        </w:rPr>
        <w:t>G. and Rocha</w:t>
      </w:r>
      <w:r>
        <w:rPr>
          <w:rFonts w:hint="eastAsia"/>
          <w:color w:val="000000" w:themeColor="text1"/>
          <w:sz w:val="22"/>
          <w:szCs w:val="22"/>
          <w:shd w:val="clear" w:color="auto" w:fill="FFFFFF"/>
        </w:rPr>
        <w:t>，</w:t>
      </w:r>
      <w:r>
        <w:rPr>
          <w:color w:val="000000" w:themeColor="text1"/>
          <w:sz w:val="22"/>
          <w:szCs w:val="22"/>
          <w:shd w:val="clear" w:color="auto" w:fill="FFFFFF"/>
        </w:rPr>
        <w:t xml:space="preserve">C.M. (2023) </w:t>
      </w:r>
      <w:r>
        <w:rPr>
          <w:rFonts w:hint="eastAsia"/>
          <w:color w:val="000000" w:themeColor="text1"/>
          <w:sz w:val="22"/>
          <w:szCs w:val="22"/>
          <w:shd w:val="clear" w:color="auto" w:fill="FFFFFF"/>
        </w:rPr>
        <w:t>‘</w:t>
      </w:r>
      <w:r>
        <w:rPr>
          <w:color w:val="000000" w:themeColor="text1"/>
          <w:sz w:val="22"/>
          <w:szCs w:val="22"/>
          <w:shd w:val="clear" w:color="auto" w:fill="FFFFFF"/>
        </w:rPr>
        <w:t>The Relationship Between Basic Needs Satisfaction, Self-determined Motivation, and Burnout in Korean Esports Players</w:t>
      </w:r>
      <w:r>
        <w:rPr>
          <w:rFonts w:hint="eastAsia"/>
          <w:color w:val="000000" w:themeColor="text1"/>
          <w:sz w:val="22"/>
          <w:szCs w:val="22"/>
          <w:shd w:val="clear" w:color="auto" w:fill="FFFFFF"/>
        </w:rPr>
        <w:t>’，</w:t>
      </w:r>
      <w:r>
        <w:rPr>
          <w:i/>
          <w:iCs/>
          <w:color w:val="000000" w:themeColor="text1"/>
          <w:sz w:val="22"/>
          <w:szCs w:val="22"/>
        </w:rPr>
        <w:t>Journal of gambling studies</w:t>
      </w:r>
      <w:r>
        <w:rPr>
          <w:rFonts w:hint="eastAsia"/>
          <w:i/>
          <w:iCs/>
          <w:color w:val="000000" w:themeColor="text1"/>
          <w:sz w:val="22"/>
          <w:szCs w:val="22"/>
        </w:rPr>
        <w:t>，</w:t>
      </w:r>
      <w:r>
        <w:rPr>
          <w:color w:val="000000" w:themeColor="text1"/>
          <w:sz w:val="22"/>
          <w:szCs w:val="22"/>
          <w:shd w:val="clear" w:color="auto" w:fill="FFFFFF"/>
        </w:rPr>
        <w:t>39(1)</w:t>
      </w:r>
      <w:r>
        <w:rPr>
          <w:rFonts w:hint="eastAsia"/>
          <w:color w:val="000000" w:themeColor="text1"/>
          <w:sz w:val="22"/>
          <w:szCs w:val="22"/>
          <w:shd w:val="clear" w:color="auto" w:fill="FFFFFF"/>
        </w:rPr>
        <w:t>，</w:t>
      </w:r>
      <w:r>
        <w:rPr>
          <w:color w:val="000000" w:themeColor="text1"/>
          <w:sz w:val="22"/>
          <w:szCs w:val="22"/>
          <w:shd w:val="clear" w:color="auto" w:fill="FFFFFF"/>
        </w:rPr>
        <w:t>pp. 323–338.</w:t>
      </w:r>
    </w:p>
    <w:p w14:paraId="065AEEBD"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Javid Mostamand</w:t>
      </w:r>
      <w:r>
        <w:rPr>
          <w:rFonts w:hint="eastAsia"/>
          <w:color w:val="000000" w:themeColor="text1"/>
          <w:sz w:val="22"/>
          <w:szCs w:val="22"/>
          <w:shd w:val="clear" w:color="auto" w:fill="FFFFFF"/>
        </w:rPr>
        <w:t>，</w:t>
      </w:r>
      <w:r>
        <w:rPr>
          <w:color w:val="000000" w:themeColor="text1"/>
          <w:sz w:val="22"/>
          <w:szCs w:val="22"/>
          <w:shd w:val="clear" w:color="auto" w:fill="FFFFFF"/>
        </w:rPr>
        <w:t xml:space="preserve">Ehsan Ghasemi and Narges Yousefi .(2020) </w:t>
      </w:r>
      <w:r>
        <w:rPr>
          <w:rFonts w:hint="eastAsia"/>
          <w:color w:val="000000" w:themeColor="text1"/>
          <w:sz w:val="22"/>
          <w:szCs w:val="22"/>
          <w:shd w:val="clear" w:color="auto" w:fill="FFFFFF"/>
        </w:rPr>
        <w:t>‘</w:t>
      </w:r>
      <w:r>
        <w:rPr>
          <w:color w:val="000000" w:themeColor="text1"/>
          <w:sz w:val="22"/>
          <w:szCs w:val="22"/>
          <w:shd w:val="clear" w:color="auto" w:fill="FFFFFF"/>
        </w:rPr>
        <w:t>Nintendo Wii Game in Balance Stroke Rehabilitation: A Narrative Review</w:t>
      </w:r>
      <w:r>
        <w:rPr>
          <w:rFonts w:hint="eastAsia"/>
          <w:color w:val="000000" w:themeColor="text1"/>
          <w:sz w:val="22"/>
          <w:szCs w:val="22"/>
          <w:shd w:val="clear" w:color="auto" w:fill="FFFFFF"/>
        </w:rPr>
        <w:t>‘，</w:t>
      </w:r>
      <w:r>
        <w:rPr>
          <w:i/>
          <w:iCs/>
          <w:color w:val="000000" w:themeColor="text1"/>
          <w:sz w:val="22"/>
          <w:szCs w:val="22"/>
        </w:rPr>
        <w:t>Majallah-i pizhūhish dar ̒ulūm-i tavānbakhshī (Online)</w:t>
      </w:r>
      <w:r>
        <w:rPr>
          <w:rFonts w:hint="eastAsia"/>
          <w:i/>
          <w:iCs/>
          <w:color w:val="000000" w:themeColor="text1"/>
          <w:sz w:val="22"/>
          <w:szCs w:val="22"/>
        </w:rPr>
        <w:t>，</w:t>
      </w:r>
      <w:r>
        <w:rPr>
          <w:color w:val="000000" w:themeColor="text1"/>
          <w:sz w:val="22"/>
          <w:szCs w:val="22"/>
          <w:shd w:val="clear" w:color="auto" w:fill="FFFFFF"/>
        </w:rPr>
        <w:t>15(3)</w:t>
      </w:r>
      <w:r>
        <w:rPr>
          <w:rFonts w:hint="eastAsia"/>
          <w:color w:val="000000" w:themeColor="text1"/>
          <w:sz w:val="22"/>
          <w:szCs w:val="22"/>
          <w:shd w:val="clear" w:color="auto" w:fill="FFFFFF"/>
        </w:rPr>
        <w:t>，</w:t>
      </w:r>
      <w:r>
        <w:rPr>
          <w:color w:val="000000" w:themeColor="text1"/>
          <w:sz w:val="22"/>
          <w:szCs w:val="22"/>
          <w:shd w:val="clear" w:color="auto" w:fill="FFFFFF"/>
        </w:rPr>
        <w:t>pp. 177–183.</w:t>
      </w:r>
    </w:p>
    <w:p w14:paraId="69858234"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lastRenderedPageBreak/>
        <w:t>Jiang</w:t>
      </w:r>
      <w:r>
        <w:rPr>
          <w:rFonts w:hint="eastAsia"/>
          <w:color w:val="000000" w:themeColor="text1"/>
          <w:sz w:val="22"/>
          <w:szCs w:val="22"/>
          <w:shd w:val="clear" w:color="auto" w:fill="FFFFFF"/>
        </w:rPr>
        <w:t>，</w:t>
      </w:r>
      <w:r>
        <w:rPr>
          <w:color w:val="000000" w:themeColor="text1"/>
          <w:sz w:val="22"/>
          <w:szCs w:val="22"/>
          <w:shd w:val="clear" w:color="auto" w:fill="FFFFFF"/>
        </w:rPr>
        <w:t>X.</w:t>
      </w:r>
      <w:r>
        <w:rPr>
          <w:rStyle w:val="apple-converted-space"/>
          <w:color w:val="000000" w:themeColor="text1"/>
          <w:sz w:val="22"/>
          <w:szCs w:val="22"/>
          <w:shd w:val="clear" w:color="auto" w:fill="FFFFFF"/>
        </w:rPr>
        <w:t> </w:t>
      </w:r>
      <w:r>
        <w:rPr>
          <w:i/>
          <w:iCs/>
          <w:color w:val="000000" w:themeColor="text1"/>
          <w:sz w:val="22"/>
          <w:szCs w:val="22"/>
        </w:rPr>
        <w:t>et al.</w:t>
      </w:r>
      <w:r>
        <w:rPr>
          <w:rStyle w:val="apple-converted-space"/>
          <w:color w:val="000000" w:themeColor="text1"/>
          <w:sz w:val="22"/>
          <w:szCs w:val="22"/>
          <w:shd w:val="clear" w:color="auto" w:fill="FFFFFF"/>
        </w:rPr>
        <w:t> </w:t>
      </w:r>
      <w:r>
        <w:rPr>
          <w:color w:val="000000" w:themeColor="text1"/>
          <w:sz w:val="22"/>
          <w:szCs w:val="22"/>
          <w:shd w:val="clear" w:color="auto" w:fill="FFFFFF"/>
        </w:rPr>
        <w:t xml:space="preserve">(2022) </w:t>
      </w:r>
      <w:r>
        <w:rPr>
          <w:rFonts w:hint="eastAsia"/>
          <w:color w:val="000000" w:themeColor="text1"/>
          <w:sz w:val="22"/>
          <w:szCs w:val="22"/>
          <w:shd w:val="clear" w:color="auto" w:fill="FFFFFF"/>
        </w:rPr>
        <w:t>’</w:t>
      </w:r>
      <w:r>
        <w:rPr>
          <w:color w:val="000000" w:themeColor="text1"/>
          <w:sz w:val="22"/>
          <w:szCs w:val="22"/>
          <w:shd w:val="clear" w:color="auto" w:fill="FFFFFF"/>
        </w:rPr>
        <w:t>Study of multinational currency co-movement and exchange rate stability base on network game</w:t>
      </w:r>
      <w:r>
        <w:rPr>
          <w:rFonts w:hint="eastAsia"/>
          <w:color w:val="000000" w:themeColor="text1"/>
          <w:sz w:val="22"/>
          <w:szCs w:val="22"/>
          <w:shd w:val="clear" w:color="auto" w:fill="FFFFFF"/>
        </w:rPr>
        <w:t>‘，</w:t>
      </w:r>
      <w:r>
        <w:rPr>
          <w:rStyle w:val="apple-converted-space"/>
          <w:color w:val="000000" w:themeColor="text1"/>
          <w:sz w:val="22"/>
          <w:szCs w:val="22"/>
          <w:shd w:val="clear" w:color="auto" w:fill="FFFFFF"/>
        </w:rPr>
        <w:t> </w:t>
      </w:r>
      <w:r>
        <w:rPr>
          <w:i/>
          <w:iCs/>
          <w:color w:val="000000" w:themeColor="text1"/>
          <w:sz w:val="22"/>
          <w:szCs w:val="22"/>
        </w:rPr>
        <w:t>Finance research letters</w:t>
      </w:r>
      <w:r>
        <w:rPr>
          <w:rFonts w:hint="eastAsia"/>
          <w:i/>
          <w:iCs/>
          <w:color w:val="000000" w:themeColor="text1"/>
          <w:sz w:val="22"/>
          <w:szCs w:val="22"/>
        </w:rPr>
        <w:t>，</w:t>
      </w:r>
      <w:r>
        <w:rPr>
          <w:color w:val="000000" w:themeColor="text1"/>
          <w:sz w:val="22"/>
          <w:szCs w:val="22"/>
          <w:shd w:val="clear" w:color="auto" w:fill="FFFFFF"/>
        </w:rPr>
        <w:t>47</w:t>
      </w:r>
      <w:r>
        <w:rPr>
          <w:rFonts w:hint="eastAsia"/>
          <w:color w:val="000000" w:themeColor="text1"/>
          <w:sz w:val="22"/>
          <w:szCs w:val="22"/>
          <w:shd w:val="clear" w:color="auto" w:fill="FFFFFF"/>
        </w:rPr>
        <w:t>，</w:t>
      </w:r>
      <w:r>
        <w:rPr>
          <w:color w:val="000000" w:themeColor="text1"/>
          <w:sz w:val="22"/>
          <w:szCs w:val="22"/>
          <w:shd w:val="clear" w:color="auto" w:fill="FFFFFF"/>
        </w:rPr>
        <w:t xml:space="preserve">p. 102601. </w:t>
      </w:r>
    </w:p>
    <w:p w14:paraId="41E0F1E9"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Kim</w:t>
      </w:r>
      <w:r>
        <w:rPr>
          <w:rFonts w:hint="eastAsia"/>
          <w:color w:val="000000" w:themeColor="text1"/>
          <w:sz w:val="22"/>
          <w:szCs w:val="22"/>
          <w:shd w:val="clear" w:color="auto" w:fill="FFFFFF"/>
        </w:rPr>
        <w:t>，</w:t>
      </w:r>
      <w:r>
        <w:rPr>
          <w:color w:val="000000" w:themeColor="text1"/>
          <w:sz w:val="22"/>
          <w:szCs w:val="22"/>
          <w:shd w:val="clear" w:color="auto" w:fill="FFFFFF"/>
        </w:rPr>
        <w:t>J. and Park</w:t>
      </w:r>
      <w:r>
        <w:rPr>
          <w:rFonts w:hint="eastAsia"/>
          <w:color w:val="000000" w:themeColor="text1"/>
          <w:sz w:val="22"/>
          <w:szCs w:val="22"/>
          <w:shd w:val="clear" w:color="auto" w:fill="FFFFFF"/>
        </w:rPr>
        <w:t>，</w:t>
      </w:r>
      <w:r>
        <w:rPr>
          <w:color w:val="000000" w:themeColor="text1"/>
          <w:sz w:val="22"/>
          <w:szCs w:val="22"/>
          <w:shd w:val="clear" w:color="auto" w:fill="FFFFFF"/>
        </w:rPr>
        <w:t xml:space="preserve">M.J. (2022) </w:t>
      </w:r>
      <w:r>
        <w:rPr>
          <w:rFonts w:hint="eastAsia"/>
          <w:color w:val="000000" w:themeColor="text1"/>
          <w:sz w:val="22"/>
          <w:szCs w:val="22"/>
          <w:shd w:val="clear" w:color="auto" w:fill="FFFFFF"/>
        </w:rPr>
        <w:t>’</w:t>
      </w:r>
      <w:r>
        <w:rPr>
          <w:color w:val="000000" w:themeColor="text1"/>
          <w:sz w:val="22"/>
          <w:szCs w:val="22"/>
          <w:shd w:val="clear" w:color="auto" w:fill="FFFFFF"/>
        </w:rPr>
        <w:t>Influence of Entrepreneurship Manifestation Factor on Organisational Innovation: The Role of Corporate Entrepreneurship and Imperative Innovation Culture</w:t>
      </w:r>
      <w:r>
        <w:rPr>
          <w:rFonts w:hint="eastAsia"/>
          <w:color w:val="000000" w:themeColor="text1"/>
          <w:sz w:val="22"/>
          <w:szCs w:val="22"/>
          <w:shd w:val="clear" w:color="auto" w:fill="FFFFFF"/>
        </w:rPr>
        <w:t>‘，</w:t>
      </w:r>
      <w:r>
        <w:rPr>
          <w:i/>
          <w:iCs/>
          <w:color w:val="000000" w:themeColor="text1"/>
          <w:sz w:val="22"/>
          <w:szCs w:val="22"/>
        </w:rPr>
        <w:t>The Journal of entrepreneurship</w:t>
      </w:r>
      <w:r>
        <w:rPr>
          <w:rFonts w:hint="eastAsia"/>
          <w:i/>
          <w:iCs/>
          <w:color w:val="000000" w:themeColor="text1"/>
          <w:sz w:val="22"/>
          <w:szCs w:val="22"/>
        </w:rPr>
        <w:t>，</w:t>
      </w:r>
      <w:r>
        <w:rPr>
          <w:color w:val="000000" w:themeColor="text1"/>
          <w:sz w:val="22"/>
          <w:szCs w:val="22"/>
          <w:shd w:val="clear" w:color="auto" w:fill="FFFFFF"/>
        </w:rPr>
        <w:t>31(3)</w:t>
      </w:r>
      <w:r>
        <w:rPr>
          <w:rFonts w:hint="eastAsia"/>
          <w:color w:val="000000" w:themeColor="text1"/>
          <w:sz w:val="22"/>
          <w:szCs w:val="22"/>
          <w:shd w:val="clear" w:color="auto" w:fill="FFFFFF"/>
        </w:rPr>
        <w:t>，</w:t>
      </w:r>
      <w:r>
        <w:rPr>
          <w:color w:val="000000" w:themeColor="text1"/>
          <w:sz w:val="22"/>
          <w:szCs w:val="22"/>
          <w:shd w:val="clear" w:color="auto" w:fill="FFFFFF"/>
        </w:rPr>
        <w:t>pp. 514–545.</w:t>
      </w:r>
    </w:p>
    <w:p w14:paraId="6DAD5C7F" w14:textId="77777777" w:rsidR="004D2DD9" w:rsidRDefault="00000000">
      <w:pPr>
        <w:spacing w:line="360" w:lineRule="auto"/>
        <w:ind w:firstLine="0"/>
        <w:rPr>
          <w:color w:val="000000" w:themeColor="text1"/>
          <w:sz w:val="22"/>
          <w:szCs w:val="22"/>
        </w:rPr>
      </w:pPr>
      <w:r>
        <w:rPr>
          <w:color w:val="000000" w:themeColor="text1"/>
          <w:sz w:val="22"/>
          <w:szCs w:val="22"/>
        </w:rPr>
        <w:t xml:space="preserve">Konami (2021) </w:t>
      </w:r>
      <w:r>
        <w:rPr>
          <w:i/>
          <w:iCs/>
          <w:color w:val="000000" w:themeColor="text1"/>
          <w:sz w:val="22"/>
          <w:szCs w:val="22"/>
        </w:rPr>
        <w:t>Remote Duel Yu-Gi-Oh! Championship Series 2021 | Yu-Gi-Oh! TRADING CARD GAME</w:t>
      </w:r>
      <w:r>
        <w:rPr>
          <w:color w:val="000000" w:themeColor="text1"/>
          <w:sz w:val="22"/>
          <w:szCs w:val="22"/>
        </w:rPr>
        <w:t xml:space="preserve">.Available at: https://img.yugioh-card.com/uk/events/detail.php?id=10520 </w:t>
      </w:r>
      <w:r>
        <w:rPr>
          <w:rFonts w:hint="eastAsia"/>
          <w:color w:val="000000" w:themeColor="text1"/>
          <w:sz w:val="22"/>
          <w:szCs w:val="22"/>
        </w:rPr>
        <w:t>（</w:t>
      </w:r>
      <w:r>
        <w:rPr>
          <w:color w:val="000000" w:themeColor="text1"/>
          <w:sz w:val="22"/>
          <w:szCs w:val="22"/>
        </w:rPr>
        <w:t>Accessed 16 July 2023</w:t>
      </w:r>
      <w:r>
        <w:rPr>
          <w:rFonts w:hint="eastAsia"/>
          <w:color w:val="000000" w:themeColor="text1"/>
          <w:sz w:val="22"/>
          <w:szCs w:val="22"/>
        </w:rPr>
        <w:t>）</w:t>
      </w:r>
      <w:r>
        <w:rPr>
          <w:color w:val="000000" w:themeColor="text1"/>
          <w:sz w:val="22"/>
          <w:szCs w:val="22"/>
        </w:rPr>
        <w:t>.</w:t>
      </w:r>
    </w:p>
    <w:p w14:paraId="2EC260B6" w14:textId="77777777" w:rsidR="004D2DD9" w:rsidRDefault="00000000">
      <w:pPr>
        <w:spacing w:line="360" w:lineRule="auto"/>
        <w:ind w:firstLine="0"/>
        <w:rPr>
          <w:color w:val="000000" w:themeColor="text1"/>
          <w:sz w:val="22"/>
          <w:szCs w:val="22"/>
        </w:rPr>
      </w:pPr>
      <w:r>
        <w:rPr>
          <w:color w:val="000000" w:themeColor="text1"/>
          <w:sz w:val="22"/>
          <w:szCs w:val="22"/>
        </w:rPr>
        <w:t xml:space="preserve">Konami (2022) </w:t>
      </w:r>
      <w:r>
        <w:rPr>
          <w:i/>
          <w:iCs/>
          <w:color w:val="000000" w:themeColor="text1"/>
          <w:sz w:val="22"/>
          <w:szCs w:val="22"/>
        </w:rPr>
        <w:t>Corporate Data - KONAMI HOLDINGS CORPORATION</w:t>
      </w:r>
      <w:r>
        <w:rPr>
          <w:color w:val="000000" w:themeColor="text1"/>
          <w:sz w:val="22"/>
          <w:szCs w:val="22"/>
        </w:rPr>
        <w:t>.</w:t>
      </w:r>
      <w:r>
        <w:rPr>
          <w:rFonts w:hint="eastAsia"/>
          <w:color w:val="000000" w:themeColor="text1"/>
          <w:sz w:val="22"/>
          <w:szCs w:val="22"/>
        </w:rPr>
        <w:t xml:space="preserve"> </w:t>
      </w:r>
      <w:r>
        <w:rPr>
          <w:color w:val="000000" w:themeColor="text1"/>
          <w:sz w:val="22"/>
          <w:szCs w:val="22"/>
        </w:rPr>
        <w:t xml:space="preserve">Available at: https://www.konami.com/corporate/en/data/ </w:t>
      </w:r>
      <w:r>
        <w:rPr>
          <w:rFonts w:hint="eastAsia"/>
          <w:color w:val="000000" w:themeColor="text1"/>
          <w:sz w:val="22"/>
          <w:szCs w:val="22"/>
        </w:rPr>
        <w:t>（</w:t>
      </w:r>
      <w:r>
        <w:rPr>
          <w:color w:val="000000" w:themeColor="text1"/>
          <w:sz w:val="22"/>
          <w:szCs w:val="22"/>
        </w:rPr>
        <w:t>Accessed 14 July 2023</w:t>
      </w:r>
      <w:r>
        <w:rPr>
          <w:rFonts w:hint="eastAsia"/>
          <w:color w:val="000000" w:themeColor="text1"/>
          <w:sz w:val="22"/>
          <w:szCs w:val="22"/>
        </w:rPr>
        <w:t>）</w:t>
      </w:r>
      <w:r>
        <w:rPr>
          <w:color w:val="000000" w:themeColor="text1"/>
          <w:sz w:val="22"/>
          <w:szCs w:val="22"/>
        </w:rPr>
        <w:t>.</w:t>
      </w:r>
    </w:p>
    <w:p w14:paraId="7204E13C" w14:textId="77777777" w:rsidR="004D2DD9" w:rsidRDefault="00000000">
      <w:pPr>
        <w:spacing w:line="360" w:lineRule="auto"/>
        <w:ind w:firstLine="0"/>
        <w:rPr>
          <w:color w:val="000000" w:themeColor="text1"/>
          <w:sz w:val="22"/>
          <w:szCs w:val="22"/>
        </w:rPr>
      </w:pPr>
      <w:r>
        <w:rPr>
          <w:color w:val="000000" w:themeColor="text1"/>
          <w:sz w:val="22"/>
          <w:szCs w:val="22"/>
        </w:rPr>
        <w:t xml:space="preserve">Konami (2022) </w:t>
      </w:r>
      <w:r>
        <w:rPr>
          <w:i/>
          <w:iCs/>
          <w:color w:val="000000" w:themeColor="text1"/>
          <w:sz w:val="22"/>
          <w:szCs w:val="22"/>
        </w:rPr>
        <w:t>Digital Entertainment Business - KONAMI HOLDINGS CORPORATION</w:t>
      </w:r>
      <w:r>
        <w:rPr>
          <w:color w:val="000000" w:themeColor="text1"/>
          <w:sz w:val="22"/>
          <w:szCs w:val="22"/>
        </w:rPr>
        <w:t>. Available</w:t>
      </w:r>
      <w:r>
        <w:rPr>
          <w:rFonts w:hint="eastAsia"/>
          <w:color w:val="000000" w:themeColor="text1"/>
          <w:sz w:val="22"/>
          <w:szCs w:val="22"/>
        </w:rPr>
        <w:t xml:space="preserve"> </w:t>
      </w:r>
      <w:r>
        <w:rPr>
          <w:color w:val="000000" w:themeColor="text1"/>
          <w:sz w:val="22"/>
          <w:szCs w:val="22"/>
        </w:rPr>
        <w:t xml:space="preserve">at:https://www.konami.com/corporate/en/business/digitalentertainment.html </w:t>
      </w:r>
      <w:r>
        <w:rPr>
          <w:rFonts w:hint="eastAsia"/>
          <w:color w:val="000000" w:themeColor="text1"/>
          <w:sz w:val="22"/>
          <w:szCs w:val="22"/>
        </w:rPr>
        <w:t>（</w:t>
      </w:r>
      <w:r>
        <w:rPr>
          <w:color w:val="000000" w:themeColor="text1"/>
          <w:sz w:val="22"/>
          <w:szCs w:val="22"/>
        </w:rPr>
        <w:t>Accessed 14 July 2023</w:t>
      </w:r>
      <w:r>
        <w:rPr>
          <w:rFonts w:hint="eastAsia"/>
          <w:color w:val="000000" w:themeColor="text1"/>
          <w:sz w:val="22"/>
          <w:szCs w:val="22"/>
        </w:rPr>
        <w:t>）</w:t>
      </w:r>
      <w:r>
        <w:rPr>
          <w:color w:val="000000" w:themeColor="text1"/>
          <w:sz w:val="22"/>
          <w:szCs w:val="22"/>
        </w:rPr>
        <w:t>.</w:t>
      </w:r>
    </w:p>
    <w:p w14:paraId="4041A0B3" w14:textId="77777777" w:rsidR="004D2DD9" w:rsidRDefault="00000000">
      <w:pPr>
        <w:spacing w:line="360" w:lineRule="auto"/>
        <w:ind w:firstLine="0"/>
        <w:rPr>
          <w:color w:val="000000" w:themeColor="text1"/>
          <w:sz w:val="22"/>
          <w:szCs w:val="22"/>
        </w:rPr>
      </w:pPr>
      <w:r>
        <w:rPr>
          <w:color w:val="000000" w:themeColor="text1"/>
          <w:sz w:val="22"/>
          <w:szCs w:val="22"/>
        </w:rPr>
        <w:t xml:space="preserve">Konami (2022) </w:t>
      </w:r>
      <w:r>
        <w:rPr>
          <w:i/>
          <w:iCs/>
          <w:color w:val="000000" w:themeColor="text1"/>
          <w:sz w:val="22"/>
          <w:szCs w:val="22"/>
        </w:rPr>
        <w:t>News - KONAMI GROUP CORPORATION</w:t>
      </w:r>
      <w:r>
        <w:rPr>
          <w:color w:val="000000" w:themeColor="text1"/>
          <w:sz w:val="22"/>
          <w:szCs w:val="22"/>
        </w:rPr>
        <w:t xml:space="preserve">.Available at: https://www.konami.com/news/en/news.html?year=2022 </w:t>
      </w:r>
      <w:r>
        <w:rPr>
          <w:rFonts w:hint="eastAsia"/>
          <w:color w:val="000000" w:themeColor="text1"/>
          <w:sz w:val="22"/>
          <w:szCs w:val="22"/>
        </w:rPr>
        <w:t>（</w:t>
      </w:r>
      <w:r>
        <w:rPr>
          <w:color w:val="000000" w:themeColor="text1"/>
          <w:sz w:val="22"/>
          <w:szCs w:val="22"/>
        </w:rPr>
        <w:t>Accessed 11 July 2023]</w:t>
      </w:r>
      <w:r>
        <w:rPr>
          <w:rFonts w:hint="eastAsia"/>
          <w:color w:val="000000" w:themeColor="text1"/>
          <w:sz w:val="22"/>
          <w:szCs w:val="22"/>
        </w:rPr>
        <w:t>）</w:t>
      </w:r>
    </w:p>
    <w:p w14:paraId="30BECE11"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Kröl</w:t>
      </w:r>
      <w:r>
        <w:rPr>
          <w:rFonts w:hint="eastAsia"/>
          <w:color w:val="000000" w:themeColor="text1"/>
          <w:sz w:val="22"/>
          <w:szCs w:val="22"/>
          <w:shd w:val="clear" w:color="auto" w:fill="FFFFFF"/>
        </w:rPr>
        <w:t>l</w:t>
      </w:r>
      <w:r>
        <w:rPr>
          <w:rFonts w:hint="eastAsia"/>
          <w:color w:val="000000" w:themeColor="text1"/>
          <w:sz w:val="22"/>
          <w:szCs w:val="22"/>
          <w:shd w:val="clear" w:color="auto" w:fill="FFFFFF"/>
        </w:rPr>
        <w:t>，</w:t>
      </w:r>
      <w:r>
        <w:rPr>
          <w:color w:val="000000" w:themeColor="text1"/>
          <w:sz w:val="22"/>
          <w:szCs w:val="22"/>
          <w:shd w:val="clear" w:color="auto" w:fill="FFFFFF"/>
        </w:rPr>
        <w:t xml:space="preserve"> C.</w:t>
      </w:r>
      <w:r>
        <w:rPr>
          <w:rFonts w:hint="eastAsia"/>
          <w:color w:val="000000" w:themeColor="text1"/>
          <w:sz w:val="22"/>
          <w:szCs w:val="22"/>
          <w:shd w:val="clear" w:color="auto" w:fill="FFFFFF"/>
        </w:rPr>
        <w:t>，</w:t>
      </w:r>
      <w:r>
        <w:rPr>
          <w:color w:val="000000" w:themeColor="text1"/>
          <w:sz w:val="22"/>
          <w:szCs w:val="22"/>
          <w:shd w:val="clear" w:color="auto" w:fill="FFFFFF"/>
        </w:rPr>
        <w:t>Nüesch</w:t>
      </w:r>
      <w:r>
        <w:rPr>
          <w:rFonts w:hint="eastAsia"/>
          <w:color w:val="000000" w:themeColor="text1"/>
          <w:sz w:val="22"/>
          <w:szCs w:val="22"/>
          <w:shd w:val="clear" w:color="auto" w:fill="FFFFFF"/>
        </w:rPr>
        <w:t>，</w:t>
      </w:r>
      <w:r>
        <w:rPr>
          <w:color w:val="000000" w:themeColor="text1"/>
          <w:sz w:val="22"/>
          <w:szCs w:val="22"/>
          <w:shd w:val="clear" w:color="auto" w:fill="FFFFFF"/>
        </w:rPr>
        <w:t>S. and Foege</w:t>
      </w:r>
      <w:r>
        <w:rPr>
          <w:rFonts w:hint="eastAsia"/>
          <w:color w:val="000000" w:themeColor="text1"/>
          <w:sz w:val="22"/>
          <w:szCs w:val="22"/>
          <w:shd w:val="clear" w:color="auto" w:fill="FFFFFF"/>
        </w:rPr>
        <w:t>，</w:t>
      </w:r>
      <w:r>
        <w:rPr>
          <w:color w:val="000000" w:themeColor="text1"/>
          <w:sz w:val="22"/>
          <w:szCs w:val="22"/>
          <w:shd w:val="clear" w:color="auto" w:fill="FFFFFF"/>
        </w:rPr>
        <w:t xml:space="preserve">J.N. (2021) </w:t>
      </w:r>
      <w:r>
        <w:rPr>
          <w:rFonts w:hint="eastAsia"/>
          <w:color w:val="000000" w:themeColor="text1"/>
          <w:sz w:val="22"/>
          <w:szCs w:val="22"/>
          <w:shd w:val="clear" w:color="auto" w:fill="FFFFFF"/>
        </w:rPr>
        <w:t>’</w:t>
      </w:r>
      <w:r>
        <w:rPr>
          <w:color w:val="000000" w:themeColor="text1"/>
          <w:sz w:val="22"/>
          <w:szCs w:val="22"/>
          <w:shd w:val="clear" w:color="auto" w:fill="FFFFFF"/>
        </w:rPr>
        <w:t>Flexible work practices and organizational attractiveness in Germany: The mediating role of anticipated organizational support</w:t>
      </w:r>
      <w:r>
        <w:rPr>
          <w:rFonts w:hint="eastAsia"/>
          <w:color w:val="000000" w:themeColor="text1"/>
          <w:sz w:val="22"/>
          <w:szCs w:val="22"/>
          <w:shd w:val="clear" w:color="auto" w:fill="FFFFFF"/>
        </w:rPr>
        <w:t>‘，</w:t>
      </w:r>
      <w:r>
        <w:rPr>
          <w:i/>
          <w:iCs/>
          <w:color w:val="000000" w:themeColor="text1"/>
          <w:sz w:val="22"/>
          <w:szCs w:val="22"/>
        </w:rPr>
        <w:t>International journal of human resource management</w:t>
      </w:r>
      <w:r>
        <w:rPr>
          <w:rFonts w:hint="eastAsia"/>
          <w:i/>
          <w:iCs/>
          <w:color w:val="000000" w:themeColor="text1"/>
          <w:sz w:val="22"/>
          <w:szCs w:val="22"/>
        </w:rPr>
        <w:t>，</w:t>
      </w:r>
      <w:r>
        <w:rPr>
          <w:color w:val="000000" w:themeColor="text1"/>
          <w:sz w:val="22"/>
          <w:szCs w:val="22"/>
          <w:shd w:val="clear" w:color="auto" w:fill="FFFFFF"/>
        </w:rPr>
        <w:t>32(3)</w:t>
      </w:r>
      <w:r>
        <w:rPr>
          <w:rFonts w:hint="eastAsia"/>
          <w:color w:val="000000" w:themeColor="text1"/>
          <w:sz w:val="22"/>
          <w:szCs w:val="22"/>
          <w:shd w:val="clear" w:color="auto" w:fill="FFFFFF"/>
        </w:rPr>
        <w:t>，</w:t>
      </w:r>
      <w:r>
        <w:rPr>
          <w:color w:val="000000" w:themeColor="text1"/>
          <w:sz w:val="22"/>
          <w:szCs w:val="22"/>
          <w:shd w:val="clear" w:color="auto" w:fill="FFFFFF"/>
        </w:rPr>
        <w:t xml:space="preserve">pp. 543–572. </w:t>
      </w:r>
    </w:p>
    <w:p w14:paraId="22F43041"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Lewis</w:t>
      </w:r>
      <w:r>
        <w:rPr>
          <w:rFonts w:hint="eastAsia"/>
          <w:color w:val="000000" w:themeColor="text1"/>
          <w:sz w:val="22"/>
          <w:szCs w:val="22"/>
          <w:shd w:val="clear" w:color="auto" w:fill="FFFFFF"/>
        </w:rPr>
        <w:t>，</w:t>
      </w:r>
      <w:r>
        <w:rPr>
          <w:color w:val="000000" w:themeColor="text1"/>
          <w:sz w:val="22"/>
          <w:szCs w:val="22"/>
          <w:shd w:val="clear" w:color="auto" w:fill="FFFFFF"/>
        </w:rPr>
        <w:t>L.K.(2019)</w:t>
      </w:r>
      <w:r>
        <w:rPr>
          <w:rStyle w:val="apple-converted-space"/>
          <w:color w:val="000000" w:themeColor="text1"/>
          <w:sz w:val="22"/>
          <w:szCs w:val="22"/>
          <w:shd w:val="clear" w:color="auto" w:fill="FFFFFF"/>
        </w:rPr>
        <w:t> </w:t>
      </w:r>
      <w:r>
        <w:rPr>
          <w:i/>
          <w:iCs/>
          <w:color w:val="000000" w:themeColor="text1"/>
          <w:sz w:val="22"/>
          <w:szCs w:val="22"/>
        </w:rPr>
        <w:t>Organizational change :  creating change through strategic communication</w:t>
      </w:r>
      <w:r>
        <w:rPr>
          <w:color w:val="000000" w:themeColor="text1"/>
          <w:sz w:val="22"/>
          <w:szCs w:val="22"/>
          <w:shd w:val="clear" w:color="auto" w:fill="FFFFFF"/>
        </w:rPr>
        <w:t>. 2nd ed. Hoboken</w:t>
      </w:r>
      <w:r>
        <w:rPr>
          <w:rFonts w:hint="eastAsia"/>
          <w:color w:val="000000" w:themeColor="text1"/>
          <w:sz w:val="22"/>
          <w:szCs w:val="22"/>
          <w:shd w:val="clear" w:color="auto" w:fill="FFFFFF"/>
        </w:rPr>
        <w:t>，</w:t>
      </w:r>
      <w:r>
        <w:rPr>
          <w:color w:val="000000" w:themeColor="text1"/>
          <w:sz w:val="22"/>
          <w:szCs w:val="22"/>
          <w:shd w:val="clear" w:color="auto" w:fill="FFFFFF"/>
        </w:rPr>
        <w:t>N.J: Wiley Blackwell.</w:t>
      </w:r>
    </w:p>
    <w:p w14:paraId="0CEBEB6F"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Lin</w:t>
      </w:r>
      <w:r>
        <w:rPr>
          <w:rFonts w:hint="eastAsia"/>
          <w:color w:val="000000" w:themeColor="text1"/>
          <w:sz w:val="22"/>
          <w:szCs w:val="22"/>
          <w:shd w:val="clear" w:color="auto" w:fill="FFFFFF"/>
        </w:rPr>
        <w:t>，</w:t>
      </w:r>
      <w:r>
        <w:rPr>
          <w:color w:val="000000" w:themeColor="text1"/>
          <w:sz w:val="22"/>
          <w:szCs w:val="22"/>
          <w:shd w:val="clear" w:color="auto" w:fill="FFFFFF"/>
        </w:rPr>
        <w:t>H. and Zegart</w:t>
      </w:r>
      <w:r>
        <w:rPr>
          <w:rFonts w:hint="eastAsia"/>
          <w:color w:val="000000" w:themeColor="text1"/>
          <w:sz w:val="22"/>
          <w:szCs w:val="22"/>
          <w:shd w:val="clear" w:color="auto" w:fill="FFFFFF"/>
        </w:rPr>
        <w:t>，</w:t>
      </w:r>
      <w:r>
        <w:rPr>
          <w:color w:val="000000" w:themeColor="text1"/>
          <w:sz w:val="22"/>
          <w:szCs w:val="22"/>
          <w:shd w:val="clear" w:color="auto" w:fill="FFFFFF"/>
        </w:rPr>
        <w:t>A. (2018)</w:t>
      </w:r>
      <w:r>
        <w:rPr>
          <w:rStyle w:val="apple-converted-space"/>
          <w:color w:val="000000" w:themeColor="text1"/>
          <w:sz w:val="22"/>
          <w:szCs w:val="22"/>
          <w:shd w:val="clear" w:color="auto" w:fill="FFFFFF"/>
        </w:rPr>
        <w:t> </w:t>
      </w:r>
      <w:r>
        <w:rPr>
          <w:i/>
          <w:iCs/>
          <w:color w:val="000000" w:themeColor="text1"/>
          <w:sz w:val="22"/>
          <w:szCs w:val="22"/>
        </w:rPr>
        <w:t>Bytes, bombs, and spies the strategic dimensions of offensive cyber operations</w:t>
      </w:r>
      <w:r>
        <w:rPr>
          <w:color w:val="000000" w:themeColor="text1"/>
          <w:sz w:val="22"/>
          <w:szCs w:val="22"/>
          <w:shd w:val="clear" w:color="auto" w:fill="FFFFFF"/>
        </w:rPr>
        <w:t>. Washington</w:t>
      </w:r>
      <w:r>
        <w:rPr>
          <w:rFonts w:hint="eastAsia"/>
          <w:color w:val="000000" w:themeColor="text1"/>
          <w:sz w:val="22"/>
          <w:szCs w:val="22"/>
          <w:shd w:val="clear" w:color="auto" w:fill="FFFFFF"/>
        </w:rPr>
        <w:t>，</w:t>
      </w:r>
      <w:r>
        <w:rPr>
          <w:color w:val="000000" w:themeColor="text1"/>
          <w:sz w:val="22"/>
          <w:szCs w:val="22"/>
          <w:shd w:val="clear" w:color="auto" w:fill="FFFFFF"/>
        </w:rPr>
        <w:t>DC: Brookings Institution Press.</w:t>
      </w:r>
    </w:p>
    <w:p w14:paraId="51B3AF2E"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Lukfianka</w:t>
      </w:r>
      <w:r>
        <w:rPr>
          <w:rFonts w:hint="eastAsia"/>
          <w:color w:val="000000" w:themeColor="text1"/>
          <w:sz w:val="22"/>
          <w:szCs w:val="22"/>
          <w:shd w:val="clear" w:color="auto" w:fill="FFFFFF"/>
        </w:rPr>
        <w:t>，</w:t>
      </w:r>
      <w:r>
        <w:rPr>
          <w:color w:val="000000" w:themeColor="text1"/>
          <w:sz w:val="22"/>
          <w:szCs w:val="22"/>
          <w:shd w:val="clear" w:color="auto" w:fill="FFFFFF"/>
        </w:rPr>
        <w:t>S.</w:t>
      </w:r>
      <w:r>
        <w:rPr>
          <w:i/>
          <w:iCs/>
          <w:color w:val="000000" w:themeColor="text1"/>
          <w:sz w:val="22"/>
          <w:szCs w:val="22"/>
        </w:rPr>
        <w:t>et al.</w:t>
      </w:r>
      <w:r>
        <w:rPr>
          <w:color w:val="000000" w:themeColor="text1"/>
          <w:sz w:val="22"/>
          <w:szCs w:val="22"/>
          <w:shd w:val="clear" w:color="auto" w:fill="FFFFFF"/>
        </w:rPr>
        <w:t xml:space="preserve">(2017) </w:t>
      </w:r>
      <w:r>
        <w:rPr>
          <w:rFonts w:hint="eastAsia"/>
          <w:color w:val="000000" w:themeColor="text1"/>
          <w:sz w:val="22"/>
          <w:szCs w:val="22"/>
          <w:shd w:val="clear" w:color="auto" w:fill="FFFFFF"/>
        </w:rPr>
        <w:t>‘</w:t>
      </w:r>
      <w:r>
        <w:rPr>
          <w:color w:val="000000" w:themeColor="text1"/>
          <w:sz w:val="22"/>
          <w:szCs w:val="22"/>
          <w:shd w:val="clear" w:color="auto" w:fill="FFFFFF"/>
        </w:rPr>
        <w:t>Let the Game Begin: Ergodic as an Approach for Video Game Translation</w:t>
      </w:r>
      <w:r>
        <w:rPr>
          <w:rFonts w:hint="eastAsia"/>
          <w:color w:val="000000" w:themeColor="text1"/>
          <w:sz w:val="22"/>
          <w:szCs w:val="22"/>
          <w:shd w:val="clear" w:color="auto" w:fill="FFFFFF"/>
        </w:rPr>
        <w:t>’，</w:t>
      </w:r>
      <w:r>
        <w:rPr>
          <w:i/>
          <w:iCs/>
          <w:color w:val="000000" w:themeColor="text1"/>
          <w:sz w:val="22"/>
          <w:szCs w:val="22"/>
        </w:rPr>
        <w:t>Register journal</w:t>
      </w:r>
      <w:r>
        <w:rPr>
          <w:rFonts w:hint="eastAsia"/>
          <w:i/>
          <w:iCs/>
          <w:color w:val="000000" w:themeColor="text1"/>
          <w:sz w:val="22"/>
          <w:szCs w:val="22"/>
        </w:rPr>
        <w:t>，</w:t>
      </w:r>
      <w:r>
        <w:rPr>
          <w:color w:val="000000" w:themeColor="text1"/>
          <w:sz w:val="22"/>
          <w:szCs w:val="22"/>
          <w:shd w:val="clear" w:color="auto" w:fill="FFFFFF"/>
        </w:rPr>
        <w:t>9(2)</w:t>
      </w:r>
      <w:r>
        <w:rPr>
          <w:rFonts w:hint="eastAsia"/>
          <w:color w:val="000000" w:themeColor="text1"/>
          <w:sz w:val="22"/>
          <w:szCs w:val="22"/>
          <w:shd w:val="clear" w:color="auto" w:fill="FFFFFF"/>
        </w:rPr>
        <w:t>，</w:t>
      </w:r>
      <w:r>
        <w:rPr>
          <w:color w:val="000000" w:themeColor="text1"/>
          <w:sz w:val="22"/>
          <w:szCs w:val="22"/>
          <w:shd w:val="clear" w:color="auto" w:fill="FFFFFF"/>
        </w:rPr>
        <w:t xml:space="preserve">pp. 107–123. </w:t>
      </w:r>
    </w:p>
    <w:p w14:paraId="755457D7"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Lukosch</w:t>
      </w:r>
      <w:r>
        <w:rPr>
          <w:rFonts w:hint="eastAsia"/>
          <w:color w:val="000000" w:themeColor="text1"/>
          <w:sz w:val="22"/>
          <w:szCs w:val="22"/>
          <w:shd w:val="clear" w:color="auto" w:fill="FFFFFF"/>
        </w:rPr>
        <w:t>，</w:t>
      </w:r>
      <w:r>
        <w:rPr>
          <w:color w:val="000000" w:themeColor="text1"/>
          <w:sz w:val="22"/>
          <w:szCs w:val="22"/>
          <w:shd w:val="clear" w:color="auto" w:fill="FFFFFF"/>
        </w:rPr>
        <w:t>H.</w:t>
      </w:r>
      <w:r>
        <w:rPr>
          <w:rStyle w:val="apple-converted-space"/>
          <w:color w:val="000000" w:themeColor="text1"/>
          <w:sz w:val="22"/>
          <w:szCs w:val="22"/>
          <w:shd w:val="clear" w:color="auto" w:fill="FFFFFF"/>
        </w:rPr>
        <w:t> </w:t>
      </w:r>
      <w:r>
        <w:rPr>
          <w:i/>
          <w:iCs/>
          <w:color w:val="000000" w:themeColor="text1"/>
          <w:sz w:val="22"/>
          <w:szCs w:val="22"/>
        </w:rPr>
        <w:t>et al.</w:t>
      </w:r>
      <w:r>
        <w:rPr>
          <w:rStyle w:val="apple-converted-space"/>
          <w:color w:val="000000" w:themeColor="text1"/>
          <w:sz w:val="22"/>
          <w:szCs w:val="22"/>
          <w:shd w:val="clear" w:color="auto" w:fill="FFFFFF"/>
        </w:rPr>
        <w:t> </w:t>
      </w:r>
      <w:r>
        <w:rPr>
          <w:color w:val="000000" w:themeColor="text1"/>
          <w:sz w:val="22"/>
          <w:szCs w:val="22"/>
          <w:shd w:val="clear" w:color="auto" w:fill="FFFFFF"/>
        </w:rPr>
        <w:t xml:space="preserve">(2017) </w:t>
      </w:r>
      <w:r>
        <w:rPr>
          <w:rFonts w:hint="eastAsia"/>
          <w:color w:val="000000" w:themeColor="text1"/>
          <w:sz w:val="22"/>
          <w:szCs w:val="22"/>
          <w:shd w:val="clear" w:color="auto" w:fill="FFFFFF"/>
        </w:rPr>
        <w:t>‘</w:t>
      </w:r>
      <w:r>
        <w:rPr>
          <w:color w:val="000000" w:themeColor="text1"/>
          <w:sz w:val="22"/>
          <w:szCs w:val="22"/>
          <w:shd w:val="clear" w:color="auto" w:fill="FFFFFF"/>
        </w:rPr>
        <w:t>Gender and Cultural Differences in Game-Based Learning Experiences</w:t>
      </w:r>
      <w:r>
        <w:rPr>
          <w:rFonts w:hint="eastAsia"/>
          <w:color w:val="000000" w:themeColor="text1"/>
          <w:sz w:val="22"/>
          <w:szCs w:val="22"/>
          <w:shd w:val="clear" w:color="auto" w:fill="FFFFFF"/>
        </w:rPr>
        <w:t>’，</w:t>
      </w:r>
      <w:r>
        <w:rPr>
          <w:i/>
          <w:iCs/>
          <w:color w:val="000000" w:themeColor="text1"/>
          <w:sz w:val="22"/>
          <w:szCs w:val="22"/>
        </w:rPr>
        <w:t>Electronic journal of e-Learning</w:t>
      </w:r>
      <w:r>
        <w:rPr>
          <w:rFonts w:hint="eastAsia"/>
          <w:i/>
          <w:iCs/>
          <w:color w:val="000000" w:themeColor="text1"/>
          <w:sz w:val="22"/>
          <w:szCs w:val="22"/>
        </w:rPr>
        <w:t>，</w:t>
      </w:r>
      <w:r>
        <w:rPr>
          <w:color w:val="000000" w:themeColor="text1"/>
          <w:sz w:val="22"/>
          <w:szCs w:val="22"/>
          <w:shd w:val="clear" w:color="auto" w:fill="FFFFFF"/>
        </w:rPr>
        <w:t>15(4)</w:t>
      </w:r>
      <w:r>
        <w:rPr>
          <w:rFonts w:hint="eastAsia"/>
          <w:color w:val="000000" w:themeColor="text1"/>
          <w:sz w:val="22"/>
          <w:szCs w:val="22"/>
          <w:shd w:val="clear" w:color="auto" w:fill="FFFFFF"/>
        </w:rPr>
        <w:t>，</w:t>
      </w:r>
      <w:r>
        <w:rPr>
          <w:color w:val="000000" w:themeColor="text1"/>
          <w:sz w:val="22"/>
          <w:szCs w:val="22"/>
          <w:shd w:val="clear" w:color="auto" w:fill="FFFFFF"/>
        </w:rPr>
        <w:t>p</w:t>
      </w:r>
      <w:r>
        <w:rPr>
          <w:rFonts w:hint="eastAsia"/>
          <w:color w:val="000000" w:themeColor="text1"/>
          <w:sz w:val="22"/>
          <w:szCs w:val="22"/>
          <w:shd w:val="clear" w:color="auto" w:fill="FFFFFF"/>
        </w:rPr>
        <w:t>p</w:t>
      </w:r>
      <w:r>
        <w:rPr>
          <w:color w:val="000000" w:themeColor="text1"/>
          <w:sz w:val="22"/>
          <w:szCs w:val="22"/>
          <w:shd w:val="clear" w:color="auto" w:fill="FFFFFF"/>
        </w:rPr>
        <w:t>. 310–311.</w:t>
      </w:r>
    </w:p>
    <w:p w14:paraId="3FBAD508"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Luthfie</w:t>
      </w:r>
      <w:r>
        <w:rPr>
          <w:rFonts w:hint="eastAsia"/>
          <w:color w:val="000000" w:themeColor="text1"/>
          <w:sz w:val="22"/>
          <w:szCs w:val="22"/>
          <w:shd w:val="clear" w:color="auto" w:fill="FFFFFF"/>
        </w:rPr>
        <w:t>，</w:t>
      </w:r>
      <w:r>
        <w:rPr>
          <w:color w:val="000000" w:themeColor="text1"/>
          <w:sz w:val="22"/>
          <w:szCs w:val="22"/>
          <w:shd w:val="clear" w:color="auto" w:fill="FFFFFF"/>
        </w:rPr>
        <w:t>A.P. and Khristianto</w:t>
      </w:r>
      <w:r>
        <w:rPr>
          <w:rFonts w:hint="eastAsia"/>
          <w:color w:val="000000" w:themeColor="text1"/>
          <w:sz w:val="22"/>
          <w:szCs w:val="22"/>
          <w:shd w:val="clear" w:color="auto" w:fill="FFFFFF"/>
        </w:rPr>
        <w:t>，</w:t>
      </w:r>
      <w:r>
        <w:rPr>
          <w:color w:val="000000" w:themeColor="text1"/>
          <w:sz w:val="22"/>
          <w:szCs w:val="22"/>
          <w:shd w:val="clear" w:color="auto" w:fill="FFFFFF"/>
        </w:rPr>
        <w:t xml:space="preserve">K.(2019) </w:t>
      </w:r>
      <w:r>
        <w:rPr>
          <w:rFonts w:hint="eastAsia"/>
          <w:color w:val="000000" w:themeColor="text1"/>
          <w:sz w:val="22"/>
          <w:szCs w:val="22"/>
          <w:shd w:val="clear" w:color="auto" w:fill="FFFFFF"/>
        </w:rPr>
        <w:t>‘</w:t>
      </w:r>
      <w:r>
        <w:rPr>
          <w:color w:val="000000" w:themeColor="text1"/>
          <w:sz w:val="22"/>
          <w:szCs w:val="22"/>
          <w:shd w:val="clear" w:color="auto" w:fill="FFFFFF"/>
        </w:rPr>
        <w:t>Proposing a Gaming Language Analysis Procedure to Reveal Video Game Ideology through Ludic Linguistics</w:t>
      </w:r>
      <w:r>
        <w:rPr>
          <w:rFonts w:hint="eastAsia"/>
          <w:color w:val="000000" w:themeColor="text1"/>
          <w:sz w:val="22"/>
          <w:szCs w:val="22"/>
          <w:shd w:val="clear" w:color="auto" w:fill="FFFFFF"/>
        </w:rPr>
        <w:t>’，</w:t>
      </w:r>
      <w:r>
        <w:rPr>
          <w:i/>
          <w:iCs/>
          <w:color w:val="000000" w:themeColor="text1"/>
          <w:sz w:val="22"/>
          <w:szCs w:val="22"/>
        </w:rPr>
        <w:t>Register journal</w:t>
      </w:r>
      <w:r>
        <w:rPr>
          <w:rFonts w:hint="eastAsia"/>
          <w:color w:val="000000" w:themeColor="text1"/>
          <w:sz w:val="22"/>
          <w:szCs w:val="22"/>
          <w:shd w:val="clear" w:color="auto" w:fill="FFFFFF"/>
        </w:rPr>
        <w:t>，</w:t>
      </w:r>
      <w:r>
        <w:rPr>
          <w:color w:val="000000" w:themeColor="text1"/>
          <w:sz w:val="22"/>
          <w:szCs w:val="22"/>
          <w:shd w:val="clear" w:color="auto" w:fill="FFFFFF"/>
        </w:rPr>
        <w:t>12(2)</w:t>
      </w:r>
      <w:r>
        <w:rPr>
          <w:rFonts w:hint="eastAsia"/>
          <w:color w:val="000000" w:themeColor="text1"/>
          <w:sz w:val="22"/>
          <w:szCs w:val="22"/>
          <w:shd w:val="clear" w:color="auto" w:fill="FFFFFF"/>
        </w:rPr>
        <w:t>，</w:t>
      </w:r>
      <w:r>
        <w:rPr>
          <w:color w:val="000000" w:themeColor="text1"/>
          <w:sz w:val="22"/>
          <w:szCs w:val="22"/>
          <w:shd w:val="clear" w:color="auto" w:fill="FFFFFF"/>
        </w:rPr>
        <w:t xml:space="preserve">pp. 235–261. </w:t>
      </w:r>
    </w:p>
    <w:p w14:paraId="7D8B6C8B"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Monteiro</w:t>
      </w:r>
      <w:r>
        <w:rPr>
          <w:rFonts w:hint="eastAsia"/>
          <w:color w:val="000000" w:themeColor="text1"/>
          <w:sz w:val="22"/>
          <w:szCs w:val="22"/>
          <w:shd w:val="clear" w:color="auto" w:fill="FFFFFF"/>
        </w:rPr>
        <w:t>，</w:t>
      </w:r>
      <w:r>
        <w:rPr>
          <w:color w:val="000000" w:themeColor="text1"/>
          <w:sz w:val="22"/>
          <w:szCs w:val="22"/>
          <w:shd w:val="clear" w:color="auto" w:fill="FFFFFF"/>
        </w:rPr>
        <w:t>D.</w:t>
      </w:r>
      <w:r>
        <w:rPr>
          <w:rStyle w:val="apple-converted-space"/>
          <w:color w:val="000000" w:themeColor="text1"/>
          <w:sz w:val="22"/>
          <w:szCs w:val="22"/>
          <w:shd w:val="clear" w:color="auto" w:fill="FFFFFF"/>
        </w:rPr>
        <w:t> </w:t>
      </w:r>
      <w:r>
        <w:rPr>
          <w:i/>
          <w:iCs/>
          <w:color w:val="000000" w:themeColor="text1"/>
          <w:sz w:val="22"/>
          <w:szCs w:val="22"/>
        </w:rPr>
        <w:t>et al.</w:t>
      </w:r>
      <w:r>
        <w:rPr>
          <w:rStyle w:val="apple-converted-space"/>
          <w:color w:val="000000" w:themeColor="text1"/>
          <w:sz w:val="22"/>
          <w:szCs w:val="22"/>
          <w:shd w:val="clear" w:color="auto" w:fill="FFFFFF"/>
        </w:rPr>
        <w:t> </w:t>
      </w:r>
      <w:r>
        <w:rPr>
          <w:color w:val="000000" w:themeColor="text1"/>
          <w:sz w:val="22"/>
          <w:szCs w:val="22"/>
          <w:shd w:val="clear" w:color="auto" w:fill="FFFFFF"/>
        </w:rPr>
        <w:t xml:space="preserve">(2018) </w:t>
      </w:r>
      <w:r>
        <w:rPr>
          <w:rFonts w:hint="eastAsia"/>
          <w:color w:val="000000" w:themeColor="text1"/>
          <w:sz w:val="22"/>
          <w:szCs w:val="22"/>
          <w:shd w:val="clear" w:color="auto" w:fill="FFFFFF"/>
        </w:rPr>
        <w:t>‘</w:t>
      </w:r>
      <w:r>
        <w:rPr>
          <w:color w:val="000000" w:themeColor="text1"/>
          <w:sz w:val="22"/>
          <w:szCs w:val="22"/>
          <w:shd w:val="clear" w:color="auto" w:fill="FFFFFF"/>
        </w:rPr>
        <w:t xml:space="preserve">Evaluating enjoyment, presence, and emulator sickness in VR </w:t>
      </w:r>
      <w:r>
        <w:rPr>
          <w:color w:val="000000" w:themeColor="text1"/>
          <w:sz w:val="22"/>
          <w:szCs w:val="22"/>
          <w:shd w:val="clear" w:color="auto" w:fill="FFFFFF"/>
        </w:rPr>
        <w:lastRenderedPageBreak/>
        <w:t>games based on first‐ and third‐ person viewing perspectives</w:t>
      </w:r>
      <w:r>
        <w:rPr>
          <w:rFonts w:hint="eastAsia"/>
          <w:color w:val="000000" w:themeColor="text1"/>
          <w:sz w:val="22"/>
          <w:szCs w:val="22"/>
          <w:shd w:val="clear" w:color="auto" w:fill="FFFFFF"/>
        </w:rPr>
        <w:t>’，</w:t>
      </w:r>
      <w:r>
        <w:rPr>
          <w:rStyle w:val="apple-converted-space"/>
          <w:color w:val="000000" w:themeColor="text1"/>
          <w:sz w:val="22"/>
          <w:szCs w:val="22"/>
          <w:shd w:val="clear" w:color="auto" w:fill="FFFFFF"/>
        </w:rPr>
        <w:t> </w:t>
      </w:r>
      <w:r>
        <w:rPr>
          <w:i/>
          <w:iCs/>
          <w:color w:val="000000" w:themeColor="text1"/>
          <w:sz w:val="22"/>
          <w:szCs w:val="22"/>
        </w:rPr>
        <w:t>Computer animation and virtual world</w:t>
      </w:r>
      <w:r>
        <w:rPr>
          <w:rFonts w:hint="eastAsia"/>
          <w:i/>
          <w:iCs/>
          <w:color w:val="000000" w:themeColor="text1"/>
          <w:sz w:val="22"/>
          <w:szCs w:val="22"/>
        </w:rPr>
        <w:t>s</w:t>
      </w:r>
      <w:r>
        <w:rPr>
          <w:rFonts w:hint="eastAsia"/>
          <w:i/>
          <w:iCs/>
          <w:color w:val="000000" w:themeColor="text1"/>
          <w:sz w:val="22"/>
          <w:szCs w:val="22"/>
        </w:rPr>
        <w:t>，</w:t>
      </w:r>
      <w:r>
        <w:rPr>
          <w:color w:val="000000" w:themeColor="text1"/>
          <w:sz w:val="22"/>
          <w:szCs w:val="22"/>
          <w:shd w:val="clear" w:color="auto" w:fill="FFFFFF"/>
        </w:rPr>
        <w:t xml:space="preserve">29(3-4). </w:t>
      </w:r>
      <w:r>
        <w:rPr>
          <w:rFonts w:hint="eastAsia"/>
          <w:color w:val="000000" w:themeColor="text1"/>
          <w:sz w:val="22"/>
          <w:szCs w:val="22"/>
          <w:shd w:val="clear" w:color="auto" w:fill="FFFFFF"/>
        </w:rPr>
        <w:t>pp</w:t>
      </w:r>
      <w:r>
        <w:rPr>
          <w:color w:val="000000" w:themeColor="text1"/>
          <w:sz w:val="22"/>
          <w:szCs w:val="22"/>
          <w:shd w:val="clear" w:color="auto" w:fill="FFFFFF"/>
        </w:rPr>
        <w:t>.34-39.</w:t>
      </w:r>
    </w:p>
    <w:p w14:paraId="68D00C20"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 xml:space="preserve">Murilo Mesquita,João Matos and Vitor Rodrigues de Medeiros.(2022) </w:t>
      </w:r>
      <w:r>
        <w:rPr>
          <w:rFonts w:hint="eastAsia"/>
          <w:color w:val="000000" w:themeColor="text1"/>
          <w:sz w:val="22"/>
          <w:szCs w:val="22"/>
          <w:shd w:val="clear" w:color="auto" w:fill="FFFFFF"/>
        </w:rPr>
        <w:t>‘</w:t>
      </w:r>
      <w:r>
        <w:rPr>
          <w:color w:val="000000" w:themeColor="text1"/>
          <w:sz w:val="22"/>
          <w:szCs w:val="22"/>
          <w:shd w:val="clear" w:color="auto" w:fill="FFFFFF"/>
        </w:rPr>
        <w:t>O Soft Power da Política Externa Japonesa: o caso Nintendo no modelo Cool Japan (2004-2011)</w:t>
      </w:r>
      <w:r>
        <w:rPr>
          <w:rFonts w:hint="eastAsia"/>
          <w:color w:val="000000" w:themeColor="text1"/>
          <w:sz w:val="22"/>
          <w:szCs w:val="22"/>
          <w:shd w:val="clear" w:color="auto" w:fill="FFFFFF"/>
        </w:rPr>
        <w:t>’，</w:t>
      </w:r>
      <w:r>
        <w:rPr>
          <w:i/>
          <w:iCs/>
          <w:color w:val="000000" w:themeColor="text1"/>
          <w:sz w:val="22"/>
          <w:szCs w:val="22"/>
        </w:rPr>
        <w:t>Mural Internacional</w:t>
      </w:r>
      <w:r>
        <w:rPr>
          <w:rFonts w:hint="eastAsia"/>
          <w:i/>
          <w:iCs/>
          <w:color w:val="000000" w:themeColor="text1"/>
          <w:sz w:val="22"/>
          <w:szCs w:val="22"/>
        </w:rPr>
        <w:t>，</w:t>
      </w:r>
      <w:r>
        <w:rPr>
          <w:color w:val="000000" w:themeColor="text1"/>
          <w:sz w:val="22"/>
          <w:szCs w:val="22"/>
          <w:shd w:val="clear" w:color="auto" w:fill="FFFFFF"/>
        </w:rPr>
        <w:t>13(2022)</w:t>
      </w:r>
      <w:r>
        <w:rPr>
          <w:rFonts w:hint="eastAsia"/>
          <w:color w:val="000000" w:themeColor="text1"/>
          <w:sz w:val="22"/>
          <w:szCs w:val="22"/>
          <w:shd w:val="clear" w:color="auto" w:fill="FFFFFF"/>
        </w:rPr>
        <w:t>，</w:t>
      </w:r>
      <w:r>
        <w:rPr>
          <w:color w:val="000000" w:themeColor="text1"/>
          <w:sz w:val="22"/>
          <w:szCs w:val="22"/>
          <w:shd w:val="clear" w:color="auto" w:fill="FFFFFF"/>
        </w:rPr>
        <w:t xml:space="preserve">pp. 01–16. </w:t>
      </w:r>
    </w:p>
    <w:p w14:paraId="106E1CBE" w14:textId="77777777" w:rsidR="004D2DD9" w:rsidRDefault="00000000">
      <w:pPr>
        <w:spacing w:line="360" w:lineRule="auto"/>
        <w:ind w:firstLine="0"/>
        <w:rPr>
          <w:color w:val="000000" w:themeColor="text1"/>
          <w:sz w:val="22"/>
          <w:szCs w:val="22"/>
        </w:rPr>
      </w:pPr>
      <w:r>
        <w:rPr>
          <w:color w:val="000000" w:themeColor="text1"/>
          <w:sz w:val="22"/>
          <w:szCs w:val="22"/>
        </w:rPr>
        <w:t>Nelva</w:t>
      </w:r>
      <w:r>
        <w:rPr>
          <w:rFonts w:hint="eastAsia"/>
          <w:color w:val="000000" w:themeColor="text1"/>
          <w:sz w:val="22"/>
          <w:szCs w:val="22"/>
        </w:rPr>
        <w:t>，</w:t>
      </w:r>
      <w:r>
        <w:rPr>
          <w:color w:val="000000" w:themeColor="text1"/>
          <w:sz w:val="22"/>
          <w:szCs w:val="22"/>
        </w:rPr>
        <w:t xml:space="preserve">G. (2021) </w:t>
      </w:r>
      <w:r>
        <w:rPr>
          <w:i/>
          <w:iCs/>
          <w:color w:val="000000" w:themeColor="text1"/>
          <w:sz w:val="22"/>
          <w:szCs w:val="22"/>
        </w:rPr>
        <w:t>Konami Reveals Financial Results Reporting Growth in Both Revenue &amp; Profit</w:t>
      </w:r>
      <w:r>
        <w:rPr>
          <w:color w:val="000000" w:themeColor="text1"/>
          <w:sz w:val="22"/>
          <w:szCs w:val="22"/>
        </w:rPr>
        <w:t xml:space="preserve">.Available at: https://twinfinite.net/2021/11/konami-financial-results-q2-2022/ </w:t>
      </w:r>
      <w:r>
        <w:rPr>
          <w:rFonts w:hint="eastAsia"/>
          <w:color w:val="000000" w:themeColor="text1"/>
          <w:sz w:val="22"/>
          <w:szCs w:val="22"/>
        </w:rPr>
        <w:t>（</w:t>
      </w:r>
      <w:r>
        <w:rPr>
          <w:color w:val="000000" w:themeColor="text1"/>
          <w:sz w:val="22"/>
          <w:szCs w:val="22"/>
        </w:rPr>
        <w:t>Accessed 16 July 2023</w:t>
      </w:r>
      <w:r>
        <w:rPr>
          <w:rFonts w:hint="eastAsia"/>
          <w:color w:val="000000" w:themeColor="text1"/>
          <w:sz w:val="22"/>
          <w:szCs w:val="22"/>
        </w:rPr>
        <w:t>）</w:t>
      </w:r>
      <w:r>
        <w:rPr>
          <w:color w:val="000000" w:themeColor="text1"/>
          <w:sz w:val="22"/>
          <w:szCs w:val="22"/>
        </w:rPr>
        <w:t>.</w:t>
      </w:r>
    </w:p>
    <w:p w14:paraId="6B5154D3"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Ningning</w:t>
      </w:r>
      <w:r>
        <w:rPr>
          <w:rFonts w:hint="eastAsia"/>
          <w:color w:val="000000" w:themeColor="text1"/>
          <w:sz w:val="22"/>
          <w:szCs w:val="22"/>
          <w:shd w:val="clear" w:color="auto" w:fill="FFFFFF"/>
        </w:rPr>
        <w:t>，</w:t>
      </w:r>
      <w:r>
        <w:rPr>
          <w:color w:val="000000" w:themeColor="text1"/>
          <w:sz w:val="22"/>
          <w:szCs w:val="22"/>
          <w:shd w:val="clear" w:color="auto" w:fill="FFFFFF"/>
        </w:rPr>
        <w:t>W. and Wenguang</w:t>
      </w:r>
      <w:r>
        <w:rPr>
          <w:rFonts w:hint="eastAsia"/>
          <w:color w:val="000000" w:themeColor="text1"/>
          <w:sz w:val="22"/>
          <w:szCs w:val="22"/>
          <w:shd w:val="clear" w:color="auto" w:fill="FFFFFF"/>
        </w:rPr>
        <w:t>，</w:t>
      </w:r>
      <w:r>
        <w:rPr>
          <w:color w:val="000000" w:themeColor="text1"/>
          <w:sz w:val="22"/>
          <w:szCs w:val="22"/>
          <w:shd w:val="clear" w:color="auto" w:fill="FFFFFF"/>
        </w:rPr>
        <w:t xml:space="preserve">C. (2023) </w:t>
      </w:r>
      <w:r>
        <w:rPr>
          <w:rFonts w:hint="eastAsia"/>
          <w:color w:val="000000" w:themeColor="text1"/>
          <w:sz w:val="22"/>
          <w:szCs w:val="22"/>
          <w:shd w:val="clear" w:color="auto" w:fill="FFFFFF"/>
        </w:rPr>
        <w:t>‘</w:t>
      </w:r>
      <w:r>
        <w:rPr>
          <w:color w:val="000000" w:themeColor="text1"/>
          <w:sz w:val="22"/>
          <w:szCs w:val="22"/>
          <w:shd w:val="clear" w:color="auto" w:fill="FFFFFF"/>
        </w:rPr>
        <w:t>The effect of playing e-sports games on young people</w:t>
      </w:r>
      <w:r>
        <w:rPr>
          <w:rFonts w:hint="eastAsia"/>
          <w:color w:val="000000" w:themeColor="text1"/>
          <w:sz w:val="22"/>
          <w:szCs w:val="22"/>
          <w:shd w:val="clear" w:color="auto" w:fill="FFFFFF"/>
        </w:rPr>
        <w:t>’</w:t>
      </w:r>
      <w:r>
        <w:rPr>
          <w:color w:val="000000" w:themeColor="text1"/>
          <w:sz w:val="22"/>
          <w:szCs w:val="22"/>
          <w:shd w:val="clear" w:color="auto" w:fill="FFFFFF"/>
        </w:rPr>
        <w:t>s desire to engage in physical activity: Mediating effects of social presence perception and virtual sports experience</w:t>
      </w:r>
      <w:r>
        <w:rPr>
          <w:rFonts w:hint="eastAsia"/>
          <w:color w:val="000000" w:themeColor="text1"/>
          <w:sz w:val="22"/>
          <w:szCs w:val="22"/>
          <w:shd w:val="clear" w:color="auto" w:fill="FFFFFF"/>
        </w:rPr>
        <w:t>’，</w:t>
      </w:r>
      <w:r>
        <w:rPr>
          <w:rStyle w:val="apple-converted-space"/>
          <w:color w:val="000000" w:themeColor="text1"/>
          <w:sz w:val="22"/>
          <w:szCs w:val="22"/>
          <w:shd w:val="clear" w:color="auto" w:fill="FFFFFF"/>
        </w:rPr>
        <w:t> </w:t>
      </w:r>
      <w:r>
        <w:rPr>
          <w:i/>
          <w:iCs/>
          <w:color w:val="000000" w:themeColor="text1"/>
          <w:sz w:val="22"/>
          <w:szCs w:val="22"/>
        </w:rPr>
        <w:t>PloS one</w:t>
      </w:r>
      <w:r>
        <w:rPr>
          <w:rFonts w:hint="eastAsia"/>
          <w:i/>
          <w:iCs/>
          <w:color w:val="000000" w:themeColor="text1"/>
          <w:sz w:val="22"/>
          <w:szCs w:val="22"/>
        </w:rPr>
        <w:t>，</w:t>
      </w:r>
      <w:r>
        <w:rPr>
          <w:color w:val="000000" w:themeColor="text1"/>
          <w:sz w:val="22"/>
          <w:szCs w:val="22"/>
          <w:shd w:val="clear" w:color="auto" w:fill="FFFFFF"/>
        </w:rPr>
        <w:t>18(7)</w:t>
      </w:r>
      <w:r>
        <w:rPr>
          <w:rFonts w:hint="eastAsia"/>
          <w:color w:val="000000" w:themeColor="text1"/>
          <w:sz w:val="22"/>
          <w:szCs w:val="22"/>
          <w:shd w:val="clear" w:color="auto" w:fill="FFFFFF"/>
        </w:rPr>
        <w:t>，</w:t>
      </w:r>
      <w:r>
        <w:rPr>
          <w:color w:val="000000" w:themeColor="text1"/>
          <w:sz w:val="22"/>
          <w:szCs w:val="22"/>
          <w:shd w:val="clear" w:color="auto" w:fill="FFFFFF"/>
        </w:rPr>
        <w:t xml:space="preserve">pp. e0288608–e0288608. </w:t>
      </w:r>
    </w:p>
    <w:p w14:paraId="2A301E83" w14:textId="77777777" w:rsidR="004D2DD9" w:rsidRDefault="00000000">
      <w:pPr>
        <w:spacing w:line="360" w:lineRule="auto"/>
        <w:ind w:firstLine="0"/>
        <w:rPr>
          <w:color w:val="000000" w:themeColor="text1"/>
          <w:sz w:val="22"/>
          <w:szCs w:val="22"/>
        </w:rPr>
      </w:pPr>
      <w:r>
        <w:rPr>
          <w:color w:val="000000" w:themeColor="text1"/>
          <w:sz w:val="22"/>
          <w:szCs w:val="22"/>
          <w:shd w:val="clear" w:color="auto" w:fill="FFFFFF"/>
        </w:rPr>
        <w:t>Prange</w:t>
      </w:r>
      <w:r>
        <w:rPr>
          <w:rFonts w:hint="eastAsia"/>
          <w:color w:val="000000" w:themeColor="text1"/>
          <w:sz w:val="22"/>
          <w:szCs w:val="22"/>
          <w:shd w:val="clear" w:color="auto" w:fill="FFFFFF"/>
        </w:rPr>
        <w:t>，</w:t>
      </w:r>
      <w:r>
        <w:rPr>
          <w:color w:val="000000" w:themeColor="text1"/>
          <w:sz w:val="22"/>
          <w:szCs w:val="22"/>
          <w:shd w:val="clear" w:color="auto" w:fill="FFFFFF"/>
        </w:rPr>
        <w:t xml:space="preserve">S. (2017) </w:t>
      </w:r>
      <w:r>
        <w:rPr>
          <w:rFonts w:hint="eastAsia"/>
          <w:color w:val="000000" w:themeColor="text1"/>
          <w:sz w:val="22"/>
          <w:szCs w:val="22"/>
          <w:shd w:val="clear" w:color="auto" w:fill="FFFFFF"/>
        </w:rPr>
        <w:t>‘</w:t>
      </w:r>
      <w:r>
        <w:rPr>
          <w:color w:val="000000" w:themeColor="text1"/>
          <w:sz w:val="22"/>
          <w:szCs w:val="22"/>
          <w:shd w:val="clear" w:color="auto" w:fill="FFFFFF"/>
        </w:rPr>
        <w:t>EYE ON THE CONSUMER</w:t>
      </w:r>
      <w:r>
        <w:rPr>
          <w:rFonts w:hint="eastAsia"/>
          <w:color w:val="000000" w:themeColor="text1"/>
          <w:sz w:val="22"/>
          <w:szCs w:val="22"/>
          <w:shd w:val="clear" w:color="auto" w:fill="FFFFFF"/>
        </w:rPr>
        <w:t>’，</w:t>
      </w:r>
      <w:r>
        <w:rPr>
          <w:rStyle w:val="apple-converted-space"/>
          <w:color w:val="000000" w:themeColor="text1"/>
          <w:sz w:val="22"/>
          <w:szCs w:val="22"/>
          <w:shd w:val="clear" w:color="auto" w:fill="FFFFFF"/>
        </w:rPr>
        <w:t> </w:t>
      </w:r>
      <w:r>
        <w:rPr>
          <w:i/>
          <w:iCs/>
          <w:color w:val="000000" w:themeColor="text1"/>
          <w:sz w:val="22"/>
          <w:szCs w:val="22"/>
        </w:rPr>
        <w:t>Home Media Magazine</w:t>
      </w:r>
      <w:r>
        <w:rPr>
          <w:rFonts w:hint="eastAsia"/>
          <w:i/>
          <w:iCs/>
          <w:color w:val="000000" w:themeColor="text1"/>
          <w:sz w:val="22"/>
          <w:szCs w:val="22"/>
        </w:rPr>
        <w:t>，</w:t>
      </w:r>
      <w:r>
        <w:rPr>
          <w:color w:val="000000" w:themeColor="text1"/>
          <w:sz w:val="22"/>
          <w:szCs w:val="22"/>
          <w:shd w:val="clear" w:color="auto" w:fill="FFFFFF"/>
        </w:rPr>
        <w:t>39(7)</w:t>
      </w:r>
      <w:r>
        <w:rPr>
          <w:rFonts w:hint="eastAsia"/>
          <w:color w:val="000000" w:themeColor="text1"/>
          <w:sz w:val="22"/>
          <w:szCs w:val="22"/>
          <w:shd w:val="clear" w:color="auto" w:fill="FFFFFF"/>
        </w:rPr>
        <w:t>，</w:t>
      </w:r>
      <w:r>
        <w:rPr>
          <w:color w:val="000000" w:themeColor="text1"/>
          <w:sz w:val="22"/>
          <w:szCs w:val="22"/>
          <w:shd w:val="clear" w:color="auto" w:fill="FFFFFF"/>
        </w:rPr>
        <w:t>p</w:t>
      </w:r>
      <w:r>
        <w:rPr>
          <w:rFonts w:hint="eastAsia"/>
          <w:color w:val="000000" w:themeColor="text1"/>
          <w:sz w:val="22"/>
          <w:szCs w:val="22"/>
          <w:shd w:val="clear" w:color="auto" w:fill="FFFFFF"/>
        </w:rPr>
        <w:t>p</w:t>
      </w:r>
      <w:r>
        <w:rPr>
          <w:color w:val="000000" w:themeColor="text1"/>
          <w:sz w:val="22"/>
          <w:szCs w:val="22"/>
          <w:shd w:val="clear" w:color="auto" w:fill="FFFFFF"/>
        </w:rPr>
        <w:t>. 1-3.</w:t>
      </w:r>
    </w:p>
    <w:p w14:paraId="130F44CF"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Rachmawat</w:t>
      </w:r>
      <w:r>
        <w:rPr>
          <w:rFonts w:hint="eastAsia"/>
          <w:color w:val="000000" w:themeColor="text1"/>
          <w:sz w:val="22"/>
          <w:szCs w:val="22"/>
          <w:shd w:val="clear" w:color="auto" w:fill="FFFFFF"/>
        </w:rPr>
        <w:t>i</w:t>
      </w:r>
      <w:r>
        <w:rPr>
          <w:rFonts w:hint="eastAsia"/>
          <w:color w:val="000000" w:themeColor="text1"/>
          <w:sz w:val="22"/>
          <w:szCs w:val="22"/>
          <w:shd w:val="clear" w:color="auto" w:fill="FFFFFF"/>
        </w:rPr>
        <w:t>，</w:t>
      </w:r>
      <w:r>
        <w:rPr>
          <w:color w:val="000000" w:themeColor="text1"/>
          <w:sz w:val="22"/>
          <w:szCs w:val="22"/>
          <w:shd w:val="clear" w:color="auto" w:fill="FFFFFF"/>
        </w:rPr>
        <w:t>W.</w:t>
      </w:r>
      <w:r>
        <w:rPr>
          <w:i/>
          <w:iCs/>
          <w:color w:val="000000" w:themeColor="text1"/>
          <w:sz w:val="22"/>
          <w:szCs w:val="22"/>
        </w:rPr>
        <w:t>et al.</w:t>
      </w:r>
      <w:r>
        <w:rPr>
          <w:rStyle w:val="apple-converted-space"/>
          <w:color w:val="000000" w:themeColor="text1"/>
          <w:sz w:val="22"/>
          <w:szCs w:val="22"/>
          <w:shd w:val="clear" w:color="auto" w:fill="FFFFFF"/>
        </w:rPr>
        <w:t> </w:t>
      </w:r>
      <w:r>
        <w:rPr>
          <w:color w:val="000000" w:themeColor="text1"/>
          <w:sz w:val="22"/>
          <w:szCs w:val="22"/>
          <w:shd w:val="clear" w:color="auto" w:fill="FFFFFF"/>
        </w:rPr>
        <w:t xml:space="preserve">(2021) </w:t>
      </w:r>
      <w:r>
        <w:rPr>
          <w:rFonts w:hint="eastAsia"/>
          <w:color w:val="000000" w:themeColor="text1"/>
          <w:sz w:val="22"/>
          <w:szCs w:val="22"/>
          <w:shd w:val="clear" w:color="auto" w:fill="FFFFFF"/>
        </w:rPr>
        <w:t>‘</w:t>
      </w:r>
      <w:r>
        <w:rPr>
          <w:color w:val="000000" w:themeColor="text1"/>
          <w:sz w:val="22"/>
          <w:szCs w:val="22"/>
          <w:shd w:val="clear" w:color="auto" w:fill="FFFFFF"/>
        </w:rPr>
        <w:t>EFFECTIVITY OF NINTENDO WII AS REHABILITATION THERAPY IN POST STROKE PATIENTS: A SYSTEMATIC REVIEW</w:t>
      </w:r>
      <w:r>
        <w:rPr>
          <w:rFonts w:hint="eastAsia"/>
          <w:color w:val="000000" w:themeColor="text1"/>
          <w:sz w:val="22"/>
          <w:szCs w:val="22"/>
          <w:shd w:val="clear" w:color="auto" w:fill="FFFFFF"/>
        </w:rPr>
        <w:t>’，</w:t>
      </w:r>
      <w:r>
        <w:rPr>
          <w:i/>
          <w:iCs/>
          <w:color w:val="000000" w:themeColor="text1"/>
          <w:sz w:val="22"/>
          <w:szCs w:val="22"/>
        </w:rPr>
        <w:t>MNJ (Malang Neurology Journal) (Online)</w:t>
      </w:r>
      <w:r>
        <w:rPr>
          <w:rFonts w:hint="eastAsia"/>
          <w:i/>
          <w:iCs/>
          <w:color w:val="000000" w:themeColor="text1"/>
          <w:sz w:val="22"/>
          <w:szCs w:val="22"/>
        </w:rPr>
        <w:t>，</w:t>
      </w:r>
      <w:r>
        <w:rPr>
          <w:color w:val="000000" w:themeColor="text1"/>
          <w:sz w:val="22"/>
          <w:szCs w:val="22"/>
          <w:shd w:val="clear" w:color="auto" w:fill="FFFFFF"/>
        </w:rPr>
        <w:t>7(1)</w:t>
      </w:r>
      <w:r>
        <w:rPr>
          <w:rFonts w:hint="eastAsia"/>
          <w:color w:val="000000" w:themeColor="text1"/>
          <w:sz w:val="22"/>
          <w:szCs w:val="22"/>
          <w:shd w:val="clear" w:color="auto" w:fill="FFFFFF"/>
        </w:rPr>
        <w:t>，</w:t>
      </w:r>
      <w:r>
        <w:rPr>
          <w:color w:val="000000" w:themeColor="text1"/>
          <w:sz w:val="22"/>
          <w:szCs w:val="22"/>
          <w:shd w:val="clear" w:color="auto" w:fill="FFFFFF"/>
        </w:rPr>
        <w:t xml:space="preserve">pp. 56–59. </w:t>
      </w:r>
    </w:p>
    <w:p w14:paraId="4BCF7C09"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Reyes Ruiz</w:t>
      </w:r>
      <w:r>
        <w:rPr>
          <w:rFonts w:hint="eastAsia"/>
          <w:color w:val="000000" w:themeColor="text1"/>
          <w:sz w:val="22"/>
          <w:szCs w:val="22"/>
          <w:shd w:val="clear" w:color="auto" w:fill="FFFFFF"/>
        </w:rPr>
        <w:t>，</w:t>
      </w:r>
      <w:r>
        <w:rPr>
          <w:color w:val="000000" w:themeColor="text1"/>
          <w:sz w:val="22"/>
          <w:szCs w:val="22"/>
          <w:shd w:val="clear" w:color="auto" w:fill="FFFFFF"/>
        </w:rPr>
        <w:t>G. (ed.) (2023)</w:t>
      </w:r>
      <w:r>
        <w:rPr>
          <w:rStyle w:val="apple-converted-space"/>
          <w:color w:val="000000" w:themeColor="text1"/>
          <w:sz w:val="22"/>
          <w:szCs w:val="22"/>
          <w:shd w:val="clear" w:color="auto" w:fill="FFFFFF"/>
        </w:rPr>
        <w:t> </w:t>
      </w:r>
      <w:r>
        <w:rPr>
          <w:i/>
          <w:iCs/>
          <w:color w:val="000000" w:themeColor="text1"/>
          <w:sz w:val="22"/>
          <w:szCs w:val="22"/>
        </w:rPr>
        <w:t>Using Organizational Culture to Resolve Business Challenges</w:t>
      </w:r>
      <w:r>
        <w:rPr>
          <w:color w:val="000000" w:themeColor="text1"/>
          <w:sz w:val="22"/>
          <w:szCs w:val="22"/>
          <w:shd w:val="clear" w:color="auto" w:fill="FFFFFF"/>
        </w:rPr>
        <w:t>. First edition. Hershey</w:t>
      </w:r>
      <w:r>
        <w:rPr>
          <w:rFonts w:hint="eastAsia"/>
          <w:color w:val="000000" w:themeColor="text1"/>
          <w:sz w:val="22"/>
          <w:szCs w:val="22"/>
          <w:shd w:val="clear" w:color="auto" w:fill="FFFFFF"/>
        </w:rPr>
        <w:t>，</w:t>
      </w:r>
      <w:r>
        <w:rPr>
          <w:color w:val="000000" w:themeColor="text1"/>
          <w:sz w:val="22"/>
          <w:szCs w:val="22"/>
          <w:shd w:val="clear" w:color="auto" w:fill="FFFFFF"/>
        </w:rPr>
        <w:t>PA: Business Science Reference.</w:t>
      </w:r>
    </w:p>
    <w:p w14:paraId="71D64001" w14:textId="77777777" w:rsidR="004D2DD9" w:rsidRDefault="00000000">
      <w:pPr>
        <w:spacing w:line="360" w:lineRule="auto"/>
        <w:ind w:firstLine="0"/>
        <w:rPr>
          <w:color w:val="000000" w:themeColor="text1"/>
          <w:sz w:val="22"/>
          <w:szCs w:val="22"/>
        </w:rPr>
      </w:pPr>
      <w:r>
        <w:rPr>
          <w:color w:val="000000" w:themeColor="text1"/>
          <w:sz w:val="22"/>
          <w:szCs w:val="22"/>
        </w:rPr>
        <w:t>Sari</w:t>
      </w:r>
      <w:r>
        <w:rPr>
          <w:rFonts w:hint="eastAsia"/>
          <w:color w:val="000000" w:themeColor="text1"/>
          <w:sz w:val="22"/>
          <w:szCs w:val="22"/>
        </w:rPr>
        <w:t>，</w:t>
      </w:r>
      <w:r>
        <w:rPr>
          <w:color w:val="000000" w:themeColor="text1"/>
          <w:sz w:val="22"/>
          <w:szCs w:val="22"/>
        </w:rPr>
        <w:t xml:space="preserve">E. P. et al. (2022) </w:t>
      </w:r>
      <w:r>
        <w:rPr>
          <w:rFonts w:hint="eastAsia"/>
          <w:color w:val="000000" w:themeColor="text1"/>
          <w:sz w:val="22"/>
          <w:szCs w:val="22"/>
        </w:rPr>
        <w:t>‘</w:t>
      </w:r>
      <w:r>
        <w:rPr>
          <w:color w:val="000000" w:themeColor="text1"/>
          <w:sz w:val="22"/>
          <w:szCs w:val="22"/>
        </w:rPr>
        <w:t>Pendekatan Islamic Studies terhadap Koin dan Harta Virtual Game PES 2021 Multiplayer Konami</w:t>
      </w:r>
      <w:r>
        <w:rPr>
          <w:rFonts w:hint="eastAsia"/>
          <w:color w:val="000000" w:themeColor="text1"/>
          <w:sz w:val="22"/>
          <w:szCs w:val="22"/>
        </w:rPr>
        <w:t>’，</w:t>
      </w:r>
      <w:r>
        <w:rPr>
          <w:color w:val="000000" w:themeColor="text1"/>
          <w:sz w:val="22"/>
          <w:szCs w:val="22"/>
        </w:rPr>
        <w:t xml:space="preserve"> </w:t>
      </w:r>
      <w:r>
        <w:rPr>
          <w:i/>
          <w:iCs/>
          <w:color w:val="000000" w:themeColor="text1"/>
          <w:sz w:val="22"/>
          <w:szCs w:val="22"/>
        </w:rPr>
        <w:t>Alhamra Jurnal Studi Islam</w:t>
      </w:r>
      <w:r>
        <w:rPr>
          <w:rFonts w:hint="eastAsia"/>
          <w:i/>
          <w:iCs/>
          <w:color w:val="000000" w:themeColor="text1"/>
          <w:sz w:val="22"/>
          <w:szCs w:val="22"/>
        </w:rPr>
        <w:t>，</w:t>
      </w:r>
      <w:r>
        <w:rPr>
          <w:color w:val="000000" w:themeColor="text1"/>
          <w:sz w:val="22"/>
          <w:szCs w:val="22"/>
        </w:rPr>
        <w:t>3(2)</w:t>
      </w:r>
      <w:r>
        <w:rPr>
          <w:rFonts w:hint="eastAsia"/>
          <w:color w:val="000000" w:themeColor="text1"/>
          <w:sz w:val="22"/>
          <w:szCs w:val="22"/>
        </w:rPr>
        <w:t>，</w:t>
      </w:r>
      <w:r>
        <w:rPr>
          <w:color w:val="000000" w:themeColor="text1"/>
          <w:sz w:val="22"/>
          <w:szCs w:val="22"/>
        </w:rPr>
        <w:t>p</w:t>
      </w:r>
      <w:r>
        <w:rPr>
          <w:rFonts w:hint="eastAsia"/>
          <w:color w:val="000000" w:themeColor="text1"/>
          <w:sz w:val="22"/>
          <w:szCs w:val="22"/>
        </w:rPr>
        <w:t>p</w:t>
      </w:r>
      <w:r>
        <w:rPr>
          <w:color w:val="000000" w:themeColor="text1"/>
          <w:sz w:val="22"/>
          <w:szCs w:val="22"/>
        </w:rPr>
        <w:t>. 115-125.</w:t>
      </w:r>
    </w:p>
    <w:p w14:paraId="4362654B" w14:textId="77777777" w:rsidR="004D2DD9" w:rsidRDefault="00000000">
      <w:pPr>
        <w:spacing w:line="360" w:lineRule="auto"/>
        <w:ind w:firstLine="0"/>
        <w:rPr>
          <w:color w:val="000000" w:themeColor="text1"/>
          <w:sz w:val="22"/>
          <w:szCs w:val="22"/>
        </w:rPr>
      </w:pPr>
      <w:r>
        <w:rPr>
          <w:color w:val="000000" w:themeColor="text1"/>
          <w:sz w:val="22"/>
          <w:szCs w:val="22"/>
          <w:shd w:val="clear" w:color="auto" w:fill="FFFFFF"/>
        </w:rPr>
        <w:t>Sharma</w:t>
      </w:r>
      <w:r>
        <w:rPr>
          <w:rFonts w:hint="eastAsia"/>
          <w:color w:val="000000" w:themeColor="text1"/>
          <w:sz w:val="22"/>
          <w:szCs w:val="22"/>
          <w:shd w:val="clear" w:color="auto" w:fill="FFFFFF"/>
        </w:rPr>
        <w:t>，</w:t>
      </w:r>
      <w:r>
        <w:rPr>
          <w:color w:val="000000" w:themeColor="text1"/>
          <w:sz w:val="22"/>
          <w:szCs w:val="22"/>
          <w:shd w:val="clear" w:color="auto" w:fill="FFFFFF"/>
        </w:rPr>
        <w:t>T.G.</w:t>
      </w:r>
      <w:r>
        <w:rPr>
          <w:i/>
          <w:iCs/>
          <w:color w:val="000000" w:themeColor="text1"/>
          <w:sz w:val="22"/>
          <w:szCs w:val="22"/>
        </w:rPr>
        <w:t>et al.</w:t>
      </w:r>
      <w:r>
        <w:rPr>
          <w:color w:val="000000" w:themeColor="text1"/>
          <w:sz w:val="22"/>
          <w:szCs w:val="22"/>
          <w:shd w:val="clear" w:color="auto" w:fill="FFFFFF"/>
        </w:rPr>
        <w:t xml:space="preserve">(2020) </w:t>
      </w:r>
      <w:r>
        <w:rPr>
          <w:rFonts w:hint="eastAsia"/>
          <w:color w:val="000000" w:themeColor="text1"/>
          <w:sz w:val="22"/>
          <w:szCs w:val="22"/>
          <w:shd w:val="clear" w:color="auto" w:fill="FFFFFF"/>
        </w:rPr>
        <w:t>‘</w:t>
      </w:r>
      <w:r>
        <w:rPr>
          <w:color w:val="000000" w:themeColor="text1"/>
          <w:sz w:val="22"/>
          <w:szCs w:val="22"/>
          <w:shd w:val="clear" w:color="auto" w:fill="FFFFFF"/>
        </w:rPr>
        <w:t>Understanding Continuance Intention to Play Online Games: The Roles of Hedonic Value</w:t>
      </w:r>
      <w:r>
        <w:rPr>
          <w:rFonts w:hint="eastAsia"/>
          <w:color w:val="000000" w:themeColor="text1"/>
          <w:sz w:val="22"/>
          <w:szCs w:val="22"/>
          <w:shd w:val="clear" w:color="auto" w:fill="FFFFFF"/>
        </w:rPr>
        <w:t>，</w:t>
      </w:r>
      <w:r>
        <w:rPr>
          <w:color w:val="000000" w:themeColor="text1"/>
          <w:sz w:val="22"/>
          <w:szCs w:val="22"/>
          <w:shd w:val="clear" w:color="auto" w:fill="FFFFFF"/>
        </w:rPr>
        <w:t>Utilitarian Value and Perceived Risk</w:t>
      </w:r>
      <w:r>
        <w:rPr>
          <w:rFonts w:hint="eastAsia"/>
          <w:color w:val="000000" w:themeColor="text1"/>
          <w:sz w:val="22"/>
          <w:szCs w:val="22"/>
          <w:shd w:val="clear" w:color="auto" w:fill="FFFFFF"/>
        </w:rPr>
        <w:t>’，</w:t>
      </w:r>
      <w:r>
        <w:rPr>
          <w:i/>
          <w:iCs/>
          <w:color w:val="000000" w:themeColor="text1"/>
          <w:sz w:val="22"/>
          <w:szCs w:val="22"/>
        </w:rPr>
        <w:t>Journal of Internet commerce</w:t>
      </w:r>
      <w:r>
        <w:rPr>
          <w:color w:val="000000" w:themeColor="text1"/>
          <w:sz w:val="22"/>
          <w:szCs w:val="22"/>
          <w:shd w:val="clear" w:color="auto" w:fill="FFFFFF"/>
        </w:rPr>
        <w:t>,</w:t>
      </w:r>
      <w:r>
        <w:rPr>
          <w:rFonts w:hint="eastAsia"/>
          <w:color w:val="000000" w:themeColor="text1"/>
          <w:sz w:val="22"/>
          <w:szCs w:val="22"/>
          <w:shd w:val="clear" w:color="auto" w:fill="FFFFFF"/>
        </w:rPr>
        <w:t>，</w:t>
      </w:r>
      <w:r>
        <w:rPr>
          <w:color w:val="000000" w:themeColor="text1"/>
          <w:sz w:val="22"/>
          <w:szCs w:val="22"/>
          <w:shd w:val="clear" w:color="auto" w:fill="FFFFFF"/>
        </w:rPr>
        <w:t>19(3)</w:t>
      </w:r>
      <w:r>
        <w:rPr>
          <w:rFonts w:hint="eastAsia"/>
          <w:color w:val="000000" w:themeColor="text1"/>
          <w:sz w:val="22"/>
          <w:szCs w:val="22"/>
          <w:shd w:val="clear" w:color="auto" w:fill="FFFFFF"/>
        </w:rPr>
        <w:t>，</w:t>
      </w:r>
      <w:r>
        <w:rPr>
          <w:color w:val="000000" w:themeColor="text1"/>
          <w:sz w:val="22"/>
          <w:szCs w:val="22"/>
          <w:shd w:val="clear" w:color="auto" w:fill="FFFFFF"/>
        </w:rPr>
        <w:t xml:space="preserve"> pp. 346–372. </w:t>
      </w:r>
    </w:p>
    <w:p w14:paraId="30D4BCB3"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Shay</w:t>
      </w:r>
      <w:r>
        <w:rPr>
          <w:rFonts w:hint="eastAsia"/>
          <w:color w:val="000000" w:themeColor="text1"/>
          <w:sz w:val="22"/>
          <w:szCs w:val="22"/>
          <w:shd w:val="clear" w:color="auto" w:fill="FFFFFF"/>
        </w:rPr>
        <w:t>，</w:t>
      </w:r>
      <w:r>
        <w:rPr>
          <w:color w:val="000000" w:themeColor="text1"/>
          <w:sz w:val="22"/>
          <w:szCs w:val="22"/>
          <w:shd w:val="clear" w:color="auto" w:fill="FFFFFF"/>
        </w:rPr>
        <w:t>R. and Palomba</w:t>
      </w:r>
      <w:r>
        <w:rPr>
          <w:rFonts w:hint="eastAsia"/>
          <w:color w:val="000000" w:themeColor="text1"/>
          <w:sz w:val="22"/>
          <w:szCs w:val="22"/>
          <w:shd w:val="clear" w:color="auto" w:fill="FFFFFF"/>
        </w:rPr>
        <w:t>，</w:t>
      </w:r>
      <w:r>
        <w:rPr>
          <w:color w:val="000000" w:themeColor="text1"/>
          <w:sz w:val="22"/>
          <w:szCs w:val="22"/>
          <w:shd w:val="clear" w:color="auto" w:fill="FFFFFF"/>
        </w:rPr>
        <w:t xml:space="preserve">A. (2020) </w:t>
      </w:r>
      <w:r>
        <w:rPr>
          <w:rFonts w:hint="eastAsia"/>
          <w:color w:val="000000" w:themeColor="text1"/>
          <w:sz w:val="22"/>
          <w:szCs w:val="22"/>
          <w:shd w:val="clear" w:color="auto" w:fill="FFFFFF"/>
        </w:rPr>
        <w:t>‘</w:t>
      </w:r>
      <w:r>
        <w:rPr>
          <w:color w:val="000000" w:themeColor="text1"/>
          <w:sz w:val="22"/>
          <w:szCs w:val="22"/>
          <w:shd w:val="clear" w:color="auto" w:fill="FFFFFF"/>
        </w:rPr>
        <w:t>First-Party Success or First-Party Failure? A Case Study on Audience Perceptions of the Nintendo Brand During the Wii U</w:t>
      </w:r>
      <w:r>
        <w:rPr>
          <w:rFonts w:hint="eastAsia"/>
          <w:color w:val="000000" w:themeColor="text1"/>
          <w:sz w:val="22"/>
          <w:szCs w:val="22"/>
          <w:shd w:val="clear" w:color="auto" w:fill="FFFFFF"/>
        </w:rPr>
        <w:t>’</w:t>
      </w:r>
      <w:r>
        <w:rPr>
          <w:color w:val="000000" w:themeColor="text1"/>
          <w:sz w:val="22"/>
          <w:szCs w:val="22"/>
          <w:shd w:val="clear" w:color="auto" w:fill="FFFFFF"/>
        </w:rPr>
        <w:t>s Product Life Cycle</w:t>
      </w:r>
      <w:r>
        <w:rPr>
          <w:rFonts w:hint="eastAsia"/>
          <w:color w:val="000000" w:themeColor="text1"/>
          <w:sz w:val="22"/>
          <w:szCs w:val="22"/>
          <w:shd w:val="clear" w:color="auto" w:fill="FFFFFF"/>
        </w:rPr>
        <w:t>‘，</w:t>
      </w:r>
      <w:r>
        <w:rPr>
          <w:i/>
          <w:iCs/>
          <w:color w:val="000000" w:themeColor="text1"/>
          <w:sz w:val="22"/>
          <w:szCs w:val="22"/>
        </w:rPr>
        <w:t>Games and culture</w:t>
      </w:r>
      <w:r>
        <w:rPr>
          <w:rFonts w:hint="eastAsia"/>
          <w:i/>
          <w:iCs/>
          <w:color w:val="000000" w:themeColor="text1"/>
          <w:sz w:val="22"/>
          <w:szCs w:val="22"/>
        </w:rPr>
        <w:t>，</w:t>
      </w:r>
      <w:r>
        <w:rPr>
          <w:color w:val="000000" w:themeColor="text1"/>
          <w:sz w:val="22"/>
          <w:szCs w:val="22"/>
          <w:shd w:val="clear" w:color="auto" w:fill="FFFFFF"/>
        </w:rPr>
        <w:t>15(5)</w:t>
      </w:r>
      <w:r>
        <w:rPr>
          <w:rFonts w:hint="eastAsia"/>
          <w:color w:val="000000" w:themeColor="text1"/>
          <w:sz w:val="22"/>
          <w:szCs w:val="22"/>
          <w:shd w:val="clear" w:color="auto" w:fill="FFFFFF"/>
        </w:rPr>
        <w:t>，</w:t>
      </w:r>
      <w:r>
        <w:rPr>
          <w:color w:val="000000" w:themeColor="text1"/>
          <w:sz w:val="22"/>
          <w:szCs w:val="22"/>
          <w:shd w:val="clear" w:color="auto" w:fill="FFFFFF"/>
        </w:rPr>
        <w:t xml:space="preserve">pp. 475–500. </w:t>
      </w:r>
    </w:p>
    <w:p w14:paraId="6C57D952"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Tan</w:t>
      </w:r>
      <w:r>
        <w:rPr>
          <w:rFonts w:hint="eastAsia"/>
          <w:color w:val="000000" w:themeColor="text1"/>
          <w:sz w:val="22"/>
          <w:szCs w:val="22"/>
          <w:shd w:val="clear" w:color="auto" w:fill="FFFFFF"/>
        </w:rPr>
        <w:t>，</w:t>
      </w:r>
      <w:r>
        <w:rPr>
          <w:color w:val="000000" w:themeColor="text1"/>
          <w:sz w:val="22"/>
          <w:szCs w:val="22"/>
          <w:shd w:val="clear" w:color="auto" w:fill="FFFFFF"/>
        </w:rPr>
        <w:t xml:space="preserve">W.-K. and Yang, C.-Y. (2022) </w:t>
      </w:r>
      <w:r>
        <w:rPr>
          <w:rFonts w:hint="eastAsia"/>
          <w:color w:val="000000" w:themeColor="text1"/>
          <w:sz w:val="22"/>
          <w:szCs w:val="22"/>
          <w:shd w:val="clear" w:color="auto" w:fill="FFFFFF"/>
        </w:rPr>
        <w:t>’</w:t>
      </w:r>
      <w:r>
        <w:rPr>
          <w:color w:val="000000" w:themeColor="text1"/>
          <w:sz w:val="22"/>
          <w:szCs w:val="22"/>
          <w:shd w:val="clear" w:color="auto" w:fill="FFFFFF"/>
        </w:rPr>
        <w:t>An exploration of MMORPG in-game virtual-item contribution to game enjoyment from the perspectives of purchase behavior and psychological ownership</w:t>
      </w:r>
      <w:r>
        <w:rPr>
          <w:rFonts w:hint="eastAsia"/>
          <w:color w:val="000000" w:themeColor="text1"/>
          <w:sz w:val="22"/>
          <w:szCs w:val="22"/>
          <w:shd w:val="clear" w:color="auto" w:fill="FFFFFF"/>
        </w:rPr>
        <w:t>‘，</w:t>
      </w:r>
      <w:r>
        <w:rPr>
          <w:rStyle w:val="apple-converted-space"/>
          <w:color w:val="000000" w:themeColor="text1"/>
          <w:sz w:val="22"/>
          <w:szCs w:val="22"/>
          <w:shd w:val="clear" w:color="auto" w:fill="FFFFFF"/>
        </w:rPr>
        <w:t> </w:t>
      </w:r>
      <w:r>
        <w:rPr>
          <w:i/>
          <w:iCs/>
          <w:color w:val="000000" w:themeColor="text1"/>
          <w:sz w:val="22"/>
          <w:szCs w:val="22"/>
        </w:rPr>
        <w:t>Computers in human behavior</w:t>
      </w:r>
      <w:r>
        <w:rPr>
          <w:rFonts w:hint="eastAsia"/>
          <w:i/>
          <w:iCs/>
          <w:color w:val="000000" w:themeColor="text1"/>
          <w:sz w:val="22"/>
          <w:szCs w:val="22"/>
        </w:rPr>
        <w:t>，</w:t>
      </w:r>
      <w:r>
        <w:rPr>
          <w:color w:val="000000" w:themeColor="text1"/>
          <w:sz w:val="22"/>
          <w:szCs w:val="22"/>
          <w:shd w:val="clear" w:color="auto" w:fill="FFFFFF"/>
        </w:rPr>
        <w:t>134</w:t>
      </w:r>
      <w:r>
        <w:rPr>
          <w:rFonts w:hint="eastAsia"/>
          <w:color w:val="000000" w:themeColor="text1"/>
          <w:sz w:val="22"/>
          <w:szCs w:val="22"/>
          <w:shd w:val="clear" w:color="auto" w:fill="FFFFFF"/>
        </w:rPr>
        <w:t>，</w:t>
      </w:r>
      <w:r>
        <w:rPr>
          <w:color w:val="000000" w:themeColor="text1"/>
          <w:sz w:val="22"/>
          <w:szCs w:val="22"/>
          <w:shd w:val="clear" w:color="auto" w:fill="FFFFFF"/>
        </w:rPr>
        <w:t>p. 107303.</w:t>
      </w:r>
    </w:p>
    <w:p w14:paraId="013904C5"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Torres-Toukoumidis</w:t>
      </w:r>
      <w:r>
        <w:rPr>
          <w:rFonts w:hint="eastAsia"/>
          <w:color w:val="000000" w:themeColor="text1"/>
          <w:sz w:val="22"/>
          <w:szCs w:val="22"/>
          <w:shd w:val="clear" w:color="auto" w:fill="FFFFFF"/>
        </w:rPr>
        <w:t>，</w:t>
      </w:r>
      <w:r>
        <w:rPr>
          <w:color w:val="000000" w:themeColor="text1"/>
          <w:sz w:val="22"/>
          <w:szCs w:val="22"/>
          <w:shd w:val="clear" w:color="auto" w:fill="FFFFFF"/>
        </w:rPr>
        <w:t>Á. (2022)</w:t>
      </w:r>
      <w:r>
        <w:rPr>
          <w:rStyle w:val="apple-converted-space"/>
          <w:color w:val="000000" w:themeColor="text1"/>
          <w:sz w:val="22"/>
          <w:szCs w:val="22"/>
          <w:shd w:val="clear" w:color="auto" w:fill="FFFFFF"/>
        </w:rPr>
        <w:t> </w:t>
      </w:r>
      <w:r>
        <w:rPr>
          <w:i/>
          <w:iCs/>
          <w:color w:val="000000" w:themeColor="text1"/>
          <w:sz w:val="22"/>
          <w:szCs w:val="22"/>
        </w:rPr>
        <w:t>Esports and the Media</w:t>
      </w:r>
      <w:r>
        <w:rPr>
          <w:color w:val="000000" w:themeColor="text1"/>
          <w:sz w:val="22"/>
          <w:szCs w:val="22"/>
          <w:shd w:val="clear" w:color="auto" w:fill="FFFFFF"/>
        </w:rPr>
        <w:t>. New York: Taylor &amp; Francis.</w:t>
      </w:r>
    </w:p>
    <w:p w14:paraId="0378B54A" w14:textId="77777777" w:rsidR="004D2DD9" w:rsidRDefault="00000000">
      <w:pPr>
        <w:spacing w:line="360" w:lineRule="auto"/>
        <w:ind w:firstLine="0"/>
        <w:rPr>
          <w:color w:val="000000" w:themeColor="text1"/>
          <w:sz w:val="22"/>
          <w:szCs w:val="22"/>
        </w:rPr>
      </w:pPr>
      <w:r>
        <w:rPr>
          <w:color w:val="000000" w:themeColor="text1"/>
          <w:sz w:val="22"/>
          <w:szCs w:val="22"/>
        </w:rPr>
        <w:t xml:space="preserve">Trustpilot (2023) </w:t>
      </w:r>
      <w:r>
        <w:rPr>
          <w:i/>
          <w:iCs/>
          <w:color w:val="000000" w:themeColor="text1"/>
          <w:sz w:val="22"/>
          <w:szCs w:val="22"/>
        </w:rPr>
        <w:t>Konami Reviews Read Customer Service Reviews of www.konami.com</w:t>
      </w:r>
      <w:r>
        <w:rPr>
          <w:color w:val="000000" w:themeColor="text1"/>
          <w:sz w:val="22"/>
          <w:szCs w:val="22"/>
        </w:rPr>
        <w:t xml:space="preserve">.  </w:t>
      </w:r>
      <w:r>
        <w:rPr>
          <w:color w:val="000000" w:themeColor="text1"/>
          <w:sz w:val="22"/>
          <w:szCs w:val="22"/>
        </w:rPr>
        <w:lastRenderedPageBreak/>
        <w:t xml:space="preserve">Available at: https://www.trustpilot.com/review/www.konami.com </w:t>
      </w:r>
      <w:r>
        <w:rPr>
          <w:rFonts w:hint="eastAsia"/>
          <w:color w:val="000000" w:themeColor="text1"/>
          <w:sz w:val="22"/>
          <w:szCs w:val="22"/>
        </w:rPr>
        <w:t>（</w:t>
      </w:r>
      <w:r>
        <w:rPr>
          <w:color w:val="000000" w:themeColor="text1"/>
          <w:sz w:val="22"/>
          <w:szCs w:val="22"/>
        </w:rPr>
        <w:t>Accessed 15 July 2023</w:t>
      </w:r>
      <w:r>
        <w:rPr>
          <w:rFonts w:hint="eastAsia"/>
          <w:color w:val="000000" w:themeColor="text1"/>
          <w:sz w:val="22"/>
          <w:szCs w:val="22"/>
        </w:rPr>
        <w:t>）</w:t>
      </w:r>
    </w:p>
    <w:p w14:paraId="48CF8271"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Wallinheimo</w:t>
      </w:r>
      <w:r>
        <w:rPr>
          <w:rFonts w:hint="eastAsia"/>
          <w:color w:val="000000" w:themeColor="text1"/>
          <w:sz w:val="22"/>
          <w:szCs w:val="22"/>
          <w:shd w:val="clear" w:color="auto" w:fill="FFFFFF"/>
        </w:rPr>
        <w:t>，</w:t>
      </w:r>
      <w:r>
        <w:rPr>
          <w:color w:val="000000" w:themeColor="text1"/>
          <w:sz w:val="22"/>
          <w:szCs w:val="22"/>
          <w:shd w:val="clear" w:color="auto" w:fill="FFFFFF"/>
        </w:rPr>
        <w:t>A.-S.</w:t>
      </w:r>
      <w:r>
        <w:rPr>
          <w:rStyle w:val="apple-converted-space"/>
          <w:color w:val="000000" w:themeColor="text1"/>
          <w:sz w:val="22"/>
          <w:szCs w:val="22"/>
          <w:shd w:val="clear" w:color="auto" w:fill="FFFFFF"/>
        </w:rPr>
        <w:t> </w:t>
      </w:r>
      <w:r>
        <w:rPr>
          <w:i/>
          <w:iCs/>
          <w:color w:val="000000" w:themeColor="text1"/>
          <w:sz w:val="22"/>
          <w:szCs w:val="22"/>
        </w:rPr>
        <w:t>et al.</w:t>
      </w:r>
      <w:r>
        <w:rPr>
          <w:rStyle w:val="apple-converted-space"/>
          <w:color w:val="000000" w:themeColor="text1"/>
          <w:sz w:val="22"/>
          <w:szCs w:val="22"/>
          <w:shd w:val="clear" w:color="auto" w:fill="FFFFFF"/>
        </w:rPr>
        <w:t> </w:t>
      </w:r>
      <w:r>
        <w:rPr>
          <w:color w:val="000000" w:themeColor="text1"/>
          <w:sz w:val="22"/>
          <w:szCs w:val="22"/>
          <w:shd w:val="clear" w:color="auto" w:fill="FFFFFF"/>
        </w:rPr>
        <w:t xml:space="preserve">(2023) </w:t>
      </w:r>
      <w:r>
        <w:rPr>
          <w:rFonts w:hint="eastAsia"/>
          <w:color w:val="000000" w:themeColor="text1"/>
          <w:sz w:val="22"/>
          <w:szCs w:val="22"/>
          <w:shd w:val="clear" w:color="auto" w:fill="FFFFFF"/>
        </w:rPr>
        <w:t>‘</w:t>
      </w:r>
      <w:r>
        <w:rPr>
          <w:color w:val="000000" w:themeColor="text1"/>
          <w:sz w:val="22"/>
          <w:szCs w:val="22"/>
          <w:shd w:val="clear" w:color="auto" w:fill="FFFFFF"/>
        </w:rPr>
        <w:t>How Online Gaming Could Enhance Your Career Prospects</w:t>
      </w:r>
      <w:r>
        <w:rPr>
          <w:rFonts w:hint="eastAsia"/>
          <w:color w:val="000000" w:themeColor="text1"/>
          <w:sz w:val="22"/>
          <w:szCs w:val="22"/>
          <w:shd w:val="clear" w:color="auto" w:fill="FFFFFF"/>
        </w:rPr>
        <w:t>’，</w:t>
      </w:r>
      <w:r>
        <w:rPr>
          <w:i/>
          <w:iCs/>
          <w:color w:val="000000" w:themeColor="text1"/>
          <w:sz w:val="22"/>
          <w:szCs w:val="22"/>
        </w:rPr>
        <w:t>Simulation &amp; gaming</w:t>
      </w:r>
      <w:r>
        <w:rPr>
          <w:rFonts w:hint="eastAsia"/>
          <w:i/>
          <w:iCs/>
          <w:color w:val="000000" w:themeColor="text1"/>
          <w:sz w:val="22"/>
          <w:szCs w:val="22"/>
        </w:rPr>
        <w:t>，</w:t>
      </w:r>
      <w:r>
        <w:rPr>
          <w:color w:val="000000" w:themeColor="text1"/>
          <w:sz w:val="22"/>
          <w:szCs w:val="22"/>
          <w:shd w:val="clear" w:color="auto" w:fill="FFFFFF"/>
        </w:rPr>
        <w:t>54(1)</w:t>
      </w:r>
      <w:r>
        <w:rPr>
          <w:rFonts w:hint="eastAsia"/>
          <w:color w:val="000000" w:themeColor="text1"/>
          <w:sz w:val="22"/>
          <w:szCs w:val="22"/>
          <w:shd w:val="clear" w:color="auto" w:fill="FFFFFF"/>
        </w:rPr>
        <w:t>，</w:t>
      </w:r>
      <w:r>
        <w:rPr>
          <w:color w:val="000000" w:themeColor="text1"/>
          <w:sz w:val="22"/>
          <w:szCs w:val="22"/>
          <w:shd w:val="clear" w:color="auto" w:fill="FFFFFF"/>
        </w:rPr>
        <w:t xml:space="preserve">pp. 28–44. </w:t>
      </w:r>
    </w:p>
    <w:p w14:paraId="5BCC14FB"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Weerts</w:t>
      </w:r>
      <w:r>
        <w:rPr>
          <w:rFonts w:hint="eastAsia"/>
          <w:color w:val="000000" w:themeColor="text1"/>
          <w:sz w:val="22"/>
          <w:szCs w:val="22"/>
          <w:shd w:val="clear" w:color="auto" w:fill="FFFFFF"/>
        </w:rPr>
        <w:t>，</w:t>
      </w:r>
      <w:r>
        <w:rPr>
          <w:color w:val="000000" w:themeColor="text1"/>
          <w:sz w:val="22"/>
          <w:szCs w:val="22"/>
          <w:shd w:val="clear" w:color="auto" w:fill="FFFFFF"/>
        </w:rPr>
        <w:t xml:space="preserve"> K.</w:t>
      </w:r>
      <w:r>
        <w:rPr>
          <w:rFonts w:hint="eastAsia"/>
          <w:color w:val="000000" w:themeColor="text1"/>
          <w:sz w:val="22"/>
          <w:szCs w:val="22"/>
          <w:shd w:val="clear" w:color="auto" w:fill="FFFFFF"/>
        </w:rPr>
        <w:t>，</w:t>
      </w:r>
      <w:r>
        <w:rPr>
          <w:color w:val="000000" w:themeColor="text1"/>
          <w:sz w:val="22"/>
          <w:szCs w:val="22"/>
          <w:shd w:val="clear" w:color="auto" w:fill="FFFFFF"/>
        </w:rPr>
        <w:t>Vermeulen</w:t>
      </w:r>
      <w:r>
        <w:rPr>
          <w:rFonts w:hint="eastAsia"/>
          <w:color w:val="000000" w:themeColor="text1"/>
          <w:sz w:val="22"/>
          <w:szCs w:val="22"/>
          <w:shd w:val="clear" w:color="auto" w:fill="FFFFFF"/>
        </w:rPr>
        <w:t>，</w:t>
      </w:r>
      <w:r>
        <w:rPr>
          <w:color w:val="000000" w:themeColor="text1"/>
          <w:sz w:val="22"/>
          <w:szCs w:val="22"/>
          <w:shd w:val="clear" w:color="auto" w:fill="FFFFFF"/>
        </w:rPr>
        <w:t>W. and Witjes</w:t>
      </w:r>
      <w:r>
        <w:rPr>
          <w:rFonts w:hint="eastAsia"/>
          <w:color w:val="000000" w:themeColor="text1"/>
          <w:sz w:val="22"/>
          <w:szCs w:val="22"/>
          <w:shd w:val="clear" w:color="auto" w:fill="FFFFFF"/>
        </w:rPr>
        <w:t>，</w:t>
      </w:r>
      <w:r>
        <w:rPr>
          <w:color w:val="000000" w:themeColor="text1"/>
          <w:sz w:val="22"/>
          <w:szCs w:val="22"/>
          <w:shd w:val="clear" w:color="auto" w:fill="FFFFFF"/>
        </w:rPr>
        <w:t xml:space="preserve">S. (2018) </w:t>
      </w:r>
      <w:r>
        <w:rPr>
          <w:rFonts w:hint="eastAsia"/>
          <w:color w:val="000000" w:themeColor="text1"/>
          <w:sz w:val="22"/>
          <w:szCs w:val="22"/>
          <w:shd w:val="clear" w:color="auto" w:fill="FFFFFF"/>
        </w:rPr>
        <w:t>‘</w:t>
      </w:r>
      <w:r>
        <w:rPr>
          <w:color w:val="000000" w:themeColor="text1"/>
          <w:sz w:val="22"/>
          <w:szCs w:val="22"/>
          <w:shd w:val="clear" w:color="auto" w:fill="FFFFFF"/>
        </w:rPr>
        <w:t>On corporate sustainability integration research: Analysing corporate leaders’ experiences and academic learnings from an organisational culture perspective</w:t>
      </w:r>
      <w:r>
        <w:rPr>
          <w:rFonts w:hint="eastAsia"/>
          <w:color w:val="000000" w:themeColor="text1"/>
          <w:sz w:val="22"/>
          <w:szCs w:val="22"/>
          <w:shd w:val="clear" w:color="auto" w:fill="FFFFFF"/>
        </w:rPr>
        <w:t>’，</w:t>
      </w:r>
      <w:r>
        <w:rPr>
          <w:i/>
          <w:iCs/>
          <w:color w:val="000000" w:themeColor="text1"/>
          <w:sz w:val="22"/>
          <w:szCs w:val="22"/>
        </w:rPr>
        <w:t>Journal of cleaner production</w:t>
      </w:r>
      <w:r>
        <w:rPr>
          <w:rFonts w:hint="eastAsia"/>
          <w:i/>
          <w:iCs/>
          <w:color w:val="000000" w:themeColor="text1"/>
          <w:sz w:val="22"/>
          <w:szCs w:val="22"/>
        </w:rPr>
        <w:t>，</w:t>
      </w:r>
      <w:r>
        <w:rPr>
          <w:color w:val="000000" w:themeColor="text1"/>
          <w:sz w:val="22"/>
          <w:szCs w:val="22"/>
          <w:shd w:val="clear" w:color="auto" w:fill="FFFFFF"/>
        </w:rPr>
        <w:t>203</w:t>
      </w:r>
      <w:r>
        <w:rPr>
          <w:rFonts w:hint="eastAsia"/>
          <w:color w:val="000000" w:themeColor="text1"/>
          <w:sz w:val="22"/>
          <w:szCs w:val="22"/>
          <w:shd w:val="clear" w:color="auto" w:fill="FFFFFF"/>
        </w:rPr>
        <w:t>，</w:t>
      </w:r>
      <w:r>
        <w:rPr>
          <w:color w:val="000000" w:themeColor="text1"/>
          <w:sz w:val="22"/>
          <w:szCs w:val="22"/>
          <w:shd w:val="clear" w:color="auto" w:fill="FFFFFF"/>
        </w:rPr>
        <w:t xml:space="preserve">pp. 1201–1215. </w:t>
      </w:r>
    </w:p>
    <w:p w14:paraId="3F4DB94D"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Witkowski</w:t>
      </w:r>
      <w:r>
        <w:rPr>
          <w:rFonts w:hint="eastAsia"/>
          <w:color w:val="000000" w:themeColor="text1"/>
          <w:sz w:val="22"/>
          <w:szCs w:val="22"/>
          <w:shd w:val="clear" w:color="auto" w:fill="FFFFFF"/>
        </w:rPr>
        <w:t>，</w:t>
      </w:r>
      <w:r>
        <w:rPr>
          <w:color w:val="000000" w:themeColor="text1"/>
          <w:sz w:val="22"/>
          <w:szCs w:val="22"/>
          <w:shd w:val="clear" w:color="auto" w:fill="FFFFFF"/>
        </w:rPr>
        <w:t>E. and Manning</w:t>
      </w:r>
      <w:r>
        <w:rPr>
          <w:rFonts w:hint="eastAsia"/>
          <w:color w:val="000000" w:themeColor="text1"/>
          <w:sz w:val="22"/>
          <w:szCs w:val="22"/>
          <w:shd w:val="clear" w:color="auto" w:fill="FFFFFF"/>
        </w:rPr>
        <w:t>，</w:t>
      </w:r>
      <w:r>
        <w:rPr>
          <w:color w:val="000000" w:themeColor="text1"/>
          <w:sz w:val="22"/>
          <w:szCs w:val="22"/>
          <w:shd w:val="clear" w:color="auto" w:fill="FFFFFF"/>
        </w:rPr>
        <w:t xml:space="preserve">J. (2019) </w:t>
      </w:r>
      <w:r>
        <w:rPr>
          <w:rFonts w:hint="eastAsia"/>
          <w:color w:val="000000" w:themeColor="text1"/>
          <w:sz w:val="22"/>
          <w:szCs w:val="22"/>
          <w:shd w:val="clear" w:color="auto" w:fill="FFFFFF"/>
        </w:rPr>
        <w:t>‘</w:t>
      </w:r>
      <w:r>
        <w:rPr>
          <w:color w:val="000000" w:themeColor="text1"/>
          <w:sz w:val="22"/>
          <w:szCs w:val="22"/>
          <w:shd w:val="clear" w:color="auto" w:fill="FFFFFF"/>
        </w:rPr>
        <w:t>Player power: Networked careers in esports and high-performance game livestreaming practices</w:t>
      </w:r>
      <w:r>
        <w:rPr>
          <w:rFonts w:hint="eastAsia"/>
          <w:color w:val="000000" w:themeColor="text1"/>
          <w:sz w:val="22"/>
          <w:szCs w:val="22"/>
          <w:shd w:val="clear" w:color="auto" w:fill="FFFFFF"/>
        </w:rPr>
        <w:t>‘，</w:t>
      </w:r>
      <w:r>
        <w:rPr>
          <w:i/>
          <w:iCs/>
          <w:color w:val="000000" w:themeColor="text1"/>
          <w:sz w:val="22"/>
          <w:szCs w:val="22"/>
        </w:rPr>
        <w:t>Convergence (London, England)</w:t>
      </w:r>
      <w:r>
        <w:rPr>
          <w:color w:val="000000" w:themeColor="text1"/>
          <w:sz w:val="22"/>
          <w:szCs w:val="22"/>
          <w:shd w:val="clear" w:color="auto" w:fill="FFFFFF"/>
        </w:rPr>
        <w:t xml:space="preserve">, 25(5-6), pp. 953–969. </w:t>
      </w:r>
    </w:p>
    <w:p w14:paraId="23CA89D4" w14:textId="77777777" w:rsidR="004D2DD9" w:rsidRDefault="00000000">
      <w:pPr>
        <w:spacing w:line="360" w:lineRule="auto"/>
        <w:ind w:firstLine="0"/>
        <w:rPr>
          <w:color w:val="000000" w:themeColor="text1"/>
          <w:sz w:val="22"/>
          <w:szCs w:val="22"/>
          <w:shd w:val="clear" w:color="auto" w:fill="FFFFFF"/>
        </w:rPr>
      </w:pPr>
      <w:r>
        <w:rPr>
          <w:color w:val="000000" w:themeColor="text1"/>
          <w:sz w:val="22"/>
          <w:szCs w:val="22"/>
          <w:shd w:val="clear" w:color="auto" w:fill="FFFFFF"/>
        </w:rPr>
        <w:t>Wysocki</w:t>
      </w:r>
      <w:r>
        <w:rPr>
          <w:rFonts w:hint="eastAsia"/>
          <w:color w:val="000000" w:themeColor="text1"/>
          <w:sz w:val="22"/>
          <w:szCs w:val="22"/>
          <w:shd w:val="clear" w:color="auto" w:fill="FFFFFF"/>
        </w:rPr>
        <w:t>，</w:t>
      </w:r>
      <w:r>
        <w:rPr>
          <w:color w:val="000000" w:themeColor="text1"/>
          <w:sz w:val="22"/>
          <w:szCs w:val="22"/>
          <w:shd w:val="clear" w:color="auto" w:fill="FFFFFF"/>
        </w:rPr>
        <w:t>M. (ed.) (2017)</w:t>
      </w:r>
      <w:r>
        <w:rPr>
          <w:rStyle w:val="apple-converted-space"/>
          <w:color w:val="000000" w:themeColor="text1"/>
          <w:sz w:val="22"/>
          <w:szCs w:val="22"/>
          <w:shd w:val="clear" w:color="auto" w:fill="FFFFFF"/>
        </w:rPr>
        <w:t> </w:t>
      </w:r>
      <w:r>
        <w:rPr>
          <w:i/>
          <w:iCs/>
          <w:color w:val="000000" w:themeColor="text1"/>
          <w:sz w:val="22"/>
          <w:szCs w:val="22"/>
        </w:rPr>
        <w:t>Rated M for mature : sex and sexuality in video games</w:t>
      </w:r>
      <w:r>
        <w:rPr>
          <w:color w:val="000000" w:themeColor="text1"/>
          <w:sz w:val="22"/>
          <w:szCs w:val="22"/>
          <w:shd w:val="clear" w:color="auto" w:fill="FFFFFF"/>
        </w:rPr>
        <w:t>. New York: Bloomsbury Academic.</w:t>
      </w:r>
    </w:p>
    <w:p w14:paraId="2C164F1A" w14:textId="77777777" w:rsidR="004D2DD9" w:rsidRDefault="00000000">
      <w:pPr>
        <w:numPr>
          <w:ilvl w:val="0"/>
          <w:numId w:val="1"/>
        </w:numPr>
        <w:spacing w:line="360" w:lineRule="auto"/>
        <w:ind w:firstLine="0"/>
        <w:rPr>
          <w:color w:val="000000" w:themeColor="text1"/>
          <w:sz w:val="22"/>
          <w:szCs w:val="22"/>
          <w:shd w:val="clear" w:color="auto" w:fill="FFFFFF"/>
        </w:rPr>
      </w:pPr>
      <w:r>
        <w:rPr>
          <w:color w:val="000000" w:themeColor="text1"/>
          <w:sz w:val="22"/>
          <w:szCs w:val="22"/>
          <w:shd w:val="clear" w:color="auto" w:fill="FFFFFF"/>
        </w:rPr>
        <w:t xml:space="preserve">Dehdashti Shahrokh and M. Bashirpour.(2018) </w:t>
      </w:r>
      <w:r>
        <w:rPr>
          <w:rFonts w:hint="eastAsia"/>
          <w:color w:val="000000" w:themeColor="text1"/>
          <w:sz w:val="22"/>
          <w:szCs w:val="22"/>
          <w:shd w:val="clear" w:color="auto" w:fill="FFFFFF"/>
        </w:rPr>
        <w:t>‘</w:t>
      </w:r>
      <w:r>
        <w:rPr>
          <w:color w:val="000000" w:themeColor="text1"/>
          <w:sz w:val="22"/>
          <w:szCs w:val="22"/>
          <w:shd w:val="clear" w:color="auto" w:fill="FFFFFF"/>
        </w:rPr>
        <w:t>Investigating the Effects of Game Satisfaction on the Effectiveness of Ads within Digital Games Between Master Students of Management</w:t>
      </w:r>
      <w:r>
        <w:rPr>
          <w:rFonts w:hint="eastAsia"/>
          <w:color w:val="000000" w:themeColor="text1"/>
          <w:sz w:val="22"/>
          <w:szCs w:val="22"/>
          <w:shd w:val="clear" w:color="auto" w:fill="FFFFFF"/>
        </w:rPr>
        <w:t>，</w:t>
      </w:r>
      <w:r>
        <w:rPr>
          <w:color w:val="000000" w:themeColor="text1"/>
          <w:sz w:val="22"/>
          <w:szCs w:val="22"/>
          <w:shd w:val="clear" w:color="auto" w:fill="FFFFFF"/>
        </w:rPr>
        <w:t>Faculty of Allameh Tabataba</w:t>
      </w:r>
      <w:r>
        <w:rPr>
          <w:rFonts w:hint="eastAsia"/>
          <w:color w:val="000000" w:themeColor="text1"/>
          <w:sz w:val="22"/>
          <w:szCs w:val="22"/>
          <w:shd w:val="clear" w:color="auto" w:fill="FFFFFF"/>
        </w:rPr>
        <w:t>‘</w:t>
      </w:r>
      <w:r>
        <w:rPr>
          <w:color w:val="000000" w:themeColor="text1"/>
          <w:sz w:val="22"/>
          <w:szCs w:val="22"/>
          <w:shd w:val="clear" w:color="auto" w:fill="FFFFFF"/>
        </w:rPr>
        <w:t>i University</w:t>
      </w:r>
      <w:r>
        <w:rPr>
          <w:rFonts w:hint="eastAsia"/>
          <w:color w:val="000000" w:themeColor="text1"/>
          <w:sz w:val="22"/>
          <w:szCs w:val="22"/>
          <w:shd w:val="clear" w:color="auto" w:fill="FFFFFF"/>
        </w:rPr>
        <w:t>’，</w:t>
      </w:r>
      <w:r>
        <w:rPr>
          <w:i/>
          <w:iCs/>
          <w:color w:val="000000" w:themeColor="text1"/>
          <w:sz w:val="22"/>
          <w:szCs w:val="22"/>
        </w:rPr>
        <w:t>Taḥqīqāt-i farhangī-i Īrān : faṣlʹnāmah-i ʻilmī, pizhūhishī-i Taḥqīqāt-i Farhangī-i Īrān</w:t>
      </w:r>
      <w:r>
        <w:rPr>
          <w:rFonts w:hint="eastAsia"/>
          <w:i/>
          <w:iCs/>
          <w:color w:val="000000" w:themeColor="text1"/>
          <w:sz w:val="22"/>
          <w:szCs w:val="22"/>
        </w:rPr>
        <w:t>，</w:t>
      </w:r>
      <w:r>
        <w:rPr>
          <w:color w:val="000000" w:themeColor="text1"/>
          <w:sz w:val="22"/>
          <w:szCs w:val="22"/>
          <w:shd w:val="clear" w:color="auto" w:fill="FFFFFF"/>
        </w:rPr>
        <w:t>11(1)</w:t>
      </w:r>
      <w:r>
        <w:rPr>
          <w:rFonts w:hint="eastAsia"/>
          <w:color w:val="000000" w:themeColor="text1"/>
          <w:sz w:val="22"/>
          <w:szCs w:val="22"/>
          <w:shd w:val="clear" w:color="auto" w:fill="FFFFFF"/>
        </w:rPr>
        <w:t>，</w:t>
      </w:r>
      <w:r>
        <w:rPr>
          <w:color w:val="000000" w:themeColor="text1"/>
          <w:sz w:val="22"/>
          <w:szCs w:val="22"/>
          <w:shd w:val="clear" w:color="auto" w:fill="FFFFFF"/>
        </w:rPr>
        <w:t xml:space="preserve">pp. 33–53. </w:t>
      </w:r>
    </w:p>
    <w:p w14:paraId="6EE55E0D" w14:textId="77777777" w:rsidR="004D2DD9" w:rsidRDefault="004D2DD9">
      <w:pPr>
        <w:pStyle w:val="ad"/>
        <w:spacing w:line="360" w:lineRule="auto"/>
        <w:ind w:firstLine="480"/>
        <w:rPr>
          <w:color w:val="000000" w:themeColor="text1"/>
          <w:shd w:val="clear" w:color="auto" w:fill="FFFFFF"/>
        </w:rPr>
      </w:pPr>
    </w:p>
    <w:p w14:paraId="70560F1B" w14:textId="77777777" w:rsidR="004D2DD9" w:rsidRDefault="004D2DD9">
      <w:pPr>
        <w:spacing w:line="480" w:lineRule="auto"/>
      </w:pPr>
    </w:p>
    <w:p w14:paraId="308E7EB6" w14:textId="77777777" w:rsidR="004D2DD9" w:rsidRDefault="004D2DD9">
      <w:pPr>
        <w:spacing w:line="480" w:lineRule="auto"/>
        <w:ind w:firstLine="0"/>
      </w:pPr>
    </w:p>
    <w:p w14:paraId="659FE85A" w14:textId="77777777" w:rsidR="004D2DD9" w:rsidRDefault="004D2DD9">
      <w:pPr>
        <w:spacing w:line="480" w:lineRule="auto"/>
        <w:ind w:firstLine="0"/>
      </w:pPr>
    </w:p>
    <w:p w14:paraId="42A1B58A" w14:textId="77777777" w:rsidR="004D2DD9" w:rsidRDefault="004D2DD9">
      <w:pPr>
        <w:spacing w:line="480" w:lineRule="auto"/>
        <w:ind w:firstLine="0"/>
      </w:pPr>
    </w:p>
    <w:p w14:paraId="50BE37BD" w14:textId="77777777" w:rsidR="004D2DD9" w:rsidRDefault="00000000">
      <w:pPr>
        <w:widowControl/>
        <w:spacing w:line="480" w:lineRule="auto"/>
        <w:ind w:firstLine="0"/>
        <w:jc w:val="left"/>
      </w:pPr>
      <w:r>
        <w:br w:type="page"/>
      </w:r>
    </w:p>
    <w:p w14:paraId="2C6D27E0" w14:textId="77777777" w:rsidR="004D2DD9" w:rsidRDefault="00000000">
      <w:pPr>
        <w:pStyle w:val="1"/>
        <w:spacing w:line="480" w:lineRule="auto"/>
      </w:pPr>
      <w:bookmarkStart w:id="51" w:name="_Toc152370381"/>
      <w:r>
        <w:lastRenderedPageBreak/>
        <w:t>Appendix</w:t>
      </w:r>
      <w:bookmarkEnd w:id="51"/>
    </w:p>
    <w:p w14:paraId="729F8A86" w14:textId="77777777" w:rsidR="004D2DD9" w:rsidRDefault="00000000">
      <w:pPr>
        <w:spacing w:line="480" w:lineRule="auto"/>
        <w:jc w:val="center"/>
      </w:pPr>
      <w:r>
        <w:t>Appendix Table 1. Konami Company Financial Summary Data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5"/>
        <w:gridCol w:w="1257"/>
        <w:gridCol w:w="1257"/>
        <w:gridCol w:w="1257"/>
      </w:tblGrid>
      <w:tr w:rsidR="004D2DD9" w14:paraId="145AAED1" w14:textId="77777777">
        <w:trPr>
          <w:trHeight w:val="280"/>
        </w:trPr>
        <w:tc>
          <w:tcPr>
            <w:tcW w:w="2885" w:type="pct"/>
            <w:shd w:val="clear" w:color="auto" w:fill="auto"/>
            <w:noWrap/>
            <w:vAlign w:val="bottom"/>
          </w:tcPr>
          <w:p w14:paraId="6D9221D3"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Konami [9766.T] - Financial Summary</w:t>
            </w:r>
          </w:p>
        </w:tc>
        <w:tc>
          <w:tcPr>
            <w:tcW w:w="705" w:type="pct"/>
            <w:shd w:val="clear" w:color="auto" w:fill="auto"/>
            <w:noWrap/>
            <w:vAlign w:val="bottom"/>
          </w:tcPr>
          <w:p w14:paraId="1A289244" w14:textId="77777777" w:rsidR="004D2DD9" w:rsidRDefault="00000000">
            <w:pPr>
              <w:widowControl/>
              <w:spacing w:line="480" w:lineRule="auto"/>
              <w:ind w:firstLine="0"/>
              <w:jc w:val="center"/>
              <w:rPr>
                <w:rFonts w:eastAsia="宋体"/>
                <w:color w:val="000000"/>
                <w:kern w:val="0"/>
                <w:sz w:val="18"/>
                <w:szCs w:val="18"/>
              </w:rPr>
            </w:pPr>
            <w:r>
              <w:rPr>
                <w:rFonts w:eastAsia="宋体"/>
                <w:color w:val="000000"/>
                <w:kern w:val="0"/>
                <w:sz w:val="18"/>
                <w:szCs w:val="18"/>
              </w:rPr>
              <w:t>2022</w:t>
            </w:r>
          </w:p>
        </w:tc>
        <w:tc>
          <w:tcPr>
            <w:tcW w:w="705" w:type="pct"/>
            <w:shd w:val="clear" w:color="auto" w:fill="auto"/>
            <w:noWrap/>
            <w:vAlign w:val="bottom"/>
          </w:tcPr>
          <w:p w14:paraId="218002DC" w14:textId="77777777" w:rsidR="004D2DD9" w:rsidRDefault="00000000">
            <w:pPr>
              <w:widowControl/>
              <w:spacing w:line="480" w:lineRule="auto"/>
              <w:ind w:firstLine="0"/>
              <w:jc w:val="center"/>
              <w:rPr>
                <w:rFonts w:eastAsia="宋体"/>
                <w:color w:val="000000"/>
                <w:kern w:val="0"/>
                <w:sz w:val="18"/>
                <w:szCs w:val="18"/>
              </w:rPr>
            </w:pPr>
            <w:r>
              <w:rPr>
                <w:rFonts w:eastAsia="宋体"/>
                <w:color w:val="000000"/>
                <w:kern w:val="0"/>
                <w:sz w:val="18"/>
                <w:szCs w:val="18"/>
              </w:rPr>
              <w:t>2021</w:t>
            </w:r>
          </w:p>
        </w:tc>
        <w:tc>
          <w:tcPr>
            <w:tcW w:w="705" w:type="pct"/>
            <w:shd w:val="clear" w:color="auto" w:fill="auto"/>
            <w:noWrap/>
            <w:vAlign w:val="bottom"/>
          </w:tcPr>
          <w:p w14:paraId="46FA88B0" w14:textId="77777777" w:rsidR="004D2DD9" w:rsidRDefault="00000000">
            <w:pPr>
              <w:widowControl/>
              <w:spacing w:line="480" w:lineRule="auto"/>
              <w:ind w:firstLine="0"/>
              <w:jc w:val="center"/>
              <w:rPr>
                <w:rFonts w:eastAsia="宋体"/>
                <w:color w:val="000000"/>
                <w:kern w:val="0"/>
                <w:sz w:val="18"/>
                <w:szCs w:val="18"/>
              </w:rPr>
            </w:pPr>
            <w:r>
              <w:rPr>
                <w:rFonts w:eastAsia="宋体"/>
                <w:color w:val="000000"/>
                <w:kern w:val="0"/>
                <w:sz w:val="18"/>
                <w:szCs w:val="18"/>
              </w:rPr>
              <w:t>2020</w:t>
            </w:r>
          </w:p>
        </w:tc>
      </w:tr>
      <w:tr w:rsidR="004D2DD9" w14:paraId="641BC1FF" w14:textId="77777777">
        <w:trPr>
          <w:trHeight w:val="280"/>
        </w:trPr>
        <w:tc>
          <w:tcPr>
            <w:tcW w:w="2885" w:type="pct"/>
            <w:shd w:val="clear" w:color="auto" w:fill="auto"/>
            <w:noWrap/>
            <w:vAlign w:val="bottom"/>
          </w:tcPr>
          <w:p w14:paraId="75F14A76"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Reporting period</w:t>
            </w:r>
          </w:p>
        </w:tc>
        <w:tc>
          <w:tcPr>
            <w:tcW w:w="705" w:type="pct"/>
            <w:shd w:val="clear" w:color="auto" w:fill="auto"/>
            <w:noWrap/>
            <w:vAlign w:val="bottom"/>
          </w:tcPr>
          <w:p w14:paraId="44C27618"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annual report</w:t>
            </w:r>
          </w:p>
        </w:tc>
        <w:tc>
          <w:tcPr>
            <w:tcW w:w="705" w:type="pct"/>
            <w:shd w:val="clear" w:color="auto" w:fill="auto"/>
            <w:noWrap/>
            <w:vAlign w:val="bottom"/>
          </w:tcPr>
          <w:p w14:paraId="73395FD7"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annual report</w:t>
            </w:r>
          </w:p>
        </w:tc>
        <w:tc>
          <w:tcPr>
            <w:tcW w:w="705" w:type="pct"/>
            <w:shd w:val="clear" w:color="auto" w:fill="auto"/>
            <w:noWrap/>
            <w:vAlign w:val="bottom"/>
          </w:tcPr>
          <w:p w14:paraId="7B1EB53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annual report</w:t>
            </w:r>
          </w:p>
        </w:tc>
      </w:tr>
      <w:tr w:rsidR="004D2DD9" w14:paraId="13EB13A2" w14:textId="77777777">
        <w:trPr>
          <w:trHeight w:val="280"/>
        </w:trPr>
        <w:tc>
          <w:tcPr>
            <w:tcW w:w="2885" w:type="pct"/>
            <w:shd w:val="clear" w:color="auto" w:fill="auto"/>
            <w:noWrap/>
            <w:vAlign w:val="bottom"/>
          </w:tcPr>
          <w:p w14:paraId="17EE2F94"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Period span</w:t>
            </w:r>
          </w:p>
        </w:tc>
        <w:tc>
          <w:tcPr>
            <w:tcW w:w="705" w:type="pct"/>
            <w:shd w:val="clear" w:color="auto" w:fill="auto"/>
            <w:noWrap/>
            <w:vAlign w:val="bottom"/>
          </w:tcPr>
          <w:p w14:paraId="27A3EF5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12 months</w:t>
            </w:r>
          </w:p>
        </w:tc>
        <w:tc>
          <w:tcPr>
            <w:tcW w:w="705" w:type="pct"/>
            <w:shd w:val="clear" w:color="auto" w:fill="auto"/>
            <w:noWrap/>
            <w:vAlign w:val="bottom"/>
          </w:tcPr>
          <w:p w14:paraId="5722E89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12 months</w:t>
            </w:r>
          </w:p>
        </w:tc>
        <w:tc>
          <w:tcPr>
            <w:tcW w:w="705" w:type="pct"/>
            <w:shd w:val="clear" w:color="auto" w:fill="auto"/>
            <w:noWrap/>
            <w:vAlign w:val="bottom"/>
          </w:tcPr>
          <w:p w14:paraId="714234A8"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12 months</w:t>
            </w:r>
          </w:p>
        </w:tc>
      </w:tr>
      <w:tr w:rsidR="004D2DD9" w14:paraId="74D42DEC" w14:textId="77777777">
        <w:trPr>
          <w:trHeight w:val="280"/>
        </w:trPr>
        <w:tc>
          <w:tcPr>
            <w:tcW w:w="2885" w:type="pct"/>
            <w:shd w:val="clear" w:color="auto" w:fill="auto"/>
            <w:noWrap/>
            <w:vAlign w:val="bottom"/>
          </w:tcPr>
          <w:p w14:paraId="3C5CF868"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Data sources</w:t>
            </w:r>
          </w:p>
        </w:tc>
        <w:tc>
          <w:tcPr>
            <w:tcW w:w="705" w:type="pct"/>
            <w:shd w:val="clear" w:color="auto" w:fill="auto"/>
            <w:noWrap/>
            <w:vAlign w:val="bottom"/>
          </w:tcPr>
          <w:p w14:paraId="55B27D5B"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Consolidated reports</w:t>
            </w:r>
          </w:p>
        </w:tc>
        <w:tc>
          <w:tcPr>
            <w:tcW w:w="705" w:type="pct"/>
            <w:shd w:val="clear" w:color="auto" w:fill="auto"/>
            <w:noWrap/>
            <w:vAlign w:val="bottom"/>
          </w:tcPr>
          <w:p w14:paraId="3B7FE227"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Consolidated reports</w:t>
            </w:r>
          </w:p>
        </w:tc>
        <w:tc>
          <w:tcPr>
            <w:tcW w:w="705" w:type="pct"/>
            <w:shd w:val="clear" w:color="auto" w:fill="auto"/>
            <w:noWrap/>
            <w:vAlign w:val="bottom"/>
          </w:tcPr>
          <w:p w14:paraId="3413C0B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Consolidated reports</w:t>
            </w:r>
          </w:p>
        </w:tc>
      </w:tr>
      <w:tr w:rsidR="004D2DD9" w14:paraId="59E8DD86" w14:textId="77777777">
        <w:trPr>
          <w:trHeight w:val="280"/>
        </w:trPr>
        <w:tc>
          <w:tcPr>
            <w:tcW w:w="2885" w:type="pct"/>
            <w:shd w:val="clear" w:color="auto" w:fill="auto"/>
            <w:noWrap/>
            <w:vAlign w:val="bottom"/>
          </w:tcPr>
          <w:p w14:paraId="0AF2BEF5"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Income statement summary</w:t>
            </w:r>
          </w:p>
        </w:tc>
        <w:tc>
          <w:tcPr>
            <w:tcW w:w="705" w:type="pct"/>
            <w:shd w:val="clear" w:color="auto" w:fill="auto"/>
            <w:noWrap/>
            <w:vAlign w:val="bottom"/>
          </w:tcPr>
          <w:p w14:paraId="1D94792C"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63F9615A"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7118A7C3" w14:textId="77777777" w:rsidR="004D2DD9" w:rsidRDefault="004D2DD9">
            <w:pPr>
              <w:widowControl/>
              <w:spacing w:line="480" w:lineRule="auto"/>
              <w:ind w:firstLine="0"/>
              <w:jc w:val="left"/>
              <w:rPr>
                <w:rFonts w:eastAsia="宋体"/>
                <w:color w:val="000000"/>
                <w:kern w:val="0"/>
                <w:sz w:val="18"/>
                <w:szCs w:val="18"/>
              </w:rPr>
            </w:pPr>
          </w:p>
        </w:tc>
      </w:tr>
      <w:tr w:rsidR="004D2DD9" w14:paraId="51286A54" w14:textId="77777777">
        <w:trPr>
          <w:trHeight w:val="280"/>
        </w:trPr>
        <w:tc>
          <w:tcPr>
            <w:tcW w:w="2885" w:type="pct"/>
            <w:shd w:val="clear" w:color="auto" w:fill="auto"/>
            <w:noWrap/>
            <w:vAlign w:val="bottom"/>
          </w:tcPr>
          <w:p w14:paraId="558736EB"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Total operating income</w:t>
            </w:r>
          </w:p>
        </w:tc>
        <w:tc>
          <w:tcPr>
            <w:tcW w:w="705" w:type="pct"/>
            <w:shd w:val="clear" w:color="auto" w:fill="auto"/>
            <w:noWrap/>
            <w:vAlign w:val="bottom"/>
          </w:tcPr>
          <w:p w14:paraId="3F52BC06"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186,675.87</w:t>
            </w:r>
          </w:p>
        </w:tc>
        <w:tc>
          <w:tcPr>
            <w:tcW w:w="705" w:type="pct"/>
            <w:shd w:val="clear" w:color="auto" w:fill="auto"/>
            <w:noWrap/>
            <w:vAlign w:val="bottom"/>
          </w:tcPr>
          <w:p w14:paraId="6404062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179,794.22</w:t>
            </w:r>
          </w:p>
        </w:tc>
        <w:tc>
          <w:tcPr>
            <w:tcW w:w="705" w:type="pct"/>
            <w:shd w:val="clear" w:color="auto" w:fill="auto"/>
            <w:noWrap/>
            <w:vAlign w:val="bottom"/>
          </w:tcPr>
          <w:p w14:paraId="096DB79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196,646.22</w:t>
            </w:r>
          </w:p>
        </w:tc>
      </w:tr>
      <w:tr w:rsidR="004D2DD9" w14:paraId="3EB404D0" w14:textId="77777777">
        <w:trPr>
          <w:trHeight w:val="280"/>
        </w:trPr>
        <w:tc>
          <w:tcPr>
            <w:tcW w:w="2885" w:type="pct"/>
            <w:shd w:val="clear" w:color="auto" w:fill="auto"/>
            <w:noWrap/>
            <w:vAlign w:val="bottom"/>
          </w:tcPr>
          <w:p w14:paraId="1683EFE3"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YoY(%)</w:t>
            </w:r>
          </w:p>
        </w:tc>
        <w:tc>
          <w:tcPr>
            <w:tcW w:w="705" w:type="pct"/>
            <w:shd w:val="clear" w:color="auto" w:fill="auto"/>
            <w:noWrap/>
            <w:vAlign w:val="bottom"/>
          </w:tcPr>
          <w:p w14:paraId="5E9682F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9.85</w:t>
            </w:r>
          </w:p>
        </w:tc>
        <w:tc>
          <w:tcPr>
            <w:tcW w:w="705" w:type="pct"/>
            <w:shd w:val="clear" w:color="auto" w:fill="auto"/>
            <w:noWrap/>
            <w:vAlign w:val="bottom"/>
          </w:tcPr>
          <w:p w14:paraId="4F2C5EE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3.75</w:t>
            </w:r>
          </w:p>
        </w:tc>
        <w:tc>
          <w:tcPr>
            <w:tcW w:w="705" w:type="pct"/>
            <w:shd w:val="clear" w:color="auto" w:fill="auto"/>
            <w:noWrap/>
            <w:vAlign w:val="bottom"/>
          </w:tcPr>
          <w:p w14:paraId="7442B8A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0.10</w:t>
            </w:r>
          </w:p>
        </w:tc>
      </w:tr>
      <w:tr w:rsidR="004D2DD9" w14:paraId="63870628" w14:textId="77777777">
        <w:trPr>
          <w:trHeight w:val="280"/>
        </w:trPr>
        <w:tc>
          <w:tcPr>
            <w:tcW w:w="2885" w:type="pct"/>
            <w:shd w:val="clear" w:color="auto" w:fill="auto"/>
            <w:noWrap/>
            <w:vAlign w:val="bottom"/>
          </w:tcPr>
          <w:p w14:paraId="1B29877E"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Total operating expenses</w:t>
            </w:r>
          </w:p>
        </w:tc>
        <w:tc>
          <w:tcPr>
            <w:tcW w:w="705" w:type="pct"/>
            <w:shd w:val="clear" w:color="auto" w:fill="auto"/>
            <w:noWrap/>
            <w:vAlign w:val="bottom"/>
          </w:tcPr>
          <w:p w14:paraId="233F9DC7"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136,619.87</w:t>
            </w:r>
          </w:p>
        </w:tc>
        <w:tc>
          <w:tcPr>
            <w:tcW w:w="705" w:type="pct"/>
            <w:shd w:val="clear" w:color="auto" w:fill="auto"/>
            <w:noWrap/>
            <w:vAlign w:val="bottom"/>
          </w:tcPr>
          <w:p w14:paraId="5A94AD3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137,483.34</w:t>
            </w:r>
          </w:p>
        </w:tc>
        <w:tc>
          <w:tcPr>
            <w:tcW w:w="705" w:type="pct"/>
            <w:shd w:val="clear" w:color="auto" w:fill="auto"/>
            <w:noWrap/>
            <w:vAlign w:val="bottom"/>
          </w:tcPr>
          <w:p w14:paraId="14C4F8B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163,501.22</w:t>
            </w:r>
          </w:p>
        </w:tc>
      </w:tr>
      <w:tr w:rsidR="004D2DD9" w14:paraId="1A8AED59" w14:textId="77777777">
        <w:trPr>
          <w:trHeight w:val="280"/>
        </w:trPr>
        <w:tc>
          <w:tcPr>
            <w:tcW w:w="2885" w:type="pct"/>
            <w:shd w:val="clear" w:color="auto" w:fill="auto"/>
            <w:noWrap/>
            <w:vAlign w:val="bottom"/>
          </w:tcPr>
          <w:p w14:paraId="4E041FC5"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Operating profit</w:t>
            </w:r>
          </w:p>
        </w:tc>
        <w:tc>
          <w:tcPr>
            <w:tcW w:w="705" w:type="pct"/>
            <w:shd w:val="clear" w:color="auto" w:fill="auto"/>
            <w:noWrap/>
            <w:vAlign w:val="bottom"/>
          </w:tcPr>
          <w:p w14:paraId="0F43B058"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50,056.00</w:t>
            </w:r>
          </w:p>
        </w:tc>
        <w:tc>
          <w:tcPr>
            <w:tcW w:w="705" w:type="pct"/>
            <w:shd w:val="clear" w:color="auto" w:fill="auto"/>
            <w:noWrap/>
            <w:vAlign w:val="bottom"/>
          </w:tcPr>
          <w:p w14:paraId="32D0E966"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42,310.88</w:t>
            </w:r>
          </w:p>
        </w:tc>
        <w:tc>
          <w:tcPr>
            <w:tcW w:w="705" w:type="pct"/>
            <w:shd w:val="clear" w:color="auto" w:fill="auto"/>
            <w:noWrap/>
            <w:vAlign w:val="bottom"/>
          </w:tcPr>
          <w:p w14:paraId="1396C83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33,145.00</w:t>
            </w:r>
          </w:p>
        </w:tc>
      </w:tr>
      <w:tr w:rsidR="004D2DD9" w14:paraId="5A429E3A" w14:textId="77777777">
        <w:trPr>
          <w:trHeight w:val="280"/>
        </w:trPr>
        <w:tc>
          <w:tcPr>
            <w:tcW w:w="2885" w:type="pct"/>
            <w:shd w:val="clear" w:color="auto" w:fill="auto"/>
            <w:noWrap/>
            <w:vAlign w:val="bottom"/>
          </w:tcPr>
          <w:p w14:paraId="5EC0383C"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YoY(%)</w:t>
            </w:r>
          </w:p>
        </w:tc>
        <w:tc>
          <w:tcPr>
            <w:tcW w:w="705" w:type="pct"/>
            <w:shd w:val="clear" w:color="auto" w:fill="auto"/>
            <w:noWrap/>
            <w:vAlign w:val="bottom"/>
          </w:tcPr>
          <w:p w14:paraId="0F3A4BE3"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25.17</w:t>
            </w:r>
          </w:p>
        </w:tc>
        <w:tc>
          <w:tcPr>
            <w:tcW w:w="705" w:type="pct"/>
            <w:shd w:val="clear" w:color="auto" w:fill="auto"/>
            <w:noWrap/>
            <w:vAlign w:val="bottom"/>
          </w:tcPr>
          <w:p w14:paraId="4A7E012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44.85</w:t>
            </w:r>
          </w:p>
        </w:tc>
        <w:tc>
          <w:tcPr>
            <w:tcW w:w="705" w:type="pct"/>
            <w:shd w:val="clear" w:color="auto" w:fill="auto"/>
            <w:noWrap/>
            <w:vAlign w:val="bottom"/>
          </w:tcPr>
          <w:p w14:paraId="5EFE3BA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-18.81</w:t>
            </w:r>
          </w:p>
        </w:tc>
      </w:tr>
      <w:tr w:rsidR="004D2DD9" w14:paraId="474DABB8" w14:textId="77777777">
        <w:trPr>
          <w:trHeight w:val="280"/>
        </w:trPr>
        <w:tc>
          <w:tcPr>
            <w:tcW w:w="2885" w:type="pct"/>
            <w:shd w:val="clear" w:color="auto" w:fill="auto"/>
            <w:noWrap/>
            <w:vAlign w:val="bottom"/>
          </w:tcPr>
          <w:p w14:paraId="48BCF1E2"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Profit before tax</w:t>
            </w:r>
          </w:p>
        </w:tc>
        <w:tc>
          <w:tcPr>
            <w:tcW w:w="705" w:type="pct"/>
            <w:shd w:val="clear" w:color="auto" w:fill="auto"/>
            <w:noWrap/>
            <w:vAlign w:val="bottom"/>
          </w:tcPr>
          <w:p w14:paraId="13984AA3"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46,845.03</w:t>
            </w:r>
          </w:p>
        </w:tc>
        <w:tc>
          <w:tcPr>
            <w:tcW w:w="705" w:type="pct"/>
            <w:shd w:val="clear" w:color="auto" w:fill="auto"/>
            <w:noWrap/>
            <w:vAlign w:val="bottom"/>
          </w:tcPr>
          <w:p w14:paraId="5474196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23,462.74</w:t>
            </w:r>
          </w:p>
        </w:tc>
        <w:tc>
          <w:tcPr>
            <w:tcW w:w="705" w:type="pct"/>
            <w:shd w:val="clear" w:color="auto" w:fill="auto"/>
            <w:noWrap/>
            <w:vAlign w:val="bottom"/>
          </w:tcPr>
          <w:p w14:paraId="04FF0AC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22,742.90</w:t>
            </w:r>
          </w:p>
        </w:tc>
      </w:tr>
      <w:tr w:rsidR="004D2DD9" w14:paraId="1D56B0A1" w14:textId="77777777">
        <w:trPr>
          <w:trHeight w:val="280"/>
        </w:trPr>
        <w:tc>
          <w:tcPr>
            <w:tcW w:w="2885" w:type="pct"/>
            <w:shd w:val="clear" w:color="auto" w:fill="auto"/>
            <w:noWrap/>
            <w:vAlign w:val="bottom"/>
          </w:tcPr>
          <w:p w14:paraId="09C17E80"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YoY(%)</w:t>
            </w:r>
          </w:p>
        </w:tc>
        <w:tc>
          <w:tcPr>
            <w:tcW w:w="705" w:type="pct"/>
            <w:shd w:val="clear" w:color="auto" w:fill="auto"/>
            <w:noWrap/>
            <w:vAlign w:val="bottom"/>
          </w:tcPr>
          <w:p w14:paraId="5F1EA10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111.24</w:t>
            </w:r>
          </w:p>
        </w:tc>
        <w:tc>
          <w:tcPr>
            <w:tcW w:w="705" w:type="pct"/>
            <w:shd w:val="clear" w:color="auto" w:fill="auto"/>
            <w:noWrap/>
            <w:vAlign w:val="bottom"/>
          </w:tcPr>
          <w:p w14:paraId="35139F8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17.06</w:t>
            </w:r>
          </w:p>
        </w:tc>
        <w:tc>
          <w:tcPr>
            <w:tcW w:w="705" w:type="pct"/>
            <w:shd w:val="clear" w:color="auto" w:fill="auto"/>
            <w:noWrap/>
            <w:vAlign w:val="bottom"/>
          </w:tcPr>
          <w:p w14:paraId="4CDB8A5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-39.58</w:t>
            </w:r>
          </w:p>
        </w:tc>
      </w:tr>
      <w:tr w:rsidR="004D2DD9" w14:paraId="7037DD73" w14:textId="77777777">
        <w:trPr>
          <w:trHeight w:val="280"/>
        </w:trPr>
        <w:tc>
          <w:tcPr>
            <w:tcW w:w="2885" w:type="pct"/>
            <w:shd w:val="clear" w:color="auto" w:fill="auto"/>
            <w:noWrap/>
            <w:vAlign w:val="bottom"/>
          </w:tcPr>
          <w:p w14:paraId="21C2CA7C"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Net profit</w:t>
            </w:r>
          </w:p>
        </w:tc>
        <w:tc>
          <w:tcPr>
            <w:tcW w:w="705" w:type="pct"/>
            <w:shd w:val="clear" w:color="auto" w:fill="auto"/>
            <w:noWrap/>
            <w:vAlign w:val="bottom"/>
          </w:tcPr>
          <w:p w14:paraId="48DEC127"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34,157.62</w:t>
            </w:r>
          </w:p>
        </w:tc>
        <w:tc>
          <w:tcPr>
            <w:tcW w:w="705" w:type="pct"/>
            <w:shd w:val="clear" w:color="auto" w:fill="auto"/>
            <w:noWrap/>
            <w:vAlign w:val="bottom"/>
          </w:tcPr>
          <w:p w14:paraId="24A4C14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21,273.48</w:t>
            </w:r>
          </w:p>
        </w:tc>
        <w:tc>
          <w:tcPr>
            <w:tcW w:w="705" w:type="pct"/>
            <w:shd w:val="clear" w:color="auto" w:fill="auto"/>
            <w:noWrap/>
            <w:vAlign w:val="bottom"/>
          </w:tcPr>
          <w:p w14:paraId="5F98491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14,884.09</w:t>
            </w:r>
          </w:p>
        </w:tc>
      </w:tr>
      <w:tr w:rsidR="004D2DD9" w14:paraId="656E79D8" w14:textId="77777777">
        <w:trPr>
          <w:trHeight w:val="280"/>
        </w:trPr>
        <w:tc>
          <w:tcPr>
            <w:tcW w:w="2885" w:type="pct"/>
            <w:shd w:val="clear" w:color="auto" w:fill="auto"/>
            <w:noWrap/>
            <w:vAlign w:val="bottom"/>
          </w:tcPr>
          <w:p w14:paraId="2A378189"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YoY(%)</w:t>
            </w:r>
          </w:p>
        </w:tc>
        <w:tc>
          <w:tcPr>
            <w:tcW w:w="705" w:type="pct"/>
            <w:shd w:val="clear" w:color="auto" w:fill="auto"/>
            <w:noWrap/>
            <w:vAlign w:val="bottom"/>
          </w:tcPr>
          <w:p w14:paraId="2E7128E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69.88</w:t>
            </w:r>
          </w:p>
        </w:tc>
        <w:tc>
          <w:tcPr>
            <w:tcW w:w="705" w:type="pct"/>
            <w:shd w:val="clear" w:color="auto" w:fill="auto"/>
            <w:noWrap/>
            <w:vAlign w:val="bottom"/>
          </w:tcPr>
          <w:p w14:paraId="463A1DD9"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62.18</w:t>
            </w:r>
          </w:p>
        </w:tc>
        <w:tc>
          <w:tcPr>
            <w:tcW w:w="705" w:type="pct"/>
            <w:shd w:val="clear" w:color="auto" w:fill="auto"/>
            <w:noWrap/>
            <w:vAlign w:val="bottom"/>
          </w:tcPr>
          <w:p w14:paraId="3E97ED1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-41.83</w:t>
            </w:r>
          </w:p>
        </w:tc>
      </w:tr>
      <w:tr w:rsidR="004D2DD9" w14:paraId="3F16732A" w14:textId="77777777">
        <w:trPr>
          <w:trHeight w:val="280"/>
        </w:trPr>
        <w:tc>
          <w:tcPr>
            <w:tcW w:w="2885" w:type="pct"/>
            <w:shd w:val="clear" w:color="auto" w:fill="auto"/>
            <w:noWrap/>
            <w:vAlign w:val="bottom"/>
          </w:tcPr>
          <w:p w14:paraId="5A45370C"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Non-recurring profit and loss</w:t>
            </w:r>
          </w:p>
        </w:tc>
        <w:tc>
          <w:tcPr>
            <w:tcW w:w="705" w:type="pct"/>
            <w:shd w:val="clear" w:color="auto" w:fill="auto"/>
            <w:noWrap/>
            <w:vAlign w:val="bottom"/>
          </w:tcPr>
          <w:p w14:paraId="2C5DB08F"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214B38B1"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5DCA9080" w14:textId="77777777" w:rsidR="004D2DD9" w:rsidRDefault="004D2DD9">
            <w:pPr>
              <w:widowControl/>
              <w:spacing w:line="480" w:lineRule="auto"/>
              <w:ind w:firstLine="0"/>
              <w:jc w:val="left"/>
              <w:rPr>
                <w:rFonts w:eastAsia="宋体"/>
                <w:color w:val="000000"/>
                <w:kern w:val="0"/>
                <w:sz w:val="18"/>
                <w:szCs w:val="18"/>
              </w:rPr>
            </w:pPr>
          </w:p>
        </w:tc>
      </w:tr>
      <w:tr w:rsidR="004D2DD9" w14:paraId="0F0F320F" w14:textId="77777777">
        <w:trPr>
          <w:trHeight w:val="280"/>
        </w:trPr>
        <w:tc>
          <w:tcPr>
            <w:tcW w:w="2885" w:type="pct"/>
            <w:shd w:val="clear" w:color="auto" w:fill="auto"/>
            <w:noWrap/>
            <w:vAlign w:val="bottom"/>
          </w:tcPr>
          <w:p w14:paraId="5B4CE4FA"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Net profit attributable to shareholders of the parent company after deduction</w:t>
            </w:r>
          </w:p>
        </w:tc>
        <w:tc>
          <w:tcPr>
            <w:tcW w:w="705" w:type="pct"/>
            <w:shd w:val="clear" w:color="auto" w:fill="auto"/>
            <w:noWrap/>
            <w:vAlign w:val="bottom"/>
          </w:tcPr>
          <w:p w14:paraId="2FF9390B"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34,157.62</w:t>
            </w:r>
          </w:p>
        </w:tc>
        <w:tc>
          <w:tcPr>
            <w:tcW w:w="705" w:type="pct"/>
            <w:shd w:val="clear" w:color="auto" w:fill="auto"/>
            <w:noWrap/>
            <w:vAlign w:val="bottom"/>
          </w:tcPr>
          <w:p w14:paraId="070E15E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21,273.48</w:t>
            </w:r>
          </w:p>
        </w:tc>
        <w:tc>
          <w:tcPr>
            <w:tcW w:w="705" w:type="pct"/>
            <w:shd w:val="clear" w:color="auto" w:fill="auto"/>
            <w:noWrap/>
            <w:vAlign w:val="bottom"/>
          </w:tcPr>
          <w:p w14:paraId="426A9CD3"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14,884.09</w:t>
            </w:r>
          </w:p>
        </w:tc>
      </w:tr>
      <w:tr w:rsidR="004D2DD9" w14:paraId="69217396" w14:textId="77777777">
        <w:trPr>
          <w:trHeight w:val="280"/>
        </w:trPr>
        <w:tc>
          <w:tcPr>
            <w:tcW w:w="2885" w:type="pct"/>
            <w:shd w:val="clear" w:color="auto" w:fill="auto"/>
            <w:noWrap/>
            <w:vAlign w:val="bottom"/>
          </w:tcPr>
          <w:p w14:paraId="55001009"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YoY(%)</w:t>
            </w:r>
          </w:p>
        </w:tc>
        <w:tc>
          <w:tcPr>
            <w:tcW w:w="705" w:type="pct"/>
            <w:shd w:val="clear" w:color="auto" w:fill="auto"/>
            <w:noWrap/>
            <w:vAlign w:val="bottom"/>
          </w:tcPr>
          <w:p w14:paraId="7E741803"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69.88</w:t>
            </w:r>
          </w:p>
        </w:tc>
        <w:tc>
          <w:tcPr>
            <w:tcW w:w="705" w:type="pct"/>
            <w:shd w:val="clear" w:color="auto" w:fill="auto"/>
            <w:noWrap/>
            <w:vAlign w:val="bottom"/>
          </w:tcPr>
          <w:p w14:paraId="46CA16C3"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62.18</w:t>
            </w:r>
          </w:p>
        </w:tc>
        <w:tc>
          <w:tcPr>
            <w:tcW w:w="705" w:type="pct"/>
            <w:shd w:val="clear" w:color="auto" w:fill="auto"/>
            <w:noWrap/>
            <w:vAlign w:val="bottom"/>
          </w:tcPr>
          <w:p w14:paraId="51D8116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-41.83</w:t>
            </w:r>
          </w:p>
        </w:tc>
      </w:tr>
      <w:tr w:rsidR="004D2DD9" w14:paraId="58AF8AC8" w14:textId="77777777">
        <w:trPr>
          <w:trHeight w:val="280"/>
        </w:trPr>
        <w:tc>
          <w:tcPr>
            <w:tcW w:w="2885" w:type="pct"/>
            <w:shd w:val="clear" w:color="auto" w:fill="auto"/>
            <w:noWrap/>
            <w:vAlign w:val="bottom"/>
          </w:tcPr>
          <w:p w14:paraId="435C3E66"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R&amp;D spending</w:t>
            </w:r>
          </w:p>
        </w:tc>
        <w:tc>
          <w:tcPr>
            <w:tcW w:w="705" w:type="pct"/>
            <w:shd w:val="clear" w:color="auto" w:fill="auto"/>
            <w:noWrap/>
            <w:vAlign w:val="bottom"/>
          </w:tcPr>
          <w:p w14:paraId="44D2A107"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5F785871"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26E5CB28" w14:textId="77777777" w:rsidR="004D2DD9" w:rsidRDefault="004D2DD9">
            <w:pPr>
              <w:widowControl/>
              <w:spacing w:line="480" w:lineRule="auto"/>
              <w:ind w:firstLine="0"/>
              <w:jc w:val="left"/>
              <w:rPr>
                <w:rFonts w:eastAsia="宋体"/>
                <w:color w:val="000000"/>
                <w:kern w:val="0"/>
                <w:sz w:val="18"/>
                <w:szCs w:val="18"/>
              </w:rPr>
            </w:pPr>
          </w:p>
        </w:tc>
      </w:tr>
      <w:tr w:rsidR="004D2DD9" w14:paraId="698AF3AB" w14:textId="77777777">
        <w:trPr>
          <w:trHeight w:val="280"/>
        </w:trPr>
        <w:tc>
          <w:tcPr>
            <w:tcW w:w="2885" w:type="pct"/>
            <w:shd w:val="clear" w:color="auto" w:fill="auto"/>
            <w:noWrap/>
            <w:vAlign w:val="bottom"/>
          </w:tcPr>
          <w:p w14:paraId="616BFEE9"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EBIT</w:t>
            </w:r>
          </w:p>
        </w:tc>
        <w:tc>
          <w:tcPr>
            <w:tcW w:w="705" w:type="pct"/>
            <w:shd w:val="clear" w:color="auto" w:fill="auto"/>
            <w:noWrap/>
            <w:vAlign w:val="bottom"/>
          </w:tcPr>
          <w:p w14:paraId="071F0BD6"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46,445.53</w:t>
            </w:r>
          </w:p>
        </w:tc>
        <w:tc>
          <w:tcPr>
            <w:tcW w:w="705" w:type="pct"/>
            <w:shd w:val="clear" w:color="auto" w:fill="auto"/>
            <w:noWrap/>
            <w:vAlign w:val="bottom"/>
          </w:tcPr>
          <w:p w14:paraId="4D15C66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24,139.31</w:t>
            </w:r>
          </w:p>
        </w:tc>
        <w:tc>
          <w:tcPr>
            <w:tcW w:w="705" w:type="pct"/>
            <w:shd w:val="clear" w:color="auto" w:fill="auto"/>
            <w:noWrap/>
            <w:vAlign w:val="bottom"/>
          </w:tcPr>
          <w:p w14:paraId="5768C64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23,155.18</w:t>
            </w:r>
          </w:p>
        </w:tc>
      </w:tr>
      <w:tr w:rsidR="004D2DD9" w14:paraId="791004A3" w14:textId="77777777">
        <w:trPr>
          <w:trHeight w:val="280"/>
        </w:trPr>
        <w:tc>
          <w:tcPr>
            <w:tcW w:w="2885" w:type="pct"/>
            <w:shd w:val="clear" w:color="auto" w:fill="auto"/>
            <w:noWrap/>
            <w:vAlign w:val="bottom"/>
          </w:tcPr>
          <w:p w14:paraId="12B2E694"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EBITDA</w:t>
            </w:r>
          </w:p>
        </w:tc>
        <w:tc>
          <w:tcPr>
            <w:tcW w:w="705" w:type="pct"/>
            <w:shd w:val="clear" w:color="auto" w:fill="auto"/>
            <w:noWrap/>
            <w:vAlign w:val="bottom"/>
          </w:tcPr>
          <w:p w14:paraId="74446E1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57,622.20</w:t>
            </w:r>
          </w:p>
        </w:tc>
        <w:tc>
          <w:tcPr>
            <w:tcW w:w="705" w:type="pct"/>
            <w:shd w:val="clear" w:color="auto" w:fill="auto"/>
            <w:noWrap/>
            <w:vAlign w:val="bottom"/>
          </w:tcPr>
          <w:p w14:paraId="0041512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36,781.67</w:t>
            </w:r>
          </w:p>
        </w:tc>
        <w:tc>
          <w:tcPr>
            <w:tcW w:w="705" w:type="pct"/>
            <w:shd w:val="clear" w:color="auto" w:fill="auto"/>
            <w:noWrap/>
            <w:vAlign w:val="bottom"/>
          </w:tcPr>
          <w:p w14:paraId="64D2764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43,047.27</w:t>
            </w:r>
          </w:p>
        </w:tc>
      </w:tr>
      <w:tr w:rsidR="004D2DD9" w14:paraId="7156948B" w14:textId="77777777">
        <w:trPr>
          <w:trHeight w:val="280"/>
        </w:trPr>
        <w:tc>
          <w:tcPr>
            <w:tcW w:w="2885" w:type="pct"/>
            <w:shd w:val="clear" w:color="auto" w:fill="auto"/>
            <w:noWrap/>
            <w:vAlign w:val="bottom"/>
          </w:tcPr>
          <w:p w14:paraId="768EEC0E"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Summary of Income Statement (NON-GAAP)</w:t>
            </w:r>
          </w:p>
        </w:tc>
        <w:tc>
          <w:tcPr>
            <w:tcW w:w="705" w:type="pct"/>
            <w:shd w:val="clear" w:color="auto" w:fill="auto"/>
            <w:noWrap/>
            <w:vAlign w:val="bottom"/>
          </w:tcPr>
          <w:p w14:paraId="6402C540"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5956254E"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58E2013E" w14:textId="77777777" w:rsidR="004D2DD9" w:rsidRDefault="004D2DD9">
            <w:pPr>
              <w:widowControl/>
              <w:spacing w:line="480" w:lineRule="auto"/>
              <w:ind w:firstLine="0"/>
              <w:jc w:val="left"/>
              <w:rPr>
                <w:rFonts w:eastAsia="宋体"/>
                <w:color w:val="000000"/>
                <w:kern w:val="0"/>
                <w:sz w:val="18"/>
                <w:szCs w:val="18"/>
              </w:rPr>
            </w:pPr>
          </w:p>
        </w:tc>
      </w:tr>
      <w:tr w:rsidR="004D2DD9" w14:paraId="48838C8E" w14:textId="77777777">
        <w:trPr>
          <w:trHeight w:val="280"/>
        </w:trPr>
        <w:tc>
          <w:tcPr>
            <w:tcW w:w="2885" w:type="pct"/>
            <w:shd w:val="clear" w:color="auto" w:fill="auto"/>
            <w:noWrap/>
            <w:vAlign w:val="bottom"/>
          </w:tcPr>
          <w:p w14:paraId="218D7D5A"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Net income (NON-GAAP)</w:t>
            </w:r>
          </w:p>
        </w:tc>
        <w:tc>
          <w:tcPr>
            <w:tcW w:w="705" w:type="pct"/>
            <w:shd w:val="clear" w:color="auto" w:fill="auto"/>
            <w:noWrap/>
            <w:vAlign w:val="bottom"/>
          </w:tcPr>
          <w:p w14:paraId="4C0EAC0D"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69EB5E10"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058488DF" w14:textId="77777777" w:rsidR="004D2DD9" w:rsidRDefault="004D2DD9">
            <w:pPr>
              <w:widowControl/>
              <w:spacing w:line="480" w:lineRule="auto"/>
              <w:ind w:firstLine="0"/>
              <w:jc w:val="left"/>
              <w:rPr>
                <w:rFonts w:eastAsia="宋体"/>
                <w:color w:val="000000"/>
                <w:kern w:val="0"/>
                <w:sz w:val="18"/>
                <w:szCs w:val="18"/>
              </w:rPr>
            </w:pPr>
          </w:p>
        </w:tc>
      </w:tr>
      <w:tr w:rsidR="004D2DD9" w14:paraId="00C141EF" w14:textId="77777777">
        <w:trPr>
          <w:trHeight w:val="280"/>
        </w:trPr>
        <w:tc>
          <w:tcPr>
            <w:tcW w:w="2885" w:type="pct"/>
            <w:shd w:val="clear" w:color="auto" w:fill="auto"/>
            <w:noWrap/>
            <w:vAlign w:val="bottom"/>
          </w:tcPr>
          <w:p w14:paraId="79B4109A"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Diluted earnings per share (NON-GAAP)</w:t>
            </w:r>
          </w:p>
        </w:tc>
        <w:tc>
          <w:tcPr>
            <w:tcW w:w="705" w:type="pct"/>
            <w:shd w:val="clear" w:color="auto" w:fill="auto"/>
            <w:noWrap/>
            <w:vAlign w:val="bottom"/>
          </w:tcPr>
          <w:p w14:paraId="0BEDEF2A"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41FCE49E"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1DDB4A62" w14:textId="77777777" w:rsidR="004D2DD9" w:rsidRDefault="004D2DD9">
            <w:pPr>
              <w:widowControl/>
              <w:spacing w:line="480" w:lineRule="auto"/>
              <w:ind w:firstLine="0"/>
              <w:jc w:val="left"/>
              <w:rPr>
                <w:rFonts w:eastAsia="宋体"/>
                <w:color w:val="000000"/>
                <w:kern w:val="0"/>
                <w:sz w:val="18"/>
                <w:szCs w:val="18"/>
              </w:rPr>
            </w:pPr>
          </w:p>
        </w:tc>
      </w:tr>
      <w:tr w:rsidR="004D2DD9" w14:paraId="450E8C9A" w14:textId="77777777">
        <w:trPr>
          <w:trHeight w:val="280"/>
        </w:trPr>
        <w:tc>
          <w:tcPr>
            <w:tcW w:w="2885" w:type="pct"/>
            <w:shd w:val="clear" w:color="auto" w:fill="auto"/>
            <w:noWrap/>
            <w:vAlign w:val="bottom"/>
          </w:tcPr>
          <w:p w14:paraId="110B275F"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Balance sheet summary</w:t>
            </w:r>
          </w:p>
        </w:tc>
        <w:tc>
          <w:tcPr>
            <w:tcW w:w="705" w:type="pct"/>
            <w:shd w:val="clear" w:color="auto" w:fill="auto"/>
            <w:noWrap/>
            <w:vAlign w:val="bottom"/>
          </w:tcPr>
          <w:p w14:paraId="73F22E2B"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2CE217FA"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78BEA6B6" w14:textId="77777777" w:rsidR="004D2DD9" w:rsidRDefault="004D2DD9">
            <w:pPr>
              <w:widowControl/>
              <w:spacing w:line="480" w:lineRule="auto"/>
              <w:ind w:firstLine="0"/>
              <w:jc w:val="left"/>
              <w:rPr>
                <w:rFonts w:eastAsia="宋体"/>
                <w:color w:val="000000"/>
                <w:kern w:val="0"/>
                <w:sz w:val="18"/>
                <w:szCs w:val="18"/>
              </w:rPr>
            </w:pPr>
          </w:p>
        </w:tc>
      </w:tr>
      <w:tr w:rsidR="004D2DD9" w14:paraId="015E918F" w14:textId="77777777">
        <w:trPr>
          <w:trHeight w:val="280"/>
        </w:trPr>
        <w:tc>
          <w:tcPr>
            <w:tcW w:w="2885" w:type="pct"/>
            <w:shd w:val="clear" w:color="auto" w:fill="auto"/>
            <w:noWrap/>
            <w:vAlign w:val="bottom"/>
          </w:tcPr>
          <w:p w14:paraId="5A34CCC8"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liquid asset</w:t>
            </w:r>
          </w:p>
        </w:tc>
        <w:tc>
          <w:tcPr>
            <w:tcW w:w="705" w:type="pct"/>
            <w:shd w:val="clear" w:color="auto" w:fill="auto"/>
            <w:noWrap/>
            <w:vAlign w:val="bottom"/>
          </w:tcPr>
          <w:p w14:paraId="36A0F08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186,740.69</w:t>
            </w:r>
          </w:p>
        </w:tc>
        <w:tc>
          <w:tcPr>
            <w:tcW w:w="705" w:type="pct"/>
            <w:shd w:val="clear" w:color="auto" w:fill="auto"/>
            <w:noWrap/>
            <w:vAlign w:val="bottom"/>
          </w:tcPr>
          <w:p w14:paraId="5737EC5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175,854.20</w:t>
            </w:r>
          </w:p>
        </w:tc>
        <w:tc>
          <w:tcPr>
            <w:tcW w:w="705" w:type="pct"/>
            <w:shd w:val="clear" w:color="auto" w:fill="auto"/>
            <w:noWrap/>
            <w:vAlign w:val="bottom"/>
          </w:tcPr>
          <w:p w14:paraId="1771BCA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140,477.72</w:t>
            </w:r>
          </w:p>
        </w:tc>
      </w:tr>
      <w:tr w:rsidR="004D2DD9" w14:paraId="0EA7A518" w14:textId="77777777">
        <w:trPr>
          <w:trHeight w:val="280"/>
        </w:trPr>
        <w:tc>
          <w:tcPr>
            <w:tcW w:w="2885" w:type="pct"/>
            <w:shd w:val="clear" w:color="auto" w:fill="auto"/>
            <w:noWrap/>
            <w:vAlign w:val="bottom"/>
          </w:tcPr>
          <w:p w14:paraId="2402D459"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fixed asset</w:t>
            </w:r>
          </w:p>
        </w:tc>
        <w:tc>
          <w:tcPr>
            <w:tcW w:w="705" w:type="pct"/>
            <w:shd w:val="clear" w:color="auto" w:fill="auto"/>
            <w:noWrap/>
            <w:vAlign w:val="bottom"/>
          </w:tcPr>
          <w:p w14:paraId="1B99130E"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5A7CD252"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019D67E6" w14:textId="77777777" w:rsidR="004D2DD9" w:rsidRDefault="004D2DD9">
            <w:pPr>
              <w:widowControl/>
              <w:spacing w:line="480" w:lineRule="auto"/>
              <w:ind w:firstLine="0"/>
              <w:jc w:val="left"/>
              <w:rPr>
                <w:rFonts w:eastAsia="宋体"/>
                <w:color w:val="000000"/>
                <w:kern w:val="0"/>
                <w:sz w:val="18"/>
                <w:szCs w:val="18"/>
              </w:rPr>
            </w:pPr>
          </w:p>
        </w:tc>
      </w:tr>
      <w:tr w:rsidR="004D2DD9" w14:paraId="5D8924C9" w14:textId="77777777">
        <w:trPr>
          <w:trHeight w:val="280"/>
        </w:trPr>
        <w:tc>
          <w:tcPr>
            <w:tcW w:w="2885" w:type="pct"/>
            <w:shd w:val="clear" w:color="auto" w:fill="auto"/>
            <w:noWrap/>
            <w:vAlign w:val="bottom"/>
          </w:tcPr>
          <w:p w14:paraId="50754896"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Equity investments</w:t>
            </w:r>
          </w:p>
        </w:tc>
        <w:tc>
          <w:tcPr>
            <w:tcW w:w="705" w:type="pct"/>
            <w:shd w:val="clear" w:color="auto" w:fill="auto"/>
            <w:noWrap/>
            <w:vAlign w:val="bottom"/>
          </w:tcPr>
          <w:p w14:paraId="3E6E70A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1,968.83</w:t>
            </w:r>
          </w:p>
        </w:tc>
        <w:tc>
          <w:tcPr>
            <w:tcW w:w="705" w:type="pct"/>
            <w:shd w:val="clear" w:color="auto" w:fill="auto"/>
            <w:noWrap/>
            <w:vAlign w:val="bottom"/>
          </w:tcPr>
          <w:p w14:paraId="2DE59EA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2,062.66</w:t>
            </w:r>
          </w:p>
        </w:tc>
        <w:tc>
          <w:tcPr>
            <w:tcW w:w="705" w:type="pct"/>
            <w:shd w:val="clear" w:color="auto" w:fill="auto"/>
            <w:noWrap/>
            <w:vAlign w:val="bottom"/>
          </w:tcPr>
          <w:p w14:paraId="5D032AA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2,340.51</w:t>
            </w:r>
          </w:p>
        </w:tc>
      </w:tr>
      <w:tr w:rsidR="004D2DD9" w14:paraId="3D064202" w14:textId="77777777">
        <w:trPr>
          <w:trHeight w:val="280"/>
        </w:trPr>
        <w:tc>
          <w:tcPr>
            <w:tcW w:w="2885" w:type="pct"/>
            <w:shd w:val="clear" w:color="auto" w:fill="auto"/>
            <w:noWrap/>
            <w:vAlign w:val="bottom"/>
          </w:tcPr>
          <w:p w14:paraId="7155091C"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lastRenderedPageBreak/>
              <w:t xml:space="preserve">            Total assets</w:t>
            </w:r>
          </w:p>
        </w:tc>
        <w:tc>
          <w:tcPr>
            <w:tcW w:w="705" w:type="pct"/>
            <w:shd w:val="clear" w:color="auto" w:fill="auto"/>
            <w:noWrap/>
            <w:vAlign w:val="bottom"/>
          </w:tcPr>
          <w:p w14:paraId="664B6C0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329,455.91</w:t>
            </w:r>
          </w:p>
        </w:tc>
        <w:tc>
          <w:tcPr>
            <w:tcW w:w="705" w:type="pct"/>
            <w:shd w:val="clear" w:color="auto" w:fill="auto"/>
            <w:noWrap/>
            <w:vAlign w:val="bottom"/>
          </w:tcPr>
          <w:p w14:paraId="767D631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322,459.26</w:t>
            </w:r>
          </w:p>
        </w:tc>
        <w:tc>
          <w:tcPr>
            <w:tcW w:w="705" w:type="pct"/>
            <w:shd w:val="clear" w:color="auto" w:fill="auto"/>
            <w:noWrap/>
            <w:vAlign w:val="bottom"/>
          </w:tcPr>
          <w:p w14:paraId="434EB1C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313,614.84</w:t>
            </w:r>
          </w:p>
        </w:tc>
      </w:tr>
      <w:tr w:rsidR="004D2DD9" w14:paraId="429AD237" w14:textId="77777777">
        <w:trPr>
          <w:trHeight w:val="280"/>
        </w:trPr>
        <w:tc>
          <w:tcPr>
            <w:tcW w:w="2885" w:type="pct"/>
            <w:shd w:val="clear" w:color="auto" w:fill="auto"/>
            <w:noWrap/>
            <w:vAlign w:val="bottom"/>
          </w:tcPr>
          <w:p w14:paraId="341F1B19"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Current liabilities</w:t>
            </w:r>
          </w:p>
        </w:tc>
        <w:tc>
          <w:tcPr>
            <w:tcW w:w="705" w:type="pct"/>
            <w:shd w:val="clear" w:color="auto" w:fill="auto"/>
            <w:noWrap/>
            <w:vAlign w:val="bottom"/>
          </w:tcPr>
          <w:p w14:paraId="285F55C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51,472.01</w:t>
            </w:r>
          </w:p>
        </w:tc>
        <w:tc>
          <w:tcPr>
            <w:tcW w:w="705" w:type="pct"/>
            <w:shd w:val="clear" w:color="auto" w:fill="auto"/>
            <w:noWrap/>
            <w:vAlign w:val="bottom"/>
          </w:tcPr>
          <w:p w14:paraId="6C6AF9B3"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52,661.11</w:t>
            </w:r>
          </w:p>
        </w:tc>
        <w:tc>
          <w:tcPr>
            <w:tcW w:w="705" w:type="pct"/>
            <w:shd w:val="clear" w:color="auto" w:fill="auto"/>
            <w:noWrap/>
            <w:vAlign w:val="bottom"/>
          </w:tcPr>
          <w:p w14:paraId="5EFA47A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72,404.66</w:t>
            </w:r>
          </w:p>
        </w:tc>
      </w:tr>
      <w:tr w:rsidR="004D2DD9" w14:paraId="475B47AE" w14:textId="77777777">
        <w:trPr>
          <w:trHeight w:val="280"/>
        </w:trPr>
        <w:tc>
          <w:tcPr>
            <w:tcW w:w="2885" w:type="pct"/>
            <w:shd w:val="clear" w:color="auto" w:fill="auto"/>
            <w:noWrap/>
            <w:vAlign w:val="bottom"/>
          </w:tcPr>
          <w:p w14:paraId="487F62F1"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Non-current liabilities</w:t>
            </w:r>
          </w:p>
        </w:tc>
        <w:tc>
          <w:tcPr>
            <w:tcW w:w="705" w:type="pct"/>
            <w:shd w:val="clear" w:color="auto" w:fill="auto"/>
            <w:noWrap/>
            <w:vAlign w:val="bottom"/>
          </w:tcPr>
          <w:p w14:paraId="5A03A50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61,046.94</w:t>
            </w:r>
          </w:p>
        </w:tc>
        <w:tc>
          <w:tcPr>
            <w:tcW w:w="705" w:type="pct"/>
            <w:shd w:val="clear" w:color="auto" w:fill="auto"/>
            <w:noWrap/>
            <w:vAlign w:val="bottom"/>
          </w:tcPr>
          <w:p w14:paraId="58DE991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72,274.83</w:t>
            </w:r>
          </w:p>
        </w:tc>
        <w:tc>
          <w:tcPr>
            <w:tcW w:w="705" w:type="pct"/>
            <w:shd w:val="clear" w:color="auto" w:fill="auto"/>
            <w:noWrap/>
            <w:vAlign w:val="bottom"/>
          </w:tcPr>
          <w:p w14:paraId="6EA4E7B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39,974.98</w:t>
            </w:r>
          </w:p>
        </w:tc>
      </w:tr>
      <w:tr w:rsidR="004D2DD9" w14:paraId="310E7216" w14:textId="77777777">
        <w:trPr>
          <w:trHeight w:val="280"/>
        </w:trPr>
        <w:tc>
          <w:tcPr>
            <w:tcW w:w="2885" w:type="pct"/>
            <w:shd w:val="clear" w:color="auto" w:fill="auto"/>
            <w:noWrap/>
            <w:vAlign w:val="bottom"/>
          </w:tcPr>
          <w:p w14:paraId="13D9A82B"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Total liabilities</w:t>
            </w:r>
          </w:p>
        </w:tc>
        <w:tc>
          <w:tcPr>
            <w:tcW w:w="705" w:type="pct"/>
            <w:shd w:val="clear" w:color="auto" w:fill="auto"/>
            <w:noWrap/>
            <w:vAlign w:val="bottom"/>
          </w:tcPr>
          <w:p w14:paraId="201537D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112,518.95</w:t>
            </w:r>
          </w:p>
        </w:tc>
        <w:tc>
          <w:tcPr>
            <w:tcW w:w="705" w:type="pct"/>
            <w:shd w:val="clear" w:color="auto" w:fill="auto"/>
            <w:noWrap/>
            <w:vAlign w:val="bottom"/>
          </w:tcPr>
          <w:p w14:paraId="690AF74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124,935.93</w:t>
            </w:r>
          </w:p>
        </w:tc>
        <w:tc>
          <w:tcPr>
            <w:tcW w:w="705" w:type="pct"/>
            <w:shd w:val="clear" w:color="auto" w:fill="auto"/>
            <w:noWrap/>
            <w:vAlign w:val="bottom"/>
          </w:tcPr>
          <w:p w14:paraId="64BC90D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112,379.64</w:t>
            </w:r>
          </w:p>
        </w:tc>
      </w:tr>
      <w:tr w:rsidR="004D2DD9" w14:paraId="49FE963C" w14:textId="77777777">
        <w:trPr>
          <w:trHeight w:val="280"/>
        </w:trPr>
        <w:tc>
          <w:tcPr>
            <w:tcW w:w="2885" w:type="pct"/>
            <w:shd w:val="clear" w:color="auto" w:fill="auto"/>
            <w:noWrap/>
            <w:vAlign w:val="bottom"/>
          </w:tcPr>
          <w:p w14:paraId="123B7CE1"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Total shareholders' equity</w:t>
            </w:r>
          </w:p>
        </w:tc>
        <w:tc>
          <w:tcPr>
            <w:tcW w:w="705" w:type="pct"/>
            <w:shd w:val="clear" w:color="auto" w:fill="auto"/>
            <w:noWrap/>
            <w:vAlign w:val="bottom"/>
          </w:tcPr>
          <w:p w14:paraId="0F3270C6"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216,936.95</w:t>
            </w:r>
          </w:p>
        </w:tc>
        <w:tc>
          <w:tcPr>
            <w:tcW w:w="705" w:type="pct"/>
            <w:shd w:val="clear" w:color="auto" w:fill="auto"/>
            <w:noWrap/>
            <w:vAlign w:val="bottom"/>
          </w:tcPr>
          <w:p w14:paraId="1D1D15C7"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197,523.33</w:t>
            </w:r>
          </w:p>
        </w:tc>
        <w:tc>
          <w:tcPr>
            <w:tcW w:w="705" w:type="pct"/>
            <w:shd w:val="clear" w:color="auto" w:fill="auto"/>
            <w:noWrap/>
            <w:vAlign w:val="bottom"/>
          </w:tcPr>
          <w:p w14:paraId="7FD92F7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201,235.20</w:t>
            </w:r>
          </w:p>
        </w:tc>
      </w:tr>
      <w:tr w:rsidR="004D2DD9" w14:paraId="0A89A224" w14:textId="77777777">
        <w:trPr>
          <w:trHeight w:val="280"/>
        </w:trPr>
        <w:tc>
          <w:tcPr>
            <w:tcW w:w="2885" w:type="pct"/>
            <w:shd w:val="clear" w:color="auto" w:fill="auto"/>
            <w:noWrap/>
            <w:vAlign w:val="bottom"/>
          </w:tcPr>
          <w:p w14:paraId="46D66A04"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Vesting in shareholders' equity of the parent company</w:t>
            </w:r>
          </w:p>
        </w:tc>
        <w:tc>
          <w:tcPr>
            <w:tcW w:w="705" w:type="pct"/>
            <w:shd w:val="clear" w:color="auto" w:fill="auto"/>
            <w:noWrap/>
            <w:vAlign w:val="bottom"/>
          </w:tcPr>
          <w:p w14:paraId="2AADFCB6"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216,927.61</w:t>
            </w:r>
          </w:p>
        </w:tc>
        <w:tc>
          <w:tcPr>
            <w:tcW w:w="705" w:type="pct"/>
            <w:shd w:val="clear" w:color="auto" w:fill="auto"/>
            <w:noWrap/>
            <w:vAlign w:val="bottom"/>
          </w:tcPr>
          <w:p w14:paraId="6FC4A31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196,985.90</w:t>
            </w:r>
          </w:p>
        </w:tc>
        <w:tc>
          <w:tcPr>
            <w:tcW w:w="705" w:type="pct"/>
            <w:shd w:val="clear" w:color="auto" w:fill="auto"/>
            <w:noWrap/>
            <w:vAlign w:val="bottom"/>
          </w:tcPr>
          <w:p w14:paraId="65B276E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200,635.11</w:t>
            </w:r>
          </w:p>
        </w:tc>
      </w:tr>
      <w:tr w:rsidR="004D2DD9" w14:paraId="54692EA7" w14:textId="77777777">
        <w:trPr>
          <w:trHeight w:val="280"/>
        </w:trPr>
        <w:tc>
          <w:tcPr>
            <w:tcW w:w="2885" w:type="pct"/>
            <w:shd w:val="clear" w:color="auto" w:fill="auto"/>
            <w:noWrap/>
            <w:vAlign w:val="bottom"/>
          </w:tcPr>
          <w:p w14:paraId="5D1E0775"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Summary of the cash flow statement</w:t>
            </w:r>
          </w:p>
        </w:tc>
        <w:tc>
          <w:tcPr>
            <w:tcW w:w="705" w:type="pct"/>
            <w:shd w:val="clear" w:color="auto" w:fill="auto"/>
            <w:noWrap/>
            <w:vAlign w:val="bottom"/>
          </w:tcPr>
          <w:p w14:paraId="6410FF2D"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7B1A3BDC"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387750F2" w14:textId="77777777" w:rsidR="004D2DD9" w:rsidRDefault="004D2DD9">
            <w:pPr>
              <w:widowControl/>
              <w:spacing w:line="480" w:lineRule="auto"/>
              <w:ind w:firstLine="0"/>
              <w:jc w:val="left"/>
              <w:rPr>
                <w:rFonts w:eastAsia="宋体"/>
                <w:color w:val="000000"/>
                <w:kern w:val="0"/>
                <w:sz w:val="18"/>
                <w:szCs w:val="18"/>
              </w:rPr>
            </w:pPr>
          </w:p>
        </w:tc>
      </w:tr>
      <w:tr w:rsidR="004D2DD9" w14:paraId="3F4E2F8F" w14:textId="77777777">
        <w:trPr>
          <w:trHeight w:val="280"/>
        </w:trPr>
        <w:tc>
          <w:tcPr>
            <w:tcW w:w="2885" w:type="pct"/>
            <w:shd w:val="clear" w:color="auto" w:fill="auto"/>
            <w:noWrap/>
            <w:vAlign w:val="bottom"/>
          </w:tcPr>
          <w:p w14:paraId="622F953B"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Cash flow from operating activities</w:t>
            </w:r>
          </w:p>
        </w:tc>
        <w:tc>
          <w:tcPr>
            <w:tcW w:w="705" w:type="pct"/>
            <w:shd w:val="clear" w:color="auto" w:fill="auto"/>
            <w:noWrap/>
            <w:vAlign w:val="bottom"/>
          </w:tcPr>
          <w:p w14:paraId="567CED19"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60,169.41</w:t>
            </w:r>
          </w:p>
        </w:tc>
        <w:tc>
          <w:tcPr>
            <w:tcW w:w="705" w:type="pct"/>
            <w:shd w:val="clear" w:color="auto" w:fill="auto"/>
            <w:noWrap/>
            <w:vAlign w:val="bottom"/>
          </w:tcPr>
          <w:p w14:paraId="11A0AAC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46,007.58</w:t>
            </w:r>
          </w:p>
        </w:tc>
        <w:tc>
          <w:tcPr>
            <w:tcW w:w="705" w:type="pct"/>
            <w:shd w:val="clear" w:color="auto" w:fill="auto"/>
            <w:noWrap/>
            <w:vAlign w:val="bottom"/>
          </w:tcPr>
          <w:p w14:paraId="5BC568B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38,284.69</w:t>
            </w:r>
          </w:p>
        </w:tc>
      </w:tr>
      <w:tr w:rsidR="004D2DD9" w14:paraId="4A356E12" w14:textId="77777777">
        <w:trPr>
          <w:trHeight w:val="280"/>
        </w:trPr>
        <w:tc>
          <w:tcPr>
            <w:tcW w:w="2885" w:type="pct"/>
            <w:shd w:val="clear" w:color="auto" w:fill="auto"/>
            <w:noWrap/>
            <w:vAlign w:val="bottom"/>
          </w:tcPr>
          <w:p w14:paraId="358351F3"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Cash flow from investing activities</w:t>
            </w:r>
          </w:p>
        </w:tc>
        <w:tc>
          <w:tcPr>
            <w:tcW w:w="705" w:type="pct"/>
            <w:shd w:val="clear" w:color="auto" w:fill="auto"/>
            <w:noWrap/>
            <w:vAlign w:val="bottom"/>
          </w:tcPr>
          <w:p w14:paraId="09EB985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-14,330.29</w:t>
            </w:r>
          </w:p>
        </w:tc>
        <w:tc>
          <w:tcPr>
            <w:tcW w:w="705" w:type="pct"/>
            <w:shd w:val="clear" w:color="auto" w:fill="auto"/>
            <w:noWrap/>
            <w:vAlign w:val="bottom"/>
          </w:tcPr>
          <w:p w14:paraId="2E3F286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-14,778.87</w:t>
            </w:r>
          </w:p>
        </w:tc>
        <w:tc>
          <w:tcPr>
            <w:tcW w:w="705" w:type="pct"/>
            <w:shd w:val="clear" w:color="auto" w:fill="auto"/>
            <w:noWrap/>
            <w:vAlign w:val="bottom"/>
          </w:tcPr>
          <w:p w14:paraId="47FCD99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-46,501.17</w:t>
            </w:r>
          </w:p>
        </w:tc>
      </w:tr>
      <w:tr w:rsidR="004D2DD9" w14:paraId="2C4DC341" w14:textId="77777777">
        <w:trPr>
          <w:trHeight w:val="280"/>
        </w:trPr>
        <w:tc>
          <w:tcPr>
            <w:tcW w:w="2885" w:type="pct"/>
            <w:shd w:val="clear" w:color="auto" w:fill="auto"/>
            <w:noWrap/>
            <w:vAlign w:val="bottom"/>
          </w:tcPr>
          <w:p w14:paraId="7ECC830D"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Cash flow from fund-raising activities</w:t>
            </w:r>
          </w:p>
        </w:tc>
        <w:tc>
          <w:tcPr>
            <w:tcW w:w="705" w:type="pct"/>
            <w:shd w:val="clear" w:color="auto" w:fill="auto"/>
            <w:noWrap/>
            <w:vAlign w:val="bottom"/>
          </w:tcPr>
          <w:p w14:paraId="06CC73C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-17,396.66</w:t>
            </w:r>
          </w:p>
        </w:tc>
        <w:tc>
          <w:tcPr>
            <w:tcW w:w="705" w:type="pct"/>
            <w:shd w:val="clear" w:color="auto" w:fill="auto"/>
            <w:noWrap/>
            <w:vAlign w:val="bottom"/>
          </w:tcPr>
          <w:p w14:paraId="6C81411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14,788.10</w:t>
            </w:r>
          </w:p>
        </w:tc>
        <w:tc>
          <w:tcPr>
            <w:tcW w:w="705" w:type="pct"/>
            <w:shd w:val="clear" w:color="auto" w:fill="auto"/>
            <w:noWrap/>
            <w:vAlign w:val="bottom"/>
          </w:tcPr>
          <w:p w14:paraId="35AC413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-11,873.90</w:t>
            </w:r>
          </w:p>
        </w:tc>
      </w:tr>
      <w:tr w:rsidR="004D2DD9" w14:paraId="1FE4F90E" w14:textId="77777777">
        <w:trPr>
          <w:trHeight w:val="280"/>
        </w:trPr>
        <w:tc>
          <w:tcPr>
            <w:tcW w:w="2885" w:type="pct"/>
            <w:shd w:val="clear" w:color="auto" w:fill="auto"/>
            <w:noWrap/>
            <w:vAlign w:val="bottom"/>
          </w:tcPr>
          <w:p w14:paraId="3E484EE8"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Net increase in cash</w:t>
            </w:r>
          </w:p>
        </w:tc>
        <w:tc>
          <w:tcPr>
            <w:tcW w:w="705" w:type="pct"/>
            <w:shd w:val="clear" w:color="auto" w:fill="auto"/>
            <w:noWrap/>
            <w:vAlign w:val="bottom"/>
          </w:tcPr>
          <w:p w14:paraId="7708004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30,090.94</w:t>
            </w:r>
          </w:p>
        </w:tc>
        <w:tc>
          <w:tcPr>
            <w:tcW w:w="705" w:type="pct"/>
            <w:shd w:val="clear" w:color="auto" w:fill="auto"/>
            <w:noWrap/>
            <w:vAlign w:val="bottom"/>
          </w:tcPr>
          <w:p w14:paraId="08FEC5F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46,817.35</w:t>
            </w:r>
          </w:p>
        </w:tc>
        <w:tc>
          <w:tcPr>
            <w:tcW w:w="705" w:type="pct"/>
            <w:shd w:val="clear" w:color="auto" w:fill="auto"/>
            <w:noWrap/>
            <w:vAlign w:val="bottom"/>
          </w:tcPr>
          <w:p w14:paraId="30FE1E8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-20,808.69</w:t>
            </w:r>
          </w:p>
        </w:tc>
      </w:tr>
      <w:tr w:rsidR="004D2DD9" w14:paraId="0A95DF2C" w14:textId="77777777">
        <w:trPr>
          <w:trHeight w:val="280"/>
        </w:trPr>
        <w:tc>
          <w:tcPr>
            <w:tcW w:w="2885" w:type="pct"/>
            <w:shd w:val="clear" w:color="auto" w:fill="auto"/>
            <w:noWrap/>
            <w:vAlign w:val="bottom"/>
          </w:tcPr>
          <w:p w14:paraId="2E335EC9"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Closing cash balance</w:t>
            </w:r>
          </w:p>
        </w:tc>
        <w:tc>
          <w:tcPr>
            <w:tcW w:w="705" w:type="pct"/>
            <w:shd w:val="clear" w:color="auto" w:fill="auto"/>
            <w:noWrap/>
            <w:vAlign w:val="bottom"/>
          </w:tcPr>
          <w:p w14:paraId="03C8108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156,254.61</w:t>
            </w:r>
          </w:p>
        </w:tc>
        <w:tc>
          <w:tcPr>
            <w:tcW w:w="705" w:type="pct"/>
            <w:shd w:val="clear" w:color="auto" w:fill="auto"/>
            <w:noWrap/>
            <w:vAlign w:val="bottom"/>
          </w:tcPr>
          <w:p w14:paraId="2D2FA84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133,485.95</w:t>
            </w:r>
          </w:p>
        </w:tc>
        <w:tc>
          <w:tcPr>
            <w:tcW w:w="705" w:type="pct"/>
            <w:shd w:val="clear" w:color="auto" w:fill="auto"/>
            <w:noWrap/>
            <w:vAlign w:val="bottom"/>
          </w:tcPr>
          <w:p w14:paraId="1858327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98,343.31</w:t>
            </w:r>
          </w:p>
        </w:tc>
      </w:tr>
      <w:tr w:rsidR="004D2DD9" w14:paraId="5A1C5966" w14:textId="77777777">
        <w:trPr>
          <w:trHeight w:val="280"/>
        </w:trPr>
        <w:tc>
          <w:tcPr>
            <w:tcW w:w="2885" w:type="pct"/>
            <w:shd w:val="clear" w:color="auto" w:fill="auto"/>
            <w:noWrap/>
            <w:vAlign w:val="bottom"/>
          </w:tcPr>
          <w:p w14:paraId="329F54D5"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capital expenditure</w:t>
            </w:r>
          </w:p>
        </w:tc>
        <w:tc>
          <w:tcPr>
            <w:tcW w:w="705" w:type="pct"/>
            <w:shd w:val="clear" w:color="auto" w:fill="auto"/>
            <w:noWrap/>
            <w:vAlign w:val="bottom"/>
          </w:tcPr>
          <w:p w14:paraId="25862B8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14,414.43</w:t>
            </w:r>
          </w:p>
        </w:tc>
        <w:tc>
          <w:tcPr>
            <w:tcW w:w="705" w:type="pct"/>
            <w:shd w:val="clear" w:color="auto" w:fill="auto"/>
            <w:noWrap/>
            <w:vAlign w:val="bottom"/>
          </w:tcPr>
          <w:p w14:paraId="27416E3B"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15,536.54</w:t>
            </w:r>
          </w:p>
        </w:tc>
        <w:tc>
          <w:tcPr>
            <w:tcW w:w="705" w:type="pct"/>
            <w:shd w:val="clear" w:color="auto" w:fill="auto"/>
            <w:noWrap/>
            <w:vAlign w:val="bottom"/>
          </w:tcPr>
          <w:p w14:paraId="142E952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46,813.94</w:t>
            </w:r>
          </w:p>
        </w:tc>
      </w:tr>
      <w:tr w:rsidR="004D2DD9" w14:paraId="620A98B3" w14:textId="77777777">
        <w:trPr>
          <w:trHeight w:val="280"/>
        </w:trPr>
        <w:tc>
          <w:tcPr>
            <w:tcW w:w="2885" w:type="pct"/>
            <w:shd w:val="clear" w:color="auto" w:fill="auto"/>
            <w:noWrap/>
            <w:vAlign w:val="bottom"/>
          </w:tcPr>
          <w:p w14:paraId="0C9E774C"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Key ratio</w:t>
            </w:r>
          </w:p>
        </w:tc>
        <w:tc>
          <w:tcPr>
            <w:tcW w:w="705" w:type="pct"/>
            <w:shd w:val="clear" w:color="auto" w:fill="auto"/>
            <w:noWrap/>
            <w:vAlign w:val="bottom"/>
          </w:tcPr>
          <w:p w14:paraId="36535EE6"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376C718D"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564CF973" w14:textId="77777777" w:rsidR="004D2DD9" w:rsidRDefault="004D2DD9">
            <w:pPr>
              <w:widowControl/>
              <w:spacing w:line="480" w:lineRule="auto"/>
              <w:ind w:firstLine="0"/>
              <w:jc w:val="left"/>
              <w:rPr>
                <w:rFonts w:eastAsia="宋体"/>
                <w:color w:val="000000"/>
                <w:kern w:val="0"/>
                <w:sz w:val="18"/>
                <w:szCs w:val="18"/>
              </w:rPr>
            </w:pPr>
          </w:p>
        </w:tc>
      </w:tr>
      <w:tr w:rsidR="004D2DD9" w14:paraId="5F6773B0" w14:textId="77777777">
        <w:trPr>
          <w:trHeight w:val="280"/>
        </w:trPr>
        <w:tc>
          <w:tcPr>
            <w:tcW w:w="2885" w:type="pct"/>
            <w:shd w:val="clear" w:color="auto" w:fill="auto"/>
            <w:noWrap/>
            <w:vAlign w:val="bottom"/>
          </w:tcPr>
          <w:p w14:paraId="4B9108C2"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ROE(%)</w:t>
            </w:r>
          </w:p>
        </w:tc>
        <w:tc>
          <w:tcPr>
            <w:tcW w:w="705" w:type="pct"/>
            <w:shd w:val="clear" w:color="auto" w:fill="auto"/>
            <w:noWrap/>
            <w:vAlign w:val="bottom"/>
          </w:tcPr>
          <w:p w14:paraId="1609CC6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16.95</w:t>
            </w:r>
          </w:p>
        </w:tc>
        <w:tc>
          <w:tcPr>
            <w:tcW w:w="705" w:type="pct"/>
            <w:shd w:val="clear" w:color="auto" w:fill="auto"/>
            <w:noWrap/>
            <w:vAlign w:val="bottom"/>
          </w:tcPr>
          <w:p w14:paraId="10F246C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11.38</w:t>
            </w:r>
          </w:p>
        </w:tc>
        <w:tc>
          <w:tcPr>
            <w:tcW w:w="705" w:type="pct"/>
            <w:shd w:val="clear" w:color="auto" w:fill="auto"/>
            <w:noWrap/>
            <w:vAlign w:val="bottom"/>
          </w:tcPr>
          <w:p w14:paraId="3993351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7.32</w:t>
            </w:r>
          </w:p>
        </w:tc>
      </w:tr>
      <w:tr w:rsidR="004D2DD9" w14:paraId="1E0F7CCC" w14:textId="77777777">
        <w:trPr>
          <w:trHeight w:val="280"/>
        </w:trPr>
        <w:tc>
          <w:tcPr>
            <w:tcW w:w="2885" w:type="pct"/>
            <w:shd w:val="clear" w:color="auto" w:fill="auto"/>
            <w:noWrap/>
            <w:vAlign w:val="bottom"/>
          </w:tcPr>
          <w:p w14:paraId="1ECE0EB7"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ROE (diluted (%)</w:t>
            </w:r>
          </w:p>
        </w:tc>
        <w:tc>
          <w:tcPr>
            <w:tcW w:w="705" w:type="pct"/>
            <w:shd w:val="clear" w:color="auto" w:fill="auto"/>
            <w:noWrap/>
            <w:vAlign w:val="bottom"/>
          </w:tcPr>
          <w:p w14:paraId="62174BE9"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15.75</w:t>
            </w:r>
          </w:p>
        </w:tc>
        <w:tc>
          <w:tcPr>
            <w:tcW w:w="705" w:type="pct"/>
            <w:shd w:val="clear" w:color="auto" w:fill="auto"/>
            <w:noWrap/>
            <w:vAlign w:val="bottom"/>
          </w:tcPr>
          <w:p w14:paraId="32C803C9"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10.80</w:t>
            </w:r>
          </w:p>
        </w:tc>
        <w:tc>
          <w:tcPr>
            <w:tcW w:w="705" w:type="pct"/>
            <w:shd w:val="clear" w:color="auto" w:fill="auto"/>
            <w:noWrap/>
            <w:vAlign w:val="bottom"/>
          </w:tcPr>
          <w:p w14:paraId="3E45FD3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7.42</w:t>
            </w:r>
          </w:p>
        </w:tc>
      </w:tr>
      <w:tr w:rsidR="004D2DD9" w14:paraId="03B02E04" w14:textId="77777777">
        <w:trPr>
          <w:trHeight w:val="280"/>
        </w:trPr>
        <w:tc>
          <w:tcPr>
            <w:tcW w:w="2885" w:type="pct"/>
            <w:shd w:val="clear" w:color="auto" w:fill="auto"/>
            <w:noWrap/>
            <w:vAlign w:val="bottom"/>
          </w:tcPr>
          <w:p w14:paraId="53336DD5"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Non-post-deduction ROE (diluted (%)</w:t>
            </w:r>
          </w:p>
        </w:tc>
        <w:tc>
          <w:tcPr>
            <w:tcW w:w="705" w:type="pct"/>
            <w:shd w:val="clear" w:color="auto" w:fill="auto"/>
            <w:noWrap/>
            <w:vAlign w:val="bottom"/>
          </w:tcPr>
          <w:p w14:paraId="77096868"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16.95</w:t>
            </w:r>
          </w:p>
        </w:tc>
        <w:tc>
          <w:tcPr>
            <w:tcW w:w="705" w:type="pct"/>
            <w:shd w:val="clear" w:color="auto" w:fill="auto"/>
            <w:noWrap/>
            <w:vAlign w:val="bottom"/>
          </w:tcPr>
          <w:p w14:paraId="3EF74A6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11.38</w:t>
            </w:r>
          </w:p>
        </w:tc>
        <w:tc>
          <w:tcPr>
            <w:tcW w:w="705" w:type="pct"/>
            <w:shd w:val="clear" w:color="auto" w:fill="auto"/>
            <w:noWrap/>
            <w:vAlign w:val="bottom"/>
          </w:tcPr>
          <w:p w14:paraId="2FEF202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7.32</w:t>
            </w:r>
          </w:p>
        </w:tc>
      </w:tr>
      <w:tr w:rsidR="004D2DD9" w14:paraId="2369DA9C" w14:textId="77777777">
        <w:trPr>
          <w:trHeight w:val="280"/>
        </w:trPr>
        <w:tc>
          <w:tcPr>
            <w:tcW w:w="2885" w:type="pct"/>
            <w:shd w:val="clear" w:color="auto" w:fill="auto"/>
            <w:noWrap/>
            <w:vAlign w:val="bottom"/>
          </w:tcPr>
          <w:p w14:paraId="18E20062"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ROA(%)</w:t>
            </w:r>
          </w:p>
        </w:tc>
        <w:tc>
          <w:tcPr>
            <w:tcW w:w="705" w:type="pct"/>
            <w:shd w:val="clear" w:color="auto" w:fill="auto"/>
            <w:noWrap/>
            <w:vAlign w:val="bottom"/>
          </w:tcPr>
          <w:p w14:paraId="31357A88"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10.77</w:t>
            </w:r>
          </w:p>
        </w:tc>
        <w:tc>
          <w:tcPr>
            <w:tcW w:w="705" w:type="pct"/>
            <w:shd w:val="clear" w:color="auto" w:fill="auto"/>
            <w:noWrap/>
            <w:vAlign w:val="bottom"/>
          </w:tcPr>
          <w:p w14:paraId="6BAA7F7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7.10</w:t>
            </w:r>
          </w:p>
        </w:tc>
        <w:tc>
          <w:tcPr>
            <w:tcW w:w="705" w:type="pct"/>
            <w:shd w:val="clear" w:color="auto" w:fill="auto"/>
            <w:noWrap/>
            <w:vAlign w:val="bottom"/>
          </w:tcPr>
          <w:p w14:paraId="06E8935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4.99</w:t>
            </w:r>
          </w:p>
        </w:tc>
      </w:tr>
      <w:tr w:rsidR="004D2DD9" w14:paraId="248C708A" w14:textId="77777777">
        <w:trPr>
          <w:trHeight w:val="280"/>
        </w:trPr>
        <w:tc>
          <w:tcPr>
            <w:tcW w:w="2885" w:type="pct"/>
            <w:shd w:val="clear" w:color="auto" w:fill="auto"/>
            <w:noWrap/>
            <w:vAlign w:val="bottom"/>
          </w:tcPr>
          <w:p w14:paraId="2EF45044"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ROIC(%)</w:t>
            </w:r>
          </w:p>
        </w:tc>
        <w:tc>
          <w:tcPr>
            <w:tcW w:w="705" w:type="pct"/>
            <w:shd w:val="clear" w:color="auto" w:fill="auto"/>
            <w:noWrap/>
            <w:vAlign w:val="bottom"/>
          </w:tcPr>
          <w:p w14:paraId="6DB8000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13.87</w:t>
            </w:r>
          </w:p>
        </w:tc>
        <w:tc>
          <w:tcPr>
            <w:tcW w:w="705" w:type="pct"/>
            <w:shd w:val="clear" w:color="auto" w:fill="auto"/>
            <w:noWrap/>
            <w:vAlign w:val="bottom"/>
          </w:tcPr>
          <w:p w14:paraId="46E585F3"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9.49</w:t>
            </w:r>
          </w:p>
        </w:tc>
        <w:tc>
          <w:tcPr>
            <w:tcW w:w="705" w:type="pct"/>
            <w:shd w:val="clear" w:color="auto" w:fill="auto"/>
            <w:noWrap/>
            <w:vAlign w:val="bottom"/>
          </w:tcPr>
          <w:p w14:paraId="6E5095B7"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6.97</w:t>
            </w:r>
          </w:p>
        </w:tc>
      </w:tr>
      <w:tr w:rsidR="004D2DD9" w14:paraId="3157A826" w14:textId="77777777">
        <w:trPr>
          <w:trHeight w:val="280"/>
        </w:trPr>
        <w:tc>
          <w:tcPr>
            <w:tcW w:w="2885" w:type="pct"/>
            <w:shd w:val="clear" w:color="auto" w:fill="auto"/>
            <w:noWrap/>
            <w:vAlign w:val="bottom"/>
          </w:tcPr>
          <w:p w14:paraId="3AC616B4"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Sales Gross Margin(%)</w:t>
            </w:r>
          </w:p>
        </w:tc>
        <w:tc>
          <w:tcPr>
            <w:tcW w:w="705" w:type="pct"/>
            <w:shd w:val="clear" w:color="auto" w:fill="auto"/>
            <w:noWrap/>
            <w:vAlign w:val="bottom"/>
          </w:tcPr>
          <w:p w14:paraId="5C61D68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45.02</w:t>
            </w:r>
          </w:p>
        </w:tc>
        <w:tc>
          <w:tcPr>
            <w:tcW w:w="705" w:type="pct"/>
            <w:shd w:val="clear" w:color="auto" w:fill="auto"/>
            <w:noWrap/>
            <w:vAlign w:val="bottom"/>
          </w:tcPr>
          <w:p w14:paraId="3070ACE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41.61</w:t>
            </w:r>
          </w:p>
        </w:tc>
        <w:tc>
          <w:tcPr>
            <w:tcW w:w="705" w:type="pct"/>
            <w:shd w:val="clear" w:color="auto" w:fill="auto"/>
            <w:noWrap/>
            <w:vAlign w:val="bottom"/>
          </w:tcPr>
          <w:p w14:paraId="6DA6C16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37.96</w:t>
            </w:r>
          </w:p>
        </w:tc>
      </w:tr>
      <w:tr w:rsidR="004D2DD9" w14:paraId="3B03957E" w14:textId="77777777">
        <w:trPr>
          <w:trHeight w:val="280"/>
        </w:trPr>
        <w:tc>
          <w:tcPr>
            <w:tcW w:w="2885" w:type="pct"/>
            <w:shd w:val="clear" w:color="auto" w:fill="auto"/>
            <w:noWrap/>
            <w:vAlign w:val="bottom"/>
          </w:tcPr>
          <w:p w14:paraId="0ADA9825"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Net profit margin on sales (%)</w:t>
            </w:r>
          </w:p>
        </w:tc>
        <w:tc>
          <w:tcPr>
            <w:tcW w:w="705" w:type="pct"/>
            <w:shd w:val="clear" w:color="auto" w:fill="auto"/>
            <w:noWrap/>
            <w:vAlign w:val="bottom"/>
          </w:tcPr>
          <w:p w14:paraId="7F0B6AD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18.30</w:t>
            </w:r>
          </w:p>
        </w:tc>
        <w:tc>
          <w:tcPr>
            <w:tcW w:w="705" w:type="pct"/>
            <w:shd w:val="clear" w:color="auto" w:fill="auto"/>
            <w:noWrap/>
            <w:vAlign w:val="bottom"/>
          </w:tcPr>
          <w:p w14:paraId="740F1BD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11.84</w:t>
            </w:r>
          </w:p>
        </w:tc>
        <w:tc>
          <w:tcPr>
            <w:tcW w:w="705" w:type="pct"/>
            <w:shd w:val="clear" w:color="auto" w:fill="auto"/>
            <w:noWrap/>
            <w:vAlign w:val="bottom"/>
          </w:tcPr>
          <w:p w14:paraId="02ACD21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7.57</w:t>
            </w:r>
          </w:p>
        </w:tc>
      </w:tr>
      <w:tr w:rsidR="004D2DD9" w14:paraId="32DC8214" w14:textId="77777777">
        <w:trPr>
          <w:trHeight w:val="280"/>
        </w:trPr>
        <w:tc>
          <w:tcPr>
            <w:tcW w:w="2885" w:type="pct"/>
            <w:shd w:val="clear" w:color="auto" w:fill="auto"/>
            <w:noWrap/>
            <w:vAlign w:val="bottom"/>
          </w:tcPr>
          <w:p w14:paraId="138AC8E9"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EBIT Margin(%)</w:t>
            </w:r>
          </w:p>
        </w:tc>
        <w:tc>
          <w:tcPr>
            <w:tcW w:w="705" w:type="pct"/>
            <w:shd w:val="clear" w:color="auto" w:fill="auto"/>
            <w:noWrap/>
            <w:vAlign w:val="bottom"/>
          </w:tcPr>
          <w:p w14:paraId="4E4A5DB9"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24.88</w:t>
            </w:r>
          </w:p>
        </w:tc>
        <w:tc>
          <w:tcPr>
            <w:tcW w:w="705" w:type="pct"/>
            <w:shd w:val="clear" w:color="auto" w:fill="auto"/>
            <w:noWrap/>
            <w:vAlign w:val="bottom"/>
          </w:tcPr>
          <w:p w14:paraId="15FA5C33"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13.43</w:t>
            </w:r>
          </w:p>
        </w:tc>
        <w:tc>
          <w:tcPr>
            <w:tcW w:w="705" w:type="pct"/>
            <w:shd w:val="clear" w:color="auto" w:fill="auto"/>
            <w:noWrap/>
            <w:vAlign w:val="bottom"/>
          </w:tcPr>
          <w:p w14:paraId="40AFC9C6"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11.78</w:t>
            </w:r>
          </w:p>
        </w:tc>
      </w:tr>
      <w:tr w:rsidR="004D2DD9" w14:paraId="7200D3B3" w14:textId="77777777">
        <w:trPr>
          <w:trHeight w:val="280"/>
        </w:trPr>
        <w:tc>
          <w:tcPr>
            <w:tcW w:w="2885" w:type="pct"/>
            <w:shd w:val="clear" w:color="auto" w:fill="auto"/>
            <w:noWrap/>
            <w:vAlign w:val="bottom"/>
          </w:tcPr>
          <w:p w14:paraId="5077083D"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EBITDA Margin(%)</w:t>
            </w:r>
          </w:p>
        </w:tc>
        <w:tc>
          <w:tcPr>
            <w:tcW w:w="705" w:type="pct"/>
            <w:shd w:val="clear" w:color="auto" w:fill="auto"/>
            <w:noWrap/>
            <w:vAlign w:val="bottom"/>
          </w:tcPr>
          <w:p w14:paraId="0183F73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30.87</w:t>
            </w:r>
          </w:p>
        </w:tc>
        <w:tc>
          <w:tcPr>
            <w:tcW w:w="705" w:type="pct"/>
            <w:shd w:val="clear" w:color="auto" w:fill="auto"/>
            <w:noWrap/>
            <w:vAlign w:val="bottom"/>
          </w:tcPr>
          <w:p w14:paraId="3EB081E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20.46</w:t>
            </w:r>
          </w:p>
        </w:tc>
        <w:tc>
          <w:tcPr>
            <w:tcW w:w="705" w:type="pct"/>
            <w:shd w:val="clear" w:color="auto" w:fill="auto"/>
            <w:noWrap/>
            <w:vAlign w:val="bottom"/>
          </w:tcPr>
          <w:p w14:paraId="147545BB"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21.89</w:t>
            </w:r>
          </w:p>
        </w:tc>
      </w:tr>
      <w:tr w:rsidR="004D2DD9" w14:paraId="513B7D04" w14:textId="77777777">
        <w:trPr>
          <w:trHeight w:val="280"/>
        </w:trPr>
        <w:tc>
          <w:tcPr>
            <w:tcW w:w="2885" w:type="pct"/>
            <w:shd w:val="clear" w:color="auto" w:fill="auto"/>
            <w:noWrap/>
            <w:vAlign w:val="bottom"/>
          </w:tcPr>
          <w:p w14:paraId="24C65FC8"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Gearing ratio(%)</w:t>
            </w:r>
          </w:p>
        </w:tc>
        <w:tc>
          <w:tcPr>
            <w:tcW w:w="705" w:type="pct"/>
            <w:shd w:val="clear" w:color="auto" w:fill="auto"/>
            <w:noWrap/>
            <w:vAlign w:val="bottom"/>
          </w:tcPr>
          <w:p w14:paraId="695548E8"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34.15</w:t>
            </w:r>
          </w:p>
        </w:tc>
        <w:tc>
          <w:tcPr>
            <w:tcW w:w="705" w:type="pct"/>
            <w:shd w:val="clear" w:color="auto" w:fill="auto"/>
            <w:noWrap/>
            <w:vAlign w:val="bottom"/>
          </w:tcPr>
          <w:p w14:paraId="07DAD08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38.74</w:t>
            </w:r>
          </w:p>
        </w:tc>
        <w:tc>
          <w:tcPr>
            <w:tcW w:w="705" w:type="pct"/>
            <w:shd w:val="clear" w:color="auto" w:fill="auto"/>
            <w:noWrap/>
            <w:vAlign w:val="bottom"/>
          </w:tcPr>
          <w:p w14:paraId="707EF2F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35.83</w:t>
            </w:r>
          </w:p>
        </w:tc>
      </w:tr>
      <w:tr w:rsidR="004D2DD9" w14:paraId="2695B70B" w14:textId="77777777">
        <w:trPr>
          <w:trHeight w:val="280"/>
        </w:trPr>
        <w:tc>
          <w:tcPr>
            <w:tcW w:w="2885" w:type="pct"/>
            <w:shd w:val="clear" w:color="auto" w:fill="auto"/>
            <w:noWrap/>
            <w:vAlign w:val="bottom"/>
          </w:tcPr>
          <w:p w14:paraId="7237DE63"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Asset turnover ratio (times)</w:t>
            </w:r>
          </w:p>
        </w:tc>
        <w:tc>
          <w:tcPr>
            <w:tcW w:w="705" w:type="pct"/>
            <w:shd w:val="clear" w:color="auto" w:fill="auto"/>
            <w:noWrap/>
            <w:vAlign w:val="bottom"/>
          </w:tcPr>
          <w:p w14:paraId="645B774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0.59</w:t>
            </w:r>
          </w:p>
        </w:tc>
        <w:tc>
          <w:tcPr>
            <w:tcW w:w="705" w:type="pct"/>
            <w:shd w:val="clear" w:color="auto" w:fill="auto"/>
            <w:noWrap/>
            <w:vAlign w:val="bottom"/>
          </w:tcPr>
          <w:p w14:paraId="23FC77D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0.60</w:t>
            </w:r>
          </w:p>
        </w:tc>
        <w:tc>
          <w:tcPr>
            <w:tcW w:w="705" w:type="pct"/>
            <w:shd w:val="clear" w:color="auto" w:fill="auto"/>
            <w:noWrap/>
            <w:vAlign w:val="bottom"/>
          </w:tcPr>
          <w:p w14:paraId="278EA67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0.66</w:t>
            </w:r>
          </w:p>
        </w:tc>
      </w:tr>
      <w:tr w:rsidR="004D2DD9" w14:paraId="02D9E433" w14:textId="77777777">
        <w:trPr>
          <w:trHeight w:val="280"/>
        </w:trPr>
        <w:tc>
          <w:tcPr>
            <w:tcW w:w="2885" w:type="pct"/>
            <w:shd w:val="clear" w:color="auto" w:fill="auto"/>
            <w:noWrap/>
            <w:vAlign w:val="bottom"/>
          </w:tcPr>
          <w:p w14:paraId="589BEC39"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Per-share indicator</w:t>
            </w:r>
          </w:p>
        </w:tc>
        <w:tc>
          <w:tcPr>
            <w:tcW w:w="705" w:type="pct"/>
            <w:shd w:val="clear" w:color="auto" w:fill="auto"/>
            <w:noWrap/>
            <w:vAlign w:val="bottom"/>
          </w:tcPr>
          <w:p w14:paraId="70C22EA1"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6483D437"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30713A64" w14:textId="77777777" w:rsidR="004D2DD9" w:rsidRDefault="004D2DD9">
            <w:pPr>
              <w:widowControl/>
              <w:spacing w:line="480" w:lineRule="auto"/>
              <w:ind w:firstLine="0"/>
              <w:jc w:val="left"/>
              <w:rPr>
                <w:rFonts w:eastAsia="宋体"/>
                <w:color w:val="000000"/>
                <w:kern w:val="0"/>
                <w:sz w:val="18"/>
                <w:szCs w:val="18"/>
              </w:rPr>
            </w:pPr>
          </w:p>
        </w:tc>
      </w:tr>
      <w:tr w:rsidR="004D2DD9" w14:paraId="6F5D0518" w14:textId="77777777">
        <w:trPr>
          <w:trHeight w:val="280"/>
        </w:trPr>
        <w:tc>
          <w:tcPr>
            <w:tcW w:w="2885" w:type="pct"/>
            <w:shd w:val="clear" w:color="auto" w:fill="auto"/>
            <w:noWrap/>
            <w:vAlign w:val="bottom"/>
          </w:tcPr>
          <w:p w14:paraId="7C143225"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EPS (dilution)</w:t>
            </w:r>
          </w:p>
        </w:tc>
        <w:tc>
          <w:tcPr>
            <w:tcW w:w="705" w:type="pct"/>
            <w:shd w:val="clear" w:color="auto" w:fill="auto"/>
            <w:noWrap/>
            <w:vAlign w:val="bottom"/>
          </w:tcPr>
          <w:p w14:paraId="2DD4A96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2.52</w:t>
            </w:r>
          </w:p>
        </w:tc>
        <w:tc>
          <w:tcPr>
            <w:tcW w:w="705" w:type="pct"/>
            <w:shd w:val="clear" w:color="auto" w:fill="auto"/>
            <w:noWrap/>
            <w:vAlign w:val="bottom"/>
          </w:tcPr>
          <w:p w14:paraId="5274D8C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1.57</w:t>
            </w:r>
          </w:p>
        </w:tc>
        <w:tc>
          <w:tcPr>
            <w:tcW w:w="705" w:type="pct"/>
            <w:shd w:val="clear" w:color="auto" w:fill="auto"/>
            <w:noWrap/>
            <w:vAlign w:val="bottom"/>
          </w:tcPr>
          <w:p w14:paraId="67ACE869"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1.09</w:t>
            </w:r>
          </w:p>
        </w:tc>
      </w:tr>
      <w:tr w:rsidR="004D2DD9" w14:paraId="2726F477" w14:textId="77777777">
        <w:trPr>
          <w:trHeight w:val="280"/>
        </w:trPr>
        <w:tc>
          <w:tcPr>
            <w:tcW w:w="2885" w:type="pct"/>
            <w:shd w:val="clear" w:color="auto" w:fill="auto"/>
            <w:noWrap/>
            <w:vAlign w:val="bottom"/>
          </w:tcPr>
          <w:p w14:paraId="5E995AB6"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EPS (Basic)</w:t>
            </w:r>
          </w:p>
        </w:tc>
        <w:tc>
          <w:tcPr>
            <w:tcW w:w="705" w:type="pct"/>
            <w:shd w:val="clear" w:color="auto" w:fill="auto"/>
            <w:noWrap/>
            <w:vAlign w:val="bottom"/>
          </w:tcPr>
          <w:p w14:paraId="3C39CEA9"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2.56</w:t>
            </w:r>
          </w:p>
        </w:tc>
        <w:tc>
          <w:tcPr>
            <w:tcW w:w="705" w:type="pct"/>
            <w:shd w:val="clear" w:color="auto" w:fill="auto"/>
            <w:noWrap/>
            <w:vAlign w:val="bottom"/>
          </w:tcPr>
          <w:p w14:paraId="10B9FB5F"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1.60</w:t>
            </w:r>
          </w:p>
        </w:tc>
        <w:tc>
          <w:tcPr>
            <w:tcW w:w="705" w:type="pct"/>
            <w:shd w:val="clear" w:color="auto" w:fill="auto"/>
            <w:noWrap/>
            <w:vAlign w:val="bottom"/>
          </w:tcPr>
          <w:p w14:paraId="49ED140C"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1.10</w:t>
            </w:r>
          </w:p>
        </w:tc>
      </w:tr>
      <w:tr w:rsidR="004D2DD9" w14:paraId="10C40868" w14:textId="77777777">
        <w:trPr>
          <w:trHeight w:val="280"/>
        </w:trPr>
        <w:tc>
          <w:tcPr>
            <w:tcW w:w="2885" w:type="pct"/>
            <w:shd w:val="clear" w:color="auto" w:fill="auto"/>
            <w:noWrap/>
            <w:vAlign w:val="bottom"/>
          </w:tcPr>
          <w:p w14:paraId="1C7D467C"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Net assets per share BPS</w:t>
            </w:r>
          </w:p>
        </w:tc>
        <w:tc>
          <w:tcPr>
            <w:tcW w:w="705" w:type="pct"/>
            <w:shd w:val="clear" w:color="auto" w:fill="auto"/>
            <w:noWrap/>
            <w:vAlign w:val="bottom"/>
          </w:tcPr>
          <w:p w14:paraId="0D05C0F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15.12</w:t>
            </w:r>
          </w:p>
        </w:tc>
        <w:tc>
          <w:tcPr>
            <w:tcW w:w="705" w:type="pct"/>
            <w:shd w:val="clear" w:color="auto" w:fill="auto"/>
            <w:noWrap/>
            <w:vAlign w:val="bottom"/>
          </w:tcPr>
          <w:p w14:paraId="30C7926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13.73</w:t>
            </w:r>
          </w:p>
        </w:tc>
        <w:tc>
          <w:tcPr>
            <w:tcW w:w="705" w:type="pct"/>
            <w:shd w:val="clear" w:color="auto" w:fill="auto"/>
            <w:noWrap/>
            <w:vAlign w:val="bottom"/>
          </w:tcPr>
          <w:p w14:paraId="734748E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13.98</w:t>
            </w:r>
          </w:p>
        </w:tc>
      </w:tr>
      <w:tr w:rsidR="004D2DD9" w14:paraId="604B530B" w14:textId="77777777">
        <w:trPr>
          <w:trHeight w:val="280"/>
        </w:trPr>
        <w:tc>
          <w:tcPr>
            <w:tcW w:w="2885" w:type="pct"/>
            <w:shd w:val="clear" w:color="auto" w:fill="auto"/>
            <w:noWrap/>
            <w:vAlign w:val="bottom"/>
          </w:tcPr>
          <w:p w14:paraId="4B832C76"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Operating cash flow per share OCFPS</w:t>
            </w:r>
          </w:p>
        </w:tc>
        <w:tc>
          <w:tcPr>
            <w:tcW w:w="705" w:type="pct"/>
            <w:shd w:val="clear" w:color="auto" w:fill="auto"/>
            <w:noWrap/>
            <w:vAlign w:val="bottom"/>
          </w:tcPr>
          <w:p w14:paraId="024D8AE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4.19</w:t>
            </w:r>
          </w:p>
        </w:tc>
        <w:tc>
          <w:tcPr>
            <w:tcW w:w="705" w:type="pct"/>
            <w:shd w:val="clear" w:color="auto" w:fill="auto"/>
            <w:noWrap/>
            <w:vAlign w:val="bottom"/>
          </w:tcPr>
          <w:p w14:paraId="73D77AB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3.21</w:t>
            </w:r>
          </w:p>
        </w:tc>
        <w:tc>
          <w:tcPr>
            <w:tcW w:w="705" w:type="pct"/>
            <w:shd w:val="clear" w:color="auto" w:fill="auto"/>
            <w:noWrap/>
            <w:vAlign w:val="bottom"/>
          </w:tcPr>
          <w:p w14:paraId="2C8AB4E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2.67</w:t>
            </w:r>
          </w:p>
        </w:tc>
      </w:tr>
      <w:tr w:rsidR="004D2DD9" w14:paraId="57D7F2BC" w14:textId="77777777">
        <w:trPr>
          <w:trHeight w:val="280"/>
        </w:trPr>
        <w:tc>
          <w:tcPr>
            <w:tcW w:w="2885" w:type="pct"/>
            <w:shd w:val="clear" w:color="auto" w:fill="auto"/>
            <w:noWrap/>
            <w:vAlign w:val="bottom"/>
          </w:tcPr>
          <w:p w14:paraId="44BDA543"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Net cash flow CFPS per share</w:t>
            </w:r>
          </w:p>
        </w:tc>
        <w:tc>
          <w:tcPr>
            <w:tcW w:w="705" w:type="pct"/>
            <w:shd w:val="clear" w:color="auto" w:fill="auto"/>
            <w:noWrap/>
            <w:vAlign w:val="bottom"/>
          </w:tcPr>
          <w:p w14:paraId="3A79D42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2.10</w:t>
            </w:r>
          </w:p>
        </w:tc>
        <w:tc>
          <w:tcPr>
            <w:tcW w:w="705" w:type="pct"/>
            <w:shd w:val="clear" w:color="auto" w:fill="auto"/>
            <w:noWrap/>
            <w:vAlign w:val="bottom"/>
          </w:tcPr>
          <w:p w14:paraId="6ECBD931"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3.26</w:t>
            </w:r>
          </w:p>
        </w:tc>
        <w:tc>
          <w:tcPr>
            <w:tcW w:w="705" w:type="pct"/>
            <w:shd w:val="clear" w:color="auto" w:fill="auto"/>
            <w:noWrap/>
            <w:vAlign w:val="bottom"/>
          </w:tcPr>
          <w:p w14:paraId="1D581986"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-1.45</w:t>
            </w:r>
          </w:p>
        </w:tc>
      </w:tr>
      <w:tr w:rsidR="004D2DD9" w14:paraId="22D85818" w14:textId="77777777">
        <w:trPr>
          <w:trHeight w:val="280"/>
        </w:trPr>
        <w:tc>
          <w:tcPr>
            <w:tcW w:w="2885" w:type="pct"/>
            <w:shd w:val="clear" w:color="auto" w:fill="auto"/>
            <w:noWrap/>
            <w:vAlign w:val="bottom"/>
          </w:tcPr>
          <w:p w14:paraId="1287F3F6"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lastRenderedPageBreak/>
              <w:t xml:space="preserve">            P/E(TTM)</w:t>
            </w:r>
          </w:p>
        </w:tc>
        <w:tc>
          <w:tcPr>
            <w:tcW w:w="705" w:type="pct"/>
            <w:shd w:val="clear" w:color="auto" w:fill="auto"/>
            <w:noWrap/>
            <w:vAlign w:val="bottom"/>
          </w:tcPr>
          <w:p w14:paraId="04A6D9CC"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0FFE07C8"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1F7D3EA1" w14:textId="77777777" w:rsidR="004D2DD9" w:rsidRDefault="004D2DD9">
            <w:pPr>
              <w:widowControl/>
              <w:spacing w:line="480" w:lineRule="auto"/>
              <w:ind w:firstLine="0"/>
              <w:jc w:val="left"/>
              <w:rPr>
                <w:rFonts w:eastAsia="宋体"/>
                <w:color w:val="000000"/>
                <w:kern w:val="0"/>
                <w:sz w:val="18"/>
                <w:szCs w:val="18"/>
              </w:rPr>
            </w:pPr>
          </w:p>
        </w:tc>
      </w:tr>
      <w:tr w:rsidR="004D2DD9" w14:paraId="4C9E1A29" w14:textId="77777777">
        <w:trPr>
          <w:trHeight w:val="280"/>
        </w:trPr>
        <w:tc>
          <w:tcPr>
            <w:tcW w:w="2885" w:type="pct"/>
            <w:shd w:val="clear" w:color="auto" w:fill="auto"/>
            <w:noWrap/>
            <w:vAlign w:val="bottom"/>
          </w:tcPr>
          <w:p w14:paraId="60B84DA2"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P/E(LYR)</w:t>
            </w:r>
          </w:p>
        </w:tc>
        <w:tc>
          <w:tcPr>
            <w:tcW w:w="705" w:type="pct"/>
            <w:shd w:val="clear" w:color="auto" w:fill="auto"/>
            <w:noWrap/>
            <w:vAlign w:val="bottom"/>
          </w:tcPr>
          <w:p w14:paraId="1987338B"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34.47</w:t>
            </w:r>
          </w:p>
        </w:tc>
        <w:tc>
          <w:tcPr>
            <w:tcW w:w="705" w:type="pct"/>
            <w:shd w:val="clear" w:color="auto" w:fill="auto"/>
            <w:noWrap/>
            <w:vAlign w:val="bottom"/>
          </w:tcPr>
          <w:p w14:paraId="72D1205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47.54</w:t>
            </w:r>
          </w:p>
        </w:tc>
        <w:tc>
          <w:tcPr>
            <w:tcW w:w="705" w:type="pct"/>
            <w:shd w:val="clear" w:color="auto" w:fill="auto"/>
            <w:noWrap/>
            <w:vAlign w:val="bottom"/>
          </w:tcPr>
          <w:p w14:paraId="5BD31A2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15.59</w:t>
            </w:r>
          </w:p>
        </w:tc>
      </w:tr>
      <w:tr w:rsidR="004D2DD9" w14:paraId="3D367ACE" w14:textId="77777777">
        <w:trPr>
          <w:trHeight w:val="280"/>
        </w:trPr>
        <w:tc>
          <w:tcPr>
            <w:tcW w:w="2885" w:type="pct"/>
            <w:shd w:val="clear" w:color="auto" w:fill="auto"/>
            <w:noWrap/>
            <w:vAlign w:val="bottom"/>
          </w:tcPr>
          <w:p w14:paraId="685E7D3F"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P/B(MRQ)</w:t>
            </w:r>
          </w:p>
        </w:tc>
        <w:tc>
          <w:tcPr>
            <w:tcW w:w="705" w:type="pct"/>
            <w:shd w:val="clear" w:color="auto" w:fill="auto"/>
            <w:noWrap/>
            <w:vAlign w:val="bottom"/>
          </w:tcPr>
          <w:p w14:paraId="0BF7B86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3.72</w:t>
            </w:r>
          </w:p>
        </w:tc>
        <w:tc>
          <w:tcPr>
            <w:tcW w:w="705" w:type="pct"/>
            <w:shd w:val="clear" w:color="auto" w:fill="auto"/>
            <w:noWrap/>
            <w:vAlign w:val="bottom"/>
          </w:tcPr>
          <w:p w14:paraId="3968F03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3.53</w:t>
            </w:r>
          </w:p>
        </w:tc>
        <w:tc>
          <w:tcPr>
            <w:tcW w:w="705" w:type="pct"/>
            <w:shd w:val="clear" w:color="auto" w:fill="auto"/>
            <w:noWrap/>
            <w:vAlign w:val="bottom"/>
          </w:tcPr>
          <w:p w14:paraId="09D4A123"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1.87</w:t>
            </w:r>
          </w:p>
        </w:tc>
      </w:tr>
      <w:tr w:rsidR="004D2DD9" w14:paraId="5CA16404" w14:textId="77777777">
        <w:trPr>
          <w:trHeight w:val="280"/>
        </w:trPr>
        <w:tc>
          <w:tcPr>
            <w:tcW w:w="2885" w:type="pct"/>
            <w:shd w:val="clear" w:color="auto" w:fill="auto"/>
            <w:noWrap/>
            <w:vAlign w:val="bottom"/>
          </w:tcPr>
          <w:p w14:paraId="6E12086D"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P/S(TTM)</w:t>
            </w:r>
          </w:p>
        </w:tc>
        <w:tc>
          <w:tcPr>
            <w:tcW w:w="705" w:type="pct"/>
            <w:shd w:val="clear" w:color="auto" w:fill="auto"/>
            <w:noWrap/>
            <w:vAlign w:val="bottom"/>
          </w:tcPr>
          <w:p w14:paraId="44DA2466"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4.08</w:t>
            </w:r>
          </w:p>
        </w:tc>
        <w:tc>
          <w:tcPr>
            <w:tcW w:w="705" w:type="pct"/>
            <w:shd w:val="clear" w:color="auto" w:fill="auto"/>
            <w:noWrap/>
            <w:vAlign w:val="bottom"/>
          </w:tcPr>
          <w:p w14:paraId="7FB33EFB"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3.60</w:t>
            </w:r>
          </w:p>
        </w:tc>
        <w:tc>
          <w:tcPr>
            <w:tcW w:w="705" w:type="pct"/>
            <w:shd w:val="clear" w:color="auto" w:fill="auto"/>
            <w:noWrap/>
            <w:vAlign w:val="bottom"/>
          </w:tcPr>
          <w:p w14:paraId="1A8432E6"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1.99</w:t>
            </w:r>
          </w:p>
        </w:tc>
      </w:tr>
      <w:tr w:rsidR="004D2DD9" w14:paraId="7C7DD2B2" w14:textId="77777777">
        <w:trPr>
          <w:trHeight w:val="280"/>
        </w:trPr>
        <w:tc>
          <w:tcPr>
            <w:tcW w:w="2885" w:type="pct"/>
            <w:shd w:val="clear" w:color="auto" w:fill="auto"/>
            <w:noWrap/>
            <w:vAlign w:val="bottom"/>
          </w:tcPr>
          <w:p w14:paraId="3686CBB7"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other</w:t>
            </w:r>
          </w:p>
        </w:tc>
        <w:tc>
          <w:tcPr>
            <w:tcW w:w="705" w:type="pct"/>
            <w:shd w:val="clear" w:color="auto" w:fill="auto"/>
            <w:noWrap/>
            <w:vAlign w:val="bottom"/>
          </w:tcPr>
          <w:p w14:paraId="6C41F249"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38F8CD4F"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3BE93407" w14:textId="77777777" w:rsidR="004D2DD9" w:rsidRDefault="004D2DD9">
            <w:pPr>
              <w:widowControl/>
              <w:spacing w:line="480" w:lineRule="auto"/>
              <w:ind w:firstLine="0"/>
              <w:jc w:val="left"/>
              <w:rPr>
                <w:rFonts w:eastAsia="宋体"/>
                <w:color w:val="000000"/>
                <w:kern w:val="0"/>
                <w:sz w:val="18"/>
                <w:szCs w:val="18"/>
              </w:rPr>
            </w:pPr>
          </w:p>
        </w:tc>
      </w:tr>
      <w:tr w:rsidR="004D2DD9" w14:paraId="5A2214D8" w14:textId="77777777">
        <w:trPr>
          <w:trHeight w:val="280"/>
        </w:trPr>
        <w:tc>
          <w:tcPr>
            <w:tcW w:w="2885" w:type="pct"/>
            <w:shd w:val="clear" w:color="auto" w:fill="auto"/>
            <w:noWrap/>
            <w:vAlign w:val="bottom"/>
          </w:tcPr>
          <w:p w14:paraId="0208F4EC"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Number of employees</w:t>
            </w:r>
          </w:p>
        </w:tc>
        <w:tc>
          <w:tcPr>
            <w:tcW w:w="705" w:type="pct"/>
            <w:shd w:val="clear" w:color="auto" w:fill="auto"/>
            <w:noWrap/>
            <w:vAlign w:val="bottom"/>
          </w:tcPr>
          <w:p w14:paraId="2CA8B7C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4894</w:t>
            </w:r>
          </w:p>
        </w:tc>
        <w:tc>
          <w:tcPr>
            <w:tcW w:w="705" w:type="pct"/>
            <w:shd w:val="clear" w:color="auto" w:fill="auto"/>
            <w:noWrap/>
            <w:vAlign w:val="bottom"/>
          </w:tcPr>
          <w:p w14:paraId="5F9E65E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4982</w:t>
            </w:r>
          </w:p>
        </w:tc>
        <w:tc>
          <w:tcPr>
            <w:tcW w:w="705" w:type="pct"/>
            <w:shd w:val="clear" w:color="auto" w:fill="auto"/>
            <w:noWrap/>
            <w:vAlign w:val="bottom"/>
          </w:tcPr>
          <w:p w14:paraId="5AB7D98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5057</w:t>
            </w:r>
          </w:p>
        </w:tc>
      </w:tr>
      <w:tr w:rsidR="004D2DD9" w14:paraId="3D093FEE" w14:textId="77777777">
        <w:trPr>
          <w:trHeight w:val="280"/>
        </w:trPr>
        <w:tc>
          <w:tcPr>
            <w:tcW w:w="2885" w:type="pct"/>
            <w:shd w:val="clear" w:color="auto" w:fill="auto"/>
            <w:noWrap/>
            <w:vAlign w:val="bottom"/>
          </w:tcPr>
          <w:p w14:paraId="688690C3"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Displays the currency</w:t>
            </w:r>
          </w:p>
        </w:tc>
        <w:tc>
          <w:tcPr>
            <w:tcW w:w="705" w:type="pct"/>
            <w:shd w:val="clear" w:color="auto" w:fill="auto"/>
            <w:noWrap/>
            <w:vAlign w:val="bottom"/>
          </w:tcPr>
          <w:p w14:paraId="0D6C7112"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GBP</w:t>
            </w:r>
          </w:p>
        </w:tc>
        <w:tc>
          <w:tcPr>
            <w:tcW w:w="705" w:type="pct"/>
            <w:shd w:val="clear" w:color="auto" w:fill="auto"/>
            <w:noWrap/>
            <w:vAlign w:val="bottom"/>
          </w:tcPr>
          <w:p w14:paraId="143A660E"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GBP</w:t>
            </w:r>
          </w:p>
        </w:tc>
        <w:tc>
          <w:tcPr>
            <w:tcW w:w="705" w:type="pct"/>
            <w:shd w:val="clear" w:color="auto" w:fill="auto"/>
            <w:noWrap/>
            <w:vAlign w:val="bottom"/>
          </w:tcPr>
          <w:p w14:paraId="1F69E88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GBP</w:t>
            </w:r>
          </w:p>
        </w:tc>
      </w:tr>
      <w:tr w:rsidR="004D2DD9" w14:paraId="78A4DCE8" w14:textId="77777777">
        <w:trPr>
          <w:trHeight w:val="280"/>
        </w:trPr>
        <w:tc>
          <w:tcPr>
            <w:tcW w:w="2885" w:type="pct"/>
            <w:shd w:val="clear" w:color="auto" w:fill="auto"/>
            <w:noWrap/>
            <w:vAlign w:val="bottom"/>
          </w:tcPr>
          <w:p w14:paraId="26E6679A"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The original currency</w:t>
            </w:r>
          </w:p>
        </w:tc>
        <w:tc>
          <w:tcPr>
            <w:tcW w:w="705" w:type="pct"/>
            <w:shd w:val="clear" w:color="auto" w:fill="auto"/>
            <w:noWrap/>
            <w:vAlign w:val="bottom"/>
          </w:tcPr>
          <w:p w14:paraId="70214620"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JPY</w:t>
            </w:r>
          </w:p>
        </w:tc>
        <w:tc>
          <w:tcPr>
            <w:tcW w:w="705" w:type="pct"/>
            <w:shd w:val="clear" w:color="auto" w:fill="auto"/>
            <w:noWrap/>
            <w:vAlign w:val="bottom"/>
          </w:tcPr>
          <w:p w14:paraId="478C28E5"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JPY</w:t>
            </w:r>
          </w:p>
        </w:tc>
        <w:tc>
          <w:tcPr>
            <w:tcW w:w="705" w:type="pct"/>
            <w:shd w:val="clear" w:color="auto" w:fill="auto"/>
            <w:noWrap/>
            <w:vAlign w:val="bottom"/>
          </w:tcPr>
          <w:p w14:paraId="6709A8FD"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JPY</w:t>
            </w:r>
          </w:p>
        </w:tc>
      </w:tr>
      <w:tr w:rsidR="004D2DD9" w14:paraId="16D3BF89" w14:textId="77777777">
        <w:trPr>
          <w:trHeight w:val="280"/>
        </w:trPr>
        <w:tc>
          <w:tcPr>
            <w:tcW w:w="2885" w:type="pct"/>
            <w:shd w:val="clear" w:color="auto" w:fill="auto"/>
            <w:noWrap/>
            <w:vAlign w:val="bottom"/>
          </w:tcPr>
          <w:p w14:paraId="67BB98CE"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Convert exchange rates</w:t>
            </w:r>
          </w:p>
        </w:tc>
        <w:tc>
          <w:tcPr>
            <w:tcW w:w="705" w:type="pct"/>
            <w:shd w:val="clear" w:color="auto" w:fill="auto"/>
            <w:noWrap/>
            <w:vAlign w:val="bottom"/>
          </w:tcPr>
          <w:p w14:paraId="22E1FFAA"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160.45</w:t>
            </w:r>
          </w:p>
        </w:tc>
        <w:tc>
          <w:tcPr>
            <w:tcW w:w="705" w:type="pct"/>
            <w:shd w:val="clear" w:color="auto" w:fill="auto"/>
            <w:noWrap/>
            <w:vAlign w:val="bottom"/>
          </w:tcPr>
          <w:p w14:paraId="5319D4A7"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151.65</w:t>
            </w:r>
          </w:p>
        </w:tc>
        <w:tc>
          <w:tcPr>
            <w:tcW w:w="705" w:type="pct"/>
            <w:shd w:val="clear" w:color="auto" w:fill="auto"/>
            <w:noWrap/>
            <w:vAlign w:val="bottom"/>
          </w:tcPr>
          <w:p w14:paraId="20FFF7D7"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133.65</w:t>
            </w:r>
          </w:p>
        </w:tc>
      </w:tr>
      <w:tr w:rsidR="004D2DD9" w14:paraId="28EDA0CB" w14:textId="77777777">
        <w:trPr>
          <w:trHeight w:val="280"/>
        </w:trPr>
        <w:tc>
          <w:tcPr>
            <w:tcW w:w="2885" w:type="pct"/>
            <w:shd w:val="clear" w:color="auto" w:fill="auto"/>
            <w:noWrap/>
            <w:vAlign w:val="bottom"/>
          </w:tcPr>
          <w:p w14:paraId="5467A8BC"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 xml:space="preserve">        Interest rate type</w:t>
            </w:r>
          </w:p>
        </w:tc>
        <w:tc>
          <w:tcPr>
            <w:tcW w:w="705" w:type="pct"/>
            <w:shd w:val="clear" w:color="auto" w:fill="auto"/>
            <w:noWrap/>
            <w:vAlign w:val="bottom"/>
          </w:tcPr>
          <w:p w14:paraId="27C11674"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Ending exchange rate</w:t>
            </w:r>
          </w:p>
        </w:tc>
        <w:tc>
          <w:tcPr>
            <w:tcW w:w="705" w:type="pct"/>
            <w:shd w:val="clear" w:color="auto" w:fill="auto"/>
            <w:noWrap/>
            <w:vAlign w:val="bottom"/>
          </w:tcPr>
          <w:p w14:paraId="35873808"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Ending exchange rate</w:t>
            </w:r>
          </w:p>
        </w:tc>
        <w:tc>
          <w:tcPr>
            <w:tcW w:w="705" w:type="pct"/>
            <w:shd w:val="clear" w:color="auto" w:fill="auto"/>
            <w:noWrap/>
            <w:vAlign w:val="bottom"/>
          </w:tcPr>
          <w:p w14:paraId="1F7D6738" w14:textId="77777777" w:rsidR="004D2DD9" w:rsidRDefault="00000000">
            <w:pPr>
              <w:widowControl/>
              <w:spacing w:line="480" w:lineRule="auto"/>
              <w:ind w:firstLine="0"/>
              <w:jc w:val="left"/>
              <w:rPr>
                <w:rFonts w:eastAsia="宋体"/>
                <w:color w:val="000000"/>
                <w:kern w:val="0"/>
                <w:sz w:val="18"/>
                <w:szCs w:val="18"/>
              </w:rPr>
            </w:pPr>
            <w:r>
              <w:rPr>
                <w:rFonts w:eastAsia="宋体"/>
                <w:color w:val="000000"/>
                <w:kern w:val="0"/>
                <w:sz w:val="18"/>
                <w:szCs w:val="18"/>
              </w:rPr>
              <w:t>Ending exchange rate</w:t>
            </w:r>
          </w:p>
        </w:tc>
      </w:tr>
      <w:tr w:rsidR="004D2DD9" w14:paraId="09D4D400" w14:textId="77777777">
        <w:trPr>
          <w:trHeight w:val="280"/>
        </w:trPr>
        <w:tc>
          <w:tcPr>
            <w:tcW w:w="2885" w:type="pct"/>
            <w:shd w:val="clear" w:color="auto" w:fill="auto"/>
            <w:noWrap/>
            <w:vAlign w:val="bottom"/>
          </w:tcPr>
          <w:p w14:paraId="3F3E503B" w14:textId="77777777" w:rsidR="004D2DD9" w:rsidRDefault="00000000">
            <w:pPr>
              <w:widowControl/>
              <w:spacing w:line="480" w:lineRule="auto"/>
              <w:jc w:val="left"/>
              <w:rPr>
                <w:rFonts w:eastAsia="宋体"/>
                <w:color w:val="000000"/>
                <w:kern w:val="0"/>
                <w:sz w:val="18"/>
                <w:szCs w:val="18"/>
              </w:rPr>
            </w:pPr>
            <w:r>
              <w:rPr>
                <w:rFonts w:eastAsia="宋体"/>
                <w:color w:val="000000"/>
                <w:kern w:val="0"/>
                <w:sz w:val="18"/>
                <w:szCs w:val="18"/>
              </w:rPr>
              <w:t>million, GBP</w:t>
            </w:r>
          </w:p>
        </w:tc>
        <w:tc>
          <w:tcPr>
            <w:tcW w:w="705" w:type="pct"/>
            <w:shd w:val="clear" w:color="auto" w:fill="auto"/>
            <w:noWrap/>
            <w:vAlign w:val="bottom"/>
          </w:tcPr>
          <w:p w14:paraId="5498C205"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03582AD0"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686F1DBD" w14:textId="77777777" w:rsidR="004D2DD9" w:rsidRDefault="004D2DD9">
            <w:pPr>
              <w:widowControl/>
              <w:spacing w:line="480" w:lineRule="auto"/>
              <w:ind w:firstLine="0"/>
              <w:jc w:val="left"/>
              <w:rPr>
                <w:rFonts w:eastAsia="宋体"/>
                <w:color w:val="000000"/>
                <w:kern w:val="0"/>
                <w:sz w:val="18"/>
                <w:szCs w:val="18"/>
              </w:rPr>
            </w:pPr>
          </w:p>
        </w:tc>
      </w:tr>
      <w:tr w:rsidR="004D2DD9" w14:paraId="24265B6E" w14:textId="77777777">
        <w:trPr>
          <w:trHeight w:val="280"/>
        </w:trPr>
        <w:tc>
          <w:tcPr>
            <w:tcW w:w="2885" w:type="pct"/>
            <w:shd w:val="clear" w:color="auto" w:fill="auto"/>
            <w:noWrap/>
            <w:vAlign w:val="bottom"/>
          </w:tcPr>
          <w:p w14:paraId="44D5AC89" w14:textId="77777777" w:rsidR="004D2DD9" w:rsidRDefault="00000000">
            <w:pPr>
              <w:widowControl/>
              <w:spacing w:line="480" w:lineRule="auto"/>
              <w:jc w:val="left"/>
              <w:rPr>
                <w:rFonts w:eastAsia="宋体"/>
                <w:color w:val="FF0000"/>
                <w:kern w:val="0"/>
                <w:sz w:val="18"/>
                <w:szCs w:val="18"/>
              </w:rPr>
            </w:pPr>
            <w:r>
              <w:rPr>
                <w:rFonts w:eastAsia="宋体"/>
                <w:color w:val="FF0000"/>
                <w:kern w:val="0"/>
                <w:sz w:val="18"/>
                <w:szCs w:val="18"/>
              </w:rPr>
              <w:t>Source: Wind</w:t>
            </w:r>
          </w:p>
        </w:tc>
        <w:tc>
          <w:tcPr>
            <w:tcW w:w="705" w:type="pct"/>
            <w:shd w:val="clear" w:color="auto" w:fill="auto"/>
            <w:noWrap/>
            <w:vAlign w:val="bottom"/>
          </w:tcPr>
          <w:p w14:paraId="5448E7DF"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0BF449A1" w14:textId="77777777" w:rsidR="004D2DD9" w:rsidRDefault="004D2DD9">
            <w:pPr>
              <w:widowControl/>
              <w:spacing w:line="480" w:lineRule="auto"/>
              <w:ind w:firstLine="0"/>
              <w:jc w:val="left"/>
              <w:rPr>
                <w:rFonts w:eastAsia="宋体"/>
                <w:color w:val="000000"/>
                <w:kern w:val="0"/>
                <w:sz w:val="18"/>
                <w:szCs w:val="18"/>
              </w:rPr>
            </w:pPr>
          </w:p>
        </w:tc>
        <w:tc>
          <w:tcPr>
            <w:tcW w:w="705" w:type="pct"/>
            <w:shd w:val="clear" w:color="auto" w:fill="auto"/>
            <w:noWrap/>
            <w:vAlign w:val="bottom"/>
          </w:tcPr>
          <w:p w14:paraId="35B96361" w14:textId="77777777" w:rsidR="004D2DD9" w:rsidRDefault="004D2DD9">
            <w:pPr>
              <w:widowControl/>
              <w:spacing w:line="480" w:lineRule="auto"/>
              <w:ind w:firstLine="0"/>
              <w:jc w:val="left"/>
              <w:rPr>
                <w:rFonts w:eastAsia="宋体"/>
                <w:color w:val="000000"/>
                <w:kern w:val="0"/>
                <w:sz w:val="18"/>
                <w:szCs w:val="18"/>
              </w:rPr>
            </w:pPr>
          </w:p>
        </w:tc>
      </w:tr>
    </w:tbl>
    <w:p w14:paraId="6E8E409B" w14:textId="77777777" w:rsidR="004D2DD9" w:rsidRDefault="004D2DD9">
      <w:pPr>
        <w:spacing w:line="480" w:lineRule="auto"/>
        <w:ind w:firstLine="0"/>
      </w:pPr>
    </w:p>
    <w:p w14:paraId="62517C9B" w14:textId="77777777" w:rsidR="004D2DD9" w:rsidRDefault="00000000">
      <w:pPr>
        <w:spacing w:line="480" w:lineRule="auto"/>
        <w:ind w:firstLine="0"/>
        <w:jc w:val="center"/>
      </w:pPr>
      <w:r>
        <w:br w:type="page"/>
      </w:r>
    </w:p>
    <w:p w14:paraId="6B2641B7" w14:textId="77777777" w:rsidR="004D2DD9" w:rsidRDefault="00000000">
      <w:pPr>
        <w:spacing w:line="480" w:lineRule="auto"/>
        <w:ind w:firstLine="0"/>
        <w:jc w:val="center"/>
      </w:pPr>
      <w:r>
        <w:lastRenderedPageBreak/>
        <w:t>Appendix 1</w:t>
      </w:r>
      <w:r>
        <w:rPr>
          <w:rFonts w:hint="eastAsia"/>
        </w:rPr>
        <w:t>.</w:t>
      </w:r>
      <w:r>
        <w:t xml:space="preserve"> Konami's Organizational Background</w:t>
      </w:r>
    </w:p>
    <w:p w14:paraId="35B3E98A" w14:textId="77777777" w:rsidR="004D2DD9" w:rsidRDefault="00000000">
      <w:pPr>
        <w:spacing w:line="480" w:lineRule="auto"/>
        <w:ind w:firstLine="0"/>
      </w:pPr>
      <w:r>
        <w:t>Konami Group Corporation, originally known as Konami Industry Co., Ltd., was founded on March 21, 1969, in Toyonaka, Osaka, Japan. Its founder, Kagemasa Kōzuki, initially operated a jukebox rental and repair business before transitioning into manufacturing amusement machines for arcades. The company's name, Konami, is a portmanteau of the names of its three founding members: Kagemasa Kōzuki, Yoshinobu Nakama, and Tatsuo Miyasako.</w:t>
      </w:r>
    </w:p>
    <w:p w14:paraId="521327E0" w14:textId="77777777" w:rsidR="004D2DD9" w:rsidRDefault="00000000">
      <w:pPr>
        <w:spacing w:line="480" w:lineRule="auto"/>
        <w:ind w:firstLine="0"/>
      </w:pPr>
      <w:r>
        <w:t>Konami's evolution into a major player in the video game industry began with its foray into video game production and distribution in the late 1970s. Their first coin-operated video game was released in 1978, marking the beginning of a successful era in arcade gaming. The company made a significant impact in the early 1980s with hit arcade games like "Scramble" (1981), "Frogger" (1981), "Super Cobra" (1981), "Time Pilot" (1982), "Roc'n Rope" (1983), "Track &amp; Field" (1983), and "Yie Ar Kung-Fu" (1985). Many of these early games were licensed to other companies for U.S. release, and in November 1982, Konami established its U.S. subsidiary, Konami Inc. (later known as Konami of America Inc., and Konami Digital Entertainment Inc.).</w:t>
      </w:r>
    </w:p>
    <w:p w14:paraId="43EDA6EC" w14:textId="77777777" w:rsidR="004D2DD9" w:rsidRDefault="00000000">
      <w:pPr>
        <w:spacing w:line="480" w:lineRule="auto"/>
        <w:ind w:firstLine="0"/>
      </w:pPr>
      <w:r>
        <w:t>The company experienced substantial growth and diversified its product range over the years. Besides video games, Konami also produces and distributes trading cards, anime, tokusatsu, pachinko machines, slot machines, and arcade cabinets. It operates casinos globally and runs health and physical fitness clubs across Japan.</w:t>
      </w:r>
    </w:p>
    <w:p w14:paraId="0F2990D1" w14:textId="77777777" w:rsidR="004D2DD9" w:rsidRDefault="00000000">
      <w:pPr>
        <w:spacing w:line="480" w:lineRule="auto"/>
        <w:ind w:firstLine="0"/>
      </w:pPr>
      <w:r>
        <w:t xml:space="preserve">Konami's video game franchises have achieved global recognition, including popular series like "Metal Gear," "Silent Hill," "Castlevania," "Contra," "Frogger," "Tokimeki </w:t>
      </w:r>
      <w:r>
        <w:lastRenderedPageBreak/>
        <w:t>Memorial," "Parodius," "Gradius," "Yu-Gi-Oh!," "Suikoden," and "eFootball." The company also owns the Bemani brand, known for rhythm games like "Dance Dance Revolution" and "Beatmania," and has acquired the assets of former game developer Hudson Soft, known for "Bomberman," "Adventure Island," "Bonk," and "Star Soldier".</w:t>
      </w:r>
    </w:p>
    <w:p w14:paraId="48A556AD" w14:textId="77777777" w:rsidR="004D2DD9" w:rsidRDefault="00000000">
      <w:pPr>
        <w:spacing w:line="480" w:lineRule="auto"/>
        <w:ind w:firstLine="0"/>
      </w:pPr>
      <w:r>
        <w:t>In the corporate landscape, Konami has undergone several name changes and restructurings. It was incorporated as Konami Industry Co., Ltd. in 1973, then changed its name to Konami Co., Ltd. in 1991, Konami Corporation in 2000, Konami Holdings Corporation in 2015, and eventually to Konami Group Corporation in 2022. The company is headquartered in Ginza, Chūō, Tokyo, with key global operations in California (video games) and Nevada (casino gaming) in the United States, and Sydney, Australia.</w:t>
      </w:r>
    </w:p>
    <w:p w14:paraId="09FAFFE5" w14:textId="77777777" w:rsidR="004D2DD9" w:rsidRDefault="00000000">
      <w:pPr>
        <w:spacing w:line="480" w:lineRule="auto"/>
        <w:ind w:firstLine="0"/>
      </w:pPr>
      <w:r>
        <w:t>Konami's leadership includes Kagemasa Kozuki as Chairman, Takuya Kozuki as President, and Kimihiko Higashio as Vice President. As of 2022, Konami had approximately 8,941 employees across its various divisions, including Konami Digital Entertainment, Konami Amusement, and Konami Sports.</w:t>
      </w:r>
    </w:p>
    <w:p w14:paraId="7D37ADE2" w14:textId="77777777" w:rsidR="004D2DD9" w:rsidRDefault="00000000">
      <w:pPr>
        <w:spacing w:line="480" w:lineRule="auto"/>
        <w:ind w:firstLine="0"/>
      </w:pPr>
      <w:r>
        <w:t>The company's revenue in 2020 was ¥262.8 billion, with an operating income of ¥31 billion and a net income of ¥19.9 billion. The Kozuki family owns 29% of the company. In addition to its core business areas, Konami has expanded into real estate and established entities like Konami Cross Media NY and the Kozuki Foundation.</w:t>
      </w:r>
    </w:p>
    <w:p w14:paraId="5C16B20F" w14:textId="77777777" w:rsidR="004D2DD9" w:rsidRDefault="00000000">
      <w:pPr>
        <w:spacing w:line="480" w:lineRule="auto"/>
        <w:ind w:firstLine="0"/>
      </w:pPr>
      <w:r>
        <w:t xml:space="preserve">In recent developments, Konami announced a major restructuring of Konami Digital Entertainment in 2021 and opened a new studio in Osaka, Japan, in April 2023. This new studio, located in the Umeda Sky Building, is expected to play a crucial role in </w:t>
      </w:r>
      <w:r>
        <w:lastRenderedPageBreak/>
        <w:t>Konami's sustainable growth over the next 50 years.</w:t>
      </w:r>
    </w:p>
    <w:sectPr w:rsidR="004D2DD9">
      <w:footerReference w:type="defaul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2DE72" w14:textId="77777777" w:rsidR="00703CDA" w:rsidRDefault="00703CDA">
      <w:r>
        <w:separator/>
      </w:r>
    </w:p>
  </w:endnote>
  <w:endnote w:type="continuationSeparator" w:id="0">
    <w:p w14:paraId="7AC915AD" w14:textId="77777777" w:rsidR="00703CDA" w:rsidRDefault="00703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Times New Roman Italic">
    <w:panose1 w:val="02020503050405090304"/>
    <w:charset w:val="00"/>
    <w:family w:val="auto"/>
    <w:pitch w:val="default"/>
    <w:sig w:usb0="E0002AEF" w:usb1="C0007841" w:usb2="00000009" w:usb3="00000000" w:csb0="400001FF" w:csb1="F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572773412"/>
      <w:docPartObj>
        <w:docPartGallery w:val="AutoText"/>
      </w:docPartObj>
    </w:sdtPr>
    <w:sdtContent>
      <w:p w14:paraId="2B5C1D54" w14:textId="77777777" w:rsidR="004D2DD9" w:rsidRDefault="00000000">
        <w:pPr>
          <w:pStyle w:val="a5"/>
          <w:framePr w:wrap="auto"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rPr>
          <w:t>3</w:t>
        </w:r>
        <w:r>
          <w:rPr>
            <w:rStyle w:val="aa"/>
          </w:rPr>
          <w:fldChar w:fldCharType="end"/>
        </w:r>
      </w:p>
    </w:sdtContent>
  </w:sdt>
  <w:p w14:paraId="07DDFA8F" w14:textId="77777777" w:rsidR="004D2DD9" w:rsidRDefault="004D2D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2294" w14:textId="77777777" w:rsidR="004D2DD9" w:rsidRDefault="004D2DD9">
    <w:pPr>
      <w:pStyle w:val="a5"/>
      <w:framePr w:wrap="auto" w:vAnchor="text" w:hAnchor="margin" w:xAlign="center" w:y="1"/>
      <w:rPr>
        <w:rStyle w:val="aa"/>
      </w:rPr>
    </w:pPr>
  </w:p>
  <w:p w14:paraId="6718359F" w14:textId="77777777" w:rsidR="004D2DD9" w:rsidRDefault="004D2DD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
      <w:docPartObj>
        <w:docPartGallery w:val="AutoText"/>
      </w:docPartObj>
    </w:sdtPr>
    <w:sdtContent>
      <w:p w14:paraId="4638D0C1" w14:textId="77777777" w:rsidR="004D2DD9" w:rsidRDefault="00000000">
        <w:pPr>
          <w:pStyle w:val="a5"/>
          <w:framePr w:wrap="auto"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rPr>
          <w:t>1</w:t>
        </w:r>
        <w:r>
          <w:rPr>
            <w:rStyle w:val="aa"/>
          </w:rPr>
          <w:fldChar w:fldCharType="end"/>
        </w:r>
      </w:p>
    </w:sdtContent>
  </w:sdt>
  <w:p w14:paraId="0CAD549B" w14:textId="77777777" w:rsidR="004D2DD9" w:rsidRDefault="004D2DD9">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ABB6B" w14:textId="77777777" w:rsidR="004D2DD9" w:rsidRDefault="004D2DD9">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304968392"/>
      <w:docPartObj>
        <w:docPartGallery w:val="AutoText"/>
      </w:docPartObj>
    </w:sdtPr>
    <w:sdtContent>
      <w:p w14:paraId="58A06221" w14:textId="77777777" w:rsidR="004D2DD9" w:rsidRDefault="00000000">
        <w:pPr>
          <w:pStyle w:val="a5"/>
          <w:framePr w:wrap="auto"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rPr>
          <w:t>1</w:t>
        </w:r>
        <w:r>
          <w:rPr>
            <w:rStyle w:val="aa"/>
          </w:rPr>
          <w:fldChar w:fldCharType="end"/>
        </w:r>
      </w:p>
    </w:sdtContent>
  </w:sdt>
  <w:p w14:paraId="1BE16D79" w14:textId="77777777" w:rsidR="004D2DD9" w:rsidRDefault="004D2DD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12192" w14:textId="77777777" w:rsidR="00703CDA" w:rsidRDefault="00703CDA">
      <w:r>
        <w:separator/>
      </w:r>
    </w:p>
  </w:footnote>
  <w:footnote w:type="continuationSeparator" w:id="0">
    <w:p w14:paraId="3D04A3E9" w14:textId="77777777" w:rsidR="00703CDA" w:rsidRDefault="00703C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CE4264"/>
    <w:multiLevelType w:val="singleLevel"/>
    <w:tmpl w:val="6FCE4264"/>
    <w:lvl w:ilvl="0">
      <w:start w:val="26"/>
      <w:numFmt w:val="upperLetter"/>
      <w:suff w:val="space"/>
      <w:lvlText w:val="%1."/>
      <w:lvlJc w:val="left"/>
    </w:lvl>
  </w:abstractNum>
  <w:num w:numId="1" w16cid:durableId="1837722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C7A"/>
    <w:rsid w:val="FAFFCE08"/>
    <w:rsid w:val="00004490"/>
    <w:rsid w:val="00016F07"/>
    <w:rsid w:val="00027AB0"/>
    <w:rsid w:val="000604B5"/>
    <w:rsid w:val="00073B61"/>
    <w:rsid w:val="000C5B2D"/>
    <w:rsid w:val="0010104E"/>
    <w:rsid w:val="0010659E"/>
    <w:rsid w:val="00125204"/>
    <w:rsid w:val="00141008"/>
    <w:rsid w:val="001716FA"/>
    <w:rsid w:val="00182F1A"/>
    <w:rsid w:val="001B291F"/>
    <w:rsid w:val="001B3F29"/>
    <w:rsid w:val="001D4C94"/>
    <w:rsid w:val="001E5DCC"/>
    <w:rsid w:val="0020013D"/>
    <w:rsid w:val="002058E6"/>
    <w:rsid w:val="0021772A"/>
    <w:rsid w:val="002220C7"/>
    <w:rsid w:val="00231D22"/>
    <w:rsid w:val="00235A44"/>
    <w:rsid w:val="00257005"/>
    <w:rsid w:val="002814CF"/>
    <w:rsid w:val="00281900"/>
    <w:rsid w:val="002D1A39"/>
    <w:rsid w:val="002E203B"/>
    <w:rsid w:val="00373880"/>
    <w:rsid w:val="003978DF"/>
    <w:rsid w:val="003C7849"/>
    <w:rsid w:val="00461588"/>
    <w:rsid w:val="0046494D"/>
    <w:rsid w:val="00473405"/>
    <w:rsid w:val="004D2DD9"/>
    <w:rsid w:val="004E08A5"/>
    <w:rsid w:val="004E3430"/>
    <w:rsid w:val="00563718"/>
    <w:rsid w:val="005763C6"/>
    <w:rsid w:val="00591554"/>
    <w:rsid w:val="005929DB"/>
    <w:rsid w:val="005E5C4B"/>
    <w:rsid w:val="005E62F0"/>
    <w:rsid w:val="00604B7E"/>
    <w:rsid w:val="006244E6"/>
    <w:rsid w:val="006264CD"/>
    <w:rsid w:val="0063248F"/>
    <w:rsid w:val="006A6D09"/>
    <w:rsid w:val="006C33AE"/>
    <w:rsid w:val="006F7ACB"/>
    <w:rsid w:val="00703CDA"/>
    <w:rsid w:val="0075291D"/>
    <w:rsid w:val="00775687"/>
    <w:rsid w:val="00776CB3"/>
    <w:rsid w:val="0079526E"/>
    <w:rsid w:val="007A1A1B"/>
    <w:rsid w:val="007C02FC"/>
    <w:rsid w:val="007F16FF"/>
    <w:rsid w:val="007F6A05"/>
    <w:rsid w:val="00800CD3"/>
    <w:rsid w:val="0081667A"/>
    <w:rsid w:val="0082499A"/>
    <w:rsid w:val="008261B5"/>
    <w:rsid w:val="008666E5"/>
    <w:rsid w:val="008C68CD"/>
    <w:rsid w:val="008D3C7A"/>
    <w:rsid w:val="008D48A9"/>
    <w:rsid w:val="008E562A"/>
    <w:rsid w:val="00905611"/>
    <w:rsid w:val="009278A2"/>
    <w:rsid w:val="00947871"/>
    <w:rsid w:val="00963E74"/>
    <w:rsid w:val="00986EBF"/>
    <w:rsid w:val="009921CA"/>
    <w:rsid w:val="009A1426"/>
    <w:rsid w:val="009A7D8C"/>
    <w:rsid w:val="009B4AE3"/>
    <w:rsid w:val="009D606A"/>
    <w:rsid w:val="00A13803"/>
    <w:rsid w:val="00A642A1"/>
    <w:rsid w:val="00A6461B"/>
    <w:rsid w:val="00AD1ECA"/>
    <w:rsid w:val="00AD2270"/>
    <w:rsid w:val="00AF6677"/>
    <w:rsid w:val="00B11246"/>
    <w:rsid w:val="00B32694"/>
    <w:rsid w:val="00B41CBF"/>
    <w:rsid w:val="00B54D9F"/>
    <w:rsid w:val="00B83491"/>
    <w:rsid w:val="00B94BAD"/>
    <w:rsid w:val="00B97B85"/>
    <w:rsid w:val="00BB78DD"/>
    <w:rsid w:val="00BD1509"/>
    <w:rsid w:val="00BD364C"/>
    <w:rsid w:val="00BF4CED"/>
    <w:rsid w:val="00C027A7"/>
    <w:rsid w:val="00C27235"/>
    <w:rsid w:val="00C84AA2"/>
    <w:rsid w:val="00CA29D4"/>
    <w:rsid w:val="00CC2419"/>
    <w:rsid w:val="00CF797E"/>
    <w:rsid w:val="00D12F67"/>
    <w:rsid w:val="00D3189E"/>
    <w:rsid w:val="00D34A0D"/>
    <w:rsid w:val="00D34D28"/>
    <w:rsid w:val="00D9023E"/>
    <w:rsid w:val="00D941BF"/>
    <w:rsid w:val="00DC1C1F"/>
    <w:rsid w:val="00E17A37"/>
    <w:rsid w:val="00E20869"/>
    <w:rsid w:val="00E90EA6"/>
    <w:rsid w:val="00E94300"/>
    <w:rsid w:val="00EF2748"/>
    <w:rsid w:val="00EF3F05"/>
    <w:rsid w:val="00F120CE"/>
    <w:rsid w:val="00F33DDA"/>
    <w:rsid w:val="00F3552F"/>
    <w:rsid w:val="00F356B2"/>
    <w:rsid w:val="00F35FD6"/>
    <w:rsid w:val="00F37D59"/>
    <w:rsid w:val="00F40C1F"/>
    <w:rsid w:val="00F9226B"/>
    <w:rsid w:val="00FB295B"/>
    <w:rsid w:val="6BFB1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68C6A"/>
  <w15:docId w15:val="{D1EE27EE-1262-47E0-B114-3944B121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ind w:firstLine="420"/>
      <w:jc w:val="both"/>
    </w:pPr>
    <w:rPr>
      <w:rFonts w:eastAsiaTheme="minorEastAsia"/>
      <w:kern w:val="2"/>
      <w:sz w:val="24"/>
      <w:szCs w:val="24"/>
    </w:rPr>
  </w:style>
  <w:style w:type="paragraph" w:styleId="1">
    <w:name w:val="heading 1"/>
    <w:basedOn w:val="a0"/>
    <w:next w:val="2"/>
    <w:link w:val="10"/>
    <w:uiPriority w:val="9"/>
    <w:qFormat/>
    <w:pPr>
      <w:keepNext/>
      <w:keepLines/>
      <w:spacing w:before="220" w:after="210" w:line="578" w:lineRule="auto"/>
    </w:pPr>
    <w:rPr>
      <w:rFonts w:ascii="Times New Roman" w:eastAsia="黑体" w:hAnsi="Times New Roman" w:cs="Times New Roman"/>
      <w:color w:val="000000"/>
      <w:kern w:val="44"/>
      <w:sz w:val="28"/>
      <w:szCs w:val="40"/>
    </w:rPr>
  </w:style>
  <w:style w:type="paragraph" w:styleId="2">
    <w:name w:val="heading 2"/>
    <w:basedOn w:val="a"/>
    <w:next w:val="a"/>
    <w:link w:val="20"/>
    <w:uiPriority w:val="9"/>
    <w:unhideWhenUsed/>
    <w:qFormat/>
    <w:pPr>
      <w:keepNext/>
      <w:keepLines/>
      <w:spacing w:line="416" w:lineRule="auto"/>
      <w:ind w:firstLine="0"/>
      <w:outlineLvl w:val="1"/>
    </w:pPr>
    <w:rPr>
      <w:rFonts w:eastAsiaTheme="majorEastAsia"/>
      <w:b/>
      <w:bCs/>
      <w:sz w:val="28"/>
      <w:szCs w:val="28"/>
    </w:rPr>
  </w:style>
  <w:style w:type="paragraph" w:styleId="3">
    <w:name w:val="heading 3"/>
    <w:basedOn w:val="a"/>
    <w:next w:val="a"/>
    <w:link w:val="30"/>
    <w:uiPriority w:val="9"/>
    <w:unhideWhenUsed/>
    <w:qFormat/>
    <w:pPr>
      <w:keepNext/>
      <w:keepLines/>
      <w:spacing w:before="260" w:after="260"/>
      <w:ind w:firstLine="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itle"/>
    <w:basedOn w:val="a"/>
    <w:next w:val="a"/>
    <w:link w:val="a4"/>
    <w:uiPriority w:val="10"/>
    <w:qFormat/>
    <w:pPr>
      <w:spacing w:before="240" w:after="60"/>
      <w:jc w:val="center"/>
      <w:outlineLvl w:val="0"/>
    </w:pPr>
    <w:rPr>
      <w:rFonts w:asciiTheme="majorHAnsi" w:eastAsiaTheme="majorEastAsia" w:hAnsiTheme="majorHAnsi" w:cstheme="majorBidi"/>
      <w:b/>
      <w:bCs/>
      <w:sz w:val="32"/>
      <w:szCs w:val="32"/>
    </w:rPr>
  </w:style>
  <w:style w:type="paragraph" w:styleId="TOC7">
    <w:name w:val="toc 7"/>
    <w:basedOn w:val="a"/>
    <w:next w:val="a"/>
    <w:uiPriority w:val="39"/>
    <w:unhideWhenUsed/>
    <w:pPr>
      <w:ind w:left="1440"/>
      <w:jc w:val="left"/>
    </w:pPr>
    <w:rPr>
      <w:rFonts w:asciiTheme="minorHAnsi" w:eastAsiaTheme="minorHAnsi"/>
      <w:sz w:val="18"/>
      <w:szCs w:val="18"/>
    </w:rPr>
  </w:style>
  <w:style w:type="paragraph" w:styleId="TOC5">
    <w:name w:val="toc 5"/>
    <w:basedOn w:val="a"/>
    <w:next w:val="a"/>
    <w:uiPriority w:val="39"/>
    <w:unhideWhenUsed/>
    <w:pPr>
      <w:ind w:left="960"/>
      <w:jc w:val="left"/>
    </w:pPr>
    <w:rPr>
      <w:rFonts w:asciiTheme="minorHAnsi" w:eastAsiaTheme="minorHAnsi"/>
      <w:sz w:val="18"/>
      <w:szCs w:val="18"/>
    </w:rPr>
  </w:style>
  <w:style w:type="paragraph" w:styleId="TOC3">
    <w:name w:val="toc 3"/>
    <w:basedOn w:val="a"/>
    <w:next w:val="a"/>
    <w:uiPriority w:val="39"/>
    <w:unhideWhenUsed/>
    <w:pPr>
      <w:ind w:left="480"/>
      <w:jc w:val="left"/>
    </w:pPr>
    <w:rPr>
      <w:rFonts w:asciiTheme="minorHAnsi" w:eastAsiaTheme="minorHAnsi"/>
      <w:i/>
      <w:iCs/>
      <w:sz w:val="20"/>
      <w:szCs w:val="20"/>
    </w:rPr>
  </w:style>
  <w:style w:type="paragraph" w:styleId="TOC8">
    <w:name w:val="toc 8"/>
    <w:basedOn w:val="a"/>
    <w:next w:val="a"/>
    <w:uiPriority w:val="39"/>
    <w:unhideWhenUsed/>
    <w:pPr>
      <w:ind w:left="1680"/>
      <w:jc w:val="left"/>
    </w:pPr>
    <w:rPr>
      <w:rFonts w:asciiTheme="minorHAnsi" w:eastAsiaTheme="minorHAnsi"/>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tabs>
        <w:tab w:val="center" w:pos="4153"/>
        <w:tab w:val="right" w:pos="8306"/>
      </w:tabs>
      <w:snapToGrid w:val="0"/>
      <w:jc w:val="center"/>
    </w:pPr>
    <w:rPr>
      <w:sz w:val="18"/>
      <w:szCs w:val="18"/>
    </w:rPr>
  </w:style>
  <w:style w:type="paragraph" w:styleId="TOC1">
    <w:name w:val="toc 1"/>
    <w:basedOn w:val="a"/>
    <w:next w:val="a"/>
    <w:uiPriority w:val="39"/>
    <w:unhideWhenUsed/>
    <w:pPr>
      <w:spacing w:before="120" w:after="120"/>
      <w:jc w:val="left"/>
    </w:pPr>
    <w:rPr>
      <w:rFonts w:asciiTheme="minorHAnsi" w:eastAsiaTheme="minorHAnsi"/>
      <w:b/>
      <w:bCs/>
      <w:caps/>
      <w:sz w:val="20"/>
      <w:szCs w:val="20"/>
    </w:rPr>
  </w:style>
  <w:style w:type="paragraph" w:styleId="TOC4">
    <w:name w:val="toc 4"/>
    <w:basedOn w:val="a"/>
    <w:next w:val="a"/>
    <w:uiPriority w:val="39"/>
    <w:unhideWhenUsed/>
    <w:pPr>
      <w:ind w:left="720"/>
      <w:jc w:val="left"/>
    </w:pPr>
    <w:rPr>
      <w:rFonts w:asciiTheme="minorHAnsi" w:eastAsiaTheme="minorHAnsi"/>
      <w:sz w:val="18"/>
      <w:szCs w:val="18"/>
    </w:rPr>
  </w:style>
  <w:style w:type="paragraph" w:styleId="TOC6">
    <w:name w:val="toc 6"/>
    <w:basedOn w:val="a"/>
    <w:next w:val="a"/>
    <w:uiPriority w:val="39"/>
    <w:unhideWhenUsed/>
    <w:pPr>
      <w:ind w:left="1200"/>
      <w:jc w:val="left"/>
    </w:pPr>
    <w:rPr>
      <w:rFonts w:asciiTheme="minorHAnsi" w:eastAsiaTheme="minorHAnsi"/>
      <w:sz w:val="18"/>
      <w:szCs w:val="18"/>
    </w:rPr>
  </w:style>
  <w:style w:type="paragraph" w:styleId="TOC2">
    <w:name w:val="toc 2"/>
    <w:basedOn w:val="a"/>
    <w:next w:val="a"/>
    <w:uiPriority w:val="39"/>
    <w:unhideWhenUsed/>
    <w:pPr>
      <w:ind w:left="240"/>
      <w:jc w:val="left"/>
    </w:pPr>
    <w:rPr>
      <w:rFonts w:asciiTheme="minorHAnsi" w:eastAsiaTheme="minorHAnsi"/>
      <w:smallCaps/>
      <w:sz w:val="20"/>
      <w:szCs w:val="20"/>
    </w:rPr>
  </w:style>
  <w:style w:type="paragraph" w:styleId="TOC9">
    <w:name w:val="toc 9"/>
    <w:basedOn w:val="a"/>
    <w:next w:val="a"/>
    <w:uiPriority w:val="39"/>
    <w:unhideWhenUsed/>
    <w:pPr>
      <w:ind w:left="1920"/>
      <w:jc w:val="left"/>
    </w:pPr>
    <w:rPr>
      <w:rFonts w:asciiTheme="minorHAnsi" w:eastAsiaTheme="minorHAnsi"/>
      <w:sz w:val="18"/>
      <w:szCs w:val="18"/>
    </w:rPr>
  </w:style>
  <w:style w:type="table" w:styleId="a9">
    <w:name w:val="Table Grid"/>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1"/>
    <w:uiPriority w:val="99"/>
    <w:semiHidden/>
    <w:unhideWhenUsed/>
  </w:style>
  <w:style w:type="character" w:styleId="ab">
    <w:name w:val="Hyperlink"/>
    <w:basedOn w:val="a1"/>
    <w:uiPriority w:val="99"/>
    <w:unhideWhenUsed/>
    <w:rPr>
      <w:color w:val="0563C1" w:themeColor="hyperlink"/>
      <w:u w:val="single"/>
    </w:rPr>
  </w:style>
  <w:style w:type="character" w:customStyle="1" w:styleId="10">
    <w:name w:val="标题 1 字符"/>
    <w:link w:val="1"/>
    <w:uiPriority w:val="9"/>
    <w:qFormat/>
    <w:rPr>
      <w:rFonts w:ascii="Times New Roman" w:eastAsia="黑体" w:hAnsi="Times New Roman" w:cs="Times New Roman"/>
      <w:b/>
      <w:bCs/>
      <w:color w:val="000000"/>
      <w:kern w:val="44"/>
      <w:sz w:val="28"/>
      <w:szCs w:val="40"/>
    </w:rPr>
  </w:style>
  <w:style w:type="character" w:customStyle="1" w:styleId="a4">
    <w:name w:val="标题 字符"/>
    <w:basedOn w:val="a1"/>
    <w:link w:val="a0"/>
    <w:uiPriority w:val="10"/>
    <w:rPr>
      <w:rFonts w:asciiTheme="majorHAnsi" w:eastAsiaTheme="majorEastAsia" w:hAnsiTheme="majorHAnsi" w:cstheme="majorBidi"/>
      <w:b/>
      <w:bCs/>
      <w:sz w:val="32"/>
      <w:szCs w:val="32"/>
    </w:rPr>
  </w:style>
  <w:style w:type="character" w:customStyle="1" w:styleId="20">
    <w:name w:val="标题 2 字符"/>
    <w:basedOn w:val="a1"/>
    <w:link w:val="2"/>
    <w:uiPriority w:val="9"/>
    <w:rPr>
      <w:rFonts w:ascii="Times New Roman" w:eastAsiaTheme="majorEastAsia" w:hAnsi="Times New Roman" w:cs="Times New Roman"/>
      <w:b/>
      <w:bCs/>
      <w:sz w:val="28"/>
      <w:szCs w:val="28"/>
    </w:rPr>
  </w:style>
  <w:style w:type="table" w:customStyle="1" w:styleId="11">
    <w:name w:val="样式1"/>
    <w:basedOn w:val="a2"/>
    <w:uiPriority w:val="99"/>
    <w:tblPr>
      <w:tblBorders>
        <w:top w:val="single" w:sz="4" w:space="0" w:color="000000" w:themeColor="text1"/>
        <w:bottom w:val="single" w:sz="4" w:space="0" w:color="000000" w:themeColor="text1"/>
      </w:tblBorders>
    </w:tblPr>
    <w:tblStylePr w:type="firstRow">
      <w:tblPr/>
      <w:tcPr>
        <w:tcBorders>
          <w:bottom w:val="single" w:sz="4" w:space="0" w:color="000000" w:themeColor="text1"/>
        </w:tcBorders>
      </w:tcPr>
    </w:tblStylePr>
  </w:style>
  <w:style w:type="table" w:customStyle="1" w:styleId="ac">
    <w:name w:val="三线表"/>
    <w:basedOn w:val="a2"/>
    <w:uiPriority w:val="99"/>
    <w:pPr>
      <w:jc w:val="both"/>
    </w:pPr>
    <w:tblPr>
      <w:tblBorders>
        <w:top w:val="single" w:sz="4" w:space="0" w:color="000000" w:themeColor="text1"/>
        <w:bottom w:val="single" w:sz="4" w:space="0" w:color="000000" w:themeColor="text1"/>
      </w:tblBorders>
    </w:tblPr>
    <w:tcPr>
      <w:vAlign w:val="center"/>
    </w:tcPr>
    <w:tblStylePr w:type="firstRow">
      <w:tblPr/>
      <w:tcPr>
        <w:tcBorders>
          <w:bottom w:val="single" w:sz="4" w:space="0" w:color="000000" w:themeColor="text1"/>
        </w:tcBorders>
      </w:tcPr>
    </w:tblStylePr>
  </w:style>
  <w:style w:type="character" w:customStyle="1" w:styleId="30">
    <w:name w:val="标题 3 字符"/>
    <w:basedOn w:val="a1"/>
    <w:link w:val="3"/>
    <w:uiPriority w:val="9"/>
    <w:rPr>
      <w:rFonts w:ascii="Times New Roman" w:hAnsi="Times New Roman" w:cs="Times New Roman"/>
      <w:b/>
      <w:sz w:val="24"/>
    </w:rPr>
  </w:style>
  <w:style w:type="character" w:customStyle="1" w:styleId="12">
    <w:name w:val="未处理的提及1"/>
    <w:basedOn w:val="a1"/>
    <w:uiPriority w:val="99"/>
    <w:semiHidden/>
    <w:unhideWhenUsed/>
    <w:rPr>
      <w:color w:val="605E5C"/>
      <w:shd w:val="clear" w:color="auto" w:fill="E1DFDD"/>
    </w:rPr>
  </w:style>
  <w:style w:type="paragraph" w:styleId="ad">
    <w:name w:val="List Paragraph"/>
    <w:basedOn w:val="a"/>
    <w:uiPriority w:val="34"/>
    <w:qFormat/>
    <w:pPr>
      <w:ind w:firstLineChars="200" w:firstLine="200"/>
    </w:pPr>
  </w:style>
  <w:style w:type="character" w:customStyle="1" w:styleId="apple-converted-space">
    <w:name w:val="apple-converted-space"/>
    <w:basedOn w:val="a1"/>
  </w:style>
  <w:style w:type="character" w:customStyle="1" w:styleId="a8">
    <w:name w:val="页眉 字符"/>
    <w:basedOn w:val="a1"/>
    <w:link w:val="a7"/>
    <w:uiPriority w:val="99"/>
    <w:rPr>
      <w:rFonts w:ascii="Times New Roman" w:hAnsi="Times New Roman" w:cs="Times New Roman"/>
      <w:sz w:val="18"/>
      <w:szCs w:val="18"/>
    </w:rPr>
  </w:style>
  <w:style w:type="character" w:customStyle="1" w:styleId="a6">
    <w:name w:val="页脚 字符"/>
    <w:basedOn w:val="a1"/>
    <w:link w:val="a5"/>
    <w:uiPriority w:val="99"/>
    <w:rPr>
      <w:rFonts w:ascii="Times New Roman" w:hAnsi="Times New Roman" w:cs="Times New Roman"/>
      <w:sz w:val="18"/>
      <w:szCs w:val="18"/>
    </w:rPr>
  </w:style>
  <w:style w:type="paragraph" w:customStyle="1" w:styleId="TOC10">
    <w:name w:val="TOC 标题1"/>
    <w:basedOn w:val="1"/>
    <w:next w:val="a"/>
    <w:uiPriority w:val="39"/>
    <w:unhideWhenUsed/>
    <w:qFormat/>
    <w:pPr>
      <w:spacing w:before="340" w:after="330"/>
      <w:jc w:val="both"/>
      <w:outlineLvl w:val="9"/>
    </w:pPr>
    <w:rPr>
      <w:rFonts w:eastAsiaTheme="minorEastAsia"/>
      <w:color w:val="auto"/>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8861</Words>
  <Characters>50509</Characters>
  <Application>Microsoft Office Word</Application>
  <DocSecurity>0</DocSecurity>
  <Lines>420</Lines>
  <Paragraphs>118</Paragraphs>
  <ScaleCrop>false</ScaleCrop>
  <Company/>
  <LinksUpToDate>false</LinksUpToDate>
  <CharactersWithSpaces>59252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vlb</dc:creator>
  <cp:lastModifiedBy>冬雪 黄</cp:lastModifiedBy>
  <cp:revision>2</cp:revision>
  <dcterms:created xsi:type="dcterms:W3CDTF">2023-12-01T19:32:00Z</dcterms:created>
  <dcterms:modified xsi:type="dcterms:W3CDTF">2023-12-01T19:32:00Z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2052-6.3.0.8471</vt:lpwstr>
  </property>
  <property fmtid="{D5CDD505-2E9C-101B-9397-08002B2CF9AE}" pid="3" name="ICV">
    <vt:lpwstr>0E2CF6D178974C4564266A65DEF2FD2B_42</vt:lpwstr>
  </property>
</Properties>
</file>