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FCBFF0" w14:textId="77777777" w:rsidR="008A5538" w:rsidRPr="008A5538" w:rsidRDefault="008A5538" w:rsidP="008A5538">
      <w:pPr>
        <w:rPr>
          <w:rFonts w:asciiTheme="majorBidi" w:hAnsiTheme="majorBidi" w:cstheme="majorBidi"/>
          <w:sz w:val="28"/>
          <w:szCs w:val="28"/>
        </w:rPr>
      </w:pPr>
      <w:r w:rsidRPr="008A5538">
        <w:rPr>
          <w:rFonts w:asciiTheme="majorBidi" w:hAnsiTheme="majorBidi" w:cstheme="majorBidi"/>
          <w:sz w:val="28"/>
          <w:szCs w:val="28"/>
        </w:rPr>
        <w:t>Methods</w:t>
      </w:r>
    </w:p>
    <w:p w14:paraId="2B5C50F3" w14:textId="77777777" w:rsidR="008A5538" w:rsidRPr="00D50E9B" w:rsidRDefault="008A5538" w:rsidP="008A5538">
      <w:pPr>
        <w:rPr>
          <w:rFonts w:asciiTheme="majorBidi" w:hAnsiTheme="majorBidi" w:cstheme="majorBidi"/>
          <w:i/>
          <w:iCs/>
        </w:rPr>
      </w:pPr>
      <w:r w:rsidRPr="00D50E9B">
        <w:rPr>
          <w:rFonts w:asciiTheme="majorBidi" w:hAnsiTheme="majorBidi" w:cstheme="majorBidi"/>
          <w:i/>
          <w:iCs/>
        </w:rPr>
        <w:t>The Search Process</w:t>
      </w:r>
    </w:p>
    <w:p w14:paraId="2E0A1B0A" w14:textId="77777777" w:rsidR="008A5538" w:rsidRPr="008A5538" w:rsidRDefault="008A5538" w:rsidP="008A5538">
      <w:p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>In order to conduct a thorough examination of the literature, eight electronic databases were selected for use. A database search of published literature dating from January 2016 to April 2026 was conducted. Seven electronic databases were selected for this purpose: ScienceDirect, JSTOR, ProQuest, PsycINFO, PsycARTICLES, EBSCOhost, and Google Scholar.</w:t>
      </w:r>
    </w:p>
    <w:p w14:paraId="4BA15DB7" w14:textId="54B2DE29" w:rsidR="008A5538" w:rsidRPr="008A5538" w:rsidRDefault="008A5538" w:rsidP="008A5538">
      <w:p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>Search terms were developed using Boolean operators and truncations to maximise retrieval. Core search strings included combinations of:</w:t>
      </w:r>
      <w:r>
        <w:rPr>
          <w:rFonts w:asciiTheme="majorBidi" w:hAnsiTheme="majorBidi" w:cstheme="majorBidi"/>
        </w:rPr>
        <w:t xml:space="preserve"> </w:t>
      </w:r>
      <w:r w:rsidRPr="008A5538">
        <w:rPr>
          <w:rFonts w:asciiTheme="majorBidi" w:hAnsiTheme="majorBidi" w:cstheme="majorBidi"/>
        </w:rPr>
        <w:t>“eating disorder” OR “anorexia nervosa” OR “bulimia nervosa”*</w:t>
      </w:r>
      <w:r>
        <w:rPr>
          <w:rFonts w:asciiTheme="majorBidi" w:hAnsiTheme="majorBidi" w:cstheme="majorBidi"/>
        </w:rPr>
        <w:t xml:space="preserve"> </w:t>
      </w:r>
      <w:r w:rsidRPr="008A5538">
        <w:rPr>
          <w:rFonts w:asciiTheme="majorBidi" w:hAnsiTheme="majorBidi" w:cstheme="majorBidi"/>
        </w:rPr>
        <w:t>“family therapy” OR “family-based treatment” OR “Maudsley” OR “multifamily therapy”</w:t>
      </w:r>
      <w:r>
        <w:rPr>
          <w:rFonts w:asciiTheme="majorBidi" w:hAnsiTheme="majorBidi" w:cstheme="majorBidi"/>
        </w:rPr>
        <w:t xml:space="preserve"> </w:t>
      </w:r>
      <w:r w:rsidRPr="008A5538">
        <w:rPr>
          <w:rFonts w:asciiTheme="majorBidi" w:hAnsiTheme="majorBidi" w:cstheme="majorBidi"/>
        </w:rPr>
        <w:t>“experience” OR “perception*” OR “lived experience” OR “qualitative”*</w:t>
      </w:r>
      <w:r>
        <w:rPr>
          <w:rFonts w:asciiTheme="majorBidi" w:hAnsiTheme="majorBidi" w:cstheme="majorBidi"/>
        </w:rPr>
        <w:t xml:space="preserve"> </w:t>
      </w:r>
      <w:r w:rsidRPr="008A5538">
        <w:rPr>
          <w:rFonts w:asciiTheme="majorBidi" w:hAnsiTheme="majorBidi" w:cstheme="majorBidi"/>
        </w:rPr>
        <w:t>“adolescent” OR “young people” OR “child*”*</w:t>
      </w:r>
    </w:p>
    <w:p w14:paraId="58099F03" w14:textId="39F2F248" w:rsidR="008A5538" w:rsidRPr="008A5538" w:rsidRDefault="008A5538" w:rsidP="008A5538">
      <w:p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 xml:space="preserve">Reference </w:t>
      </w:r>
      <w:r w:rsidR="003B3E30">
        <w:rPr>
          <w:rFonts w:asciiTheme="majorBidi" w:hAnsiTheme="majorBidi" w:cstheme="majorBidi"/>
        </w:rPr>
        <w:t>lists of included papers were also hand-searched</w:t>
      </w:r>
      <w:r w:rsidRPr="008A5538">
        <w:rPr>
          <w:rFonts w:asciiTheme="majorBidi" w:hAnsiTheme="majorBidi" w:cstheme="majorBidi"/>
        </w:rPr>
        <w:t xml:space="preserve"> to identify any additional relevant studies. Grey literature was </w:t>
      </w:r>
      <w:r w:rsidR="009A2490">
        <w:rPr>
          <w:rFonts w:asciiTheme="majorBidi" w:hAnsiTheme="majorBidi" w:cstheme="majorBidi"/>
        </w:rPr>
        <w:t>excluded because the review focused</w:t>
      </w:r>
      <w:r w:rsidRPr="008A5538">
        <w:rPr>
          <w:rFonts w:asciiTheme="majorBidi" w:hAnsiTheme="majorBidi" w:cstheme="majorBidi"/>
        </w:rPr>
        <w:t xml:space="preserve"> on peer-reviewed empirical evidence.</w:t>
      </w:r>
    </w:p>
    <w:p w14:paraId="04262C41" w14:textId="77777777" w:rsidR="008A5538" w:rsidRPr="008A5538" w:rsidRDefault="008A5538" w:rsidP="008A5538">
      <w:pPr>
        <w:rPr>
          <w:rFonts w:asciiTheme="majorBidi" w:hAnsiTheme="majorBidi" w:cstheme="majorBidi"/>
        </w:rPr>
      </w:pPr>
    </w:p>
    <w:p w14:paraId="477C7E3F" w14:textId="77777777" w:rsidR="008A5538" w:rsidRPr="00D50E9B" w:rsidRDefault="008A5538" w:rsidP="008A5538">
      <w:pPr>
        <w:rPr>
          <w:rFonts w:asciiTheme="majorBidi" w:hAnsiTheme="majorBidi" w:cstheme="majorBidi"/>
          <w:i/>
          <w:iCs/>
        </w:rPr>
      </w:pPr>
      <w:r w:rsidRPr="00D50E9B">
        <w:rPr>
          <w:rFonts w:asciiTheme="majorBidi" w:hAnsiTheme="majorBidi" w:cstheme="majorBidi"/>
          <w:i/>
          <w:iCs/>
        </w:rPr>
        <w:t>Inclusion and Exclusion Criteria</w:t>
      </w:r>
    </w:p>
    <w:p w14:paraId="4F35E7E5" w14:textId="77777777" w:rsidR="008A5538" w:rsidRPr="008A5538" w:rsidRDefault="008A5538" w:rsidP="008A5538">
      <w:p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>Studies were selected according to predefined inclusion and exclusion criteria.</w:t>
      </w:r>
    </w:p>
    <w:p w14:paraId="510E46F9" w14:textId="77777777" w:rsidR="008A5538" w:rsidRPr="008A5538" w:rsidRDefault="008A5538" w:rsidP="008A5538">
      <w:p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>Inclusion criteria:</w:t>
      </w:r>
    </w:p>
    <w:p w14:paraId="5A1F42DC" w14:textId="77777777" w:rsidR="008A5538" w:rsidRPr="008A5538" w:rsidRDefault="008A5538" w:rsidP="008A5538">
      <w:pPr>
        <w:pStyle w:val="ListParagraph"/>
        <w:numPr>
          <w:ilvl w:val="0"/>
          <w:numId w:val="1"/>
        </w:num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>Published between January 2016 – April 2026</w:t>
      </w:r>
    </w:p>
    <w:p w14:paraId="606F5797" w14:textId="77777777" w:rsidR="008A5538" w:rsidRPr="008A5538" w:rsidRDefault="008A5538" w:rsidP="008A5538">
      <w:pPr>
        <w:pStyle w:val="ListParagraph"/>
        <w:numPr>
          <w:ilvl w:val="0"/>
          <w:numId w:val="1"/>
        </w:num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>Peer-reviewed journal articles</w:t>
      </w:r>
    </w:p>
    <w:p w14:paraId="11CF7CAE" w14:textId="77777777" w:rsidR="008A5538" w:rsidRPr="008A5538" w:rsidRDefault="008A5538" w:rsidP="008A5538">
      <w:pPr>
        <w:pStyle w:val="ListParagraph"/>
        <w:numPr>
          <w:ilvl w:val="0"/>
          <w:numId w:val="1"/>
        </w:num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>Qualitative empirical design (e.g., interviews, focus groups, thematic analysis, IPA)</w:t>
      </w:r>
    </w:p>
    <w:p w14:paraId="693AAE6A" w14:textId="77777777" w:rsidR="008A5538" w:rsidRPr="008A5538" w:rsidRDefault="008A5538" w:rsidP="008A5538">
      <w:pPr>
        <w:pStyle w:val="ListParagraph"/>
        <w:numPr>
          <w:ilvl w:val="0"/>
          <w:numId w:val="1"/>
        </w:num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>Focus on family therapy / family-based interventions (including FBT, Maudsley, multifamily therapy)</w:t>
      </w:r>
    </w:p>
    <w:p w14:paraId="01E8CDB9" w14:textId="77777777" w:rsidR="008A5538" w:rsidRPr="008A5538" w:rsidRDefault="008A5538" w:rsidP="008A5538">
      <w:pPr>
        <w:pStyle w:val="ListParagraph"/>
        <w:numPr>
          <w:ilvl w:val="0"/>
          <w:numId w:val="1"/>
        </w:num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>Participants included young people with eating disorders and/or their families</w:t>
      </w:r>
    </w:p>
    <w:p w14:paraId="4C8CEA67" w14:textId="77777777" w:rsidR="008A5538" w:rsidRPr="008A5538" w:rsidRDefault="008A5538" w:rsidP="008A5538">
      <w:pPr>
        <w:pStyle w:val="ListParagraph"/>
        <w:numPr>
          <w:ilvl w:val="0"/>
          <w:numId w:val="1"/>
        </w:num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>English language publications</w:t>
      </w:r>
    </w:p>
    <w:p w14:paraId="5F3D244C" w14:textId="77777777" w:rsidR="008A5538" w:rsidRPr="008A5538" w:rsidRDefault="008A5538" w:rsidP="008A5538">
      <w:p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>Exclusion criteria:</w:t>
      </w:r>
    </w:p>
    <w:p w14:paraId="527B5B5B" w14:textId="77777777" w:rsidR="008A5538" w:rsidRPr="008A5538" w:rsidRDefault="008A5538" w:rsidP="008A5538">
      <w:pPr>
        <w:pStyle w:val="ListParagraph"/>
        <w:numPr>
          <w:ilvl w:val="0"/>
          <w:numId w:val="2"/>
        </w:num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>Quantitative-only studies</w:t>
      </w:r>
    </w:p>
    <w:p w14:paraId="1AC1796E" w14:textId="77777777" w:rsidR="008A5538" w:rsidRPr="008A5538" w:rsidRDefault="008A5538" w:rsidP="008A5538">
      <w:pPr>
        <w:pStyle w:val="ListParagraph"/>
        <w:numPr>
          <w:ilvl w:val="0"/>
          <w:numId w:val="2"/>
        </w:num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>Reviews, meta-analyses, editorials, or commentaries</w:t>
      </w:r>
    </w:p>
    <w:p w14:paraId="6A83FC1F" w14:textId="3361BCAF" w:rsidR="008A5538" w:rsidRPr="008A5538" w:rsidRDefault="008A5538" w:rsidP="008A5538">
      <w:pPr>
        <w:pStyle w:val="ListParagraph"/>
        <w:numPr>
          <w:ilvl w:val="0"/>
          <w:numId w:val="2"/>
        </w:num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 xml:space="preserve">Adult-only samples (unless family therapy </w:t>
      </w:r>
      <w:r>
        <w:rPr>
          <w:rFonts w:asciiTheme="majorBidi" w:hAnsiTheme="majorBidi" w:cstheme="majorBidi"/>
        </w:rPr>
        <w:t xml:space="preserve">is </w:t>
      </w:r>
      <w:r w:rsidRPr="008A5538">
        <w:rPr>
          <w:rFonts w:asciiTheme="majorBidi" w:hAnsiTheme="majorBidi" w:cstheme="majorBidi"/>
        </w:rPr>
        <w:t>delivered within youth services)</w:t>
      </w:r>
    </w:p>
    <w:p w14:paraId="24C99E61" w14:textId="77777777" w:rsidR="008A5538" w:rsidRPr="008A5538" w:rsidRDefault="008A5538" w:rsidP="008A5538">
      <w:pPr>
        <w:pStyle w:val="ListParagraph"/>
        <w:numPr>
          <w:ilvl w:val="0"/>
          <w:numId w:val="2"/>
        </w:num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>Studies not focused on treatment/intervention experience</w:t>
      </w:r>
    </w:p>
    <w:p w14:paraId="20DECA81" w14:textId="3DC9DAC9" w:rsidR="008A5538" w:rsidRPr="008A5538" w:rsidRDefault="008A5538" w:rsidP="008A5538">
      <w:pPr>
        <w:pStyle w:val="ListParagraph"/>
        <w:numPr>
          <w:ilvl w:val="0"/>
          <w:numId w:val="2"/>
        </w:num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>Non-peer-reviewed literature</w:t>
      </w:r>
    </w:p>
    <w:p w14:paraId="375FF8C0" w14:textId="77777777" w:rsidR="008A5538" w:rsidRPr="008A5538" w:rsidRDefault="008A5538" w:rsidP="008A5538">
      <w:p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>Following screening, six papers met the inclusion criteria.</w:t>
      </w:r>
    </w:p>
    <w:p w14:paraId="77D6C05A" w14:textId="77777777" w:rsidR="008A5538" w:rsidRPr="008A5538" w:rsidRDefault="008A5538" w:rsidP="008A5538">
      <w:pPr>
        <w:rPr>
          <w:rFonts w:asciiTheme="majorBidi" w:hAnsiTheme="majorBidi" w:cstheme="majorBidi"/>
        </w:rPr>
      </w:pPr>
    </w:p>
    <w:p w14:paraId="45CC92B7" w14:textId="47905FF0" w:rsidR="008A5538" w:rsidRPr="00D50E9B" w:rsidRDefault="008A5538" w:rsidP="008A5538">
      <w:pPr>
        <w:rPr>
          <w:rFonts w:asciiTheme="majorBidi" w:hAnsiTheme="majorBidi" w:cstheme="majorBidi"/>
          <w:i/>
          <w:iCs/>
        </w:rPr>
      </w:pPr>
      <w:r w:rsidRPr="00D50E9B">
        <w:rPr>
          <w:rFonts w:asciiTheme="majorBidi" w:hAnsiTheme="majorBidi" w:cstheme="majorBidi"/>
          <w:i/>
          <w:iCs/>
        </w:rPr>
        <w:t>Quality Assessment, Screening and Coding</w:t>
      </w:r>
    </w:p>
    <w:p w14:paraId="54255125" w14:textId="382C8D3C" w:rsidR="008A5538" w:rsidRPr="008A5538" w:rsidRDefault="008A5538" w:rsidP="008A5538">
      <w:p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lastRenderedPageBreak/>
        <w:t xml:space="preserve">Screening followed a staged approach aligned with </w:t>
      </w:r>
      <w:r>
        <w:rPr>
          <w:rFonts w:asciiTheme="majorBidi" w:hAnsiTheme="majorBidi" w:cstheme="majorBidi"/>
        </w:rPr>
        <w:t>the guidance of systematic reviews</w:t>
      </w:r>
      <w:r w:rsidRPr="008A5538">
        <w:rPr>
          <w:rFonts w:asciiTheme="majorBidi" w:hAnsiTheme="majorBidi" w:cstheme="majorBidi"/>
        </w:rPr>
        <w:t>.</w:t>
      </w:r>
    </w:p>
    <w:p w14:paraId="37A1B40E" w14:textId="524CDF43" w:rsidR="008A5538" w:rsidRPr="008A5538" w:rsidRDefault="008A5538" w:rsidP="008A5538">
      <w:pPr>
        <w:pStyle w:val="ListParagraph"/>
        <w:numPr>
          <w:ilvl w:val="0"/>
          <w:numId w:val="3"/>
        </w:num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 xml:space="preserve">Title screening </w:t>
      </w:r>
      <w:r w:rsidR="00D50E9B">
        <w:rPr>
          <w:rFonts w:asciiTheme="majorBidi" w:hAnsiTheme="majorBidi" w:cstheme="majorBidi"/>
        </w:rPr>
        <w:t xml:space="preserve">- </w:t>
      </w:r>
      <w:r w:rsidRPr="008A5538">
        <w:rPr>
          <w:rFonts w:asciiTheme="majorBidi" w:hAnsiTheme="majorBidi" w:cstheme="majorBidi"/>
        </w:rPr>
        <w:t>removal of clearly irrelevant studies</w:t>
      </w:r>
    </w:p>
    <w:p w14:paraId="024520B5" w14:textId="1ADE22FE" w:rsidR="008A5538" w:rsidRPr="008A5538" w:rsidRDefault="008A5538" w:rsidP="008A5538">
      <w:pPr>
        <w:pStyle w:val="ListParagraph"/>
        <w:numPr>
          <w:ilvl w:val="0"/>
          <w:numId w:val="3"/>
        </w:num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 xml:space="preserve">Abstract screening </w:t>
      </w:r>
      <w:r w:rsidR="00D50E9B">
        <w:rPr>
          <w:rFonts w:asciiTheme="majorBidi" w:hAnsiTheme="majorBidi" w:cstheme="majorBidi"/>
        </w:rPr>
        <w:t>-</w:t>
      </w:r>
      <w:r w:rsidRPr="008A5538">
        <w:rPr>
          <w:rFonts w:asciiTheme="majorBidi" w:hAnsiTheme="majorBidi" w:cstheme="majorBidi"/>
        </w:rPr>
        <w:t xml:space="preserve"> assessment against inclusion criteria</w:t>
      </w:r>
    </w:p>
    <w:p w14:paraId="1138C1F5" w14:textId="7F564F25" w:rsidR="008A5538" w:rsidRPr="008A5538" w:rsidRDefault="008A5538" w:rsidP="008A5538">
      <w:pPr>
        <w:pStyle w:val="ListParagraph"/>
        <w:numPr>
          <w:ilvl w:val="0"/>
          <w:numId w:val="3"/>
        </w:num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 xml:space="preserve">Full-text review </w:t>
      </w:r>
      <w:r w:rsidR="00D50E9B">
        <w:rPr>
          <w:rFonts w:asciiTheme="majorBidi" w:hAnsiTheme="majorBidi" w:cstheme="majorBidi"/>
        </w:rPr>
        <w:t>-</w:t>
      </w:r>
      <w:r w:rsidRPr="008A5538">
        <w:rPr>
          <w:rFonts w:asciiTheme="majorBidi" w:hAnsiTheme="majorBidi" w:cstheme="majorBidi"/>
        </w:rPr>
        <w:t xml:space="preserve"> eligibility confirmation</w:t>
      </w:r>
    </w:p>
    <w:p w14:paraId="3F39D011" w14:textId="55F42DC1" w:rsidR="008A5538" w:rsidRPr="008A5538" w:rsidRDefault="008A5538" w:rsidP="008A5538">
      <w:pPr>
        <w:pStyle w:val="ListParagraph"/>
        <w:numPr>
          <w:ilvl w:val="0"/>
          <w:numId w:val="3"/>
        </w:num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 xml:space="preserve">Quality appraisal </w:t>
      </w:r>
      <w:r w:rsidR="00D50E9B">
        <w:rPr>
          <w:rFonts w:asciiTheme="majorBidi" w:hAnsiTheme="majorBidi" w:cstheme="majorBidi"/>
        </w:rPr>
        <w:t>-</w:t>
      </w:r>
      <w:r w:rsidRPr="008A5538">
        <w:rPr>
          <w:rFonts w:asciiTheme="majorBidi" w:hAnsiTheme="majorBidi" w:cstheme="majorBidi"/>
        </w:rPr>
        <w:t xml:space="preserve"> CASP checklist applied</w:t>
      </w:r>
    </w:p>
    <w:p w14:paraId="3D9813C9" w14:textId="477BE899" w:rsidR="008A5538" w:rsidRDefault="008A5538" w:rsidP="008A5538">
      <w:pPr>
        <w:pStyle w:val="ListParagraph"/>
        <w:numPr>
          <w:ilvl w:val="0"/>
          <w:numId w:val="3"/>
        </w:num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 xml:space="preserve">Data extraction and coding </w:t>
      </w:r>
      <w:r w:rsidR="00D50E9B">
        <w:rPr>
          <w:rFonts w:asciiTheme="majorBidi" w:hAnsiTheme="majorBidi" w:cstheme="majorBidi"/>
        </w:rPr>
        <w:t xml:space="preserve">- </w:t>
      </w:r>
      <w:r w:rsidRPr="008A5538">
        <w:rPr>
          <w:rFonts w:asciiTheme="majorBidi" w:hAnsiTheme="majorBidi" w:cstheme="majorBidi"/>
        </w:rPr>
        <w:t>thematic synthesis preparation</w:t>
      </w:r>
    </w:p>
    <w:p w14:paraId="4A364274" w14:textId="77777777" w:rsidR="000E5ABC" w:rsidRPr="008A5538" w:rsidRDefault="000E5ABC" w:rsidP="00D50E9B">
      <w:pPr>
        <w:pStyle w:val="ListParagraph"/>
        <w:rPr>
          <w:rFonts w:asciiTheme="majorBidi" w:hAnsiTheme="majorBidi" w:cstheme="majorBidi"/>
        </w:rPr>
      </w:pPr>
    </w:p>
    <w:p w14:paraId="59D78202" w14:textId="41E33C94" w:rsidR="000656BA" w:rsidRPr="000656BA" w:rsidRDefault="00960A15" w:rsidP="000656BA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The six s</w:t>
      </w:r>
      <w:r w:rsidR="000656BA" w:rsidRPr="000656BA">
        <w:rPr>
          <w:rFonts w:asciiTheme="majorBidi" w:hAnsiTheme="majorBidi" w:cstheme="majorBidi"/>
        </w:rPr>
        <w:t xml:space="preserve">tudies included in </w:t>
      </w:r>
      <w:r>
        <w:rPr>
          <w:rFonts w:asciiTheme="majorBidi" w:hAnsiTheme="majorBidi" w:cstheme="majorBidi"/>
        </w:rPr>
        <w:t>the final synthesis are summarised below in Table 1.</w:t>
      </w:r>
    </w:p>
    <w:p w14:paraId="3F6AC83A" w14:textId="77777777" w:rsidR="000656BA" w:rsidRDefault="000656BA" w:rsidP="006E2C3B">
      <w:pPr>
        <w:rPr>
          <w:rFonts w:asciiTheme="majorBidi" w:hAnsiTheme="majorBidi" w:cstheme="majorBidi"/>
        </w:rPr>
      </w:pPr>
    </w:p>
    <w:p w14:paraId="5D81BD2D" w14:textId="2E4A8059" w:rsidR="006E2C3B" w:rsidRPr="00336DD6" w:rsidRDefault="00B40214" w:rsidP="006E2C3B">
      <w:pPr>
        <w:rPr>
          <w:rFonts w:asciiTheme="majorBidi" w:hAnsiTheme="majorBidi" w:cstheme="majorBidi"/>
        </w:rPr>
      </w:pPr>
      <w:r w:rsidRPr="008A5538">
        <w:rPr>
          <w:rFonts w:asciiTheme="majorBidi" w:hAnsiTheme="majorBidi" w:cstheme="majorBidi"/>
        </w:rPr>
        <w:t>Table</w:t>
      </w:r>
      <w:r>
        <w:rPr>
          <w:rFonts w:asciiTheme="majorBidi" w:hAnsiTheme="majorBidi" w:cstheme="majorBidi"/>
        </w:rPr>
        <w:t xml:space="preserve"> 1</w:t>
      </w:r>
      <w:r>
        <w:rPr>
          <w:rFonts w:asciiTheme="majorBidi" w:hAnsiTheme="majorBidi" w:cstheme="majorBidi"/>
        </w:rPr>
        <w:t xml:space="preserve">: </w:t>
      </w:r>
      <w:r w:rsidR="00C034C7" w:rsidRPr="00C034C7">
        <w:rPr>
          <w:rFonts w:asciiTheme="majorBidi" w:hAnsiTheme="majorBidi" w:cstheme="majorBidi"/>
        </w:rPr>
        <w:t>Summary characteristics of studies reporting</w:t>
      </w:r>
      <w:r w:rsidR="00A558A4">
        <w:rPr>
          <w:rFonts w:asciiTheme="majorBidi" w:hAnsiTheme="majorBidi" w:cstheme="majorBidi"/>
        </w:rPr>
        <w:t xml:space="preserve"> </w:t>
      </w:r>
      <w:r w:rsidR="000B13CB" w:rsidRPr="000B13CB">
        <w:rPr>
          <w:rFonts w:asciiTheme="majorBidi" w:hAnsiTheme="majorBidi" w:cstheme="majorBidi"/>
        </w:rPr>
        <w:t>Experiences of Family Therapy for Eating Disorders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863"/>
        <w:gridCol w:w="867"/>
        <w:gridCol w:w="1699"/>
        <w:gridCol w:w="1745"/>
        <w:gridCol w:w="2852"/>
      </w:tblGrid>
      <w:tr w:rsidR="006E2C3B" w:rsidRPr="00336DD6" w14:paraId="22563170" w14:textId="77777777" w:rsidTr="005F1D5D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5433ECA" w14:textId="77777777" w:rsidR="006E2C3B" w:rsidRPr="00336DD6" w:rsidRDefault="006E2C3B" w:rsidP="005F1D5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b/>
                <w:bCs/>
                <w:kern w:val="0"/>
                <w:sz w:val="22"/>
                <w:szCs w:val="22"/>
                <w14:ligatures w14:val="none"/>
              </w:rPr>
              <w:t>Study</w:t>
            </w:r>
          </w:p>
        </w:tc>
        <w:tc>
          <w:tcPr>
            <w:tcW w:w="0" w:type="auto"/>
            <w:vAlign w:val="center"/>
            <w:hideMark/>
          </w:tcPr>
          <w:p w14:paraId="0FCCA440" w14:textId="77777777" w:rsidR="006E2C3B" w:rsidRPr="00336DD6" w:rsidRDefault="006E2C3B" w:rsidP="005F1D5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b/>
                <w:bCs/>
                <w:kern w:val="0"/>
                <w:sz w:val="22"/>
                <w:szCs w:val="22"/>
                <w14:ligatures w14:val="none"/>
              </w:rPr>
              <w:t>Country</w:t>
            </w:r>
          </w:p>
        </w:tc>
        <w:tc>
          <w:tcPr>
            <w:tcW w:w="0" w:type="auto"/>
            <w:vAlign w:val="center"/>
            <w:hideMark/>
          </w:tcPr>
          <w:p w14:paraId="38C5EF10" w14:textId="77777777" w:rsidR="006E2C3B" w:rsidRPr="00336DD6" w:rsidRDefault="006E2C3B" w:rsidP="005F1D5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b/>
                <w:bCs/>
                <w:kern w:val="0"/>
                <w:sz w:val="22"/>
                <w:szCs w:val="22"/>
                <w14:ligatures w14:val="none"/>
              </w:rPr>
              <w:t>Study Design</w:t>
            </w:r>
          </w:p>
        </w:tc>
        <w:tc>
          <w:tcPr>
            <w:tcW w:w="0" w:type="auto"/>
            <w:vAlign w:val="center"/>
            <w:hideMark/>
          </w:tcPr>
          <w:p w14:paraId="1C70FB0D" w14:textId="77777777" w:rsidR="006E2C3B" w:rsidRPr="00336DD6" w:rsidRDefault="006E2C3B" w:rsidP="005F1D5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b/>
                <w:bCs/>
                <w:kern w:val="0"/>
                <w:sz w:val="22"/>
                <w:szCs w:val="22"/>
                <w14:ligatures w14:val="none"/>
              </w:rPr>
              <w:t>Data Collection Method</w:t>
            </w:r>
          </w:p>
        </w:tc>
        <w:tc>
          <w:tcPr>
            <w:tcW w:w="0" w:type="auto"/>
            <w:vAlign w:val="center"/>
            <w:hideMark/>
          </w:tcPr>
          <w:p w14:paraId="355BEB14" w14:textId="77777777" w:rsidR="006E2C3B" w:rsidRPr="00336DD6" w:rsidRDefault="006E2C3B" w:rsidP="005F1D5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b/>
                <w:bCs/>
                <w:kern w:val="0"/>
                <w:sz w:val="22"/>
                <w:szCs w:val="22"/>
                <w14:ligatures w14:val="none"/>
              </w:rPr>
              <w:t>Sample</w:t>
            </w:r>
          </w:p>
        </w:tc>
      </w:tr>
      <w:tr w:rsidR="006E2C3B" w:rsidRPr="00336DD6" w14:paraId="61EB0F06" w14:textId="77777777" w:rsidTr="005F1D5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FB360FD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Brinchmann &amp; Krvavac (2021)</w:t>
            </w:r>
          </w:p>
        </w:tc>
        <w:tc>
          <w:tcPr>
            <w:tcW w:w="0" w:type="auto"/>
            <w:vAlign w:val="center"/>
            <w:hideMark/>
          </w:tcPr>
          <w:p w14:paraId="7F9CB8CD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Norway</w:t>
            </w:r>
          </w:p>
        </w:tc>
        <w:tc>
          <w:tcPr>
            <w:tcW w:w="0" w:type="auto"/>
            <w:vAlign w:val="center"/>
            <w:hideMark/>
          </w:tcPr>
          <w:p w14:paraId="3A6A8A15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Qualitative</w:t>
            </w:r>
          </w:p>
        </w:tc>
        <w:tc>
          <w:tcPr>
            <w:tcW w:w="0" w:type="auto"/>
            <w:vAlign w:val="center"/>
            <w:hideMark/>
          </w:tcPr>
          <w:p w14:paraId="244019FA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Semi-structured interviews</w:t>
            </w:r>
          </w:p>
        </w:tc>
        <w:tc>
          <w:tcPr>
            <w:tcW w:w="0" w:type="auto"/>
            <w:vAlign w:val="center"/>
            <w:hideMark/>
          </w:tcPr>
          <w:p w14:paraId="4A315733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Young adult women + families in multifamily therapy</w:t>
            </w:r>
          </w:p>
        </w:tc>
      </w:tr>
      <w:tr w:rsidR="006E2C3B" w:rsidRPr="00336DD6" w14:paraId="7D0E2CFA" w14:textId="77777777" w:rsidTr="005F1D5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1AC4EAC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Conti et al. (2017)</w:t>
            </w:r>
          </w:p>
        </w:tc>
        <w:tc>
          <w:tcPr>
            <w:tcW w:w="0" w:type="auto"/>
            <w:vAlign w:val="center"/>
            <w:hideMark/>
          </w:tcPr>
          <w:p w14:paraId="1A52C8C5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Australia</w:t>
            </w:r>
          </w:p>
        </w:tc>
        <w:tc>
          <w:tcPr>
            <w:tcW w:w="0" w:type="auto"/>
            <w:vAlign w:val="center"/>
            <w:hideMark/>
          </w:tcPr>
          <w:p w14:paraId="74ECEE74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Qualitative</w:t>
            </w:r>
          </w:p>
        </w:tc>
        <w:tc>
          <w:tcPr>
            <w:tcW w:w="0" w:type="auto"/>
            <w:vAlign w:val="center"/>
            <w:hideMark/>
          </w:tcPr>
          <w:p w14:paraId="4084BD85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In-depth interviews</w:t>
            </w:r>
          </w:p>
        </w:tc>
        <w:tc>
          <w:tcPr>
            <w:tcW w:w="0" w:type="auto"/>
            <w:vAlign w:val="center"/>
            <w:hideMark/>
          </w:tcPr>
          <w:p w14:paraId="3F676804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Adolescents with AN receiving Maudsley/FBT</w:t>
            </w:r>
          </w:p>
        </w:tc>
      </w:tr>
      <w:tr w:rsidR="006E2C3B" w:rsidRPr="00336DD6" w14:paraId="130D1039" w14:textId="77777777" w:rsidTr="005F1D5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3E0769F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Coopey &amp; Johnson (2022)</w:t>
            </w:r>
          </w:p>
        </w:tc>
        <w:tc>
          <w:tcPr>
            <w:tcW w:w="0" w:type="auto"/>
            <w:vAlign w:val="center"/>
            <w:hideMark/>
          </w:tcPr>
          <w:p w14:paraId="753378B7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UK</w:t>
            </w:r>
          </w:p>
        </w:tc>
        <w:tc>
          <w:tcPr>
            <w:tcW w:w="0" w:type="auto"/>
            <w:vAlign w:val="center"/>
            <w:hideMark/>
          </w:tcPr>
          <w:p w14:paraId="52AB0535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Qualitative</w:t>
            </w:r>
          </w:p>
        </w:tc>
        <w:tc>
          <w:tcPr>
            <w:tcW w:w="0" w:type="auto"/>
            <w:vAlign w:val="center"/>
            <w:hideMark/>
          </w:tcPr>
          <w:p w14:paraId="05F39E7F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Interviews</w:t>
            </w:r>
          </w:p>
        </w:tc>
        <w:tc>
          <w:tcPr>
            <w:tcW w:w="0" w:type="auto"/>
            <w:vAlign w:val="center"/>
            <w:hideMark/>
          </w:tcPr>
          <w:p w14:paraId="6E141240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Young people in inpatient FT &amp; MFT</w:t>
            </w:r>
          </w:p>
        </w:tc>
      </w:tr>
      <w:tr w:rsidR="006E2C3B" w:rsidRPr="00336DD6" w14:paraId="3854EBB2" w14:textId="77777777" w:rsidTr="005F1D5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7340EA1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Gao et al. (2025)</w:t>
            </w:r>
          </w:p>
        </w:tc>
        <w:tc>
          <w:tcPr>
            <w:tcW w:w="0" w:type="auto"/>
            <w:vAlign w:val="center"/>
            <w:hideMark/>
          </w:tcPr>
          <w:p w14:paraId="232231F9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USA</w:t>
            </w:r>
          </w:p>
        </w:tc>
        <w:tc>
          <w:tcPr>
            <w:tcW w:w="0" w:type="auto"/>
            <w:vAlign w:val="center"/>
            <w:hideMark/>
          </w:tcPr>
          <w:p w14:paraId="71E3DE1E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Qualitative pilot study</w:t>
            </w:r>
          </w:p>
        </w:tc>
        <w:tc>
          <w:tcPr>
            <w:tcW w:w="0" w:type="auto"/>
            <w:vAlign w:val="center"/>
            <w:hideMark/>
          </w:tcPr>
          <w:p w14:paraId="4DCD1BBC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Semi-structured interviews</w:t>
            </w:r>
          </w:p>
        </w:tc>
        <w:tc>
          <w:tcPr>
            <w:tcW w:w="0" w:type="auto"/>
            <w:vAlign w:val="center"/>
            <w:hideMark/>
          </w:tcPr>
          <w:p w14:paraId="50ADD86F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Adolescents receiving FBT</w:t>
            </w:r>
          </w:p>
        </w:tc>
      </w:tr>
      <w:tr w:rsidR="006E2C3B" w:rsidRPr="00336DD6" w14:paraId="302A2EE5" w14:textId="77777777" w:rsidTr="005F1D5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CE2EF8C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Medway et al. (2019)</w:t>
            </w:r>
          </w:p>
        </w:tc>
        <w:tc>
          <w:tcPr>
            <w:tcW w:w="0" w:type="auto"/>
            <w:vAlign w:val="center"/>
            <w:hideMark/>
          </w:tcPr>
          <w:p w14:paraId="190C8635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Australia</w:t>
            </w:r>
          </w:p>
        </w:tc>
        <w:tc>
          <w:tcPr>
            <w:tcW w:w="0" w:type="auto"/>
            <w:vAlign w:val="center"/>
            <w:hideMark/>
          </w:tcPr>
          <w:p w14:paraId="10856983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Qualitative narrative study</w:t>
            </w:r>
          </w:p>
        </w:tc>
        <w:tc>
          <w:tcPr>
            <w:tcW w:w="0" w:type="auto"/>
            <w:vAlign w:val="center"/>
            <w:hideMark/>
          </w:tcPr>
          <w:p w14:paraId="692D7A4A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Interviews</w:t>
            </w:r>
          </w:p>
        </w:tc>
        <w:tc>
          <w:tcPr>
            <w:tcW w:w="0" w:type="auto"/>
            <w:vAlign w:val="center"/>
            <w:hideMark/>
          </w:tcPr>
          <w:p w14:paraId="10B94F76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Adolescents + parents in FBT</w:t>
            </w:r>
          </w:p>
        </w:tc>
      </w:tr>
      <w:tr w:rsidR="006E2C3B" w:rsidRPr="00336DD6" w14:paraId="3AA29283" w14:textId="77777777" w:rsidTr="005F1D5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D55D68A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Nilsen et al. (2021)</w:t>
            </w:r>
          </w:p>
        </w:tc>
        <w:tc>
          <w:tcPr>
            <w:tcW w:w="0" w:type="auto"/>
            <w:vAlign w:val="center"/>
            <w:hideMark/>
          </w:tcPr>
          <w:p w14:paraId="411453AF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Norway</w:t>
            </w:r>
          </w:p>
        </w:tc>
        <w:tc>
          <w:tcPr>
            <w:tcW w:w="0" w:type="auto"/>
            <w:vAlign w:val="center"/>
            <w:hideMark/>
          </w:tcPr>
          <w:p w14:paraId="43DB3B76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Qualitative thematic analysis</w:t>
            </w:r>
          </w:p>
        </w:tc>
        <w:tc>
          <w:tcPr>
            <w:tcW w:w="0" w:type="auto"/>
            <w:vAlign w:val="center"/>
            <w:hideMark/>
          </w:tcPr>
          <w:p w14:paraId="4C85045E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Family interviews / reflections</w:t>
            </w:r>
          </w:p>
        </w:tc>
        <w:tc>
          <w:tcPr>
            <w:tcW w:w="0" w:type="auto"/>
            <w:vAlign w:val="center"/>
            <w:hideMark/>
          </w:tcPr>
          <w:p w14:paraId="26057692" w14:textId="77777777" w:rsidR="006E2C3B" w:rsidRPr="00336DD6" w:rsidRDefault="006E2C3B" w:rsidP="005F1D5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</w:pPr>
            <w:r w:rsidRPr="00336DD6">
              <w:rPr>
                <w:rFonts w:ascii="Times New Roman" w:eastAsia="Times New Roman" w:hAnsi="Times New Roman" w:cs="Times New Roman"/>
                <w:kern w:val="0"/>
                <w:sz w:val="22"/>
                <w:szCs w:val="22"/>
                <w14:ligatures w14:val="none"/>
              </w:rPr>
              <w:t>Families in inpatient FBT programme</w:t>
            </w:r>
          </w:p>
        </w:tc>
      </w:tr>
    </w:tbl>
    <w:p w14:paraId="511337A1" w14:textId="0C366515" w:rsidR="006E2C3B" w:rsidRDefault="006E2C3B" w:rsidP="0071312F">
      <w:pPr>
        <w:spacing w:after="0" w:line="24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</w:p>
    <w:p w14:paraId="48D941D9" w14:textId="77777777" w:rsidR="00D50E9B" w:rsidRDefault="00D50E9B" w:rsidP="0071312F">
      <w:pPr>
        <w:spacing w:after="0" w:line="24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</w:p>
    <w:p w14:paraId="66878155" w14:textId="7EF9B264" w:rsidR="00880C01" w:rsidRDefault="0071312F" w:rsidP="00880C01">
      <w:pPr>
        <w:spacing w:after="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 w:rsidRPr="0071312F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Two appraisal instruments were utilised:</w:t>
      </w:r>
      <w:r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 </w:t>
      </w:r>
      <w:r w:rsidRPr="0071312F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PRISMA-P (Moher et al., 2015) to guide transparent reporting of the search and selection process</w:t>
      </w:r>
      <w:r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 </w:t>
      </w:r>
      <w:r w:rsidR="00530AAE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(Figure 1) </w:t>
      </w:r>
      <w:r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and </w:t>
      </w:r>
      <w:r w:rsidRPr="0071312F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CASP Qualitative Checklist (2018) to assess methodological rigour, credibility, and relevance</w:t>
      </w:r>
      <w:r w:rsidR="00530AAE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 (Table 2)</w:t>
      </w:r>
      <w:r w:rsidR="00AD0C27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. </w:t>
      </w:r>
      <w:r w:rsidR="00D03F23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 </w:t>
      </w:r>
    </w:p>
    <w:p w14:paraId="50A28955" w14:textId="77777777" w:rsidR="00D50E9B" w:rsidRPr="00336DD6" w:rsidRDefault="00D50E9B" w:rsidP="00D50E9B">
      <w:pPr>
        <w:spacing w:before="100" w:beforeAutospacing="1" w:after="100" w:afterAutospacing="1" w:line="240" w:lineRule="auto"/>
        <w:outlineLvl w:val="1"/>
        <w:rPr>
          <w:rFonts w:asciiTheme="majorBidi" w:eastAsia="Times New Roman" w:hAnsiTheme="majorBidi" w:cstheme="majorBidi"/>
          <w:b/>
          <w:bCs/>
          <w:kern w:val="0"/>
          <w:sz w:val="18"/>
          <w:szCs w:val="18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Table 2: </w:t>
      </w:r>
      <w:r w:rsidRPr="00D03F23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CASP Qualitative Appraisal 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79"/>
        <w:gridCol w:w="494"/>
        <w:gridCol w:w="1080"/>
        <w:gridCol w:w="776"/>
        <w:gridCol w:w="1037"/>
        <w:gridCol w:w="844"/>
        <w:gridCol w:w="890"/>
        <w:gridCol w:w="616"/>
        <w:gridCol w:w="715"/>
        <w:gridCol w:w="736"/>
        <w:gridCol w:w="859"/>
      </w:tblGrid>
      <w:tr w:rsidR="00D50E9B" w:rsidRPr="00336DD6" w14:paraId="356B66D7" w14:textId="77777777" w:rsidTr="005F1D5D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067B7067" w14:textId="77777777" w:rsidR="00D50E9B" w:rsidRPr="00336DD6" w:rsidRDefault="00D50E9B" w:rsidP="005F1D5D">
            <w:pPr>
              <w:spacing w:after="0" w:line="240" w:lineRule="auto"/>
              <w:jc w:val="center"/>
              <w:rPr>
                <w:rFonts w:asciiTheme="majorBidi" w:eastAsia="Times New Roman" w:hAnsiTheme="majorBidi" w:cstheme="majorBidi"/>
                <w:b/>
                <w:bCs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b/>
                <w:bCs/>
                <w:kern w:val="0"/>
                <w:sz w:val="18"/>
                <w:szCs w:val="18"/>
                <w14:ligatures w14:val="none"/>
              </w:rPr>
              <w:t>Study</w:t>
            </w:r>
          </w:p>
        </w:tc>
        <w:tc>
          <w:tcPr>
            <w:tcW w:w="0" w:type="auto"/>
            <w:vAlign w:val="center"/>
            <w:hideMark/>
          </w:tcPr>
          <w:p w14:paraId="4893CFD2" w14:textId="77777777" w:rsidR="00D50E9B" w:rsidRPr="00336DD6" w:rsidRDefault="00D50E9B" w:rsidP="005F1D5D">
            <w:pPr>
              <w:spacing w:after="0" w:line="240" w:lineRule="auto"/>
              <w:jc w:val="center"/>
              <w:rPr>
                <w:rFonts w:asciiTheme="majorBidi" w:eastAsia="Times New Roman" w:hAnsiTheme="majorBidi" w:cstheme="majorBidi"/>
                <w:b/>
                <w:bCs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b/>
                <w:bCs/>
                <w:kern w:val="0"/>
                <w:sz w:val="18"/>
                <w:szCs w:val="18"/>
                <w14:ligatures w14:val="none"/>
              </w:rPr>
              <w:t>Clear Aims</w:t>
            </w:r>
          </w:p>
        </w:tc>
        <w:tc>
          <w:tcPr>
            <w:tcW w:w="0" w:type="auto"/>
            <w:vAlign w:val="center"/>
            <w:hideMark/>
          </w:tcPr>
          <w:p w14:paraId="6998922A" w14:textId="77777777" w:rsidR="00D50E9B" w:rsidRPr="00336DD6" w:rsidRDefault="00D50E9B" w:rsidP="005F1D5D">
            <w:pPr>
              <w:spacing w:after="0" w:line="240" w:lineRule="auto"/>
              <w:jc w:val="center"/>
              <w:rPr>
                <w:rFonts w:asciiTheme="majorBidi" w:eastAsia="Times New Roman" w:hAnsiTheme="majorBidi" w:cstheme="majorBidi"/>
                <w:b/>
                <w:bCs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b/>
                <w:bCs/>
                <w:kern w:val="0"/>
                <w:sz w:val="18"/>
                <w:szCs w:val="18"/>
                <w14:ligatures w14:val="none"/>
              </w:rPr>
              <w:t>Appropriate Methodology</w:t>
            </w:r>
          </w:p>
        </w:tc>
        <w:tc>
          <w:tcPr>
            <w:tcW w:w="0" w:type="auto"/>
            <w:vAlign w:val="center"/>
            <w:hideMark/>
          </w:tcPr>
          <w:p w14:paraId="1D2C3E29" w14:textId="77777777" w:rsidR="00D50E9B" w:rsidRPr="00336DD6" w:rsidRDefault="00D50E9B" w:rsidP="005F1D5D">
            <w:pPr>
              <w:spacing w:after="0" w:line="240" w:lineRule="auto"/>
              <w:jc w:val="center"/>
              <w:rPr>
                <w:rFonts w:asciiTheme="majorBidi" w:eastAsia="Times New Roman" w:hAnsiTheme="majorBidi" w:cstheme="majorBidi"/>
                <w:b/>
                <w:bCs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b/>
                <w:bCs/>
                <w:kern w:val="0"/>
                <w:sz w:val="18"/>
                <w:szCs w:val="18"/>
                <w14:ligatures w14:val="none"/>
              </w:rPr>
              <w:t>Research Design</w:t>
            </w:r>
          </w:p>
        </w:tc>
        <w:tc>
          <w:tcPr>
            <w:tcW w:w="0" w:type="auto"/>
            <w:vAlign w:val="center"/>
            <w:hideMark/>
          </w:tcPr>
          <w:p w14:paraId="455969C2" w14:textId="77777777" w:rsidR="00D50E9B" w:rsidRPr="00336DD6" w:rsidRDefault="00D50E9B" w:rsidP="005F1D5D">
            <w:pPr>
              <w:spacing w:after="0" w:line="240" w:lineRule="auto"/>
              <w:jc w:val="center"/>
              <w:rPr>
                <w:rFonts w:asciiTheme="majorBidi" w:eastAsia="Times New Roman" w:hAnsiTheme="majorBidi" w:cstheme="majorBidi"/>
                <w:b/>
                <w:bCs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b/>
                <w:bCs/>
                <w:kern w:val="0"/>
                <w:sz w:val="18"/>
                <w:szCs w:val="18"/>
                <w14:ligatures w14:val="none"/>
              </w:rPr>
              <w:t>Recruitment Strategy</w:t>
            </w:r>
          </w:p>
        </w:tc>
        <w:tc>
          <w:tcPr>
            <w:tcW w:w="0" w:type="auto"/>
            <w:vAlign w:val="center"/>
            <w:hideMark/>
          </w:tcPr>
          <w:p w14:paraId="123B2087" w14:textId="77777777" w:rsidR="00D50E9B" w:rsidRPr="00336DD6" w:rsidRDefault="00D50E9B" w:rsidP="005F1D5D">
            <w:pPr>
              <w:spacing w:after="0" w:line="240" w:lineRule="auto"/>
              <w:jc w:val="center"/>
              <w:rPr>
                <w:rFonts w:asciiTheme="majorBidi" w:eastAsia="Times New Roman" w:hAnsiTheme="majorBidi" w:cstheme="majorBidi"/>
                <w:b/>
                <w:bCs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b/>
                <w:bCs/>
                <w:kern w:val="0"/>
                <w:sz w:val="18"/>
                <w:szCs w:val="18"/>
                <w14:ligatures w14:val="none"/>
              </w:rPr>
              <w:t>Data Collection</w:t>
            </w:r>
          </w:p>
        </w:tc>
        <w:tc>
          <w:tcPr>
            <w:tcW w:w="0" w:type="auto"/>
            <w:vAlign w:val="center"/>
            <w:hideMark/>
          </w:tcPr>
          <w:p w14:paraId="015BA7D9" w14:textId="77777777" w:rsidR="00D50E9B" w:rsidRPr="00336DD6" w:rsidRDefault="00D50E9B" w:rsidP="005F1D5D">
            <w:pPr>
              <w:spacing w:after="0" w:line="240" w:lineRule="auto"/>
              <w:jc w:val="center"/>
              <w:rPr>
                <w:rFonts w:asciiTheme="majorBidi" w:eastAsia="Times New Roman" w:hAnsiTheme="majorBidi" w:cstheme="majorBidi"/>
                <w:b/>
                <w:bCs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b/>
                <w:bCs/>
                <w:kern w:val="0"/>
                <w:sz w:val="18"/>
                <w:szCs w:val="18"/>
                <w14:ligatures w14:val="none"/>
              </w:rPr>
              <w:t>Reflexivity</w:t>
            </w:r>
          </w:p>
        </w:tc>
        <w:tc>
          <w:tcPr>
            <w:tcW w:w="0" w:type="auto"/>
            <w:vAlign w:val="center"/>
            <w:hideMark/>
          </w:tcPr>
          <w:p w14:paraId="3442EA47" w14:textId="77777777" w:rsidR="00D50E9B" w:rsidRPr="00336DD6" w:rsidRDefault="00D50E9B" w:rsidP="005F1D5D">
            <w:pPr>
              <w:spacing w:after="0" w:line="240" w:lineRule="auto"/>
              <w:jc w:val="center"/>
              <w:rPr>
                <w:rFonts w:asciiTheme="majorBidi" w:eastAsia="Times New Roman" w:hAnsiTheme="majorBidi" w:cstheme="majorBidi"/>
                <w:b/>
                <w:bCs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b/>
                <w:bCs/>
                <w:kern w:val="0"/>
                <w:sz w:val="18"/>
                <w:szCs w:val="18"/>
                <w14:ligatures w14:val="none"/>
              </w:rPr>
              <w:t>Ethical Issues</w:t>
            </w:r>
          </w:p>
        </w:tc>
        <w:tc>
          <w:tcPr>
            <w:tcW w:w="0" w:type="auto"/>
            <w:vAlign w:val="center"/>
            <w:hideMark/>
          </w:tcPr>
          <w:p w14:paraId="06227359" w14:textId="77777777" w:rsidR="00D50E9B" w:rsidRPr="00336DD6" w:rsidRDefault="00D50E9B" w:rsidP="005F1D5D">
            <w:pPr>
              <w:spacing w:after="0" w:line="240" w:lineRule="auto"/>
              <w:jc w:val="center"/>
              <w:rPr>
                <w:rFonts w:asciiTheme="majorBidi" w:eastAsia="Times New Roman" w:hAnsiTheme="majorBidi" w:cstheme="majorBidi"/>
                <w:b/>
                <w:bCs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b/>
                <w:bCs/>
                <w:kern w:val="0"/>
                <w:sz w:val="18"/>
                <w:szCs w:val="18"/>
                <w14:ligatures w14:val="none"/>
              </w:rPr>
              <w:t>Data Analysis</w:t>
            </w:r>
          </w:p>
        </w:tc>
        <w:tc>
          <w:tcPr>
            <w:tcW w:w="0" w:type="auto"/>
            <w:vAlign w:val="center"/>
            <w:hideMark/>
          </w:tcPr>
          <w:p w14:paraId="72AFDC3B" w14:textId="77777777" w:rsidR="00D50E9B" w:rsidRPr="00336DD6" w:rsidRDefault="00D50E9B" w:rsidP="005F1D5D">
            <w:pPr>
              <w:spacing w:after="0" w:line="240" w:lineRule="auto"/>
              <w:jc w:val="center"/>
              <w:rPr>
                <w:rFonts w:asciiTheme="majorBidi" w:eastAsia="Times New Roman" w:hAnsiTheme="majorBidi" w:cstheme="majorBidi"/>
                <w:b/>
                <w:bCs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b/>
                <w:bCs/>
                <w:kern w:val="0"/>
                <w:sz w:val="18"/>
                <w:szCs w:val="18"/>
                <w14:ligatures w14:val="none"/>
              </w:rPr>
              <w:t>Findings Clear</w:t>
            </w:r>
          </w:p>
        </w:tc>
        <w:tc>
          <w:tcPr>
            <w:tcW w:w="0" w:type="auto"/>
            <w:vAlign w:val="center"/>
            <w:hideMark/>
          </w:tcPr>
          <w:p w14:paraId="5FA0C326" w14:textId="77777777" w:rsidR="00D50E9B" w:rsidRPr="00336DD6" w:rsidRDefault="00D50E9B" w:rsidP="005F1D5D">
            <w:pPr>
              <w:spacing w:after="0" w:line="240" w:lineRule="auto"/>
              <w:jc w:val="center"/>
              <w:rPr>
                <w:rFonts w:asciiTheme="majorBidi" w:eastAsia="Times New Roman" w:hAnsiTheme="majorBidi" w:cstheme="majorBidi"/>
                <w:b/>
                <w:bCs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b/>
                <w:bCs/>
                <w:kern w:val="0"/>
                <w:sz w:val="18"/>
                <w:szCs w:val="18"/>
                <w14:ligatures w14:val="none"/>
              </w:rPr>
              <w:t>Value</w:t>
            </w:r>
          </w:p>
        </w:tc>
      </w:tr>
      <w:tr w:rsidR="00D50E9B" w:rsidRPr="00336DD6" w14:paraId="14CE3663" w14:textId="77777777" w:rsidTr="005F1D5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4551E5E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  <w:t>Brinchmann &amp; Krvavac (2021)</w:t>
            </w:r>
          </w:p>
        </w:tc>
        <w:tc>
          <w:tcPr>
            <w:tcW w:w="0" w:type="auto"/>
            <w:vAlign w:val="center"/>
            <w:hideMark/>
          </w:tcPr>
          <w:p w14:paraId="007AFB4E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09079C42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040236F2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64028BE9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50BE4F5C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2FF7592F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  <w:t>Partial</w:t>
            </w:r>
          </w:p>
        </w:tc>
        <w:tc>
          <w:tcPr>
            <w:tcW w:w="0" w:type="auto"/>
            <w:vAlign w:val="center"/>
            <w:hideMark/>
          </w:tcPr>
          <w:p w14:paraId="3F2534F8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116DE038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3F3F7AD1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01577FCB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  <w:t>High</w:t>
            </w:r>
          </w:p>
        </w:tc>
      </w:tr>
      <w:tr w:rsidR="00D50E9B" w:rsidRPr="00336DD6" w14:paraId="530029A4" w14:textId="77777777" w:rsidTr="005F1D5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6092AD0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  <w:t>Conti et al. (2017)</w:t>
            </w:r>
          </w:p>
        </w:tc>
        <w:tc>
          <w:tcPr>
            <w:tcW w:w="0" w:type="auto"/>
            <w:vAlign w:val="center"/>
            <w:hideMark/>
          </w:tcPr>
          <w:p w14:paraId="68BC5167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1B8BCADD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5CF25015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56F720A0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61AB82A6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0BC0030F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60420760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6021DF2A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0E7B40AD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296CEE56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  <w:t>High</w:t>
            </w:r>
          </w:p>
        </w:tc>
      </w:tr>
      <w:tr w:rsidR="00D50E9B" w:rsidRPr="00336DD6" w14:paraId="41720AA3" w14:textId="77777777" w:rsidTr="005F1D5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84A4E98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  <w:t>Coopey &amp; Johnson (2022)</w:t>
            </w:r>
          </w:p>
        </w:tc>
        <w:tc>
          <w:tcPr>
            <w:tcW w:w="0" w:type="auto"/>
            <w:vAlign w:val="center"/>
            <w:hideMark/>
          </w:tcPr>
          <w:p w14:paraId="65B60B23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13D62977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1A01755A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44FFBD3C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220B81D6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2E80BCD2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  <w:t>Partial</w:t>
            </w:r>
          </w:p>
        </w:tc>
        <w:tc>
          <w:tcPr>
            <w:tcW w:w="0" w:type="auto"/>
            <w:vAlign w:val="center"/>
            <w:hideMark/>
          </w:tcPr>
          <w:p w14:paraId="1BD8821C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5C041A07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24675EAE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2CA7EE69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  <w:t>High</w:t>
            </w:r>
          </w:p>
        </w:tc>
      </w:tr>
      <w:tr w:rsidR="00D50E9B" w:rsidRPr="00336DD6" w14:paraId="229EC74A" w14:textId="77777777" w:rsidTr="005F1D5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F0ED68C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  <w:t>Gao et al. (2025)</w:t>
            </w:r>
          </w:p>
        </w:tc>
        <w:tc>
          <w:tcPr>
            <w:tcW w:w="0" w:type="auto"/>
            <w:vAlign w:val="center"/>
            <w:hideMark/>
          </w:tcPr>
          <w:p w14:paraId="07498FB4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2C1AB3E0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177356CB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3ED568FC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1C297114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7CE3C475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  <w:t>Limited</w:t>
            </w:r>
          </w:p>
        </w:tc>
        <w:tc>
          <w:tcPr>
            <w:tcW w:w="0" w:type="auto"/>
            <w:vAlign w:val="center"/>
            <w:hideMark/>
          </w:tcPr>
          <w:p w14:paraId="48F4C58C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714B6E3D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75D106F4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6F04B4F3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  <w:t>Moderate–High</w:t>
            </w:r>
          </w:p>
        </w:tc>
      </w:tr>
      <w:tr w:rsidR="00D50E9B" w:rsidRPr="00336DD6" w14:paraId="23C9E39B" w14:textId="77777777" w:rsidTr="005F1D5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05022D9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  <w:lastRenderedPageBreak/>
              <w:t>Medway et al. (2019)</w:t>
            </w:r>
          </w:p>
        </w:tc>
        <w:tc>
          <w:tcPr>
            <w:tcW w:w="0" w:type="auto"/>
            <w:vAlign w:val="center"/>
            <w:hideMark/>
          </w:tcPr>
          <w:p w14:paraId="5D55A4D0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39A0B26E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64E9EAE5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7CE53139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7F9E5655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7862FA2E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0824A7EE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014B1AA0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39491257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43515F82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  <w:t>High</w:t>
            </w:r>
          </w:p>
        </w:tc>
      </w:tr>
      <w:tr w:rsidR="00D50E9B" w:rsidRPr="00336DD6" w14:paraId="57F711F3" w14:textId="77777777" w:rsidTr="005F1D5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32D81EF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  <w:t>Nilsen et al. (2021)</w:t>
            </w:r>
          </w:p>
        </w:tc>
        <w:tc>
          <w:tcPr>
            <w:tcW w:w="0" w:type="auto"/>
            <w:vAlign w:val="center"/>
            <w:hideMark/>
          </w:tcPr>
          <w:p w14:paraId="53DE7262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17D6FB29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2D6E1A67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73F7B855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016789B2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7C1A2C08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  <w:t>Partial</w:t>
            </w:r>
          </w:p>
        </w:tc>
        <w:tc>
          <w:tcPr>
            <w:tcW w:w="0" w:type="auto"/>
            <w:vAlign w:val="center"/>
            <w:hideMark/>
          </w:tcPr>
          <w:p w14:paraId="13181BDB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1EF1639F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2D87940B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="Segoe UI Symbol" w:eastAsia="Times New Roman" w:hAnsi="Segoe UI Symbol" w:cs="Segoe UI Symbol"/>
                <w:kern w:val="0"/>
                <w:sz w:val="18"/>
                <w:szCs w:val="18"/>
                <w14:ligatures w14:val="none"/>
              </w:rPr>
              <w:t>✔</w:t>
            </w:r>
          </w:p>
        </w:tc>
        <w:tc>
          <w:tcPr>
            <w:tcW w:w="0" w:type="auto"/>
            <w:vAlign w:val="center"/>
            <w:hideMark/>
          </w:tcPr>
          <w:p w14:paraId="45473633" w14:textId="77777777" w:rsidR="00D50E9B" w:rsidRPr="00336DD6" w:rsidRDefault="00D50E9B" w:rsidP="005F1D5D">
            <w:pPr>
              <w:spacing w:after="0" w:line="240" w:lineRule="auto"/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</w:pPr>
            <w:r w:rsidRPr="00336DD6">
              <w:rPr>
                <w:rFonts w:asciiTheme="majorBidi" w:eastAsia="Times New Roman" w:hAnsiTheme="majorBidi" w:cstheme="majorBidi"/>
                <w:kern w:val="0"/>
                <w:sz w:val="18"/>
                <w:szCs w:val="18"/>
                <w14:ligatures w14:val="none"/>
              </w:rPr>
              <w:t>High</w:t>
            </w:r>
          </w:p>
        </w:tc>
      </w:tr>
    </w:tbl>
    <w:p w14:paraId="3C7885CC" w14:textId="77777777" w:rsidR="00D50E9B" w:rsidRPr="00336DD6" w:rsidRDefault="00D50E9B" w:rsidP="00D50E9B">
      <w:p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:sz w:val="18"/>
          <w:szCs w:val="18"/>
          <w14:ligatures w14:val="none"/>
        </w:rPr>
      </w:pPr>
      <w:r w:rsidRPr="00336DD6">
        <w:rPr>
          <w:rFonts w:asciiTheme="majorBidi" w:eastAsia="Times New Roman" w:hAnsiTheme="majorBidi" w:cstheme="majorBidi"/>
          <w:b/>
          <w:bCs/>
          <w:kern w:val="0"/>
          <w:sz w:val="18"/>
          <w:szCs w:val="18"/>
          <w14:ligatures w14:val="none"/>
        </w:rPr>
        <w:t>Key:</w:t>
      </w:r>
      <w:r w:rsidRPr="00336DD6">
        <w:rPr>
          <w:rFonts w:asciiTheme="majorBidi" w:eastAsia="Times New Roman" w:hAnsiTheme="majorBidi" w:cstheme="majorBidi"/>
          <w:kern w:val="0"/>
          <w:sz w:val="18"/>
          <w:szCs w:val="18"/>
          <w14:ligatures w14:val="none"/>
        </w:rPr>
        <w:t xml:space="preserve"> </w:t>
      </w:r>
      <w:r w:rsidRPr="00336DD6">
        <w:rPr>
          <w:rFonts w:ascii="Segoe UI Symbol" w:eastAsia="Times New Roman" w:hAnsi="Segoe UI Symbol" w:cs="Segoe UI Symbol"/>
          <w:kern w:val="0"/>
          <w:sz w:val="18"/>
          <w:szCs w:val="18"/>
          <w14:ligatures w14:val="none"/>
        </w:rPr>
        <w:t>✔</w:t>
      </w:r>
      <w:r w:rsidRPr="00336DD6">
        <w:rPr>
          <w:rFonts w:asciiTheme="majorBidi" w:eastAsia="Times New Roman" w:hAnsiTheme="majorBidi" w:cstheme="majorBidi"/>
          <w:kern w:val="0"/>
          <w:sz w:val="18"/>
          <w:szCs w:val="18"/>
          <w14:ligatures w14:val="none"/>
        </w:rPr>
        <w:t xml:space="preserve"> = Criterion met</w:t>
      </w:r>
    </w:p>
    <w:p w14:paraId="76B1B9E0" w14:textId="77777777" w:rsidR="00D50E9B" w:rsidRPr="00336DD6" w:rsidRDefault="00D50E9B" w:rsidP="00D50E9B">
      <w:pPr>
        <w:spacing w:before="100" w:beforeAutospacing="1" w:after="100" w:afterAutospacing="1" w:line="240" w:lineRule="auto"/>
        <w:rPr>
          <w:rFonts w:asciiTheme="majorBidi" w:eastAsia="Times New Roman" w:hAnsiTheme="majorBidi" w:cstheme="majorBidi"/>
          <w:kern w:val="0"/>
          <w:sz w:val="22"/>
          <w:szCs w:val="22"/>
          <w14:ligatures w14:val="none"/>
        </w:rPr>
      </w:pPr>
      <w:r w:rsidRPr="00336DD6">
        <w:rPr>
          <w:rFonts w:asciiTheme="majorBidi" w:eastAsia="Times New Roman" w:hAnsiTheme="majorBidi" w:cstheme="majorBidi"/>
          <w:kern w:val="0"/>
          <w:sz w:val="22"/>
          <w:szCs w:val="22"/>
          <w14:ligatures w14:val="none"/>
        </w:rPr>
        <w:t>Overall, all six studies were deemed methodologically robust, with minor limitations relating primarily to reflexivity reporting and sample size in pilot work.</w:t>
      </w:r>
    </w:p>
    <w:p w14:paraId="7A9210FC" w14:textId="77777777" w:rsidR="00D50E9B" w:rsidRDefault="00D50E9B" w:rsidP="00880C01">
      <w:pPr>
        <w:spacing w:after="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</w:p>
    <w:p w14:paraId="56C81FA8" w14:textId="22F27EBB" w:rsidR="00D03F23" w:rsidRPr="00D50E9B" w:rsidRDefault="00880C01" w:rsidP="00880C01">
      <w:pPr>
        <w:spacing w:after="0" w:line="36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50E9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Figure 1:</w:t>
      </w:r>
      <w:r w:rsidRPr="00D50E9B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Pr="00D50E9B">
        <w:rPr>
          <w:rFonts w:ascii="Times New Roman" w:eastAsia="Times New Roman" w:hAnsi="Times New Roman" w:cs="Times New Roman"/>
          <w:kern w:val="0"/>
          <w:lang w:val="fr-FR"/>
          <w14:ligatures w14:val="none"/>
        </w:rPr>
        <w:t xml:space="preserve">PRISMA-P </w:t>
      </w:r>
      <w:r w:rsidRPr="00D50E9B">
        <w:rPr>
          <w:rFonts w:ascii="Times New Roman" w:eastAsia="Times New Roman" w:hAnsi="Times New Roman" w:cs="Times New Roman"/>
          <w:kern w:val="0"/>
          <w:lang w:val="fr-FR"/>
          <w14:ligatures w14:val="none"/>
        </w:rPr>
        <w:t>Flow</w:t>
      </w:r>
      <w:r w:rsidR="00221A39" w:rsidRPr="00D50E9B">
        <w:rPr>
          <w:rFonts w:ascii="Times New Roman" w:eastAsia="Times New Roman" w:hAnsi="Times New Roman" w:cs="Times New Roman"/>
          <w:kern w:val="0"/>
          <w:lang w:val="fr-FR"/>
          <w14:ligatures w14:val="none"/>
        </w:rPr>
        <w:t xml:space="preserve"> </w:t>
      </w:r>
      <w:r w:rsidRPr="00D50E9B">
        <w:rPr>
          <w:rFonts w:ascii="Times New Roman" w:eastAsia="Times New Roman" w:hAnsi="Times New Roman" w:cs="Times New Roman"/>
          <w:kern w:val="0"/>
          <w:lang w:val="fr-FR"/>
          <w14:ligatures w14:val="none"/>
        </w:rPr>
        <w:t xml:space="preserve">chart      </w:t>
      </w:r>
    </w:p>
    <w:p w14:paraId="0586E628" w14:textId="270D453E" w:rsidR="00880C01" w:rsidRDefault="00880C01" w:rsidP="00D50E9B">
      <w:pPr>
        <w:spacing w:before="100" w:beforeAutospacing="1" w:after="100" w:afterAutospacing="1" w:line="240" w:lineRule="auto"/>
        <w:outlineLvl w:val="1"/>
        <w:rPr>
          <w:rFonts w:asciiTheme="majorBidi" w:eastAsia="Times New Roman" w:hAnsiTheme="majorBidi" w:cstheme="majorBidi"/>
          <w:b/>
          <w:bCs/>
          <w:kern w:val="0"/>
          <w:sz w:val="18"/>
          <w:szCs w:val="18"/>
          <w14:ligatures w14:val="none"/>
        </w:rPr>
      </w:pPr>
      <w:r w:rsidRPr="00880C01">
        <w:rPr>
          <w:rFonts w:asciiTheme="majorBidi" w:eastAsia="Times New Roman" w:hAnsiTheme="majorBidi" w:cstheme="majorBidi"/>
          <w:b/>
          <w:bCs/>
          <w:kern w:val="0"/>
          <w:sz w:val="18"/>
          <w:szCs w:val="18"/>
          <w14:ligatures w14:val="none"/>
        </w:rPr>
        <w:drawing>
          <wp:inline distT="0" distB="0" distL="0" distR="0" wp14:anchorId="43261E82" wp14:editId="05FDC8FB">
            <wp:extent cx="2133344" cy="3756025"/>
            <wp:effectExtent l="0" t="0" r="635" b="0"/>
            <wp:docPr id="18906320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0632065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144922" cy="3776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80C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5B011F"/>
    <w:multiLevelType w:val="multilevel"/>
    <w:tmpl w:val="5AACFC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421472"/>
    <w:multiLevelType w:val="multilevel"/>
    <w:tmpl w:val="04D841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3CC30B9"/>
    <w:multiLevelType w:val="hybridMultilevel"/>
    <w:tmpl w:val="D32CE4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5440C3"/>
    <w:multiLevelType w:val="hybridMultilevel"/>
    <w:tmpl w:val="5356A4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0B66C8"/>
    <w:multiLevelType w:val="multilevel"/>
    <w:tmpl w:val="83B097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4C35242"/>
    <w:multiLevelType w:val="multilevel"/>
    <w:tmpl w:val="FD60D6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8F92D5C"/>
    <w:multiLevelType w:val="multilevel"/>
    <w:tmpl w:val="BCB4D1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25F47A1"/>
    <w:multiLevelType w:val="hybridMultilevel"/>
    <w:tmpl w:val="3E5A59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8AA45AF"/>
    <w:multiLevelType w:val="multilevel"/>
    <w:tmpl w:val="F6F498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66040C8"/>
    <w:multiLevelType w:val="multilevel"/>
    <w:tmpl w:val="F5A6A0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50478E1"/>
    <w:multiLevelType w:val="multilevel"/>
    <w:tmpl w:val="49CEE9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72A5653"/>
    <w:multiLevelType w:val="multilevel"/>
    <w:tmpl w:val="F0545F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8B456A0"/>
    <w:multiLevelType w:val="multilevel"/>
    <w:tmpl w:val="EBD6FF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C2F59BE"/>
    <w:multiLevelType w:val="hybridMultilevel"/>
    <w:tmpl w:val="129E93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28745640">
    <w:abstractNumId w:val="2"/>
  </w:num>
  <w:num w:numId="2" w16cid:durableId="2031955249">
    <w:abstractNumId w:val="13"/>
  </w:num>
  <w:num w:numId="3" w16cid:durableId="44526779">
    <w:abstractNumId w:val="3"/>
  </w:num>
  <w:num w:numId="4" w16cid:durableId="477109328">
    <w:abstractNumId w:val="7"/>
  </w:num>
  <w:num w:numId="5" w16cid:durableId="832530438">
    <w:abstractNumId w:val="5"/>
  </w:num>
  <w:num w:numId="6" w16cid:durableId="1414741669">
    <w:abstractNumId w:val="0"/>
  </w:num>
  <w:num w:numId="7" w16cid:durableId="1259868706">
    <w:abstractNumId w:val="11"/>
  </w:num>
  <w:num w:numId="8" w16cid:durableId="853223505">
    <w:abstractNumId w:val="9"/>
  </w:num>
  <w:num w:numId="9" w16cid:durableId="828251968">
    <w:abstractNumId w:val="8"/>
  </w:num>
  <w:num w:numId="10" w16cid:durableId="886837231">
    <w:abstractNumId w:val="4"/>
  </w:num>
  <w:num w:numId="11" w16cid:durableId="352070688">
    <w:abstractNumId w:val="10"/>
  </w:num>
  <w:num w:numId="12" w16cid:durableId="1835950132">
    <w:abstractNumId w:val="1"/>
  </w:num>
  <w:num w:numId="13" w16cid:durableId="272516634">
    <w:abstractNumId w:val="12"/>
  </w:num>
  <w:num w:numId="14" w16cid:durableId="157793678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NDU3MrOwNDE2NDQxtjBR0lEKTi0uzszPAykwrAUA8o0GziwAAAA="/>
  </w:docVars>
  <w:rsids>
    <w:rsidRoot w:val="008A5538"/>
    <w:rsid w:val="000656BA"/>
    <w:rsid w:val="00091986"/>
    <w:rsid w:val="000B13CB"/>
    <w:rsid w:val="000E5ABC"/>
    <w:rsid w:val="001F7970"/>
    <w:rsid w:val="00221A39"/>
    <w:rsid w:val="0033153E"/>
    <w:rsid w:val="00336DD6"/>
    <w:rsid w:val="003B3E30"/>
    <w:rsid w:val="00442333"/>
    <w:rsid w:val="00467C14"/>
    <w:rsid w:val="00530AAE"/>
    <w:rsid w:val="005E4FCF"/>
    <w:rsid w:val="006B4E4E"/>
    <w:rsid w:val="006E2C3B"/>
    <w:rsid w:val="006F0DCE"/>
    <w:rsid w:val="0071312F"/>
    <w:rsid w:val="00742B1F"/>
    <w:rsid w:val="00781618"/>
    <w:rsid w:val="00880C01"/>
    <w:rsid w:val="008A5538"/>
    <w:rsid w:val="008A59C3"/>
    <w:rsid w:val="00960A15"/>
    <w:rsid w:val="009A2490"/>
    <w:rsid w:val="009B257A"/>
    <w:rsid w:val="00A17FBD"/>
    <w:rsid w:val="00A558A4"/>
    <w:rsid w:val="00AD0C27"/>
    <w:rsid w:val="00B40214"/>
    <w:rsid w:val="00C034C7"/>
    <w:rsid w:val="00D03F23"/>
    <w:rsid w:val="00D20A16"/>
    <w:rsid w:val="00D50E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CCA8BC"/>
  <w15:chartTrackingRefBased/>
  <w15:docId w15:val="{12BFB5A9-A978-4A29-824C-65DAD2049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153E"/>
  </w:style>
  <w:style w:type="paragraph" w:styleId="Heading1">
    <w:name w:val="heading 1"/>
    <w:basedOn w:val="Normal"/>
    <w:next w:val="Normal"/>
    <w:link w:val="Heading1Char"/>
    <w:uiPriority w:val="9"/>
    <w:qFormat/>
    <w:rsid w:val="008A55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A55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A55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55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55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553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553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553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553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553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A553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A553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553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553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55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55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55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55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A553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55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553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A55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A553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55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A55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A55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553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55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A5538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8A5538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336D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Emphasis">
    <w:name w:val="Emphasis"/>
    <w:basedOn w:val="DefaultParagraphFont"/>
    <w:uiPriority w:val="20"/>
    <w:qFormat/>
    <w:rsid w:val="00336DD6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518</Words>
  <Characters>3552</Characters>
  <Application>Microsoft Office Word</Application>
  <DocSecurity>0</DocSecurity>
  <Lines>59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Greenway</dc:creator>
  <cp:keywords/>
  <dc:description/>
  <cp:lastModifiedBy>Charlotte Greenway</cp:lastModifiedBy>
  <cp:revision>31</cp:revision>
  <dcterms:created xsi:type="dcterms:W3CDTF">2026-02-16T14:48:00Z</dcterms:created>
  <dcterms:modified xsi:type="dcterms:W3CDTF">2026-02-16T15:52:00Z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633cec11-e99d-4e4a-9224-7bfeb7d43977</vt:lpwstr>
  </property>
</Properties>
</file>