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9201896" w14:textId="77777777" w:rsidR="00A54949" w:rsidRPr="000B03AF" w:rsidRDefault="00650CE6" w:rsidP="00DC3E8D">
      <w:pPr>
        <w:jc w:val="center"/>
        <w:rPr>
          <w:b/>
          <w:bCs/>
          <w:sz w:val="24"/>
          <w:szCs w:val="24"/>
        </w:rPr>
      </w:pPr>
      <w:r w:rsidRPr="000B03AF">
        <w:rPr>
          <w:b/>
          <w:bCs/>
          <w:sz w:val="24"/>
          <w:szCs w:val="24"/>
        </w:rPr>
        <w:t>NSEDA Assignment B</w:t>
      </w:r>
    </w:p>
    <w:p w14:paraId="1EE27682" w14:textId="5F9A8869" w:rsidR="0082572F" w:rsidRPr="000B03AF" w:rsidRDefault="00DC3E8D" w:rsidP="00B93B5C">
      <w:pPr>
        <w:rPr>
          <w:rFonts w:cs="Arial"/>
          <w:sz w:val="24"/>
          <w:szCs w:val="24"/>
        </w:rPr>
      </w:pPr>
      <w:r w:rsidRPr="000B03AF">
        <w:rPr>
          <w:rFonts w:cs="Arial"/>
          <w:sz w:val="24"/>
          <w:szCs w:val="24"/>
        </w:rPr>
        <w:t>Your narrative should:</w:t>
      </w:r>
      <w:r w:rsidR="00650CE6" w:rsidRPr="000B03AF">
        <w:rPr>
          <w:sz w:val="24"/>
          <w:szCs w:val="24"/>
        </w:rPr>
        <w:br/>
      </w:r>
      <w:r w:rsidR="00650CE6" w:rsidRPr="000B03AF">
        <w:rPr>
          <w:sz w:val="24"/>
          <w:szCs w:val="24"/>
        </w:rPr>
        <w:br/>
      </w:r>
      <w:r w:rsidR="00B93B5C" w:rsidRPr="000B03AF">
        <w:rPr>
          <w:sz w:val="24"/>
          <w:szCs w:val="24"/>
        </w:rPr>
        <w:t>1</w:t>
      </w:r>
      <w:r w:rsidR="0082572F" w:rsidRPr="000B03AF">
        <w:rPr>
          <w:sz w:val="24"/>
          <w:szCs w:val="24"/>
        </w:rPr>
        <w:t xml:space="preserve">. Explain </w:t>
      </w:r>
      <w:r w:rsidR="00F10F2D">
        <w:rPr>
          <w:sz w:val="24"/>
          <w:szCs w:val="24"/>
        </w:rPr>
        <w:t>depleted uranium makes a good shielding material in this application.</w:t>
      </w:r>
    </w:p>
    <w:p w14:paraId="370199DF" w14:textId="70FD5082" w:rsidR="00DC3E8D" w:rsidRPr="000B03AF" w:rsidRDefault="0082572F" w:rsidP="00B93B5C">
      <w:pPr>
        <w:rPr>
          <w:sz w:val="24"/>
          <w:szCs w:val="24"/>
        </w:rPr>
      </w:pPr>
      <w:r w:rsidRPr="000B03AF">
        <w:rPr>
          <w:sz w:val="24"/>
          <w:szCs w:val="24"/>
        </w:rPr>
        <w:t>2</w:t>
      </w:r>
      <w:r w:rsidR="00B93B5C" w:rsidRPr="000B03AF">
        <w:rPr>
          <w:sz w:val="24"/>
          <w:szCs w:val="24"/>
        </w:rPr>
        <w:t>.</w:t>
      </w:r>
      <w:r w:rsidR="00650CE6" w:rsidRPr="000B03AF">
        <w:rPr>
          <w:sz w:val="24"/>
          <w:szCs w:val="24"/>
        </w:rPr>
        <w:t>Explain why iridium-192 is a suitable isotope for use in industrial radiography.</w:t>
      </w:r>
    </w:p>
    <w:p w14:paraId="7C5BC870" w14:textId="327ED3F3" w:rsidR="00B93B5C" w:rsidRPr="000B03AF" w:rsidRDefault="0082572F" w:rsidP="00B93B5C">
      <w:pPr>
        <w:rPr>
          <w:sz w:val="24"/>
          <w:szCs w:val="24"/>
        </w:rPr>
      </w:pPr>
      <w:r w:rsidRPr="000B03AF">
        <w:rPr>
          <w:sz w:val="24"/>
          <w:szCs w:val="24"/>
        </w:rPr>
        <w:t>3</w:t>
      </w:r>
      <w:r w:rsidR="00B93B5C" w:rsidRPr="000B03AF">
        <w:rPr>
          <w:sz w:val="24"/>
          <w:szCs w:val="24"/>
        </w:rPr>
        <w:t>.</w:t>
      </w:r>
      <w:r w:rsidR="00DC3E8D" w:rsidRPr="000B03AF">
        <w:rPr>
          <w:sz w:val="24"/>
          <w:szCs w:val="24"/>
        </w:rPr>
        <w:t>Determine the activity of the source on the day of the incident</w:t>
      </w:r>
      <w:r w:rsidR="00650CE6" w:rsidRPr="000B03AF">
        <w:rPr>
          <w:sz w:val="24"/>
          <w:szCs w:val="24"/>
        </w:rPr>
        <w:t xml:space="preserve"> </w:t>
      </w:r>
    </w:p>
    <w:p w14:paraId="0B02BB2C" w14:textId="017AC34A" w:rsidR="00B93B5C" w:rsidRPr="000B03AF" w:rsidRDefault="0082572F" w:rsidP="00B93B5C">
      <w:pPr>
        <w:rPr>
          <w:sz w:val="24"/>
          <w:szCs w:val="24"/>
        </w:rPr>
      </w:pPr>
      <w:r w:rsidRPr="000B03AF">
        <w:rPr>
          <w:sz w:val="24"/>
          <w:szCs w:val="24"/>
        </w:rPr>
        <w:t>4</w:t>
      </w:r>
      <w:r w:rsidR="00B93B5C" w:rsidRPr="000B03AF">
        <w:rPr>
          <w:sz w:val="24"/>
          <w:szCs w:val="24"/>
        </w:rPr>
        <w:t>.</w:t>
      </w:r>
      <w:r w:rsidR="00650CE6" w:rsidRPr="000B03AF">
        <w:rPr>
          <w:sz w:val="24"/>
          <w:szCs w:val="24"/>
        </w:rPr>
        <w:t>Estimate, by hand calculation, the effective dose</w:t>
      </w:r>
      <w:r w:rsidR="00DC3E8D" w:rsidRPr="000B03AF">
        <w:rPr>
          <w:sz w:val="24"/>
          <w:szCs w:val="24"/>
        </w:rPr>
        <w:t xml:space="preserve"> rate </w:t>
      </w:r>
      <w:r w:rsidR="00B93B5C" w:rsidRPr="000B03AF">
        <w:rPr>
          <w:sz w:val="24"/>
          <w:szCs w:val="24"/>
        </w:rPr>
        <w:t>at 0.7 m from the source.</w:t>
      </w:r>
    </w:p>
    <w:p w14:paraId="5E20135B" w14:textId="1ADF481B" w:rsidR="00B93B5C" w:rsidRPr="000B03AF" w:rsidRDefault="0082572F" w:rsidP="00B93B5C">
      <w:pPr>
        <w:rPr>
          <w:sz w:val="24"/>
          <w:szCs w:val="24"/>
        </w:rPr>
      </w:pPr>
      <w:r w:rsidRPr="000B03AF">
        <w:rPr>
          <w:sz w:val="24"/>
          <w:szCs w:val="24"/>
        </w:rPr>
        <w:t>5</w:t>
      </w:r>
      <w:r w:rsidR="00B93B5C" w:rsidRPr="000B03AF">
        <w:rPr>
          <w:sz w:val="24"/>
          <w:szCs w:val="24"/>
        </w:rPr>
        <w:t xml:space="preserve">.Hence, estimate the effective dose </w:t>
      </w:r>
      <w:r w:rsidR="00650CE6" w:rsidRPr="000B03AF">
        <w:rPr>
          <w:sz w:val="24"/>
          <w:szCs w:val="24"/>
        </w:rPr>
        <w:t>received by the technician during the incident.</w:t>
      </w:r>
      <w:r w:rsidR="00650CE6" w:rsidRPr="000B03AF">
        <w:rPr>
          <w:sz w:val="24"/>
          <w:szCs w:val="24"/>
        </w:rPr>
        <w:br/>
      </w:r>
      <w:r w:rsidR="00650CE6" w:rsidRPr="000B03AF">
        <w:rPr>
          <w:sz w:val="24"/>
          <w:szCs w:val="24"/>
        </w:rPr>
        <w:br/>
      </w:r>
      <w:r w:rsidRPr="000B03AF">
        <w:rPr>
          <w:sz w:val="24"/>
          <w:szCs w:val="24"/>
        </w:rPr>
        <w:t>6</w:t>
      </w:r>
      <w:r w:rsidR="00B93B5C" w:rsidRPr="000B03AF">
        <w:rPr>
          <w:sz w:val="24"/>
          <w:szCs w:val="24"/>
        </w:rPr>
        <w:t>.</w:t>
      </w:r>
      <w:r w:rsidR="00650CE6" w:rsidRPr="000B03AF">
        <w:rPr>
          <w:sz w:val="24"/>
          <w:szCs w:val="24"/>
        </w:rPr>
        <w:t>Compare this value</w:t>
      </w:r>
      <w:r w:rsidR="00B93B5C" w:rsidRPr="000B03AF">
        <w:rPr>
          <w:sz w:val="24"/>
          <w:szCs w:val="24"/>
        </w:rPr>
        <w:t xml:space="preserve"> to</w:t>
      </w:r>
      <w:r w:rsidR="00650CE6" w:rsidRPr="000B03AF">
        <w:rPr>
          <w:sz w:val="24"/>
          <w:szCs w:val="24"/>
        </w:rPr>
        <w:t xml:space="preserve"> </w:t>
      </w:r>
      <w:r w:rsidR="00B93B5C" w:rsidRPr="000B03AF">
        <w:rPr>
          <w:sz w:val="24"/>
          <w:szCs w:val="24"/>
        </w:rPr>
        <w:t>measured doses</w:t>
      </w:r>
      <w:r w:rsidR="00650CE6" w:rsidRPr="000B03AF">
        <w:rPr>
          <w:sz w:val="24"/>
          <w:szCs w:val="24"/>
        </w:rPr>
        <w:t xml:space="preserve"> and explain possible discrepancies.</w:t>
      </w:r>
    </w:p>
    <w:p w14:paraId="1DA98294" w14:textId="1C1AF3A4" w:rsidR="00CA10B3" w:rsidRDefault="0082572F" w:rsidP="00B93B5C">
      <w:pPr>
        <w:spacing w:after="160" w:line="278" w:lineRule="auto"/>
        <w:rPr>
          <w:sz w:val="24"/>
          <w:szCs w:val="24"/>
        </w:rPr>
      </w:pPr>
      <w:r w:rsidRPr="000B03AF">
        <w:rPr>
          <w:sz w:val="24"/>
          <w:szCs w:val="24"/>
        </w:rPr>
        <w:t>7</w:t>
      </w:r>
      <w:r w:rsidR="00B93B5C" w:rsidRPr="000B03AF">
        <w:rPr>
          <w:sz w:val="24"/>
          <w:szCs w:val="24"/>
        </w:rPr>
        <w:t>.Discuss any health effects from this exposure.</w:t>
      </w:r>
      <w:r w:rsidR="00650CE6" w:rsidRPr="000B03AF">
        <w:rPr>
          <w:sz w:val="24"/>
          <w:szCs w:val="24"/>
        </w:rPr>
        <w:br/>
      </w:r>
      <w:r w:rsidR="00650CE6" w:rsidRPr="000B03AF">
        <w:rPr>
          <w:sz w:val="24"/>
          <w:szCs w:val="24"/>
        </w:rPr>
        <w:br/>
      </w:r>
      <w:r w:rsidRPr="000B03AF">
        <w:rPr>
          <w:sz w:val="24"/>
          <w:szCs w:val="24"/>
        </w:rPr>
        <w:t>8</w:t>
      </w:r>
      <w:r w:rsidR="00B93B5C" w:rsidRPr="000B03AF">
        <w:rPr>
          <w:sz w:val="24"/>
          <w:szCs w:val="24"/>
        </w:rPr>
        <w:t>.</w:t>
      </w:r>
      <w:r w:rsidR="00650CE6" w:rsidRPr="000B03AF">
        <w:rPr>
          <w:sz w:val="24"/>
          <w:szCs w:val="24"/>
        </w:rPr>
        <w:t>Assess the event in relation to the Ionising Radiations Regulations 2017 (IRR17).</w:t>
      </w:r>
      <w:r w:rsidR="00650CE6" w:rsidRPr="000B03AF">
        <w:rPr>
          <w:sz w:val="24"/>
          <w:szCs w:val="24"/>
        </w:rPr>
        <w:br/>
      </w:r>
      <w:r w:rsidR="00650CE6" w:rsidRPr="000B03AF">
        <w:rPr>
          <w:sz w:val="24"/>
          <w:szCs w:val="24"/>
        </w:rPr>
        <w:br/>
      </w:r>
      <w:r w:rsidRPr="000B03AF">
        <w:rPr>
          <w:sz w:val="24"/>
          <w:szCs w:val="24"/>
        </w:rPr>
        <w:t>9</w:t>
      </w:r>
      <w:r w:rsidR="00B93B5C" w:rsidRPr="000B03AF">
        <w:rPr>
          <w:sz w:val="24"/>
          <w:szCs w:val="24"/>
        </w:rPr>
        <w:t>.</w:t>
      </w:r>
      <w:r w:rsidR="00650CE6" w:rsidRPr="000B03AF">
        <w:rPr>
          <w:sz w:val="24"/>
          <w:szCs w:val="24"/>
        </w:rPr>
        <w:t>Evaluate the event against ONR Safety Assessment Principle</w:t>
      </w:r>
      <w:r w:rsidR="009C617F">
        <w:rPr>
          <w:sz w:val="24"/>
          <w:szCs w:val="24"/>
        </w:rPr>
        <w:t xml:space="preserve"> </w:t>
      </w:r>
      <w:r w:rsidR="00650CE6" w:rsidRPr="000B03AF">
        <w:rPr>
          <w:sz w:val="24"/>
          <w:szCs w:val="24"/>
        </w:rPr>
        <w:t>EKP.5 Defence in Depth</w:t>
      </w:r>
      <w:r w:rsidR="009C617F">
        <w:rPr>
          <w:sz w:val="24"/>
          <w:szCs w:val="24"/>
        </w:rPr>
        <w:t xml:space="preserve"> and two other SAPs of your choice</w:t>
      </w:r>
    </w:p>
    <w:p w14:paraId="04BF2AC4" w14:textId="495003AB" w:rsidR="00B93B5C" w:rsidRPr="000B03AF" w:rsidRDefault="00650CE6" w:rsidP="00B93B5C">
      <w:pPr>
        <w:spacing w:after="160" w:line="278" w:lineRule="auto"/>
        <w:rPr>
          <w:rFonts w:cs="Arial"/>
          <w:sz w:val="24"/>
          <w:szCs w:val="24"/>
        </w:rPr>
      </w:pPr>
      <w:r w:rsidRPr="000B03AF">
        <w:rPr>
          <w:sz w:val="24"/>
          <w:szCs w:val="24"/>
        </w:rPr>
        <w:br/>
      </w:r>
      <w:r w:rsidR="0082572F" w:rsidRPr="000B03AF">
        <w:rPr>
          <w:rFonts w:cs="Arial"/>
          <w:sz w:val="24"/>
          <w:szCs w:val="24"/>
        </w:rPr>
        <w:t>10</w:t>
      </w:r>
      <w:r w:rsidR="00B93B5C" w:rsidRPr="000B03AF">
        <w:rPr>
          <w:rFonts w:cs="Arial"/>
          <w:sz w:val="24"/>
          <w:szCs w:val="24"/>
        </w:rPr>
        <w:t>.Propose proportionate improvements, justified on ALARP grounds, that would reduce the likelihood or consequences of a similar event.</w:t>
      </w:r>
    </w:p>
    <w:p w14:paraId="522E4DF7" w14:textId="34D84DA3" w:rsidR="00A54949" w:rsidRPr="000B03AF" w:rsidRDefault="00650CE6" w:rsidP="00B93B5C">
      <w:pPr>
        <w:rPr>
          <w:sz w:val="24"/>
          <w:szCs w:val="24"/>
        </w:rPr>
      </w:pPr>
      <w:r w:rsidRPr="000B03AF">
        <w:rPr>
          <w:sz w:val="24"/>
          <w:szCs w:val="24"/>
        </w:rPr>
        <w:br/>
      </w:r>
    </w:p>
    <w:p w14:paraId="0AA549CC" w14:textId="77777777" w:rsidR="0082572F" w:rsidRPr="000B03AF" w:rsidRDefault="0082572F">
      <w:pPr>
        <w:rPr>
          <w:sz w:val="24"/>
          <w:szCs w:val="24"/>
        </w:rPr>
      </w:pPr>
      <w:r w:rsidRPr="000B03AF">
        <w:rPr>
          <w:sz w:val="24"/>
          <w:szCs w:val="24"/>
        </w:rPr>
        <w:br w:type="page"/>
      </w:r>
    </w:p>
    <w:p w14:paraId="5571D9DE" w14:textId="4AFB656F" w:rsidR="00A54949" w:rsidRPr="000B03AF" w:rsidRDefault="0082572F" w:rsidP="0082572F">
      <w:pPr>
        <w:jc w:val="center"/>
        <w:rPr>
          <w:b/>
          <w:bCs/>
          <w:sz w:val="24"/>
          <w:szCs w:val="24"/>
        </w:rPr>
      </w:pPr>
      <w:r w:rsidRPr="000B03AF">
        <w:rPr>
          <w:b/>
          <w:bCs/>
          <w:sz w:val="24"/>
          <w:szCs w:val="24"/>
        </w:rPr>
        <w:lastRenderedPageBreak/>
        <w:t xml:space="preserve">Assignment B: </w:t>
      </w:r>
      <w:r w:rsidR="00650CE6" w:rsidRPr="000B03AF">
        <w:rPr>
          <w:b/>
          <w:bCs/>
          <w:sz w:val="24"/>
          <w:szCs w:val="24"/>
        </w:rPr>
        <w:t>Incident Dossier</w:t>
      </w:r>
    </w:p>
    <w:p w14:paraId="7FF86BF2" w14:textId="77777777" w:rsidR="0034475B" w:rsidRDefault="00650CE6" w:rsidP="00417B0C">
      <w:pPr>
        <w:rPr>
          <w:b/>
          <w:bCs/>
          <w:sz w:val="24"/>
          <w:szCs w:val="24"/>
        </w:rPr>
      </w:pPr>
      <w:r w:rsidRPr="000B03AF">
        <w:rPr>
          <w:b/>
          <w:bCs/>
          <w:sz w:val="24"/>
          <w:szCs w:val="24"/>
        </w:rPr>
        <w:t>Equipment</w:t>
      </w:r>
      <w:r w:rsidRPr="000B03AF">
        <w:rPr>
          <w:sz w:val="24"/>
          <w:szCs w:val="24"/>
        </w:rPr>
        <w:br/>
      </w:r>
      <w:r w:rsidRPr="000B03AF">
        <w:rPr>
          <w:sz w:val="24"/>
          <w:szCs w:val="24"/>
        </w:rPr>
        <w:br/>
        <w:t>Device: Gamma Radiography Exposure Device (Projector Type B(U))</w:t>
      </w:r>
      <w:r w:rsidRPr="000B03AF">
        <w:rPr>
          <w:sz w:val="24"/>
          <w:szCs w:val="24"/>
        </w:rPr>
        <w:br/>
        <w:t>Manufacturer: Typical industrial design (e.g. QSA Global / Sentinel)</w:t>
      </w:r>
      <w:r w:rsidRPr="000B03AF">
        <w:rPr>
          <w:sz w:val="24"/>
          <w:szCs w:val="24"/>
        </w:rPr>
        <w:br/>
        <w:t>Location: Shipyard Fabrication Facility, Newcastle, UK</w:t>
      </w:r>
      <w:r w:rsidRPr="000B03AF">
        <w:rPr>
          <w:sz w:val="24"/>
          <w:szCs w:val="24"/>
        </w:rPr>
        <w:br/>
      </w:r>
      <w:r w:rsidRPr="000B03AF">
        <w:rPr>
          <w:sz w:val="24"/>
          <w:szCs w:val="24"/>
        </w:rPr>
        <w:br/>
        <w:t>Application: Non-destructive testing of welded pipe sections during fabrication and maintenance activities.</w:t>
      </w:r>
      <w:r w:rsidRPr="000B03AF">
        <w:rPr>
          <w:sz w:val="24"/>
          <w:szCs w:val="24"/>
        </w:rPr>
        <w:br/>
      </w:r>
      <w:r w:rsidRPr="000B03AF">
        <w:rPr>
          <w:sz w:val="24"/>
          <w:szCs w:val="24"/>
        </w:rPr>
        <w:br/>
      </w:r>
      <w:r w:rsidRPr="000B03AF">
        <w:rPr>
          <w:b/>
          <w:bCs/>
          <w:sz w:val="24"/>
          <w:szCs w:val="24"/>
        </w:rPr>
        <w:t>Radioactive Source</w:t>
      </w:r>
      <w:r w:rsidRPr="000B03AF">
        <w:rPr>
          <w:sz w:val="24"/>
          <w:szCs w:val="24"/>
        </w:rPr>
        <w:br/>
      </w:r>
      <w:r w:rsidRPr="000B03AF">
        <w:rPr>
          <w:sz w:val="24"/>
          <w:szCs w:val="24"/>
        </w:rPr>
        <w:br/>
        <w:t>Isotope: Iridium-192</w:t>
      </w:r>
      <w:r w:rsidRPr="000B03AF">
        <w:rPr>
          <w:sz w:val="24"/>
          <w:szCs w:val="24"/>
        </w:rPr>
        <w:br/>
        <w:t>Nominal activity: 3.2 TBq certified on 01 August 2024</w:t>
      </w:r>
      <w:r w:rsidRPr="000B03AF">
        <w:rPr>
          <w:sz w:val="24"/>
          <w:szCs w:val="24"/>
        </w:rPr>
        <w:br/>
      </w:r>
      <w:r w:rsidRPr="000B03AF">
        <w:rPr>
          <w:sz w:val="24"/>
          <w:szCs w:val="24"/>
        </w:rPr>
        <w:br/>
        <w:t>Physical form: Sealed iridium metal pellet doubly encapsulated in stainless steel</w:t>
      </w:r>
      <w:r w:rsidRPr="000B03AF">
        <w:rPr>
          <w:sz w:val="24"/>
          <w:szCs w:val="24"/>
        </w:rPr>
        <w:br/>
      </w:r>
      <w:r w:rsidRPr="000B03AF">
        <w:rPr>
          <w:sz w:val="24"/>
          <w:szCs w:val="24"/>
        </w:rPr>
        <w:br/>
        <w:t>Typical gamma emissions:</w:t>
      </w:r>
      <w:r w:rsidRPr="000B03AF">
        <w:rPr>
          <w:sz w:val="24"/>
          <w:szCs w:val="24"/>
        </w:rPr>
        <w:br/>
        <w:t>- Multiple discrete energies in the range 300–600 keV</w:t>
      </w:r>
      <w:r w:rsidRPr="000B03AF">
        <w:rPr>
          <w:sz w:val="24"/>
          <w:szCs w:val="24"/>
        </w:rPr>
        <w:br/>
        <w:t>- Effective average energy approximately 380 keV</w:t>
      </w:r>
      <w:r w:rsidRPr="000B03AF">
        <w:rPr>
          <w:sz w:val="24"/>
          <w:szCs w:val="24"/>
        </w:rPr>
        <w:br/>
      </w:r>
      <w:r w:rsidRPr="000B03AF">
        <w:rPr>
          <w:sz w:val="24"/>
          <w:szCs w:val="24"/>
        </w:rPr>
        <w:br/>
        <w:t>Half-life: 73.8 days</w:t>
      </w:r>
      <w:r w:rsidRPr="000B03AF">
        <w:rPr>
          <w:sz w:val="24"/>
          <w:szCs w:val="24"/>
        </w:rPr>
        <w:br/>
      </w:r>
      <w:r w:rsidRPr="000B03AF">
        <w:rPr>
          <w:sz w:val="24"/>
          <w:szCs w:val="24"/>
        </w:rPr>
        <w:br/>
      </w:r>
      <w:r w:rsidRPr="000B03AF">
        <w:rPr>
          <w:b/>
          <w:bCs/>
          <w:sz w:val="24"/>
          <w:szCs w:val="24"/>
        </w:rPr>
        <w:t>Exposure System</w:t>
      </w:r>
      <w:r w:rsidRPr="000B03AF">
        <w:rPr>
          <w:sz w:val="24"/>
          <w:szCs w:val="24"/>
        </w:rPr>
        <w:br/>
      </w:r>
      <w:r w:rsidRPr="000B03AF">
        <w:rPr>
          <w:sz w:val="24"/>
          <w:szCs w:val="24"/>
        </w:rPr>
        <w:br/>
        <w:t>The radiography system operates using a remote cable-driven exposure mechanism:</w:t>
      </w:r>
      <w:r w:rsidRPr="000B03AF">
        <w:rPr>
          <w:sz w:val="24"/>
          <w:szCs w:val="24"/>
        </w:rPr>
        <w:br/>
      </w:r>
      <w:r w:rsidRPr="000B03AF">
        <w:rPr>
          <w:sz w:val="24"/>
          <w:szCs w:val="24"/>
        </w:rPr>
        <w:br/>
        <w:t xml:space="preserve">- The source is housed within a </w:t>
      </w:r>
      <w:r w:rsidR="007F4BBF">
        <w:rPr>
          <w:sz w:val="24"/>
          <w:szCs w:val="24"/>
        </w:rPr>
        <w:t>depleted uran</w:t>
      </w:r>
      <w:r w:rsidR="00F10F2D">
        <w:rPr>
          <w:sz w:val="24"/>
          <w:szCs w:val="24"/>
        </w:rPr>
        <w:t>ium</w:t>
      </w:r>
      <w:r w:rsidRPr="000B03AF">
        <w:rPr>
          <w:sz w:val="24"/>
          <w:szCs w:val="24"/>
        </w:rPr>
        <w:t xml:space="preserve"> shielded projector body</w:t>
      </w:r>
      <w:r w:rsidRPr="000B03AF">
        <w:rPr>
          <w:sz w:val="24"/>
          <w:szCs w:val="24"/>
        </w:rPr>
        <w:br/>
        <w:t>- A flexible drive cable connects the hand crank to the source assembly</w:t>
      </w:r>
      <w:r w:rsidRPr="000B03AF">
        <w:rPr>
          <w:sz w:val="24"/>
          <w:szCs w:val="24"/>
        </w:rPr>
        <w:br/>
        <w:t>- A guide tube directs the source to the exposure position</w:t>
      </w:r>
      <w:r w:rsidRPr="000B03AF">
        <w:rPr>
          <w:sz w:val="24"/>
          <w:szCs w:val="24"/>
        </w:rPr>
        <w:br/>
        <w:t>- A collimator may be attached to restrict the radiation beam</w:t>
      </w:r>
      <w:r w:rsidRPr="000B03AF">
        <w:rPr>
          <w:sz w:val="24"/>
          <w:szCs w:val="24"/>
        </w:rPr>
        <w:br/>
      </w:r>
      <w:r w:rsidRPr="000B03AF">
        <w:rPr>
          <w:sz w:val="24"/>
          <w:szCs w:val="24"/>
        </w:rPr>
        <w:br/>
        <w:t>During operation:</w:t>
      </w:r>
      <w:r w:rsidRPr="000B03AF">
        <w:rPr>
          <w:sz w:val="24"/>
          <w:szCs w:val="24"/>
        </w:rPr>
        <w:br/>
        <w:t>- The source is cranked out from the shielded housing to the exposure point</w:t>
      </w:r>
      <w:r w:rsidRPr="000B03AF">
        <w:rPr>
          <w:sz w:val="24"/>
          <w:szCs w:val="24"/>
        </w:rPr>
        <w:br/>
        <w:t>- After exposure, the source is manually retracted back into the projector</w:t>
      </w:r>
      <w:r w:rsidRPr="000B03AF">
        <w:rPr>
          <w:sz w:val="24"/>
          <w:szCs w:val="24"/>
        </w:rPr>
        <w:br/>
      </w:r>
      <w:r w:rsidRPr="000B03AF">
        <w:rPr>
          <w:sz w:val="24"/>
          <w:szCs w:val="24"/>
        </w:rPr>
        <w:br/>
      </w:r>
    </w:p>
    <w:p w14:paraId="01EEE984" w14:textId="77777777" w:rsidR="0034475B" w:rsidRDefault="0034475B">
      <w:pPr>
        <w:rPr>
          <w:b/>
          <w:bCs/>
          <w:sz w:val="24"/>
          <w:szCs w:val="24"/>
        </w:rPr>
      </w:pPr>
      <w:r>
        <w:rPr>
          <w:b/>
          <w:bCs/>
          <w:sz w:val="24"/>
          <w:szCs w:val="24"/>
        </w:rPr>
        <w:br w:type="page"/>
      </w:r>
    </w:p>
    <w:p w14:paraId="19975FFF" w14:textId="3A2C4C4C" w:rsidR="00AF19DC" w:rsidRPr="000B03AF" w:rsidRDefault="00650CE6" w:rsidP="00417B0C">
      <w:pPr>
        <w:rPr>
          <w:b/>
          <w:bCs/>
          <w:sz w:val="24"/>
          <w:szCs w:val="24"/>
        </w:rPr>
      </w:pPr>
      <w:r w:rsidRPr="000B03AF">
        <w:rPr>
          <w:b/>
          <w:bCs/>
          <w:sz w:val="24"/>
          <w:szCs w:val="24"/>
        </w:rPr>
        <w:lastRenderedPageBreak/>
        <w:t>Shielding and Safety Features</w:t>
      </w:r>
      <w:r w:rsidRPr="000B03AF">
        <w:rPr>
          <w:sz w:val="24"/>
          <w:szCs w:val="24"/>
        </w:rPr>
        <w:br/>
      </w:r>
      <w:r w:rsidRPr="000B03AF">
        <w:rPr>
          <w:sz w:val="24"/>
          <w:szCs w:val="24"/>
        </w:rPr>
        <w:br/>
        <w:t xml:space="preserve">- </w:t>
      </w:r>
      <w:r w:rsidR="00D465E1">
        <w:rPr>
          <w:sz w:val="24"/>
          <w:szCs w:val="24"/>
        </w:rPr>
        <w:t>DU</w:t>
      </w:r>
      <w:r w:rsidRPr="000B03AF">
        <w:rPr>
          <w:sz w:val="24"/>
          <w:szCs w:val="24"/>
        </w:rPr>
        <w:t xml:space="preserve"> shielding reduces dose rates to safe handling levels when the source is fully retracted</w:t>
      </w:r>
      <w:r w:rsidRPr="000B03AF">
        <w:rPr>
          <w:sz w:val="24"/>
          <w:szCs w:val="24"/>
        </w:rPr>
        <w:br/>
        <w:t>- A mechanical position indicator provides an indication of source location</w:t>
      </w:r>
      <w:r w:rsidRPr="000B03AF">
        <w:rPr>
          <w:sz w:val="24"/>
          <w:szCs w:val="24"/>
        </w:rPr>
        <w:br/>
        <w:t>- A locking mechanism prevents unintended source movement</w:t>
      </w:r>
      <w:r w:rsidRPr="000B03AF">
        <w:rPr>
          <w:sz w:val="24"/>
          <w:szCs w:val="24"/>
        </w:rPr>
        <w:br/>
        <w:t>- Portable radiation survey meters are available for operational checks</w:t>
      </w:r>
      <w:r w:rsidRPr="000B03AF">
        <w:rPr>
          <w:sz w:val="24"/>
          <w:szCs w:val="24"/>
        </w:rPr>
        <w:br/>
      </w:r>
      <w:r w:rsidRPr="000B03AF">
        <w:rPr>
          <w:sz w:val="24"/>
          <w:szCs w:val="24"/>
        </w:rPr>
        <w:br/>
        <w:t>Local rules require:</w:t>
      </w:r>
      <w:r w:rsidRPr="000B03AF">
        <w:rPr>
          <w:sz w:val="24"/>
          <w:szCs w:val="24"/>
        </w:rPr>
        <w:br/>
        <w:t>- Establishment of a controlled area</w:t>
      </w:r>
      <w:r w:rsidRPr="000B03AF">
        <w:rPr>
          <w:sz w:val="24"/>
          <w:szCs w:val="24"/>
        </w:rPr>
        <w:br/>
        <w:t>- Use of barriers and warning signage</w:t>
      </w:r>
      <w:r w:rsidRPr="000B03AF">
        <w:rPr>
          <w:sz w:val="24"/>
          <w:szCs w:val="24"/>
        </w:rPr>
        <w:br/>
        <w:t>- Verification of safe conditions before equipment handling</w:t>
      </w:r>
      <w:r w:rsidRPr="000B03AF">
        <w:rPr>
          <w:sz w:val="24"/>
          <w:szCs w:val="24"/>
        </w:rPr>
        <w:br/>
      </w:r>
      <w:r w:rsidRPr="000B03AF">
        <w:rPr>
          <w:sz w:val="24"/>
          <w:szCs w:val="24"/>
        </w:rPr>
        <w:br/>
      </w:r>
      <w:r w:rsidRPr="000B03AF">
        <w:rPr>
          <w:b/>
          <w:bCs/>
          <w:sz w:val="24"/>
          <w:szCs w:val="24"/>
        </w:rPr>
        <w:t xml:space="preserve">Incident Description </w:t>
      </w:r>
      <w:r w:rsidR="000F3947" w:rsidRPr="000B03AF">
        <w:rPr>
          <w:b/>
          <w:bCs/>
          <w:sz w:val="24"/>
          <w:szCs w:val="24"/>
        </w:rPr>
        <w:t>15 October 2024</w:t>
      </w:r>
      <w:r w:rsidRPr="000B03AF">
        <w:rPr>
          <w:b/>
          <w:bCs/>
          <w:sz w:val="24"/>
          <w:szCs w:val="24"/>
        </w:rPr>
        <w:br/>
      </w:r>
      <w:r w:rsidRPr="000B03AF">
        <w:rPr>
          <w:sz w:val="24"/>
          <w:szCs w:val="24"/>
        </w:rPr>
        <w:br/>
      </w:r>
      <w:r w:rsidR="00AB364D" w:rsidRPr="000B03AF">
        <w:rPr>
          <w:b/>
          <w:bCs/>
          <w:sz w:val="24"/>
          <w:szCs w:val="24"/>
        </w:rPr>
        <w:t>1.</w:t>
      </w:r>
      <w:r w:rsidRPr="000B03AF">
        <w:rPr>
          <w:b/>
          <w:bCs/>
          <w:sz w:val="24"/>
          <w:szCs w:val="24"/>
        </w:rPr>
        <w:t>Operational Background</w:t>
      </w:r>
      <w:r w:rsidRPr="000B03AF">
        <w:rPr>
          <w:sz w:val="24"/>
          <w:szCs w:val="24"/>
        </w:rPr>
        <w:br/>
      </w:r>
      <w:r w:rsidRPr="000B03AF">
        <w:rPr>
          <w:sz w:val="24"/>
          <w:szCs w:val="24"/>
        </w:rPr>
        <w:br/>
        <w:t>Radiographic testing was being carried out during an evening maintenance shift on 15 October 2024</w:t>
      </w:r>
      <w:r w:rsidRPr="000B03AF">
        <w:rPr>
          <w:sz w:val="24"/>
          <w:szCs w:val="24"/>
        </w:rPr>
        <w:br/>
      </w:r>
      <w:r w:rsidRPr="000B03AF">
        <w:rPr>
          <w:sz w:val="24"/>
          <w:szCs w:val="24"/>
        </w:rPr>
        <w:br/>
        <w:t>A series of exposures had been completed on circumferential welds of stainless steel pipe sections.</w:t>
      </w:r>
      <w:r w:rsidRPr="000B03AF">
        <w:rPr>
          <w:sz w:val="24"/>
          <w:szCs w:val="24"/>
        </w:rPr>
        <w:br/>
      </w:r>
      <w:r w:rsidRPr="000B03AF">
        <w:rPr>
          <w:sz w:val="24"/>
          <w:szCs w:val="24"/>
        </w:rPr>
        <w:br/>
        <w:t>Following completion of the final exposure, the technician initiated source retraction using the hand crank.</w:t>
      </w:r>
      <w:r w:rsidRPr="000B03AF">
        <w:rPr>
          <w:sz w:val="24"/>
          <w:szCs w:val="24"/>
        </w:rPr>
        <w:br/>
      </w:r>
      <w:r w:rsidRPr="000B03AF">
        <w:rPr>
          <w:sz w:val="24"/>
          <w:szCs w:val="24"/>
        </w:rPr>
        <w:br/>
      </w:r>
      <w:r w:rsidR="00AB364D" w:rsidRPr="000B03AF">
        <w:rPr>
          <w:b/>
          <w:bCs/>
          <w:sz w:val="24"/>
          <w:szCs w:val="24"/>
        </w:rPr>
        <w:t xml:space="preserve">2. </w:t>
      </w:r>
      <w:r w:rsidRPr="000B03AF">
        <w:rPr>
          <w:b/>
          <w:bCs/>
          <w:sz w:val="24"/>
          <w:szCs w:val="24"/>
        </w:rPr>
        <w:t>Equipment Fault</w:t>
      </w:r>
      <w:r w:rsidRPr="000B03AF">
        <w:rPr>
          <w:b/>
          <w:bCs/>
          <w:sz w:val="24"/>
          <w:szCs w:val="24"/>
        </w:rPr>
        <w:br/>
      </w:r>
      <w:r w:rsidRPr="000B03AF">
        <w:rPr>
          <w:sz w:val="24"/>
          <w:szCs w:val="24"/>
        </w:rPr>
        <w:br/>
        <w:t>The internal drive cable had undergone progressive wear and partial strand failure.</w:t>
      </w:r>
      <w:r w:rsidRPr="000B03AF">
        <w:rPr>
          <w:sz w:val="24"/>
          <w:szCs w:val="24"/>
        </w:rPr>
        <w:br/>
        <w:t>During retraction, the cable disengaged slightly from the source assembly coupling.</w:t>
      </w:r>
      <w:r w:rsidRPr="000B03AF">
        <w:rPr>
          <w:sz w:val="24"/>
          <w:szCs w:val="24"/>
        </w:rPr>
        <w:br/>
        <w:t>As a result:</w:t>
      </w:r>
      <w:r w:rsidRPr="000B03AF">
        <w:rPr>
          <w:sz w:val="24"/>
          <w:szCs w:val="24"/>
        </w:rPr>
        <w:br/>
        <w:t>- The crank mechanism rotated freely to its end-stop</w:t>
      </w:r>
      <w:r w:rsidRPr="000B03AF">
        <w:rPr>
          <w:sz w:val="24"/>
          <w:szCs w:val="24"/>
        </w:rPr>
        <w:br/>
        <w:t>- The position indicator showed “fully retracted”</w:t>
      </w:r>
      <w:r w:rsidRPr="000B03AF">
        <w:rPr>
          <w:sz w:val="24"/>
          <w:szCs w:val="24"/>
        </w:rPr>
        <w:br/>
        <w:t>- The source remained approximately 0.5 m outside the projector housing, within the guide tube</w:t>
      </w:r>
      <w:r w:rsidRPr="000B03AF">
        <w:rPr>
          <w:sz w:val="24"/>
          <w:szCs w:val="24"/>
        </w:rPr>
        <w:br/>
      </w:r>
      <w:r w:rsidRPr="000B03AF">
        <w:rPr>
          <w:sz w:val="24"/>
          <w:szCs w:val="24"/>
        </w:rPr>
        <w:br/>
      </w:r>
      <w:r w:rsidR="00AB364D" w:rsidRPr="000B03AF">
        <w:rPr>
          <w:b/>
          <w:bCs/>
          <w:sz w:val="24"/>
          <w:szCs w:val="24"/>
        </w:rPr>
        <w:t xml:space="preserve">3. </w:t>
      </w:r>
      <w:r w:rsidRPr="000B03AF">
        <w:rPr>
          <w:b/>
          <w:bCs/>
          <w:sz w:val="24"/>
          <w:szCs w:val="24"/>
        </w:rPr>
        <w:t>Control and Human Factors</w:t>
      </w:r>
      <w:r w:rsidRPr="000B03AF">
        <w:rPr>
          <w:b/>
          <w:bCs/>
          <w:sz w:val="24"/>
          <w:szCs w:val="24"/>
        </w:rPr>
        <w:br/>
      </w:r>
      <w:r w:rsidRPr="000B03AF">
        <w:rPr>
          <w:sz w:val="24"/>
          <w:szCs w:val="24"/>
        </w:rPr>
        <w:br/>
      </w:r>
      <w:r w:rsidRPr="000B03AF">
        <w:rPr>
          <w:sz w:val="24"/>
          <w:szCs w:val="24"/>
        </w:rPr>
        <w:lastRenderedPageBreak/>
        <w:t>The technician interpreted the mechanical indicator as confirmation that the source had returned to its shielded position.</w:t>
      </w:r>
      <w:r w:rsidRPr="000B03AF">
        <w:rPr>
          <w:sz w:val="24"/>
          <w:szCs w:val="24"/>
        </w:rPr>
        <w:br/>
      </w:r>
      <w:r w:rsidRPr="000B03AF">
        <w:rPr>
          <w:sz w:val="24"/>
          <w:szCs w:val="24"/>
        </w:rPr>
        <w:br/>
        <w:t>No abnormal resistance or feedback from the crank mechanism was identified during operation.</w:t>
      </w:r>
      <w:r w:rsidRPr="000B03AF">
        <w:rPr>
          <w:sz w:val="24"/>
          <w:szCs w:val="24"/>
        </w:rPr>
        <w:br/>
      </w:r>
      <w:r w:rsidRPr="000B03AF">
        <w:rPr>
          <w:sz w:val="24"/>
          <w:szCs w:val="24"/>
        </w:rPr>
        <w:br/>
        <w:t>Work proceeded to dismantle the exposure configuration.</w:t>
      </w:r>
      <w:r w:rsidRPr="000B03AF">
        <w:rPr>
          <w:sz w:val="24"/>
          <w:szCs w:val="24"/>
        </w:rPr>
        <w:br/>
      </w:r>
      <w:r w:rsidRPr="000B03AF">
        <w:rPr>
          <w:sz w:val="24"/>
          <w:szCs w:val="24"/>
        </w:rPr>
        <w:br/>
      </w:r>
      <w:r w:rsidR="00AB364D" w:rsidRPr="000B03AF">
        <w:rPr>
          <w:b/>
          <w:bCs/>
          <w:sz w:val="24"/>
          <w:szCs w:val="24"/>
        </w:rPr>
        <w:t xml:space="preserve">4. </w:t>
      </w:r>
      <w:r w:rsidRPr="000B03AF">
        <w:rPr>
          <w:b/>
          <w:bCs/>
          <w:sz w:val="24"/>
          <w:szCs w:val="24"/>
        </w:rPr>
        <w:t>Exposure Event</w:t>
      </w:r>
      <w:r w:rsidRPr="000B03AF">
        <w:rPr>
          <w:b/>
          <w:bCs/>
          <w:sz w:val="24"/>
          <w:szCs w:val="24"/>
        </w:rPr>
        <w:br/>
      </w:r>
      <w:r w:rsidRPr="000B03AF">
        <w:rPr>
          <w:sz w:val="24"/>
          <w:szCs w:val="24"/>
        </w:rPr>
        <w:br/>
        <w:t>The technician approached the projector and began disconnecting the guide tube and associated equipment.</w:t>
      </w:r>
      <w:r w:rsidRPr="000B03AF">
        <w:rPr>
          <w:sz w:val="24"/>
          <w:szCs w:val="24"/>
        </w:rPr>
        <w:br/>
      </w:r>
      <w:r w:rsidRPr="000B03AF">
        <w:rPr>
          <w:sz w:val="24"/>
          <w:szCs w:val="24"/>
        </w:rPr>
        <w:br/>
        <w:t>During this activity:</w:t>
      </w:r>
      <w:r w:rsidRPr="000B03AF">
        <w:rPr>
          <w:sz w:val="24"/>
          <w:szCs w:val="24"/>
        </w:rPr>
        <w:br/>
      </w:r>
      <w:r w:rsidRPr="000B03AF">
        <w:rPr>
          <w:sz w:val="24"/>
          <w:szCs w:val="24"/>
        </w:rPr>
        <w:br/>
        <w:t>- The technician remained within approximately 0.7 m of the source position</w:t>
      </w:r>
      <w:r w:rsidRPr="000B03AF">
        <w:rPr>
          <w:sz w:val="24"/>
          <w:szCs w:val="24"/>
        </w:rPr>
        <w:br/>
        <w:t>- Exposure duration is estimated to be between 5 and 6 minutes</w:t>
      </w:r>
      <w:r w:rsidRPr="000B03AF">
        <w:rPr>
          <w:sz w:val="24"/>
          <w:szCs w:val="24"/>
        </w:rPr>
        <w:br/>
      </w:r>
      <w:r w:rsidRPr="000B03AF">
        <w:rPr>
          <w:sz w:val="24"/>
          <w:szCs w:val="24"/>
        </w:rPr>
        <w:br/>
        <w:t>A second worker approaching the area identified elevated radiation levels and raised the alarm.</w:t>
      </w:r>
      <w:r w:rsidRPr="000B03AF">
        <w:rPr>
          <w:sz w:val="24"/>
          <w:szCs w:val="24"/>
        </w:rPr>
        <w:br/>
        <w:t>The technician withdrew immediately.</w:t>
      </w:r>
      <w:r w:rsidRPr="000B03AF">
        <w:rPr>
          <w:sz w:val="24"/>
          <w:szCs w:val="24"/>
        </w:rPr>
        <w:br/>
      </w:r>
      <w:r w:rsidRPr="000B03AF">
        <w:rPr>
          <w:sz w:val="24"/>
          <w:szCs w:val="24"/>
        </w:rPr>
        <w:br/>
        <w:t>The source was subsequently recovered using remote handling procedures.</w:t>
      </w:r>
      <w:r w:rsidRPr="000B03AF">
        <w:rPr>
          <w:sz w:val="24"/>
          <w:szCs w:val="24"/>
        </w:rPr>
        <w:br/>
      </w:r>
      <w:r w:rsidRPr="000B03AF">
        <w:rPr>
          <w:sz w:val="24"/>
          <w:szCs w:val="24"/>
        </w:rPr>
        <w:br/>
      </w:r>
      <w:r w:rsidR="00AB364D" w:rsidRPr="000B03AF">
        <w:rPr>
          <w:b/>
          <w:bCs/>
          <w:sz w:val="24"/>
          <w:szCs w:val="24"/>
        </w:rPr>
        <w:t xml:space="preserve">5. </w:t>
      </w:r>
      <w:r w:rsidRPr="000B03AF">
        <w:rPr>
          <w:b/>
          <w:bCs/>
          <w:sz w:val="24"/>
          <w:szCs w:val="24"/>
        </w:rPr>
        <w:t>Dosimetry</w:t>
      </w:r>
    </w:p>
    <w:p w14:paraId="5ABF2C18" w14:textId="77777777" w:rsidR="00876E69" w:rsidRDefault="00AF19DC" w:rsidP="005A2149">
      <w:pPr>
        <w:rPr>
          <w:sz w:val="24"/>
          <w:szCs w:val="24"/>
        </w:rPr>
      </w:pPr>
      <w:r w:rsidRPr="000B03AF">
        <w:rPr>
          <w:sz w:val="24"/>
          <w:szCs w:val="24"/>
        </w:rPr>
        <w:t>The technician wore a chest-pocket mounted EPD and a belt mounted TLD.</w:t>
      </w:r>
      <w:r w:rsidR="00650CE6" w:rsidRPr="000B03AF">
        <w:rPr>
          <w:b/>
          <w:bCs/>
          <w:sz w:val="24"/>
          <w:szCs w:val="24"/>
        </w:rPr>
        <w:br/>
      </w:r>
      <w:r w:rsidR="00650CE6" w:rsidRPr="000B03AF">
        <w:rPr>
          <w:sz w:val="24"/>
          <w:szCs w:val="24"/>
        </w:rPr>
        <w:br/>
        <w:t>The technician’s electronic personal dosimeter recorded a total whole-body dose of 27.0 mSv.</w:t>
      </w:r>
      <w:r w:rsidR="00B51DD3" w:rsidRPr="000B03AF">
        <w:rPr>
          <w:sz w:val="24"/>
          <w:szCs w:val="24"/>
        </w:rPr>
        <w:t xml:space="preserve"> </w:t>
      </w:r>
    </w:p>
    <w:p w14:paraId="0BBFEB06" w14:textId="49D6EA9B" w:rsidR="00A54949" w:rsidRDefault="000C7878" w:rsidP="005A2149">
      <w:pPr>
        <w:rPr>
          <w:sz w:val="24"/>
          <w:szCs w:val="24"/>
        </w:rPr>
      </w:pPr>
      <w:r w:rsidRPr="000B03AF">
        <w:rPr>
          <w:sz w:val="24"/>
          <w:szCs w:val="24"/>
        </w:rPr>
        <w:t xml:space="preserve">The technician’s TLD was sent to the Approved Dosimetry Service </w:t>
      </w:r>
      <w:r w:rsidR="00CB699F">
        <w:rPr>
          <w:sz w:val="24"/>
          <w:szCs w:val="24"/>
        </w:rPr>
        <w:t xml:space="preserve">for urgent evaluation </w:t>
      </w:r>
      <w:r w:rsidRPr="000B03AF">
        <w:rPr>
          <w:sz w:val="24"/>
          <w:szCs w:val="24"/>
        </w:rPr>
        <w:t xml:space="preserve">and read </w:t>
      </w:r>
      <w:r w:rsidR="00124024" w:rsidRPr="000B03AF">
        <w:rPr>
          <w:sz w:val="24"/>
          <w:szCs w:val="24"/>
        </w:rPr>
        <w:t>3</w:t>
      </w:r>
      <w:r w:rsidR="00322CD3" w:rsidRPr="000B03AF">
        <w:rPr>
          <w:sz w:val="24"/>
          <w:szCs w:val="24"/>
        </w:rPr>
        <w:t>5</w:t>
      </w:r>
      <w:r w:rsidR="00124024" w:rsidRPr="000B03AF">
        <w:rPr>
          <w:sz w:val="24"/>
          <w:szCs w:val="24"/>
        </w:rPr>
        <w:t xml:space="preserve">.6 mSv </w:t>
      </w:r>
      <w:r w:rsidR="00A649DD">
        <w:rPr>
          <w:sz w:val="24"/>
          <w:szCs w:val="24"/>
        </w:rPr>
        <w:t xml:space="preserve">(whole body) </w:t>
      </w:r>
      <w:r w:rsidR="00124024" w:rsidRPr="000B03AF">
        <w:rPr>
          <w:sz w:val="24"/>
          <w:szCs w:val="24"/>
        </w:rPr>
        <w:t>and the HSE was contacted.</w:t>
      </w:r>
    </w:p>
    <w:p w14:paraId="04B9621C" w14:textId="77777777" w:rsidR="00F61F09" w:rsidRDefault="00F61F09" w:rsidP="005A2149">
      <w:pPr>
        <w:rPr>
          <w:sz w:val="24"/>
          <w:szCs w:val="24"/>
        </w:rPr>
      </w:pPr>
    </w:p>
    <w:p w14:paraId="4D1E5618" w14:textId="15B5B8AC" w:rsidR="00044639" w:rsidRDefault="00F61F09" w:rsidP="005A2149">
      <w:pPr>
        <w:rPr>
          <w:sz w:val="24"/>
          <w:szCs w:val="24"/>
        </w:rPr>
      </w:pPr>
      <w:r w:rsidRPr="00946D50">
        <w:rPr>
          <w:noProof/>
          <w:sz w:val="24"/>
          <w:szCs w:val="24"/>
        </w:rPr>
        <w:lastRenderedPageBreak/>
        <w:drawing>
          <wp:inline distT="0" distB="0" distL="0" distR="0" wp14:anchorId="777A6464" wp14:editId="2D6A3C3A">
            <wp:extent cx="5468113" cy="4124901"/>
            <wp:effectExtent l="0" t="0" r="0" b="9525"/>
            <wp:docPr id="47431569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7431569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5468113" cy="412490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547C09" w:rsidRPr="009551B7">
        <w:rPr>
          <w:rFonts w:cs="Arial"/>
          <w:noProof/>
          <w:sz w:val="24"/>
          <w:szCs w:val="24"/>
        </w:rPr>
        <w:drawing>
          <wp:inline distT="0" distB="0" distL="0" distR="0" wp14:anchorId="32133725" wp14:editId="2637483B">
            <wp:extent cx="2834640" cy="1828800"/>
            <wp:effectExtent l="0" t="0" r="3810" b="0"/>
            <wp:docPr id="143869695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38696958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2835201" cy="182916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9F87B62" w14:textId="569A658F" w:rsidR="0063269F" w:rsidRPr="0063269F" w:rsidRDefault="00F61F09" w:rsidP="0063269F">
      <w:pPr>
        <w:rPr>
          <w:sz w:val="24"/>
          <w:szCs w:val="24"/>
        </w:rPr>
      </w:pPr>
      <w:r w:rsidRPr="00CC2A41">
        <w:rPr>
          <w:noProof/>
          <w:sz w:val="24"/>
          <w:szCs w:val="24"/>
        </w:rPr>
        <w:lastRenderedPageBreak/>
        <w:drawing>
          <wp:inline distT="0" distB="0" distL="0" distR="0" wp14:anchorId="0612A00F" wp14:editId="654A8B26">
            <wp:extent cx="5486400" cy="2392680"/>
            <wp:effectExtent l="0" t="0" r="0" b="7620"/>
            <wp:docPr id="780296706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80296706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5486400" cy="23926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63269F" w:rsidRPr="0063269F" w:rsidSect="00034616">
      <w:headerReference w:type="default" r:id="rId11"/>
      <w:footerReference w:type="default" r:id="rId12"/>
      <w:pgSz w:w="12240" w:h="15840"/>
      <w:pgMar w:top="1440" w:right="1800" w:bottom="1440" w:left="180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53A9A1A0" w14:textId="77777777" w:rsidR="00035C5B" w:rsidRDefault="00035C5B" w:rsidP="0082572F">
      <w:pPr>
        <w:spacing w:after="0" w:line="240" w:lineRule="auto"/>
      </w:pPr>
      <w:r>
        <w:separator/>
      </w:r>
    </w:p>
  </w:endnote>
  <w:endnote w:type="continuationSeparator" w:id="0">
    <w:p w14:paraId="7C0D4D16" w14:textId="77777777" w:rsidR="00035C5B" w:rsidRDefault="00035C5B" w:rsidP="0082572F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ourier">
    <w:panose1 w:val="02070409020205020404"/>
    <w:charset w:val="00"/>
    <w:family w:val="auto"/>
    <w:pitch w:val="variable"/>
    <w:sig w:usb0="00000003" w:usb1="00000000" w:usb2="00000000" w:usb3="00000000" w:csb0="00000001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-25333986"/>
      <w:docPartObj>
        <w:docPartGallery w:val="Page Numbers (Bottom of Page)"/>
        <w:docPartUnique/>
      </w:docPartObj>
    </w:sdtPr>
    <w:sdtContent>
      <w:p w14:paraId="64D49EAC" w14:textId="3907E73F" w:rsidR="001A08BC" w:rsidRDefault="001A08BC">
        <w:pPr>
          <w:pStyle w:val="Footer"/>
          <w:jc w:val="center"/>
        </w:pPr>
        <w:r>
          <w:fldChar w:fldCharType="begin"/>
        </w:r>
        <w:r>
          <w:instrText>PAGE   \* MERGEFORMAT</w:instrText>
        </w:r>
        <w:r>
          <w:fldChar w:fldCharType="separate"/>
        </w:r>
        <w:r>
          <w:rPr>
            <w:lang w:val="en-GB"/>
          </w:rPr>
          <w:t>2</w:t>
        </w:r>
        <w:r>
          <w:fldChar w:fldCharType="end"/>
        </w:r>
      </w:p>
    </w:sdtContent>
  </w:sdt>
  <w:p w14:paraId="0C0E18F2" w14:textId="77777777" w:rsidR="001A08BC" w:rsidRDefault="001A08BC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5E83D5D9" w14:textId="77777777" w:rsidR="00035C5B" w:rsidRDefault="00035C5B" w:rsidP="0082572F">
      <w:pPr>
        <w:spacing w:after="0" w:line="240" w:lineRule="auto"/>
      </w:pPr>
      <w:r>
        <w:separator/>
      </w:r>
    </w:p>
  </w:footnote>
  <w:footnote w:type="continuationSeparator" w:id="0">
    <w:p w14:paraId="2E0ADC1F" w14:textId="77777777" w:rsidR="00035C5B" w:rsidRDefault="00035C5B" w:rsidP="0082572F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3DBA4811" w14:textId="5DAB31A5" w:rsidR="0082572F" w:rsidRDefault="0082572F" w:rsidP="0082572F">
    <w:pPr>
      <w:pStyle w:val="Header"/>
      <w:jc w:val="center"/>
    </w:pPr>
    <w:r>
      <w:t>OFFICIAL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FFFFFF7C"/>
    <w:multiLevelType w:val="singleLevel"/>
    <w:tmpl w:val="C310EC42"/>
    <w:lvl w:ilvl="0">
      <w:start w:val="1"/>
      <w:numFmt w:val="decimal"/>
      <w:lvlText w:val="%1."/>
      <w:lvlJc w:val="left"/>
      <w:pPr>
        <w:tabs>
          <w:tab w:val="num" w:pos="1800"/>
        </w:tabs>
        <w:ind w:left="1800" w:hanging="360"/>
      </w:pPr>
    </w:lvl>
  </w:abstractNum>
  <w:abstractNum w:abstractNumId="1" w15:restartNumberingAfterBreak="0">
    <w:nsid w:val="FFFFFF7D"/>
    <w:multiLevelType w:val="singleLevel"/>
    <w:tmpl w:val="E4089024"/>
    <w:lvl w:ilvl="0">
      <w:start w:val="1"/>
      <w:numFmt w:val="decimal"/>
      <w:lvlText w:val="%1."/>
      <w:lvlJc w:val="left"/>
      <w:pPr>
        <w:tabs>
          <w:tab w:val="num" w:pos="1440"/>
        </w:tabs>
        <w:ind w:left="1440" w:hanging="360"/>
      </w:pPr>
    </w:lvl>
  </w:abstractNum>
  <w:abstractNum w:abstractNumId="2" w15:restartNumberingAfterBreak="0">
    <w:nsid w:val="FFFFFF7E"/>
    <w:multiLevelType w:val="singleLevel"/>
    <w:tmpl w:val="FB12693A"/>
    <w:lvl w:ilvl="0">
      <w:start w:val="1"/>
      <w:numFmt w:val="decimal"/>
      <w:pStyle w:val="ListNumber3"/>
      <w:lvlText w:val="%1."/>
      <w:lvlJc w:val="left"/>
      <w:pPr>
        <w:tabs>
          <w:tab w:val="num" w:pos="1080"/>
        </w:tabs>
        <w:ind w:left="1080" w:hanging="360"/>
      </w:pPr>
    </w:lvl>
  </w:abstractNum>
  <w:abstractNum w:abstractNumId="3" w15:restartNumberingAfterBreak="0">
    <w:nsid w:val="FFFFFF7F"/>
    <w:multiLevelType w:val="singleLevel"/>
    <w:tmpl w:val="38441652"/>
    <w:lvl w:ilvl="0">
      <w:start w:val="1"/>
      <w:numFmt w:val="decimal"/>
      <w:pStyle w:val="ListNumber2"/>
      <w:lvlText w:val="%1."/>
      <w:lvlJc w:val="left"/>
      <w:pPr>
        <w:tabs>
          <w:tab w:val="num" w:pos="720"/>
        </w:tabs>
        <w:ind w:left="720" w:hanging="360"/>
      </w:pPr>
    </w:lvl>
  </w:abstractNum>
  <w:abstractNum w:abstractNumId="4" w15:restartNumberingAfterBreak="0">
    <w:nsid w:val="FFFFFF81"/>
    <w:multiLevelType w:val="singleLevel"/>
    <w:tmpl w:val="171AC3A4"/>
    <w:lvl w:ilvl="0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</w:abstractNum>
  <w:abstractNum w:abstractNumId="5" w15:restartNumberingAfterBreak="0">
    <w:nsid w:val="FFFFFF82"/>
    <w:multiLevelType w:val="singleLevel"/>
    <w:tmpl w:val="F3EAFDEC"/>
    <w:lvl w:ilvl="0">
      <w:start w:val="1"/>
      <w:numFmt w:val="bullet"/>
      <w:pStyle w:val="ListBullet3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</w:abstractNum>
  <w:abstractNum w:abstractNumId="6" w15:restartNumberingAfterBreak="0">
    <w:nsid w:val="FFFFFF83"/>
    <w:multiLevelType w:val="singleLevel"/>
    <w:tmpl w:val="3D1EFFD4"/>
    <w:lvl w:ilvl="0">
      <w:start w:val="1"/>
      <w:numFmt w:val="bullet"/>
      <w:pStyle w:val="ListBullet2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</w:abstractNum>
  <w:abstractNum w:abstractNumId="7" w15:restartNumberingAfterBreak="0">
    <w:nsid w:val="FFFFFF88"/>
    <w:multiLevelType w:val="singleLevel"/>
    <w:tmpl w:val="D0A62B40"/>
    <w:lvl w:ilvl="0">
      <w:start w:val="1"/>
      <w:numFmt w:val="decimal"/>
      <w:pStyle w:val="ListNumber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8" w15:restartNumberingAfterBreak="0">
    <w:nsid w:val="FFFFFF89"/>
    <w:multiLevelType w:val="singleLevel"/>
    <w:tmpl w:val="29761A62"/>
    <w:lvl w:ilvl="0">
      <w:start w:val="1"/>
      <w:numFmt w:val="bullet"/>
      <w:pStyle w:val="List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9" w15:restartNumberingAfterBreak="0">
    <w:nsid w:val="13832A3A"/>
    <w:multiLevelType w:val="hybridMultilevel"/>
    <w:tmpl w:val="7DB297DC"/>
    <w:lvl w:ilvl="0" w:tplc="0809000F">
      <w:start w:val="1"/>
      <w:numFmt w:val="decimal"/>
      <w:lvlText w:val="%1."/>
      <w:lvlJc w:val="left"/>
      <w:pPr>
        <w:ind w:left="1080" w:hanging="360"/>
      </w:pPr>
    </w:lvl>
    <w:lvl w:ilvl="1" w:tplc="08090019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0" w15:restartNumberingAfterBreak="0">
    <w:nsid w:val="3F6A1707"/>
    <w:multiLevelType w:val="hybridMultilevel"/>
    <w:tmpl w:val="4E22D00A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547842023">
    <w:abstractNumId w:val="8"/>
  </w:num>
  <w:num w:numId="2" w16cid:durableId="508757039">
    <w:abstractNumId w:val="6"/>
  </w:num>
  <w:num w:numId="3" w16cid:durableId="985014733">
    <w:abstractNumId w:val="5"/>
  </w:num>
  <w:num w:numId="4" w16cid:durableId="2131900570">
    <w:abstractNumId w:val="4"/>
  </w:num>
  <w:num w:numId="5" w16cid:durableId="1160730439">
    <w:abstractNumId w:val="7"/>
  </w:num>
  <w:num w:numId="6" w16cid:durableId="717894327">
    <w:abstractNumId w:val="3"/>
  </w:num>
  <w:num w:numId="7" w16cid:durableId="1248920694">
    <w:abstractNumId w:val="2"/>
  </w:num>
  <w:num w:numId="8" w16cid:durableId="426776656">
    <w:abstractNumId w:val="1"/>
  </w:num>
  <w:num w:numId="9" w16cid:durableId="1218862536">
    <w:abstractNumId w:val="0"/>
  </w:num>
  <w:num w:numId="10" w16cid:durableId="346904836">
    <w:abstractNumId w:val="10"/>
  </w:num>
  <w:num w:numId="11" w16cid:durableId="810830582">
    <w:abstractNumId w:val="9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47730"/>
    <w:rsid w:val="00034616"/>
    <w:rsid w:val="00035C5B"/>
    <w:rsid w:val="00044639"/>
    <w:rsid w:val="0006063C"/>
    <w:rsid w:val="000B03AF"/>
    <w:rsid w:val="000C7878"/>
    <w:rsid w:val="000F3947"/>
    <w:rsid w:val="00124024"/>
    <w:rsid w:val="0015074B"/>
    <w:rsid w:val="001A08BC"/>
    <w:rsid w:val="002211C6"/>
    <w:rsid w:val="002321C2"/>
    <w:rsid w:val="00281C55"/>
    <w:rsid w:val="0029639D"/>
    <w:rsid w:val="002A04AB"/>
    <w:rsid w:val="002C38C1"/>
    <w:rsid w:val="00322CD3"/>
    <w:rsid w:val="00326F90"/>
    <w:rsid w:val="0034475B"/>
    <w:rsid w:val="00417B0C"/>
    <w:rsid w:val="00547C09"/>
    <w:rsid w:val="005A2149"/>
    <w:rsid w:val="005F0FE9"/>
    <w:rsid w:val="0063269F"/>
    <w:rsid w:val="00650CE6"/>
    <w:rsid w:val="006D50CC"/>
    <w:rsid w:val="007F4BBF"/>
    <w:rsid w:val="0082572F"/>
    <w:rsid w:val="00876E69"/>
    <w:rsid w:val="009C617F"/>
    <w:rsid w:val="00A54949"/>
    <w:rsid w:val="00A6414C"/>
    <w:rsid w:val="00A649DD"/>
    <w:rsid w:val="00AA1D8D"/>
    <w:rsid w:val="00AB16C7"/>
    <w:rsid w:val="00AB364D"/>
    <w:rsid w:val="00AF19DC"/>
    <w:rsid w:val="00B21A9C"/>
    <w:rsid w:val="00B47730"/>
    <w:rsid w:val="00B51DD3"/>
    <w:rsid w:val="00B93B5C"/>
    <w:rsid w:val="00CA10B3"/>
    <w:rsid w:val="00CB0664"/>
    <w:rsid w:val="00CB699F"/>
    <w:rsid w:val="00CE6934"/>
    <w:rsid w:val="00D14A3B"/>
    <w:rsid w:val="00D465E1"/>
    <w:rsid w:val="00D81D4A"/>
    <w:rsid w:val="00DC3E8D"/>
    <w:rsid w:val="00F10F2D"/>
    <w:rsid w:val="00F61F09"/>
    <w:rsid w:val="00F94B03"/>
    <w:rsid w:val="00FC693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6"/>
    <o:shapelayout v:ext="edit">
      <o:idmap v:ext="edit" data="1"/>
    </o:shapelayout>
  </w:shapeDefaults>
  <w:decimalSymbol w:val="."/>
  <w:listSeparator w:val=","/>
  <w14:docId w14:val="0F2F8E14"/>
  <w14:defaultImageDpi w14:val="300"/>
  <w15:docId w15:val="{65F2C444-D739-42AD-AA11-4808F4C3BA9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C693F"/>
    <w:rPr>
      <w:rFonts w:ascii="Arial" w:hAnsi="Arial"/>
    </w:rPr>
  </w:style>
  <w:style w:type="paragraph" w:styleId="Heading1">
    <w:name w:val="heading 1"/>
    <w:basedOn w:val="Normal"/>
    <w:next w:val="Normal"/>
    <w:link w:val="Heading1Char"/>
    <w:uiPriority w:val="9"/>
    <w:qFormat/>
    <w:rsid w:val="00FC693F"/>
    <w:pPr>
      <w:keepNext/>
      <w:keepLines/>
      <w:spacing w:before="480" w:after="0"/>
      <w:outlineLvl w:val="0"/>
    </w:pPr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C693F"/>
    <w:pPr>
      <w:keepNext/>
      <w:keepLines/>
      <w:spacing w:before="200" w:after="0"/>
      <w:outlineLvl w:val="1"/>
    </w:pPr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FC693F"/>
    <w:pPr>
      <w:keepNext/>
      <w:keepLines/>
      <w:spacing w:before="200" w:after="0"/>
      <w:outlineLvl w:val="2"/>
    </w:pPr>
    <w:rPr>
      <w:rFonts w:asciiTheme="majorHAnsi" w:eastAsiaTheme="majorEastAsia" w:hAnsiTheme="majorHAnsi" w:cstheme="majorBidi"/>
      <w:b/>
      <w:bCs/>
      <w:color w:val="4F81BD" w:themeColor="accent1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C693F"/>
    <w:pPr>
      <w:keepNext/>
      <w:keepLines/>
      <w:spacing w:before="200" w:after="0"/>
      <w:outlineLvl w:val="3"/>
    </w:pPr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C693F"/>
    <w:pPr>
      <w:keepNext/>
      <w:keepLines/>
      <w:spacing w:before="200" w:after="0"/>
      <w:outlineLvl w:val="4"/>
    </w:pPr>
    <w:rPr>
      <w:rFonts w:asciiTheme="majorHAnsi" w:eastAsiaTheme="majorEastAsia" w:hAnsiTheme="majorHAnsi" w:cstheme="majorBidi"/>
      <w:color w:val="243F60" w:themeColor="accent1" w:themeShade="7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C693F"/>
    <w:pPr>
      <w:keepNext/>
      <w:keepLines/>
      <w:spacing w:before="200" w:after="0"/>
      <w:outlineLvl w:val="5"/>
    </w:pPr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C693F"/>
    <w:pPr>
      <w:keepNext/>
      <w:keepLines/>
      <w:spacing w:before="200" w:after="0"/>
      <w:outlineLvl w:val="6"/>
    </w:pPr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C693F"/>
    <w:pPr>
      <w:keepNext/>
      <w:keepLines/>
      <w:spacing w:before="200" w:after="0"/>
      <w:outlineLvl w:val="7"/>
    </w:pPr>
    <w:rPr>
      <w:rFonts w:asciiTheme="majorHAnsi" w:eastAsiaTheme="majorEastAsia" w:hAnsiTheme="majorHAnsi" w:cstheme="majorBidi"/>
      <w:color w:val="4F81BD" w:themeColor="accent1"/>
      <w:sz w:val="20"/>
      <w:szCs w:val="20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C693F"/>
    <w:pPr>
      <w:keepNext/>
      <w:keepLines/>
      <w:spacing w:before="200" w:after="0"/>
      <w:outlineLvl w:val="8"/>
    </w:pPr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E618BF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618BF"/>
  </w:style>
  <w:style w:type="paragraph" w:styleId="Footer">
    <w:name w:val="footer"/>
    <w:basedOn w:val="Normal"/>
    <w:link w:val="FooterChar"/>
    <w:uiPriority w:val="99"/>
    <w:unhideWhenUsed/>
    <w:rsid w:val="00E618BF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618BF"/>
  </w:style>
  <w:style w:type="paragraph" w:styleId="NoSpacing">
    <w:name w:val="No Spacing"/>
    <w:uiPriority w:val="1"/>
    <w:qFormat/>
    <w:rsid w:val="00FC693F"/>
    <w:pPr>
      <w:spacing w:after="0" w:line="240" w:lineRule="auto"/>
    </w:pPr>
  </w:style>
  <w:style w:type="character" w:customStyle="1" w:styleId="Heading1Char">
    <w:name w:val="Heading 1 Char"/>
    <w:basedOn w:val="DefaultParagraphFont"/>
    <w:link w:val="Heading1"/>
    <w:uiPriority w:val="9"/>
    <w:rsid w:val="00FC693F"/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character" w:customStyle="1" w:styleId="Heading2Char">
    <w:name w:val="Heading 2 Char"/>
    <w:basedOn w:val="DefaultParagraphFont"/>
    <w:link w:val="Heading2"/>
    <w:uiPriority w:val="9"/>
    <w:rsid w:val="00FC693F"/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FC693F"/>
    <w:rPr>
      <w:rFonts w:asciiTheme="majorHAnsi" w:eastAsiaTheme="majorEastAsia" w:hAnsiTheme="majorHAnsi" w:cstheme="majorBidi"/>
      <w:b/>
      <w:bCs/>
      <w:color w:val="4F81BD" w:themeColor="accent1"/>
    </w:rPr>
  </w:style>
  <w:style w:type="paragraph" w:styleId="Title">
    <w:name w:val="Title"/>
    <w:basedOn w:val="Normal"/>
    <w:next w:val="Normal"/>
    <w:link w:val="TitleChar"/>
    <w:uiPriority w:val="10"/>
    <w:qFormat/>
    <w:rsid w:val="00FC693F"/>
    <w:pPr>
      <w:pBdr>
        <w:bottom w:val="single" w:sz="8" w:space="4" w:color="4F81BD" w:themeColor="accent1"/>
      </w:pBdr>
      <w:spacing w:after="300" w:line="240" w:lineRule="auto"/>
      <w:contextualSpacing/>
    </w:pPr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FC693F"/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paragraph" w:styleId="Subtitle">
    <w:name w:val="Subtitle"/>
    <w:basedOn w:val="Normal"/>
    <w:next w:val="Normal"/>
    <w:link w:val="SubtitleChar"/>
    <w:uiPriority w:val="11"/>
    <w:qFormat/>
    <w:rsid w:val="00FC693F"/>
    <w:pPr>
      <w:numPr>
        <w:ilvl w:val="1"/>
      </w:numPr>
    </w:pPr>
    <w:rPr>
      <w:rFonts w:asciiTheme="majorHAnsi" w:eastAsiaTheme="majorEastAsia" w:hAnsiTheme="majorHAnsi" w:cstheme="majorBidi"/>
      <w:i/>
      <w:iCs/>
      <w:color w:val="4F81BD" w:themeColor="accent1"/>
      <w:spacing w:val="15"/>
      <w:sz w:val="24"/>
      <w:szCs w:val="24"/>
    </w:rPr>
  </w:style>
  <w:style w:type="character" w:customStyle="1" w:styleId="SubtitleChar">
    <w:name w:val="Subtitle Char"/>
    <w:basedOn w:val="DefaultParagraphFont"/>
    <w:link w:val="Subtitle"/>
    <w:uiPriority w:val="11"/>
    <w:rsid w:val="00FC693F"/>
    <w:rPr>
      <w:rFonts w:asciiTheme="majorHAnsi" w:eastAsiaTheme="majorEastAsia" w:hAnsiTheme="majorHAnsi" w:cstheme="majorBidi"/>
      <w:i/>
      <w:iCs/>
      <w:color w:val="4F81BD" w:themeColor="accent1"/>
      <w:spacing w:val="15"/>
      <w:sz w:val="24"/>
      <w:szCs w:val="24"/>
    </w:rPr>
  </w:style>
  <w:style w:type="paragraph" w:styleId="ListParagraph">
    <w:name w:val="List Paragraph"/>
    <w:basedOn w:val="Normal"/>
    <w:uiPriority w:val="34"/>
    <w:qFormat/>
    <w:rsid w:val="00FC693F"/>
    <w:pPr>
      <w:ind w:left="720"/>
      <w:contextualSpacing/>
    </w:pPr>
  </w:style>
  <w:style w:type="paragraph" w:styleId="BodyText">
    <w:name w:val="Body Text"/>
    <w:basedOn w:val="Normal"/>
    <w:link w:val="BodyTextChar"/>
    <w:uiPriority w:val="99"/>
    <w:unhideWhenUsed/>
    <w:rsid w:val="00AA1D8D"/>
    <w:pPr>
      <w:spacing w:after="120"/>
    </w:pPr>
  </w:style>
  <w:style w:type="character" w:customStyle="1" w:styleId="BodyTextChar">
    <w:name w:val="Body Text Char"/>
    <w:basedOn w:val="DefaultParagraphFont"/>
    <w:link w:val="BodyText"/>
    <w:uiPriority w:val="99"/>
    <w:rsid w:val="00AA1D8D"/>
  </w:style>
  <w:style w:type="paragraph" w:styleId="BodyText2">
    <w:name w:val="Body Text 2"/>
    <w:basedOn w:val="Normal"/>
    <w:link w:val="BodyText2Char"/>
    <w:uiPriority w:val="99"/>
    <w:unhideWhenUsed/>
    <w:rsid w:val="00AA1D8D"/>
    <w:pPr>
      <w:spacing w:after="120" w:line="480" w:lineRule="auto"/>
    </w:pPr>
  </w:style>
  <w:style w:type="character" w:customStyle="1" w:styleId="BodyText2Char">
    <w:name w:val="Body Text 2 Char"/>
    <w:basedOn w:val="DefaultParagraphFont"/>
    <w:link w:val="BodyText2"/>
    <w:uiPriority w:val="99"/>
    <w:rsid w:val="00AA1D8D"/>
  </w:style>
  <w:style w:type="paragraph" w:styleId="BodyText3">
    <w:name w:val="Body Text 3"/>
    <w:basedOn w:val="Normal"/>
    <w:link w:val="BodyText3Char"/>
    <w:uiPriority w:val="99"/>
    <w:unhideWhenUsed/>
    <w:rsid w:val="00AA1D8D"/>
    <w:pPr>
      <w:spacing w:after="120"/>
    </w:pPr>
    <w:rPr>
      <w:sz w:val="16"/>
      <w:szCs w:val="16"/>
    </w:rPr>
  </w:style>
  <w:style w:type="character" w:customStyle="1" w:styleId="BodyText3Char">
    <w:name w:val="Body Text 3 Char"/>
    <w:basedOn w:val="DefaultParagraphFont"/>
    <w:link w:val="BodyText3"/>
    <w:uiPriority w:val="99"/>
    <w:rsid w:val="00AA1D8D"/>
    <w:rPr>
      <w:sz w:val="16"/>
      <w:szCs w:val="16"/>
    </w:rPr>
  </w:style>
  <w:style w:type="paragraph" w:styleId="List">
    <w:name w:val="List"/>
    <w:basedOn w:val="Normal"/>
    <w:uiPriority w:val="99"/>
    <w:unhideWhenUsed/>
    <w:rsid w:val="00AA1D8D"/>
    <w:pPr>
      <w:ind w:left="360" w:hanging="360"/>
      <w:contextualSpacing/>
    </w:pPr>
  </w:style>
  <w:style w:type="paragraph" w:styleId="List2">
    <w:name w:val="List 2"/>
    <w:basedOn w:val="Normal"/>
    <w:uiPriority w:val="99"/>
    <w:unhideWhenUsed/>
    <w:rsid w:val="00326F90"/>
    <w:pPr>
      <w:ind w:left="720" w:hanging="360"/>
      <w:contextualSpacing/>
    </w:pPr>
  </w:style>
  <w:style w:type="paragraph" w:styleId="List3">
    <w:name w:val="List 3"/>
    <w:basedOn w:val="Normal"/>
    <w:uiPriority w:val="99"/>
    <w:unhideWhenUsed/>
    <w:rsid w:val="00326F90"/>
    <w:pPr>
      <w:ind w:left="1080" w:hanging="360"/>
      <w:contextualSpacing/>
    </w:pPr>
  </w:style>
  <w:style w:type="paragraph" w:styleId="ListBullet">
    <w:name w:val="List Bullet"/>
    <w:basedOn w:val="Normal"/>
    <w:uiPriority w:val="99"/>
    <w:unhideWhenUsed/>
    <w:rsid w:val="00326F90"/>
    <w:pPr>
      <w:numPr>
        <w:numId w:val="1"/>
      </w:numPr>
      <w:contextualSpacing/>
    </w:pPr>
  </w:style>
  <w:style w:type="paragraph" w:styleId="ListBullet2">
    <w:name w:val="List Bullet 2"/>
    <w:basedOn w:val="Normal"/>
    <w:uiPriority w:val="99"/>
    <w:unhideWhenUsed/>
    <w:rsid w:val="00326F90"/>
    <w:pPr>
      <w:numPr>
        <w:numId w:val="2"/>
      </w:numPr>
      <w:contextualSpacing/>
    </w:pPr>
  </w:style>
  <w:style w:type="paragraph" w:styleId="ListBullet3">
    <w:name w:val="List Bullet 3"/>
    <w:basedOn w:val="Normal"/>
    <w:uiPriority w:val="99"/>
    <w:unhideWhenUsed/>
    <w:rsid w:val="00326F90"/>
    <w:pPr>
      <w:numPr>
        <w:numId w:val="3"/>
      </w:numPr>
      <w:contextualSpacing/>
    </w:pPr>
  </w:style>
  <w:style w:type="paragraph" w:styleId="ListNumber">
    <w:name w:val="List Number"/>
    <w:basedOn w:val="Normal"/>
    <w:uiPriority w:val="99"/>
    <w:unhideWhenUsed/>
    <w:rsid w:val="00326F90"/>
    <w:pPr>
      <w:numPr>
        <w:numId w:val="5"/>
      </w:numPr>
      <w:contextualSpacing/>
    </w:pPr>
  </w:style>
  <w:style w:type="paragraph" w:styleId="ListNumber2">
    <w:name w:val="List Number 2"/>
    <w:basedOn w:val="Normal"/>
    <w:uiPriority w:val="99"/>
    <w:unhideWhenUsed/>
    <w:rsid w:val="0029639D"/>
    <w:pPr>
      <w:numPr>
        <w:numId w:val="6"/>
      </w:numPr>
      <w:contextualSpacing/>
    </w:pPr>
  </w:style>
  <w:style w:type="paragraph" w:styleId="ListNumber3">
    <w:name w:val="List Number 3"/>
    <w:basedOn w:val="Normal"/>
    <w:uiPriority w:val="99"/>
    <w:unhideWhenUsed/>
    <w:rsid w:val="0029639D"/>
    <w:pPr>
      <w:numPr>
        <w:numId w:val="7"/>
      </w:numPr>
      <w:contextualSpacing/>
    </w:pPr>
  </w:style>
  <w:style w:type="paragraph" w:styleId="ListContinue">
    <w:name w:val="List Continue"/>
    <w:basedOn w:val="Normal"/>
    <w:uiPriority w:val="99"/>
    <w:unhideWhenUsed/>
    <w:rsid w:val="0029639D"/>
    <w:pPr>
      <w:spacing w:after="120"/>
      <w:ind w:left="360"/>
      <w:contextualSpacing/>
    </w:pPr>
  </w:style>
  <w:style w:type="paragraph" w:styleId="ListContinue2">
    <w:name w:val="List Continue 2"/>
    <w:basedOn w:val="Normal"/>
    <w:uiPriority w:val="99"/>
    <w:unhideWhenUsed/>
    <w:rsid w:val="0029639D"/>
    <w:pPr>
      <w:spacing w:after="120"/>
      <w:ind w:left="720"/>
      <w:contextualSpacing/>
    </w:pPr>
  </w:style>
  <w:style w:type="paragraph" w:styleId="ListContinue3">
    <w:name w:val="List Continue 3"/>
    <w:basedOn w:val="Normal"/>
    <w:uiPriority w:val="99"/>
    <w:unhideWhenUsed/>
    <w:rsid w:val="0029639D"/>
    <w:pPr>
      <w:spacing w:after="120"/>
      <w:ind w:left="1080"/>
      <w:contextualSpacing/>
    </w:pPr>
  </w:style>
  <w:style w:type="paragraph" w:styleId="MacroText">
    <w:name w:val="macro"/>
    <w:link w:val="MacroTextChar"/>
    <w:uiPriority w:val="99"/>
    <w:unhideWhenUsed/>
    <w:rsid w:val="0029639D"/>
    <w:pPr>
      <w:tabs>
        <w:tab w:val="left" w:pos="576"/>
        <w:tab w:val="left" w:pos="1152"/>
        <w:tab w:val="left" w:pos="1728"/>
        <w:tab w:val="left" w:pos="2304"/>
        <w:tab w:val="left" w:pos="2880"/>
        <w:tab w:val="left" w:pos="3456"/>
        <w:tab w:val="left" w:pos="4032"/>
      </w:tabs>
    </w:pPr>
    <w:rPr>
      <w:rFonts w:ascii="Courier" w:hAnsi="Courier"/>
      <w:sz w:val="20"/>
      <w:szCs w:val="20"/>
    </w:rPr>
  </w:style>
  <w:style w:type="character" w:customStyle="1" w:styleId="MacroTextChar">
    <w:name w:val="Macro Text Char"/>
    <w:basedOn w:val="DefaultParagraphFont"/>
    <w:link w:val="MacroText"/>
    <w:uiPriority w:val="99"/>
    <w:rsid w:val="0029639D"/>
    <w:rPr>
      <w:rFonts w:ascii="Courier" w:hAnsi="Courier"/>
      <w:sz w:val="20"/>
      <w:szCs w:val="20"/>
    </w:rPr>
  </w:style>
  <w:style w:type="paragraph" w:styleId="Quote">
    <w:name w:val="Quote"/>
    <w:basedOn w:val="Normal"/>
    <w:next w:val="Normal"/>
    <w:link w:val="QuoteChar"/>
    <w:uiPriority w:val="29"/>
    <w:qFormat/>
    <w:rsid w:val="00FC693F"/>
    <w:rPr>
      <w:i/>
      <w:iCs/>
      <w:color w:val="000000" w:themeColor="text1"/>
    </w:rPr>
  </w:style>
  <w:style w:type="character" w:customStyle="1" w:styleId="QuoteChar">
    <w:name w:val="Quote Char"/>
    <w:basedOn w:val="DefaultParagraphFont"/>
    <w:link w:val="Quote"/>
    <w:uiPriority w:val="29"/>
    <w:rsid w:val="00FC693F"/>
    <w:rPr>
      <w:i/>
      <w:iCs/>
      <w:color w:val="000000" w:themeColor="text1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C693F"/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C693F"/>
    <w:rPr>
      <w:rFonts w:asciiTheme="majorHAnsi" w:eastAsiaTheme="majorEastAsia" w:hAnsiTheme="majorHAnsi" w:cstheme="majorBidi"/>
      <w:color w:val="243F60" w:themeColor="accent1" w:themeShade="7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C693F"/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C693F"/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C693F"/>
    <w:rPr>
      <w:rFonts w:asciiTheme="majorHAnsi" w:eastAsiaTheme="majorEastAsia" w:hAnsiTheme="majorHAnsi" w:cstheme="majorBidi"/>
      <w:color w:val="4F81BD" w:themeColor="accent1"/>
      <w:sz w:val="20"/>
      <w:szCs w:val="20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C693F"/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FC693F"/>
    <w:pPr>
      <w:spacing w:line="240" w:lineRule="auto"/>
    </w:pPr>
    <w:rPr>
      <w:b/>
      <w:bCs/>
      <w:color w:val="4F81BD" w:themeColor="accent1"/>
      <w:sz w:val="18"/>
      <w:szCs w:val="18"/>
    </w:rPr>
  </w:style>
  <w:style w:type="character" w:styleId="Strong">
    <w:name w:val="Strong"/>
    <w:basedOn w:val="DefaultParagraphFont"/>
    <w:uiPriority w:val="22"/>
    <w:qFormat/>
    <w:rsid w:val="00FC693F"/>
    <w:rPr>
      <w:b/>
      <w:bCs/>
    </w:rPr>
  </w:style>
  <w:style w:type="character" w:styleId="Emphasis">
    <w:name w:val="Emphasis"/>
    <w:basedOn w:val="DefaultParagraphFont"/>
    <w:uiPriority w:val="20"/>
    <w:qFormat/>
    <w:rsid w:val="00FC693F"/>
    <w:rPr>
      <w:i/>
      <w:iCs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C693F"/>
    <w:pPr>
      <w:pBdr>
        <w:bottom w:val="single" w:sz="4" w:space="4" w:color="4F81BD" w:themeColor="accent1"/>
      </w:pBdr>
      <w:spacing w:before="200" w:after="280"/>
      <w:ind w:left="936" w:right="936"/>
    </w:pPr>
    <w:rPr>
      <w:b/>
      <w:bCs/>
      <w:i/>
      <w:iCs/>
      <w:color w:val="4F81BD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C693F"/>
    <w:rPr>
      <w:b/>
      <w:bCs/>
      <w:i/>
      <w:iCs/>
      <w:color w:val="4F81BD" w:themeColor="accent1"/>
    </w:rPr>
  </w:style>
  <w:style w:type="character" w:styleId="SubtleEmphasis">
    <w:name w:val="Subtle Emphasis"/>
    <w:basedOn w:val="DefaultParagraphFont"/>
    <w:uiPriority w:val="19"/>
    <w:qFormat/>
    <w:rsid w:val="00FC693F"/>
    <w:rPr>
      <w:i/>
      <w:iCs/>
      <w:color w:val="808080" w:themeColor="text1" w:themeTint="7F"/>
    </w:rPr>
  </w:style>
  <w:style w:type="character" w:styleId="IntenseEmphasis">
    <w:name w:val="Intense Emphasis"/>
    <w:basedOn w:val="DefaultParagraphFont"/>
    <w:uiPriority w:val="21"/>
    <w:qFormat/>
    <w:rsid w:val="00FC693F"/>
    <w:rPr>
      <w:b/>
      <w:bCs/>
      <w:i/>
      <w:iCs/>
      <w:color w:val="4F81BD" w:themeColor="accent1"/>
    </w:rPr>
  </w:style>
  <w:style w:type="character" w:styleId="SubtleReference">
    <w:name w:val="Subtle Reference"/>
    <w:basedOn w:val="DefaultParagraphFont"/>
    <w:uiPriority w:val="31"/>
    <w:qFormat/>
    <w:rsid w:val="00FC693F"/>
    <w:rPr>
      <w:smallCaps/>
      <w:color w:val="C0504D" w:themeColor="accent2"/>
      <w:u w:val="single"/>
    </w:rPr>
  </w:style>
  <w:style w:type="character" w:styleId="IntenseReference">
    <w:name w:val="Intense Reference"/>
    <w:basedOn w:val="DefaultParagraphFont"/>
    <w:uiPriority w:val="32"/>
    <w:qFormat/>
    <w:rsid w:val="00FC693F"/>
    <w:rPr>
      <w:b/>
      <w:bCs/>
      <w:smallCaps/>
      <w:color w:val="C0504D" w:themeColor="accent2"/>
      <w:spacing w:val="5"/>
      <w:u w:val="single"/>
    </w:rPr>
  </w:style>
  <w:style w:type="character" w:styleId="BookTitle">
    <w:name w:val="Book Title"/>
    <w:basedOn w:val="DefaultParagraphFont"/>
    <w:uiPriority w:val="33"/>
    <w:qFormat/>
    <w:rsid w:val="00FC693F"/>
    <w:rPr>
      <w:b/>
      <w:bCs/>
      <w:smallCaps/>
      <w:spacing w:val="5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FC693F"/>
    <w:pPr>
      <w:outlineLvl w:val="9"/>
    </w:pPr>
  </w:style>
  <w:style w:type="table" w:styleId="TableGrid">
    <w:name w:val="Table Grid"/>
    <w:basedOn w:val="TableNormal"/>
    <w:uiPriority w:val="59"/>
    <w:rsid w:val="00FC693F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LightShading">
    <w:name w:val="Light Shading"/>
    <w:basedOn w:val="TableNormal"/>
    <w:uiPriority w:val="60"/>
    <w:rsid w:val="00FC693F"/>
    <w:pPr>
      <w:spacing w:after="0" w:line="240" w:lineRule="auto"/>
    </w:pPr>
    <w:rPr>
      <w:color w:val="000000" w:themeColor="text1" w:themeShade="BF"/>
    </w:rPr>
    <w:tblPr>
      <w:tblStyleRowBandSize w:val="1"/>
      <w:tblStyleColBandSize w:val="1"/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</w:style>
  <w:style w:type="table" w:styleId="LightShading-Accent1">
    <w:name w:val="Light Shading Accent 1"/>
    <w:basedOn w:val="TableNormal"/>
    <w:uiPriority w:val="60"/>
    <w:rsid w:val="00FC693F"/>
    <w:pPr>
      <w:spacing w:after="0" w:line="240" w:lineRule="auto"/>
    </w:pPr>
    <w:rPr>
      <w:color w:val="365F91" w:themeColor="accent1" w:themeShade="BF"/>
    </w:rPr>
    <w:tblPr>
      <w:tblStyleRowBandSize w:val="1"/>
      <w:tblStyleColBandSize w:val="1"/>
      <w:tblBorders>
        <w:top w:val="single" w:sz="8" w:space="0" w:color="4F81BD" w:themeColor="accent1"/>
        <w:bottom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</w:style>
  <w:style w:type="table" w:styleId="LightShading-Accent2">
    <w:name w:val="Light Shading Accent 2"/>
    <w:basedOn w:val="TableNormal"/>
    <w:uiPriority w:val="60"/>
    <w:rsid w:val="00FC693F"/>
    <w:pPr>
      <w:spacing w:after="0" w:line="240" w:lineRule="auto"/>
    </w:pPr>
    <w:rPr>
      <w:color w:val="943634" w:themeColor="accent2" w:themeShade="BF"/>
    </w:rPr>
    <w:tblPr>
      <w:tblStyleRowBandSize w:val="1"/>
      <w:tblStyleColBandSize w:val="1"/>
      <w:tblBorders>
        <w:top w:val="single" w:sz="8" w:space="0" w:color="C0504D" w:themeColor="accent2"/>
        <w:bottom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</w:style>
  <w:style w:type="table" w:styleId="LightShading-Accent3">
    <w:name w:val="Light Shading Accent 3"/>
    <w:basedOn w:val="TableNormal"/>
    <w:uiPriority w:val="60"/>
    <w:rsid w:val="00FC693F"/>
    <w:pPr>
      <w:spacing w:after="0" w:line="240" w:lineRule="auto"/>
    </w:pPr>
    <w:rPr>
      <w:color w:val="76923C" w:themeColor="accent3" w:themeShade="BF"/>
    </w:rPr>
    <w:tblPr>
      <w:tblStyleRowBandSize w:val="1"/>
      <w:tblStyleColBandSize w:val="1"/>
      <w:tblBorders>
        <w:top w:val="single" w:sz="8" w:space="0" w:color="9BBB59" w:themeColor="accent3"/>
        <w:bottom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BBB59" w:themeColor="accent3"/>
          <w:left w:val="nil"/>
          <w:bottom w:val="single" w:sz="8" w:space="0" w:color="9BBB59" w:themeColor="accent3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BBB59" w:themeColor="accent3"/>
          <w:left w:val="nil"/>
          <w:bottom w:val="single" w:sz="8" w:space="0" w:color="9BBB59" w:themeColor="accent3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</w:style>
  <w:style w:type="table" w:styleId="LightShading-Accent4">
    <w:name w:val="Light Shading Accent 4"/>
    <w:basedOn w:val="TableNormal"/>
    <w:uiPriority w:val="60"/>
    <w:rsid w:val="00FC693F"/>
    <w:pPr>
      <w:spacing w:after="0" w:line="240" w:lineRule="auto"/>
    </w:pPr>
    <w:rPr>
      <w:color w:val="5F497A" w:themeColor="accent4" w:themeShade="BF"/>
    </w:rPr>
    <w:tblPr>
      <w:tblStyleRowBandSize w:val="1"/>
      <w:tblStyleColBandSize w:val="1"/>
      <w:tblBorders>
        <w:top w:val="single" w:sz="8" w:space="0" w:color="8064A2" w:themeColor="accent4"/>
        <w:bottom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064A2" w:themeColor="accent4"/>
          <w:left w:val="nil"/>
          <w:bottom w:val="single" w:sz="8" w:space="0" w:color="8064A2" w:themeColor="accent4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064A2" w:themeColor="accent4"/>
          <w:left w:val="nil"/>
          <w:bottom w:val="single" w:sz="8" w:space="0" w:color="8064A2" w:themeColor="accent4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</w:style>
  <w:style w:type="table" w:styleId="LightShading-Accent5">
    <w:name w:val="Light Shading Accent 5"/>
    <w:basedOn w:val="TableNormal"/>
    <w:uiPriority w:val="60"/>
    <w:rsid w:val="00FC693F"/>
    <w:pPr>
      <w:spacing w:after="0" w:line="240" w:lineRule="auto"/>
    </w:pPr>
    <w:rPr>
      <w:color w:val="31849B" w:themeColor="accent5" w:themeShade="BF"/>
    </w:rPr>
    <w:tblPr>
      <w:tblStyleRowBandSize w:val="1"/>
      <w:tblStyleColBandSize w:val="1"/>
      <w:tblBorders>
        <w:top w:val="single" w:sz="8" w:space="0" w:color="4BACC6" w:themeColor="accent5"/>
        <w:bottom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ACC6" w:themeColor="accent5"/>
          <w:left w:val="nil"/>
          <w:bottom w:val="single" w:sz="8" w:space="0" w:color="4BACC6" w:themeColor="accent5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ACC6" w:themeColor="accent5"/>
          <w:left w:val="nil"/>
          <w:bottom w:val="single" w:sz="8" w:space="0" w:color="4BACC6" w:themeColor="accent5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</w:style>
  <w:style w:type="table" w:styleId="LightShading-Accent6">
    <w:name w:val="Light Shading Accent 6"/>
    <w:basedOn w:val="TableNormal"/>
    <w:uiPriority w:val="60"/>
    <w:rsid w:val="00FC693F"/>
    <w:pPr>
      <w:spacing w:after="0" w:line="240" w:lineRule="auto"/>
    </w:pPr>
    <w:rPr>
      <w:color w:val="E36C0A" w:themeColor="accent6" w:themeShade="BF"/>
    </w:rPr>
    <w:tblPr>
      <w:tblStyleRowBandSize w:val="1"/>
      <w:tblStyleColBandSize w:val="1"/>
      <w:tblBorders>
        <w:top w:val="single" w:sz="8" w:space="0" w:color="F79646" w:themeColor="accent6"/>
        <w:bottom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79646" w:themeColor="accent6"/>
          <w:left w:val="nil"/>
          <w:bottom w:val="single" w:sz="8" w:space="0" w:color="F79646" w:themeColor="accent6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79646" w:themeColor="accent6"/>
          <w:left w:val="nil"/>
          <w:bottom w:val="single" w:sz="8" w:space="0" w:color="F79646" w:themeColor="accent6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</w:style>
  <w:style w:type="table" w:styleId="LightList">
    <w:name w:val="Light List"/>
    <w:basedOn w:val="TableNormal"/>
    <w:uiPriority w:val="61"/>
    <w:rsid w:val="00FC693F"/>
    <w:pPr>
      <w:spacing w:after="0" w:line="240" w:lineRule="auto"/>
    </w:p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</w:style>
  <w:style w:type="table" w:styleId="LightList-Accent1">
    <w:name w:val="Light List Accent 1"/>
    <w:basedOn w:val="TableNormal"/>
    <w:uiPriority w:val="61"/>
    <w:rsid w:val="00FC693F"/>
    <w:pPr>
      <w:spacing w:after="0" w:line="240" w:lineRule="auto"/>
    </w:p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band1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</w:style>
  <w:style w:type="table" w:styleId="LightList-Accent2">
    <w:name w:val="Light List Accent 2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band1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</w:style>
  <w:style w:type="table" w:styleId="LightList-Accent3">
    <w:name w:val="Light List Accent 3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band1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</w:style>
  <w:style w:type="table" w:styleId="LightList-Accent4">
    <w:name w:val="Light List Accent 4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band1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</w:style>
  <w:style w:type="table" w:styleId="LightList-Accent5">
    <w:name w:val="Light List Accent 5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band1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</w:style>
  <w:style w:type="table" w:styleId="LightList-Accent6">
    <w:name w:val="Light List Accent 6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band1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</w:style>
  <w:style w:type="table" w:styleId="LightGrid">
    <w:name w:val="Light Grid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1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  <w:shd w:val="clear" w:color="auto" w:fill="C0C0C0" w:themeFill="text1" w:themeFillTint="3F"/>
      </w:tcPr>
    </w:tblStylePr>
    <w:tblStylePr w:type="band2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</w:tcPr>
    </w:tblStylePr>
  </w:style>
  <w:style w:type="table" w:styleId="LightGrid-Accent1">
    <w:name w:val="Light Grid Accent 1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  <w:insideH w:val="single" w:sz="8" w:space="0" w:color="4F81BD" w:themeColor="accent1"/>
        <w:insideV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1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band1Vert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  <w:shd w:val="clear" w:color="auto" w:fill="D3DFEE" w:themeFill="accent1" w:themeFillTint="3F"/>
      </w:tcPr>
    </w:tblStylePr>
    <w:tblStylePr w:type="band2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</w:tcPr>
    </w:tblStylePr>
  </w:style>
  <w:style w:type="table" w:styleId="LightGrid-Accent2">
    <w:name w:val="Light Grid Accent 2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  <w:insideH w:val="single" w:sz="8" w:space="0" w:color="C0504D" w:themeColor="accent2"/>
        <w:insideV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18" w:space="0" w:color="C0504D" w:themeColor="accent2"/>
          <w:right w:val="single" w:sz="8" w:space="0" w:color="C0504D" w:themeColor="accent2"/>
          <w:insideH w:val="nil"/>
          <w:insideV w:val="single" w:sz="8" w:space="0" w:color="C0504D" w:themeColor="accent2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H w:val="nil"/>
          <w:insideV w:val="single" w:sz="8" w:space="0" w:color="C0504D" w:themeColor="accent2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band1Vert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  <w:shd w:val="clear" w:color="auto" w:fill="EFD3D2" w:themeFill="accent2" w:themeFillTint="3F"/>
      </w:tcPr>
    </w:tblStylePr>
    <w:tblStylePr w:type="band1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V w:val="single" w:sz="8" w:space="0" w:color="C0504D" w:themeColor="accent2"/>
        </w:tcBorders>
        <w:shd w:val="clear" w:color="auto" w:fill="EFD3D2" w:themeFill="accent2" w:themeFillTint="3F"/>
      </w:tcPr>
    </w:tblStylePr>
    <w:tblStylePr w:type="band2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V w:val="single" w:sz="8" w:space="0" w:color="C0504D" w:themeColor="accent2"/>
        </w:tcBorders>
      </w:tcPr>
    </w:tblStylePr>
  </w:style>
  <w:style w:type="table" w:styleId="LightGrid-Accent3">
    <w:name w:val="Light Grid Accent 3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  <w:insideH w:val="single" w:sz="8" w:space="0" w:color="9BBB59" w:themeColor="accent3"/>
        <w:insideV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18" w:space="0" w:color="9BBB59" w:themeColor="accent3"/>
          <w:right w:val="single" w:sz="8" w:space="0" w:color="9BBB59" w:themeColor="accent3"/>
          <w:insideH w:val="nil"/>
          <w:insideV w:val="single" w:sz="8" w:space="0" w:color="9BBB59" w:themeColor="accent3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H w:val="nil"/>
          <w:insideV w:val="single" w:sz="8" w:space="0" w:color="9BBB59" w:themeColor="accent3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band1Vert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  <w:shd w:val="clear" w:color="auto" w:fill="E6EED5" w:themeFill="accent3" w:themeFillTint="3F"/>
      </w:tcPr>
    </w:tblStylePr>
    <w:tblStylePr w:type="band1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V w:val="single" w:sz="8" w:space="0" w:color="9BBB59" w:themeColor="accent3"/>
        </w:tcBorders>
        <w:shd w:val="clear" w:color="auto" w:fill="E6EED5" w:themeFill="accent3" w:themeFillTint="3F"/>
      </w:tcPr>
    </w:tblStylePr>
    <w:tblStylePr w:type="band2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V w:val="single" w:sz="8" w:space="0" w:color="9BBB59" w:themeColor="accent3"/>
        </w:tcBorders>
      </w:tcPr>
    </w:tblStylePr>
  </w:style>
  <w:style w:type="table" w:styleId="LightGrid-Accent4">
    <w:name w:val="Light Grid Accent 4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  <w:insideH w:val="single" w:sz="8" w:space="0" w:color="8064A2" w:themeColor="accent4"/>
        <w:insideV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18" w:space="0" w:color="8064A2" w:themeColor="accent4"/>
          <w:right w:val="single" w:sz="8" w:space="0" w:color="8064A2" w:themeColor="accent4"/>
          <w:insideH w:val="nil"/>
          <w:insideV w:val="single" w:sz="8" w:space="0" w:color="8064A2" w:themeColor="accent4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H w:val="nil"/>
          <w:insideV w:val="single" w:sz="8" w:space="0" w:color="8064A2" w:themeColor="accent4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band1Vert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  <w:shd w:val="clear" w:color="auto" w:fill="DFD8E8" w:themeFill="accent4" w:themeFillTint="3F"/>
      </w:tcPr>
    </w:tblStylePr>
    <w:tblStylePr w:type="band1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V w:val="single" w:sz="8" w:space="0" w:color="8064A2" w:themeColor="accent4"/>
        </w:tcBorders>
        <w:shd w:val="clear" w:color="auto" w:fill="DFD8E8" w:themeFill="accent4" w:themeFillTint="3F"/>
      </w:tcPr>
    </w:tblStylePr>
    <w:tblStylePr w:type="band2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V w:val="single" w:sz="8" w:space="0" w:color="8064A2" w:themeColor="accent4"/>
        </w:tcBorders>
      </w:tcPr>
    </w:tblStylePr>
  </w:style>
  <w:style w:type="table" w:styleId="LightGrid-Accent5">
    <w:name w:val="Light Grid Accent 5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  <w:insideH w:val="single" w:sz="8" w:space="0" w:color="4BACC6" w:themeColor="accent5"/>
        <w:insideV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18" w:space="0" w:color="4BACC6" w:themeColor="accent5"/>
          <w:right w:val="single" w:sz="8" w:space="0" w:color="4BACC6" w:themeColor="accent5"/>
          <w:insideH w:val="nil"/>
          <w:insideV w:val="single" w:sz="8" w:space="0" w:color="4BACC6" w:themeColor="accent5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H w:val="nil"/>
          <w:insideV w:val="single" w:sz="8" w:space="0" w:color="4BACC6" w:themeColor="accent5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band1Vert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  <w:shd w:val="clear" w:color="auto" w:fill="D2EAF1" w:themeFill="accent5" w:themeFillTint="3F"/>
      </w:tcPr>
    </w:tblStylePr>
    <w:tblStylePr w:type="band1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V w:val="single" w:sz="8" w:space="0" w:color="4BACC6" w:themeColor="accent5"/>
        </w:tcBorders>
        <w:shd w:val="clear" w:color="auto" w:fill="D2EAF1" w:themeFill="accent5" w:themeFillTint="3F"/>
      </w:tcPr>
    </w:tblStylePr>
    <w:tblStylePr w:type="band2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V w:val="single" w:sz="8" w:space="0" w:color="4BACC6" w:themeColor="accent5"/>
        </w:tcBorders>
      </w:tcPr>
    </w:tblStylePr>
  </w:style>
  <w:style w:type="table" w:styleId="LightGrid-Accent6">
    <w:name w:val="Light Grid Accent 6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  <w:insideH w:val="single" w:sz="8" w:space="0" w:color="F79646" w:themeColor="accent6"/>
        <w:insideV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18" w:space="0" w:color="F79646" w:themeColor="accent6"/>
          <w:right w:val="single" w:sz="8" w:space="0" w:color="F79646" w:themeColor="accent6"/>
          <w:insideH w:val="nil"/>
          <w:insideV w:val="single" w:sz="8" w:space="0" w:color="F79646" w:themeColor="accent6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H w:val="nil"/>
          <w:insideV w:val="single" w:sz="8" w:space="0" w:color="F79646" w:themeColor="accent6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band1Vert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  <w:shd w:val="clear" w:color="auto" w:fill="FDE4D0" w:themeFill="accent6" w:themeFillTint="3F"/>
      </w:tcPr>
    </w:tblStylePr>
    <w:tblStylePr w:type="band1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V w:val="single" w:sz="8" w:space="0" w:color="F79646" w:themeColor="accent6"/>
        </w:tcBorders>
        <w:shd w:val="clear" w:color="auto" w:fill="FDE4D0" w:themeFill="accent6" w:themeFillTint="3F"/>
      </w:tcPr>
    </w:tblStylePr>
    <w:tblStylePr w:type="band2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V w:val="single" w:sz="8" w:space="0" w:color="F79646" w:themeColor="accent6"/>
        </w:tcBorders>
      </w:tcPr>
    </w:tblStylePr>
  </w:style>
  <w:style w:type="table" w:styleId="MediumShading1">
    <w:name w:val="Medium Shading 1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C0C0C0" w:themeFill="tex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1">
    <w:name w:val="Medium Shading 1 Accent 1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BA0CD" w:themeColor="accent1" w:themeTint="BF"/>
        <w:left w:val="single" w:sz="8" w:space="0" w:color="7BA0CD" w:themeColor="accent1" w:themeTint="BF"/>
        <w:bottom w:val="single" w:sz="8" w:space="0" w:color="7BA0CD" w:themeColor="accent1" w:themeTint="BF"/>
        <w:right w:val="single" w:sz="8" w:space="0" w:color="7BA0CD" w:themeColor="accent1" w:themeTint="BF"/>
        <w:insideH w:val="single" w:sz="8" w:space="0" w:color="7BA0CD" w:themeColor="accent1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BA0CD" w:themeColor="accent1" w:themeTint="BF"/>
          <w:left w:val="single" w:sz="8" w:space="0" w:color="7BA0CD" w:themeColor="accent1" w:themeTint="BF"/>
          <w:bottom w:val="single" w:sz="8" w:space="0" w:color="7BA0CD" w:themeColor="accent1" w:themeTint="BF"/>
          <w:right w:val="single" w:sz="8" w:space="0" w:color="7BA0CD" w:themeColor="accent1" w:themeTint="BF"/>
          <w:insideH w:val="nil"/>
          <w:insideV w:val="nil"/>
        </w:tcBorders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BA0CD" w:themeColor="accent1" w:themeTint="BF"/>
          <w:left w:val="single" w:sz="8" w:space="0" w:color="7BA0CD" w:themeColor="accent1" w:themeTint="BF"/>
          <w:bottom w:val="single" w:sz="8" w:space="0" w:color="7BA0CD" w:themeColor="accent1" w:themeTint="BF"/>
          <w:right w:val="single" w:sz="8" w:space="0" w:color="7BA0CD" w:themeColor="accen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3DFEE" w:themeFill="accen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3DFEE" w:themeFill="accen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2">
    <w:name w:val="Medium Shading 1 Accent 2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F7B79" w:themeColor="accent2" w:themeTint="BF"/>
        <w:left w:val="single" w:sz="8" w:space="0" w:color="CF7B79" w:themeColor="accent2" w:themeTint="BF"/>
        <w:bottom w:val="single" w:sz="8" w:space="0" w:color="CF7B79" w:themeColor="accent2" w:themeTint="BF"/>
        <w:right w:val="single" w:sz="8" w:space="0" w:color="CF7B79" w:themeColor="accent2" w:themeTint="BF"/>
        <w:insideH w:val="single" w:sz="8" w:space="0" w:color="CF7B79" w:themeColor="accent2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CF7B79" w:themeColor="accent2" w:themeTint="BF"/>
          <w:left w:val="single" w:sz="8" w:space="0" w:color="CF7B79" w:themeColor="accent2" w:themeTint="BF"/>
          <w:bottom w:val="single" w:sz="8" w:space="0" w:color="CF7B79" w:themeColor="accent2" w:themeTint="BF"/>
          <w:right w:val="single" w:sz="8" w:space="0" w:color="CF7B79" w:themeColor="accent2" w:themeTint="BF"/>
          <w:insideH w:val="nil"/>
          <w:insideV w:val="nil"/>
        </w:tcBorders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F7B79" w:themeColor="accent2" w:themeTint="BF"/>
          <w:left w:val="single" w:sz="8" w:space="0" w:color="CF7B79" w:themeColor="accent2" w:themeTint="BF"/>
          <w:bottom w:val="single" w:sz="8" w:space="0" w:color="CF7B79" w:themeColor="accent2" w:themeTint="BF"/>
          <w:right w:val="single" w:sz="8" w:space="0" w:color="CF7B79" w:themeColor="accent2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FD3D2" w:themeFill="accent2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FD3D2" w:themeFill="accent2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3">
    <w:name w:val="Medium Shading 1 Accent 3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B3CC82" w:themeColor="accent3" w:themeTint="BF"/>
        <w:left w:val="single" w:sz="8" w:space="0" w:color="B3CC82" w:themeColor="accent3" w:themeTint="BF"/>
        <w:bottom w:val="single" w:sz="8" w:space="0" w:color="B3CC82" w:themeColor="accent3" w:themeTint="BF"/>
        <w:right w:val="single" w:sz="8" w:space="0" w:color="B3CC82" w:themeColor="accent3" w:themeTint="BF"/>
        <w:insideH w:val="single" w:sz="8" w:space="0" w:color="B3CC82" w:themeColor="accent3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B3CC82" w:themeColor="accent3" w:themeTint="BF"/>
          <w:left w:val="single" w:sz="8" w:space="0" w:color="B3CC82" w:themeColor="accent3" w:themeTint="BF"/>
          <w:bottom w:val="single" w:sz="8" w:space="0" w:color="B3CC82" w:themeColor="accent3" w:themeTint="BF"/>
          <w:right w:val="single" w:sz="8" w:space="0" w:color="B3CC82" w:themeColor="accent3" w:themeTint="BF"/>
          <w:insideH w:val="nil"/>
          <w:insideV w:val="nil"/>
        </w:tcBorders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B3CC82" w:themeColor="accent3" w:themeTint="BF"/>
          <w:left w:val="single" w:sz="8" w:space="0" w:color="B3CC82" w:themeColor="accent3" w:themeTint="BF"/>
          <w:bottom w:val="single" w:sz="8" w:space="0" w:color="B3CC82" w:themeColor="accent3" w:themeTint="BF"/>
          <w:right w:val="single" w:sz="8" w:space="0" w:color="B3CC82" w:themeColor="accent3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6EED5" w:themeFill="accent3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6EED5" w:themeFill="accent3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4">
    <w:name w:val="Medium Shading 1 Accent 4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F8AB9" w:themeColor="accent4" w:themeTint="BF"/>
        <w:left w:val="single" w:sz="8" w:space="0" w:color="9F8AB9" w:themeColor="accent4" w:themeTint="BF"/>
        <w:bottom w:val="single" w:sz="8" w:space="0" w:color="9F8AB9" w:themeColor="accent4" w:themeTint="BF"/>
        <w:right w:val="single" w:sz="8" w:space="0" w:color="9F8AB9" w:themeColor="accent4" w:themeTint="BF"/>
        <w:insideH w:val="single" w:sz="8" w:space="0" w:color="9F8AB9" w:themeColor="accent4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9F8AB9" w:themeColor="accent4" w:themeTint="BF"/>
          <w:left w:val="single" w:sz="8" w:space="0" w:color="9F8AB9" w:themeColor="accent4" w:themeTint="BF"/>
          <w:bottom w:val="single" w:sz="8" w:space="0" w:color="9F8AB9" w:themeColor="accent4" w:themeTint="BF"/>
          <w:right w:val="single" w:sz="8" w:space="0" w:color="9F8AB9" w:themeColor="accent4" w:themeTint="BF"/>
          <w:insideH w:val="nil"/>
          <w:insideV w:val="nil"/>
        </w:tcBorders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F8AB9" w:themeColor="accent4" w:themeTint="BF"/>
          <w:left w:val="single" w:sz="8" w:space="0" w:color="9F8AB9" w:themeColor="accent4" w:themeTint="BF"/>
          <w:bottom w:val="single" w:sz="8" w:space="0" w:color="9F8AB9" w:themeColor="accent4" w:themeTint="BF"/>
          <w:right w:val="single" w:sz="8" w:space="0" w:color="9F8AB9" w:themeColor="accent4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D8E8" w:themeFill="accent4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FD8E8" w:themeFill="accent4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5">
    <w:name w:val="Medium Shading 1 Accent 5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8C0D4" w:themeColor="accent5" w:themeTint="BF"/>
        <w:left w:val="single" w:sz="8" w:space="0" w:color="78C0D4" w:themeColor="accent5" w:themeTint="BF"/>
        <w:bottom w:val="single" w:sz="8" w:space="0" w:color="78C0D4" w:themeColor="accent5" w:themeTint="BF"/>
        <w:right w:val="single" w:sz="8" w:space="0" w:color="78C0D4" w:themeColor="accent5" w:themeTint="BF"/>
        <w:insideH w:val="single" w:sz="8" w:space="0" w:color="78C0D4" w:themeColor="accent5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8C0D4" w:themeColor="accent5" w:themeTint="BF"/>
          <w:left w:val="single" w:sz="8" w:space="0" w:color="78C0D4" w:themeColor="accent5" w:themeTint="BF"/>
          <w:bottom w:val="single" w:sz="8" w:space="0" w:color="78C0D4" w:themeColor="accent5" w:themeTint="BF"/>
          <w:right w:val="single" w:sz="8" w:space="0" w:color="78C0D4" w:themeColor="accent5" w:themeTint="BF"/>
          <w:insideH w:val="nil"/>
          <w:insideV w:val="nil"/>
        </w:tcBorders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8C0D4" w:themeColor="accent5" w:themeTint="BF"/>
          <w:left w:val="single" w:sz="8" w:space="0" w:color="78C0D4" w:themeColor="accent5" w:themeTint="BF"/>
          <w:bottom w:val="single" w:sz="8" w:space="0" w:color="78C0D4" w:themeColor="accent5" w:themeTint="BF"/>
          <w:right w:val="single" w:sz="8" w:space="0" w:color="78C0D4" w:themeColor="accent5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2EAF1" w:themeFill="accent5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2EAF1" w:themeFill="accent5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6">
    <w:name w:val="Medium Shading 1 Accent 6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9B074" w:themeColor="accent6" w:themeTint="BF"/>
        <w:left w:val="single" w:sz="8" w:space="0" w:color="F9B074" w:themeColor="accent6" w:themeTint="BF"/>
        <w:bottom w:val="single" w:sz="8" w:space="0" w:color="F9B074" w:themeColor="accent6" w:themeTint="BF"/>
        <w:right w:val="single" w:sz="8" w:space="0" w:color="F9B074" w:themeColor="accent6" w:themeTint="BF"/>
        <w:insideH w:val="single" w:sz="8" w:space="0" w:color="F9B074" w:themeColor="accent6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F9B074" w:themeColor="accent6" w:themeTint="BF"/>
          <w:left w:val="single" w:sz="8" w:space="0" w:color="F9B074" w:themeColor="accent6" w:themeTint="BF"/>
          <w:bottom w:val="single" w:sz="8" w:space="0" w:color="F9B074" w:themeColor="accent6" w:themeTint="BF"/>
          <w:right w:val="single" w:sz="8" w:space="0" w:color="F9B074" w:themeColor="accent6" w:themeTint="BF"/>
          <w:insideH w:val="nil"/>
          <w:insideV w:val="nil"/>
        </w:tcBorders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9B074" w:themeColor="accent6" w:themeTint="BF"/>
          <w:left w:val="single" w:sz="8" w:space="0" w:color="F9B074" w:themeColor="accent6" w:themeTint="BF"/>
          <w:bottom w:val="single" w:sz="8" w:space="0" w:color="F9B074" w:themeColor="accent6" w:themeTint="BF"/>
          <w:right w:val="single" w:sz="8" w:space="0" w:color="F9B074" w:themeColor="accent6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DE4D0" w:themeFill="accent6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FDE4D0" w:themeFill="accent6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2">
    <w:name w:val="Medium Shading 2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1">
    <w:name w:val="Medium Shading 2 Accent 1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F81BD" w:themeFill="accen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F81BD" w:themeFill="accen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2">
    <w:name w:val="Medium Shading 2 Accent 2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C0504D" w:themeFill="accent2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3">
    <w:name w:val="Medium Shading 2 Accent 3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9BBB59" w:themeFill="accent3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4">
    <w:name w:val="Medium Shading 2 Accent 4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8064A2" w:themeFill="accent4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8064A2" w:themeFill="accent4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5">
    <w:name w:val="Medium Shading 2 Accent 5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6">
    <w:name w:val="Medium Shading 2 Accent 6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79646" w:themeFill="accent6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List1">
    <w:name w:val="Medium List 1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000000" w:themeColor="text1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shd w:val="clear" w:color="auto" w:fill="C0C0C0" w:themeFill="text1" w:themeFillTint="3F"/>
      </w:tcPr>
    </w:tblStylePr>
  </w:style>
  <w:style w:type="table" w:styleId="MediumList1-Accent1">
    <w:name w:val="Medium List 1 Accent 1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bottom w:val="single" w:sz="8" w:space="0" w:color="4F81BD" w:themeColor="accent1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F81BD" w:themeColor="accent1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4F81BD" w:themeColor="accent1"/>
          <w:bottom w:val="single" w:sz="8" w:space="0" w:color="4F81BD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F81BD" w:themeColor="accent1"/>
          <w:bottom w:val="single" w:sz="8" w:space="0" w:color="4F81BD" w:themeColor="accent1"/>
        </w:tcBorders>
      </w:tcPr>
    </w:tblStylePr>
    <w:tblStylePr w:type="band1Vert">
      <w:tblPr/>
      <w:tcPr>
        <w:shd w:val="clear" w:color="auto" w:fill="D3DFEE" w:themeFill="accent1" w:themeFillTint="3F"/>
      </w:tcPr>
    </w:tblStylePr>
    <w:tblStylePr w:type="band1Horz">
      <w:tblPr/>
      <w:tcPr>
        <w:shd w:val="clear" w:color="auto" w:fill="D3DFEE" w:themeFill="accent1" w:themeFillTint="3F"/>
      </w:tcPr>
    </w:tblStylePr>
  </w:style>
  <w:style w:type="table" w:styleId="MediumList1-Accent2">
    <w:name w:val="Medium List 1 Accent 2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bottom w:val="single" w:sz="8" w:space="0" w:color="C0504D" w:themeColor="accent2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C0504D" w:themeColor="accent2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C0504D" w:themeColor="accent2"/>
          <w:bottom w:val="single" w:sz="8" w:space="0" w:color="C0504D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C0504D" w:themeColor="accent2"/>
          <w:bottom w:val="single" w:sz="8" w:space="0" w:color="C0504D" w:themeColor="accent2"/>
        </w:tcBorders>
      </w:tcPr>
    </w:tblStylePr>
    <w:tblStylePr w:type="band1Vert">
      <w:tblPr/>
      <w:tcPr>
        <w:shd w:val="clear" w:color="auto" w:fill="EFD3D2" w:themeFill="accent2" w:themeFillTint="3F"/>
      </w:tcPr>
    </w:tblStylePr>
    <w:tblStylePr w:type="band1Horz">
      <w:tblPr/>
      <w:tcPr>
        <w:shd w:val="clear" w:color="auto" w:fill="EFD3D2" w:themeFill="accent2" w:themeFillTint="3F"/>
      </w:tcPr>
    </w:tblStylePr>
  </w:style>
  <w:style w:type="table" w:styleId="MediumList1-Accent3">
    <w:name w:val="Medium List 1 Accent 3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bottom w:val="single" w:sz="8" w:space="0" w:color="9BBB59" w:themeColor="accent3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9BBB59" w:themeColor="accent3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9BBB59" w:themeColor="accent3"/>
          <w:bottom w:val="single" w:sz="8" w:space="0" w:color="9BBB59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9BBB59" w:themeColor="accent3"/>
          <w:bottom w:val="single" w:sz="8" w:space="0" w:color="9BBB59" w:themeColor="accent3"/>
        </w:tcBorders>
      </w:tcPr>
    </w:tblStylePr>
    <w:tblStylePr w:type="band1Vert">
      <w:tblPr/>
      <w:tcPr>
        <w:shd w:val="clear" w:color="auto" w:fill="E6EED5" w:themeFill="accent3" w:themeFillTint="3F"/>
      </w:tcPr>
    </w:tblStylePr>
    <w:tblStylePr w:type="band1Horz">
      <w:tblPr/>
      <w:tcPr>
        <w:shd w:val="clear" w:color="auto" w:fill="E6EED5" w:themeFill="accent3" w:themeFillTint="3F"/>
      </w:tcPr>
    </w:tblStylePr>
  </w:style>
  <w:style w:type="table" w:styleId="MediumList1-Accent4">
    <w:name w:val="Medium List 1 Accent 4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bottom w:val="single" w:sz="8" w:space="0" w:color="8064A2" w:themeColor="accent4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8064A2" w:themeColor="accent4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8064A2" w:themeColor="accent4"/>
          <w:bottom w:val="single" w:sz="8" w:space="0" w:color="8064A2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8064A2" w:themeColor="accent4"/>
          <w:bottom w:val="single" w:sz="8" w:space="0" w:color="8064A2" w:themeColor="accent4"/>
        </w:tcBorders>
      </w:tcPr>
    </w:tblStylePr>
    <w:tblStylePr w:type="band1Vert">
      <w:tblPr/>
      <w:tcPr>
        <w:shd w:val="clear" w:color="auto" w:fill="DFD8E8" w:themeFill="accent4" w:themeFillTint="3F"/>
      </w:tcPr>
    </w:tblStylePr>
    <w:tblStylePr w:type="band1Horz">
      <w:tblPr/>
      <w:tcPr>
        <w:shd w:val="clear" w:color="auto" w:fill="DFD8E8" w:themeFill="accent4" w:themeFillTint="3F"/>
      </w:tcPr>
    </w:tblStylePr>
  </w:style>
  <w:style w:type="table" w:styleId="MediumList1-Accent5">
    <w:name w:val="Medium List 1 Accent 5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bottom w:val="single" w:sz="8" w:space="0" w:color="4BACC6" w:themeColor="accent5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BACC6" w:themeColor="accent5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4BACC6" w:themeColor="accent5"/>
          <w:bottom w:val="single" w:sz="8" w:space="0" w:color="4BACC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BACC6" w:themeColor="accent5"/>
          <w:bottom w:val="single" w:sz="8" w:space="0" w:color="4BACC6" w:themeColor="accent5"/>
        </w:tcBorders>
      </w:tcPr>
    </w:tblStylePr>
    <w:tblStylePr w:type="band1Vert">
      <w:tblPr/>
      <w:tcPr>
        <w:shd w:val="clear" w:color="auto" w:fill="D2EAF1" w:themeFill="accent5" w:themeFillTint="3F"/>
      </w:tcPr>
    </w:tblStylePr>
    <w:tblStylePr w:type="band1Horz">
      <w:tblPr/>
      <w:tcPr>
        <w:shd w:val="clear" w:color="auto" w:fill="D2EAF1" w:themeFill="accent5" w:themeFillTint="3F"/>
      </w:tcPr>
    </w:tblStylePr>
  </w:style>
  <w:style w:type="table" w:styleId="MediumList1-Accent6">
    <w:name w:val="Medium List 1 Accent 6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bottom w:val="single" w:sz="8" w:space="0" w:color="F79646" w:themeColor="accent6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F79646" w:themeColor="accent6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F79646" w:themeColor="accent6"/>
          <w:bottom w:val="single" w:sz="8" w:space="0" w:color="F79646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F79646" w:themeColor="accent6"/>
          <w:bottom w:val="single" w:sz="8" w:space="0" w:color="F79646" w:themeColor="accent6"/>
        </w:tcBorders>
      </w:tcPr>
    </w:tblStylePr>
    <w:tblStylePr w:type="band1Vert">
      <w:tblPr/>
      <w:tcPr>
        <w:shd w:val="clear" w:color="auto" w:fill="FDE4D0" w:themeFill="accent6" w:themeFillTint="3F"/>
      </w:tcPr>
    </w:tblStylePr>
    <w:tblStylePr w:type="band1Horz">
      <w:tblPr/>
      <w:tcPr>
        <w:shd w:val="clear" w:color="auto" w:fill="FDE4D0" w:themeFill="accent6" w:themeFillTint="3F"/>
      </w:tcPr>
    </w:tblStylePr>
  </w:style>
  <w:style w:type="table" w:styleId="MediumList2">
    <w:name w:val="Medium List 2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000000" w:themeColor="tex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000000" w:themeColor="tex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000000" w:themeColor="tex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C0C0C0" w:themeFill="tex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1">
    <w:name w:val="Medium List 2 Accent 1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F81BD" w:themeColor="accen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4F81BD" w:themeColor="accen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F81BD" w:themeColor="accen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F81BD" w:themeColor="accen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3DFEE" w:themeFill="accen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2">
    <w:name w:val="Medium List 2 Accent 2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C0504D" w:themeColor="accent2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C0504D" w:themeColor="accent2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C0504D" w:themeColor="accent2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FD3D2" w:themeFill="accent2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3">
    <w:name w:val="Medium List 2 Accent 3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9BBB59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9BBB59" w:themeColor="accent3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9BBB59" w:themeColor="accent3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9BBB59" w:themeColor="accent3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6EED5" w:themeFill="accent3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4">
    <w:name w:val="Medium List 2 Accent 4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8064A2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8064A2" w:themeColor="accent4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8064A2" w:themeColor="accent4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8064A2" w:themeColor="accent4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FD8E8" w:themeFill="accent4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5">
    <w:name w:val="Medium List 2 Accent 5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BACC6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4BACC6" w:themeColor="accent5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BACC6" w:themeColor="accent5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BACC6" w:themeColor="accent5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2EAF1" w:themeFill="accent5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6">
    <w:name w:val="Medium List 2 Accent 6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F79646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F79646" w:themeColor="accent6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F79646" w:themeColor="accent6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F79646" w:themeColor="accent6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FDE4D0" w:themeFill="accent6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Grid1">
    <w:name w:val="Medium Grid 1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  <w:insideV w:val="single" w:sz="8" w:space="0" w:color="404040" w:themeColor="text1" w:themeTint="BF"/>
      </w:tblBorders>
    </w:tblPr>
    <w:tcPr>
      <w:shd w:val="clear" w:color="auto" w:fill="C0C0C0" w:themeFill="tex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404040" w:themeColor="tex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MediumGrid1-Accent1">
    <w:name w:val="Medium Grid 1 Accent 1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BA0CD" w:themeColor="accent1" w:themeTint="BF"/>
        <w:left w:val="single" w:sz="8" w:space="0" w:color="7BA0CD" w:themeColor="accent1" w:themeTint="BF"/>
        <w:bottom w:val="single" w:sz="8" w:space="0" w:color="7BA0CD" w:themeColor="accent1" w:themeTint="BF"/>
        <w:right w:val="single" w:sz="8" w:space="0" w:color="7BA0CD" w:themeColor="accent1" w:themeTint="BF"/>
        <w:insideH w:val="single" w:sz="8" w:space="0" w:color="7BA0CD" w:themeColor="accent1" w:themeTint="BF"/>
        <w:insideV w:val="single" w:sz="8" w:space="0" w:color="7BA0CD" w:themeColor="accent1" w:themeTint="BF"/>
      </w:tblBorders>
    </w:tblPr>
    <w:tcPr>
      <w:shd w:val="clear" w:color="auto" w:fill="D3DFEE" w:themeFill="accen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BA0CD" w:themeColor="accen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shd w:val="clear" w:color="auto" w:fill="A7BFDE" w:themeFill="accent1" w:themeFillTint="7F"/>
      </w:tcPr>
    </w:tblStylePr>
  </w:style>
  <w:style w:type="table" w:styleId="MediumGrid1-Accent2">
    <w:name w:val="Medium Grid 1 Accent 2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F7B79" w:themeColor="accent2" w:themeTint="BF"/>
        <w:left w:val="single" w:sz="8" w:space="0" w:color="CF7B79" w:themeColor="accent2" w:themeTint="BF"/>
        <w:bottom w:val="single" w:sz="8" w:space="0" w:color="CF7B79" w:themeColor="accent2" w:themeTint="BF"/>
        <w:right w:val="single" w:sz="8" w:space="0" w:color="CF7B79" w:themeColor="accent2" w:themeTint="BF"/>
        <w:insideH w:val="single" w:sz="8" w:space="0" w:color="CF7B79" w:themeColor="accent2" w:themeTint="BF"/>
        <w:insideV w:val="single" w:sz="8" w:space="0" w:color="CF7B79" w:themeColor="accent2" w:themeTint="BF"/>
      </w:tblBorders>
    </w:tblPr>
    <w:tcPr>
      <w:shd w:val="clear" w:color="auto" w:fill="EFD3D2" w:themeFill="accent2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CF7B79" w:themeColor="accent2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shd w:val="clear" w:color="auto" w:fill="DFA7A6" w:themeFill="accent2" w:themeFillTint="7F"/>
      </w:tcPr>
    </w:tblStylePr>
  </w:style>
  <w:style w:type="table" w:styleId="MediumGrid1-Accent3">
    <w:name w:val="Medium Grid 1 Accent 3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B3CC82" w:themeColor="accent3" w:themeTint="BF"/>
        <w:left w:val="single" w:sz="8" w:space="0" w:color="B3CC82" w:themeColor="accent3" w:themeTint="BF"/>
        <w:bottom w:val="single" w:sz="8" w:space="0" w:color="B3CC82" w:themeColor="accent3" w:themeTint="BF"/>
        <w:right w:val="single" w:sz="8" w:space="0" w:color="B3CC82" w:themeColor="accent3" w:themeTint="BF"/>
        <w:insideH w:val="single" w:sz="8" w:space="0" w:color="B3CC82" w:themeColor="accent3" w:themeTint="BF"/>
        <w:insideV w:val="single" w:sz="8" w:space="0" w:color="B3CC82" w:themeColor="accent3" w:themeTint="BF"/>
      </w:tblBorders>
    </w:tblPr>
    <w:tcPr>
      <w:shd w:val="clear" w:color="auto" w:fill="E6EED5" w:themeFill="accent3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B3CC82" w:themeColor="accent3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MediumGrid1-Accent4">
    <w:name w:val="Medium Grid 1 Accent 4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F8AB9" w:themeColor="accent4" w:themeTint="BF"/>
        <w:left w:val="single" w:sz="8" w:space="0" w:color="9F8AB9" w:themeColor="accent4" w:themeTint="BF"/>
        <w:bottom w:val="single" w:sz="8" w:space="0" w:color="9F8AB9" w:themeColor="accent4" w:themeTint="BF"/>
        <w:right w:val="single" w:sz="8" w:space="0" w:color="9F8AB9" w:themeColor="accent4" w:themeTint="BF"/>
        <w:insideH w:val="single" w:sz="8" w:space="0" w:color="9F8AB9" w:themeColor="accent4" w:themeTint="BF"/>
        <w:insideV w:val="single" w:sz="8" w:space="0" w:color="9F8AB9" w:themeColor="accent4" w:themeTint="BF"/>
      </w:tblBorders>
    </w:tblPr>
    <w:tcPr>
      <w:shd w:val="clear" w:color="auto" w:fill="DFD8E8" w:themeFill="accent4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9F8AB9" w:themeColor="accent4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shd w:val="clear" w:color="auto" w:fill="BFB1D0" w:themeFill="accent4" w:themeFillTint="7F"/>
      </w:tcPr>
    </w:tblStylePr>
  </w:style>
  <w:style w:type="table" w:styleId="MediumGrid1-Accent5">
    <w:name w:val="Medium Grid 1 Accent 5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8C0D4" w:themeColor="accent5" w:themeTint="BF"/>
        <w:left w:val="single" w:sz="8" w:space="0" w:color="78C0D4" w:themeColor="accent5" w:themeTint="BF"/>
        <w:bottom w:val="single" w:sz="8" w:space="0" w:color="78C0D4" w:themeColor="accent5" w:themeTint="BF"/>
        <w:right w:val="single" w:sz="8" w:space="0" w:color="78C0D4" w:themeColor="accent5" w:themeTint="BF"/>
        <w:insideH w:val="single" w:sz="8" w:space="0" w:color="78C0D4" w:themeColor="accent5" w:themeTint="BF"/>
        <w:insideV w:val="single" w:sz="8" w:space="0" w:color="78C0D4" w:themeColor="accent5" w:themeTint="BF"/>
      </w:tblBorders>
    </w:tblPr>
    <w:tcPr>
      <w:shd w:val="clear" w:color="auto" w:fill="D2EAF1" w:themeFill="accent5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8C0D4" w:themeColor="accent5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shd w:val="clear" w:color="auto" w:fill="A5D5E2" w:themeFill="accent5" w:themeFillTint="7F"/>
      </w:tcPr>
    </w:tblStylePr>
  </w:style>
  <w:style w:type="table" w:styleId="MediumGrid1-Accent6">
    <w:name w:val="Medium Grid 1 Accent 6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9B074" w:themeColor="accent6" w:themeTint="BF"/>
        <w:left w:val="single" w:sz="8" w:space="0" w:color="F9B074" w:themeColor="accent6" w:themeTint="BF"/>
        <w:bottom w:val="single" w:sz="8" w:space="0" w:color="F9B074" w:themeColor="accent6" w:themeTint="BF"/>
        <w:right w:val="single" w:sz="8" w:space="0" w:color="F9B074" w:themeColor="accent6" w:themeTint="BF"/>
        <w:insideH w:val="single" w:sz="8" w:space="0" w:color="F9B074" w:themeColor="accent6" w:themeTint="BF"/>
        <w:insideV w:val="single" w:sz="8" w:space="0" w:color="F9B074" w:themeColor="accent6" w:themeTint="BF"/>
      </w:tblBorders>
    </w:tblPr>
    <w:tcPr>
      <w:shd w:val="clear" w:color="auto" w:fill="FDE4D0" w:themeFill="accent6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F9B074" w:themeColor="accent6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shd w:val="clear" w:color="auto" w:fill="FBCAA2" w:themeFill="accent6" w:themeFillTint="7F"/>
      </w:tcPr>
    </w:tblStylePr>
  </w:style>
  <w:style w:type="table" w:styleId="MediumGrid2">
    <w:name w:val="Medium Grid 2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</w:tblPr>
    <w:tcPr>
      <w:shd w:val="clear" w:color="auto" w:fill="C0C0C0" w:themeFill="text1" w:themeFillTint="3F"/>
    </w:tcPr>
    <w:tblStylePr w:type="firstRow">
      <w:rPr>
        <w:b/>
        <w:bCs/>
        <w:color w:val="000000" w:themeColor="text1"/>
      </w:rPr>
      <w:tblPr/>
      <w:tcPr>
        <w:shd w:val="clear" w:color="auto" w:fill="E6E6E6" w:themeFill="tex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CCCCC" w:themeFill="text1" w:themeFillTint="33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tcBorders>
          <w:insideH w:val="single" w:sz="6" w:space="0" w:color="000000" w:themeColor="text1"/>
          <w:insideV w:val="single" w:sz="6" w:space="0" w:color="000000" w:themeColor="text1"/>
        </w:tcBorders>
        <w:shd w:val="clear" w:color="auto" w:fill="808080" w:themeFill="tex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1">
    <w:name w:val="Medium Grid 2 Accent 1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  <w:insideH w:val="single" w:sz="8" w:space="0" w:color="4F81BD" w:themeColor="accent1"/>
        <w:insideV w:val="single" w:sz="8" w:space="0" w:color="4F81BD" w:themeColor="accent1"/>
      </w:tblBorders>
    </w:tblPr>
    <w:tcPr>
      <w:shd w:val="clear" w:color="auto" w:fill="D3DFEE" w:themeFill="accent1" w:themeFillTint="3F"/>
    </w:tcPr>
    <w:tblStylePr w:type="firstRow">
      <w:rPr>
        <w:b/>
        <w:bCs/>
        <w:color w:val="000000" w:themeColor="text1"/>
      </w:rPr>
      <w:tblPr/>
      <w:tcPr>
        <w:shd w:val="clear" w:color="auto" w:fill="EDF2F8" w:themeFill="accen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BE5F1" w:themeFill="accent1" w:themeFillTint="33"/>
      </w:tc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tcBorders>
          <w:insideH w:val="single" w:sz="6" w:space="0" w:color="4F81BD" w:themeColor="accent1"/>
          <w:insideV w:val="single" w:sz="6" w:space="0" w:color="4F81BD" w:themeColor="accent1"/>
        </w:tcBorders>
        <w:shd w:val="clear" w:color="auto" w:fill="A7BFDE" w:themeFill="accen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2">
    <w:name w:val="Medium Grid 2 Accent 2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  <w:insideH w:val="single" w:sz="8" w:space="0" w:color="C0504D" w:themeColor="accent2"/>
        <w:insideV w:val="single" w:sz="8" w:space="0" w:color="C0504D" w:themeColor="accent2"/>
      </w:tblBorders>
    </w:tblPr>
    <w:tcPr>
      <w:shd w:val="clear" w:color="auto" w:fill="EFD3D2" w:themeFill="accent2" w:themeFillTint="3F"/>
    </w:tcPr>
    <w:tblStylePr w:type="firstRow">
      <w:rPr>
        <w:b/>
        <w:bCs/>
        <w:color w:val="000000" w:themeColor="text1"/>
      </w:rPr>
      <w:tblPr/>
      <w:tcPr>
        <w:shd w:val="clear" w:color="auto" w:fill="F8EDED" w:themeFill="accent2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2DBDB" w:themeFill="accent2" w:themeFillTint="33"/>
      </w:tc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tcBorders>
          <w:insideH w:val="single" w:sz="6" w:space="0" w:color="C0504D" w:themeColor="accent2"/>
          <w:insideV w:val="single" w:sz="6" w:space="0" w:color="C0504D" w:themeColor="accent2"/>
        </w:tcBorders>
        <w:shd w:val="clear" w:color="auto" w:fill="DFA7A6" w:themeFill="accent2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3">
    <w:name w:val="Medium Grid 2 Accent 3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  <w:insideH w:val="single" w:sz="8" w:space="0" w:color="9BBB59" w:themeColor="accent3"/>
        <w:insideV w:val="single" w:sz="8" w:space="0" w:color="9BBB59" w:themeColor="accent3"/>
      </w:tblBorders>
    </w:tblPr>
    <w:tcPr>
      <w:shd w:val="clear" w:color="auto" w:fill="E6EED5" w:themeFill="accent3" w:themeFillTint="3F"/>
    </w:tcPr>
    <w:tblStylePr w:type="firstRow">
      <w:rPr>
        <w:b/>
        <w:bCs/>
        <w:color w:val="000000" w:themeColor="text1"/>
      </w:rPr>
      <w:tblPr/>
      <w:tcPr>
        <w:shd w:val="clear" w:color="auto" w:fill="F5F8EE" w:themeFill="accent3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AF1DD" w:themeFill="accent3" w:themeFillTint="33"/>
      </w:tc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tcBorders>
          <w:insideH w:val="single" w:sz="6" w:space="0" w:color="9BBB59" w:themeColor="accent3"/>
          <w:insideV w:val="single" w:sz="6" w:space="0" w:color="9BBB59" w:themeColor="accent3"/>
        </w:tcBorders>
        <w:shd w:val="clear" w:color="auto" w:fill="CDDDAC" w:themeFill="accent3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4">
    <w:name w:val="Medium Grid 2 Accent 4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  <w:insideH w:val="single" w:sz="8" w:space="0" w:color="8064A2" w:themeColor="accent4"/>
        <w:insideV w:val="single" w:sz="8" w:space="0" w:color="8064A2" w:themeColor="accent4"/>
      </w:tblBorders>
    </w:tblPr>
    <w:tcPr>
      <w:shd w:val="clear" w:color="auto" w:fill="DFD8E8" w:themeFill="accent4" w:themeFillTint="3F"/>
    </w:tcPr>
    <w:tblStylePr w:type="firstRow">
      <w:rPr>
        <w:b/>
        <w:bCs/>
        <w:color w:val="000000" w:themeColor="text1"/>
      </w:rPr>
      <w:tblPr/>
      <w:tcPr>
        <w:shd w:val="clear" w:color="auto" w:fill="F2EFF6" w:themeFill="accent4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5DFEC" w:themeFill="accent4" w:themeFillTint="33"/>
      </w:tc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tcBorders>
          <w:insideH w:val="single" w:sz="6" w:space="0" w:color="8064A2" w:themeColor="accent4"/>
          <w:insideV w:val="single" w:sz="6" w:space="0" w:color="8064A2" w:themeColor="accent4"/>
        </w:tcBorders>
        <w:shd w:val="clear" w:color="auto" w:fill="BFB1D0" w:themeFill="accent4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5">
    <w:name w:val="Medium Grid 2 Accent 5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  <w:insideH w:val="single" w:sz="8" w:space="0" w:color="4BACC6" w:themeColor="accent5"/>
        <w:insideV w:val="single" w:sz="8" w:space="0" w:color="4BACC6" w:themeColor="accent5"/>
      </w:tblBorders>
    </w:tblPr>
    <w:tcPr>
      <w:shd w:val="clear" w:color="auto" w:fill="D2EAF1" w:themeFill="accent5" w:themeFillTint="3F"/>
    </w:tcPr>
    <w:tblStylePr w:type="firstRow">
      <w:rPr>
        <w:b/>
        <w:bCs/>
        <w:color w:val="000000" w:themeColor="text1"/>
      </w:rPr>
      <w:tblPr/>
      <w:tcPr>
        <w:shd w:val="clear" w:color="auto" w:fill="EDF6F9" w:themeFill="accent5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AEEF3" w:themeFill="accent5" w:themeFillTint="33"/>
      </w:tc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tcBorders>
          <w:insideH w:val="single" w:sz="6" w:space="0" w:color="4BACC6" w:themeColor="accent5"/>
          <w:insideV w:val="single" w:sz="6" w:space="0" w:color="4BACC6" w:themeColor="accent5"/>
        </w:tcBorders>
        <w:shd w:val="clear" w:color="auto" w:fill="A5D5E2" w:themeFill="accent5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6">
    <w:name w:val="Medium Grid 2 Accent 6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  <w:insideH w:val="single" w:sz="8" w:space="0" w:color="F79646" w:themeColor="accent6"/>
        <w:insideV w:val="single" w:sz="8" w:space="0" w:color="F79646" w:themeColor="accent6"/>
      </w:tblBorders>
    </w:tblPr>
    <w:tcPr>
      <w:shd w:val="clear" w:color="auto" w:fill="FDE4D0" w:themeFill="accent6" w:themeFillTint="3F"/>
    </w:tcPr>
    <w:tblStylePr w:type="firstRow">
      <w:rPr>
        <w:b/>
        <w:bCs/>
        <w:color w:val="000000" w:themeColor="text1"/>
      </w:rPr>
      <w:tblPr/>
      <w:tcPr>
        <w:shd w:val="clear" w:color="auto" w:fill="FEF4EC" w:themeFill="accent6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9D9" w:themeFill="accent6" w:themeFillTint="33"/>
      </w:tc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tcBorders>
          <w:insideH w:val="single" w:sz="6" w:space="0" w:color="F79646" w:themeColor="accent6"/>
          <w:insideV w:val="single" w:sz="6" w:space="0" w:color="F79646" w:themeColor="accent6"/>
        </w:tcBorders>
        <w:shd w:val="clear" w:color="auto" w:fill="FBCAA2" w:themeFill="accent6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3">
    <w:name w:val="Medium Grid 3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C0C0C0" w:themeFill="tex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808080" w:themeFill="tex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808080" w:themeFill="text1" w:themeFillTint="7F"/>
      </w:tcPr>
    </w:tblStylePr>
  </w:style>
  <w:style w:type="table" w:styleId="MediumGrid3-Accent1">
    <w:name w:val="Medium Grid 3 Accent 1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3DFEE" w:themeFill="accen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F81BD" w:themeFill="accen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F81BD" w:themeFill="accen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F81BD" w:themeFill="accen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F81BD" w:themeFill="accen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7BFDE" w:themeFill="accen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7BFDE" w:themeFill="accent1" w:themeFillTint="7F"/>
      </w:tcPr>
    </w:tblStylePr>
  </w:style>
  <w:style w:type="table" w:styleId="MediumGrid3-Accent2">
    <w:name w:val="Medium Grid 3 Accent 2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EFD3D2" w:themeFill="accent2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C0504D" w:themeFill="accent2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C0504D" w:themeFill="accent2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C0504D" w:themeFill="accent2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DFA7A6" w:themeFill="accent2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DFA7A6" w:themeFill="accent2" w:themeFillTint="7F"/>
      </w:tcPr>
    </w:tblStylePr>
  </w:style>
  <w:style w:type="table" w:styleId="MediumGrid3-Accent3">
    <w:name w:val="Medium Grid 3 Accent 3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E6EED5" w:themeFill="accent3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9BBB59" w:themeFill="accent3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9BBB59" w:themeFill="accent3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9BBB59" w:themeFill="accent3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CDDDAC" w:themeFill="accent3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CDDDAC" w:themeFill="accent3" w:themeFillTint="7F"/>
      </w:tcPr>
    </w:tblStylePr>
  </w:style>
  <w:style w:type="table" w:styleId="MediumGrid3-Accent4">
    <w:name w:val="Medium Grid 3 Accent 4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FD8E8" w:themeFill="accent4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064A2" w:themeFill="accent4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064A2" w:themeFill="accent4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8064A2" w:themeFill="accent4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8064A2" w:themeFill="accent4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BFB1D0" w:themeFill="accent4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BFB1D0" w:themeFill="accent4" w:themeFillTint="7F"/>
      </w:tcPr>
    </w:tblStylePr>
  </w:style>
  <w:style w:type="table" w:styleId="MediumGrid3-Accent5">
    <w:name w:val="Medium Grid 3 Accent 5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2EAF1" w:themeFill="accent5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BACC6" w:themeFill="accent5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BACC6" w:themeFill="accent5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BACC6" w:themeFill="accent5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5D5E2" w:themeFill="accent5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5D5E2" w:themeFill="accent5" w:themeFillTint="7F"/>
      </w:tcPr>
    </w:tblStylePr>
  </w:style>
  <w:style w:type="table" w:styleId="MediumGrid3-Accent6">
    <w:name w:val="Medium Grid 3 Accent 6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FDE4D0" w:themeFill="accent6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79646" w:themeFill="accent6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79646" w:themeFill="accent6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F79646" w:themeFill="accent6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FBCAA2" w:themeFill="accent6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FBCAA2" w:themeFill="accent6" w:themeFillTint="7F"/>
      </w:tcPr>
    </w:tblStylePr>
  </w:style>
  <w:style w:type="table" w:styleId="DarkList">
    <w:name w:val="Dark List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000000" w:themeFill="tex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000000" w:themeFill="tex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</w:style>
  <w:style w:type="table" w:styleId="DarkList-Accent1">
    <w:name w:val="Dark List Accent 1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4F81BD" w:themeFill="accen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43F60" w:themeFill="accen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65F91" w:themeFill="accen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</w:style>
  <w:style w:type="table" w:styleId="DarkList-Accent2">
    <w:name w:val="Dark List Accent 2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C0504D" w:themeFill="accent2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622423" w:themeFill="accent2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943634" w:themeFill="accent2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</w:style>
  <w:style w:type="table" w:styleId="DarkList-Accent3">
    <w:name w:val="Dark List Accent 3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9BBB59" w:themeFill="accent3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4E6128" w:themeFill="accent3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76923C" w:themeFill="accent3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</w:style>
  <w:style w:type="table" w:styleId="DarkList-Accent4">
    <w:name w:val="Dark List Accent 4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8064A2" w:themeFill="accent4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3F3151" w:themeFill="accent4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5F497A" w:themeFill="accent4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</w:style>
  <w:style w:type="table" w:styleId="DarkList-Accent5">
    <w:name w:val="Dark List Accent 5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4BACC6" w:themeFill="accent5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05867" w:themeFill="accent5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1849B" w:themeFill="accent5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</w:style>
  <w:style w:type="table" w:styleId="DarkList-Accent6">
    <w:name w:val="Dark List Accent 6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F79646" w:themeFill="accent6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974706" w:themeFill="accent6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E36C0A" w:themeFill="accent6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</w:style>
  <w:style w:type="table" w:styleId="ColourfulShading">
    <w:name w:val="Colorful Shading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6E6E6" w:themeFill="tex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000000" w:themeFill="tex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000000" w:themeColor="text1" w:themeShade="99"/>
          <w:insideV w:val="nil"/>
        </w:tcBorders>
        <w:shd w:val="clear" w:color="auto" w:fill="000000" w:themeFill="tex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shd w:val="clear" w:color="auto" w:fill="999999" w:themeFill="text1" w:themeFillTint="66"/>
      </w:tcPr>
    </w:tblStylePr>
    <w:tblStylePr w:type="band1Horz">
      <w:tblPr/>
      <w:tcPr>
        <w:shd w:val="clear" w:color="auto" w:fill="808080" w:themeFill="tex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ShadingAccent1">
    <w:name w:val="Colorful Shading Accent 1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4F81BD" w:themeColor="accent1"/>
        <w:bottom w:val="single" w:sz="4" w:space="0" w:color="4F81BD" w:themeColor="accent1"/>
        <w:right w:val="single" w:sz="4" w:space="0" w:color="4F81BD" w:themeColor="accent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DF2F8" w:themeFill="accen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C4C74" w:themeFill="accen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C4C74" w:themeColor="accent1" w:themeShade="99"/>
          <w:insideV w:val="nil"/>
        </w:tcBorders>
        <w:shd w:val="clear" w:color="auto" w:fill="2C4C74" w:themeFill="accen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C4C74" w:themeFill="accent1" w:themeFillShade="99"/>
      </w:tcPr>
    </w:tblStylePr>
    <w:tblStylePr w:type="band1Vert">
      <w:tblPr/>
      <w:tcPr>
        <w:shd w:val="clear" w:color="auto" w:fill="B8CCE4" w:themeFill="accent1" w:themeFillTint="66"/>
      </w:tcPr>
    </w:tblStylePr>
    <w:tblStylePr w:type="band1Horz">
      <w:tblPr/>
      <w:tcPr>
        <w:shd w:val="clear" w:color="auto" w:fill="A7BFDE" w:themeFill="accen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ShadingAccent2">
    <w:name w:val="Colorful Shading Accent 2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C0504D" w:themeColor="accent2"/>
        <w:bottom w:val="single" w:sz="4" w:space="0" w:color="C0504D" w:themeColor="accent2"/>
        <w:right w:val="single" w:sz="4" w:space="0" w:color="C0504D" w:themeColor="accent2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8EDED" w:themeFill="accent2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772C2A" w:themeFill="accent2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772C2A" w:themeColor="accent2" w:themeShade="99"/>
          <w:insideV w:val="nil"/>
        </w:tcBorders>
        <w:shd w:val="clear" w:color="auto" w:fill="772C2A" w:themeFill="accent2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72C2A" w:themeFill="accent2" w:themeFillShade="99"/>
      </w:tcPr>
    </w:tblStylePr>
    <w:tblStylePr w:type="band1Vert">
      <w:tblPr/>
      <w:tcPr>
        <w:shd w:val="clear" w:color="auto" w:fill="E5B8B7" w:themeFill="accent2" w:themeFillTint="66"/>
      </w:tcPr>
    </w:tblStylePr>
    <w:tblStylePr w:type="band1Horz">
      <w:tblPr/>
      <w:tcPr>
        <w:shd w:val="clear" w:color="auto" w:fill="DFA7A6" w:themeFill="accent2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ShadingAccent3">
    <w:name w:val="Colorful Shading Accent 3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8064A2" w:themeColor="accent4"/>
        <w:left w:val="single" w:sz="4" w:space="0" w:color="9BBB59" w:themeColor="accent3"/>
        <w:bottom w:val="single" w:sz="4" w:space="0" w:color="9BBB59" w:themeColor="accent3"/>
        <w:right w:val="single" w:sz="4" w:space="0" w:color="9BBB59" w:themeColor="accent3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5F8EE" w:themeFill="accent3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8064A2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5E7530" w:themeFill="accent3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5E7530" w:themeColor="accent3" w:themeShade="99"/>
          <w:insideV w:val="nil"/>
        </w:tcBorders>
        <w:shd w:val="clear" w:color="auto" w:fill="5E7530" w:themeFill="accent3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E7530" w:themeFill="accent3" w:themeFillShade="99"/>
      </w:tcPr>
    </w:tblStylePr>
    <w:tblStylePr w:type="band1Vert">
      <w:tblPr/>
      <w:tcPr>
        <w:shd w:val="clear" w:color="auto" w:fill="D6E3BC" w:themeFill="accent3" w:themeFillTint="66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ColourfulShadingAccent4">
    <w:name w:val="Colorful Shading Accent 4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9BBB59" w:themeColor="accent3"/>
        <w:left w:val="single" w:sz="4" w:space="0" w:color="8064A2" w:themeColor="accent4"/>
        <w:bottom w:val="single" w:sz="4" w:space="0" w:color="8064A2" w:themeColor="accent4"/>
        <w:right w:val="single" w:sz="4" w:space="0" w:color="8064A2" w:themeColor="accent4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2EFF6" w:themeFill="accent4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9BBB59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4C3B62" w:themeFill="accent4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4C3B62" w:themeColor="accent4" w:themeShade="99"/>
          <w:insideV w:val="nil"/>
        </w:tcBorders>
        <w:shd w:val="clear" w:color="auto" w:fill="4C3B62" w:themeFill="accent4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4C3B62" w:themeFill="accent4" w:themeFillShade="99"/>
      </w:tcPr>
    </w:tblStylePr>
    <w:tblStylePr w:type="band1Vert">
      <w:tblPr/>
      <w:tcPr>
        <w:shd w:val="clear" w:color="auto" w:fill="CCC0D9" w:themeFill="accent4" w:themeFillTint="66"/>
      </w:tcPr>
    </w:tblStylePr>
    <w:tblStylePr w:type="band1Horz">
      <w:tblPr/>
      <w:tcPr>
        <w:shd w:val="clear" w:color="auto" w:fill="BFB1D0" w:themeFill="accent4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ShadingAccent5">
    <w:name w:val="Colorful Shading Accent 5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F79646" w:themeColor="accent6"/>
        <w:left w:val="single" w:sz="4" w:space="0" w:color="4BACC6" w:themeColor="accent5"/>
        <w:bottom w:val="single" w:sz="4" w:space="0" w:color="4BACC6" w:themeColor="accent5"/>
        <w:right w:val="single" w:sz="4" w:space="0" w:color="4BACC6" w:themeColor="accent5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DF6F9" w:themeFill="accent5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F79646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76A7C" w:themeFill="accent5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76A7C" w:themeColor="accent5" w:themeShade="99"/>
          <w:insideV w:val="nil"/>
        </w:tcBorders>
        <w:shd w:val="clear" w:color="auto" w:fill="276A7C" w:themeFill="accent5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76A7C" w:themeFill="accent5" w:themeFillShade="99"/>
      </w:tcPr>
    </w:tblStylePr>
    <w:tblStylePr w:type="band1Vert">
      <w:tblPr/>
      <w:tcPr>
        <w:shd w:val="clear" w:color="auto" w:fill="B6DDE8" w:themeFill="accent5" w:themeFillTint="66"/>
      </w:tcPr>
    </w:tblStylePr>
    <w:tblStylePr w:type="band1Horz">
      <w:tblPr/>
      <w:tcPr>
        <w:shd w:val="clear" w:color="auto" w:fill="A5D5E2" w:themeFill="accent5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ShadingAccent6">
    <w:name w:val="Colorful Shading Accent 6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4BACC6" w:themeColor="accent5"/>
        <w:left w:val="single" w:sz="4" w:space="0" w:color="F79646" w:themeColor="accent6"/>
        <w:bottom w:val="single" w:sz="4" w:space="0" w:color="F79646" w:themeColor="accent6"/>
        <w:right w:val="single" w:sz="4" w:space="0" w:color="F79646" w:themeColor="accent6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EF4EC" w:themeFill="accent6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4BACC6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B65608" w:themeFill="accent6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B65608" w:themeColor="accent6" w:themeShade="99"/>
          <w:insideV w:val="nil"/>
        </w:tcBorders>
        <w:shd w:val="clear" w:color="auto" w:fill="B65608" w:themeFill="accent6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B65608" w:themeFill="accent6" w:themeFillShade="99"/>
      </w:tcPr>
    </w:tblStylePr>
    <w:tblStylePr w:type="band1Vert">
      <w:tblPr/>
      <w:tcPr>
        <w:shd w:val="clear" w:color="auto" w:fill="FBD4B4" w:themeFill="accent6" w:themeFillTint="66"/>
      </w:tcPr>
    </w:tblStylePr>
    <w:tblStylePr w:type="band1Horz">
      <w:tblPr/>
      <w:tcPr>
        <w:shd w:val="clear" w:color="auto" w:fill="FBCAA2" w:themeFill="accent6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List">
    <w:name w:val="Colorful List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6E6E6" w:themeFill="tex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ColourfulListAccent1">
    <w:name w:val="Colorful List Accent 1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DF2F8" w:themeFill="accen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shd w:val="clear" w:color="auto" w:fill="DBE5F1" w:themeFill="accent1" w:themeFillTint="33"/>
      </w:tcPr>
    </w:tblStylePr>
  </w:style>
  <w:style w:type="table" w:styleId="ColourfulListAccent2">
    <w:name w:val="Colorful List Accent 2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8EDED" w:themeFill="accent2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shd w:val="clear" w:color="auto" w:fill="F2DBDB" w:themeFill="accent2" w:themeFillTint="33"/>
      </w:tcPr>
    </w:tblStylePr>
  </w:style>
  <w:style w:type="table" w:styleId="ColourfulListAccent3">
    <w:name w:val="Colorful List Accent 3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5F8EE" w:themeFill="accent3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664E82" w:themeFill="accent4" w:themeFillShade="CC"/>
      </w:tcPr>
    </w:tblStylePr>
    <w:tblStylePr w:type="lastRow">
      <w:rPr>
        <w:b/>
        <w:bCs/>
        <w:color w:val="664E82" w:themeColor="accent4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shd w:val="clear" w:color="auto" w:fill="EAF1DD" w:themeFill="accent3" w:themeFillTint="33"/>
      </w:tcPr>
    </w:tblStylePr>
  </w:style>
  <w:style w:type="table" w:styleId="ColourfulListAccent4">
    <w:name w:val="Colorful List Accent 4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2EFF6" w:themeFill="accent4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7E9C40" w:themeFill="accent3" w:themeFillShade="CC"/>
      </w:tcPr>
    </w:tblStylePr>
    <w:tblStylePr w:type="lastRow">
      <w:rPr>
        <w:b/>
        <w:bCs/>
        <w:color w:val="7E9C40" w:themeColor="accent3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shd w:val="clear" w:color="auto" w:fill="E5DFEC" w:themeFill="accent4" w:themeFillTint="33"/>
      </w:tcPr>
    </w:tblStylePr>
  </w:style>
  <w:style w:type="table" w:styleId="ColourfulListAccent5">
    <w:name w:val="Colorful List Accent 5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DF6F9" w:themeFill="accent5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F2730A" w:themeFill="accent6" w:themeFillShade="CC"/>
      </w:tcPr>
    </w:tblStylePr>
    <w:tblStylePr w:type="lastRow">
      <w:rPr>
        <w:b/>
        <w:bCs/>
        <w:color w:val="F2730A" w:themeColor="accent6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shd w:val="clear" w:color="auto" w:fill="DAEEF3" w:themeFill="accent5" w:themeFillTint="33"/>
      </w:tcPr>
    </w:tblStylePr>
  </w:style>
  <w:style w:type="table" w:styleId="ColourfulListAccent6">
    <w:name w:val="Colorful List Accent 6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EF4EC" w:themeFill="accent6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348DA5" w:themeFill="accent5" w:themeFillShade="CC"/>
      </w:tcPr>
    </w:tblStylePr>
    <w:tblStylePr w:type="lastRow">
      <w:rPr>
        <w:b/>
        <w:bCs/>
        <w:color w:val="348DA5" w:themeColor="accent5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shd w:val="clear" w:color="auto" w:fill="FDE9D9" w:themeFill="accent6" w:themeFillTint="33"/>
      </w:tcPr>
    </w:tblStylePr>
  </w:style>
  <w:style w:type="table" w:styleId="ColourfulGrid">
    <w:name w:val="Colorful Grid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CCCCCC" w:themeFill="text1" w:themeFillTint="33"/>
    </w:tcPr>
    <w:tblStylePr w:type="firstRow">
      <w:rPr>
        <w:b/>
        <w:bCs/>
      </w:rPr>
      <w:tblPr/>
      <w:tcPr>
        <w:shd w:val="clear" w:color="auto" w:fill="999999" w:themeFill="tex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999999" w:themeFill="text1" w:themeFillTint="66"/>
      </w:tcPr>
    </w:tblStylePr>
    <w:tblStylePr w:type="fir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la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ColourfulGridAccent1">
    <w:name w:val="Colorful Grid Accent 1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DBE5F1" w:themeFill="accent1" w:themeFillTint="33"/>
    </w:tcPr>
    <w:tblStylePr w:type="firstRow">
      <w:rPr>
        <w:b/>
        <w:bCs/>
      </w:rPr>
      <w:tblPr/>
      <w:tcPr>
        <w:shd w:val="clear" w:color="auto" w:fill="B8CCE4" w:themeFill="accen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8CCE4" w:themeFill="accent1" w:themeFillTint="66"/>
      </w:tcPr>
    </w:tblStylePr>
    <w:tblStylePr w:type="firstCol">
      <w:rPr>
        <w:color w:val="FFFFFF" w:themeColor="background1"/>
      </w:rPr>
      <w:tblPr/>
      <w:tcPr>
        <w:shd w:val="clear" w:color="auto" w:fill="365F91" w:themeFill="accent1" w:themeFillShade="BF"/>
      </w:tcPr>
    </w:tblStylePr>
    <w:tblStylePr w:type="lastCol">
      <w:rPr>
        <w:color w:val="FFFFFF" w:themeColor="background1"/>
      </w:rPr>
      <w:tblPr/>
      <w:tcPr>
        <w:shd w:val="clear" w:color="auto" w:fill="365F91" w:themeFill="accent1" w:themeFillShade="BF"/>
      </w:tc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shd w:val="clear" w:color="auto" w:fill="A7BFDE" w:themeFill="accent1" w:themeFillTint="7F"/>
      </w:tcPr>
    </w:tblStylePr>
  </w:style>
  <w:style w:type="table" w:styleId="ColourfulGridAccent2">
    <w:name w:val="Colorful Grid Accent 2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F2DBDB" w:themeFill="accent2" w:themeFillTint="33"/>
    </w:tcPr>
    <w:tblStylePr w:type="firstRow">
      <w:rPr>
        <w:b/>
        <w:bCs/>
      </w:rPr>
      <w:tblPr/>
      <w:tcPr>
        <w:shd w:val="clear" w:color="auto" w:fill="E5B8B7" w:themeFill="accent2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E5B8B7" w:themeFill="accent2" w:themeFillTint="66"/>
      </w:tcPr>
    </w:tblStylePr>
    <w:tblStylePr w:type="firstCol">
      <w:rPr>
        <w:color w:val="FFFFFF" w:themeColor="background1"/>
      </w:rPr>
      <w:tblPr/>
      <w:tcPr>
        <w:shd w:val="clear" w:color="auto" w:fill="943634" w:themeFill="accent2" w:themeFillShade="BF"/>
      </w:tcPr>
    </w:tblStylePr>
    <w:tblStylePr w:type="lastCol">
      <w:rPr>
        <w:color w:val="FFFFFF" w:themeColor="background1"/>
      </w:rPr>
      <w:tblPr/>
      <w:tcPr>
        <w:shd w:val="clear" w:color="auto" w:fill="943634" w:themeFill="accent2" w:themeFillShade="BF"/>
      </w:tc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shd w:val="clear" w:color="auto" w:fill="DFA7A6" w:themeFill="accent2" w:themeFillTint="7F"/>
      </w:tcPr>
    </w:tblStylePr>
  </w:style>
  <w:style w:type="table" w:styleId="ColourfulGridAccent3">
    <w:name w:val="Colorful Grid Accent 3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EAF1DD" w:themeFill="accent3" w:themeFillTint="33"/>
    </w:tcPr>
    <w:tblStylePr w:type="firstRow">
      <w:rPr>
        <w:b/>
        <w:bCs/>
      </w:rPr>
      <w:tblPr/>
      <w:tcPr>
        <w:shd w:val="clear" w:color="auto" w:fill="D6E3BC" w:themeFill="accent3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D6E3BC" w:themeFill="accent3" w:themeFillTint="66"/>
      </w:tcPr>
    </w:tblStylePr>
    <w:tblStylePr w:type="firstCol">
      <w:rPr>
        <w:color w:val="FFFFFF" w:themeColor="background1"/>
      </w:rPr>
      <w:tblPr/>
      <w:tcPr>
        <w:shd w:val="clear" w:color="auto" w:fill="76923C" w:themeFill="accent3" w:themeFillShade="BF"/>
      </w:tcPr>
    </w:tblStylePr>
    <w:tblStylePr w:type="lastCol">
      <w:rPr>
        <w:color w:val="FFFFFF" w:themeColor="background1"/>
      </w:rPr>
      <w:tblPr/>
      <w:tcPr>
        <w:shd w:val="clear" w:color="auto" w:fill="76923C" w:themeFill="accent3" w:themeFillShade="BF"/>
      </w:tc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ColourfulGridAccent4">
    <w:name w:val="Colorful Grid Accent 4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E5DFEC" w:themeFill="accent4" w:themeFillTint="33"/>
    </w:tcPr>
    <w:tblStylePr w:type="firstRow">
      <w:rPr>
        <w:b/>
        <w:bCs/>
      </w:rPr>
      <w:tblPr/>
      <w:tcPr>
        <w:shd w:val="clear" w:color="auto" w:fill="CCC0D9" w:themeFill="accent4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CCC0D9" w:themeFill="accent4" w:themeFillTint="66"/>
      </w:tcPr>
    </w:tblStylePr>
    <w:tblStylePr w:type="firstCol">
      <w:rPr>
        <w:color w:val="FFFFFF" w:themeColor="background1"/>
      </w:rPr>
      <w:tblPr/>
      <w:tcPr>
        <w:shd w:val="clear" w:color="auto" w:fill="5F497A" w:themeFill="accent4" w:themeFillShade="BF"/>
      </w:tcPr>
    </w:tblStylePr>
    <w:tblStylePr w:type="lastCol">
      <w:rPr>
        <w:color w:val="FFFFFF" w:themeColor="background1"/>
      </w:rPr>
      <w:tblPr/>
      <w:tcPr>
        <w:shd w:val="clear" w:color="auto" w:fill="5F497A" w:themeFill="accent4" w:themeFillShade="BF"/>
      </w:tc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shd w:val="clear" w:color="auto" w:fill="BFB1D0" w:themeFill="accent4" w:themeFillTint="7F"/>
      </w:tcPr>
    </w:tblStylePr>
  </w:style>
  <w:style w:type="table" w:styleId="ColourfulGridAccent5">
    <w:name w:val="Colorful Grid Accent 5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DAEEF3" w:themeFill="accent5" w:themeFillTint="33"/>
    </w:tcPr>
    <w:tblStylePr w:type="firstRow">
      <w:rPr>
        <w:b/>
        <w:bCs/>
      </w:rPr>
      <w:tblPr/>
      <w:tcPr>
        <w:shd w:val="clear" w:color="auto" w:fill="B6DDE8" w:themeFill="accent5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6DDE8" w:themeFill="accent5" w:themeFillTint="66"/>
      </w:tcPr>
    </w:tblStylePr>
    <w:tblStylePr w:type="firstCol">
      <w:rPr>
        <w:color w:val="FFFFFF" w:themeColor="background1"/>
      </w:rPr>
      <w:tblPr/>
      <w:tcPr>
        <w:shd w:val="clear" w:color="auto" w:fill="31849B" w:themeFill="accent5" w:themeFillShade="BF"/>
      </w:tcPr>
    </w:tblStylePr>
    <w:tblStylePr w:type="lastCol">
      <w:rPr>
        <w:color w:val="FFFFFF" w:themeColor="background1"/>
      </w:rPr>
      <w:tblPr/>
      <w:tcPr>
        <w:shd w:val="clear" w:color="auto" w:fill="31849B" w:themeFill="accent5" w:themeFillShade="BF"/>
      </w:tc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shd w:val="clear" w:color="auto" w:fill="A5D5E2" w:themeFill="accent5" w:themeFillTint="7F"/>
      </w:tcPr>
    </w:tblStylePr>
  </w:style>
  <w:style w:type="table" w:styleId="ColourfulGridAccent6">
    <w:name w:val="Colorful Grid Accent 6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FDE9D9" w:themeFill="accent6" w:themeFillTint="33"/>
    </w:tcPr>
    <w:tblStylePr w:type="firstRow">
      <w:rPr>
        <w:b/>
        <w:bCs/>
      </w:rPr>
      <w:tblPr/>
      <w:tcPr>
        <w:shd w:val="clear" w:color="auto" w:fill="FBD4B4" w:themeFill="accent6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FBD4B4" w:themeFill="accent6" w:themeFillTint="66"/>
      </w:tcPr>
    </w:tblStylePr>
    <w:tblStylePr w:type="firstCol">
      <w:rPr>
        <w:color w:val="FFFFFF" w:themeColor="background1"/>
      </w:rPr>
      <w:tblPr/>
      <w:tcPr>
        <w:shd w:val="clear" w:color="auto" w:fill="E36C0A" w:themeFill="accent6" w:themeFillShade="BF"/>
      </w:tcPr>
    </w:tblStylePr>
    <w:tblStylePr w:type="lastCol">
      <w:rPr>
        <w:color w:val="FFFFFF" w:themeColor="background1"/>
      </w:rPr>
      <w:tblPr/>
      <w:tcPr>
        <w:shd w:val="clear" w:color="auto" w:fill="E36C0A" w:themeFill="accent6" w:themeFillShade="BF"/>
      </w:tc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shd w:val="clear" w:color="auto" w:fill="FBCAA2" w:themeFill="accent6" w:themeFillTint="7F"/>
      </w:tcPr>
    </w:tblStyle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oter" Target="footer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eader" Target="header1.xml"/><Relationship Id="rId5" Type="http://schemas.openxmlformats.org/officeDocument/2006/relationships/webSettings" Target="webSettings.xml"/><Relationship Id="rId10" Type="http://schemas.openxmlformats.org/officeDocument/2006/relationships/image" Target="media/image3.png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.XSL" StyleName="APA"/>
</file>

<file path=customXml/itemProps1.xml><?xml version="1.0" encoding="utf-8"?>
<ds:datastoreItem xmlns:ds="http://schemas.openxmlformats.org/officeDocument/2006/customXml" ds:itemID="{EF278816-EC6F-A645-907D-7F25AECB1D4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11</TotalTime>
  <Pages>6</Pages>
  <Words>691</Words>
  <Characters>3820</Characters>
  <Application>Microsoft Office Word</Application>
  <DocSecurity>0</DocSecurity>
  <Lines>90</Lines>
  <Paragraphs>41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Manager/>
  <Company/>
  <LinksUpToDate>false</LinksUpToDate>
  <CharactersWithSpaces>4470</CharactersWithSpaces>
  <SharedDoc>false</SharedDoc>
  <HyperlinkBase/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python-docx</dc:creator>
  <cp:keywords/>
  <dc:description>generated by python-docx</dc:description>
  <cp:lastModifiedBy>Holloway, Ian Dr (NAVY PEOPLE-NUC PHYS MGR)</cp:lastModifiedBy>
  <cp:revision>21</cp:revision>
  <dcterms:created xsi:type="dcterms:W3CDTF">2026-03-19T11:27:00Z</dcterms:created>
  <dcterms:modified xsi:type="dcterms:W3CDTF">2026-03-26T15:04:00Z</dcterms:modified>
  <cp:category/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SIP_Label_d8a60473-494b-4586-a1bb-b0e663054676_Enabled">
    <vt:lpwstr>true</vt:lpwstr>
  </property>
  <property fmtid="{D5CDD505-2E9C-101B-9397-08002B2CF9AE}" pid="3" name="MSIP_Label_d8a60473-494b-4586-a1bb-b0e663054676_SetDate">
    <vt:lpwstr>2026-03-19T09:46:45Z</vt:lpwstr>
  </property>
  <property fmtid="{D5CDD505-2E9C-101B-9397-08002B2CF9AE}" pid="4" name="MSIP_Label_d8a60473-494b-4586-a1bb-b0e663054676_Method">
    <vt:lpwstr>Privileged</vt:lpwstr>
  </property>
  <property fmtid="{D5CDD505-2E9C-101B-9397-08002B2CF9AE}" pid="5" name="MSIP_Label_d8a60473-494b-4586-a1bb-b0e663054676_Name">
    <vt:lpwstr>MOD-1-O-‘UNMARKED’</vt:lpwstr>
  </property>
  <property fmtid="{D5CDD505-2E9C-101B-9397-08002B2CF9AE}" pid="6" name="MSIP_Label_d8a60473-494b-4586-a1bb-b0e663054676_SiteId">
    <vt:lpwstr>be7760ed-5953-484b-ae95-d0a16dfa09e5</vt:lpwstr>
  </property>
  <property fmtid="{D5CDD505-2E9C-101B-9397-08002B2CF9AE}" pid="7" name="MSIP_Label_d8a60473-494b-4586-a1bb-b0e663054676_ActionId">
    <vt:lpwstr>b338787b-9f48-4fb2-8390-3b793b168c77</vt:lpwstr>
  </property>
  <property fmtid="{D5CDD505-2E9C-101B-9397-08002B2CF9AE}" pid="8" name="MSIP_Label_d8a60473-494b-4586-a1bb-b0e663054676_ContentBits">
    <vt:lpwstr>0</vt:lpwstr>
  </property>
  <property fmtid="{D5CDD505-2E9C-101B-9397-08002B2CF9AE}" pid="9" name="MSIP_Label_d8a60473-494b-4586-a1bb-b0e663054676_Tag">
    <vt:lpwstr>10, 0, 1, 1</vt:lpwstr>
  </property>
</Properties>
</file>