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BEC439" w14:textId="67053ACA" w:rsidR="00876F1C" w:rsidRPr="00876F1C" w:rsidRDefault="00876F1C" w:rsidP="00483347">
      <w:pPr>
        <w:jc w:val="both"/>
        <w:rPr>
          <w:rFonts w:ascii="Cambria" w:hAnsi="Cambria"/>
          <w:b/>
          <w:sz w:val="24"/>
          <w:u w:val="single"/>
        </w:rPr>
      </w:pPr>
      <w:r w:rsidRPr="00876F1C">
        <w:rPr>
          <w:rFonts w:ascii="Cambria" w:hAnsi="Cambria"/>
          <w:b/>
          <w:sz w:val="24"/>
          <w:u w:val="single"/>
        </w:rPr>
        <w:t>Death, Dying and the Macabre in the Late Middle Ages – Commentary Three</w:t>
      </w:r>
    </w:p>
    <w:p w14:paraId="70B03130" w14:textId="77777777" w:rsidR="00876F1C" w:rsidRDefault="00876F1C"/>
    <w:p w14:paraId="0A7BF6FC" w14:textId="63441125" w:rsidR="00876F1C" w:rsidRDefault="00876F1C">
      <w:r>
        <w:rPr>
          <w:noProof/>
        </w:rPr>
        <w:drawing>
          <wp:inline distT="0" distB="0" distL="0" distR="0" wp14:anchorId="45529A39" wp14:editId="64D14447">
            <wp:extent cx="5791200" cy="5645150"/>
            <wp:effectExtent l="0" t="0" r="0" b="0"/>
            <wp:docPr id="2" name="Picture 2" descr="Danse Macabre"/>
            <wp:cNvGraphicFramePr/>
            <a:graphic xmlns:a="http://schemas.openxmlformats.org/drawingml/2006/main">
              <a:graphicData uri="http://schemas.openxmlformats.org/drawingml/2006/picture">
                <pic:pic xmlns:pic="http://schemas.openxmlformats.org/drawingml/2006/picture">
                  <pic:nvPicPr>
                    <pic:cNvPr id="2" name="Picture 2" descr="Danse Macabre"/>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91200" cy="5645150"/>
                    </a:xfrm>
                    <a:prstGeom prst="rect">
                      <a:avLst/>
                    </a:prstGeom>
                    <a:noFill/>
                    <a:ln>
                      <a:noFill/>
                    </a:ln>
                  </pic:spPr>
                </pic:pic>
              </a:graphicData>
            </a:graphic>
          </wp:inline>
        </w:drawing>
      </w:r>
    </w:p>
    <w:p w14:paraId="4D6CBE5A" w14:textId="02402CA9" w:rsidR="003F1085" w:rsidRPr="009D7BA6" w:rsidRDefault="009D7BA6" w:rsidP="00CB70F8">
      <w:pPr>
        <w:pStyle w:val="NoSpacing"/>
        <w:rPr>
          <w:rFonts w:ascii="Cambria" w:hAnsi="Cambria"/>
          <w:b/>
        </w:rPr>
      </w:pPr>
      <w:proofErr w:type="spellStart"/>
      <w:r w:rsidRPr="009D7BA6">
        <w:rPr>
          <w:rFonts w:ascii="Cambria" w:hAnsi="Cambria"/>
          <w:b/>
          <w:i/>
        </w:rPr>
        <w:t>Danse</w:t>
      </w:r>
      <w:proofErr w:type="spellEnd"/>
      <w:r w:rsidRPr="009D7BA6">
        <w:rPr>
          <w:rFonts w:ascii="Cambria" w:hAnsi="Cambria"/>
          <w:b/>
          <w:i/>
        </w:rPr>
        <w:t xml:space="preserve"> Macabre</w:t>
      </w:r>
      <w:r w:rsidRPr="009D7BA6">
        <w:rPr>
          <w:rFonts w:ascii="Cambria" w:hAnsi="Cambria"/>
          <w:b/>
        </w:rPr>
        <w:t>, carved by Guyot Marchant and coloured by Pierre le Rouge, 1491-1492.</w:t>
      </w:r>
    </w:p>
    <w:p w14:paraId="6CB0FB8B" w14:textId="5CAEEE31" w:rsidR="00BF6259" w:rsidRPr="009D7BA6" w:rsidRDefault="00BF6259" w:rsidP="00CB70F8">
      <w:pPr>
        <w:pStyle w:val="NoSpacing"/>
        <w:rPr>
          <w:b/>
        </w:rPr>
      </w:pPr>
    </w:p>
    <w:p w14:paraId="3DF4C0D1" w14:textId="77777777" w:rsidR="00BF6259" w:rsidRDefault="00BF6259" w:rsidP="00CB70F8">
      <w:pPr>
        <w:pStyle w:val="NoSpacing"/>
      </w:pPr>
    </w:p>
    <w:p w14:paraId="6BA66C3B" w14:textId="2EE5F690" w:rsidR="00BC21F3" w:rsidRDefault="000915A4" w:rsidP="003B75BE">
      <w:pPr>
        <w:pStyle w:val="NoSpacing"/>
        <w:spacing w:line="360" w:lineRule="auto"/>
        <w:jc w:val="both"/>
        <w:rPr>
          <w:rFonts w:ascii="Cambria" w:hAnsi="Cambria"/>
        </w:rPr>
      </w:pPr>
      <w:r w:rsidRPr="000915A4">
        <w:rPr>
          <w:rFonts w:ascii="Cambria" w:hAnsi="Cambria"/>
        </w:rPr>
        <w:t xml:space="preserve">This </w:t>
      </w:r>
      <w:proofErr w:type="gramStart"/>
      <w:r w:rsidRPr="000915A4">
        <w:rPr>
          <w:rFonts w:ascii="Cambria" w:hAnsi="Cambria"/>
        </w:rPr>
        <w:t>particular artefact</w:t>
      </w:r>
      <w:proofErr w:type="gramEnd"/>
      <w:r w:rsidRPr="000915A4">
        <w:rPr>
          <w:rFonts w:ascii="Cambria" w:hAnsi="Cambria"/>
        </w:rPr>
        <w:t xml:space="preserve"> </w:t>
      </w:r>
      <w:r w:rsidR="00A06628">
        <w:rPr>
          <w:rFonts w:ascii="Cambria" w:hAnsi="Cambria"/>
        </w:rPr>
        <w:t xml:space="preserve">from the late Middle Ages </w:t>
      </w:r>
      <w:r w:rsidRPr="000915A4">
        <w:rPr>
          <w:rFonts w:ascii="Cambria" w:hAnsi="Cambria"/>
        </w:rPr>
        <w:t xml:space="preserve">is a coloured </w:t>
      </w:r>
      <w:r w:rsidR="00BA703C">
        <w:rPr>
          <w:rFonts w:ascii="Cambria" w:hAnsi="Cambria"/>
        </w:rPr>
        <w:t>print</w:t>
      </w:r>
      <w:r w:rsidRPr="000915A4">
        <w:rPr>
          <w:rFonts w:ascii="Cambria" w:hAnsi="Cambria"/>
        </w:rPr>
        <w:t xml:space="preserve"> of the </w:t>
      </w:r>
      <w:proofErr w:type="spellStart"/>
      <w:r w:rsidRPr="002E4234">
        <w:rPr>
          <w:rFonts w:ascii="Cambria" w:hAnsi="Cambria"/>
          <w:i/>
        </w:rPr>
        <w:t>Danse</w:t>
      </w:r>
      <w:proofErr w:type="spellEnd"/>
      <w:r w:rsidRPr="002E4234">
        <w:rPr>
          <w:rFonts w:ascii="Cambria" w:hAnsi="Cambria"/>
          <w:i/>
        </w:rPr>
        <w:t xml:space="preserve"> Macabre</w:t>
      </w:r>
      <w:r w:rsidRPr="000915A4">
        <w:rPr>
          <w:rFonts w:ascii="Cambria" w:hAnsi="Cambria"/>
        </w:rPr>
        <w:t xml:space="preserve"> by </w:t>
      </w:r>
      <w:r w:rsidR="002E4234">
        <w:rPr>
          <w:rFonts w:ascii="Cambria" w:hAnsi="Cambria"/>
        </w:rPr>
        <w:t xml:space="preserve">the French artist </w:t>
      </w:r>
      <w:r w:rsidRPr="000915A4">
        <w:rPr>
          <w:rFonts w:ascii="Cambria" w:hAnsi="Cambria"/>
        </w:rPr>
        <w:t xml:space="preserve">Pierre le Rouge, taken from </w:t>
      </w:r>
      <w:r w:rsidR="0048476C">
        <w:rPr>
          <w:rFonts w:ascii="Cambria" w:hAnsi="Cambria"/>
        </w:rPr>
        <w:t xml:space="preserve">the original woodcuts by Guyot </w:t>
      </w:r>
      <w:r w:rsidR="0048476C" w:rsidRPr="002554BA">
        <w:rPr>
          <w:rFonts w:ascii="Cambria" w:hAnsi="Cambria"/>
        </w:rPr>
        <w:t>Marchant</w:t>
      </w:r>
      <w:r w:rsidRPr="002554BA">
        <w:rPr>
          <w:rFonts w:ascii="Cambria" w:hAnsi="Cambria"/>
        </w:rPr>
        <w:t>.</w:t>
      </w:r>
      <w:r w:rsidR="002E4234" w:rsidRPr="002554BA">
        <w:rPr>
          <w:rFonts w:ascii="Cambria" w:hAnsi="Cambria"/>
        </w:rPr>
        <w:t xml:space="preserve"> This print </w:t>
      </w:r>
      <w:r w:rsidR="00BA703C" w:rsidRPr="002554BA">
        <w:rPr>
          <w:rFonts w:ascii="Cambria" w:hAnsi="Cambria"/>
        </w:rPr>
        <w:t xml:space="preserve">was produced between 1491 and 1492. </w:t>
      </w:r>
      <w:r w:rsidR="00483347">
        <w:rPr>
          <w:rFonts w:ascii="Cambria" w:hAnsi="Cambria"/>
        </w:rPr>
        <w:t>The dates of production mean</w:t>
      </w:r>
      <w:r w:rsidR="0048476C">
        <w:rPr>
          <w:rFonts w:ascii="Cambria" w:hAnsi="Cambria"/>
        </w:rPr>
        <w:t xml:space="preserve"> that it s</w:t>
      </w:r>
      <w:r w:rsidR="00224994">
        <w:rPr>
          <w:rFonts w:ascii="Cambria" w:hAnsi="Cambria"/>
        </w:rPr>
        <w:t xml:space="preserve">ucceeds the creation of the </w:t>
      </w:r>
      <w:proofErr w:type="spellStart"/>
      <w:r w:rsidR="00224994" w:rsidRPr="0048476C">
        <w:rPr>
          <w:rFonts w:ascii="Cambria" w:hAnsi="Cambria"/>
          <w:i/>
        </w:rPr>
        <w:t>ars</w:t>
      </w:r>
      <w:proofErr w:type="spellEnd"/>
      <w:r w:rsidR="00224994" w:rsidRPr="0048476C">
        <w:rPr>
          <w:rFonts w:ascii="Cambria" w:hAnsi="Cambria"/>
          <w:i/>
        </w:rPr>
        <w:t xml:space="preserve"> </w:t>
      </w:r>
      <w:proofErr w:type="spellStart"/>
      <w:r w:rsidR="00224994" w:rsidRPr="0048476C">
        <w:rPr>
          <w:rFonts w:ascii="Cambria" w:hAnsi="Cambria"/>
          <w:i/>
        </w:rPr>
        <w:t>moriendi</w:t>
      </w:r>
      <w:proofErr w:type="spellEnd"/>
      <w:r w:rsidR="00224994">
        <w:rPr>
          <w:rFonts w:ascii="Cambria" w:hAnsi="Cambria"/>
        </w:rPr>
        <w:t xml:space="preserve"> </w:t>
      </w:r>
      <w:r w:rsidR="0048476C">
        <w:rPr>
          <w:rFonts w:ascii="Cambria" w:hAnsi="Cambria"/>
        </w:rPr>
        <w:t>literature,</w:t>
      </w:r>
      <w:r w:rsidR="00224994">
        <w:rPr>
          <w:rFonts w:ascii="Cambria" w:hAnsi="Cambria"/>
        </w:rPr>
        <w:t xml:space="preserve"> and artistic productions that accompany it</w:t>
      </w:r>
      <w:r w:rsidR="0048476C">
        <w:rPr>
          <w:rFonts w:ascii="Cambria" w:hAnsi="Cambria"/>
        </w:rPr>
        <w:t>, by around forty</w:t>
      </w:r>
      <w:r w:rsidR="00224994">
        <w:rPr>
          <w:rFonts w:ascii="Cambria" w:hAnsi="Cambria"/>
        </w:rPr>
        <w:t xml:space="preserve"> years. </w:t>
      </w:r>
      <w:r w:rsidR="002E4234">
        <w:rPr>
          <w:rFonts w:ascii="Cambria" w:hAnsi="Cambria"/>
        </w:rPr>
        <w:t xml:space="preserve">The origins of the </w:t>
      </w:r>
      <w:proofErr w:type="spellStart"/>
      <w:r w:rsidR="002E4234" w:rsidRPr="002E4234">
        <w:rPr>
          <w:rFonts w:ascii="Cambria" w:hAnsi="Cambria"/>
          <w:i/>
        </w:rPr>
        <w:t>dans</w:t>
      </w:r>
      <w:r w:rsidR="002E4234" w:rsidRPr="003B75BE">
        <w:rPr>
          <w:rFonts w:ascii="Cambria" w:hAnsi="Cambria"/>
          <w:i/>
        </w:rPr>
        <w:t>e</w:t>
      </w:r>
      <w:proofErr w:type="spellEnd"/>
      <w:r w:rsidR="002E4234" w:rsidRPr="003B75BE">
        <w:rPr>
          <w:rFonts w:ascii="Cambria" w:hAnsi="Cambria"/>
          <w:i/>
        </w:rPr>
        <w:t xml:space="preserve"> macabre</w:t>
      </w:r>
      <w:r w:rsidR="002E4234" w:rsidRPr="003B75BE">
        <w:rPr>
          <w:rFonts w:ascii="Cambria" w:hAnsi="Cambria"/>
        </w:rPr>
        <w:t xml:space="preserve"> originate in France in a small churchyard where there was a charnel house</w:t>
      </w:r>
      <w:r w:rsidR="002554BA" w:rsidRPr="003B75BE">
        <w:rPr>
          <w:rStyle w:val="FootnoteReference"/>
          <w:rFonts w:ascii="Cambria" w:hAnsi="Cambria"/>
        </w:rPr>
        <w:footnoteReference w:id="1"/>
      </w:r>
      <w:r w:rsidR="002E4234" w:rsidRPr="003B75BE">
        <w:rPr>
          <w:rFonts w:ascii="Cambria" w:hAnsi="Cambria"/>
        </w:rPr>
        <w:t xml:space="preserve">. This print </w:t>
      </w:r>
      <w:r w:rsidR="002E4234">
        <w:rPr>
          <w:rFonts w:ascii="Cambria" w:hAnsi="Cambria"/>
        </w:rPr>
        <w:t xml:space="preserve">is made in the same century as the original artwork in the </w:t>
      </w:r>
      <w:r w:rsidR="002E4234">
        <w:rPr>
          <w:rFonts w:ascii="Cambria" w:hAnsi="Cambria"/>
        </w:rPr>
        <w:lastRenderedPageBreak/>
        <w:t>churchyard</w:t>
      </w:r>
      <w:r w:rsidR="00BC21F3">
        <w:rPr>
          <w:rFonts w:ascii="Cambria" w:hAnsi="Cambria"/>
        </w:rPr>
        <w:t xml:space="preserve">, so the ideas about death and repentance would have </w:t>
      </w:r>
      <w:proofErr w:type="gramStart"/>
      <w:r w:rsidR="00BC21F3">
        <w:rPr>
          <w:rFonts w:ascii="Cambria" w:hAnsi="Cambria"/>
        </w:rPr>
        <w:t>been more or less</w:t>
      </w:r>
      <w:proofErr w:type="gramEnd"/>
      <w:r w:rsidR="00BC21F3">
        <w:rPr>
          <w:rFonts w:ascii="Cambria" w:hAnsi="Cambria"/>
        </w:rPr>
        <w:t xml:space="preserve"> the same at both times of production.</w:t>
      </w:r>
    </w:p>
    <w:p w14:paraId="6AD8D19E" w14:textId="77777777" w:rsidR="00BC21F3" w:rsidRDefault="00BC21F3" w:rsidP="003B75BE">
      <w:pPr>
        <w:pStyle w:val="NoSpacing"/>
        <w:spacing w:line="360" w:lineRule="auto"/>
        <w:jc w:val="both"/>
        <w:rPr>
          <w:rFonts w:ascii="Cambria" w:hAnsi="Cambria"/>
        </w:rPr>
      </w:pPr>
    </w:p>
    <w:p w14:paraId="1C594BFB" w14:textId="32254A13" w:rsidR="00224994" w:rsidRDefault="003373D1" w:rsidP="003B75BE">
      <w:pPr>
        <w:pStyle w:val="NoSpacing"/>
        <w:spacing w:line="360" w:lineRule="auto"/>
        <w:jc w:val="both"/>
        <w:rPr>
          <w:rFonts w:ascii="Cambria" w:hAnsi="Cambria"/>
        </w:rPr>
      </w:pPr>
      <w:r>
        <w:rPr>
          <w:rFonts w:ascii="Cambria" w:hAnsi="Cambria"/>
        </w:rPr>
        <w:t xml:space="preserve">Here, the concept of death is represented by a skeletal figure, which </w:t>
      </w:r>
      <w:r w:rsidR="004F59D9">
        <w:rPr>
          <w:rFonts w:ascii="Cambria" w:hAnsi="Cambria"/>
        </w:rPr>
        <w:t xml:space="preserve">makes the nature of death </w:t>
      </w:r>
      <w:r w:rsidR="00795C52">
        <w:rPr>
          <w:rFonts w:ascii="Cambria" w:hAnsi="Cambria"/>
        </w:rPr>
        <w:t xml:space="preserve">appear </w:t>
      </w:r>
      <w:r w:rsidR="004F59D9">
        <w:rPr>
          <w:rFonts w:ascii="Cambria" w:hAnsi="Cambria"/>
        </w:rPr>
        <w:t>tangible.</w:t>
      </w:r>
      <w:r w:rsidR="00973DFD">
        <w:rPr>
          <w:rFonts w:ascii="Cambria" w:hAnsi="Cambria"/>
        </w:rPr>
        <w:t xml:space="preserve"> Nancy </w:t>
      </w:r>
      <w:proofErr w:type="spellStart"/>
      <w:r w:rsidR="00973DFD">
        <w:rPr>
          <w:rFonts w:ascii="Cambria" w:hAnsi="Cambria"/>
        </w:rPr>
        <w:t>Caciola</w:t>
      </w:r>
      <w:proofErr w:type="spellEnd"/>
      <w:r w:rsidR="00973DFD">
        <w:rPr>
          <w:rFonts w:ascii="Cambria" w:hAnsi="Cambria"/>
        </w:rPr>
        <w:t xml:space="preserve"> supports this claim, b</w:t>
      </w:r>
      <w:r w:rsidR="00973DFD" w:rsidRPr="003B75BE">
        <w:rPr>
          <w:rFonts w:ascii="Cambria" w:hAnsi="Cambria"/>
        </w:rPr>
        <w:t>y writing</w:t>
      </w:r>
      <w:r w:rsidR="00973DFD" w:rsidRPr="003B75BE">
        <w:t xml:space="preserve"> </w:t>
      </w:r>
      <w:r w:rsidR="00973DFD" w:rsidRPr="003B75BE">
        <w:rPr>
          <w:rFonts w:ascii="Cambria" w:hAnsi="Cambria"/>
        </w:rPr>
        <w:t>‘these dead men are not insubstantial illusions, but corporeal revenants</w:t>
      </w:r>
      <w:r w:rsidR="00795C52" w:rsidRPr="003B75BE">
        <w:rPr>
          <w:rFonts w:ascii="Cambria" w:hAnsi="Cambria"/>
        </w:rPr>
        <w:t>’</w:t>
      </w:r>
      <w:r w:rsidR="00795C52" w:rsidRPr="003B75BE">
        <w:rPr>
          <w:rStyle w:val="FootnoteReference"/>
          <w:rFonts w:ascii="Cambria" w:hAnsi="Cambria"/>
        </w:rPr>
        <w:footnoteReference w:id="2"/>
      </w:r>
      <w:r w:rsidR="00973DFD" w:rsidRPr="003B75BE">
        <w:rPr>
          <w:rFonts w:ascii="Cambria" w:hAnsi="Cambria"/>
        </w:rPr>
        <w:t xml:space="preserve"> – referring </w:t>
      </w:r>
      <w:r w:rsidR="00973DFD">
        <w:rPr>
          <w:rFonts w:ascii="Cambria" w:hAnsi="Cambria"/>
        </w:rPr>
        <w:t xml:space="preserve">to the dead figures in the </w:t>
      </w:r>
      <w:proofErr w:type="spellStart"/>
      <w:r w:rsidR="00973DFD" w:rsidRPr="00795C52">
        <w:rPr>
          <w:rFonts w:ascii="Cambria" w:hAnsi="Cambria"/>
          <w:i/>
        </w:rPr>
        <w:t>danse</w:t>
      </w:r>
      <w:proofErr w:type="spellEnd"/>
      <w:r w:rsidR="00973DFD" w:rsidRPr="00795C52">
        <w:rPr>
          <w:rFonts w:ascii="Cambria" w:hAnsi="Cambria"/>
          <w:i/>
        </w:rPr>
        <w:t xml:space="preserve"> macabre</w:t>
      </w:r>
      <w:r w:rsidR="00973DFD">
        <w:rPr>
          <w:rFonts w:ascii="Cambria" w:hAnsi="Cambria"/>
        </w:rPr>
        <w:t xml:space="preserve"> depictions.</w:t>
      </w:r>
      <w:r w:rsidR="004F59D9">
        <w:rPr>
          <w:rFonts w:ascii="Cambria" w:hAnsi="Cambria"/>
        </w:rPr>
        <w:t xml:space="preserve"> </w:t>
      </w:r>
      <w:r w:rsidR="00224994">
        <w:rPr>
          <w:rFonts w:ascii="Cambria" w:hAnsi="Cambria"/>
        </w:rPr>
        <w:t xml:space="preserve">On face value, this work appears more sinister and less of a religious nature than the </w:t>
      </w:r>
      <w:proofErr w:type="spellStart"/>
      <w:r w:rsidR="00224994" w:rsidRPr="0048476C">
        <w:rPr>
          <w:rFonts w:ascii="Cambria" w:hAnsi="Cambria"/>
          <w:i/>
        </w:rPr>
        <w:t>ars</w:t>
      </w:r>
      <w:proofErr w:type="spellEnd"/>
      <w:r w:rsidR="00224994" w:rsidRPr="0048476C">
        <w:rPr>
          <w:rFonts w:ascii="Cambria" w:hAnsi="Cambria"/>
          <w:i/>
        </w:rPr>
        <w:t xml:space="preserve"> </w:t>
      </w:r>
      <w:proofErr w:type="spellStart"/>
      <w:r w:rsidR="00224994" w:rsidRPr="0048476C">
        <w:rPr>
          <w:rFonts w:ascii="Cambria" w:hAnsi="Cambria"/>
          <w:i/>
        </w:rPr>
        <w:t>moriendi</w:t>
      </w:r>
      <w:proofErr w:type="spellEnd"/>
      <w:r w:rsidR="00224994">
        <w:rPr>
          <w:rFonts w:ascii="Cambria" w:hAnsi="Cambria"/>
        </w:rPr>
        <w:t xml:space="preserve"> </w:t>
      </w:r>
      <w:r w:rsidR="0048476C">
        <w:rPr>
          <w:rFonts w:ascii="Cambria" w:hAnsi="Cambria"/>
        </w:rPr>
        <w:t xml:space="preserve">text – but the skeletons in the woodcut mirror the frightening nature of the demons in the </w:t>
      </w:r>
      <w:proofErr w:type="spellStart"/>
      <w:r w:rsidR="0048476C" w:rsidRPr="0048476C">
        <w:rPr>
          <w:rFonts w:ascii="Cambria" w:hAnsi="Cambria"/>
          <w:i/>
        </w:rPr>
        <w:t>ars</w:t>
      </w:r>
      <w:proofErr w:type="spellEnd"/>
      <w:r w:rsidR="0048476C" w:rsidRPr="0048476C">
        <w:rPr>
          <w:rFonts w:ascii="Cambria" w:hAnsi="Cambria"/>
          <w:i/>
        </w:rPr>
        <w:t xml:space="preserve"> </w:t>
      </w:r>
      <w:proofErr w:type="spellStart"/>
      <w:r w:rsidR="0048476C" w:rsidRPr="0048476C">
        <w:rPr>
          <w:rFonts w:ascii="Cambria" w:hAnsi="Cambria"/>
          <w:i/>
        </w:rPr>
        <w:t>moriendi</w:t>
      </w:r>
      <w:proofErr w:type="spellEnd"/>
      <w:r w:rsidR="0048476C">
        <w:rPr>
          <w:rFonts w:ascii="Cambria" w:hAnsi="Cambria"/>
        </w:rPr>
        <w:t xml:space="preserve"> </w:t>
      </w:r>
      <w:r w:rsidR="00483347">
        <w:rPr>
          <w:rFonts w:ascii="Cambria" w:hAnsi="Cambria"/>
        </w:rPr>
        <w:t>illustrations</w:t>
      </w:r>
      <w:r w:rsidR="00BF6259">
        <w:rPr>
          <w:rStyle w:val="FootnoteReference"/>
          <w:rFonts w:ascii="Cambria" w:hAnsi="Cambria"/>
        </w:rPr>
        <w:footnoteReference w:id="3"/>
      </w:r>
      <w:r w:rsidR="0048476C">
        <w:rPr>
          <w:rFonts w:ascii="Cambria" w:hAnsi="Cambria"/>
        </w:rPr>
        <w:t>. Looking at the two works</w:t>
      </w:r>
      <w:r w:rsidR="00E17C2B">
        <w:rPr>
          <w:rFonts w:ascii="Cambria" w:hAnsi="Cambria"/>
        </w:rPr>
        <w:t xml:space="preserve"> of art</w:t>
      </w:r>
      <w:r w:rsidR="0048476C">
        <w:rPr>
          <w:rFonts w:ascii="Cambria" w:hAnsi="Cambria"/>
        </w:rPr>
        <w:t xml:space="preserve"> side by side </w:t>
      </w:r>
      <w:r w:rsidR="00BF3AB2">
        <w:rPr>
          <w:rFonts w:ascii="Cambria" w:hAnsi="Cambria"/>
        </w:rPr>
        <w:t>shows us that art was very much used alongside the bl</w:t>
      </w:r>
      <w:r w:rsidR="00C52C43">
        <w:rPr>
          <w:rFonts w:ascii="Cambria" w:hAnsi="Cambria"/>
        </w:rPr>
        <w:t>unt</w:t>
      </w:r>
      <w:r w:rsidR="00BF3AB2">
        <w:rPr>
          <w:rFonts w:ascii="Cambria" w:hAnsi="Cambria"/>
        </w:rPr>
        <w:t xml:space="preserve"> texts as visual imagery to scare the medieval reader into living a good life in preparation for a good death. </w:t>
      </w:r>
      <w:r w:rsidR="00BF6259">
        <w:rPr>
          <w:rFonts w:ascii="Cambria" w:hAnsi="Cambria"/>
        </w:rPr>
        <w:t xml:space="preserve">The corpse figures are smiling as they are dancing with the living, which makes for sinister imagery. </w:t>
      </w:r>
      <w:r w:rsidR="00D11756">
        <w:rPr>
          <w:rFonts w:ascii="Cambria" w:hAnsi="Cambria"/>
        </w:rPr>
        <w:t xml:space="preserve">There does not appear to be any reasoning behind the work being a ‘dance’, other than there are two participants – the living person and the character of death. </w:t>
      </w:r>
      <w:r w:rsidR="00A35553">
        <w:rPr>
          <w:rFonts w:ascii="Cambria" w:hAnsi="Cambria"/>
        </w:rPr>
        <w:t xml:space="preserve">Referring to the relationship between the living and the dead as a dance is a rather comical and </w:t>
      </w:r>
      <w:r w:rsidR="008C2D68">
        <w:rPr>
          <w:rFonts w:ascii="Cambria" w:hAnsi="Cambria"/>
        </w:rPr>
        <w:t xml:space="preserve">unserious way of depicting such a bleak topic. It gives the modern audience an insight into how medieval society dealt with the subject of death, and potentially </w:t>
      </w:r>
      <w:proofErr w:type="gramStart"/>
      <w:r w:rsidR="008C2D68">
        <w:rPr>
          <w:rFonts w:ascii="Cambria" w:hAnsi="Cambria"/>
        </w:rPr>
        <w:t>a look into</w:t>
      </w:r>
      <w:proofErr w:type="gramEnd"/>
      <w:r w:rsidR="008C2D68">
        <w:rPr>
          <w:rFonts w:ascii="Cambria" w:hAnsi="Cambria"/>
        </w:rPr>
        <w:t xml:space="preserve"> their humour. Scholars like </w:t>
      </w:r>
      <w:proofErr w:type="spellStart"/>
      <w:r w:rsidR="008C2D68">
        <w:rPr>
          <w:rFonts w:ascii="Cambria" w:hAnsi="Cambria"/>
        </w:rPr>
        <w:t>Oosterwijk</w:t>
      </w:r>
      <w:proofErr w:type="spellEnd"/>
      <w:r w:rsidR="008C2D68">
        <w:rPr>
          <w:rFonts w:ascii="Cambria" w:hAnsi="Cambria"/>
        </w:rPr>
        <w:t xml:space="preserve"> and </w:t>
      </w:r>
      <w:proofErr w:type="spellStart"/>
      <w:r w:rsidR="008C2D68">
        <w:rPr>
          <w:rFonts w:ascii="Cambria" w:hAnsi="Cambria"/>
        </w:rPr>
        <w:t>Knöll</w:t>
      </w:r>
      <w:proofErr w:type="spellEnd"/>
      <w:r w:rsidR="008C2D68">
        <w:rPr>
          <w:rFonts w:ascii="Cambria" w:hAnsi="Cambria"/>
        </w:rPr>
        <w:t xml:space="preserve"> </w:t>
      </w:r>
      <w:r w:rsidR="00874E69">
        <w:rPr>
          <w:rFonts w:ascii="Cambria" w:hAnsi="Cambria"/>
        </w:rPr>
        <w:t xml:space="preserve">have referenced a satirical underpinning of the </w:t>
      </w:r>
      <w:proofErr w:type="spellStart"/>
      <w:r w:rsidR="00874E69" w:rsidRPr="00874E69">
        <w:rPr>
          <w:rFonts w:ascii="Cambria" w:hAnsi="Cambria"/>
          <w:i/>
        </w:rPr>
        <w:t>danse</w:t>
      </w:r>
      <w:proofErr w:type="spellEnd"/>
      <w:r w:rsidR="00874E69" w:rsidRPr="00874E69">
        <w:rPr>
          <w:rFonts w:ascii="Cambria" w:hAnsi="Cambria"/>
          <w:i/>
        </w:rPr>
        <w:t xml:space="preserve"> macabre</w:t>
      </w:r>
      <w:r w:rsidR="00874E69">
        <w:rPr>
          <w:rFonts w:ascii="Cambria" w:hAnsi="Cambria"/>
        </w:rPr>
        <w:t xml:space="preserve"> poem and artwork</w:t>
      </w:r>
      <w:r w:rsidR="004D4068">
        <w:rPr>
          <w:rStyle w:val="FootnoteReference"/>
          <w:rFonts w:ascii="Cambria" w:hAnsi="Cambria"/>
        </w:rPr>
        <w:footnoteReference w:id="4"/>
      </w:r>
      <w:r w:rsidR="00874E69">
        <w:rPr>
          <w:rFonts w:ascii="Cambria" w:hAnsi="Cambria"/>
        </w:rPr>
        <w:t xml:space="preserve">. </w:t>
      </w:r>
    </w:p>
    <w:p w14:paraId="7B5B8C79" w14:textId="19EC205F" w:rsidR="00224994" w:rsidRDefault="00224994" w:rsidP="003B75BE">
      <w:pPr>
        <w:pStyle w:val="NoSpacing"/>
        <w:spacing w:line="360" w:lineRule="auto"/>
      </w:pPr>
    </w:p>
    <w:p w14:paraId="1ADE88C8" w14:textId="1C7EE820" w:rsidR="009876EF" w:rsidRPr="004D659F" w:rsidRDefault="00795C52" w:rsidP="003B75BE">
      <w:pPr>
        <w:pStyle w:val="NoSpacing"/>
        <w:spacing w:line="360" w:lineRule="auto"/>
        <w:jc w:val="both"/>
        <w:rPr>
          <w:rFonts w:ascii="Cambria" w:eastAsia="Times New Roman" w:hAnsi="Cambria" w:cs="Times New Roman"/>
          <w:szCs w:val="24"/>
          <w:lang w:eastAsia="en-GB"/>
        </w:rPr>
      </w:pPr>
      <w:r w:rsidRPr="00CB70F8">
        <w:rPr>
          <w:rFonts w:ascii="Cambria" w:hAnsi="Cambria"/>
          <w:szCs w:val="24"/>
        </w:rPr>
        <w:t>A very prominent medieval belief was that d</w:t>
      </w:r>
      <w:r w:rsidR="00224994" w:rsidRPr="00CB70F8">
        <w:rPr>
          <w:rFonts w:ascii="Cambria" w:hAnsi="Cambria"/>
          <w:szCs w:val="24"/>
        </w:rPr>
        <w:t>eath can take you or family members at any point, so it pays well to be living a pure and godly life in the occurrence of death</w:t>
      </w:r>
      <w:r w:rsidRPr="00CB70F8">
        <w:rPr>
          <w:rFonts w:ascii="Cambria" w:hAnsi="Cambria"/>
          <w:szCs w:val="24"/>
        </w:rPr>
        <w:t>,</w:t>
      </w:r>
      <w:r w:rsidR="00224994" w:rsidRPr="00CB70F8">
        <w:rPr>
          <w:rFonts w:ascii="Cambria" w:hAnsi="Cambria"/>
          <w:szCs w:val="24"/>
        </w:rPr>
        <w:t xml:space="preserve"> as you will li</w:t>
      </w:r>
      <w:r w:rsidR="00B35BE6" w:rsidRPr="00CB70F8">
        <w:rPr>
          <w:rFonts w:ascii="Cambria" w:hAnsi="Cambria"/>
          <w:szCs w:val="24"/>
        </w:rPr>
        <w:t xml:space="preserve">kely be given a place in heaven. The tale of the </w:t>
      </w:r>
      <w:r w:rsidR="00B35BE6" w:rsidRPr="00CB70F8">
        <w:rPr>
          <w:rFonts w:ascii="Cambria" w:hAnsi="Cambria"/>
          <w:i/>
          <w:szCs w:val="24"/>
        </w:rPr>
        <w:t>Three Living and the Three Dead</w:t>
      </w:r>
      <w:r w:rsidR="00B35BE6" w:rsidRPr="00CB70F8">
        <w:rPr>
          <w:rFonts w:ascii="Cambria" w:hAnsi="Cambria"/>
          <w:szCs w:val="24"/>
        </w:rPr>
        <w:t xml:space="preserve"> is contrary to the idea of the </w:t>
      </w:r>
      <w:proofErr w:type="spellStart"/>
      <w:r w:rsidR="00B35BE6" w:rsidRPr="00CB70F8">
        <w:rPr>
          <w:rFonts w:ascii="Cambria" w:hAnsi="Cambria"/>
          <w:i/>
          <w:szCs w:val="24"/>
        </w:rPr>
        <w:t>danse</w:t>
      </w:r>
      <w:proofErr w:type="spellEnd"/>
      <w:r w:rsidR="00B35BE6" w:rsidRPr="00CB70F8">
        <w:rPr>
          <w:rFonts w:ascii="Cambria" w:hAnsi="Cambria"/>
          <w:i/>
          <w:szCs w:val="24"/>
        </w:rPr>
        <w:t xml:space="preserve"> macabre</w:t>
      </w:r>
      <w:r w:rsidR="00B35BE6" w:rsidRPr="00CB70F8">
        <w:rPr>
          <w:rFonts w:ascii="Cambria" w:hAnsi="Cambria"/>
          <w:szCs w:val="24"/>
        </w:rPr>
        <w:t>, as the three kings meet their de</w:t>
      </w:r>
      <w:r w:rsidRPr="00CB70F8">
        <w:rPr>
          <w:rFonts w:ascii="Cambria" w:hAnsi="Cambria"/>
          <w:szCs w:val="24"/>
        </w:rPr>
        <w:t>cease</w:t>
      </w:r>
      <w:r w:rsidR="00B35BE6" w:rsidRPr="00CB70F8">
        <w:rPr>
          <w:rFonts w:ascii="Cambria" w:hAnsi="Cambria"/>
          <w:szCs w:val="24"/>
        </w:rPr>
        <w:t>d counterparts</w:t>
      </w:r>
      <w:r w:rsidR="0048476C" w:rsidRPr="00CB70F8">
        <w:rPr>
          <w:rFonts w:ascii="Cambria" w:hAnsi="Cambria"/>
          <w:szCs w:val="24"/>
        </w:rPr>
        <w:t xml:space="preserve"> suddenly without warning, whereas the </w:t>
      </w:r>
      <w:proofErr w:type="spellStart"/>
      <w:r w:rsidR="0048476C" w:rsidRPr="00CB70F8">
        <w:rPr>
          <w:rFonts w:ascii="Cambria" w:hAnsi="Cambria"/>
          <w:i/>
          <w:szCs w:val="24"/>
        </w:rPr>
        <w:t>danse</w:t>
      </w:r>
      <w:proofErr w:type="spellEnd"/>
      <w:r w:rsidR="0048476C" w:rsidRPr="00CB70F8">
        <w:rPr>
          <w:rFonts w:ascii="Cambria" w:hAnsi="Cambria"/>
          <w:i/>
          <w:szCs w:val="24"/>
        </w:rPr>
        <w:t xml:space="preserve"> macabre</w:t>
      </w:r>
      <w:r w:rsidR="0048476C" w:rsidRPr="00CB70F8">
        <w:rPr>
          <w:rFonts w:ascii="Cambria" w:hAnsi="Cambria"/>
          <w:szCs w:val="24"/>
        </w:rPr>
        <w:t xml:space="preserve"> is a lifelong encounter with the </w:t>
      </w:r>
      <w:r w:rsidR="00BB660C" w:rsidRPr="00CB70F8">
        <w:rPr>
          <w:rFonts w:ascii="Cambria" w:hAnsi="Cambria"/>
          <w:szCs w:val="24"/>
        </w:rPr>
        <w:t>ultimate</w:t>
      </w:r>
      <w:r w:rsidR="0048476C" w:rsidRPr="00CB70F8">
        <w:rPr>
          <w:rFonts w:ascii="Cambria" w:hAnsi="Cambria"/>
          <w:szCs w:val="24"/>
        </w:rPr>
        <w:t xml:space="preserve">, unavoidable </w:t>
      </w:r>
      <w:r w:rsidR="00045C00" w:rsidRPr="00CB70F8">
        <w:rPr>
          <w:rFonts w:ascii="Cambria" w:hAnsi="Cambria"/>
          <w:szCs w:val="24"/>
        </w:rPr>
        <w:t>event</w:t>
      </w:r>
      <w:r w:rsidR="0048476C" w:rsidRPr="00CB70F8">
        <w:rPr>
          <w:rFonts w:ascii="Cambria" w:hAnsi="Cambria"/>
          <w:szCs w:val="24"/>
        </w:rPr>
        <w:t xml:space="preserve"> of death. </w:t>
      </w:r>
      <w:r w:rsidR="00D70600" w:rsidRPr="00CB70F8">
        <w:rPr>
          <w:rFonts w:ascii="Cambria" w:hAnsi="Cambria"/>
          <w:szCs w:val="24"/>
        </w:rPr>
        <w:t xml:space="preserve">Another difference is that the tale of the three kings only tells of royalty being susceptible to the perils of a bad death, but the </w:t>
      </w:r>
      <w:proofErr w:type="spellStart"/>
      <w:r w:rsidR="00D70600" w:rsidRPr="00CB70F8">
        <w:rPr>
          <w:rFonts w:ascii="Cambria" w:hAnsi="Cambria"/>
          <w:i/>
          <w:szCs w:val="24"/>
        </w:rPr>
        <w:t>danse</w:t>
      </w:r>
      <w:proofErr w:type="spellEnd"/>
      <w:r w:rsidR="00D70600" w:rsidRPr="00CB70F8">
        <w:rPr>
          <w:rFonts w:ascii="Cambria" w:hAnsi="Cambria"/>
          <w:i/>
          <w:szCs w:val="24"/>
        </w:rPr>
        <w:t xml:space="preserve"> macabre</w:t>
      </w:r>
      <w:r w:rsidR="00D70600" w:rsidRPr="00CB70F8">
        <w:rPr>
          <w:rFonts w:ascii="Cambria" w:hAnsi="Cambria"/>
          <w:szCs w:val="24"/>
        </w:rPr>
        <w:t xml:space="preserve"> shows death dancing with people from all </w:t>
      </w:r>
      <w:r w:rsidR="00253A21" w:rsidRPr="00CB70F8">
        <w:rPr>
          <w:rFonts w:ascii="Cambria" w:hAnsi="Cambria"/>
          <w:szCs w:val="24"/>
        </w:rPr>
        <w:t xml:space="preserve">social classes and </w:t>
      </w:r>
      <w:proofErr w:type="gramStart"/>
      <w:r w:rsidR="00D70600" w:rsidRPr="00CB70F8">
        <w:rPr>
          <w:rFonts w:ascii="Cambria" w:hAnsi="Cambria"/>
          <w:szCs w:val="24"/>
        </w:rPr>
        <w:t>walks of life</w:t>
      </w:r>
      <w:proofErr w:type="gramEnd"/>
      <w:r w:rsidR="00D70600" w:rsidRPr="00CB70F8">
        <w:rPr>
          <w:rFonts w:ascii="Cambria" w:hAnsi="Cambria"/>
          <w:szCs w:val="24"/>
        </w:rPr>
        <w:t xml:space="preserve">, including labourers, </w:t>
      </w:r>
      <w:r w:rsidR="00081EE5" w:rsidRPr="00CB70F8">
        <w:rPr>
          <w:rFonts w:ascii="Cambria" w:hAnsi="Cambria"/>
          <w:szCs w:val="24"/>
        </w:rPr>
        <w:t>kings, and religious figures.</w:t>
      </w:r>
      <w:r w:rsidR="00D11756" w:rsidRPr="00CB70F8">
        <w:rPr>
          <w:rFonts w:ascii="Cambria" w:hAnsi="Cambria"/>
          <w:szCs w:val="24"/>
        </w:rPr>
        <w:t xml:space="preserve"> There is a similarity in the </w:t>
      </w:r>
      <w:r w:rsidR="00CB70F8" w:rsidRPr="00CB70F8">
        <w:rPr>
          <w:rFonts w:ascii="Cambria" w:hAnsi="Cambria"/>
          <w:szCs w:val="24"/>
        </w:rPr>
        <w:t xml:space="preserve">accompanying poem underneath each illustration of the </w:t>
      </w:r>
      <w:proofErr w:type="spellStart"/>
      <w:r w:rsidR="00CB70F8" w:rsidRPr="00CB70F8">
        <w:rPr>
          <w:rFonts w:ascii="Cambria" w:hAnsi="Cambria"/>
          <w:i/>
          <w:szCs w:val="24"/>
        </w:rPr>
        <w:t>danse</w:t>
      </w:r>
      <w:proofErr w:type="spellEnd"/>
      <w:r w:rsidR="00CB70F8" w:rsidRPr="00CB70F8">
        <w:rPr>
          <w:rFonts w:ascii="Cambria" w:hAnsi="Cambria"/>
          <w:i/>
          <w:szCs w:val="24"/>
        </w:rPr>
        <w:t xml:space="preserve"> macabre</w:t>
      </w:r>
      <w:r w:rsidR="00CB70F8" w:rsidRPr="00CB70F8">
        <w:rPr>
          <w:rFonts w:ascii="Cambria" w:hAnsi="Cambria"/>
          <w:szCs w:val="24"/>
        </w:rPr>
        <w:t xml:space="preserve"> to the poetry of the </w:t>
      </w:r>
      <w:r w:rsidR="00CB70F8" w:rsidRPr="00CB70F8">
        <w:rPr>
          <w:rFonts w:ascii="Cambria" w:hAnsi="Cambria"/>
          <w:i/>
          <w:szCs w:val="24"/>
        </w:rPr>
        <w:t xml:space="preserve">Three Living and the Three Dead. </w:t>
      </w:r>
      <w:r w:rsidR="00CB70F8" w:rsidRPr="00CB70F8">
        <w:rPr>
          <w:rFonts w:ascii="Cambria" w:hAnsi="Cambria"/>
          <w:szCs w:val="24"/>
        </w:rPr>
        <w:t xml:space="preserve">The dead kings warn the living kings that their lifestyles are </w:t>
      </w:r>
      <w:proofErr w:type="gramStart"/>
      <w:r w:rsidR="00CB70F8" w:rsidRPr="00CB70F8">
        <w:rPr>
          <w:rFonts w:ascii="Cambria" w:hAnsi="Cambria"/>
          <w:szCs w:val="24"/>
        </w:rPr>
        <w:t>sinful</w:t>
      </w:r>
      <w:proofErr w:type="gramEnd"/>
      <w:r w:rsidR="00CB70F8" w:rsidRPr="00CB70F8">
        <w:rPr>
          <w:rFonts w:ascii="Cambria" w:hAnsi="Cambria"/>
          <w:szCs w:val="24"/>
        </w:rPr>
        <w:t xml:space="preserve"> and they will end up like the three dead without a life</w:t>
      </w:r>
      <w:r w:rsidR="00CB70F8">
        <w:rPr>
          <w:rFonts w:ascii="Cambria" w:hAnsi="Cambria"/>
          <w:szCs w:val="24"/>
        </w:rPr>
        <w:t xml:space="preserve">style change and repentance; a warning from </w:t>
      </w:r>
      <w:r w:rsidR="00BF6259">
        <w:rPr>
          <w:rFonts w:ascii="Cambria" w:hAnsi="Cambria"/>
          <w:szCs w:val="24"/>
        </w:rPr>
        <w:t>Guy</w:t>
      </w:r>
      <w:r w:rsidR="00BF6259" w:rsidRPr="00D81F60">
        <w:rPr>
          <w:rFonts w:ascii="Cambria" w:hAnsi="Cambria"/>
          <w:szCs w:val="24"/>
        </w:rPr>
        <w:t xml:space="preserve"> </w:t>
      </w:r>
      <w:r w:rsidR="00CB70F8" w:rsidRPr="00D81F60">
        <w:rPr>
          <w:rFonts w:ascii="Cambria" w:hAnsi="Cambria"/>
          <w:szCs w:val="24"/>
        </w:rPr>
        <w:t xml:space="preserve">Marchant’s </w:t>
      </w:r>
      <w:proofErr w:type="spellStart"/>
      <w:r w:rsidR="00CB70F8" w:rsidRPr="00D81F60">
        <w:rPr>
          <w:rFonts w:ascii="Cambria" w:hAnsi="Cambria"/>
          <w:i/>
          <w:szCs w:val="24"/>
        </w:rPr>
        <w:t>danse</w:t>
      </w:r>
      <w:proofErr w:type="spellEnd"/>
      <w:r w:rsidR="00CB70F8" w:rsidRPr="00D81F60">
        <w:rPr>
          <w:rFonts w:ascii="Cambria" w:hAnsi="Cambria"/>
          <w:i/>
          <w:szCs w:val="24"/>
        </w:rPr>
        <w:t xml:space="preserve"> macabre</w:t>
      </w:r>
      <w:r w:rsidR="00CB70F8" w:rsidRPr="00D81F60">
        <w:rPr>
          <w:rFonts w:ascii="Cambria" w:hAnsi="Cambria"/>
          <w:szCs w:val="24"/>
        </w:rPr>
        <w:t xml:space="preserve"> poem reads </w:t>
      </w:r>
      <w:r w:rsidR="00CB70F8" w:rsidRPr="00D81F60">
        <w:rPr>
          <w:rFonts w:ascii="Cambria" w:eastAsia="Times New Roman" w:hAnsi="Cambria" w:cs="Times New Roman"/>
          <w:szCs w:val="24"/>
          <w:lang w:eastAsia="en-GB"/>
        </w:rPr>
        <w:t xml:space="preserve">‘I am what you will be, and I once was </w:t>
      </w:r>
      <w:r w:rsidR="00CB70F8" w:rsidRPr="00D81F60">
        <w:rPr>
          <w:rFonts w:ascii="Cambria" w:eastAsia="Times New Roman" w:hAnsi="Cambria" w:cs="Times New Roman"/>
          <w:szCs w:val="24"/>
          <w:lang w:eastAsia="en-GB"/>
        </w:rPr>
        <w:lastRenderedPageBreak/>
        <w:t>what you are now’</w:t>
      </w:r>
      <w:r w:rsidR="003F5360" w:rsidRPr="00D81F60">
        <w:rPr>
          <w:rStyle w:val="FootnoteReference"/>
          <w:rFonts w:ascii="Cambria" w:eastAsia="Times New Roman" w:hAnsi="Cambria" w:cs="Times New Roman"/>
          <w:szCs w:val="24"/>
          <w:lang w:eastAsia="en-GB"/>
        </w:rPr>
        <w:footnoteReference w:id="5"/>
      </w:r>
      <w:r w:rsidR="00CB70F8" w:rsidRPr="00D81F60">
        <w:rPr>
          <w:rFonts w:ascii="Cambria" w:eastAsia="Times New Roman" w:hAnsi="Cambria" w:cs="Times New Roman"/>
          <w:szCs w:val="24"/>
          <w:lang w:eastAsia="en-GB"/>
        </w:rPr>
        <w:t xml:space="preserve">. </w:t>
      </w:r>
      <w:r w:rsidR="003F5360" w:rsidRPr="003F5360">
        <w:rPr>
          <w:rFonts w:ascii="Cambria" w:eastAsia="Times New Roman" w:hAnsi="Cambria" w:cs="Times New Roman"/>
          <w:szCs w:val="24"/>
          <w:lang w:eastAsia="en-GB"/>
        </w:rPr>
        <w:t xml:space="preserve">Despite this clear similarity of a warning, the </w:t>
      </w:r>
      <w:proofErr w:type="spellStart"/>
      <w:r w:rsidR="003F5360" w:rsidRPr="003F5360">
        <w:rPr>
          <w:rFonts w:ascii="Cambria" w:eastAsia="Times New Roman" w:hAnsi="Cambria" w:cs="Times New Roman"/>
          <w:szCs w:val="24"/>
          <w:lang w:eastAsia="en-GB"/>
        </w:rPr>
        <w:t>danse</w:t>
      </w:r>
      <w:proofErr w:type="spellEnd"/>
      <w:r w:rsidR="003F5360" w:rsidRPr="003F5360">
        <w:rPr>
          <w:rFonts w:ascii="Cambria" w:eastAsia="Times New Roman" w:hAnsi="Cambria" w:cs="Times New Roman"/>
          <w:szCs w:val="24"/>
          <w:lang w:eastAsia="en-GB"/>
        </w:rPr>
        <w:t xml:space="preserve"> macabre is contextually less about living a godly and pure lifestyle and more of a general reminder of the presence of death.</w:t>
      </w:r>
      <w:r w:rsidR="004D659F">
        <w:rPr>
          <w:rFonts w:ascii="Cambria" w:eastAsia="Times New Roman" w:hAnsi="Cambria" w:cs="Times New Roman"/>
          <w:szCs w:val="24"/>
          <w:lang w:eastAsia="en-GB"/>
        </w:rPr>
        <w:t xml:space="preserve"> </w:t>
      </w:r>
      <w:r w:rsidR="009876EF">
        <w:rPr>
          <w:rFonts w:ascii="Cambria" w:eastAsia="Times New Roman" w:hAnsi="Cambria" w:cs="Times New Roman"/>
          <w:szCs w:val="24"/>
          <w:lang w:eastAsia="en-GB"/>
        </w:rPr>
        <w:t xml:space="preserve">It is interesting to see how the illustration does not separate social classes or </w:t>
      </w:r>
      <w:r w:rsidR="0002014E">
        <w:rPr>
          <w:rFonts w:ascii="Cambria" w:eastAsia="Times New Roman" w:hAnsi="Cambria" w:cs="Times New Roman"/>
          <w:szCs w:val="24"/>
          <w:lang w:eastAsia="en-GB"/>
        </w:rPr>
        <w:t>occupations – everyone is on the same level in the eyes of death. Kings and popes are considered the same as peasants and children, and no living person is in a better or worse position than another to negotiate with death when they will be taken.</w:t>
      </w:r>
      <w:r w:rsidR="00101316">
        <w:rPr>
          <w:rFonts w:ascii="Cambria" w:eastAsia="Times New Roman" w:hAnsi="Cambria" w:cs="Times New Roman"/>
          <w:szCs w:val="24"/>
          <w:lang w:eastAsia="en-GB"/>
        </w:rPr>
        <w:t xml:space="preserve"> </w:t>
      </w:r>
      <w:r w:rsidR="007B07C1">
        <w:rPr>
          <w:rFonts w:ascii="Cambria" w:eastAsia="Times New Roman" w:hAnsi="Cambria" w:cs="Times New Roman"/>
          <w:szCs w:val="24"/>
          <w:lang w:eastAsia="en-GB"/>
        </w:rPr>
        <w:t>Kings and members of the gentr</w:t>
      </w:r>
      <w:r w:rsidR="006063F2">
        <w:rPr>
          <w:rFonts w:ascii="Cambria" w:eastAsia="Times New Roman" w:hAnsi="Cambria" w:cs="Times New Roman"/>
          <w:szCs w:val="24"/>
          <w:lang w:eastAsia="en-GB"/>
        </w:rPr>
        <w:t xml:space="preserve">y (alongside other high-ranking members of society) would also not have been buried in the same churchyard as poorer people, but the original </w:t>
      </w:r>
      <w:proofErr w:type="spellStart"/>
      <w:r w:rsidR="006063F2">
        <w:rPr>
          <w:rFonts w:ascii="Cambria" w:eastAsia="Times New Roman" w:hAnsi="Cambria" w:cs="Times New Roman"/>
          <w:szCs w:val="24"/>
          <w:lang w:eastAsia="en-GB"/>
        </w:rPr>
        <w:t>danse</w:t>
      </w:r>
      <w:proofErr w:type="spellEnd"/>
      <w:r w:rsidR="006063F2">
        <w:rPr>
          <w:rFonts w:ascii="Cambria" w:eastAsia="Times New Roman" w:hAnsi="Cambria" w:cs="Times New Roman"/>
          <w:szCs w:val="24"/>
          <w:lang w:eastAsia="en-GB"/>
        </w:rPr>
        <w:t xml:space="preserve"> macabre artwork from Les Saintes </w:t>
      </w:r>
      <w:proofErr w:type="spellStart"/>
      <w:r w:rsidR="006063F2">
        <w:rPr>
          <w:rFonts w:ascii="Cambria" w:eastAsia="Times New Roman" w:hAnsi="Cambria" w:cs="Times New Roman"/>
          <w:szCs w:val="24"/>
          <w:lang w:eastAsia="en-GB"/>
        </w:rPr>
        <w:t>Innocentes</w:t>
      </w:r>
      <w:proofErr w:type="spellEnd"/>
      <w:r w:rsidR="00BF6259">
        <w:rPr>
          <w:rFonts w:ascii="Cambria" w:eastAsia="Times New Roman" w:hAnsi="Cambria" w:cs="Times New Roman"/>
          <w:szCs w:val="24"/>
          <w:lang w:eastAsia="en-GB"/>
        </w:rPr>
        <w:t xml:space="preserve"> church</w:t>
      </w:r>
      <w:r w:rsidR="00874E69">
        <w:rPr>
          <w:rFonts w:ascii="Cambria" w:eastAsia="Times New Roman" w:hAnsi="Cambria" w:cs="Times New Roman"/>
          <w:szCs w:val="24"/>
          <w:lang w:eastAsia="en-GB"/>
        </w:rPr>
        <w:t xml:space="preserve"> depicts all classes together</w:t>
      </w:r>
      <w:r w:rsidR="004D659F">
        <w:rPr>
          <w:rFonts w:ascii="Cambria" w:eastAsia="Times New Roman" w:hAnsi="Cambria" w:cs="Times New Roman"/>
          <w:szCs w:val="24"/>
          <w:lang w:eastAsia="en-GB"/>
        </w:rPr>
        <w:t>.</w:t>
      </w:r>
    </w:p>
    <w:p w14:paraId="7E913965" w14:textId="6489EA3D" w:rsidR="003B75BE" w:rsidRPr="003B75BE" w:rsidRDefault="003B75BE" w:rsidP="003B75BE">
      <w:pPr>
        <w:pStyle w:val="NoSpacing"/>
        <w:spacing w:line="360" w:lineRule="auto"/>
        <w:jc w:val="both"/>
        <w:rPr>
          <w:rFonts w:ascii="Cambria" w:hAnsi="Cambria"/>
        </w:rPr>
      </w:pPr>
    </w:p>
    <w:p w14:paraId="43A5DB94" w14:textId="04E5F234" w:rsidR="003373D1" w:rsidRPr="003B75BE" w:rsidRDefault="00253A21" w:rsidP="003B75BE">
      <w:pPr>
        <w:pStyle w:val="NoSpacing"/>
        <w:spacing w:line="360" w:lineRule="auto"/>
        <w:jc w:val="both"/>
        <w:rPr>
          <w:rFonts w:ascii="Cambria" w:hAnsi="Cambria"/>
        </w:rPr>
      </w:pPr>
      <w:r w:rsidRPr="003B75BE">
        <w:rPr>
          <w:rFonts w:ascii="Cambria" w:hAnsi="Cambria"/>
        </w:rPr>
        <w:t xml:space="preserve">The source does not spare children in audience from terrifying and gruesome imagery – they are taught from a young age that death will always accompany them, whether it is the idea of being on terms with their own immortality or being used to the idea that their family will not always be alive, and that death does not discriminate. In the sixth panel, the death figure is holding the hand of a child in a cradle.  </w:t>
      </w:r>
      <w:r w:rsidR="00224994" w:rsidRPr="003B75BE">
        <w:rPr>
          <w:rFonts w:ascii="Cambria" w:hAnsi="Cambria"/>
        </w:rPr>
        <w:t>The colours used in the image reflect the nature of the figures involved – the death figure is muted with greys</w:t>
      </w:r>
      <w:r w:rsidR="00321B7B" w:rsidRPr="003B75BE">
        <w:rPr>
          <w:rFonts w:ascii="Cambria" w:hAnsi="Cambria"/>
        </w:rPr>
        <w:t>, whites,</w:t>
      </w:r>
      <w:r w:rsidRPr="003B75BE">
        <w:rPr>
          <w:rFonts w:ascii="Cambria" w:hAnsi="Cambria"/>
        </w:rPr>
        <w:t xml:space="preserve"> </w:t>
      </w:r>
      <w:r w:rsidR="00224994" w:rsidRPr="003B75BE">
        <w:rPr>
          <w:rFonts w:ascii="Cambria" w:hAnsi="Cambria"/>
        </w:rPr>
        <w:t>and browns, as opposed to the rich blues and reds of the living people.</w:t>
      </w:r>
      <w:r w:rsidRPr="003B75BE">
        <w:rPr>
          <w:rFonts w:ascii="Cambria" w:hAnsi="Cambria"/>
        </w:rPr>
        <w:t xml:space="preserve"> The text below each panel accompanies the living figure above (e.g. with the corpse holding the hand of the child, the text below says the French word </w:t>
      </w:r>
      <w:proofErr w:type="spellStart"/>
      <w:r w:rsidRPr="003B75BE">
        <w:rPr>
          <w:rFonts w:ascii="Cambria" w:hAnsi="Cambria"/>
          <w:i/>
        </w:rPr>
        <w:t>l’enfant</w:t>
      </w:r>
      <w:proofErr w:type="spellEnd"/>
      <w:r w:rsidRPr="003B75BE">
        <w:rPr>
          <w:rFonts w:ascii="Cambria" w:hAnsi="Cambria"/>
        </w:rPr>
        <w:t>, meaning ‘child’</w:t>
      </w:r>
      <w:r w:rsidR="00C52C43" w:rsidRPr="003B75BE">
        <w:rPr>
          <w:rFonts w:ascii="Cambria" w:hAnsi="Cambria"/>
        </w:rPr>
        <w:t>)</w:t>
      </w:r>
      <w:r w:rsidRPr="003B75BE">
        <w:rPr>
          <w:rFonts w:ascii="Cambria" w:hAnsi="Cambria"/>
        </w:rPr>
        <w:t xml:space="preserve">. </w:t>
      </w:r>
      <w:r w:rsidR="00795C52" w:rsidRPr="003B75BE">
        <w:rPr>
          <w:rFonts w:ascii="Cambria" w:hAnsi="Cambria"/>
        </w:rPr>
        <w:t xml:space="preserve">The living figures in the illustration are all leaning away from the corpses who are trying to lead them away or dance with them, showing a reluctance to die – or perhaps, demonstrating a reluctance and aversion to live a bad life, and therefore have a bad death and afterlife. </w:t>
      </w:r>
    </w:p>
    <w:p w14:paraId="1E794DDD" w14:textId="12A299CE" w:rsidR="003373D1" w:rsidRDefault="003373D1" w:rsidP="00C5747E">
      <w:pPr>
        <w:pStyle w:val="NoSpacing"/>
        <w:jc w:val="both"/>
        <w:rPr>
          <w:rFonts w:ascii="Cambria" w:hAnsi="Cambria"/>
        </w:rPr>
      </w:pPr>
    </w:p>
    <w:p w14:paraId="02F33DA5" w14:textId="48909332" w:rsidR="003B75BE" w:rsidRDefault="003B75BE" w:rsidP="00C5747E">
      <w:pPr>
        <w:pStyle w:val="NoSpacing"/>
        <w:jc w:val="both"/>
        <w:rPr>
          <w:rFonts w:ascii="Cambria" w:hAnsi="Cambria"/>
        </w:rPr>
      </w:pPr>
    </w:p>
    <w:p w14:paraId="6D6BBE1B" w14:textId="5968F397" w:rsidR="003B75BE" w:rsidRDefault="003B75BE" w:rsidP="00C5747E">
      <w:pPr>
        <w:pStyle w:val="NoSpacing"/>
        <w:jc w:val="both"/>
        <w:rPr>
          <w:rFonts w:ascii="Cambria" w:hAnsi="Cambria"/>
        </w:rPr>
      </w:pPr>
    </w:p>
    <w:p w14:paraId="2A55C358" w14:textId="3733D87E" w:rsidR="003B75BE" w:rsidRDefault="003B75BE" w:rsidP="00C5747E">
      <w:pPr>
        <w:pStyle w:val="NoSpacing"/>
        <w:jc w:val="both"/>
        <w:rPr>
          <w:rFonts w:ascii="Cambria" w:hAnsi="Cambria"/>
        </w:rPr>
      </w:pPr>
    </w:p>
    <w:p w14:paraId="5B05253A" w14:textId="6F71F889" w:rsidR="003B75BE" w:rsidRDefault="003B75BE" w:rsidP="00C5747E">
      <w:pPr>
        <w:pStyle w:val="NoSpacing"/>
        <w:jc w:val="both"/>
        <w:rPr>
          <w:rFonts w:ascii="Cambria" w:hAnsi="Cambria"/>
        </w:rPr>
      </w:pPr>
    </w:p>
    <w:p w14:paraId="02589124" w14:textId="1AC4BED0" w:rsidR="003B75BE" w:rsidRDefault="003B75BE" w:rsidP="00C5747E">
      <w:pPr>
        <w:pStyle w:val="NoSpacing"/>
        <w:jc w:val="both"/>
        <w:rPr>
          <w:rFonts w:ascii="Cambria" w:hAnsi="Cambria"/>
        </w:rPr>
      </w:pPr>
    </w:p>
    <w:p w14:paraId="08D8F5E7" w14:textId="065E5C37" w:rsidR="003B75BE" w:rsidRDefault="003B75BE" w:rsidP="00C5747E">
      <w:pPr>
        <w:pStyle w:val="NoSpacing"/>
        <w:jc w:val="both"/>
        <w:rPr>
          <w:rFonts w:ascii="Cambria" w:hAnsi="Cambria"/>
        </w:rPr>
      </w:pPr>
    </w:p>
    <w:p w14:paraId="6D044D6B" w14:textId="591AFEDA" w:rsidR="003B75BE" w:rsidRDefault="003B75BE" w:rsidP="00C5747E">
      <w:pPr>
        <w:pStyle w:val="NoSpacing"/>
        <w:jc w:val="both"/>
        <w:rPr>
          <w:rFonts w:ascii="Cambria" w:hAnsi="Cambria"/>
        </w:rPr>
      </w:pPr>
    </w:p>
    <w:p w14:paraId="7BAFCA22" w14:textId="21EA6B7F" w:rsidR="003B75BE" w:rsidRDefault="003B75BE" w:rsidP="00C5747E">
      <w:pPr>
        <w:pStyle w:val="NoSpacing"/>
        <w:jc w:val="both"/>
        <w:rPr>
          <w:rFonts w:ascii="Cambria" w:hAnsi="Cambria"/>
        </w:rPr>
      </w:pPr>
    </w:p>
    <w:p w14:paraId="392AA567" w14:textId="34183816" w:rsidR="003B75BE" w:rsidRDefault="003B75BE" w:rsidP="00C5747E">
      <w:pPr>
        <w:pStyle w:val="NoSpacing"/>
        <w:jc w:val="both"/>
        <w:rPr>
          <w:rFonts w:ascii="Cambria" w:hAnsi="Cambria"/>
        </w:rPr>
      </w:pPr>
    </w:p>
    <w:p w14:paraId="202C6B67" w14:textId="632105DD" w:rsidR="003B75BE" w:rsidRDefault="003B75BE" w:rsidP="00C5747E">
      <w:pPr>
        <w:pStyle w:val="NoSpacing"/>
        <w:jc w:val="both"/>
        <w:rPr>
          <w:rFonts w:ascii="Cambria" w:hAnsi="Cambria"/>
        </w:rPr>
      </w:pPr>
    </w:p>
    <w:p w14:paraId="04EAD903" w14:textId="409406E1" w:rsidR="003B75BE" w:rsidRDefault="003B75BE" w:rsidP="00C5747E">
      <w:pPr>
        <w:pStyle w:val="NoSpacing"/>
        <w:jc w:val="both"/>
        <w:rPr>
          <w:rFonts w:ascii="Cambria" w:hAnsi="Cambria"/>
        </w:rPr>
      </w:pPr>
    </w:p>
    <w:p w14:paraId="09D8C7D3" w14:textId="5C769436" w:rsidR="003B75BE" w:rsidRDefault="003B75BE" w:rsidP="00C5747E">
      <w:pPr>
        <w:pStyle w:val="NoSpacing"/>
        <w:jc w:val="both"/>
        <w:rPr>
          <w:rFonts w:ascii="Cambria" w:hAnsi="Cambria"/>
        </w:rPr>
      </w:pPr>
    </w:p>
    <w:p w14:paraId="4C20BC0D" w14:textId="1EDB0FCC" w:rsidR="003B75BE" w:rsidRDefault="003B75BE" w:rsidP="00C5747E">
      <w:pPr>
        <w:pStyle w:val="NoSpacing"/>
        <w:jc w:val="both"/>
        <w:rPr>
          <w:rFonts w:ascii="Cambria" w:hAnsi="Cambria"/>
        </w:rPr>
      </w:pPr>
    </w:p>
    <w:p w14:paraId="54F9CD1D" w14:textId="0E3EC0BB" w:rsidR="003B75BE" w:rsidRDefault="003B75BE" w:rsidP="00C5747E">
      <w:pPr>
        <w:pStyle w:val="NoSpacing"/>
        <w:jc w:val="both"/>
        <w:rPr>
          <w:rFonts w:ascii="Cambria" w:hAnsi="Cambria"/>
        </w:rPr>
      </w:pPr>
    </w:p>
    <w:p w14:paraId="18748EB1" w14:textId="4A92DE16" w:rsidR="003B75BE" w:rsidRDefault="003B75BE" w:rsidP="00C5747E">
      <w:pPr>
        <w:pStyle w:val="NoSpacing"/>
        <w:jc w:val="both"/>
        <w:rPr>
          <w:rFonts w:ascii="Cambria" w:hAnsi="Cambria"/>
        </w:rPr>
      </w:pPr>
    </w:p>
    <w:p w14:paraId="7F5EDE43" w14:textId="75819C3C" w:rsidR="003B75BE" w:rsidRDefault="003B75BE" w:rsidP="00C5747E">
      <w:pPr>
        <w:pStyle w:val="NoSpacing"/>
        <w:jc w:val="both"/>
        <w:rPr>
          <w:rFonts w:ascii="Cambria" w:hAnsi="Cambria"/>
        </w:rPr>
      </w:pPr>
    </w:p>
    <w:p w14:paraId="08539938" w14:textId="0A29B0B8" w:rsidR="003B75BE" w:rsidRDefault="003B75BE" w:rsidP="00C5747E">
      <w:pPr>
        <w:pStyle w:val="NoSpacing"/>
        <w:jc w:val="both"/>
        <w:rPr>
          <w:rFonts w:ascii="Cambria" w:hAnsi="Cambria"/>
        </w:rPr>
      </w:pPr>
    </w:p>
    <w:p w14:paraId="3721DE8C" w14:textId="02AD6AAA" w:rsidR="003373D1" w:rsidRPr="004D4068" w:rsidRDefault="003B75BE" w:rsidP="00C5747E">
      <w:pPr>
        <w:pStyle w:val="NoSpacing"/>
        <w:jc w:val="both"/>
        <w:rPr>
          <w:rFonts w:ascii="Cambria" w:hAnsi="Cambria"/>
          <w:b/>
          <w:u w:val="single"/>
        </w:rPr>
      </w:pPr>
      <w:r w:rsidRPr="004D4068">
        <w:rPr>
          <w:rFonts w:ascii="Cambria" w:hAnsi="Cambria"/>
          <w:b/>
          <w:u w:val="single"/>
        </w:rPr>
        <w:lastRenderedPageBreak/>
        <w:t xml:space="preserve">BIBLIOGRAPHY </w:t>
      </w:r>
    </w:p>
    <w:p w14:paraId="62E8F206" w14:textId="5173DCAF" w:rsidR="003B75BE" w:rsidRDefault="003B75BE" w:rsidP="00C5747E">
      <w:pPr>
        <w:pStyle w:val="NoSpacing"/>
        <w:jc w:val="both"/>
        <w:rPr>
          <w:rFonts w:ascii="Cambria" w:hAnsi="Cambria"/>
          <w:b/>
        </w:rPr>
      </w:pPr>
    </w:p>
    <w:p w14:paraId="64E5FBE4" w14:textId="77777777" w:rsidR="00E50A0A" w:rsidRDefault="00E50A0A" w:rsidP="00C5747E">
      <w:pPr>
        <w:pStyle w:val="NoSpacing"/>
        <w:jc w:val="both"/>
        <w:rPr>
          <w:rFonts w:ascii="Cambria" w:hAnsi="Cambria"/>
          <w:b/>
        </w:rPr>
      </w:pPr>
      <w:bookmarkStart w:id="1" w:name="_GoBack"/>
      <w:bookmarkEnd w:id="1"/>
    </w:p>
    <w:p w14:paraId="3CC8CB34" w14:textId="6F5BDC74" w:rsidR="008146AC" w:rsidRPr="00337C95" w:rsidRDefault="008146AC" w:rsidP="008146AC">
      <w:pPr>
        <w:pStyle w:val="NoSpacing"/>
        <w:rPr>
          <w:rFonts w:ascii="Cambria" w:hAnsi="Cambria"/>
        </w:rPr>
      </w:pPr>
      <w:r w:rsidRPr="00337C95">
        <w:rPr>
          <w:rFonts w:ascii="Cambria" w:hAnsi="Cambria"/>
        </w:rPr>
        <w:t xml:space="preserve">The British Museum, </w:t>
      </w:r>
      <w:r w:rsidR="004D4068" w:rsidRPr="00337C95">
        <w:rPr>
          <w:rFonts w:ascii="Cambria" w:hAnsi="Cambria"/>
        </w:rPr>
        <w:t>‘</w:t>
      </w:r>
      <w:r w:rsidRPr="00337C95">
        <w:rPr>
          <w:rFonts w:ascii="Cambria" w:hAnsi="Cambria"/>
        </w:rPr>
        <w:t>Collection Online</w:t>
      </w:r>
      <w:r w:rsidR="004D4068" w:rsidRPr="00337C95">
        <w:rPr>
          <w:rFonts w:ascii="Cambria" w:hAnsi="Cambria"/>
        </w:rPr>
        <w:t>’</w:t>
      </w:r>
      <w:r w:rsidRPr="00337C95">
        <w:rPr>
          <w:rFonts w:ascii="Cambria" w:hAnsi="Cambria"/>
        </w:rPr>
        <w:t xml:space="preserve"> (2017) [online]</w:t>
      </w:r>
      <w:r w:rsidR="004D4068" w:rsidRPr="00337C95">
        <w:rPr>
          <w:rFonts w:ascii="Cambria" w:hAnsi="Cambria"/>
        </w:rPr>
        <w:t>.</w:t>
      </w:r>
      <w:r w:rsidRPr="00337C95">
        <w:rPr>
          <w:rFonts w:ascii="Cambria" w:hAnsi="Cambria"/>
        </w:rPr>
        <w:t xml:space="preserve"> Available</w:t>
      </w:r>
      <w:r w:rsidR="004D4068" w:rsidRPr="00337C95">
        <w:rPr>
          <w:rFonts w:ascii="Cambria" w:hAnsi="Cambria"/>
        </w:rPr>
        <w:t xml:space="preserve"> at</w:t>
      </w:r>
      <w:r w:rsidRPr="00337C95">
        <w:rPr>
          <w:rFonts w:ascii="Cambria" w:hAnsi="Cambria"/>
        </w:rPr>
        <w:t xml:space="preserve">: </w:t>
      </w:r>
      <w:hyperlink r:id="rId9" w:history="1">
        <w:r w:rsidRPr="00337C95">
          <w:rPr>
            <w:rStyle w:val="Hyperlink"/>
            <w:rFonts w:ascii="Cambria" w:hAnsi="Cambria"/>
          </w:rPr>
          <w:t>www.britishmuseum.org/research/collection_online/search.aspx?searchText=ars+moriendi</w:t>
        </w:r>
      </w:hyperlink>
      <w:r w:rsidR="004D4068" w:rsidRPr="00337C95">
        <w:rPr>
          <w:rFonts w:ascii="Cambria" w:hAnsi="Cambria"/>
        </w:rPr>
        <w:t>. (Accessed 28 November 2017).</w:t>
      </w:r>
    </w:p>
    <w:p w14:paraId="6ECEAB5F" w14:textId="77777777" w:rsidR="008146AC" w:rsidRPr="00337C95" w:rsidRDefault="008146AC" w:rsidP="008146AC">
      <w:pPr>
        <w:pStyle w:val="NoSpacing"/>
        <w:rPr>
          <w:rFonts w:ascii="Cambria" w:hAnsi="Cambria"/>
        </w:rPr>
      </w:pPr>
    </w:p>
    <w:p w14:paraId="443DC5F8" w14:textId="590254B2" w:rsidR="003B60FC" w:rsidRPr="00337C95" w:rsidRDefault="003B60FC" w:rsidP="008146AC">
      <w:pPr>
        <w:pStyle w:val="NoSpacing"/>
        <w:rPr>
          <w:rFonts w:ascii="Cambria" w:hAnsi="Cambria"/>
        </w:rPr>
      </w:pPr>
      <w:proofErr w:type="spellStart"/>
      <w:r w:rsidRPr="00337C95">
        <w:rPr>
          <w:rFonts w:ascii="Cambria" w:hAnsi="Cambria"/>
        </w:rPr>
        <w:t>Caciola</w:t>
      </w:r>
      <w:proofErr w:type="spellEnd"/>
      <w:r w:rsidRPr="00337C95">
        <w:rPr>
          <w:rFonts w:ascii="Cambria" w:hAnsi="Cambria"/>
        </w:rPr>
        <w:t>,</w:t>
      </w:r>
      <w:r w:rsidR="003B75BE" w:rsidRPr="00337C95">
        <w:rPr>
          <w:rFonts w:ascii="Cambria" w:hAnsi="Cambria"/>
        </w:rPr>
        <w:t xml:space="preserve"> N.,</w:t>
      </w:r>
      <w:r w:rsidRPr="00337C95">
        <w:rPr>
          <w:rFonts w:ascii="Cambria" w:hAnsi="Cambria"/>
        </w:rPr>
        <w:t xml:space="preserve"> ‘Wraiths, Revenants and Ritual in Medieval Culture’, </w:t>
      </w:r>
      <w:r w:rsidRPr="00337C95">
        <w:rPr>
          <w:rFonts w:ascii="Cambria" w:hAnsi="Cambria"/>
          <w:i/>
        </w:rPr>
        <w:t>Past &amp; Present</w:t>
      </w:r>
      <w:r w:rsidRPr="00337C95">
        <w:rPr>
          <w:rFonts w:ascii="Cambria" w:hAnsi="Cambria"/>
        </w:rPr>
        <w:t>,</w:t>
      </w:r>
      <w:r w:rsidR="008146AC" w:rsidRPr="00337C95">
        <w:rPr>
          <w:rFonts w:ascii="Cambria" w:hAnsi="Cambria"/>
        </w:rPr>
        <w:t xml:space="preserve"> Vol. 152, (</w:t>
      </w:r>
      <w:r w:rsidRPr="00337C95">
        <w:rPr>
          <w:rFonts w:ascii="Cambria" w:hAnsi="Cambria"/>
        </w:rPr>
        <w:t xml:space="preserve">1996), </w:t>
      </w:r>
      <w:r w:rsidR="008146AC" w:rsidRPr="00337C95">
        <w:rPr>
          <w:rFonts w:ascii="Cambria" w:hAnsi="Cambria"/>
        </w:rPr>
        <w:t>pp. 3-45.</w:t>
      </w:r>
    </w:p>
    <w:p w14:paraId="3B848CAC" w14:textId="5B00B77A" w:rsidR="003B60FC" w:rsidRPr="00337C95" w:rsidRDefault="003B60FC" w:rsidP="008146AC">
      <w:pPr>
        <w:pStyle w:val="NoSpacing"/>
        <w:rPr>
          <w:rFonts w:ascii="Cambria" w:hAnsi="Cambria"/>
          <w:b/>
        </w:rPr>
      </w:pPr>
    </w:p>
    <w:p w14:paraId="26C8730F" w14:textId="32FF31D8" w:rsidR="004D4068" w:rsidRPr="00337C95" w:rsidRDefault="004D4068" w:rsidP="004D4068">
      <w:pPr>
        <w:pStyle w:val="NoSpacing"/>
        <w:rPr>
          <w:rFonts w:ascii="Cambria" w:hAnsi="Cambria"/>
        </w:rPr>
      </w:pPr>
      <w:proofErr w:type="spellStart"/>
      <w:r w:rsidRPr="00337C95">
        <w:rPr>
          <w:rFonts w:ascii="Cambria" w:hAnsi="Cambria"/>
        </w:rPr>
        <w:t>Knöll</w:t>
      </w:r>
      <w:proofErr w:type="spellEnd"/>
      <w:r w:rsidRPr="00337C95">
        <w:rPr>
          <w:rFonts w:ascii="Cambria" w:hAnsi="Cambria"/>
        </w:rPr>
        <w:t xml:space="preserve">, </w:t>
      </w:r>
      <w:r w:rsidR="00337C95" w:rsidRPr="00337C95">
        <w:rPr>
          <w:rFonts w:ascii="Cambria" w:hAnsi="Cambria"/>
        </w:rPr>
        <w:t xml:space="preserve">S., and </w:t>
      </w:r>
      <w:proofErr w:type="spellStart"/>
      <w:r w:rsidRPr="00337C95">
        <w:rPr>
          <w:rFonts w:ascii="Cambria" w:hAnsi="Cambria"/>
        </w:rPr>
        <w:t>Oosterwijk</w:t>
      </w:r>
      <w:proofErr w:type="spellEnd"/>
      <w:r w:rsidRPr="00337C95">
        <w:rPr>
          <w:rFonts w:ascii="Cambria" w:hAnsi="Cambria"/>
        </w:rPr>
        <w:t>,</w:t>
      </w:r>
      <w:r w:rsidR="00337C95" w:rsidRPr="00337C95">
        <w:rPr>
          <w:rFonts w:ascii="Cambria" w:hAnsi="Cambria"/>
        </w:rPr>
        <w:t xml:space="preserve"> S.,</w:t>
      </w:r>
      <w:r w:rsidRPr="00337C95">
        <w:rPr>
          <w:rFonts w:ascii="Cambria" w:hAnsi="Cambria"/>
        </w:rPr>
        <w:t xml:space="preserve"> </w:t>
      </w:r>
      <w:r w:rsidRPr="00337C95">
        <w:rPr>
          <w:rFonts w:ascii="Cambria" w:hAnsi="Cambria"/>
          <w:i/>
        </w:rPr>
        <w:t xml:space="preserve">Mixed Metaphors: The </w:t>
      </w:r>
      <w:proofErr w:type="spellStart"/>
      <w:r w:rsidRPr="00337C95">
        <w:rPr>
          <w:rFonts w:ascii="Cambria" w:hAnsi="Cambria"/>
          <w:i/>
        </w:rPr>
        <w:t>Danse</w:t>
      </w:r>
      <w:proofErr w:type="spellEnd"/>
      <w:r w:rsidRPr="00337C95">
        <w:rPr>
          <w:rFonts w:ascii="Cambria" w:hAnsi="Cambria"/>
          <w:i/>
        </w:rPr>
        <w:t xml:space="preserve"> Macabre in Medieval and Early Modern Europe</w:t>
      </w:r>
      <w:r w:rsidRPr="00337C95">
        <w:rPr>
          <w:rFonts w:ascii="Cambria" w:hAnsi="Cambria"/>
        </w:rPr>
        <w:t xml:space="preserve"> (Cambridge: Cambridge Scholars Publishing, 2011).</w:t>
      </w:r>
    </w:p>
    <w:p w14:paraId="6A374CB1" w14:textId="4D51BC98" w:rsidR="004D4068" w:rsidRPr="00337C95" w:rsidRDefault="004D4068" w:rsidP="004D4068">
      <w:pPr>
        <w:pStyle w:val="NoSpacing"/>
        <w:rPr>
          <w:rFonts w:ascii="Cambria" w:hAnsi="Cambria"/>
          <w:b/>
        </w:rPr>
      </w:pPr>
    </w:p>
    <w:p w14:paraId="458BAEB1" w14:textId="47FA033E" w:rsidR="008146AC" w:rsidRPr="00337C95" w:rsidRDefault="008146AC" w:rsidP="008146AC">
      <w:pPr>
        <w:pStyle w:val="NoSpacing"/>
        <w:rPr>
          <w:rFonts w:ascii="Cambria" w:hAnsi="Cambria"/>
        </w:rPr>
      </w:pPr>
      <w:proofErr w:type="spellStart"/>
      <w:r w:rsidRPr="00337C95">
        <w:rPr>
          <w:rFonts w:ascii="Cambria" w:hAnsi="Cambria"/>
        </w:rPr>
        <w:t>Oosterwijk</w:t>
      </w:r>
      <w:proofErr w:type="spellEnd"/>
      <w:r w:rsidRPr="00337C95">
        <w:rPr>
          <w:rFonts w:ascii="Cambria" w:hAnsi="Cambria"/>
        </w:rPr>
        <w:t>,</w:t>
      </w:r>
      <w:r w:rsidRPr="00337C95">
        <w:rPr>
          <w:rFonts w:ascii="Cambria" w:hAnsi="Cambria"/>
        </w:rPr>
        <w:t xml:space="preserve"> S.,</w:t>
      </w:r>
      <w:r w:rsidRPr="00337C95">
        <w:rPr>
          <w:rFonts w:ascii="Cambria" w:hAnsi="Cambria"/>
        </w:rPr>
        <w:t xml:space="preserve"> ‘Of Dead Kings, Dukes and Constables: The Historical Context of the </w:t>
      </w:r>
      <w:proofErr w:type="spellStart"/>
      <w:r w:rsidR="004D4068" w:rsidRPr="00337C95">
        <w:rPr>
          <w:rFonts w:ascii="Cambria" w:hAnsi="Cambria" w:cs="Arial"/>
        </w:rPr>
        <w:t>Danse</w:t>
      </w:r>
      <w:proofErr w:type="spellEnd"/>
      <w:r w:rsidR="004D4068" w:rsidRPr="00337C95">
        <w:rPr>
          <w:rFonts w:ascii="Cambria" w:hAnsi="Cambria" w:cs="Arial"/>
        </w:rPr>
        <w:t xml:space="preserve"> </w:t>
      </w:r>
      <w:r w:rsidRPr="00337C95">
        <w:rPr>
          <w:rFonts w:ascii="Cambria" w:hAnsi="Cambria" w:cs="Arial"/>
        </w:rPr>
        <w:t xml:space="preserve">Macabre </w:t>
      </w:r>
      <w:r w:rsidRPr="00337C95">
        <w:rPr>
          <w:rFonts w:ascii="Cambria" w:hAnsi="Cambria"/>
        </w:rPr>
        <w:t xml:space="preserve">in Late Medieval Paris’, </w:t>
      </w:r>
      <w:r w:rsidRPr="00337C95">
        <w:rPr>
          <w:rFonts w:ascii="Cambria" w:hAnsi="Cambria"/>
          <w:i/>
        </w:rPr>
        <w:t>Journal of the British Archaeological Association</w:t>
      </w:r>
      <w:r w:rsidRPr="00337C95">
        <w:rPr>
          <w:rFonts w:ascii="Cambria" w:hAnsi="Cambria"/>
        </w:rPr>
        <w:t>, vol. 161</w:t>
      </w:r>
      <w:r w:rsidR="004D4068" w:rsidRPr="00337C95">
        <w:rPr>
          <w:rFonts w:ascii="Cambria" w:hAnsi="Cambria"/>
        </w:rPr>
        <w:t>(1)</w:t>
      </w:r>
      <w:r w:rsidRPr="00337C95">
        <w:rPr>
          <w:rFonts w:ascii="Cambria" w:hAnsi="Cambria"/>
        </w:rPr>
        <w:t>, (</w:t>
      </w:r>
      <w:r w:rsidR="004D4068" w:rsidRPr="00337C95">
        <w:rPr>
          <w:rFonts w:ascii="Cambria" w:hAnsi="Cambria"/>
        </w:rPr>
        <w:t>2008)</w:t>
      </w:r>
      <w:r w:rsidRPr="00337C95">
        <w:rPr>
          <w:rFonts w:ascii="Cambria" w:hAnsi="Cambria"/>
        </w:rPr>
        <w:t>, p. 140.</w:t>
      </w:r>
      <w:r w:rsidRPr="00337C95">
        <w:rPr>
          <w:rFonts w:ascii="Cambria" w:hAnsi="Cambria"/>
        </w:rPr>
        <w:t xml:space="preserve"> </w:t>
      </w:r>
    </w:p>
    <w:p w14:paraId="569E3FE6" w14:textId="1E160E1A" w:rsidR="008146AC" w:rsidRDefault="008146AC" w:rsidP="008146AC">
      <w:pPr>
        <w:pStyle w:val="NoSpacing"/>
        <w:rPr>
          <w:rFonts w:ascii="Cambria" w:hAnsi="Cambria"/>
          <w:b/>
        </w:rPr>
      </w:pPr>
    </w:p>
    <w:p w14:paraId="67DC084A" w14:textId="77777777" w:rsidR="004D4068" w:rsidRPr="008146AC" w:rsidRDefault="004D4068">
      <w:pPr>
        <w:pStyle w:val="NoSpacing"/>
        <w:rPr>
          <w:rFonts w:ascii="Cambria" w:hAnsi="Cambria"/>
          <w:b/>
        </w:rPr>
      </w:pPr>
    </w:p>
    <w:sectPr w:rsidR="004D4068" w:rsidRPr="008146AC">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7C1643" w14:textId="77777777" w:rsidR="00207710" w:rsidRDefault="00207710" w:rsidP="00876F1C">
      <w:pPr>
        <w:spacing w:after="0" w:line="240" w:lineRule="auto"/>
      </w:pPr>
      <w:r>
        <w:separator/>
      </w:r>
    </w:p>
  </w:endnote>
  <w:endnote w:type="continuationSeparator" w:id="0">
    <w:p w14:paraId="700DDCBD" w14:textId="77777777" w:rsidR="00207710" w:rsidRDefault="00207710" w:rsidP="00876F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BF17B8" w14:textId="77777777" w:rsidR="00207710" w:rsidRDefault="00207710" w:rsidP="00876F1C">
      <w:pPr>
        <w:spacing w:after="0" w:line="240" w:lineRule="auto"/>
      </w:pPr>
      <w:r>
        <w:separator/>
      </w:r>
    </w:p>
  </w:footnote>
  <w:footnote w:type="continuationSeparator" w:id="0">
    <w:p w14:paraId="0FC950F7" w14:textId="77777777" w:rsidR="00207710" w:rsidRDefault="00207710" w:rsidP="00876F1C">
      <w:pPr>
        <w:spacing w:after="0" w:line="240" w:lineRule="auto"/>
      </w:pPr>
      <w:r>
        <w:continuationSeparator/>
      </w:r>
    </w:p>
  </w:footnote>
  <w:footnote w:id="1">
    <w:p w14:paraId="4730B9B8" w14:textId="1720E8A6" w:rsidR="002554BA" w:rsidRDefault="002554BA">
      <w:pPr>
        <w:pStyle w:val="FootnoteText"/>
      </w:pPr>
      <w:r>
        <w:rPr>
          <w:rStyle w:val="FootnoteReference"/>
        </w:rPr>
        <w:footnoteRef/>
      </w:r>
      <w:r>
        <w:t xml:space="preserve"> </w:t>
      </w:r>
      <w:r w:rsidR="003B75BE" w:rsidRPr="003B75BE">
        <w:rPr>
          <w:rFonts w:ascii="Cambria" w:hAnsi="Cambria"/>
        </w:rPr>
        <w:t xml:space="preserve">Nancy </w:t>
      </w:r>
      <w:proofErr w:type="spellStart"/>
      <w:r w:rsidR="003B75BE" w:rsidRPr="003B75BE">
        <w:rPr>
          <w:rFonts w:ascii="Cambria" w:hAnsi="Cambria"/>
        </w:rPr>
        <w:t>Caciola</w:t>
      </w:r>
      <w:proofErr w:type="spellEnd"/>
      <w:r w:rsidR="003B75BE" w:rsidRPr="003B75BE">
        <w:rPr>
          <w:rFonts w:ascii="Cambria" w:hAnsi="Cambria"/>
        </w:rPr>
        <w:t xml:space="preserve">, ‘Wraiths, Revenants and Ritual in Medieval Culture’, </w:t>
      </w:r>
      <w:r w:rsidR="003B75BE" w:rsidRPr="003B75BE">
        <w:rPr>
          <w:rFonts w:ascii="Cambria" w:hAnsi="Cambria"/>
          <w:i/>
        </w:rPr>
        <w:t>Past &amp; Present</w:t>
      </w:r>
      <w:r w:rsidR="003B75BE" w:rsidRPr="003B75BE">
        <w:rPr>
          <w:rFonts w:ascii="Cambria" w:hAnsi="Cambria"/>
        </w:rPr>
        <w:t>, Vol. 152, (August 1996), p. 2</w:t>
      </w:r>
      <w:r w:rsidR="003B75BE">
        <w:rPr>
          <w:rFonts w:ascii="Cambria" w:hAnsi="Cambria"/>
        </w:rPr>
        <w:t xml:space="preserve">5. </w:t>
      </w:r>
    </w:p>
  </w:footnote>
  <w:footnote w:id="2">
    <w:p w14:paraId="1AD2ECEB" w14:textId="45AAE6DC" w:rsidR="003B60FC" w:rsidRPr="003B75BE" w:rsidRDefault="00795C52" w:rsidP="0000395F">
      <w:pPr>
        <w:pStyle w:val="FootnoteText"/>
        <w:rPr>
          <w:rFonts w:ascii="Cambria" w:hAnsi="Cambria"/>
        </w:rPr>
      </w:pPr>
      <w:r w:rsidRPr="003B75BE">
        <w:rPr>
          <w:rStyle w:val="FootnoteReference"/>
          <w:rFonts w:ascii="Cambria" w:hAnsi="Cambria"/>
        </w:rPr>
        <w:footnoteRef/>
      </w:r>
      <w:r w:rsidR="0000395F" w:rsidRPr="003B75BE">
        <w:rPr>
          <w:rFonts w:ascii="Cambria" w:hAnsi="Cambria"/>
        </w:rPr>
        <w:t xml:space="preserve"> Nancy </w:t>
      </w:r>
      <w:proofErr w:type="spellStart"/>
      <w:r w:rsidR="0000395F" w:rsidRPr="003B75BE">
        <w:rPr>
          <w:rFonts w:ascii="Cambria" w:hAnsi="Cambria"/>
        </w:rPr>
        <w:t>C</w:t>
      </w:r>
      <w:r w:rsidRPr="003B75BE">
        <w:rPr>
          <w:rFonts w:ascii="Cambria" w:hAnsi="Cambria"/>
        </w:rPr>
        <w:t>aciola</w:t>
      </w:r>
      <w:proofErr w:type="spellEnd"/>
      <w:r w:rsidR="003B60FC" w:rsidRPr="003B75BE">
        <w:rPr>
          <w:rFonts w:ascii="Cambria" w:hAnsi="Cambria"/>
        </w:rPr>
        <w:t>, ‘</w:t>
      </w:r>
      <w:r w:rsidR="0000395F" w:rsidRPr="003B75BE">
        <w:rPr>
          <w:rFonts w:ascii="Cambria" w:hAnsi="Cambria"/>
        </w:rPr>
        <w:t>Wraiths, Revenants and Ritual in Medieval Culture</w:t>
      </w:r>
      <w:r w:rsidR="003B60FC" w:rsidRPr="003B75BE">
        <w:rPr>
          <w:rFonts w:ascii="Cambria" w:hAnsi="Cambria"/>
        </w:rPr>
        <w:t xml:space="preserve">’, </w:t>
      </w:r>
      <w:r w:rsidR="0000395F" w:rsidRPr="003B75BE">
        <w:rPr>
          <w:rFonts w:ascii="Cambria" w:hAnsi="Cambria"/>
          <w:i/>
        </w:rPr>
        <w:t>Past &amp; Present</w:t>
      </w:r>
      <w:r w:rsidR="0000395F" w:rsidRPr="003B75BE">
        <w:rPr>
          <w:rFonts w:ascii="Cambria" w:hAnsi="Cambria"/>
        </w:rPr>
        <w:t>,</w:t>
      </w:r>
      <w:r w:rsidR="008146AC">
        <w:rPr>
          <w:rFonts w:ascii="Cambria" w:hAnsi="Cambria"/>
        </w:rPr>
        <w:t xml:space="preserve"> v</w:t>
      </w:r>
      <w:r w:rsidR="003B60FC" w:rsidRPr="003B75BE">
        <w:rPr>
          <w:rFonts w:ascii="Cambria" w:hAnsi="Cambria"/>
        </w:rPr>
        <w:t>ol. 152, (August 1996), p. 26.</w:t>
      </w:r>
    </w:p>
  </w:footnote>
  <w:footnote w:id="3">
    <w:p w14:paraId="7DDBB806" w14:textId="33E261A7" w:rsidR="00BF6259" w:rsidRDefault="00BF6259">
      <w:pPr>
        <w:pStyle w:val="FootnoteText"/>
      </w:pPr>
      <w:r w:rsidRPr="003B75BE">
        <w:rPr>
          <w:rStyle w:val="FootnoteReference"/>
          <w:rFonts w:ascii="Cambria" w:hAnsi="Cambria"/>
        </w:rPr>
        <w:footnoteRef/>
      </w:r>
      <w:r w:rsidRPr="003B75BE">
        <w:rPr>
          <w:rFonts w:ascii="Cambria" w:hAnsi="Cambria"/>
        </w:rPr>
        <w:t xml:space="preserve"> </w:t>
      </w:r>
      <w:r w:rsidR="003B75BE" w:rsidRPr="003B75BE">
        <w:rPr>
          <w:rFonts w:ascii="Cambria" w:hAnsi="Cambria"/>
        </w:rPr>
        <w:t xml:space="preserve">The British Museum, Collection Online (2017) [online] Available: </w:t>
      </w:r>
      <w:hyperlink r:id="rId1" w:history="1">
        <w:r w:rsidR="003B75BE" w:rsidRPr="003B75BE">
          <w:rPr>
            <w:rStyle w:val="Hyperlink"/>
            <w:rFonts w:ascii="Cambria" w:hAnsi="Cambria"/>
          </w:rPr>
          <w:t>www.britishmuseum.org/research/collection_online/search.aspx?searchText=ars+moriendi</w:t>
        </w:r>
      </w:hyperlink>
      <w:r w:rsidR="003B75BE">
        <w:t>.</w:t>
      </w:r>
    </w:p>
  </w:footnote>
  <w:footnote w:id="4">
    <w:p w14:paraId="31FE8E52" w14:textId="292DE453" w:rsidR="004D4068" w:rsidRPr="004D4068" w:rsidRDefault="004D4068" w:rsidP="004D4068">
      <w:pPr>
        <w:pStyle w:val="FootnoteText"/>
        <w:rPr>
          <w:rFonts w:ascii="Cambria" w:hAnsi="Cambria"/>
        </w:rPr>
      </w:pPr>
      <w:r w:rsidRPr="004D4068">
        <w:rPr>
          <w:rStyle w:val="FootnoteReference"/>
          <w:rFonts w:ascii="Cambria" w:hAnsi="Cambria"/>
        </w:rPr>
        <w:footnoteRef/>
      </w:r>
      <w:r w:rsidRPr="004D4068">
        <w:rPr>
          <w:rFonts w:ascii="Cambria" w:hAnsi="Cambria"/>
        </w:rPr>
        <w:t xml:space="preserve"> </w:t>
      </w:r>
      <w:bookmarkStart w:id="0" w:name="_Hlk499847838"/>
      <w:r w:rsidRPr="004D4068">
        <w:rPr>
          <w:rFonts w:ascii="Cambria" w:hAnsi="Cambria"/>
        </w:rPr>
        <w:t xml:space="preserve">Stefanie </w:t>
      </w:r>
      <w:proofErr w:type="spellStart"/>
      <w:r w:rsidRPr="004D4068">
        <w:rPr>
          <w:rFonts w:ascii="Cambria" w:hAnsi="Cambria"/>
        </w:rPr>
        <w:t>Kn</w:t>
      </w:r>
      <w:r w:rsidRPr="004D4068">
        <w:rPr>
          <w:rFonts w:ascii="Cambria" w:hAnsi="Cambria"/>
        </w:rPr>
        <w:t>ö</w:t>
      </w:r>
      <w:r w:rsidRPr="004D4068">
        <w:rPr>
          <w:rFonts w:ascii="Cambria" w:hAnsi="Cambria"/>
        </w:rPr>
        <w:t>ll</w:t>
      </w:r>
      <w:proofErr w:type="spellEnd"/>
      <w:r w:rsidRPr="004D4068">
        <w:rPr>
          <w:rFonts w:ascii="Cambria" w:hAnsi="Cambria"/>
        </w:rPr>
        <w:t xml:space="preserve"> and Sophie </w:t>
      </w:r>
      <w:proofErr w:type="spellStart"/>
      <w:r w:rsidRPr="004D4068">
        <w:rPr>
          <w:rFonts w:ascii="Cambria" w:hAnsi="Cambria"/>
        </w:rPr>
        <w:t>Oosterwijk</w:t>
      </w:r>
      <w:proofErr w:type="spellEnd"/>
      <w:r w:rsidRPr="004D4068">
        <w:rPr>
          <w:rFonts w:ascii="Cambria" w:hAnsi="Cambria"/>
        </w:rPr>
        <w:t xml:space="preserve">, </w:t>
      </w:r>
      <w:r w:rsidRPr="004D4068">
        <w:rPr>
          <w:rFonts w:ascii="Cambria" w:hAnsi="Cambria"/>
        </w:rPr>
        <w:t xml:space="preserve">Mixed Metaphors: The </w:t>
      </w:r>
      <w:proofErr w:type="spellStart"/>
      <w:r w:rsidRPr="004D4068">
        <w:rPr>
          <w:rFonts w:ascii="Cambria" w:hAnsi="Cambria"/>
        </w:rPr>
        <w:t>Danse</w:t>
      </w:r>
      <w:proofErr w:type="spellEnd"/>
      <w:r w:rsidRPr="004D4068">
        <w:rPr>
          <w:rFonts w:ascii="Cambria" w:hAnsi="Cambria"/>
        </w:rPr>
        <w:t xml:space="preserve"> Macabre in M</w:t>
      </w:r>
      <w:r w:rsidRPr="004D4068">
        <w:rPr>
          <w:rFonts w:ascii="Cambria" w:hAnsi="Cambria"/>
        </w:rPr>
        <w:t>e</w:t>
      </w:r>
      <w:r>
        <w:rPr>
          <w:rFonts w:ascii="Cambria" w:hAnsi="Cambria"/>
        </w:rPr>
        <w:t xml:space="preserve">dieval and Early Modern Europe (Cambridge: </w:t>
      </w:r>
      <w:r w:rsidRPr="004D4068">
        <w:rPr>
          <w:rFonts w:ascii="Cambria" w:hAnsi="Cambria"/>
        </w:rPr>
        <w:t>Cambridge Scholars Publishing, 2011</w:t>
      </w:r>
      <w:r>
        <w:rPr>
          <w:rFonts w:ascii="Cambria" w:hAnsi="Cambria"/>
        </w:rPr>
        <w:t>).</w:t>
      </w:r>
      <w:bookmarkEnd w:id="0"/>
    </w:p>
    <w:p w14:paraId="5B977F29" w14:textId="609D0B8F" w:rsidR="004D4068" w:rsidRDefault="004D4068" w:rsidP="004D4068">
      <w:pPr>
        <w:pStyle w:val="FootnoteText"/>
      </w:pPr>
    </w:p>
  </w:footnote>
  <w:footnote w:id="5">
    <w:p w14:paraId="11413C4F" w14:textId="09D193A5" w:rsidR="008146AC" w:rsidRPr="008146AC" w:rsidRDefault="003F5360" w:rsidP="008146AC">
      <w:pPr>
        <w:pStyle w:val="NoSpacing"/>
        <w:rPr>
          <w:rFonts w:ascii="Cambria" w:hAnsi="Cambria"/>
          <w:sz w:val="20"/>
          <w:szCs w:val="20"/>
        </w:rPr>
      </w:pPr>
      <w:r w:rsidRPr="008146AC">
        <w:rPr>
          <w:rStyle w:val="FootnoteReference"/>
          <w:rFonts w:ascii="Cambria" w:hAnsi="Cambria"/>
          <w:sz w:val="20"/>
          <w:szCs w:val="20"/>
        </w:rPr>
        <w:footnoteRef/>
      </w:r>
      <w:r w:rsidRPr="008146AC">
        <w:rPr>
          <w:rFonts w:ascii="Cambria" w:hAnsi="Cambria"/>
          <w:sz w:val="20"/>
          <w:szCs w:val="20"/>
        </w:rPr>
        <w:t xml:space="preserve"> </w:t>
      </w:r>
      <w:r w:rsidR="00D81F60" w:rsidRPr="008146AC">
        <w:rPr>
          <w:rFonts w:ascii="Cambria" w:hAnsi="Cambria"/>
          <w:sz w:val="20"/>
          <w:szCs w:val="20"/>
        </w:rPr>
        <w:t xml:space="preserve">Sophie </w:t>
      </w:r>
      <w:proofErr w:type="spellStart"/>
      <w:r w:rsidR="00D81F60" w:rsidRPr="008146AC">
        <w:rPr>
          <w:rFonts w:ascii="Cambria" w:hAnsi="Cambria"/>
          <w:sz w:val="20"/>
          <w:szCs w:val="20"/>
        </w:rPr>
        <w:t>Oosterwijk</w:t>
      </w:r>
      <w:proofErr w:type="spellEnd"/>
      <w:r w:rsidR="00D81F60" w:rsidRPr="008146AC">
        <w:rPr>
          <w:rFonts w:ascii="Cambria" w:hAnsi="Cambria"/>
          <w:sz w:val="20"/>
          <w:szCs w:val="20"/>
        </w:rPr>
        <w:t xml:space="preserve">, </w:t>
      </w:r>
      <w:r w:rsidR="008146AC" w:rsidRPr="008146AC">
        <w:rPr>
          <w:rFonts w:ascii="Cambria" w:hAnsi="Cambria"/>
          <w:sz w:val="20"/>
          <w:szCs w:val="20"/>
        </w:rPr>
        <w:t>‘</w:t>
      </w:r>
      <w:r w:rsidR="00D81F60" w:rsidRPr="008146AC">
        <w:rPr>
          <w:rFonts w:ascii="Cambria" w:hAnsi="Cambria"/>
          <w:sz w:val="20"/>
          <w:szCs w:val="20"/>
        </w:rPr>
        <w:t xml:space="preserve">Of Dead Kings, Dukes and Constables: The Historical Context of the </w:t>
      </w:r>
      <w:proofErr w:type="spellStart"/>
      <w:r w:rsidR="00D81F60" w:rsidRPr="008146AC">
        <w:rPr>
          <w:rFonts w:ascii="Cambria" w:hAnsi="Cambria" w:cs="Arial"/>
          <w:sz w:val="20"/>
          <w:szCs w:val="20"/>
        </w:rPr>
        <w:t>Danse</w:t>
      </w:r>
      <w:proofErr w:type="spellEnd"/>
      <w:r w:rsidR="00D81F60" w:rsidRPr="008146AC">
        <w:rPr>
          <w:rFonts w:ascii="Cambria" w:hAnsi="Cambria" w:cs="Arial"/>
          <w:sz w:val="20"/>
          <w:szCs w:val="20"/>
        </w:rPr>
        <w:t xml:space="preserve"> Macabre </w:t>
      </w:r>
      <w:r w:rsidR="00D81F60" w:rsidRPr="008146AC">
        <w:rPr>
          <w:rFonts w:ascii="Cambria" w:hAnsi="Cambria"/>
          <w:sz w:val="20"/>
          <w:szCs w:val="20"/>
        </w:rPr>
        <w:t>in Late Medieval Paris</w:t>
      </w:r>
      <w:r w:rsidR="008146AC" w:rsidRPr="008146AC">
        <w:rPr>
          <w:rFonts w:ascii="Cambria" w:hAnsi="Cambria"/>
          <w:sz w:val="20"/>
          <w:szCs w:val="20"/>
        </w:rPr>
        <w:t>’</w:t>
      </w:r>
      <w:r w:rsidR="008146AC">
        <w:rPr>
          <w:rFonts w:ascii="Cambria" w:hAnsi="Cambria"/>
          <w:sz w:val="20"/>
          <w:szCs w:val="20"/>
        </w:rPr>
        <w:t>,</w:t>
      </w:r>
      <w:r w:rsidR="008146AC" w:rsidRPr="008146AC">
        <w:rPr>
          <w:rFonts w:ascii="Cambria" w:hAnsi="Cambria"/>
          <w:sz w:val="20"/>
          <w:szCs w:val="20"/>
        </w:rPr>
        <w:t xml:space="preserve"> </w:t>
      </w:r>
      <w:r w:rsidR="008146AC" w:rsidRPr="008146AC">
        <w:rPr>
          <w:rFonts w:ascii="Cambria" w:hAnsi="Cambria"/>
          <w:i/>
          <w:sz w:val="20"/>
          <w:szCs w:val="20"/>
        </w:rPr>
        <w:t>Journal of the British Archaeological Association</w:t>
      </w:r>
      <w:r w:rsidR="008146AC">
        <w:rPr>
          <w:rFonts w:ascii="Cambria" w:hAnsi="Cambria"/>
          <w:sz w:val="20"/>
          <w:szCs w:val="20"/>
        </w:rPr>
        <w:t>, vol. 161, (2008 - Issue 1)</w:t>
      </w:r>
      <w:r w:rsidR="00D81F60" w:rsidRPr="008146AC">
        <w:rPr>
          <w:rFonts w:ascii="Cambria" w:hAnsi="Cambria"/>
          <w:sz w:val="20"/>
          <w:szCs w:val="20"/>
        </w:rPr>
        <w:t>, p. 140</w:t>
      </w:r>
      <w:r w:rsidR="008146AC">
        <w:rPr>
          <w:rFonts w:ascii="Cambria" w:hAnsi="Cambria"/>
          <w:sz w:val="20"/>
          <w:szCs w:val="20"/>
        </w:rPr>
        <w:t>.</w:t>
      </w:r>
      <w:r w:rsidR="008146AC" w:rsidRPr="008146AC">
        <w:rPr>
          <w:rFonts w:ascii="Cambria" w:hAnsi="Cambria"/>
          <w:sz w:val="20"/>
          <w:szCs w:val="20"/>
        </w:rPr>
        <w:t xml:space="preserve"> </w:t>
      </w:r>
    </w:p>
    <w:p w14:paraId="0DD37C35" w14:textId="23E00F93" w:rsidR="003F5360" w:rsidRPr="00D81F60" w:rsidRDefault="003F5360" w:rsidP="00D81F60">
      <w:pPr>
        <w:pStyle w:val="NoSpacing"/>
        <w:rPr>
          <w:rFonts w:ascii="Cambria" w:hAnsi="Cambria"/>
          <w:lang w:eastAsia="en-GB"/>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C089DD" w14:textId="26004F9A" w:rsidR="000915A4" w:rsidRPr="00876F1C" w:rsidRDefault="000915A4">
    <w:pPr>
      <w:pStyle w:val="Header"/>
      <w:rPr>
        <w:rFonts w:ascii="Cambria" w:hAnsi="Cambria"/>
      </w:rPr>
    </w:pPr>
    <w:r w:rsidRPr="00876F1C">
      <w:rPr>
        <w:rFonts w:ascii="Cambria" w:hAnsi="Cambria"/>
      </w:rPr>
      <w:t>HPHI6002</w:t>
    </w:r>
    <w:r w:rsidRPr="00876F1C">
      <w:rPr>
        <w:rFonts w:ascii="Cambria" w:hAnsi="Cambria"/>
      </w:rPr>
      <w:tab/>
    </w:r>
    <w:r w:rsidRPr="00876F1C">
      <w:rPr>
        <w:rFonts w:ascii="Cambria" w:hAnsi="Cambria"/>
      </w:rPr>
      <w:tab/>
      <w:t>Elizabeth Bosworth - 1500872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630AD9"/>
    <w:multiLevelType w:val="hybridMultilevel"/>
    <w:tmpl w:val="B4D62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97FA0"/>
    <w:multiLevelType w:val="hybridMultilevel"/>
    <w:tmpl w:val="E3C8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D56FF"/>
    <w:multiLevelType w:val="hybridMultilevel"/>
    <w:tmpl w:val="59DEF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6F1C"/>
    <w:rsid w:val="0000395F"/>
    <w:rsid w:val="0002014E"/>
    <w:rsid w:val="00045C00"/>
    <w:rsid w:val="00081EE5"/>
    <w:rsid w:val="00086BB1"/>
    <w:rsid w:val="000915A4"/>
    <w:rsid w:val="000C5CBB"/>
    <w:rsid w:val="00101316"/>
    <w:rsid w:val="00186C53"/>
    <w:rsid w:val="00207710"/>
    <w:rsid w:val="00224994"/>
    <w:rsid w:val="00253A21"/>
    <w:rsid w:val="002554BA"/>
    <w:rsid w:val="002E4234"/>
    <w:rsid w:val="00321B7B"/>
    <w:rsid w:val="003373D1"/>
    <w:rsid w:val="00337C95"/>
    <w:rsid w:val="003A71DA"/>
    <w:rsid w:val="003B60FC"/>
    <w:rsid w:val="003B75BE"/>
    <w:rsid w:val="003F1085"/>
    <w:rsid w:val="003F5360"/>
    <w:rsid w:val="004411AE"/>
    <w:rsid w:val="00483347"/>
    <w:rsid w:val="0048476C"/>
    <w:rsid w:val="004D4068"/>
    <w:rsid w:val="004D659F"/>
    <w:rsid w:val="004F59D9"/>
    <w:rsid w:val="005B239E"/>
    <w:rsid w:val="005B7B4A"/>
    <w:rsid w:val="006063F2"/>
    <w:rsid w:val="006453F2"/>
    <w:rsid w:val="006C2203"/>
    <w:rsid w:val="006F3638"/>
    <w:rsid w:val="006F5C0A"/>
    <w:rsid w:val="00786650"/>
    <w:rsid w:val="00795C52"/>
    <w:rsid w:val="007B07C1"/>
    <w:rsid w:val="008146AC"/>
    <w:rsid w:val="00837CEF"/>
    <w:rsid w:val="00862BBC"/>
    <w:rsid w:val="00874E69"/>
    <w:rsid w:val="00876F1C"/>
    <w:rsid w:val="008C2D68"/>
    <w:rsid w:val="00920F02"/>
    <w:rsid w:val="00946FE3"/>
    <w:rsid w:val="00973DFD"/>
    <w:rsid w:val="009876EF"/>
    <w:rsid w:val="009D66CC"/>
    <w:rsid w:val="009D7BA6"/>
    <w:rsid w:val="00A06628"/>
    <w:rsid w:val="00A35553"/>
    <w:rsid w:val="00B35BE6"/>
    <w:rsid w:val="00B76F74"/>
    <w:rsid w:val="00BA703C"/>
    <w:rsid w:val="00BB660C"/>
    <w:rsid w:val="00BC21F3"/>
    <w:rsid w:val="00BD1EB8"/>
    <w:rsid w:val="00BF3AB2"/>
    <w:rsid w:val="00BF6259"/>
    <w:rsid w:val="00C0587A"/>
    <w:rsid w:val="00C52C43"/>
    <w:rsid w:val="00C5747E"/>
    <w:rsid w:val="00CB70F8"/>
    <w:rsid w:val="00D11756"/>
    <w:rsid w:val="00D70600"/>
    <w:rsid w:val="00D81F60"/>
    <w:rsid w:val="00E17C2B"/>
    <w:rsid w:val="00E50A0A"/>
    <w:rsid w:val="00FC7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AB780"/>
  <w15:chartTrackingRefBased/>
  <w15:docId w15:val="{E3B02A45-D7CB-418B-A2DB-BA5836514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8146A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8146A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F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F1C"/>
  </w:style>
  <w:style w:type="paragraph" w:styleId="Footer">
    <w:name w:val="footer"/>
    <w:basedOn w:val="Normal"/>
    <w:link w:val="FooterChar"/>
    <w:uiPriority w:val="99"/>
    <w:unhideWhenUsed/>
    <w:rsid w:val="00876F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F1C"/>
  </w:style>
  <w:style w:type="paragraph" w:styleId="NoSpacing">
    <w:name w:val="No Spacing"/>
    <w:uiPriority w:val="1"/>
    <w:qFormat/>
    <w:rsid w:val="00876F1C"/>
    <w:pPr>
      <w:spacing w:after="0" w:line="240" w:lineRule="auto"/>
    </w:pPr>
  </w:style>
  <w:style w:type="paragraph" w:styleId="FootnoteText">
    <w:name w:val="footnote text"/>
    <w:basedOn w:val="Normal"/>
    <w:link w:val="FootnoteTextChar"/>
    <w:uiPriority w:val="99"/>
    <w:semiHidden/>
    <w:unhideWhenUsed/>
    <w:rsid w:val="00795C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5C52"/>
    <w:rPr>
      <w:sz w:val="20"/>
      <w:szCs w:val="20"/>
    </w:rPr>
  </w:style>
  <w:style w:type="character" w:styleId="FootnoteReference">
    <w:name w:val="footnote reference"/>
    <w:basedOn w:val="DefaultParagraphFont"/>
    <w:uiPriority w:val="99"/>
    <w:semiHidden/>
    <w:unhideWhenUsed/>
    <w:rsid w:val="00795C52"/>
    <w:rPr>
      <w:vertAlign w:val="superscript"/>
    </w:rPr>
  </w:style>
  <w:style w:type="character" w:styleId="Hyperlink">
    <w:name w:val="Hyperlink"/>
    <w:basedOn w:val="DefaultParagraphFont"/>
    <w:uiPriority w:val="99"/>
    <w:unhideWhenUsed/>
    <w:rsid w:val="003B75BE"/>
    <w:rPr>
      <w:color w:val="0563C1" w:themeColor="hyperlink"/>
      <w:u w:val="single"/>
    </w:rPr>
  </w:style>
  <w:style w:type="character" w:styleId="UnresolvedMention">
    <w:name w:val="Unresolved Mention"/>
    <w:basedOn w:val="DefaultParagraphFont"/>
    <w:uiPriority w:val="99"/>
    <w:semiHidden/>
    <w:unhideWhenUsed/>
    <w:rsid w:val="003B75BE"/>
    <w:rPr>
      <w:color w:val="808080"/>
      <w:shd w:val="clear" w:color="auto" w:fill="E6E6E6"/>
    </w:rPr>
  </w:style>
  <w:style w:type="character" w:customStyle="1" w:styleId="Heading1Char">
    <w:name w:val="Heading 1 Char"/>
    <w:basedOn w:val="DefaultParagraphFont"/>
    <w:link w:val="Heading1"/>
    <w:uiPriority w:val="9"/>
    <w:rsid w:val="008146AC"/>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8146AC"/>
    <w:rPr>
      <w:rFonts w:ascii="Times New Roman" w:eastAsia="Times New Roman" w:hAnsi="Times New Roman" w:cs="Times New Roman"/>
      <w:b/>
      <w:bCs/>
      <w:sz w:val="36"/>
      <w:szCs w:val="36"/>
      <w:lang w:eastAsia="en-GB"/>
    </w:rPr>
  </w:style>
  <w:style w:type="character" w:styleId="FollowedHyperlink">
    <w:name w:val="FollowedHyperlink"/>
    <w:basedOn w:val="DefaultParagraphFont"/>
    <w:uiPriority w:val="99"/>
    <w:semiHidden/>
    <w:unhideWhenUsed/>
    <w:rsid w:val="004D40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892613">
      <w:bodyDiv w:val="1"/>
      <w:marLeft w:val="0"/>
      <w:marRight w:val="0"/>
      <w:marTop w:val="0"/>
      <w:marBottom w:val="0"/>
      <w:divBdr>
        <w:top w:val="none" w:sz="0" w:space="0" w:color="auto"/>
        <w:left w:val="none" w:sz="0" w:space="0" w:color="auto"/>
        <w:bottom w:val="none" w:sz="0" w:space="0" w:color="auto"/>
        <w:right w:val="none" w:sz="0" w:space="0" w:color="auto"/>
      </w:divBdr>
    </w:div>
    <w:div w:id="498817342">
      <w:bodyDiv w:val="1"/>
      <w:marLeft w:val="0"/>
      <w:marRight w:val="0"/>
      <w:marTop w:val="0"/>
      <w:marBottom w:val="0"/>
      <w:divBdr>
        <w:top w:val="none" w:sz="0" w:space="0" w:color="auto"/>
        <w:left w:val="none" w:sz="0" w:space="0" w:color="auto"/>
        <w:bottom w:val="none" w:sz="0" w:space="0" w:color="auto"/>
        <w:right w:val="none" w:sz="0" w:space="0" w:color="auto"/>
      </w:divBdr>
      <w:divsChild>
        <w:div w:id="975179531">
          <w:marLeft w:val="0"/>
          <w:marRight w:val="0"/>
          <w:marTop w:val="0"/>
          <w:marBottom w:val="0"/>
          <w:divBdr>
            <w:top w:val="none" w:sz="0" w:space="0" w:color="auto"/>
            <w:left w:val="none" w:sz="0" w:space="0" w:color="auto"/>
            <w:bottom w:val="none" w:sz="0" w:space="0" w:color="auto"/>
            <w:right w:val="none" w:sz="0" w:space="0" w:color="auto"/>
          </w:divBdr>
        </w:div>
        <w:div w:id="526722772">
          <w:marLeft w:val="0"/>
          <w:marRight w:val="0"/>
          <w:marTop w:val="0"/>
          <w:marBottom w:val="0"/>
          <w:divBdr>
            <w:top w:val="none" w:sz="0" w:space="0" w:color="auto"/>
            <w:left w:val="none" w:sz="0" w:space="0" w:color="auto"/>
            <w:bottom w:val="none" w:sz="0" w:space="0" w:color="auto"/>
            <w:right w:val="none" w:sz="0" w:space="0" w:color="auto"/>
          </w:divBdr>
        </w:div>
        <w:div w:id="362052963">
          <w:marLeft w:val="0"/>
          <w:marRight w:val="0"/>
          <w:marTop w:val="0"/>
          <w:marBottom w:val="0"/>
          <w:divBdr>
            <w:top w:val="none" w:sz="0" w:space="0" w:color="auto"/>
            <w:left w:val="none" w:sz="0" w:space="0" w:color="auto"/>
            <w:bottom w:val="none" w:sz="0" w:space="0" w:color="auto"/>
            <w:right w:val="none" w:sz="0" w:space="0" w:color="auto"/>
          </w:divBdr>
        </w:div>
        <w:div w:id="2071272026">
          <w:marLeft w:val="0"/>
          <w:marRight w:val="0"/>
          <w:marTop w:val="0"/>
          <w:marBottom w:val="0"/>
          <w:divBdr>
            <w:top w:val="none" w:sz="0" w:space="0" w:color="auto"/>
            <w:left w:val="none" w:sz="0" w:space="0" w:color="auto"/>
            <w:bottom w:val="none" w:sz="0" w:space="0" w:color="auto"/>
            <w:right w:val="none" w:sz="0" w:space="0" w:color="auto"/>
          </w:divBdr>
        </w:div>
        <w:div w:id="10573701">
          <w:marLeft w:val="0"/>
          <w:marRight w:val="0"/>
          <w:marTop w:val="0"/>
          <w:marBottom w:val="0"/>
          <w:divBdr>
            <w:top w:val="none" w:sz="0" w:space="0" w:color="auto"/>
            <w:left w:val="none" w:sz="0" w:space="0" w:color="auto"/>
            <w:bottom w:val="none" w:sz="0" w:space="0" w:color="auto"/>
            <w:right w:val="none" w:sz="0" w:space="0" w:color="auto"/>
          </w:divBdr>
        </w:div>
      </w:divsChild>
    </w:div>
    <w:div w:id="1030377687">
      <w:bodyDiv w:val="1"/>
      <w:marLeft w:val="0"/>
      <w:marRight w:val="0"/>
      <w:marTop w:val="0"/>
      <w:marBottom w:val="0"/>
      <w:divBdr>
        <w:top w:val="none" w:sz="0" w:space="0" w:color="auto"/>
        <w:left w:val="none" w:sz="0" w:space="0" w:color="auto"/>
        <w:bottom w:val="none" w:sz="0" w:space="0" w:color="auto"/>
        <w:right w:val="none" w:sz="0" w:space="0" w:color="auto"/>
      </w:divBdr>
    </w:div>
    <w:div w:id="1382628187">
      <w:bodyDiv w:val="1"/>
      <w:marLeft w:val="0"/>
      <w:marRight w:val="0"/>
      <w:marTop w:val="0"/>
      <w:marBottom w:val="0"/>
      <w:divBdr>
        <w:top w:val="none" w:sz="0" w:space="0" w:color="auto"/>
        <w:left w:val="none" w:sz="0" w:space="0" w:color="auto"/>
        <w:bottom w:val="none" w:sz="0" w:space="0" w:color="auto"/>
        <w:right w:val="none" w:sz="0" w:space="0" w:color="auto"/>
      </w:divBdr>
      <w:divsChild>
        <w:div w:id="1304117831">
          <w:marLeft w:val="0"/>
          <w:marRight w:val="0"/>
          <w:marTop w:val="0"/>
          <w:marBottom w:val="0"/>
          <w:divBdr>
            <w:top w:val="none" w:sz="0" w:space="0" w:color="auto"/>
            <w:left w:val="none" w:sz="0" w:space="0" w:color="auto"/>
            <w:bottom w:val="none" w:sz="0" w:space="0" w:color="auto"/>
            <w:right w:val="none" w:sz="0" w:space="0" w:color="auto"/>
          </w:divBdr>
        </w:div>
        <w:div w:id="9807712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britishmuseum.org/research/collection_online/search.aspx?searchText=ars+moriendi"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britishmuseum.org/research/collection_online/search.aspx?searchText=ars+moriend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7D272C-755E-48D7-88F0-851107D49F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555</TotalTime>
  <Pages>4</Pages>
  <Words>904</Words>
  <Characters>5156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Bosworth</dc:creator>
  <cp:keywords/>
  <dc:description/>
  <cp:lastModifiedBy>Libby Bosworth</cp:lastModifiedBy>
  <cp:revision>25</cp:revision>
  <dcterms:created xsi:type="dcterms:W3CDTF">2017-11-28T15:05:00Z</dcterms:created>
  <dcterms:modified xsi:type="dcterms:W3CDTF">2017-11-30T23:29:00Z</dcterms:modified>
</cp:coreProperties>
</file>