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9630C" w:rsidRDefault="002C558D">
      <w:pPr>
        <w:spacing w:after="0" w:line="259" w:lineRule="auto"/>
        <w:ind w:left="0" w:right="0" w:firstLine="0"/>
        <w:jc w:val="center"/>
      </w:pPr>
      <w:r>
        <w:rPr>
          <w:rFonts w:cs="Arial"/>
          <w:b/>
          <w:sz w:val="96"/>
        </w:rPr>
        <w:t xml:space="preserve"> </w:t>
      </w:r>
    </w:p>
    <w:p w:rsidR="00B92899" w:rsidRDefault="00280E94">
      <w:pPr>
        <w:spacing w:after="463" w:line="259" w:lineRule="auto"/>
        <w:ind w:left="726" w:right="0" w:hanging="10"/>
        <w:jc w:val="left"/>
        <w:rPr>
          <w:rFonts w:cs="Arial"/>
          <w:b/>
          <w:i/>
          <w:color w:val="333333"/>
          <w:sz w:val="96"/>
          <w:u w:val="single" w:color="333333"/>
        </w:rPr>
      </w:pPr>
      <w:r>
        <w:rPr>
          <w:rFonts w:cs="Arial"/>
          <w:b/>
          <w:i/>
          <w:color w:val="333333"/>
          <w:sz w:val="96"/>
          <w:u w:val="single" w:color="333333"/>
        </w:rPr>
        <w:t xml:space="preserve">Personnel Resourcing </w:t>
      </w:r>
      <w:r w:rsidR="00B92899">
        <w:rPr>
          <w:rFonts w:cs="Arial"/>
          <w:b/>
          <w:i/>
          <w:color w:val="333333"/>
          <w:sz w:val="96"/>
          <w:u w:val="single" w:color="333333"/>
        </w:rPr>
        <w:t xml:space="preserve">&amp; Development </w:t>
      </w:r>
    </w:p>
    <w:p w:rsidR="00B92899" w:rsidRDefault="00B92899">
      <w:pPr>
        <w:spacing w:after="463" w:line="259" w:lineRule="auto"/>
        <w:ind w:left="726" w:right="0" w:hanging="10"/>
        <w:jc w:val="left"/>
        <w:rPr>
          <w:rFonts w:cs="Arial"/>
          <w:b/>
          <w:i/>
          <w:color w:val="333333"/>
          <w:sz w:val="96"/>
          <w:u w:val="single" w:color="333333"/>
        </w:rPr>
      </w:pPr>
      <w:r>
        <w:rPr>
          <w:rFonts w:cs="Arial"/>
          <w:b/>
          <w:i/>
          <w:color w:val="333333"/>
          <w:sz w:val="96"/>
          <w:u w:val="single" w:color="333333"/>
        </w:rPr>
        <w:t>(BMIH5005</w:t>
      </w:r>
      <w:r w:rsidR="005952DC">
        <w:rPr>
          <w:rFonts w:cs="Arial"/>
          <w:b/>
          <w:i/>
          <w:color w:val="333333"/>
          <w:sz w:val="96"/>
          <w:u w:val="single" w:color="333333"/>
        </w:rPr>
        <w:t>)</w:t>
      </w:r>
    </w:p>
    <w:p w:rsidR="00B92899" w:rsidRDefault="00B92899">
      <w:pPr>
        <w:spacing w:after="463" w:line="259" w:lineRule="auto"/>
        <w:ind w:left="726" w:right="0" w:hanging="10"/>
        <w:jc w:val="left"/>
        <w:rPr>
          <w:rFonts w:cs="Arial"/>
          <w:b/>
          <w:i/>
          <w:color w:val="333333"/>
          <w:sz w:val="96"/>
          <w:u w:val="single" w:color="333333"/>
        </w:rPr>
      </w:pPr>
      <w:r>
        <w:rPr>
          <w:rFonts w:cs="Arial"/>
          <w:b/>
          <w:i/>
          <w:color w:val="333333"/>
          <w:sz w:val="96"/>
          <w:u w:val="single" w:color="333333"/>
        </w:rPr>
        <w:t>Humaun kabir</w:t>
      </w:r>
    </w:p>
    <w:p w:rsidR="00F9630C" w:rsidRDefault="00FA5863">
      <w:pPr>
        <w:spacing w:after="463" w:line="259" w:lineRule="auto"/>
        <w:ind w:left="726" w:right="0" w:hanging="10"/>
        <w:jc w:val="left"/>
      </w:pPr>
      <w:r>
        <w:rPr>
          <w:rFonts w:cs="Arial"/>
          <w:b/>
          <w:i/>
          <w:color w:val="333333"/>
          <w:sz w:val="96"/>
          <w:u w:val="single" w:color="333333"/>
        </w:rPr>
        <w:t xml:space="preserve">Student </w:t>
      </w:r>
      <w:r w:rsidR="005952DC">
        <w:rPr>
          <w:rFonts w:cs="Arial"/>
          <w:b/>
          <w:i/>
          <w:color w:val="333333"/>
          <w:sz w:val="96"/>
          <w:u w:val="single" w:color="333333"/>
        </w:rPr>
        <w:t>No</w:t>
      </w:r>
      <w:r w:rsidR="00B92899">
        <w:rPr>
          <w:rFonts w:cs="Arial"/>
          <w:b/>
          <w:i/>
          <w:color w:val="333333"/>
          <w:sz w:val="96"/>
          <w:u w:val="single" w:color="333333"/>
        </w:rPr>
        <w:t>20</w:t>
      </w:r>
      <w:r w:rsidR="00FD7A10">
        <w:rPr>
          <w:rFonts w:cs="Arial"/>
          <w:b/>
          <w:i/>
          <w:color w:val="333333"/>
          <w:sz w:val="96"/>
          <w:u w:val="single" w:color="333333"/>
        </w:rPr>
        <w:t>19842</w:t>
      </w:r>
      <w:r w:rsidR="002C558D">
        <w:rPr>
          <w:rFonts w:cs="Arial"/>
          <w:b/>
          <w:i/>
          <w:sz w:val="96"/>
        </w:rPr>
        <w:t xml:space="preserve"> </w:t>
      </w:r>
    </w:p>
    <w:p w:rsidR="00F9630C" w:rsidRDefault="002C558D">
      <w:pPr>
        <w:spacing w:after="0" w:line="259" w:lineRule="auto"/>
        <w:ind w:left="0" w:right="0" w:firstLine="0"/>
        <w:jc w:val="right"/>
      </w:pPr>
      <w:r>
        <w:rPr>
          <w:sz w:val="96"/>
        </w:rPr>
        <w:t xml:space="preserve"> </w:t>
      </w:r>
    </w:p>
    <w:p w:rsidR="00F9630C" w:rsidRDefault="002C558D">
      <w:pPr>
        <w:spacing w:after="0" w:line="259" w:lineRule="auto"/>
        <w:ind w:left="0" w:right="0" w:firstLine="0"/>
        <w:jc w:val="right"/>
      </w:pPr>
      <w:r>
        <w:rPr>
          <w:sz w:val="96"/>
        </w:rPr>
        <w:t xml:space="preserve"> </w:t>
      </w:r>
    </w:p>
    <w:p w:rsidR="00F9630C" w:rsidRDefault="002C558D">
      <w:pPr>
        <w:spacing w:after="0" w:line="259" w:lineRule="auto"/>
        <w:ind w:left="0" w:right="67" w:firstLine="0"/>
        <w:jc w:val="center"/>
      </w:pPr>
      <w:r>
        <w:rPr>
          <w:rFonts w:cs="Arial"/>
          <w:b/>
          <w:sz w:val="72"/>
        </w:rPr>
        <w:t xml:space="preserve"> </w:t>
      </w:r>
    </w:p>
    <w:p w:rsidR="00F9630C" w:rsidRDefault="002C558D">
      <w:pPr>
        <w:spacing w:after="378" w:line="259" w:lineRule="auto"/>
        <w:ind w:left="0" w:right="0" w:firstLine="0"/>
        <w:jc w:val="left"/>
      </w:pPr>
      <w:r>
        <w:rPr>
          <w:rFonts w:cs="Arial"/>
          <w:b/>
          <w:sz w:val="28"/>
        </w:rPr>
        <w:t xml:space="preserve"> </w:t>
      </w:r>
    </w:p>
    <w:sdt>
      <w:sdtPr>
        <w:id w:val="-1318269479"/>
        <w:docPartObj>
          <w:docPartGallery w:val="Table of Contents"/>
        </w:docPartObj>
      </w:sdtPr>
      <w:sdtEndPr/>
      <w:sdtContent>
        <w:p w:rsidR="00F9630C" w:rsidRDefault="002C558D">
          <w:pPr>
            <w:spacing w:after="211" w:line="259" w:lineRule="auto"/>
            <w:ind w:left="0" w:right="274" w:firstLine="0"/>
            <w:jc w:val="center"/>
          </w:pPr>
          <w:r>
            <w:rPr>
              <w:rFonts w:cs="Arial"/>
              <w:b/>
              <w:sz w:val="28"/>
            </w:rPr>
            <w:t>Table of Contents</w:t>
          </w:r>
          <w:r>
            <w:rPr>
              <w:rFonts w:ascii="Times New Roman" w:eastAsia="Times New Roman" w:hAnsi="Times New Roman"/>
              <w:b/>
              <w:sz w:val="28"/>
            </w:rPr>
            <w:t xml:space="preserve"> </w:t>
          </w:r>
        </w:p>
        <w:p w:rsidR="00F9630C" w:rsidRDefault="002C558D">
          <w:pPr>
            <w:pStyle w:val="TOC1"/>
            <w:tabs>
              <w:tab w:val="right" w:leader="dot" w:pos="9631"/>
            </w:tabs>
          </w:pPr>
          <w:r>
            <w:fldChar w:fldCharType="begin"/>
          </w:r>
          <w:r>
            <w:instrText xml:space="preserve"> TOC \o "1-1" \h \z \u </w:instrText>
          </w:r>
          <w:r>
            <w:fldChar w:fldCharType="separate"/>
          </w:r>
          <w:hyperlink w:anchor="_Toc8303">
            <w:r>
              <w:t>INTRODUCTION</w:t>
            </w:r>
            <w:r>
              <w:tab/>
            </w:r>
            <w:r>
              <w:fldChar w:fldCharType="begin"/>
            </w:r>
            <w:r>
              <w:instrText>PAGEREF _Toc8303 \h</w:instrText>
            </w:r>
            <w:r>
              <w:fldChar w:fldCharType="separate"/>
            </w:r>
            <w:r>
              <w:t xml:space="preserve">3 </w:t>
            </w:r>
            <w:r>
              <w:fldChar w:fldCharType="end"/>
            </w:r>
          </w:hyperlink>
        </w:p>
        <w:p w:rsidR="00F9630C" w:rsidRDefault="002C558D">
          <w:pPr>
            <w:pStyle w:val="TOC1"/>
            <w:tabs>
              <w:tab w:val="right" w:leader="dot" w:pos="9631"/>
            </w:tabs>
          </w:pPr>
          <w:hyperlink w:anchor="_Toc8304">
            <w:r>
              <w:t>MAIN BODY</w:t>
            </w:r>
            <w:r>
              <w:tab/>
            </w:r>
            <w:r>
              <w:fldChar w:fldCharType="begin"/>
            </w:r>
            <w:r>
              <w:instrText>PAGEREF _Toc8304 \h</w:instrText>
            </w:r>
            <w:r>
              <w:fldChar w:fldCharType="separate"/>
            </w:r>
            <w:r>
              <w:t xml:space="preserve">3 </w:t>
            </w:r>
            <w:r>
              <w:fldChar w:fldCharType="end"/>
            </w:r>
          </w:hyperlink>
        </w:p>
        <w:p w:rsidR="00F9630C" w:rsidRDefault="002C558D">
          <w:pPr>
            <w:pStyle w:val="TOC1"/>
            <w:tabs>
              <w:tab w:val="right" w:leader="dot" w:pos="9631"/>
            </w:tabs>
          </w:pPr>
          <w:hyperlink w:anchor="_Toc8305">
            <w:r>
              <w:t>CONCLUSION</w:t>
            </w:r>
            <w:r>
              <w:tab/>
            </w:r>
            <w:r>
              <w:fldChar w:fldCharType="begin"/>
            </w:r>
            <w:r>
              <w:instrText>PAGEREF _Toc8305 \h</w:instrText>
            </w:r>
            <w:r>
              <w:fldChar w:fldCharType="separate"/>
            </w:r>
            <w:r>
              <w:t xml:space="preserve">9 </w:t>
            </w:r>
            <w:r>
              <w:fldChar w:fldCharType="end"/>
            </w:r>
          </w:hyperlink>
        </w:p>
        <w:p w:rsidR="00F9630C" w:rsidRDefault="002C558D">
          <w:pPr>
            <w:pStyle w:val="TOC1"/>
            <w:tabs>
              <w:tab w:val="right" w:leader="dot" w:pos="9631"/>
            </w:tabs>
          </w:pPr>
          <w:hyperlink w:anchor="_Toc8306">
            <w:r>
              <w:t>REFERENCES</w:t>
            </w:r>
            <w:r>
              <w:tab/>
            </w:r>
            <w:r>
              <w:fldChar w:fldCharType="begin"/>
            </w:r>
            <w:r>
              <w:instrText>PAGEREF _Toc8306 \h</w:instrText>
            </w:r>
            <w:r>
              <w:fldChar w:fldCharType="separate"/>
            </w:r>
            <w:r>
              <w:t xml:space="preserve">10 </w:t>
            </w:r>
            <w:r>
              <w:fldChar w:fldCharType="end"/>
            </w:r>
          </w:hyperlink>
        </w:p>
        <w:p w:rsidR="00F9630C" w:rsidRDefault="002C558D">
          <w:r>
            <w:lastRenderedPageBreak/>
            <w:fldChar w:fldCharType="end"/>
          </w:r>
        </w:p>
      </w:sdtContent>
    </w:sdt>
    <w:p w:rsidR="00F9630C" w:rsidRDefault="002C558D">
      <w:pPr>
        <w:spacing w:after="0" w:line="259" w:lineRule="auto"/>
        <w:ind w:left="0" w:right="0" w:firstLine="0"/>
        <w:jc w:val="left"/>
      </w:pPr>
      <w:r>
        <w:t xml:space="preserve"> </w:t>
      </w:r>
      <w:r>
        <w:br w:type="page"/>
      </w:r>
    </w:p>
    <w:p w:rsidR="00F9630C" w:rsidRDefault="002C558D">
      <w:pPr>
        <w:pStyle w:val="Heading1"/>
        <w:ind w:left="-5" w:right="0"/>
      </w:pPr>
      <w:bookmarkStart w:id="0" w:name="_Toc8303"/>
      <w:r>
        <w:lastRenderedPageBreak/>
        <w:t xml:space="preserve">INTRODUCTION </w:t>
      </w:r>
      <w:bookmarkEnd w:id="0"/>
    </w:p>
    <w:p w:rsidR="00F9630C" w:rsidRDefault="002C558D">
      <w:pPr>
        <w:spacing w:after="150"/>
        <w:ind w:left="0" w:right="255" w:firstLine="0"/>
      </w:pPr>
      <w:r>
        <w:t xml:space="preserve"> </w:t>
      </w:r>
      <w:r>
        <w:t>Human Resource Management is an essential aspect to assist a firm achieve its objectives by adequately managing its prime assets, its employees or human capital. A company is well known by how good and happy its employees are. This makes Human Resource dep</w:t>
      </w:r>
      <w:r>
        <w:t>artment an essential part for the well-being of any type of the company. In this report, Premier Inn belonging to the UK hospitality industry, Whitbread PLC is considered to analyse how employees are kept engaged throughout their lifecycle (Afsar, Al</w:t>
      </w:r>
      <w:r>
        <w:rPr>
          <w:rFonts w:ascii="Cambria Math" w:eastAsia="Cambria Math" w:hAnsi="Cambria Math" w:cs="Cambria Math"/>
        </w:rPr>
        <w:t>‐</w:t>
      </w:r>
      <w:r>
        <w:t>Ghaza</w:t>
      </w:r>
      <w:r>
        <w:t xml:space="preserve">li, and Umrani, 2020). Premier Inn has human capital of over 10,000 people, in around 700 hotels in UK. And its present employee recruitment rate is more than 5% of its existing human capital. </w:t>
      </w:r>
    </w:p>
    <w:p w:rsidR="00F9630C" w:rsidRDefault="002C558D">
      <w:pPr>
        <w:pStyle w:val="Heading1"/>
        <w:ind w:left="-5" w:right="0"/>
      </w:pPr>
      <w:bookmarkStart w:id="1" w:name="_Toc8304"/>
      <w:r>
        <w:t xml:space="preserve">MAIN BODY </w:t>
      </w:r>
      <w:bookmarkEnd w:id="1"/>
    </w:p>
    <w:p w:rsidR="00F9630C" w:rsidRDefault="002C558D">
      <w:pPr>
        <w:ind w:left="0" w:right="255" w:firstLine="0"/>
      </w:pPr>
      <w:r>
        <w:t xml:space="preserve"> Customer service and satisfaction is of utmost imp</w:t>
      </w:r>
      <w:r>
        <w:t>ortance for success of business in hospitality industry. And with this, employees are at the forefront, which makes it crucial as well as critical for HRM to effectively function for employee's satisfaction and retention. As per U.S. Bureau of Labour Stati</w:t>
      </w:r>
      <w:r>
        <w:t>stics, human resource department administer interview and recruitment of the employees. They are a proven interlink between employees and management. In this current challenging job field, HRM must seek to develop a dedicated and skilled talent resource an</w:t>
      </w:r>
      <w:r>
        <w:t xml:space="preserve">d retain them too. </w:t>
      </w:r>
    </w:p>
    <w:p w:rsidR="00F9630C" w:rsidRDefault="002C558D">
      <w:pPr>
        <w:ind w:left="0" w:right="255" w:firstLine="0"/>
      </w:pPr>
      <w:r>
        <w:t>Annual workforce report states that there is existence of employee engagement concerns globally, and in UK, round about only 11% of employee’s experience engaged at their workplace (Arslan, and Roudaki, 2019). With such data, it is evid</w:t>
      </w:r>
      <w:r>
        <w:t>ent why employee engagement needs to be focused upon by HRM. And numerous employee engagement placements, frameworks and articles of research are found even in the hotel industry.  Human Resource in the hotel industry should focus on ensuring effective com</w:t>
      </w:r>
      <w:r>
        <w:t>munications between employee and management, in order to minimize the concerns of misunderstandings and tensions between the two. For effective employee engagement, HRM should work on eradicating information silos to let knowledge be easily accessible. Thi</w:t>
      </w:r>
      <w:r>
        <w:t>s will then ensure specific employees have chance to benefit and learn from the resources, guidance and working circumstances. Leaders should primarily focus around employee's psychological engagement. This can be attained by providing them often recogniti</w:t>
      </w:r>
      <w:r>
        <w:t xml:space="preserve">on, positive environment at workplace and window for personal growth, resulting </w:t>
      </w:r>
      <w:r>
        <w:lastRenderedPageBreak/>
        <w:t>in maximizing their productivity and engagement at work. HRM should have comprehensive understanding of the employer-employee contract to achieve better employee engagement (Tu</w:t>
      </w:r>
      <w:r>
        <w:t xml:space="preserve">rner, and Turner, 2020). This will make sure that employees possess the precise skills, instruments and surroundings to complete their jobs with excellence. Such engaged employees dedicatedly function in achieving both organisational and personal targets. </w:t>
      </w:r>
    </w:p>
    <w:p w:rsidR="00F9630C" w:rsidRDefault="002C558D">
      <w:pPr>
        <w:ind w:left="0" w:right="255" w:firstLine="0"/>
      </w:pPr>
      <w:r>
        <w:t xml:space="preserve"> In case of Premier Inn, HRM function well in keeping their employees engaged which can be evident from its score of 74% in employee engagement (Balwant, Mohammed, and Singh, 2020). They ensure that pay scale of their employees is in accordance to regiona</w:t>
      </w:r>
      <w:r>
        <w:t>l industry rates. They also provide cash bonuses and incentives to employees for enhancing their productivity and keep them motivated. This proves to be of benefit for the hotel to improve and achieve employee satisfaction. HRM of Premier Inn takes full re</w:t>
      </w:r>
      <w:r>
        <w:t>sponsibility to inspect and take necessary actions, if any, against misconduct complaints by employees. They follow policy of non-tolerance towards discrimination (Verčič, 2021). Employees here are enthusiastically involved with the community and participa</w:t>
      </w:r>
      <w:r>
        <w:t xml:space="preserve">te in their initiatives too. In a study too, it was noted that their employees generally catch up once a week outside their work.  </w:t>
      </w:r>
    </w:p>
    <w:p w:rsidR="00F9630C" w:rsidRDefault="002C558D">
      <w:pPr>
        <w:ind w:left="0" w:right="255" w:firstLine="0"/>
      </w:pPr>
      <w:r>
        <w:t xml:space="preserve"> Through employee engagement within hospitality industry, employees will tend to remain in company for a longer time, and th</w:t>
      </w:r>
      <w:r>
        <w:t>us helping company to save costs in replacing them. Engaged employees are considered to be 17% more productive resulting in profitability and durability of the company (Burnett, and Lisk, 2019). Furthermore, with enhanced output, there comes increased comm</w:t>
      </w:r>
      <w:r>
        <w:t>itment from employees such as providing training to new employees and developing effective processes. Such employees are generally in order and focused on accomplishing hotel's goals. As per Gallup, high engagement rate companies tend to show minimal absen</w:t>
      </w:r>
      <w:r>
        <w:t>teeism. This has a positive influence on output and results (Wang, Hsieh, and Wang, 2020). Better employee engagement within hotel industry, results in secure customer service, which converts into increased sales and business. Similarly, higher employee en</w:t>
      </w:r>
      <w:r>
        <w:t xml:space="preserve">gagement, at Premier Inn, is one of the driving factor in its success and achievement. Therefore, Premier Inn has been labelled as one of the UK's finest workplace by Top Employers Institute, which is given on the basis of excellent working conditions for </w:t>
      </w:r>
      <w:r>
        <w:t xml:space="preserve">their employees.  </w:t>
      </w:r>
    </w:p>
    <w:p w:rsidR="00F9630C" w:rsidRDefault="002C558D">
      <w:pPr>
        <w:ind w:left="0" w:right="255" w:firstLine="0"/>
      </w:pPr>
      <w:r>
        <w:lastRenderedPageBreak/>
        <w:t xml:space="preserve"> Every company or hotel should plan or design a model for employee engagement. One such organisational framework is Employee Lifecycle, which describes the stages in the process of their engagement with the company. Here are the stages o</w:t>
      </w:r>
      <w:r>
        <w:t>f Employee Lifecycle:</w:t>
      </w:r>
      <w:r>
        <w:rPr>
          <w:rFonts w:cs="Arial"/>
          <w:b/>
        </w:rPr>
        <w:t xml:space="preserve"> </w:t>
      </w:r>
    </w:p>
    <w:p w:rsidR="00F9630C" w:rsidRDefault="002C558D">
      <w:pPr>
        <w:ind w:left="0" w:right="255" w:firstLine="361"/>
      </w:pPr>
      <w:r>
        <w:rPr>
          <w:rFonts w:cs="Arial"/>
          <w:b/>
        </w:rPr>
        <w:t>Attraction-</w:t>
      </w:r>
      <w:r>
        <w:t xml:space="preserve"> This is a crucial stage where company realises the need of attracting new and fresh talents towards their brand. In this stage, it is shown that how great their company is to work at (Wu, and Wu, 2019). Similarly, Premier</w:t>
      </w:r>
      <w:r>
        <w:t xml:space="preserve"> Inn makes sure to offer attractive compensation and benefits to appeal employees for top level, to be ahead of its competitors.</w:t>
      </w:r>
      <w:r>
        <w:rPr>
          <w:rFonts w:cs="Arial"/>
          <w:b/>
        </w:rPr>
        <w:t xml:space="preserve"> </w:t>
      </w:r>
    </w:p>
    <w:p w:rsidR="00F9630C" w:rsidRDefault="002C558D">
      <w:pPr>
        <w:ind w:left="0" w:right="255" w:firstLine="361"/>
      </w:pPr>
      <w:r>
        <w:rPr>
          <w:rFonts w:cs="Arial"/>
          <w:b/>
        </w:rPr>
        <w:t>Recruitment-</w:t>
      </w:r>
      <w:r>
        <w:t xml:space="preserve"> This is the stage where management hunt for and recruit the best of expertise to be a part of their company. This</w:t>
      </w:r>
      <w:r>
        <w:t xml:space="preserve"> is the process of becoming an employee from applicant. One of the best adopted hiring strategies can be asking referrals from the current employees. For instance, Premier inn provides complete details of their job postings at Zippia platform, where people</w:t>
      </w:r>
      <w:r>
        <w:t xml:space="preserve"> can apply for (Chaudhary, 2019). Individuals also apply on their official website for jobs and are called for interview then.</w:t>
      </w:r>
      <w:r>
        <w:rPr>
          <w:rFonts w:cs="Arial"/>
          <w:b/>
        </w:rPr>
        <w:t xml:space="preserve"> </w:t>
      </w:r>
    </w:p>
    <w:p w:rsidR="00F9630C" w:rsidRDefault="002C558D">
      <w:pPr>
        <w:ind w:left="0" w:right="255" w:firstLine="361"/>
      </w:pPr>
      <w:r>
        <w:rPr>
          <w:rFonts w:cs="Arial"/>
          <w:b/>
        </w:rPr>
        <w:t>On boarding-</w:t>
      </w:r>
      <w:r>
        <w:t xml:space="preserve"> After recruitment, the employees are welcomed and on boarded in the company. This assists to help employees know an</w:t>
      </w:r>
      <w:r>
        <w:t>d get adapted in with its culture. In case of Premier Inn, they have a separate on boarding portal for the ease of employees (Lemon, 2019). They on-board their employees by communicating them with their values and visions and outlining their expectations.</w:t>
      </w:r>
      <w:r>
        <w:rPr>
          <w:rFonts w:cs="Arial"/>
          <w:b/>
        </w:rPr>
        <w:t xml:space="preserve"> </w:t>
      </w:r>
    </w:p>
    <w:p w:rsidR="00F9630C" w:rsidRDefault="002C558D">
      <w:pPr>
        <w:ind w:left="0" w:right="255" w:firstLine="361"/>
      </w:pPr>
      <w:r>
        <w:rPr>
          <w:rFonts w:cs="Arial"/>
          <w:b/>
        </w:rPr>
        <w:t>Development-</w:t>
      </w:r>
      <w:r>
        <w:t xml:space="preserve"> </w:t>
      </w:r>
      <w:r>
        <w:t>This employee development stage is crucial to raise employee's productivity. This helps employees to perform their role effectively. Premier Inn has adopted hybrid working model to ensure the development of their employees with work and personal life balan</w:t>
      </w:r>
      <w:r>
        <w:t xml:space="preserve">ce. They launch training schemes like Force for Good for their employees to help them excel at work (Chen, and Peng, 2021). </w:t>
      </w:r>
      <w:r>
        <w:rPr>
          <w:rFonts w:cs="Arial"/>
          <w:b/>
        </w:rPr>
        <w:t xml:space="preserve"> </w:t>
      </w:r>
    </w:p>
    <w:p w:rsidR="00F9630C" w:rsidRDefault="002C558D">
      <w:pPr>
        <w:ind w:left="0" w:right="255" w:firstLine="361"/>
      </w:pPr>
      <w:r>
        <w:rPr>
          <w:rFonts w:cs="Arial"/>
          <w:b/>
        </w:rPr>
        <w:t>Retention-</w:t>
      </w:r>
      <w:r>
        <w:t xml:space="preserve"> This stage of retention is important for stability in the company. This stage focuses on keeping the employees, especia</w:t>
      </w:r>
      <w:r>
        <w:t>lly at top level, satisfied with their job. This will lead to minimized costs in replacing employees suffered by the company. For Premier Inn, initiatives like holiday leaves and medical insurance are provided to employees. They seek out feedback from thei</w:t>
      </w:r>
      <w:r>
        <w:t>r employees and work on them to motivate their morale, so that they retain in the company for a longer time.</w:t>
      </w:r>
      <w:r>
        <w:rPr>
          <w:rFonts w:cs="Arial"/>
          <w:b/>
        </w:rPr>
        <w:t xml:space="preserve"> </w:t>
      </w:r>
    </w:p>
    <w:p w:rsidR="00F9630C" w:rsidRDefault="002C558D">
      <w:pPr>
        <w:ind w:left="0" w:right="255" w:firstLine="361"/>
      </w:pPr>
      <w:r>
        <w:rPr>
          <w:rFonts w:cs="Arial"/>
          <w:b/>
        </w:rPr>
        <w:lastRenderedPageBreak/>
        <w:t>Separation-</w:t>
      </w:r>
      <w:r>
        <w:t xml:space="preserve"> The last stage of Employee Lifecycle is separation. Due to various reasons like new job, retirement, medical emergency or personal con</w:t>
      </w:r>
      <w:r>
        <w:t>cerns, there comes this separation stage in employee lifecycle. And this is of equal relevance as the other stages. Thus, HRM of Premier Inn makes sure that they recognise the reason for employee's resignation (Johansen, and Sowa, 2019). They conduct an ex</w:t>
      </w:r>
      <w:r>
        <w:t xml:space="preserve">it interview to learn the honest feedback about their company and work on it. </w:t>
      </w:r>
    </w:p>
    <w:p w:rsidR="00F9630C" w:rsidRDefault="002C558D">
      <w:pPr>
        <w:spacing w:after="125" w:line="259" w:lineRule="auto"/>
        <w:ind w:left="0" w:right="0" w:firstLine="0"/>
        <w:jc w:val="left"/>
      </w:pPr>
      <w:r>
        <w:t xml:space="preserve"> </w:t>
      </w:r>
      <w:r>
        <w:tab/>
        <w:t xml:space="preserve"> </w:t>
      </w:r>
    </w:p>
    <w:p w:rsidR="00F9630C" w:rsidRDefault="002C558D">
      <w:pPr>
        <w:ind w:left="0" w:right="255" w:firstLine="0"/>
      </w:pPr>
      <w:r>
        <w:t xml:space="preserve"> Employee engagement model work as a blueprint for understanding and acknowledging that what makes employees more productive and make them feel motivated in their workplace.</w:t>
      </w:r>
      <w:r>
        <w:t xml:space="preserve"> For understanding this management expert have given several employee engagement model. Each model draws the organisational psychology in order to assist the companies in developing their own system for improving the employee’s engagement.  </w:t>
      </w:r>
    </w:p>
    <w:p w:rsidR="00F9630C" w:rsidRDefault="002C558D">
      <w:pPr>
        <w:ind w:left="0" w:right="255" w:firstLine="0"/>
      </w:pPr>
      <w:r>
        <w:t>Here is one em</w:t>
      </w:r>
      <w:r>
        <w:t xml:space="preserve">ployee engagement model and how these model Premier Inn can implement in its organisation. </w:t>
      </w:r>
      <w:r>
        <w:rPr>
          <w:rFonts w:cs="Arial"/>
          <w:b/>
        </w:rPr>
        <w:t xml:space="preserve"> </w:t>
      </w:r>
    </w:p>
    <w:p w:rsidR="00F9630C" w:rsidRDefault="002C558D">
      <w:pPr>
        <w:spacing w:after="125" w:line="259" w:lineRule="auto"/>
        <w:ind w:left="0" w:right="0" w:firstLine="0"/>
        <w:jc w:val="left"/>
      </w:pPr>
      <w:r>
        <w:t xml:space="preserve"> </w:t>
      </w:r>
      <w:r>
        <w:tab/>
        <w:t xml:space="preserve"> </w:t>
      </w:r>
    </w:p>
    <w:p w:rsidR="00F9630C" w:rsidRDefault="002C558D">
      <w:pPr>
        <w:spacing w:after="113" w:line="259" w:lineRule="auto"/>
        <w:ind w:left="0" w:right="0" w:firstLine="0"/>
        <w:jc w:val="left"/>
      </w:pPr>
      <w:r>
        <w:t xml:space="preserve"> </w:t>
      </w:r>
    </w:p>
    <w:p w:rsidR="00F9630C" w:rsidRDefault="002C558D">
      <w:pPr>
        <w:ind w:left="0" w:right="255" w:firstLine="721"/>
      </w:pPr>
      <w:r>
        <w:t>The Zinger model is recognised as the most successful model of employee engagement. This engagement model mainly focuses on 10 essential actions that manager must take in order to engage the employees. This employee engagement model proposed by David Zinge</w:t>
      </w:r>
      <w:r>
        <w:t>r (Kim, and Kim, 2021). This model follows a pyramid shape structure. This engagement model put more emphasizes on that why the employee engagement is more important in an organisation and what are the needs and requirements of the employees. In simple ter</w:t>
      </w:r>
      <w:r>
        <w:t>ms it is all about knowing the wellbeing of the and meaningful work and then working the way up to results. Each building block of this pyramid model. This is a step that must be taken in order to encourage the employee engagement in the working environmen</w:t>
      </w:r>
      <w:r>
        <w:t xml:space="preserve">t of the organisation. </w:t>
      </w:r>
      <w:r>
        <w:rPr>
          <w:rFonts w:cs="Arial"/>
          <w:b/>
        </w:rPr>
        <w:t xml:space="preserve"> </w:t>
      </w:r>
    </w:p>
    <w:p w:rsidR="00F9630C" w:rsidRDefault="002C558D">
      <w:pPr>
        <w:ind w:left="0" w:right="255" w:firstLine="721"/>
      </w:pPr>
      <w:r>
        <w:rPr>
          <w:rFonts w:cs="Arial"/>
          <w:b/>
        </w:rPr>
        <w:t>Bottom Row: The necessities</w:t>
      </w:r>
      <w:r>
        <w:t>- The bottom row of this Zinger pyramid give light on the essential that are required by human as their basic needs and necessities. Premier Inn should follow this pyramid structure and should focus on th</w:t>
      </w:r>
      <w:r>
        <w:t xml:space="preserve">e wellbeing of its employees. This step has several benefits such as it leverages the strengths, make the meaning of work and enliven the energy.  </w:t>
      </w:r>
    </w:p>
    <w:p w:rsidR="00F9630C" w:rsidRDefault="002C558D">
      <w:pPr>
        <w:ind w:left="0" w:right="255" w:firstLine="721"/>
      </w:pPr>
      <w:r>
        <w:rPr>
          <w:rFonts w:cs="Arial"/>
          <w:b/>
        </w:rPr>
        <w:lastRenderedPageBreak/>
        <w:t>Second Row: Uniting the company</w:t>
      </w:r>
      <w:r>
        <w:t>- The second row of this pyramid structure works as in uniting the company. I</w:t>
      </w:r>
      <w:r>
        <w:t>n this row pyramid builds on the essential requirements to connect with the individuals with larger organisation (Mani, and Mishra, 2020). Premier Inn should try to build the healthier relationships among its employees via giving several tasks and activiti</w:t>
      </w:r>
      <w:r>
        <w:t xml:space="preserve">es, give emphasis on master moments, foster recognition etc. Doing these tasks by management of Premier Inn increase the employee engagement in the organisation.  </w:t>
      </w:r>
    </w:p>
    <w:p w:rsidR="00F9630C" w:rsidRDefault="002C558D">
      <w:pPr>
        <w:ind w:left="0" w:right="255" w:firstLine="721"/>
      </w:pPr>
      <w:r>
        <w:rPr>
          <w:rFonts w:cs="Arial"/>
          <w:b/>
        </w:rPr>
        <w:t xml:space="preserve">Third Row: Boosting performance- </w:t>
      </w:r>
      <w:r>
        <w:t>The third row of this pyramid structure model turns buildin</w:t>
      </w:r>
      <w:r>
        <w:t>g blocks of the individual and communal engagement into the practical ways to reach the results. In this step Premier Inn should focus on the analysing and tracking the progress on organisation in its hotel with a aim of maximizing the performance (MM, 202</w:t>
      </w:r>
      <w:r>
        <w:t xml:space="preserve">1). In order to increase the productivity of employees and maximizing the performance Premier Inn should elaborate the task to its employees and tell them the reason and objective behind their tasks that they are performing.  </w:t>
      </w:r>
    </w:p>
    <w:p w:rsidR="00F9630C" w:rsidRDefault="002C558D">
      <w:pPr>
        <w:ind w:left="0" w:right="255" w:firstLine="721"/>
      </w:pPr>
      <w:r>
        <w:rPr>
          <w:rFonts w:cs="Arial"/>
          <w:b/>
        </w:rPr>
        <w:t>Top of the pyramid: Achieving</w:t>
      </w:r>
      <w:r>
        <w:rPr>
          <w:rFonts w:cs="Arial"/>
          <w:b/>
        </w:rPr>
        <w:t xml:space="preserve"> results</w:t>
      </w:r>
      <w:r>
        <w:t>- This is the final row of pyramid structure model. This is the end of the goal of employee engagement initiatives, engaged employees contribute more to their work and enhance their profitability and as well as profitability (Raza, and et. al., 202</w:t>
      </w:r>
      <w:r>
        <w:t xml:space="preserve">1). So, Premier should ensure that employees achieve the results and organisation should clearly define the strategic engagement.  </w:t>
      </w:r>
    </w:p>
    <w:p w:rsidR="00F9630C" w:rsidRDefault="002C558D">
      <w:pPr>
        <w:ind w:left="0" w:right="255" w:firstLine="0"/>
      </w:pPr>
      <w:r>
        <w:t xml:space="preserve"> Premier Inn, through WINcard, which is its performance management tool, analyses and supervises their employees and recogni</w:t>
      </w:r>
      <w:r>
        <w:t xml:space="preserve">se it by giving them incentives accordingly (Rodrigues da Costa, and Maria Correia Loureiro, 2019). An engagement survey is conducted too in this hotel annually, where awards are presented as per team and individual achievements. They have also introduced </w:t>
      </w:r>
      <w:r>
        <w:t>Employee Value Proposition plan as a part of employee engagement initiative. Following are few other instances from hotel industry for employee engagement. Companies like Starbucks provide method and initiatives for career progression of their employees (S</w:t>
      </w:r>
      <w:r>
        <w:t>aks, 2022). Hilton believes that investing for positive employee experience is one of the productive investments, which ensures increased profitability and growth of the hotel. HRM at Hilton also train their employees on social and environmental responsibi</w:t>
      </w:r>
      <w:r>
        <w:t xml:space="preserve">lities as part of their ESG strategy, in order to be supportive in their careers and personal growth (Santhanam, and Srinivas, </w:t>
      </w:r>
      <w:r>
        <w:lastRenderedPageBreak/>
        <w:t>2019). Tesla Inc., was worked up by the increased instances of accidents at its assembly plant of Fremont car, adopted and follow</w:t>
      </w:r>
      <w:r>
        <w:t>ed more clear communication as its employee engagement strategy to improve and refurbish safety (Sharma, and Kumra, 2020). This was done by notifying employees to report about the injuries in detail to the management, in order to take precautionary measure</w:t>
      </w:r>
      <w:r>
        <w:t xml:space="preserve">s to avoid them from happening again in the future.  </w:t>
      </w:r>
      <w:r>
        <w:br w:type="page"/>
      </w:r>
    </w:p>
    <w:p w:rsidR="00F9630C" w:rsidRDefault="002C558D">
      <w:pPr>
        <w:spacing w:after="272" w:line="259" w:lineRule="auto"/>
        <w:ind w:left="0" w:right="0" w:firstLine="0"/>
        <w:jc w:val="left"/>
      </w:pPr>
      <w:r>
        <w:lastRenderedPageBreak/>
        <w:t xml:space="preserve"> </w:t>
      </w:r>
    </w:p>
    <w:p w:rsidR="00F9630C" w:rsidRDefault="002C558D">
      <w:pPr>
        <w:pStyle w:val="Heading1"/>
        <w:ind w:left="-5" w:right="0"/>
      </w:pPr>
      <w:bookmarkStart w:id="2" w:name="_Toc8305"/>
      <w:r>
        <w:t xml:space="preserve">CONCLUSION </w:t>
      </w:r>
      <w:bookmarkEnd w:id="2"/>
    </w:p>
    <w:p w:rsidR="00F9630C" w:rsidRDefault="002C558D">
      <w:pPr>
        <w:ind w:left="0" w:right="255" w:firstLine="0"/>
      </w:pPr>
      <w:r>
        <w:rPr>
          <w:rFonts w:cs="Arial"/>
          <w:b/>
        </w:rPr>
        <w:t xml:space="preserve"> </w:t>
      </w:r>
      <w:r>
        <w:t>From the above information, it can be concluded that engaging employees throughout their lifecycle is a critical yet crucial process for success and longevity of the business. Engaged em</w:t>
      </w:r>
      <w:r>
        <w:t>ployees are considered as true asset of the company. Effective engagement can be attained through smooth communication, recognition of achievement, focusing on personal career growth and others. Effective employee engagement results in increased productivi</w:t>
      </w:r>
      <w:r>
        <w:t>ty of employees, thus helping company to achieve its goals. When the human capital directs their effort and energy in appropriate way, it then positively affects business outcomes. This challenging task can be achieved through support from and efforts of H</w:t>
      </w:r>
      <w:r>
        <w:t xml:space="preserve">uman Resource Management team. This helps firm to keep employees motivated and entitled with sense of organisational responsibility, </w:t>
      </w:r>
      <w:r>
        <w:rPr>
          <w:rFonts w:cs="Arial"/>
          <w:b/>
        </w:rPr>
        <w:t xml:space="preserve"> </w:t>
      </w:r>
    </w:p>
    <w:p w:rsidR="00F9630C" w:rsidRDefault="002C558D">
      <w:pPr>
        <w:spacing w:after="117" w:line="259" w:lineRule="auto"/>
        <w:ind w:left="0" w:right="0" w:firstLine="0"/>
        <w:jc w:val="left"/>
      </w:pPr>
      <w:r>
        <w:rPr>
          <w:rFonts w:cs="Arial"/>
          <w:b/>
        </w:rPr>
        <w:t xml:space="preserve"> </w:t>
      </w:r>
    </w:p>
    <w:p w:rsidR="00F9630C" w:rsidRDefault="002C558D">
      <w:pPr>
        <w:spacing w:after="272" w:line="259" w:lineRule="auto"/>
        <w:ind w:left="0" w:right="0" w:firstLine="0"/>
        <w:jc w:val="left"/>
      </w:pPr>
      <w:r>
        <w:rPr>
          <w:rFonts w:cs="Arial"/>
          <w:b/>
        </w:rPr>
        <w:t xml:space="preserve"> </w:t>
      </w:r>
    </w:p>
    <w:p w:rsidR="00F9630C" w:rsidRDefault="002C558D">
      <w:pPr>
        <w:spacing w:after="0" w:line="259" w:lineRule="auto"/>
        <w:ind w:left="0" w:right="0" w:firstLine="0"/>
        <w:jc w:val="left"/>
      </w:pPr>
      <w:r>
        <w:rPr>
          <w:sz w:val="28"/>
        </w:rPr>
        <w:t xml:space="preserve"> </w:t>
      </w:r>
      <w:r>
        <w:br w:type="page"/>
      </w:r>
    </w:p>
    <w:p w:rsidR="00F9630C" w:rsidRDefault="002C558D">
      <w:pPr>
        <w:pStyle w:val="Heading1"/>
        <w:ind w:left="-5" w:right="0"/>
      </w:pPr>
      <w:bookmarkStart w:id="3" w:name="_Toc8306"/>
      <w:r>
        <w:lastRenderedPageBreak/>
        <w:t xml:space="preserve">REFERENCES </w:t>
      </w:r>
      <w:bookmarkEnd w:id="3"/>
    </w:p>
    <w:p w:rsidR="00F9630C" w:rsidRDefault="002C558D">
      <w:pPr>
        <w:pStyle w:val="Heading2"/>
      </w:pPr>
      <w:r>
        <w:t>Books and Journals</w:t>
      </w:r>
      <w:r>
        <w:rPr>
          <w:u w:val="none"/>
        </w:rPr>
        <w:t xml:space="preserve"> </w:t>
      </w:r>
    </w:p>
    <w:p w:rsidR="00F9630C" w:rsidRDefault="002C558D">
      <w:pPr>
        <w:spacing w:after="117" w:line="259" w:lineRule="auto"/>
        <w:ind w:left="15" w:right="0" w:firstLine="0"/>
        <w:jc w:val="left"/>
      </w:pPr>
      <w:r>
        <w:t xml:space="preserve"> </w:t>
      </w:r>
    </w:p>
    <w:p w:rsidR="00F9630C" w:rsidRDefault="002C558D">
      <w:pPr>
        <w:spacing w:line="242" w:lineRule="auto"/>
        <w:ind w:right="255"/>
      </w:pPr>
      <w:r>
        <w:t>Afsar, B., Al</w:t>
      </w:r>
      <w:r>
        <w:rPr>
          <w:rFonts w:ascii="Cambria Math" w:eastAsia="Cambria Math" w:hAnsi="Cambria Math" w:cs="Cambria Math"/>
        </w:rPr>
        <w:t>‐</w:t>
      </w:r>
      <w:r>
        <w:t>Ghazali, B. and Umrani, W., (2020) Retracted: Corporate social responsibility, work meaningfulness, and employee engagement: The joint moderating effects of incremental moral belief and moral identity centrality. Corporate Social Responsibility and Environ</w:t>
      </w:r>
      <w:r>
        <w:t xml:space="preserve">mental Management, 27(3), pp.1264-1278. </w:t>
      </w:r>
    </w:p>
    <w:p w:rsidR="00F9630C" w:rsidRDefault="002C558D">
      <w:pPr>
        <w:spacing w:line="241" w:lineRule="auto"/>
        <w:ind w:right="255"/>
      </w:pPr>
      <w:r>
        <w:t>Arslan, M. and Roudaki, J., (2019) Examining the role of employee engagement in the relationship between organisational cynicism and employee performance. International Journal of Sociology and Social Policy, 39(1/2</w:t>
      </w:r>
      <w:r>
        <w:t xml:space="preserve">), pp.118-137. </w:t>
      </w:r>
    </w:p>
    <w:p w:rsidR="00F9630C" w:rsidRDefault="002C558D">
      <w:pPr>
        <w:spacing w:after="4" w:line="247" w:lineRule="auto"/>
        <w:ind w:right="18"/>
        <w:jc w:val="left"/>
      </w:pPr>
      <w:r>
        <w:t xml:space="preserve">Balwant, P.T., Mohammed, R. and Singh, R., (2020) Transformational leadership and employee engagement in Trinidad’s service sector: The role of job resources. International Journal of Emerging Markets, 15(4), pp.691-715. </w:t>
      </w:r>
    </w:p>
    <w:p w:rsidR="00F9630C" w:rsidRDefault="002C558D">
      <w:pPr>
        <w:spacing w:line="239" w:lineRule="auto"/>
        <w:ind w:right="255"/>
      </w:pPr>
      <w:r>
        <w:t xml:space="preserve">Burnett, J.R. and </w:t>
      </w:r>
      <w:r>
        <w:t xml:space="preserve">Lisk, T.C., (2019) The future of employee engagement: Real-time monitoring and digital tools for engaging a workforce. International Studies of Management &amp; Organization, 49(1), pp.108-119. </w:t>
      </w:r>
    </w:p>
    <w:p w:rsidR="00F9630C" w:rsidRDefault="002C558D">
      <w:pPr>
        <w:spacing w:line="241" w:lineRule="auto"/>
        <w:ind w:right="255"/>
      </w:pPr>
      <w:r>
        <w:t>Chaudhary, R., (2019) Corporate social responsibility perceptions</w:t>
      </w:r>
      <w:r>
        <w:t xml:space="preserve"> and employee engagement: role of psychological meaningfulness, safety and availability. Corporate Governance: The International Journal of Business in Society, 19(4), pp.631-647. </w:t>
      </w:r>
    </w:p>
    <w:p w:rsidR="00F9630C" w:rsidRDefault="002C558D">
      <w:pPr>
        <w:spacing w:line="239" w:lineRule="auto"/>
        <w:ind w:right="255"/>
      </w:pPr>
      <w:r>
        <w:t>Chen, S.W. and Peng, J.C., (2021) Determinants of frontline employee engage</w:t>
      </w:r>
      <w:r>
        <w:t xml:space="preserve">ment and their influence on service performance. The International Journal of Human Resource Management, 32(5), pp.1062-1085. </w:t>
      </w:r>
    </w:p>
    <w:p w:rsidR="00F9630C" w:rsidRDefault="002C558D">
      <w:pPr>
        <w:spacing w:line="239" w:lineRule="auto"/>
        <w:ind w:right="255"/>
      </w:pPr>
      <w:r>
        <w:t>Johansen, M.S. and Sowa, J.E., (2019) Human resource management, employee engagement, and nonprofit hospital performance. Nonprof</w:t>
      </w:r>
      <w:r>
        <w:t xml:space="preserve">it Management and Leadership, 29(4), pp.549-567. </w:t>
      </w:r>
    </w:p>
    <w:p w:rsidR="00F9630C" w:rsidRDefault="002C558D">
      <w:pPr>
        <w:spacing w:after="4" w:line="247" w:lineRule="auto"/>
        <w:ind w:right="18"/>
        <w:jc w:val="left"/>
      </w:pPr>
      <w:r>
        <w:t xml:space="preserve">Kim, M. and Kim, J., (2021) Corporate social responsibility, employee engagement, wellbeing and the task performance of frontline employees. Management Decision, 59(8), pp.2040-2056. </w:t>
      </w:r>
    </w:p>
    <w:p w:rsidR="00F9630C" w:rsidRDefault="002C558D">
      <w:pPr>
        <w:spacing w:line="239" w:lineRule="auto"/>
        <w:ind w:right="255"/>
      </w:pPr>
      <w:r>
        <w:t>Lemon, L.L., (2019) Th</w:t>
      </w:r>
      <w:r>
        <w:t xml:space="preserve">e employee experience: How employees make meaning of employee engagement. Journal of Public Relations Research, 31(5-6), pp.176199. </w:t>
      </w:r>
    </w:p>
    <w:p w:rsidR="00F9630C" w:rsidRDefault="002C558D">
      <w:pPr>
        <w:spacing w:after="4" w:line="247" w:lineRule="auto"/>
        <w:ind w:right="18"/>
        <w:jc w:val="left"/>
      </w:pPr>
      <w:r>
        <w:t>Mani, S. and Mishra, M., (2020) Non-monetary levers to enhance employee engagement in organizations–“GREAT” model of motiva</w:t>
      </w:r>
      <w:r>
        <w:t xml:space="preserve">tion during the Covid-19 crisis. Strategic HR Review, 19(4), pp.171-175. </w:t>
      </w:r>
    </w:p>
    <w:p w:rsidR="00F9630C" w:rsidRDefault="002C558D">
      <w:pPr>
        <w:spacing w:after="4" w:line="247" w:lineRule="auto"/>
        <w:ind w:right="18"/>
        <w:jc w:val="left"/>
      </w:pPr>
      <w:r>
        <w:t>MM, S., (2021) Influence of empowerment, psychological contract and employee engagement on voluntary turnover intentions. International Journal of Productivity and Performance Manage</w:t>
      </w:r>
      <w:r>
        <w:t xml:space="preserve">ment, 70(2), pp.325-349. </w:t>
      </w:r>
    </w:p>
    <w:p w:rsidR="00F9630C" w:rsidRDefault="002C558D">
      <w:pPr>
        <w:spacing w:line="243" w:lineRule="auto"/>
        <w:ind w:right="255"/>
      </w:pPr>
      <w:r>
        <w:t>Raza, A., and et. al., (2021) Corporate social responsibility and employees' voluntary proenvironmental behavior: The role of organizational pride and employee engagement. Corporate Social Responsibility and Environmental Manageme</w:t>
      </w:r>
      <w:r>
        <w:t xml:space="preserve">nt, 28(3), pp.1104-1116. </w:t>
      </w:r>
    </w:p>
    <w:p w:rsidR="00F9630C" w:rsidRDefault="002C558D">
      <w:pPr>
        <w:spacing w:line="250" w:lineRule="auto"/>
        <w:ind w:right="255"/>
      </w:pPr>
      <w:r>
        <w:lastRenderedPageBreak/>
        <w:t xml:space="preserve">Rodrigues da Costa, L. and Maria Correia Loureiro, S., (2019) The importance of employees’ engagement on the organizational success. Journal of Promotion Management, 25(3), pp.328-336. </w:t>
      </w:r>
    </w:p>
    <w:p w:rsidR="00F9630C" w:rsidRDefault="002C558D">
      <w:pPr>
        <w:spacing w:after="0" w:line="246" w:lineRule="auto"/>
        <w:ind w:left="0" w:right="0" w:firstLine="0"/>
        <w:jc w:val="center"/>
      </w:pPr>
      <w:r>
        <w:t xml:space="preserve">Saks, </w:t>
      </w:r>
      <w:r>
        <w:tab/>
        <w:t xml:space="preserve">A.M., </w:t>
      </w:r>
      <w:r>
        <w:tab/>
        <w:t xml:space="preserve">(2022) </w:t>
      </w:r>
      <w:r>
        <w:tab/>
        <w:t xml:space="preserve">Caring human </w:t>
      </w:r>
      <w:r>
        <w:tab/>
        <w:t xml:space="preserve">resources </w:t>
      </w:r>
      <w:r>
        <w:tab/>
        <w:t xml:space="preserve">management </w:t>
      </w:r>
      <w:r>
        <w:tab/>
        <w:t xml:space="preserve">and </w:t>
      </w:r>
      <w:r>
        <w:tab/>
        <w:t xml:space="preserve">employee engagement. Human Resource Management Review, 32(3), p.100835. </w:t>
      </w:r>
    </w:p>
    <w:p w:rsidR="00F9630C" w:rsidRDefault="002C558D">
      <w:pPr>
        <w:spacing w:line="241" w:lineRule="auto"/>
        <w:ind w:right="255"/>
      </w:pPr>
      <w:r>
        <w:t>Santhanam, N. and Srinivas, S., (2019) Modeling the impact of employee engagement and happiness on burnout and turnover</w:t>
      </w:r>
      <w:r>
        <w:t xml:space="preserve"> intention among blue-collar workers at a manufacturing company. Benchmarking: An International Journal, 27(2), pp.499516. </w:t>
      </w:r>
    </w:p>
    <w:p w:rsidR="00F9630C" w:rsidRDefault="002C558D">
      <w:pPr>
        <w:spacing w:after="4" w:line="247" w:lineRule="auto"/>
        <w:ind w:right="18"/>
        <w:jc w:val="left"/>
      </w:pPr>
      <w:r>
        <w:t xml:space="preserve">Sharma, P.K. and Kumra, R., (2020) Relationship between workplace spirituality, organizational justice and mental health: mediation </w:t>
      </w:r>
      <w:r>
        <w:t xml:space="preserve">role of employee engagement. Journal of Advances in Management Research, 17(5), pp.627-650. </w:t>
      </w:r>
    </w:p>
    <w:p w:rsidR="00F9630C" w:rsidRDefault="002C558D">
      <w:pPr>
        <w:spacing w:line="243" w:lineRule="auto"/>
        <w:ind w:right="255"/>
      </w:pPr>
      <w:r>
        <w:t xml:space="preserve">Turner, P. and Turner, P., (2020) What Is Employee Engagement? (pp. 27-56). Springer International Publishing. </w:t>
      </w:r>
    </w:p>
    <w:p w:rsidR="00F9630C" w:rsidRDefault="002C558D">
      <w:pPr>
        <w:spacing w:line="239" w:lineRule="auto"/>
        <w:ind w:right="255"/>
      </w:pPr>
      <w:r>
        <w:t>Verčič, A.T., (2021) The impact of employee engagem</w:t>
      </w:r>
      <w:r>
        <w:t xml:space="preserve">ent, organisational support and employer branding on internal communication satisfaction. Public Relations Review, 47(1), p.102009. </w:t>
      </w:r>
    </w:p>
    <w:p w:rsidR="00F9630C" w:rsidRDefault="002C558D">
      <w:pPr>
        <w:spacing w:after="4" w:line="247" w:lineRule="auto"/>
        <w:ind w:right="18"/>
        <w:jc w:val="left"/>
      </w:pPr>
      <w:r>
        <w:t xml:space="preserve">Wang, C.C., Hsieh, H.H. and Wang, Y.D., (2020) Abusive supervision and employee engagement </w:t>
      </w:r>
      <w:r>
        <w:tab/>
        <w:t xml:space="preserve">a9.7nd </w:t>
      </w:r>
      <w:r>
        <w:tab/>
        <w:t xml:space="preserve">satisfaction: </w:t>
      </w:r>
      <w:r>
        <w:tab/>
        <w:t xml:space="preserve">the </w:t>
      </w:r>
      <w:r>
        <w:tab/>
        <w:t>med</w:t>
      </w:r>
      <w:r>
        <w:t xml:space="preserve">iating </w:t>
      </w:r>
      <w:r>
        <w:tab/>
        <w:t xml:space="preserve">role </w:t>
      </w:r>
      <w:r>
        <w:tab/>
        <w:t xml:space="preserve">of </w:t>
      </w:r>
      <w:r>
        <w:tab/>
        <w:t xml:space="preserve">employee silence. Personnel Review. </w:t>
      </w:r>
    </w:p>
    <w:p w:rsidR="00F9630C" w:rsidRDefault="002C558D">
      <w:pPr>
        <w:spacing w:line="239" w:lineRule="auto"/>
        <w:ind w:right="255"/>
      </w:pPr>
      <w:r>
        <w:t>Wu, T.J. and Wu, Y.J., (2019) Innovative work behaviors, employee engagement, and surface acting: a delineation of supervisor-employee emotional contagion effects. Management Decision, 57(11), pp.3200-</w:t>
      </w:r>
      <w:r>
        <w:t xml:space="preserve">3216. </w:t>
      </w:r>
    </w:p>
    <w:p w:rsidR="00F9630C" w:rsidRDefault="002C558D">
      <w:pPr>
        <w:spacing w:after="0" w:line="259" w:lineRule="auto"/>
        <w:ind w:left="15" w:right="0" w:firstLine="0"/>
        <w:jc w:val="left"/>
      </w:pPr>
      <w:r>
        <w:t xml:space="preserve"> </w:t>
      </w:r>
    </w:p>
    <w:sectPr w:rsidR="00F9630C">
      <w:pgSz w:w="12240" w:h="15840"/>
      <w:pgMar w:top="1448" w:right="1169" w:bottom="1440"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30C"/>
    <w:rsid w:val="00280E94"/>
    <w:rsid w:val="002C558D"/>
    <w:rsid w:val="005952DC"/>
    <w:rsid w:val="006A27A7"/>
    <w:rsid w:val="00B92899"/>
    <w:rsid w:val="00F9630C"/>
    <w:rsid w:val="00FA5863"/>
    <w:rsid w:val="00FD7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567094"/>
  <w15:docId w15:val="{6A3EAFEC-FBE1-7C4B-8182-FD7BAAECF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1" w:lineRule="auto"/>
      <w:ind w:left="851" w:right="266" w:hanging="851"/>
      <w:jc w:val="both"/>
    </w:pPr>
    <w:rPr>
      <w:rFonts w:ascii="Arial" w:eastAsia="Arial" w:hAnsi="Arial" w:cs="Times New Roman"/>
      <w:color w:val="000000"/>
      <w:sz w:val="24"/>
      <w:lang w:val="en" w:eastAsia="en"/>
    </w:rPr>
  </w:style>
  <w:style w:type="paragraph" w:styleId="Heading1">
    <w:name w:val="heading 1"/>
    <w:next w:val="Normal"/>
    <w:link w:val="Heading1Char"/>
    <w:uiPriority w:val="9"/>
    <w:qFormat/>
    <w:pPr>
      <w:keepNext/>
      <w:keepLines/>
      <w:spacing w:after="95"/>
      <w:ind w:left="10" w:right="274" w:hanging="10"/>
      <w:outlineLvl w:val="0"/>
    </w:pPr>
    <w:rPr>
      <w:rFonts w:ascii="Arial" w:eastAsia="Arial" w:hAnsi="Arial" w:cs="Arial"/>
      <w:b/>
      <w:color w:val="000000"/>
      <w:sz w:val="28"/>
    </w:rPr>
  </w:style>
  <w:style w:type="paragraph" w:styleId="Heading2">
    <w:name w:val="heading 2"/>
    <w:next w:val="Normal"/>
    <w:link w:val="Heading2Char"/>
    <w:uiPriority w:val="9"/>
    <w:unhideWhenUsed/>
    <w:qFormat/>
    <w:pPr>
      <w:keepNext/>
      <w:keepLines/>
      <w:spacing w:after="112"/>
      <w:outlineLvl w:val="1"/>
    </w:pPr>
    <w:rPr>
      <w:rFonts w:ascii="Arial" w:eastAsia="Arial" w:hAnsi="Arial" w:cs="Arial"/>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color w:val="000000"/>
      <w:sz w:val="24"/>
      <w:u w:val="single" w:color="000000"/>
    </w:rPr>
  </w:style>
  <w:style w:type="character" w:customStyle="1" w:styleId="Heading1Char">
    <w:name w:val="Heading 1 Char"/>
    <w:link w:val="Heading1"/>
    <w:rPr>
      <w:rFonts w:ascii="Arial" w:eastAsia="Arial" w:hAnsi="Arial" w:cs="Arial"/>
      <w:b/>
      <w:color w:val="000000"/>
      <w:sz w:val="28"/>
    </w:rPr>
  </w:style>
  <w:style w:type="paragraph" w:styleId="TOC1">
    <w:name w:val="toc 1"/>
    <w:hidden/>
    <w:pPr>
      <w:spacing w:after="112"/>
      <w:ind w:left="25" w:right="267" w:hanging="10"/>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2663</Words>
  <Characters>15182</Characters>
  <Application>Microsoft Office Word</Application>
  <DocSecurity>0</DocSecurity>
  <Lines>126</Lines>
  <Paragraphs>35</Paragraphs>
  <ScaleCrop>false</ScaleCrop>
  <Company/>
  <LinksUpToDate>false</LinksUpToDate>
  <CharactersWithSpaces>17810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Mufti Burhan</dc:creator>
  <cp:keywords/>
  <dc:description/>
  <cp:lastModifiedBy>Mufti Burhan</cp:lastModifiedBy>
  <cp:revision>2</cp:revision>
  <dcterms:created xsi:type="dcterms:W3CDTF">2023-05-26T22:41:00Z</dcterms:created>
  <dcterms:modified xsi:type="dcterms:W3CDTF">2023-05-26T22:41:00Z</dcterms:modified>
</cp:coreProperties>
</file>