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483526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8"/>
          <w:szCs w:val="28"/>
        </w:rPr>
      </w:pPr>
    </w:p>
    <w:p w14:paraId="76C443E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8"/>
          <w:szCs w:val="28"/>
        </w:rPr>
      </w:pPr>
    </w:p>
    <w:p w14:paraId="3F5957C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8"/>
          <w:szCs w:val="28"/>
        </w:rPr>
      </w:pPr>
    </w:p>
    <w:p w14:paraId="0C20F901">
      <w:pPr>
        <w:keepNext w:val="0"/>
        <w:keepLines w:val="0"/>
        <w:pageBreakBefore w:val="0"/>
        <w:widowControl/>
        <w:kinsoku/>
        <w:wordWrap/>
        <w:overflowPunct/>
        <w:topLinePunct w:val="0"/>
        <w:autoSpaceDE/>
        <w:autoSpaceDN/>
        <w:bidi w:val="0"/>
        <w:adjustRightInd/>
        <w:snapToGrid/>
        <w:spacing w:after="0" w:line="360" w:lineRule="auto"/>
        <w:ind w:left="0"/>
        <w:jc w:val="center"/>
        <w:textAlignment w:val="auto"/>
        <w:rPr>
          <w:rFonts w:hint="default" w:ascii="Arial" w:hAnsi="Arial" w:cs="Arial"/>
          <w:b/>
          <w:bCs/>
          <w:sz w:val="24"/>
          <w:szCs w:val="24"/>
          <w:lang w:val="ro-RO"/>
        </w:rPr>
      </w:pPr>
      <w:r>
        <w:rPr>
          <w:rFonts w:hint="default" w:ascii="Arial" w:hAnsi="Arial" w:cs="Arial"/>
          <w:b/>
          <w:bCs/>
          <w:sz w:val="24"/>
          <w:szCs w:val="24"/>
          <w:lang w:val="ro-RO"/>
        </w:rPr>
        <w:t>THE SIX SENSES LAAMU HOTEL</w:t>
      </w:r>
    </w:p>
    <w:p w14:paraId="18812718">
      <w:pPr>
        <w:keepNext w:val="0"/>
        <w:keepLines w:val="0"/>
        <w:pageBreakBefore w:val="0"/>
        <w:widowControl/>
        <w:kinsoku/>
        <w:wordWrap/>
        <w:overflowPunct/>
        <w:topLinePunct w:val="0"/>
        <w:autoSpaceDE/>
        <w:autoSpaceDN/>
        <w:bidi w:val="0"/>
        <w:adjustRightInd/>
        <w:snapToGrid/>
        <w:spacing w:after="0" w:line="360" w:lineRule="auto"/>
        <w:ind w:left="0"/>
        <w:jc w:val="center"/>
        <w:textAlignment w:val="auto"/>
        <w:rPr>
          <w:rFonts w:hint="default" w:ascii="Arial" w:hAnsi="Arial" w:cs="Arial"/>
          <w:b/>
          <w:bCs/>
          <w:sz w:val="28"/>
          <w:szCs w:val="28"/>
          <w:lang w:val="ro-RO"/>
        </w:rPr>
      </w:pPr>
      <w:r>
        <w:rPr>
          <w:rFonts w:hint="default" w:ascii="Arial" w:hAnsi="Arial" w:cs="Arial"/>
          <w:b/>
          <w:bCs/>
          <w:sz w:val="28"/>
          <w:szCs w:val="28"/>
          <w:lang w:val="ro-RO"/>
        </w:rPr>
        <w:t>The role of Corporate Social Responisibility</w:t>
      </w:r>
    </w:p>
    <w:p w14:paraId="2C4E10F0">
      <w:pPr>
        <w:keepNext w:val="0"/>
        <w:keepLines w:val="0"/>
        <w:pageBreakBefore w:val="0"/>
        <w:widowControl/>
        <w:kinsoku/>
        <w:wordWrap/>
        <w:overflowPunct/>
        <w:topLinePunct w:val="0"/>
        <w:autoSpaceDE/>
        <w:autoSpaceDN/>
        <w:bidi w:val="0"/>
        <w:adjustRightInd/>
        <w:snapToGrid/>
        <w:spacing w:after="0" w:line="360" w:lineRule="auto"/>
        <w:ind w:left="0"/>
        <w:jc w:val="center"/>
        <w:textAlignment w:val="auto"/>
        <w:rPr>
          <w:rFonts w:hint="default" w:ascii="Arial" w:hAnsi="Arial" w:cs="Arial"/>
          <w:b/>
          <w:bCs/>
          <w:sz w:val="28"/>
          <w:szCs w:val="28"/>
          <w:lang w:val="ro-RO"/>
        </w:rPr>
      </w:pPr>
      <w:r>
        <w:rPr>
          <w:rFonts w:hint="default" w:ascii="Arial" w:hAnsi="Arial" w:cs="Arial"/>
          <w:b/>
          <w:bCs/>
          <w:sz w:val="28"/>
          <w:szCs w:val="28"/>
          <w:lang w:val="ro-RO"/>
        </w:rPr>
        <w:t>within the hospitality industry</w:t>
      </w:r>
    </w:p>
    <w:p w14:paraId="7E1CA255">
      <w:pPr>
        <w:keepNext w:val="0"/>
        <w:keepLines w:val="0"/>
        <w:pageBreakBefore w:val="0"/>
        <w:widowControl/>
        <w:kinsoku/>
        <w:wordWrap/>
        <w:overflowPunct/>
        <w:topLinePunct w:val="0"/>
        <w:autoSpaceDE/>
        <w:autoSpaceDN/>
        <w:bidi w:val="0"/>
        <w:adjustRightInd/>
        <w:snapToGrid/>
        <w:spacing w:after="0" w:line="360" w:lineRule="auto"/>
        <w:ind w:left="0"/>
        <w:jc w:val="center"/>
        <w:textAlignment w:val="auto"/>
        <w:rPr>
          <w:rFonts w:hint="default" w:ascii="Arial" w:hAnsi="Arial" w:cs="Arial"/>
          <w:b/>
          <w:bCs/>
          <w:sz w:val="28"/>
          <w:szCs w:val="28"/>
          <w:lang w:val="ro-RO"/>
        </w:rPr>
      </w:pPr>
      <w:r>
        <w:rPr>
          <w:rFonts w:hint="default" w:ascii="Arial" w:hAnsi="Arial" w:cs="Arial"/>
          <w:b/>
          <w:bCs/>
          <w:sz w:val="28"/>
          <w:szCs w:val="28"/>
          <w:lang w:val="ro-RO"/>
        </w:rPr>
        <w:t>BMIH5006</w:t>
      </w:r>
    </w:p>
    <w:p w14:paraId="799CE4C6">
      <w:pPr>
        <w:keepNext w:val="0"/>
        <w:keepLines w:val="0"/>
        <w:pageBreakBefore w:val="0"/>
        <w:widowControl/>
        <w:kinsoku/>
        <w:wordWrap/>
        <w:overflowPunct/>
        <w:topLinePunct w:val="0"/>
        <w:autoSpaceDE/>
        <w:autoSpaceDN/>
        <w:bidi w:val="0"/>
        <w:adjustRightInd/>
        <w:snapToGrid/>
        <w:spacing w:after="0" w:line="360" w:lineRule="auto"/>
        <w:ind w:left="0"/>
        <w:jc w:val="center"/>
        <w:textAlignment w:val="auto"/>
        <w:rPr>
          <w:rFonts w:hint="default" w:ascii="Arial" w:hAnsi="Arial" w:cs="Arial"/>
          <w:b/>
          <w:bCs/>
          <w:sz w:val="28"/>
          <w:szCs w:val="28"/>
          <w:lang w:val="ro-RO"/>
        </w:rPr>
      </w:pPr>
    </w:p>
    <w:p w14:paraId="5AEB10E0">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bCs/>
          <w:sz w:val="24"/>
          <w:szCs w:val="24"/>
        </w:rPr>
      </w:pPr>
    </w:p>
    <w:p w14:paraId="406893DA">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00CF97A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3F05A604">
      <w:pPr>
        <w:keepNext w:val="0"/>
        <w:keepLines w:val="0"/>
        <w:pageBreakBefore w:val="0"/>
        <w:widowControl/>
        <w:kinsoku/>
        <w:wordWrap/>
        <w:overflowPunct/>
        <w:topLinePunct w:val="0"/>
        <w:autoSpaceDE/>
        <w:autoSpaceDN/>
        <w:bidi w:val="0"/>
        <w:adjustRightInd/>
        <w:snapToGrid/>
        <w:spacing w:after="0" w:line="360" w:lineRule="auto"/>
        <w:ind w:left="0"/>
        <w:jc w:val="center"/>
        <w:textAlignment w:val="auto"/>
        <w:rPr>
          <w:rFonts w:hint="default" w:ascii="Arial" w:hAnsi="Arial" w:cs="Arial"/>
          <w:b/>
          <w:bCs/>
          <w:sz w:val="32"/>
          <w:szCs w:val="32"/>
        </w:rPr>
      </w:pPr>
    </w:p>
    <w:p w14:paraId="1154B085">
      <w:pPr>
        <w:keepNext w:val="0"/>
        <w:keepLines w:val="0"/>
        <w:pageBreakBefore w:val="0"/>
        <w:widowControl/>
        <w:kinsoku/>
        <w:wordWrap/>
        <w:overflowPunct/>
        <w:topLinePunct w:val="0"/>
        <w:autoSpaceDE/>
        <w:autoSpaceDN/>
        <w:bidi w:val="0"/>
        <w:adjustRightInd/>
        <w:snapToGrid/>
        <w:spacing w:after="0" w:line="360" w:lineRule="auto"/>
        <w:ind w:left="0"/>
        <w:jc w:val="right"/>
        <w:textAlignment w:val="auto"/>
        <w:rPr>
          <w:rFonts w:hint="default" w:ascii="Arial" w:hAnsi="Arial" w:cs="Arial"/>
          <w:b/>
          <w:bCs/>
          <w:sz w:val="28"/>
          <w:szCs w:val="28"/>
          <w:lang w:val="ro-RO"/>
        </w:rPr>
      </w:pPr>
      <w:r>
        <w:rPr>
          <w:rFonts w:hint="default" w:ascii="Arial" w:hAnsi="Arial" w:cs="Arial"/>
          <w:b/>
          <w:bCs/>
          <w:sz w:val="28"/>
          <w:szCs w:val="28"/>
          <w:lang w:val="ro-RO"/>
        </w:rPr>
        <w:t>Lecturer: Giulia Chifari</w:t>
      </w:r>
    </w:p>
    <w:p w14:paraId="7651632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bCs/>
          <w:sz w:val="32"/>
          <w:szCs w:val="32"/>
          <w:lang w:val="ro-RO"/>
        </w:rPr>
      </w:pPr>
    </w:p>
    <w:p w14:paraId="7A7A8A0E">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lang w:val="ro-RO"/>
        </w:rPr>
      </w:pPr>
    </w:p>
    <w:p w14:paraId="6B8B45C6">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lang w:val="ro-RO"/>
        </w:rPr>
      </w:pPr>
    </w:p>
    <w:p w14:paraId="53476C2B">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lang w:val="ro-RO"/>
        </w:rPr>
      </w:pPr>
    </w:p>
    <w:p w14:paraId="6412975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lang w:val="ro-RO"/>
        </w:rPr>
      </w:pPr>
    </w:p>
    <w:p w14:paraId="38725187">
      <w:pPr>
        <w:keepNext w:val="0"/>
        <w:keepLines w:val="0"/>
        <w:pageBreakBefore w:val="0"/>
        <w:widowControl/>
        <w:kinsoku/>
        <w:wordWrap/>
        <w:overflowPunct/>
        <w:topLinePunct w:val="0"/>
        <w:autoSpaceDE/>
        <w:autoSpaceDN/>
        <w:bidi w:val="0"/>
        <w:adjustRightInd/>
        <w:snapToGrid/>
        <w:spacing w:after="0" w:line="360" w:lineRule="auto"/>
        <w:ind w:left="0"/>
        <w:jc w:val="right"/>
        <w:textAlignment w:val="auto"/>
        <w:rPr>
          <w:rFonts w:hint="default" w:ascii="Arial" w:hAnsi="Arial" w:cs="Arial"/>
          <w:b/>
          <w:bCs/>
          <w:sz w:val="28"/>
          <w:szCs w:val="28"/>
          <w:lang w:val="ro-RO"/>
        </w:rPr>
      </w:pPr>
    </w:p>
    <w:p w14:paraId="363E0054">
      <w:pPr>
        <w:keepNext w:val="0"/>
        <w:keepLines w:val="0"/>
        <w:pageBreakBefore w:val="0"/>
        <w:widowControl/>
        <w:kinsoku/>
        <w:wordWrap/>
        <w:overflowPunct/>
        <w:topLinePunct w:val="0"/>
        <w:autoSpaceDE/>
        <w:autoSpaceDN/>
        <w:bidi w:val="0"/>
        <w:adjustRightInd/>
        <w:snapToGrid/>
        <w:spacing w:after="0" w:line="360" w:lineRule="auto"/>
        <w:ind w:left="0"/>
        <w:jc w:val="right"/>
        <w:textAlignment w:val="auto"/>
        <w:rPr>
          <w:rFonts w:hint="default" w:ascii="Arial" w:hAnsi="Arial" w:cs="Arial"/>
          <w:b/>
          <w:bCs/>
          <w:sz w:val="28"/>
          <w:szCs w:val="28"/>
          <w:lang w:val="ro-RO"/>
        </w:rPr>
      </w:pPr>
      <w:r>
        <w:rPr>
          <w:rFonts w:hint="default" w:ascii="Arial" w:hAnsi="Arial" w:cs="Arial"/>
          <w:b/>
          <w:bCs/>
          <w:sz w:val="28"/>
          <w:szCs w:val="28"/>
          <w:lang w:val="ro-RO"/>
        </w:rPr>
        <w:t>Student name:</w:t>
      </w:r>
    </w:p>
    <w:p w14:paraId="006EBEDF">
      <w:pPr>
        <w:keepNext w:val="0"/>
        <w:keepLines w:val="0"/>
        <w:pageBreakBefore w:val="0"/>
        <w:widowControl/>
        <w:kinsoku/>
        <w:wordWrap/>
        <w:overflowPunct/>
        <w:topLinePunct w:val="0"/>
        <w:autoSpaceDE/>
        <w:autoSpaceDN/>
        <w:bidi w:val="0"/>
        <w:adjustRightInd/>
        <w:snapToGrid/>
        <w:spacing w:after="0" w:line="360" w:lineRule="auto"/>
        <w:ind w:left="0"/>
        <w:jc w:val="right"/>
        <w:textAlignment w:val="auto"/>
        <w:rPr>
          <w:rFonts w:hint="default" w:ascii="Arial" w:hAnsi="Arial" w:cs="Arial"/>
          <w:b/>
          <w:bCs/>
          <w:sz w:val="28"/>
          <w:szCs w:val="28"/>
          <w:lang w:val="ro-RO"/>
        </w:rPr>
      </w:pPr>
      <w:r>
        <w:rPr>
          <w:rFonts w:hint="default" w:ascii="Arial" w:hAnsi="Arial" w:cs="Arial"/>
          <w:b/>
          <w:bCs/>
          <w:sz w:val="28"/>
          <w:szCs w:val="28"/>
          <w:lang w:val="ro-RO"/>
        </w:rPr>
        <w:t>Stefan Lucian Mihaita</w:t>
      </w:r>
    </w:p>
    <w:p w14:paraId="30A75CBA">
      <w:pPr>
        <w:keepNext w:val="0"/>
        <w:keepLines w:val="0"/>
        <w:pageBreakBefore w:val="0"/>
        <w:widowControl/>
        <w:kinsoku/>
        <w:wordWrap/>
        <w:overflowPunct/>
        <w:topLinePunct w:val="0"/>
        <w:autoSpaceDE/>
        <w:autoSpaceDN/>
        <w:bidi w:val="0"/>
        <w:adjustRightInd/>
        <w:snapToGrid/>
        <w:spacing w:after="0" w:line="360" w:lineRule="auto"/>
        <w:ind w:left="0"/>
        <w:jc w:val="right"/>
        <w:textAlignment w:val="auto"/>
        <w:rPr>
          <w:rFonts w:hint="default" w:ascii="Arial" w:hAnsi="Arial" w:cs="Arial"/>
          <w:b/>
          <w:bCs/>
          <w:sz w:val="28"/>
          <w:szCs w:val="28"/>
          <w:lang w:val="ro-RO"/>
        </w:rPr>
      </w:pPr>
      <w:r>
        <w:rPr>
          <w:rFonts w:hint="default" w:ascii="Arial" w:hAnsi="Arial" w:cs="Arial"/>
          <w:b/>
          <w:bCs/>
          <w:sz w:val="28"/>
          <w:szCs w:val="28"/>
          <w:lang w:val="ro-RO"/>
        </w:rPr>
        <w:t>2234126</w:t>
      </w:r>
    </w:p>
    <w:p w14:paraId="3943CF03">
      <w:pPr>
        <w:keepNext w:val="0"/>
        <w:keepLines w:val="0"/>
        <w:pageBreakBefore w:val="0"/>
        <w:widowControl/>
        <w:kinsoku/>
        <w:wordWrap/>
        <w:overflowPunct/>
        <w:topLinePunct w:val="0"/>
        <w:autoSpaceDE/>
        <w:autoSpaceDN/>
        <w:bidi w:val="0"/>
        <w:adjustRightInd/>
        <w:snapToGrid/>
        <w:spacing w:after="0" w:line="360" w:lineRule="auto"/>
        <w:ind w:left="0"/>
        <w:jc w:val="right"/>
        <w:textAlignment w:val="auto"/>
        <w:rPr>
          <w:rFonts w:hint="default" w:ascii="Arial" w:hAnsi="Arial" w:cs="Arial"/>
          <w:b w:val="0"/>
          <w:bCs w:val="0"/>
          <w:sz w:val="24"/>
          <w:szCs w:val="24"/>
        </w:rPr>
      </w:pPr>
    </w:p>
    <w:p w14:paraId="7008613E">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096FB08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02B6273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34A345B0">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3CC6656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highlight w:val="none"/>
          <w:lang w:val="en-GB"/>
        </w:rPr>
      </w:pPr>
      <w:bookmarkStart w:id="0" w:name="_GoBack"/>
      <w:bookmarkEnd w:id="0"/>
      <w:r>
        <w:rPr>
          <w:rFonts w:hint="default" w:ascii="Arial" w:hAnsi="Arial" w:cs="Arial"/>
          <w:sz w:val="24"/>
          <w:szCs w:val="24"/>
          <w:highlight w:val="none"/>
          <w:lang w:val="en-GB"/>
        </w:rPr>
        <w:t>Modern businesses are constantly expected to go beyond just generating profit; they are being encouraged to take the initiative in addressing global issues. The hospitality sector is leading this transformation, with luxury resorts such as Six Senses Laamu in the Maldives redefining success through an uncompromising dedication to Corporate Social Responsibility (CSR). This analysis examines the resort's extensive sustainability initiatives, emphasising its efforts in waste management, energy efficiency, marine conservation, and community involvement (Six Senses Laamu, 2024).</w:t>
      </w:r>
    </w:p>
    <w:p w14:paraId="637C62B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highlight w:val="none"/>
          <w:lang w:val="en-GB"/>
        </w:rPr>
      </w:pPr>
    </w:p>
    <w:p w14:paraId="5C8DA12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lang w:val="en-GB"/>
        </w:rPr>
      </w:pPr>
      <w:r>
        <w:rPr>
          <w:rFonts w:hint="default" w:ascii="Arial" w:hAnsi="Arial" w:cs="Arial"/>
          <w:sz w:val="24"/>
          <w:szCs w:val="24"/>
          <w:highlight w:val="none"/>
          <w:lang w:val="en-GB"/>
        </w:rPr>
        <w:t>Integrating energy efficiency, waste minimisation, and sustainable resource management is extremely important to hotels, especially those that depend significantly on natural resources. With the increasing awareness of the environment of consumers, resorts such as Six Senses Laamu are forced to implement CSR practices in order to meet both international standards and local environmental regulations (Energy, 2012; Abdou et al., 2020). These initiatives correspond with the UN's Sustainable Development Goals (SDGs), including underwater life, responsible consumption, and renewable energy.</w:t>
      </w:r>
      <w:r>
        <w:rPr>
          <w:rFonts w:hint="default" w:ascii="Arial" w:hAnsi="Arial" w:cs="Arial"/>
          <w:sz w:val="24"/>
          <w:szCs w:val="24"/>
          <w:highlight w:val="none"/>
          <w:lang w:val="en-GB"/>
        </w:rPr>
        <w:br w:type="textWrapping"/>
      </w:r>
      <w:r>
        <w:rPr>
          <w:rFonts w:hint="default" w:ascii="Arial" w:hAnsi="Arial" w:cs="Arial"/>
          <w:sz w:val="24"/>
          <w:szCs w:val="24"/>
          <w:lang w:val="en-GB"/>
        </w:rPr>
        <w:br w:type="textWrapping"/>
      </w:r>
      <w:r>
        <w:rPr>
          <w:rFonts w:hint="default" w:ascii="Arial" w:hAnsi="Arial" w:cs="Arial"/>
          <w:sz w:val="24"/>
          <w:szCs w:val="24"/>
          <w:lang w:val="en-GB"/>
        </w:rPr>
        <w:t>Through the implementation of Corporate Social Responsibility, hotels can reduce their environmental footprint, improve customer loyalty, and support global sustainability objectives. This analysis takes Six Senses Laamu as a case study to examine the opportunities and challenges associated with improving sustainability through the company's main CSR initiatives.</w:t>
      </w:r>
    </w:p>
    <w:p w14:paraId="67817026">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lang w:val="en-GB"/>
        </w:rPr>
      </w:pPr>
    </w:p>
    <w:p w14:paraId="314D124B">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Corporate Social Responsibility has an important role in shaping the hotel industry by improving the company's reputation, developing consumer loyalty, and ensuring commitment to regulations. Hotels participating in CSR initiatives, including environmental sustainability and community support, can significantly strengthen their corporate reputation and develop consumer loyalty (Palacios-Florencio et al., 2018). A study by Martínez and Bosque (2013) indicates that CSR initiatives improve perceived trust and identity between clients and the hotel, resulting in increasing brand loyalty and pleasure.</w:t>
      </w:r>
    </w:p>
    <w:p w14:paraId="0FE3EE03">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 In addition, Latif et al. (2020) suggest that participation in CSR enables hotels to fulfil legal requirements, including environmental protection regulations, ensuring compliance and avoiding legal risks.</w:t>
      </w:r>
    </w:p>
    <w:p w14:paraId="73B4195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The influence of Corporate Social Responsibility on sustainability is significant. A study by Abdou, Hassan, and El Dief (2020) indicates that hotels may reduce their environmental impact and promote sustainable tourism by adopting CSR practices such as energy efficiency, trash management, and community engagement. </w:t>
      </w:r>
    </w:p>
    <w:p w14:paraId="31509347">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Energy-efficient activities, such as minimising electrical energy consumption, can significantly reduce carbon emissions in the hotel sector. Furthermore, waste management strategies that prioritise recycling and composting not only promote sustainability but also generate a positive brand image for environmentally conscious consumers.</w:t>
      </w:r>
    </w:p>
    <w:p w14:paraId="6FE9AD11">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06C6756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Six Senses Laamu is a high-end resort located in the beautiful Laamu Atoll in the Maldives, recognised for its dedication to sustainable luxury and environmental preservation. The resort contains 97 villas that integrate luxury hospitality with environmentally sustainable design, including beach and overwater villas constructed from eco-friendly materials and powered by solar energy. The resort utilises natural ventilation to decrease energy consumption, and its operations emphasise minimising environmental effect through smart water usage and waste management initiatives (Executive Traveller, 2024; Six Senses Laamu, 2023).</w:t>
      </w:r>
    </w:p>
    <w:p w14:paraId="4BE4A332">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19976509">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Six Senses Laamu is strongly orientated to CSR and has successfully established itself as a leader in conservation within the Maldivian hospitality sector. The resort participates in marine conservation by collaborating with initiatives such as the Maldives Underwater Initiative and The Manta Trust to preserve coral reefs and marine biodiversity. Moreover, Six Senses Laamu prioritises collaboration with local people in developing sustainable tourism practices while supporting its dedication to social and environmental sustainability (Maldive Insider, 2024; MUI, 2024).</w:t>
      </w:r>
    </w:p>
    <w:p w14:paraId="3A74F4B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Six Senses Laamu has made significant improvements in energy efficiency by utilising solar panels to produce the majority of the resort's electricity. </w:t>
      </w:r>
    </w:p>
    <w:p w14:paraId="1253523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This program corresponds with their objective of lowering their dependence on fossil fuels and reducing their carbon footprint. Furthermore, the resort incorporates passive cooling systems in its villa designs, so reducing the need for air conditioning and lowering energy consumption (Six Senses Laamu, 2024). These activities demonstrate a dedication to renewable energy, which is essential for remote regions such as the Maldives, where dependence on imported energy sources creates environmental and economic challenges (Asif et al., 2024).</w:t>
      </w:r>
    </w:p>
    <w:p w14:paraId="6558FD67">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6DB816F9">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highlight w:val="none"/>
          <w:lang w:val="en-GB"/>
        </w:rPr>
      </w:pPr>
      <w:r>
        <w:rPr>
          <w:rFonts w:hint="default" w:ascii="Arial" w:hAnsi="Arial" w:cs="Arial"/>
          <w:sz w:val="24"/>
          <w:szCs w:val="24"/>
        </w:rPr>
        <w:t xml:space="preserve">Zhang et al. (2022) highlights a similar focus on energy efficiency and renewable energy in the hospitality sector, finding that CSR initiatives promoting energy-saving technologies and renewable energy significantly reduce greenhouse gas emissions in hotels, which reduces carbon footprints. This contributes to the industry's wider trend of using renewable energy sources to improve sustainability. </w:t>
      </w:r>
      <w:r>
        <w:rPr>
          <w:rFonts w:hint="default" w:ascii="Arial" w:hAnsi="Arial" w:cs="Arial"/>
          <w:sz w:val="24"/>
          <w:szCs w:val="24"/>
        </w:rPr>
        <w:br w:type="textWrapping"/>
      </w:r>
      <w:r>
        <w:rPr>
          <w:rFonts w:hint="default" w:ascii="Arial" w:hAnsi="Arial" w:cs="Arial"/>
          <w:sz w:val="24"/>
          <w:szCs w:val="24"/>
          <w:highlight w:val="none"/>
          <w:lang w:val="en-GB"/>
        </w:rPr>
        <w:t>Six Senses Laamu faces logistical and financial challenges in implementing large-scale renewable energy systems, particularly the substantial costs associated with importing and maintaining solar panels due to its remote location (Energy, 2012). The resort's dedication to reducing fossil fuel consumption contributes to these challenges, necessitating ongoing innovation and investment in renewable technologies (Asif et al., 2024).</w:t>
      </w:r>
    </w:p>
    <w:p w14:paraId="3D932512">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5863195A">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Energy-efficient devices and solar panels have significant investment and ongoing maintenance expenses. Furthermore, resorts in remote locations like the Maldives find it especially challenging to cover the increased costs associated with importing technology and spare parts (Energy, 2012).</w:t>
      </w:r>
    </w:p>
    <w:p w14:paraId="123D63A1">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Six Senses Laamu's extensive waste management initiative prioritises waste reduction, recycling, and the composting of organic materials. The resort has launched a "Plastic-Free 2022" campaign, designed to eradicate single-use plastics and develop a circular economy by recycling materials like glass and metals. Moreover, food waste from the resort's restaurants is composted and utilised for growing their organic gardens (Six Senses Laamu, 2024). </w:t>
      </w:r>
      <w:r>
        <w:rPr>
          <w:rFonts w:hint="default" w:ascii="Arial" w:hAnsi="Arial" w:cs="Arial"/>
          <w:sz w:val="24"/>
          <w:szCs w:val="24"/>
        </w:rPr>
        <w:br w:type="textWrapping"/>
      </w:r>
    </w:p>
    <w:p w14:paraId="6A6AB00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This waste management strategy corresponds to the best international standards within the hotel sector. A study by Pirani &amp; Arafat (2014) indicates that waste reduction and recycling are essential for mitigating environmental impacts in hotels. Their research underscores that food waste composting at Six Senses Laamu decreases landfill trash while fostering a circular economy by transforming garbage into valuable local resources. </w:t>
      </w:r>
      <w:r>
        <w:rPr>
          <w:rFonts w:hint="default" w:ascii="Arial" w:hAnsi="Arial" w:cs="Arial"/>
          <w:sz w:val="24"/>
          <w:szCs w:val="24"/>
        </w:rPr>
        <w:br w:type="textWrapping"/>
      </w:r>
    </w:p>
    <w:p w14:paraId="6AB50E3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Implementing sustainable waste management in distant areas such as the Maldives is difficult due to inadequate infrastructure. The availability of recycling technology and garbage disposal systems is sometimes limited, hence escalating the costs and logistical intricacies associated with sustainable waste management (Ramirez &amp; George, 2019). The resort has had to develop inventive solutions, including importing recycling equipment, which may not be feasible for smaller hotels in the region. </w:t>
      </w:r>
    </w:p>
    <w:p w14:paraId="6FFB859B">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In alignment with its dedication to marine conservation, Six Senses Laamu has collaborated with organisations like the Manta Trust and the Maldives Underwater Initiative (MUI) to preserve coral reefs and marine biodiversity. These partnerships focus on monitoring and conserving vulnerable species, including manta rays and sea turtles, alongside the implementation of reef restoration initiatives to reduce the impacts of climate change and human activities (Six Senses Laamu, 2024). </w:t>
      </w:r>
      <w:r>
        <w:rPr>
          <w:rFonts w:hint="default" w:ascii="Arial" w:hAnsi="Arial" w:cs="Arial"/>
          <w:sz w:val="24"/>
          <w:szCs w:val="24"/>
        </w:rPr>
        <w:br w:type="textWrapping"/>
      </w:r>
    </w:p>
    <w:p w14:paraId="1856F2CA">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The resort's efforts line up with global conservation trends throughout the hospitality sector. Research conducted by Florencia et al. (2016) indicates that marine conservation initiatives in resorts not only protect biodiversity but also promote eco-tourism, which stimulates the local economy and appeals to conscious tourists. </w:t>
      </w:r>
      <w:r>
        <w:rPr>
          <w:rFonts w:hint="default" w:ascii="Arial" w:hAnsi="Arial" w:cs="Arial"/>
          <w:sz w:val="24"/>
          <w:szCs w:val="24"/>
        </w:rPr>
        <w:br w:type="textWrapping"/>
      </w:r>
      <w:r>
        <w:rPr>
          <w:rFonts w:hint="default" w:ascii="Arial" w:hAnsi="Arial" w:cs="Arial"/>
          <w:sz w:val="24"/>
          <w:szCs w:val="24"/>
        </w:rPr>
        <w:t>Marine conservation initiatives have significant challenges, especially in managing the impacts of climate change. Increasing sea temperatures and ocean acidification intensify coral bleaching, impeding efforts to sustain the vitality of coral reefs despite proactive efforts. Reconciling tourism with conservation is a problem since intensified tourist activities could increase stress on marine ecosystems (Lebrec et al., 2019).</w:t>
      </w:r>
    </w:p>
    <w:p w14:paraId="689207BA">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Six Senses Laamu supports the community by providing education, employment opportunities, and campaigning for sustainable agricultural techniques. </w:t>
      </w:r>
    </w:p>
    <w:p w14:paraId="010B9B8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The resort's organic garden provides fresh vegetables and herbs utilised in its restaurants, reducing dependency on imported items and promoting local agriculture. The resort collaborates with local schools and farmers to advance environmental education and sustainable agriculture practices (Six Senses Laamu, 2024). </w:t>
      </w:r>
      <w:r>
        <w:rPr>
          <w:rFonts w:hint="default" w:ascii="Arial" w:hAnsi="Arial" w:cs="Arial"/>
          <w:sz w:val="24"/>
          <w:szCs w:val="24"/>
        </w:rPr>
        <w:br w:type="textWrapping"/>
      </w:r>
    </w:p>
    <w:p w14:paraId="5433EB4E">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This method of community engagement has been demonstrated by research, like that of Astawa et al. (2019), which demonstrates that hospitality enterprises can substantially enhance local economies by pushing for sustainable agriculture and decreasing reliance on imports. Incorporating local communities into the resort's supply chain promotes social sustainability and reduces the resort's carbon footprint. </w:t>
      </w:r>
      <w:r>
        <w:rPr>
          <w:rFonts w:hint="default" w:ascii="Arial" w:hAnsi="Arial" w:cs="Arial"/>
          <w:sz w:val="24"/>
          <w:szCs w:val="24"/>
        </w:rPr>
        <w:br w:type="textWrapping"/>
      </w:r>
      <w:r>
        <w:rPr>
          <w:rFonts w:hint="default" w:ascii="Arial" w:hAnsi="Arial" w:cs="Arial"/>
          <w:sz w:val="24"/>
          <w:szCs w:val="24"/>
        </w:rPr>
        <w:t>Nonetheless, maintaining long-term relationships with local communities can prove challenging. Economic limitations, like the higher costs associated with organic farming and the seasonal characteristics of harvests, may restrict local farmers' ability to continuously feed the resort. Moreover, educating local people in sustainable practices requires continuous investment, which may not be feasible for smaller hotels (Krumwiede et al., 2012).</w:t>
      </w:r>
    </w:p>
    <w:p w14:paraId="67CAA6F5">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23DC1711">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Implementing CSR regulations in remote areas such as the Maldives has numerous logistical, financial, and environmental obstacles. The higher cost of renewable energy systems is a critical concern. Islands like Laamu Atoll encounter challenges in obtaining and sustaining renewable energy infrastructure due to their geographic isolation. The transportation and importation of essential resources elevate expenses, while the extended maintenance of these systems, particularly in severe tropical conditions, contributes to operational challenges (Energy, 2012). Moreover, supply chain management is complicated by the necessity to import both energy infrastructure and sustainable materials for building and waste management. This may render the hotel’s sustainability objectives expensive to achieve and more difficult to maintain (Bell &amp; Gill, 2018). </w:t>
      </w:r>
      <w:r>
        <w:rPr>
          <w:rFonts w:hint="default" w:ascii="Arial" w:hAnsi="Arial" w:cs="Arial"/>
          <w:sz w:val="24"/>
          <w:szCs w:val="24"/>
        </w:rPr>
        <w:br w:type="textWrapping"/>
      </w:r>
      <w:r>
        <w:rPr>
          <w:rFonts w:hint="default" w:ascii="Arial" w:hAnsi="Arial" w:cs="Arial"/>
          <w:sz w:val="24"/>
          <w:szCs w:val="24"/>
        </w:rPr>
        <w:t xml:space="preserve">Moreover, sustaining efficient long-term environmental monitoring programs is essential but difficult in isolated regions. </w:t>
      </w:r>
    </w:p>
    <w:p w14:paraId="4612D640">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Monitoring systems for marine conservation or energy use necessitate specialised technology and experience, both of which are expensive and may not be easily accessible. This may result in deficiencies in sustainability initiatives, especially when addressing unpredictable conditions such rising sea levels or coral bleaching (Kitada &amp; Ölçer, 2015). </w:t>
      </w:r>
      <w:r>
        <w:rPr>
          <w:rFonts w:hint="default" w:ascii="Arial" w:hAnsi="Arial" w:cs="Arial"/>
          <w:sz w:val="24"/>
          <w:szCs w:val="24"/>
        </w:rPr>
        <w:br w:type="textWrapping"/>
      </w:r>
    </w:p>
    <w:p w14:paraId="7A672CA4">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Nonetheless, despite these obstacles, the implementation of CSR rules offers several chances for hotels such as Six Senses Laamu. The main benefit is the development of brand loyalty, since environmentally conscious tourists are constantly seeking eco-friendly resorts. Research indicates that CSR measures can improve a hotel's reputation, attracting tourists who prioritise sustainability (Ahmad et al., 2023). </w:t>
      </w:r>
    </w:p>
    <w:p w14:paraId="1152D426">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4C4F6A96">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Furthermore, these rules provide an example within the sector, representing hotels as leaders in sustainability and motivating other resorts to adopt similar practices. </w:t>
      </w:r>
      <w:r>
        <w:rPr>
          <w:rFonts w:hint="default" w:ascii="Arial" w:hAnsi="Arial" w:cs="Arial"/>
          <w:sz w:val="24"/>
          <w:szCs w:val="24"/>
        </w:rPr>
        <w:br w:type="textWrapping"/>
      </w:r>
      <w:r>
        <w:rPr>
          <w:rFonts w:hint="default" w:ascii="Arial" w:hAnsi="Arial" w:cs="Arial"/>
          <w:sz w:val="24"/>
          <w:szCs w:val="24"/>
        </w:rPr>
        <w:t>Moreover, CSR projects assist in globally climate change efforts. Hotels that prioritise renewable energy and waste reduction not only decrease their environmental footprint but also promote global sustainability objectives. This allows them to be involved in extensive climate initiatives, which could provide further reputational advantages and possible economic rewards (Luthra &amp; Mangla, 2018).</w:t>
      </w:r>
    </w:p>
    <w:p w14:paraId="6D5AF661">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620EA5A2">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highlight w:val="none"/>
          <w:lang w:val="en-GB"/>
        </w:rPr>
      </w:pPr>
      <w:r>
        <w:rPr>
          <w:rFonts w:hint="default" w:ascii="Arial" w:hAnsi="Arial" w:cs="Arial"/>
          <w:sz w:val="24"/>
          <w:szCs w:val="24"/>
        </w:rPr>
        <w:t xml:space="preserve">The Maldives implemented various environmental rules to safeguard its delicate nature. </w:t>
      </w:r>
      <w:r>
        <w:rPr>
          <w:rFonts w:hint="default" w:ascii="Arial" w:hAnsi="Arial" w:cs="Arial"/>
          <w:sz w:val="24"/>
          <w:szCs w:val="24"/>
          <w:highlight w:val="none"/>
        </w:rPr>
        <w:t>For example, t</w:t>
      </w:r>
      <w:r>
        <w:rPr>
          <w:rFonts w:hint="default" w:ascii="Arial" w:hAnsi="Arial" w:cs="Arial"/>
          <w:sz w:val="24"/>
          <w:szCs w:val="24"/>
          <w:highlight w:val="none"/>
          <w:lang w:val="en-GB"/>
        </w:rPr>
        <w:t>he Environmental Protection and Preservation Act (1993) stipulates that resorts such as Six Senses Laamu perform Environmental Impact Assessments (EIA) ahead of initiating any development activities (Techera &amp; Cannell-Lunn, 2019). This legislation affects the resort's design and management of sustainability programs in accordance to local and international standards (Energy, 2012).</w:t>
      </w:r>
    </w:p>
    <w:p w14:paraId="78A36FB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Current legislation includes the Environmental Protection and Preservation Act (1993), which requires environmental impact assessments (EIA) for all development initiatives, alongside legislation managing waste management and marine conservation (Techera &amp; Cannell-Lunn, 2019). </w:t>
      </w:r>
    </w:p>
    <w:p w14:paraId="21CF23EB">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These regulations control activities such as garbage disposal and protect coral reefs, both essential for sustainable tourism.</w:t>
      </w:r>
      <w:r>
        <w:rPr>
          <w:rFonts w:hint="default" w:ascii="Arial" w:hAnsi="Arial" w:cs="Arial"/>
          <w:sz w:val="24"/>
          <w:szCs w:val="24"/>
        </w:rPr>
        <w:br w:type="textWrapping"/>
      </w:r>
      <w:r>
        <w:rPr>
          <w:rFonts w:hint="default" w:ascii="Arial" w:hAnsi="Arial" w:cs="Arial"/>
          <w:sz w:val="24"/>
          <w:szCs w:val="24"/>
        </w:rPr>
        <w:t xml:space="preserve">Six Senses Laamu globally integrates its activities with the United Nations Sustainable Development Goals (SDGs), particularly those addressing energy from renewable sources, marine life, and responsible consumerism. The resort utilises renewable energy and participates in marine conservation, contributing to the Sustainable Development Goals and establishing a benchmark for sustainable hospitality (Hilmi et al., 2023). </w:t>
      </w:r>
    </w:p>
    <w:p w14:paraId="24688A37">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2628E44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International guidelines facilitate the alignment of local legislation with overarching global sustainability initiatives, establishing the Maldives as an example for eco-tourism advancement (Kapmeier &amp; Gonçalves, 2018).</w:t>
      </w:r>
    </w:p>
    <w:p w14:paraId="69BD4317">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In comparison to other luxury resorts, Six Senses Laamu distinguishes itself with its complete and rigorous approach to CSR. For instance, CitizenM prioritises energy-efficient infrastructure, Lefay highlights its zero-emission building designs, and Six Senses Laamu specialises in marine conservation and renewable energy utilisation, effectively addressing larger environmental issues in its island region (Stombelli, 2020). </w:t>
      </w:r>
      <w:r>
        <w:rPr>
          <w:rFonts w:hint="default" w:ascii="Arial" w:hAnsi="Arial" w:cs="Arial"/>
          <w:sz w:val="24"/>
          <w:szCs w:val="24"/>
        </w:rPr>
        <w:br w:type="textWrapping"/>
      </w:r>
    </w:p>
    <w:p w14:paraId="579AD162">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Six Senses Laamu integrates the three pillars of sustainability—environmental, social, and economic—via its circular economy framework. The resort minimises trash by implementing recycling and composting practices, thereby lessening its impact on the fragile marine habitat. It provides educational programs and employment possibilities to local communities, thereby building enduring relationships. The resort's sustainability initiatives, such renewable energy systems, decrease operational costs over time and attract eco-conscious travellers, thus boosting profitability (Gashi et al., 2023). </w:t>
      </w:r>
      <w:r>
        <w:rPr>
          <w:rFonts w:hint="default" w:ascii="Arial" w:hAnsi="Arial" w:cs="Arial"/>
          <w:sz w:val="24"/>
          <w:szCs w:val="24"/>
        </w:rPr>
        <w:br w:type="textWrapping"/>
      </w:r>
    </w:p>
    <w:p w14:paraId="753ADCC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The focus on a circular economy—characterised by the reuse, recycling, and conservation of resources—is evident in Six Senses Laamu’s operational approach and its wider CSR effect, establishing a robust benchmark for other luxury hotels (Bux &amp; Amicarelli, 2022). </w:t>
      </w:r>
    </w:p>
    <w:p w14:paraId="44059176">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This comprehensive strategy enables the resort to conform to global sustainability objectives, aiding both local and international initiatives for environmental preservation (Wilson &amp; Forsyth, 2018).</w:t>
      </w:r>
    </w:p>
    <w:p w14:paraId="20660404">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03FC822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In conclusion, the case study of Six Senses Laamu demonstrates the significant impact that well-implemented CSR strategies can have on promoting sustainability within the hospitality industry. The resort’s successful initiatives in energy management through the use of solar power, waste reduction via recycling and composting, and marine conservation efforts have all contributed to minimizing its environmental footprint. These CSR practices not only align with global sustainability goals but also help position Six Senses Laamu as a leader in responsible luxury tourism.</w:t>
      </w:r>
    </w:p>
    <w:p w14:paraId="14C81693">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7FD7E497">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The importance of CSR in the hospitality sector is evident. It enhances a hotel’s reputation by attracting eco-conscious travelers, supports environmental sustainability by reducing carbon emissions and waste, and delivers long-term benefits to local communities through job creation and education. As the demand for sustainable tourism grows, hotels that embrace CSR will likely enjoy increased loyalty from consumers and operational efficiencies that improve both environmental and economic outcomes.</w:t>
      </w:r>
    </w:p>
    <w:p w14:paraId="49A9AB4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While implementing CSR in remote or resource-limited locations presents logistical and financial challenges, the long-term benefits—such as brand loyalty, environmental conservation, and alignment with global climate initiatives—far outweigh the initial costs. Ultimately, CSR will continue to play a pivotal role in shaping the future of sustainable hospitality.</w:t>
      </w:r>
    </w:p>
    <w:p w14:paraId="7F30968A">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26CE528A">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1A702953">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309533B1">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1DCA0234">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7624A711">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b/>
          <w:bCs/>
          <w:sz w:val="24"/>
          <w:szCs w:val="24"/>
        </w:rPr>
      </w:pPr>
    </w:p>
    <w:p w14:paraId="7AF009BE">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color w:val="222222"/>
          <w:sz w:val="24"/>
          <w:szCs w:val="24"/>
          <w:shd w:val="clear" w:color="auto" w:fill="FFFFFF"/>
        </w:rPr>
      </w:pPr>
      <w:r>
        <w:rPr>
          <w:rFonts w:hint="default" w:ascii="Arial" w:hAnsi="Arial" w:cs="Arial"/>
          <w:b/>
          <w:bCs/>
          <w:sz w:val="24"/>
          <w:szCs w:val="24"/>
        </w:rPr>
        <w:t>References:</w:t>
      </w:r>
    </w:p>
    <w:p w14:paraId="32F6BD21">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color w:val="222222"/>
          <w:sz w:val="24"/>
          <w:szCs w:val="24"/>
          <w:shd w:val="clear" w:color="auto" w:fill="FFFFFF"/>
        </w:rPr>
      </w:pPr>
      <w:r>
        <w:rPr>
          <w:rFonts w:hint="default" w:ascii="Arial" w:hAnsi="Arial" w:cs="Arial"/>
          <w:color w:val="222222"/>
          <w:sz w:val="24"/>
          <w:szCs w:val="24"/>
          <w:shd w:val="clear" w:color="auto" w:fill="FFFFFF"/>
        </w:rPr>
        <w:t>Abdou, Ahmed Hassan, Thowayeb Hassan Hassan, and Mohammed Moustafa El Dief. "A description of green hotel practices and their role in achieving sustainable development." </w:t>
      </w:r>
      <w:r>
        <w:rPr>
          <w:rFonts w:hint="default" w:ascii="Arial" w:hAnsi="Arial" w:cs="Arial"/>
          <w:i/>
          <w:iCs/>
          <w:color w:val="222222"/>
          <w:sz w:val="24"/>
          <w:szCs w:val="24"/>
          <w:shd w:val="clear" w:color="auto" w:fill="FFFFFF"/>
        </w:rPr>
        <w:t>Sustainability</w:t>
      </w:r>
      <w:r>
        <w:rPr>
          <w:rFonts w:hint="default" w:ascii="Arial" w:hAnsi="Arial" w:cs="Arial"/>
          <w:color w:val="222222"/>
          <w:sz w:val="24"/>
          <w:szCs w:val="24"/>
          <w:shd w:val="clear" w:color="auto" w:fill="FFFFFF"/>
        </w:rPr>
        <w:t> 12, no. 22 (2020): 9624.</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"https://doi.org/10.3390/su12229624" </w:instrText>
      </w:r>
      <w:r>
        <w:rPr>
          <w:rFonts w:hint="default" w:ascii="Arial" w:hAnsi="Arial" w:cs="Arial"/>
          <w:sz w:val="24"/>
          <w:szCs w:val="24"/>
        </w:rPr>
        <w:fldChar w:fldCharType="separate"/>
      </w:r>
      <w:r>
        <w:rPr>
          <w:rStyle w:val="4"/>
          <w:rFonts w:hint="default" w:ascii="Arial" w:hAnsi="Arial" w:cs="Arial"/>
          <w:sz w:val="24"/>
          <w:szCs w:val="24"/>
          <w:shd w:val="clear" w:color="auto" w:fill="FFFFFF"/>
        </w:rPr>
        <w:t>https://doi.org/10.3390/su12229624</w:t>
      </w:r>
      <w:r>
        <w:rPr>
          <w:rStyle w:val="4"/>
          <w:rFonts w:hint="default" w:ascii="Arial" w:hAnsi="Arial" w:cs="Arial"/>
          <w:sz w:val="24"/>
          <w:szCs w:val="24"/>
          <w:shd w:val="clear" w:color="auto" w:fill="FFFFFF"/>
        </w:rPr>
        <w:fldChar w:fldCharType="end"/>
      </w:r>
      <w:r>
        <w:rPr>
          <w:rFonts w:hint="default" w:ascii="Arial" w:hAnsi="Arial" w:cs="Arial"/>
          <w:color w:val="222222"/>
          <w:sz w:val="24"/>
          <w:szCs w:val="24"/>
          <w:shd w:val="clear" w:color="auto" w:fill="FFFFFF"/>
        </w:rPr>
        <w:t xml:space="preserve"> </w:t>
      </w:r>
    </w:p>
    <w:p w14:paraId="7D7D20CC">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Ahmad, N., Ahmad, A., &amp; Siddique, I., 2023. Responsible Tourism and Hospitality: The Intersection of Altruistic Values, Human Emotions, and Corporate Social Responsibility. </w:t>
      </w:r>
      <w:r>
        <w:rPr>
          <w:rFonts w:hint="default" w:ascii="Arial" w:hAnsi="Arial" w:cs="Arial"/>
          <w:i/>
          <w:iCs/>
          <w:sz w:val="24"/>
          <w:szCs w:val="24"/>
        </w:rPr>
        <w:t>Administrative Sciences</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"https://doi.org/10.3390/admsci13040105" </w:instrText>
      </w:r>
      <w:r>
        <w:rPr>
          <w:rFonts w:hint="default" w:ascii="Arial" w:hAnsi="Arial" w:cs="Arial"/>
          <w:sz w:val="24"/>
          <w:szCs w:val="24"/>
        </w:rPr>
        <w:fldChar w:fldCharType="separate"/>
      </w:r>
      <w:r>
        <w:rPr>
          <w:rStyle w:val="4"/>
          <w:rFonts w:hint="default" w:ascii="Arial" w:hAnsi="Arial" w:cs="Arial"/>
          <w:sz w:val="24"/>
          <w:szCs w:val="24"/>
        </w:rPr>
        <w:t>https://doi.org/10.3390/admsci13040105</w:t>
      </w:r>
      <w:r>
        <w:rPr>
          <w:rStyle w:val="4"/>
          <w:rFonts w:hint="default" w:ascii="Arial" w:hAnsi="Arial" w:cs="Arial"/>
          <w:sz w:val="24"/>
          <w:szCs w:val="24"/>
        </w:rPr>
        <w:fldChar w:fldCharType="end"/>
      </w:r>
      <w:r>
        <w:rPr>
          <w:rFonts w:hint="default" w:ascii="Arial" w:hAnsi="Arial" w:cs="Arial"/>
          <w:sz w:val="24"/>
          <w:szCs w:val="24"/>
        </w:rPr>
        <w:t xml:space="preserve">. </w:t>
      </w:r>
    </w:p>
    <w:p w14:paraId="30923703">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Asif, M., Khan, M.I. and Pandey, A., 2024. Navigating the inclusive and sustainable energy transitions in South Asia: Progress, priorities and stakeholder perspectives. </w:t>
      </w:r>
      <w:r>
        <w:rPr>
          <w:rFonts w:hint="default" w:ascii="Arial" w:hAnsi="Arial" w:cs="Arial"/>
          <w:i/>
          <w:iCs/>
          <w:sz w:val="24"/>
          <w:szCs w:val="24"/>
        </w:rPr>
        <w:t>Energy Conversion and Management</w:t>
      </w:r>
      <w:r>
        <w:rPr>
          <w:rFonts w:hint="default" w:ascii="Arial" w:hAnsi="Arial" w:cs="Arial"/>
          <w:sz w:val="24"/>
          <w:szCs w:val="24"/>
        </w:rPr>
        <w:t>, </w:t>
      </w:r>
      <w:r>
        <w:rPr>
          <w:rFonts w:hint="default" w:ascii="Arial" w:hAnsi="Arial" w:cs="Arial"/>
          <w:i/>
          <w:iCs/>
          <w:sz w:val="24"/>
          <w:szCs w:val="24"/>
        </w:rPr>
        <w:t>313</w:t>
      </w:r>
      <w:r>
        <w:rPr>
          <w:rFonts w:hint="default" w:ascii="Arial" w:hAnsi="Arial" w:cs="Arial"/>
          <w:sz w:val="24"/>
          <w:szCs w:val="24"/>
        </w:rPr>
        <w:t xml:space="preserve">, p.118589. </w:t>
      </w:r>
      <w:r>
        <w:rPr>
          <w:rFonts w:hint="default" w:ascii="Arial" w:hAnsi="Arial" w:cs="Arial"/>
          <w:sz w:val="24"/>
          <w:szCs w:val="24"/>
        </w:rPr>
        <w:fldChar w:fldCharType="begin"/>
      </w:r>
      <w:r>
        <w:rPr>
          <w:rFonts w:hint="default" w:ascii="Arial" w:hAnsi="Arial" w:cs="Arial"/>
          <w:sz w:val="24"/>
          <w:szCs w:val="24"/>
        </w:rPr>
        <w:instrText xml:space="preserve"> HYPERLINK "https://doi.org/10.1016/j.enconman.2024.118589" </w:instrText>
      </w:r>
      <w:r>
        <w:rPr>
          <w:rFonts w:hint="default" w:ascii="Arial" w:hAnsi="Arial" w:cs="Arial"/>
          <w:sz w:val="24"/>
          <w:szCs w:val="24"/>
        </w:rPr>
        <w:fldChar w:fldCharType="separate"/>
      </w:r>
      <w:r>
        <w:rPr>
          <w:rStyle w:val="4"/>
          <w:rFonts w:hint="default" w:ascii="Arial" w:hAnsi="Arial" w:cs="Arial"/>
          <w:sz w:val="24"/>
          <w:szCs w:val="24"/>
        </w:rPr>
        <w:t>https://doi.org/10.1016/j.enconman.2024.118589</w:t>
      </w:r>
      <w:r>
        <w:rPr>
          <w:rStyle w:val="4"/>
          <w:rFonts w:hint="default" w:ascii="Arial" w:hAnsi="Arial" w:cs="Arial"/>
          <w:sz w:val="24"/>
          <w:szCs w:val="24"/>
        </w:rPr>
        <w:fldChar w:fldCharType="end"/>
      </w:r>
      <w:r>
        <w:rPr>
          <w:rFonts w:hint="default" w:ascii="Arial" w:hAnsi="Arial" w:cs="Arial"/>
          <w:sz w:val="24"/>
          <w:szCs w:val="24"/>
        </w:rPr>
        <w:t xml:space="preserve"> </w:t>
      </w:r>
    </w:p>
    <w:p w14:paraId="5CF1A76A">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Astawa, I., Budarma, I., Widhari, C., Suardani, A., &amp; , S., 2019. The Practice of Green Hospitality at the Operational Level (a Case of 5-Star Hotel in Bali). </w:t>
      </w:r>
      <w:r>
        <w:rPr>
          <w:rFonts w:hint="default" w:ascii="Arial" w:hAnsi="Arial" w:cs="Arial"/>
          <w:i/>
          <w:iCs/>
          <w:sz w:val="24"/>
          <w:szCs w:val="24"/>
        </w:rPr>
        <w:t>Proceedings of the International Conference on Social Science 2019 (ICSS 2019)</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"https://doi.org/10.2991/icss-19.2019.9" </w:instrText>
      </w:r>
      <w:r>
        <w:rPr>
          <w:rFonts w:hint="default" w:ascii="Arial" w:hAnsi="Arial" w:cs="Arial"/>
          <w:sz w:val="24"/>
          <w:szCs w:val="24"/>
        </w:rPr>
        <w:fldChar w:fldCharType="separate"/>
      </w:r>
      <w:r>
        <w:rPr>
          <w:rStyle w:val="4"/>
          <w:rFonts w:hint="default" w:ascii="Arial" w:hAnsi="Arial" w:cs="Arial"/>
          <w:sz w:val="24"/>
          <w:szCs w:val="24"/>
        </w:rPr>
        <w:t>https://doi.org/10.2991/icss-19.2019.9</w:t>
      </w:r>
      <w:r>
        <w:rPr>
          <w:rStyle w:val="4"/>
          <w:rFonts w:hint="default" w:ascii="Arial" w:hAnsi="Arial" w:cs="Arial"/>
          <w:sz w:val="24"/>
          <w:szCs w:val="24"/>
        </w:rPr>
        <w:fldChar w:fldCharType="end"/>
      </w:r>
      <w:r>
        <w:rPr>
          <w:rFonts w:hint="default" w:ascii="Arial" w:hAnsi="Arial" w:cs="Arial"/>
          <w:sz w:val="24"/>
          <w:szCs w:val="24"/>
        </w:rPr>
        <w:t xml:space="preserve">. </w:t>
      </w:r>
    </w:p>
    <w:p w14:paraId="2583824A">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 xml:space="preserve">Bell, K., Gill, S., 2018. Delivering a highly distributed electricity system:Technical, regulatory and policy challenges. </w:t>
      </w:r>
      <w:r>
        <w:rPr>
          <w:rFonts w:hint="default" w:ascii="Arial" w:hAnsi="Arial" w:cs="Arial"/>
          <w:sz w:val="24"/>
          <w:szCs w:val="24"/>
        </w:rPr>
        <w:fldChar w:fldCharType="begin"/>
      </w:r>
      <w:r>
        <w:rPr>
          <w:rFonts w:hint="default" w:ascii="Arial" w:hAnsi="Arial" w:cs="Arial"/>
          <w:sz w:val="24"/>
          <w:szCs w:val="24"/>
        </w:rPr>
        <w:instrText xml:space="preserve"> HYPERLINK "https://doi.org/10.1016/j.enpol.2017.11.039" </w:instrText>
      </w:r>
      <w:r>
        <w:rPr>
          <w:rFonts w:hint="default" w:ascii="Arial" w:hAnsi="Arial" w:cs="Arial"/>
          <w:sz w:val="24"/>
          <w:szCs w:val="24"/>
        </w:rPr>
        <w:fldChar w:fldCharType="separate"/>
      </w:r>
      <w:r>
        <w:rPr>
          <w:rStyle w:val="4"/>
          <w:rFonts w:hint="default" w:ascii="Arial" w:hAnsi="Arial" w:cs="Arial"/>
          <w:sz w:val="24"/>
          <w:szCs w:val="24"/>
        </w:rPr>
        <w:t>https://doi.org/10.1016/j.enpol.2017.11.039</w:t>
      </w:r>
      <w:r>
        <w:rPr>
          <w:rStyle w:val="4"/>
          <w:rFonts w:hint="default" w:ascii="Arial" w:hAnsi="Arial" w:cs="Arial"/>
          <w:sz w:val="24"/>
          <w:szCs w:val="24"/>
        </w:rPr>
        <w:fldChar w:fldCharType="end"/>
      </w:r>
      <w:r>
        <w:rPr>
          <w:rFonts w:hint="default" w:ascii="Arial" w:hAnsi="Arial" w:cs="Arial"/>
          <w:sz w:val="24"/>
          <w:szCs w:val="24"/>
        </w:rPr>
        <w:t xml:space="preserve"> </w:t>
      </w:r>
    </w:p>
    <w:p w14:paraId="094481C4">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Bux, C., &amp; Amicarelli, V., 2022. Circular economy and sustainable strategies in the hospitality industry: Current trends and empirical implications. </w:t>
      </w:r>
      <w:r>
        <w:rPr>
          <w:rFonts w:hint="default" w:ascii="Arial" w:hAnsi="Arial" w:cs="Arial"/>
          <w:i/>
          <w:iCs/>
          <w:sz w:val="24"/>
          <w:szCs w:val="24"/>
        </w:rPr>
        <w:t>Tourism and Hospitality Research</w:t>
      </w:r>
      <w:r>
        <w:rPr>
          <w:rFonts w:hint="default" w:ascii="Arial" w:hAnsi="Arial" w:cs="Arial"/>
          <w:sz w:val="24"/>
          <w:szCs w:val="24"/>
        </w:rPr>
        <w:t xml:space="preserve">, 23, pp. 624 - 636. </w:t>
      </w:r>
      <w:r>
        <w:rPr>
          <w:rFonts w:hint="default" w:ascii="Arial" w:hAnsi="Arial" w:cs="Arial"/>
          <w:sz w:val="24"/>
          <w:szCs w:val="24"/>
        </w:rPr>
        <w:fldChar w:fldCharType="begin"/>
      </w:r>
      <w:r>
        <w:rPr>
          <w:rFonts w:hint="default" w:ascii="Arial" w:hAnsi="Arial" w:cs="Arial"/>
          <w:sz w:val="24"/>
          <w:szCs w:val="24"/>
        </w:rPr>
        <w:instrText xml:space="preserve"> HYPERLINK "https://doi.org/10.1177/14673584221119581" </w:instrText>
      </w:r>
      <w:r>
        <w:rPr>
          <w:rFonts w:hint="default" w:ascii="Arial" w:hAnsi="Arial" w:cs="Arial"/>
          <w:sz w:val="24"/>
          <w:szCs w:val="24"/>
        </w:rPr>
        <w:fldChar w:fldCharType="separate"/>
      </w:r>
      <w:r>
        <w:rPr>
          <w:rStyle w:val="4"/>
          <w:rFonts w:hint="default" w:ascii="Arial" w:hAnsi="Arial" w:cs="Arial"/>
          <w:sz w:val="24"/>
          <w:szCs w:val="24"/>
        </w:rPr>
        <w:t>https://doi.org/10.1177/14673584221119581</w:t>
      </w:r>
      <w:r>
        <w:rPr>
          <w:rStyle w:val="4"/>
          <w:rFonts w:hint="default" w:ascii="Arial" w:hAnsi="Arial" w:cs="Arial"/>
          <w:sz w:val="24"/>
          <w:szCs w:val="24"/>
        </w:rPr>
        <w:fldChar w:fldCharType="end"/>
      </w:r>
      <w:r>
        <w:rPr>
          <w:rFonts w:hint="default" w:ascii="Arial" w:hAnsi="Arial" w:cs="Arial"/>
          <w:sz w:val="24"/>
          <w:szCs w:val="24"/>
        </w:rPr>
        <w:t xml:space="preserve">. </w:t>
      </w:r>
    </w:p>
    <w:p w14:paraId="50503774">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color w:val="222222"/>
          <w:sz w:val="24"/>
          <w:szCs w:val="24"/>
          <w:shd w:val="clear" w:color="auto" w:fill="FFFFFF"/>
        </w:rPr>
      </w:pPr>
      <w:r>
        <w:rPr>
          <w:rFonts w:hint="default" w:ascii="Arial" w:hAnsi="Arial" w:cs="Arial"/>
          <w:color w:val="222222"/>
          <w:sz w:val="24"/>
          <w:szCs w:val="24"/>
          <w:shd w:val="clear" w:color="auto" w:fill="FFFFFF"/>
        </w:rPr>
        <w:t xml:space="preserve">Energy, H.O.M.E.R., 2012. RENEWABLE ENERGIES FOR REMOTE AREASANDISLANDS (REMOTE).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"https://www.researchgate.net/profile/Toby-Couture/publication/322419998_Renewable_Energies_for_Remote_Areas_and_Islands_REMOTE/links/5a586fc5a6fdccf0ad1ac255/Renewable-Energies-for-Remote-Areas-and-Islands-REMOTE.pdf" </w:instrText>
      </w:r>
      <w:r>
        <w:rPr>
          <w:rFonts w:hint="default" w:ascii="Arial" w:hAnsi="Arial" w:cs="Arial"/>
          <w:sz w:val="24"/>
          <w:szCs w:val="24"/>
        </w:rPr>
        <w:fldChar w:fldCharType="separate"/>
      </w:r>
      <w:r>
        <w:rPr>
          <w:rStyle w:val="4"/>
          <w:rFonts w:hint="default" w:ascii="Arial" w:hAnsi="Arial" w:cs="Arial"/>
          <w:sz w:val="24"/>
          <w:szCs w:val="24"/>
          <w:shd w:val="clear" w:color="auto" w:fill="FFFFFF"/>
        </w:rPr>
        <w:t>https://www.researchgate.net/profile/Toby-Couture/publication/322419998_Renewable_Energies_for_Remote_Areas_and_Islands_REMOTE/links/5a586fc5a6fdccf0ad1ac255/Renewable-Energies-for-Remote-Areas-and-Islands-REMOTE.pdf</w:t>
      </w:r>
      <w:r>
        <w:rPr>
          <w:rStyle w:val="4"/>
          <w:rFonts w:hint="default" w:ascii="Arial" w:hAnsi="Arial" w:cs="Arial"/>
          <w:sz w:val="24"/>
          <w:szCs w:val="24"/>
          <w:shd w:val="clear" w:color="auto" w:fill="FFFFFF"/>
        </w:rPr>
        <w:fldChar w:fldCharType="end"/>
      </w:r>
      <w:r>
        <w:rPr>
          <w:rFonts w:hint="default" w:ascii="Arial" w:hAnsi="Arial" w:cs="Arial"/>
          <w:color w:val="222222"/>
          <w:sz w:val="24"/>
          <w:szCs w:val="24"/>
          <w:shd w:val="clear" w:color="auto" w:fill="FFFFFF"/>
        </w:rPr>
        <w:t xml:space="preserve"> </w:t>
      </w:r>
    </w:p>
    <w:p w14:paraId="4FA0424E">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color w:val="222222"/>
          <w:sz w:val="24"/>
          <w:szCs w:val="24"/>
          <w:shd w:val="clear" w:color="auto" w:fill="FFFFFF"/>
        </w:rPr>
        <w:t xml:space="preserve">Executive Traveller, 2024. Island Vibes Await in The Maldive’s Best Resorts and Hotels. By Lana Bogunovich, March 28, 2024. </w:t>
      </w:r>
      <w:r>
        <w:rPr>
          <w:rFonts w:hint="default" w:ascii="Arial" w:hAnsi="Arial" w:cs="Arial"/>
          <w:sz w:val="24"/>
          <w:szCs w:val="24"/>
        </w:rPr>
        <w:fldChar w:fldCharType="begin"/>
      </w:r>
      <w:r>
        <w:rPr>
          <w:rFonts w:hint="default" w:ascii="Arial" w:hAnsi="Arial" w:cs="Arial"/>
          <w:sz w:val="24"/>
          <w:szCs w:val="24"/>
        </w:rPr>
        <w:instrText xml:space="preserve"> HYPERLINK "https://www.executivetraveller.com/best-luxury-resorts-maldives" </w:instrText>
      </w:r>
      <w:r>
        <w:rPr>
          <w:rFonts w:hint="default" w:ascii="Arial" w:hAnsi="Arial" w:cs="Arial"/>
          <w:sz w:val="24"/>
          <w:szCs w:val="24"/>
        </w:rPr>
        <w:fldChar w:fldCharType="separate"/>
      </w:r>
      <w:r>
        <w:rPr>
          <w:rStyle w:val="4"/>
          <w:rFonts w:hint="default" w:ascii="Arial" w:hAnsi="Arial" w:cs="Arial"/>
          <w:sz w:val="24"/>
          <w:szCs w:val="24"/>
          <w:shd w:val="clear" w:color="auto" w:fill="FFFFFF"/>
        </w:rPr>
        <w:t>https://www.executivetraveller.com/best-luxury-resorts-maldives</w:t>
      </w:r>
      <w:r>
        <w:rPr>
          <w:rStyle w:val="4"/>
          <w:rFonts w:hint="default" w:ascii="Arial" w:hAnsi="Arial" w:cs="Arial"/>
          <w:sz w:val="24"/>
          <w:szCs w:val="24"/>
          <w:shd w:val="clear" w:color="auto" w:fill="FFFFFF"/>
        </w:rPr>
        <w:fldChar w:fldCharType="end"/>
      </w:r>
      <w:r>
        <w:rPr>
          <w:rFonts w:hint="default" w:ascii="Arial" w:hAnsi="Arial" w:cs="Arial"/>
          <w:color w:val="222222"/>
          <w:sz w:val="24"/>
          <w:szCs w:val="24"/>
          <w:shd w:val="clear" w:color="auto" w:fill="FFFFFF"/>
        </w:rPr>
        <w:t xml:space="preserve"> </w:t>
      </w:r>
    </w:p>
    <w:p w14:paraId="76A32E43">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Florencia, O., Mahendra, M., &amp; Arthana, I., 2016. RPORATE SOCIAL RESPONSIBILITY (CSR) BIDANG LINGKUNGAN HIDUP PADA HOTEL BINTANG LIMA DI KAWASAN PARIWISATA UBUD, KABUPATEN GIANYAR. </w:t>
      </w:r>
      <w:r>
        <w:rPr>
          <w:rFonts w:hint="default" w:ascii="Arial" w:hAnsi="Arial" w:cs="Arial"/>
          <w:i/>
          <w:iCs/>
          <w:sz w:val="24"/>
          <w:szCs w:val="24"/>
        </w:rPr>
        <w:t>Ecotrophic: Journal of Environmental Science</w:t>
      </w:r>
      <w:r>
        <w:rPr>
          <w:rFonts w:hint="default" w:ascii="Arial" w:hAnsi="Arial" w:cs="Arial"/>
          <w:sz w:val="24"/>
          <w:szCs w:val="24"/>
        </w:rPr>
        <w:t xml:space="preserve">, 10, pp. 87-93. </w:t>
      </w:r>
      <w:r>
        <w:rPr>
          <w:rFonts w:hint="default" w:ascii="Arial" w:hAnsi="Arial" w:cs="Arial"/>
          <w:sz w:val="24"/>
          <w:szCs w:val="24"/>
        </w:rPr>
        <w:fldChar w:fldCharType="begin"/>
      </w:r>
      <w:r>
        <w:rPr>
          <w:rFonts w:hint="default" w:ascii="Arial" w:hAnsi="Arial" w:cs="Arial"/>
          <w:sz w:val="24"/>
          <w:szCs w:val="24"/>
        </w:rPr>
        <w:instrText xml:space="preserve"> HYPERLINK "https://doi.org/10.24843/EJES.2016.V10.I02.P02" </w:instrText>
      </w:r>
      <w:r>
        <w:rPr>
          <w:rFonts w:hint="default" w:ascii="Arial" w:hAnsi="Arial" w:cs="Arial"/>
          <w:sz w:val="24"/>
          <w:szCs w:val="24"/>
        </w:rPr>
        <w:fldChar w:fldCharType="separate"/>
      </w:r>
      <w:r>
        <w:rPr>
          <w:rStyle w:val="4"/>
          <w:rFonts w:hint="default" w:ascii="Arial" w:hAnsi="Arial" w:cs="Arial"/>
          <w:sz w:val="24"/>
          <w:szCs w:val="24"/>
        </w:rPr>
        <w:t>https://doi.org/10.24843/EJES.2016.V10.I02.P02</w:t>
      </w:r>
      <w:r>
        <w:rPr>
          <w:rStyle w:val="4"/>
          <w:rFonts w:hint="default" w:ascii="Arial" w:hAnsi="Arial" w:cs="Arial"/>
          <w:sz w:val="24"/>
          <w:szCs w:val="24"/>
        </w:rPr>
        <w:fldChar w:fldCharType="end"/>
      </w:r>
      <w:r>
        <w:rPr>
          <w:rFonts w:hint="default" w:ascii="Arial" w:hAnsi="Arial" w:cs="Arial"/>
          <w:sz w:val="24"/>
          <w:szCs w:val="24"/>
        </w:rPr>
        <w:t xml:space="preserve">. </w:t>
      </w:r>
    </w:p>
    <w:p w14:paraId="25220FCB">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Gashi, S., Liça, D. and Qosja, E., 2023. An overview into the literature on the concept of eco/green hotel1. In </w:t>
      </w:r>
      <w:r>
        <w:rPr>
          <w:rFonts w:hint="default" w:ascii="Arial" w:hAnsi="Arial" w:cs="Arial"/>
          <w:i/>
          <w:iCs/>
          <w:sz w:val="24"/>
          <w:szCs w:val="24"/>
        </w:rPr>
        <w:t>Proceedings of FIKUSZ Symposium for Young Researchers</w:t>
      </w:r>
      <w:r>
        <w:rPr>
          <w:rFonts w:hint="default" w:ascii="Arial" w:hAnsi="Arial" w:cs="Arial"/>
          <w:sz w:val="24"/>
          <w:szCs w:val="24"/>
        </w:rPr>
        <w:t xml:space="preserve"> (pp. 39-56). Óbuda University Keleti Károly Faculty of Economics.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"https://www.researchgate.net/profile/Denada-Lica-2/publication/379216573_An_overview_into_the_literature_on_the_concept_of_ecogreen_hotel/links/65fed97ea4857c796273dd01/An-overview-into-the-literature-on-the-concept-of-eco-green-hotel.pdf" \l "page=39" </w:instrText>
      </w:r>
      <w:r>
        <w:rPr>
          <w:rFonts w:hint="default" w:ascii="Arial" w:hAnsi="Arial" w:cs="Arial"/>
          <w:sz w:val="24"/>
          <w:szCs w:val="24"/>
        </w:rPr>
        <w:fldChar w:fldCharType="separate"/>
      </w:r>
      <w:r>
        <w:rPr>
          <w:rStyle w:val="4"/>
          <w:rFonts w:hint="default" w:ascii="Arial" w:hAnsi="Arial" w:cs="Arial"/>
          <w:sz w:val="24"/>
          <w:szCs w:val="24"/>
        </w:rPr>
        <w:t>https://www.researchgate.net/profile/Denada-Lica-2/publication/379216573_An_overview_into_the_literature_on_the_concept_of_ecogreen_hotel/links/65fed97ea4857c796273dd01/An-overview-into-the-literature-on-the-concept-of-eco-green-hotel.pdf#page=39</w:t>
      </w:r>
      <w:r>
        <w:rPr>
          <w:rStyle w:val="4"/>
          <w:rFonts w:hint="default" w:ascii="Arial" w:hAnsi="Arial" w:cs="Arial"/>
          <w:sz w:val="24"/>
          <w:szCs w:val="24"/>
        </w:rPr>
        <w:fldChar w:fldCharType="end"/>
      </w:r>
      <w:r>
        <w:rPr>
          <w:rFonts w:hint="default" w:ascii="Arial" w:hAnsi="Arial" w:cs="Arial"/>
          <w:sz w:val="24"/>
          <w:szCs w:val="24"/>
        </w:rPr>
        <w:t xml:space="preserve"> </w:t>
      </w:r>
    </w:p>
    <w:p w14:paraId="77965B41">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 xml:space="preserve">Hilmi, N., Basu, R., Crisóstomo, M., Lebleu, L., Claudet, J., &amp; Seveso, D., 2023. The pressures and opportunities for coral reef preservation and restoration in the Maldives. , 2. </w:t>
      </w:r>
      <w:r>
        <w:rPr>
          <w:rFonts w:hint="default" w:ascii="Arial" w:hAnsi="Arial" w:cs="Arial"/>
          <w:sz w:val="24"/>
          <w:szCs w:val="24"/>
        </w:rPr>
        <w:fldChar w:fldCharType="begin"/>
      </w:r>
      <w:r>
        <w:rPr>
          <w:rFonts w:hint="default" w:ascii="Arial" w:hAnsi="Arial" w:cs="Arial"/>
          <w:sz w:val="24"/>
          <w:szCs w:val="24"/>
        </w:rPr>
        <w:instrText xml:space="preserve"> HYPERLINK "https://doi.org/10.3389/frevc.2023.1110214" </w:instrText>
      </w:r>
      <w:r>
        <w:rPr>
          <w:rFonts w:hint="default" w:ascii="Arial" w:hAnsi="Arial" w:cs="Arial"/>
          <w:sz w:val="24"/>
          <w:szCs w:val="24"/>
        </w:rPr>
        <w:fldChar w:fldCharType="separate"/>
      </w:r>
      <w:r>
        <w:rPr>
          <w:rStyle w:val="4"/>
          <w:rFonts w:hint="default" w:ascii="Arial" w:hAnsi="Arial" w:cs="Arial"/>
          <w:sz w:val="24"/>
          <w:szCs w:val="24"/>
        </w:rPr>
        <w:t>https://doi.org/10.3389/frevc.2023.1110214</w:t>
      </w:r>
      <w:r>
        <w:rPr>
          <w:rStyle w:val="4"/>
          <w:rFonts w:hint="default" w:ascii="Arial" w:hAnsi="Arial" w:cs="Arial"/>
          <w:sz w:val="24"/>
          <w:szCs w:val="24"/>
        </w:rPr>
        <w:fldChar w:fldCharType="end"/>
      </w:r>
      <w:r>
        <w:rPr>
          <w:rFonts w:hint="default" w:ascii="Arial" w:hAnsi="Arial" w:cs="Arial"/>
          <w:sz w:val="24"/>
          <w:szCs w:val="24"/>
        </w:rPr>
        <w:t xml:space="preserve">. </w:t>
      </w:r>
    </w:p>
    <w:p w14:paraId="1456C15B">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Kapmeier, F., &amp; Gonçalves, P., 2018. Wasted paradise? Policies for Small Island States to manage tourism‐driven growth while controlling waste generation: the case of the Maldives. </w:t>
      </w:r>
      <w:r>
        <w:rPr>
          <w:rFonts w:hint="default" w:ascii="Arial" w:hAnsi="Arial" w:cs="Arial"/>
          <w:i/>
          <w:iCs/>
          <w:sz w:val="24"/>
          <w:szCs w:val="24"/>
        </w:rPr>
        <w:t>System Dynamics Review</w:t>
      </w:r>
      <w:r>
        <w:rPr>
          <w:rFonts w:hint="default" w:ascii="Arial" w:hAnsi="Arial" w:cs="Arial"/>
          <w:sz w:val="24"/>
          <w:szCs w:val="24"/>
        </w:rPr>
        <w:t xml:space="preserve">, 34, pp. 172-221. </w:t>
      </w:r>
      <w:r>
        <w:rPr>
          <w:rFonts w:hint="default" w:ascii="Arial" w:hAnsi="Arial" w:cs="Arial"/>
          <w:sz w:val="24"/>
          <w:szCs w:val="24"/>
        </w:rPr>
        <w:fldChar w:fldCharType="begin"/>
      </w:r>
      <w:r>
        <w:rPr>
          <w:rFonts w:hint="default" w:ascii="Arial" w:hAnsi="Arial" w:cs="Arial"/>
          <w:sz w:val="24"/>
          <w:szCs w:val="24"/>
        </w:rPr>
        <w:instrText xml:space="preserve"> HYPERLINK "https://doi.org/10.1002/SDR.1607" </w:instrText>
      </w:r>
      <w:r>
        <w:rPr>
          <w:rFonts w:hint="default" w:ascii="Arial" w:hAnsi="Arial" w:cs="Arial"/>
          <w:sz w:val="24"/>
          <w:szCs w:val="24"/>
        </w:rPr>
        <w:fldChar w:fldCharType="separate"/>
      </w:r>
      <w:r>
        <w:rPr>
          <w:rStyle w:val="4"/>
          <w:rFonts w:hint="default" w:ascii="Arial" w:hAnsi="Arial" w:cs="Arial"/>
          <w:sz w:val="24"/>
          <w:szCs w:val="24"/>
        </w:rPr>
        <w:t>https://doi.org/10.1002/SDR.1607</w:t>
      </w:r>
      <w:r>
        <w:rPr>
          <w:rStyle w:val="4"/>
          <w:rFonts w:hint="default" w:ascii="Arial" w:hAnsi="Arial" w:cs="Arial"/>
          <w:sz w:val="24"/>
          <w:szCs w:val="24"/>
        </w:rPr>
        <w:fldChar w:fldCharType="end"/>
      </w:r>
      <w:r>
        <w:rPr>
          <w:rFonts w:hint="default" w:ascii="Arial" w:hAnsi="Arial" w:cs="Arial"/>
          <w:sz w:val="24"/>
          <w:szCs w:val="24"/>
        </w:rPr>
        <w:t xml:space="preserve">. </w:t>
      </w:r>
    </w:p>
    <w:p w14:paraId="18ABEBDE">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Kitada, M. and Ölçer, A., 2015. Managing people and technology: The challenges in CSR and energy efficient shipping. </w:t>
      </w:r>
      <w:r>
        <w:rPr>
          <w:rFonts w:hint="default" w:ascii="Arial" w:hAnsi="Arial" w:cs="Arial"/>
          <w:i/>
          <w:iCs/>
          <w:sz w:val="24"/>
          <w:szCs w:val="24"/>
        </w:rPr>
        <w:t>Research in transportation business &amp; management</w:t>
      </w:r>
      <w:r>
        <w:rPr>
          <w:rFonts w:hint="default" w:ascii="Arial" w:hAnsi="Arial" w:cs="Arial"/>
          <w:sz w:val="24"/>
          <w:szCs w:val="24"/>
        </w:rPr>
        <w:t>, </w:t>
      </w:r>
      <w:r>
        <w:rPr>
          <w:rFonts w:hint="default" w:ascii="Arial" w:hAnsi="Arial" w:cs="Arial"/>
          <w:i/>
          <w:iCs/>
          <w:sz w:val="24"/>
          <w:szCs w:val="24"/>
        </w:rPr>
        <w:t>17</w:t>
      </w:r>
      <w:r>
        <w:rPr>
          <w:rFonts w:hint="default" w:ascii="Arial" w:hAnsi="Arial" w:cs="Arial"/>
          <w:sz w:val="24"/>
          <w:szCs w:val="24"/>
        </w:rPr>
        <w:t xml:space="preserve">, pp.36-40. </w:t>
      </w:r>
      <w:r>
        <w:rPr>
          <w:rFonts w:hint="default" w:ascii="Arial" w:hAnsi="Arial" w:cs="Arial"/>
          <w:sz w:val="24"/>
          <w:szCs w:val="24"/>
        </w:rPr>
        <w:fldChar w:fldCharType="begin"/>
      </w:r>
      <w:r>
        <w:rPr>
          <w:rFonts w:hint="default" w:ascii="Arial" w:hAnsi="Arial" w:cs="Arial"/>
          <w:sz w:val="24"/>
          <w:szCs w:val="24"/>
        </w:rPr>
        <w:instrText xml:space="preserve"> HYPERLINK "https://doi.org/10.1016/j.rtbm.2015.10.002" </w:instrText>
      </w:r>
      <w:r>
        <w:rPr>
          <w:rFonts w:hint="default" w:ascii="Arial" w:hAnsi="Arial" w:cs="Arial"/>
          <w:sz w:val="24"/>
          <w:szCs w:val="24"/>
        </w:rPr>
        <w:fldChar w:fldCharType="separate"/>
      </w:r>
      <w:r>
        <w:rPr>
          <w:rStyle w:val="4"/>
          <w:rFonts w:hint="default" w:ascii="Arial" w:hAnsi="Arial" w:cs="Arial"/>
          <w:sz w:val="24"/>
          <w:szCs w:val="24"/>
        </w:rPr>
        <w:t>https://doi.org/10.1016/j.rtbm.2015.10.002</w:t>
      </w:r>
      <w:r>
        <w:rPr>
          <w:rStyle w:val="4"/>
          <w:rFonts w:hint="default" w:ascii="Arial" w:hAnsi="Arial" w:cs="Arial"/>
          <w:sz w:val="24"/>
          <w:szCs w:val="24"/>
        </w:rPr>
        <w:fldChar w:fldCharType="end"/>
      </w:r>
      <w:r>
        <w:rPr>
          <w:rFonts w:hint="default" w:ascii="Arial" w:hAnsi="Arial" w:cs="Arial"/>
          <w:sz w:val="24"/>
          <w:szCs w:val="24"/>
        </w:rPr>
        <w:t xml:space="preserve"> </w:t>
      </w:r>
    </w:p>
    <w:p w14:paraId="3B93AE2A">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Krumwiede, D., Hackert, A.M., Tokle, J. and Vokurka, R.J., 2012. The practice of corporate social responsibility in different countries: a study of firms in Canada, Hungary, Italy, Lebanon, Taiwan and the United States. </w:t>
      </w:r>
      <w:r>
        <w:rPr>
          <w:rFonts w:hint="default" w:ascii="Arial" w:hAnsi="Arial" w:cs="Arial"/>
          <w:i/>
          <w:iCs/>
          <w:sz w:val="24"/>
          <w:szCs w:val="24"/>
        </w:rPr>
        <w:t>International Journal of Management</w:t>
      </w:r>
      <w:r>
        <w:rPr>
          <w:rFonts w:hint="default" w:ascii="Arial" w:hAnsi="Arial" w:cs="Arial"/>
          <w:sz w:val="24"/>
          <w:szCs w:val="24"/>
        </w:rPr>
        <w:t>, </w:t>
      </w:r>
      <w:r>
        <w:rPr>
          <w:rFonts w:hint="default" w:ascii="Arial" w:hAnsi="Arial" w:cs="Arial"/>
          <w:i/>
          <w:iCs/>
          <w:sz w:val="24"/>
          <w:szCs w:val="24"/>
        </w:rPr>
        <w:t>29</w:t>
      </w:r>
      <w:r>
        <w:rPr>
          <w:rFonts w:hint="default" w:ascii="Arial" w:hAnsi="Arial" w:cs="Arial"/>
          <w:sz w:val="24"/>
          <w:szCs w:val="24"/>
        </w:rPr>
        <w:t xml:space="preserve">(1), p.389. </w:t>
      </w:r>
      <w:r>
        <w:rPr>
          <w:rFonts w:hint="default" w:ascii="Arial" w:hAnsi="Arial" w:cs="Arial"/>
          <w:sz w:val="24"/>
          <w:szCs w:val="24"/>
        </w:rPr>
        <w:fldChar w:fldCharType="begin"/>
      </w:r>
      <w:r>
        <w:rPr>
          <w:rFonts w:hint="default" w:ascii="Arial" w:hAnsi="Arial" w:cs="Arial"/>
          <w:sz w:val="24"/>
          <w:szCs w:val="24"/>
        </w:rPr>
        <w:instrText xml:space="preserve"> HYPERLINK "https://www.proquest.com/docview/925803626/fulltextPDF/D8D0CB5619C64525PQ/1?accountid=130472" </w:instrText>
      </w:r>
      <w:r>
        <w:rPr>
          <w:rFonts w:hint="default" w:ascii="Arial" w:hAnsi="Arial" w:cs="Arial"/>
          <w:sz w:val="24"/>
          <w:szCs w:val="24"/>
        </w:rPr>
        <w:fldChar w:fldCharType="separate"/>
      </w:r>
      <w:r>
        <w:rPr>
          <w:rStyle w:val="4"/>
          <w:rFonts w:hint="default" w:ascii="Arial" w:hAnsi="Arial" w:cs="Arial"/>
          <w:sz w:val="24"/>
          <w:szCs w:val="24"/>
        </w:rPr>
        <w:t>https://www.proquest.com/docview/925803626/fulltextPDF/D8D0CB5619C64525PQ/1?accountid=130472</w:t>
      </w:r>
      <w:r>
        <w:rPr>
          <w:rStyle w:val="4"/>
          <w:rFonts w:hint="default" w:ascii="Arial" w:hAnsi="Arial" w:cs="Arial"/>
          <w:sz w:val="24"/>
          <w:szCs w:val="24"/>
        </w:rPr>
        <w:fldChar w:fldCharType="end"/>
      </w:r>
      <w:r>
        <w:rPr>
          <w:rFonts w:hint="default" w:ascii="Arial" w:hAnsi="Arial" w:cs="Arial"/>
          <w:sz w:val="24"/>
          <w:szCs w:val="24"/>
        </w:rPr>
        <w:t xml:space="preserve"> </w:t>
      </w:r>
    </w:p>
    <w:p w14:paraId="6156DE6F">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Latif, K., Pérez, A., &amp; Sahibzada, U., 2020. Corporate social responsibility (CSR) and customer loyalty in the hotel industry: A cross-country study. </w:t>
      </w:r>
      <w:r>
        <w:rPr>
          <w:rFonts w:hint="default" w:ascii="Arial" w:hAnsi="Arial" w:cs="Arial"/>
          <w:i/>
          <w:iCs/>
          <w:sz w:val="24"/>
          <w:szCs w:val="24"/>
        </w:rPr>
        <w:t>International Journal of Hospitality Management</w:t>
      </w:r>
      <w:r>
        <w:rPr>
          <w:rFonts w:hint="default" w:ascii="Arial" w:hAnsi="Arial" w:cs="Arial"/>
          <w:sz w:val="24"/>
          <w:szCs w:val="24"/>
        </w:rPr>
        <w:t xml:space="preserve">, 89, 102565. </w:t>
      </w:r>
      <w:r>
        <w:rPr>
          <w:rFonts w:hint="default" w:ascii="Arial" w:hAnsi="Arial" w:cs="Arial"/>
          <w:sz w:val="24"/>
          <w:szCs w:val="24"/>
        </w:rPr>
        <w:fldChar w:fldCharType="begin"/>
      </w:r>
      <w:r>
        <w:rPr>
          <w:rFonts w:hint="default" w:ascii="Arial" w:hAnsi="Arial" w:cs="Arial"/>
          <w:sz w:val="24"/>
          <w:szCs w:val="24"/>
        </w:rPr>
        <w:instrText xml:space="preserve"> HYPERLINK "https://doi.org/10.1016/j.ijhm.2020.102565" </w:instrText>
      </w:r>
      <w:r>
        <w:rPr>
          <w:rFonts w:hint="default" w:ascii="Arial" w:hAnsi="Arial" w:cs="Arial"/>
          <w:sz w:val="24"/>
          <w:szCs w:val="24"/>
        </w:rPr>
        <w:fldChar w:fldCharType="separate"/>
      </w:r>
      <w:r>
        <w:rPr>
          <w:rStyle w:val="4"/>
          <w:rFonts w:hint="default" w:ascii="Arial" w:hAnsi="Arial" w:cs="Arial"/>
          <w:sz w:val="24"/>
          <w:szCs w:val="24"/>
        </w:rPr>
        <w:t>https://doi.org/10.1016/j.ijhm.2020.102565</w:t>
      </w:r>
      <w:r>
        <w:rPr>
          <w:rStyle w:val="4"/>
          <w:rFonts w:hint="default" w:ascii="Arial" w:hAnsi="Arial" w:cs="Arial"/>
          <w:sz w:val="24"/>
          <w:szCs w:val="24"/>
        </w:rPr>
        <w:fldChar w:fldCharType="end"/>
      </w:r>
      <w:r>
        <w:rPr>
          <w:rFonts w:hint="default" w:ascii="Arial" w:hAnsi="Arial" w:cs="Arial"/>
          <w:sz w:val="24"/>
          <w:szCs w:val="24"/>
        </w:rPr>
        <w:t xml:space="preserve">. </w:t>
      </w:r>
    </w:p>
    <w:p w14:paraId="1366513C">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Lebrec, M., Stefanski, S., Gates, R., Acar, S., Golbuu, Y., Claudel-Rusin, A., Kurihara, H., Rehdanz, K., Paugam-Baudoin, D., Tsunoda, T. and Swarzenski, P.W., 2019. Ocean acidification impacts in select Pacific Basin coral reef ecosystems. </w:t>
      </w:r>
      <w:r>
        <w:rPr>
          <w:rFonts w:hint="default" w:ascii="Arial" w:hAnsi="Arial" w:cs="Arial"/>
          <w:i/>
          <w:iCs/>
          <w:sz w:val="24"/>
          <w:szCs w:val="24"/>
        </w:rPr>
        <w:t>Regional Studies in Marine Science</w:t>
      </w:r>
      <w:r>
        <w:rPr>
          <w:rFonts w:hint="default" w:ascii="Arial" w:hAnsi="Arial" w:cs="Arial"/>
          <w:sz w:val="24"/>
          <w:szCs w:val="24"/>
        </w:rPr>
        <w:t>, </w:t>
      </w:r>
      <w:r>
        <w:rPr>
          <w:rFonts w:hint="default" w:ascii="Arial" w:hAnsi="Arial" w:cs="Arial"/>
          <w:i/>
          <w:iCs/>
          <w:sz w:val="24"/>
          <w:szCs w:val="24"/>
        </w:rPr>
        <w:t>28</w:t>
      </w:r>
      <w:r>
        <w:rPr>
          <w:rFonts w:hint="default" w:ascii="Arial" w:hAnsi="Arial" w:cs="Arial"/>
          <w:sz w:val="24"/>
          <w:szCs w:val="24"/>
        </w:rPr>
        <w:t xml:space="preserve">, p.100584. </w:t>
      </w:r>
      <w:r>
        <w:rPr>
          <w:rFonts w:hint="default" w:ascii="Arial" w:hAnsi="Arial" w:cs="Arial"/>
          <w:sz w:val="24"/>
          <w:szCs w:val="24"/>
        </w:rPr>
        <w:fldChar w:fldCharType="begin"/>
      </w:r>
      <w:r>
        <w:rPr>
          <w:rFonts w:hint="default" w:ascii="Arial" w:hAnsi="Arial" w:cs="Arial"/>
          <w:sz w:val="24"/>
          <w:szCs w:val="24"/>
        </w:rPr>
        <w:instrText xml:space="preserve"> HYPERLINK "https://doi.org/10.1016/j.rsma.2019.100584" </w:instrText>
      </w:r>
      <w:r>
        <w:rPr>
          <w:rFonts w:hint="default" w:ascii="Arial" w:hAnsi="Arial" w:cs="Arial"/>
          <w:sz w:val="24"/>
          <w:szCs w:val="24"/>
        </w:rPr>
        <w:fldChar w:fldCharType="separate"/>
      </w:r>
      <w:r>
        <w:rPr>
          <w:rStyle w:val="4"/>
          <w:rFonts w:hint="default" w:ascii="Arial" w:hAnsi="Arial" w:cs="Arial"/>
          <w:sz w:val="24"/>
          <w:szCs w:val="24"/>
        </w:rPr>
        <w:t>https://doi.org/10.1016/j.rsma.2019.100584</w:t>
      </w:r>
      <w:r>
        <w:rPr>
          <w:rStyle w:val="4"/>
          <w:rFonts w:hint="default" w:ascii="Arial" w:hAnsi="Arial" w:cs="Arial"/>
          <w:sz w:val="24"/>
          <w:szCs w:val="24"/>
        </w:rPr>
        <w:fldChar w:fldCharType="end"/>
      </w:r>
      <w:r>
        <w:rPr>
          <w:rFonts w:hint="default" w:ascii="Arial" w:hAnsi="Arial" w:cs="Arial"/>
          <w:sz w:val="24"/>
          <w:szCs w:val="24"/>
        </w:rPr>
        <w:t xml:space="preserve"> </w:t>
      </w:r>
    </w:p>
    <w:p w14:paraId="06A9CCA9">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Luthra, S., &amp; Mangla, S., 2018. Evaluating challenges to Industry 4.0 initiatives for supply chain sustainability in emerging economies. </w:t>
      </w:r>
      <w:r>
        <w:rPr>
          <w:rFonts w:hint="default" w:ascii="Arial" w:hAnsi="Arial" w:cs="Arial"/>
          <w:i/>
          <w:iCs/>
          <w:sz w:val="24"/>
          <w:szCs w:val="24"/>
        </w:rPr>
        <w:t>Process Safety and Environmental Protection</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"https://doi.org/10.1016/J.PSEP.2018.04.018" </w:instrText>
      </w:r>
      <w:r>
        <w:rPr>
          <w:rFonts w:hint="default" w:ascii="Arial" w:hAnsi="Arial" w:cs="Arial"/>
          <w:sz w:val="24"/>
          <w:szCs w:val="24"/>
        </w:rPr>
        <w:fldChar w:fldCharType="separate"/>
      </w:r>
      <w:r>
        <w:rPr>
          <w:rStyle w:val="4"/>
          <w:rFonts w:hint="default" w:ascii="Arial" w:hAnsi="Arial" w:cs="Arial"/>
          <w:sz w:val="24"/>
          <w:szCs w:val="24"/>
        </w:rPr>
        <w:t>https://doi.org/10.1016/J.PSEP.2018.04.018</w:t>
      </w:r>
      <w:r>
        <w:rPr>
          <w:rStyle w:val="4"/>
          <w:rFonts w:hint="default" w:ascii="Arial" w:hAnsi="Arial" w:cs="Arial"/>
          <w:sz w:val="24"/>
          <w:szCs w:val="24"/>
        </w:rPr>
        <w:fldChar w:fldCharType="end"/>
      </w:r>
      <w:r>
        <w:rPr>
          <w:rFonts w:hint="default" w:ascii="Arial" w:hAnsi="Arial" w:cs="Arial"/>
          <w:sz w:val="24"/>
          <w:szCs w:val="24"/>
        </w:rPr>
        <w:t xml:space="preserve">. </w:t>
      </w:r>
    </w:p>
    <w:p w14:paraId="0D90DEFF">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 xml:space="preserve">Maldive Insider, 2024. </w:t>
      </w:r>
      <w:r>
        <w:rPr>
          <w:rFonts w:hint="default" w:ascii="Arial" w:hAnsi="Arial" w:cs="Arial"/>
          <w:sz w:val="24"/>
          <w:szCs w:val="24"/>
        </w:rPr>
        <w:fldChar w:fldCharType="begin"/>
      </w:r>
      <w:r>
        <w:rPr>
          <w:rFonts w:hint="default" w:ascii="Arial" w:hAnsi="Arial" w:cs="Arial"/>
          <w:sz w:val="24"/>
          <w:szCs w:val="24"/>
        </w:rPr>
        <w:instrText xml:space="preserve"> HYPERLINK "https://maldives.net.mv/59536/six-senses-laamu-celebrates-anniversary-of-sea-hub-of-environmental-learning-in-laamu/" </w:instrText>
      </w:r>
      <w:r>
        <w:rPr>
          <w:rFonts w:hint="default" w:ascii="Arial" w:hAnsi="Arial" w:cs="Arial"/>
          <w:sz w:val="24"/>
          <w:szCs w:val="24"/>
        </w:rPr>
        <w:fldChar w:fldCharType="separate"/>
      </w:r>
      <w:r>
        <w:rPr>
          <w:rStyle w:val="4"/>
          <w:rFonts w:hint="default" w:ascii="Arial" w:hAnsi="Arial" w:cs="Arial"/>
          <w:sz w:val="24"/>
          <w:szCs w:val="24"/>
        </w:rPr>
        <w:t>Six Senses Laamu celebrates anniversary of Sea Hub of environmental learning in Laamu – Maldives Insider</w:t>
      </w:r>
      <w:r>
        <w:rPr>
          <w:rStyle w:val="4"/>
          <w:rFonts w:hint="default" w:ascii="Arial" w:hAnsi="Arial" w:cs="Arial"/>
          <w:sz w:val="24"/>
          <w:szCs w:val="24"/>
        </w:rPr>
        <w:fldChar w:fldCharType="end"/>
      </w:r>
    </w:p>
    <w:p w14:paraId="16EFE1A6">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Martínez, P. and Del Bosque, I.R., 2013. CSR and customer loyalty: The roles of trust, customer identification with the company and satisfaction. </w:t>
      </w:r>
      <w:r>
        <w:rPr>
          <w:rFonts w:hint="default" w:ascii="Arial" w:hAnsi="Arial" w:cs="Arial"/>
          <w:i/>
          <w:iCs/>
          <w:sz w:val="24"/>
          <w:szCs w:val="24"/>
        </w:rPr>
        <w:t>International journal of hospitality management</w:t>
      </w:r>
      <w:r>
        <w:rPr>
          <w:rFonts w:hint="default" w:ascii="Arial" w:hAnsi="Arial" w:cs="Arial"/>
          <w:sz w:val="24"/>
          <w:szCs w:val="24"/>
        </w:rPr>
        <w:t>, </w:t>
      </w:r>
      <w:r>
        <w:rPr>
          <w:rFonts w:hint="default" w:ascii="Arial" w:hAnsi="Arial" w:cs="Arial"/>
          <w:i/>
          <w:iCs/>
          <w:sz w:val="24"/>
          <w:szCs w:val="24"/>
        </w:rPr>
        <w:t>35</w:t>
      </w:r>
      <w:r>
        <w:rPr>
          <w:rFonts w:hint="default" w:ascii="Arial" w:hAnsi="Arial" w:cs="Arial"/>
          <w:sz w:val="24"/>
          <w:szCs w:val="24"/>
        </w:rPr>
        <w:t xml:space="preserve">, pp.89-99. </w:t>
      </w:r>
      <w:r>
        <w:rPr>
          <w:rFonts w:hint="default" w:ascii="Arial" w:hAnsi="Arial" w:cs="Arial"/>
          <w:sz w:val="24"/>
          <w:szCs w:val="24"/>
        </w:rPr>
        <w:fldChar w:fldCharType="begin"/>
      </w:r>
      <w:r>
        <w:rPr>
          <w:rFonts w:hint="default" w:ascii="Arial" w:hAnsi="Arial" w:cs="Arial"/>
          <w:sz w:val="24"/>
          <w:szCs w:val="24"/>
        </w:rPr>
        <w:instrText xml:space="preserve"> HYPERLINK "https://doi.org/10.1016/j.ijhm.2013.05.009" </w:instrText>
      </w:r>
      <w:r>
        <w:rPr>
          <w:rFonts w:hint="default" w:ascii="Arial" w:hAnsi="Arial" w:cs="Arial"/>
          <w:sz w:val="24"/>
          <w:szCs w:val="24"/>
        </w:rPr>
        <w:fldChar w:fldCharType="separate"/>
      </w:r>
      <w:r>
        <w:rPr>
          <w:rStyle w:val="4"/>
          <w:rFonts w:hint="default" w:ascii="Arial" w:hAnsi="Arial" w:cs="Arial"/>
          <w:sz w:val="24"/>
          <w:szCs w:val="24"/>
        </w:rPr>
        <w:t>https://doi.org/10.1016/j.ijhm.2013.05.009</w:t>
      </w:r>
      <w:r>
        <w:rPr>
          <w:rStyle w:val="4"/>
          <w:rFonts w:hint="default" w:ascii="Arial" w:hAnsi="Arial" w:cs="Arial"/>
          <w:sz w:val="24"/>
          <w:szCs w:val="24"/>
        </w:rPr>
        <w:fldChar w:fldCharType="end"/>
      </w:r>
      <w:r>
        <w:rPr>
          <w:rFonts w:hint="default" w:ascii="Arial" w:hAnsi="Arial" w:cs="Arial"/>
          <w:sz w:val="24"/>
          <w:szCs w:val="24"/>
        </w:rPr>
        <w:t xml:space="preserve">  </w:t>
      </w:r>
    </w:p>
    <w:p w14:paraId="7F582194">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 xml:space="preserve">MUI, 2024. The Maldives Underwater Initiative. An Initiative by Six Senses Laamu. </w:t>
      </w:r>
      <w:r>
        <w:rPr>
          <w:rFonts w:hint="default" w:ascii="Arial" w:hAnsi="Arial" w:cs="Arial"/>
          <w:sz w:val="24"/>
          <w:szCs w:val="24"/>
        </w:rPr>
        <w:fldChar w:fldCharType="begin"/>
      </w:r>
      <w:r>
        <w:rPr>
          <w:rFonts w:hint="default" w:ascii="Arial" w:hAnsi="Arial" w:cs="Arial"/>
          <w:sz w:val="24"/>
          <w:szCs w:val="24"/>
        </w:rPr>
        <w:instrText xml:space="preserve"> HYPERLINK "https://www.maldivesunderwaterinitiative.com/" </w:instrText>
      </w:r>
      <w:r>
        <w:rPr>
          <w:rFonts w:hint="default" w:ascii="Arial" w:hAnsi="Arial" w:cs="Arial"/>
          <w:sz w:val="24"/>
          <w:szCs w:val="24"/>
        </w:rPr>
        <w:fldChar w:fldCharType="separate"/>
      </w:r>
      <w:r>
        <w:rPr>
          <w:rStyle w:val="4"/>
          <w:rFonts w:hint="default" w:ascii="Arial" w:hAnsi="Arial" w:cs="Arial"/>
          <w:sz w:val="24"/>
          <w:szCs w:val="24"/>
        </w:rPr>
        <w:t>Maldives Underwater Initiative</w:t>
      </w:r>
      <w:r>
        <w:rPr>
          <w:rStyle w:val="4"/>
          <w:rFonts w:hint="default" w:ascii="Arial" w:hAnsi="Arial" w:cs="Arial"/>
          <w:sz w:val="24"/>
          <w:szCs w:val="24"/>
        </w:rPr>
        <w:fldChar w:fldCharType="end"/>
      </w:r>
      <w:r>
        <w:rPr>
          <w:rFonts w:hint="default" w:ascii="Arial" w:hAnsi="Arial" w:cs="Arial"/>
          <w:sz w:val="24"/>
          <w:szCs w:val="24"/>
        </w:rPr>
        <w:t xml:space="preserve">  </w:t>
      </w:r>
    </w:p>
    <w:p w14:paraId="374457E2">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color w:val="222222"/>
          <w:sz w:val="24"/>
          <w:szCs w:val="24"/>
          <w:shd w:val="clear" w:color="auto" w:fill="FFFFFF"/>
        </w:rPr>
      </w:pPr>
      <w:r>
        <w:rPr>
          <w:rFonts w:hint="default" w:ascii="Arial" w:hAnsi="Arial" w:cs="Arial"/>
          <w:color w:val="222222"/>
          <w:sz w:val="24"/>
          <w:szCs w:val="24"/>
          <w:shd w:val="clear" w:color="auto" w:fill="FFFFFF"/>
        </w:rPr>
        <w:t>Palacios-Florencio, B., Garcia del Junco, J., Castellanos-Verdugo, M. and Rosa-Díaz, I.M., 2018. Trust as mediator of corporate social responsibility, image and loyalty in the hotel sector. </w:t>
      </w:r>
      <w:r>
        <w:rPr>
          <w:rFonts w:hint="default" w:ascii="Arial" w:hAnsi="Arial" w:cs="Arial"/>
          <w:i/>
          <w:iCs/>
          <w:color w:val="222222"/>
          <w:sz w:val="24"/>
          <w:szCs w:val="24"/>
          <w:shd w:val="clear" w:color="auto" w:fill="FFFFFF"/>
        </w:rPr>
        <w:t>Journal of Sustainable Tourism</w:t>
      </w:r>
      <w:r>
        <w:rPr>
          <w:rFonts w:hint="default" w:ascii="Arial" w:hAnsi="Arial" w:cs="Arial"/>
          <w:color w:val="222222"/>
          <w:sz w:val="24"/>
          <w:szCs w:val="24"/>
          <w:shd w:val="clear" w:color="auto" w:fill="FFFFFF"/>
        </w:rPr>
        <w:t>, </w:t>
      </w:r>
      <w:r>
        <w:rPr>
          <w:rFonts w:hint="default" w:ascii="Arial" w:hAnsi="Arial" w:cs="Arial"/>
          <w:i/>
          <w:iCs/>
          <w:color w:val="222222"/>
          <w:sz w:val="24"/>
          <w:szCs w:val="24"/>
          <w:shd w:val="clear" w:color="auto" w:fill="FFFFFF"/>
        </w:rPr>
        <w:t>26</w:t>
      </w:r>
      <w:r>
        <w:rPr>
          <w:rFonts w:hint="default" w:ascii="Arial" w:hAnsi="Arial" w:cs="Arial"/>
          <w:color w:val="222222"/>
          <w:sz w:val="24"/>
          <w:szCs w:val="24"/>
          <w:shd w:val="clear" w:color="auto" w:fill="FFFFFF"/>
        </w:rPr>
        <w:t xml:space="preserve">(7), pp.1273-1289. </w:t>
      </w:r>
      <w:r>
        <w:rPr>
          <w:rFonts w:hint="default" w:ascii="Arial" w:hAnsi="Arial" w:cs="Arial"/>
          <w:sz w:val="24"/>
          <w:szCs w:val="24"/>
        </w:rPr>
        <w:fldChar w:fldCharType="begin"/>
      </w:r>
      <w:r>
        <w:rPr>
          <w:rFonts w:hint="default" w:ascii="Arial" w:hAnsi="Arial" w:cs="Arial"/>
          <w:sz w:val="24"/>
          <w:szCs w:val="24"/>
        </w:rPr>
        <w:instrText xml:space="preserve"> HYPERLINK "https://doi.org/10.1080/09669582.2018.1447944" </w:instrText>
      </w:r>
      <w:r>
        <w:rPr>
          <w:rFonts w:hint="default" w:ascii="Arial" w:hAnsi="Arial" w:cs="Arial"/>
          <w:sz w:val="24"/>
          <w:szCs w:val="24"/>
        </w:rPr>
        <w:fldChar w:fldCharType="separate"/>
      </w:r>
      <w:r>
        <w:rPr>
          <w:rStyle w:val="4"/>
          <w:rFonts w:hint="default" w:ascii="Arial" w:hAnsi="Arial" w:cs="Arial"/>
          <w:sz w:val="24"/>
          <w:szCs w:val="24"/>
          <w:shd w:val="clear" w:color="auto" w:fill="FFFFFF"/>
        </w:rPr>
        <w:t>https://doi.org/10.1080/09669582.2018.1447944</w:t>
      </w:r>
      <w:r>
        <w:rPr>
          <w:rStyle w:val="4"/>
          <w:rFonts w:hint="default" w:ascii="Arial" w:hAnsi="Arial" w:cs="Arial"/>
          <w:sz w:val="24"/>
          <w:szCs w:val="24"/>
          <w:shd w:val="clear" w:color="auto" w:fill="FFFFFF"/>
        </w:rPr>
        <w:fldChar w:fldCharType="end"/>
      </w:r>
      <w:r>
        <w:rPr>
          <w:rFonts w:hint="default" w:ascii="Arial" w:hAnsi="Arial" w:cs="Arial"/>
          <w:color w:val="222222"/>
          <w:sz w:val="24"/>
          <w:szCs w:val="24"/>
          <w:shd w:val="clear" w:color="auto" w:fill="FFFFFF"/>
        </w:rPr>
        <w:t xml:space="preserve">  </w:t>
      </w:r>
    </w:p>
    <w:p w14:paraId="75995634">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Pirani, S., &amp; Arafat, H., 2014. Solid waste management in the hospitality industry: a review.. </w:t>
      </w:r>
      <w:r>
        <w:rPr>
          <w:rFonts w:hint="default" w:ascii="Arial" w:hAnsi="Arial" w:cs="Arial"/>
          <w:i/>
          <w:iCs/>
          <w:sz w:val="24"/>
          <w:szCs w:val="24"/>
        </w:rPr>
        <w:t>Journal of environmental management</w:t>
      </w:r>
      <w:r>
        <w:rPr>
          <w:rFonts w:hint="default" w:ascii="Arial" w:hAnsi="Arial" w:cs="Arial"/>
          <w:sz w:val="24"/>
          <w:szCs w:val="24"/>
        </w:rPr>
        <w:t xml:space="preserve">, 146, pp. 320-336 . </w:t>
      </w:r>
      <w:r>
        <w:rPr>
          <w:rFonts w:hint="default" w:ascii="Arial" w:hAnsi="Arial" w:cs="Arial"/>
          <w:sz w:val="24"/>
          <w:szCs w:val="24"/>
        </w:rPr>
        <w:fldChar w:fldCharType="begin"/>
      </w:r>
      <w:r>
        <w:rPr>
          <w:rFonts w:hint="default" w:ascii="Arial" w:hAnsi="Arial" w:cs="Arial"/>
          <w:sz w:val="24"/>
          <w:szCs w:val="24"/>
        </w:rPr>
        <w:instrText xml:space="preserve"> HYPERLINK "https://doi.org/10.1016/j.jenvman.2014.07.038" </w:instrText>
      </w:r>
      <w:r>
        <w:rPr>
          <w:rFonts w:hint="default" w:ascii="Arial" w:hAnsi="Arial" w:cs="Arial"/>
          <w:sz w:val="24"/>
          <w:szCs w:val="24"/>
        </w:rPr>
        <w:fldChar w:fldCharType="separate"/>
      </w:r>
      <w:r>
        <w:rPr>
          <w:rStyle w:val="4"/>
          <w:rFonts w:hint="default" w:ascii="Arial" w:hAnsi="Arial" w:cs="Arial"/>
          <w:sz w:val="24"/>
          <w:szCs w:val="24"/>
        </w:rPr>
        <w:t>https://doi.org/10.1016/j.jenvman.2014.07.038</w:t>
      </w:r>
      <w:r>
        <w:rPr>
          <w:rStyle w:val="4"/>
          <w:rFonts w:hint="default" w:ascii="Arial" w:hAnsi="Arial" w:cs="Arial"/>
          <w:sz w:val="24"/>
          <w:szCs w:val="24"/>
        </w:rPr>
        <w:fldChar w:fldCharType="end"/>
      </w:r>
      <w:r>
        <w:rPr>
          <w:rFonts w:hint="default" w:ascii="Arial" w:hAnsi="Arial" w:cs="Arial"/>
          <w:sz w:val="24"/>
          <w:szCs w:val="24"/>
        </w:rPr>
        <w:t xml:space="preserve">. </w:t>
      </w:r>
    </w:p>
    <w:p w14:paraId="5D5FC219">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Ramirez, A. and George, B., 2019. Plastic recycling and waste reduction in the hospitality industry: Current challenges and some potential solutions.</w:t>
      </w:r>
    </w:p>
    <w:p w14:paraId="035947E2">
      <w:pPr>
        <w:keepNext w:val="0"/>
        <w:keepLines w:val="0"/>
        <w:pageBreakBefore w:val="0"/>
        <w:widowControl/>
        <w:numPr>
          <w:ilvl w:val="0"/>
          <w:numId w:val="0"/>
        </w:numPr>
        <w:kinsoku/>
        <w:wordWrap/>
        <w:overflowPunct/>
        <w:topLinePunct w:val="0"/>
        <w:autoSpaceDE/>
        <w:autoSpaceDN/>
        <w:bidi w:val="0"/>
        <w:adjustRightInd/>
        <w:snapToGrid/>
        <w:spacing w:line="360" w:lineRule="auto"/>
        <w:ind w:left="-360" w:leftChars="0"/>
        <w:jc w:val="both"/>
        <w:textAlignment w:val="auto"/>
        <w:rPr>
          <w:rFonts w:hint="default" w:ascii="Arial" w:hAnsi="Arial" w:cs="Arial"/>
          <w:sz w:val="24"/>
          <w:szCs w:val="24"/>
        </w:rPr>
      </w:pPr>
      <w:r>
        <w:rPr>
          <w:rFonts w:hint="default" w:ascii="Arial" w:hAnsi="Arial" w:cs="Arial"/>
          <w:sz w:val="24"/>
          <w:szCs w:val="24"/>
        </w:rPr>
        <w:t> </w:t>
      </w:r>
      <w:r>
        <w:rPr>
          <w:rFonts w:hint="default" w:ascii="Arial" w:hAnsi="Arial" w:cs="Arial"/>
          <w:i/>
          <w:iCs/>
          <w:sz w:val="24"/>
          <w:szCs w:val="24"/>
        </w:rPr>
        <w:t>Economics, Management and Sustainability</w:t>
      </w:r>
      <w:r>
        <w:rPr>
          <w:rFonts w:hint="default" w:ascii="Arial" w:hAnsi="Arial" w:cs="Arial"/>
          <w:sz w:val="24"/>
          <w:szCs w:val="24"/>
        </w:rPr>
        <w:t>, </w:t>
      </w:r>
      <w:r>
        <w:rPr>
          <w:rFonts w:hint="default" w:ascii="Arial" w:hAnsi="Arial" w:cs="Arial"/>
          <w:i/>
          <w:iCs/>
          <w:sz w:val="24"/>
          <w:szCs w:val="24"/>
        </w:rPr>
        <w:t>4</w:t>
      </w:r>
      <w:r>
        <w:rPr>
          <w:rFonts w:hint="default" w:ascii="Arial" w:hAnsi="Arial" w:cs="Arial"/>
          <w:sz w:val="24"/>
          <w:szCs w:val="24"/>
        </w:rPr>
        <w:t xml:space="preserve">(1), pp.6-20. </w:t>
      </w:r>
      <w:r>
        <w:rPr>
          <w:rFonts w:hint="default" w:ascii="Arial" w:hAnsi="Arial" w:cs="Arial"/>
          <w:sz w:val="24"/>
          <w:szCs w:val="24"/>
        </w:rPr>
        <w:fldChar w:fldCharType="begin"/>
      </w:r>
      <w:r>
        <w:rPr>
          <w:rFonts w:hint="default" w:ascii="Arial" w:hAnsi="Arial" w:cs="Arial"/>
          <w:sz w:val="24"/>
          <w:szCs w:val="24"/>
        </w:rPr>
        <w:instrText xml:space="preserve"> HYPERLINK "https://www.academia.edu/download/84506935/43.pdf" </w:instrText>
      </w:r>
      <w:r>
        <w:rPr>
          <w:rFonts w:hint="default" w:ascii="Arial" w:hAnsi="Arial" w:cs="Arial"/>
          <w:sz w:val="24"/>
          <w:szCs w:val="24"/>
        </w:rPr>
        <w:fldChar w:fldCharType="separate"/>
      </w:r>
      <w:r>
        <w:rPr>
          <w:rStyle w:val="4"/>
          <w:rFonts w:hint="default" w:ascii="Arial" w:hAnsi="Arial" w:cs="Arial"/>
          <w:sz w:val="24"/>
          <w:szCs w:val="24"/>
        </w:rPr>
        <w:t>https://www.academia.edu/download/84506935/43.pdf</w:t>
      </w:r>
      <w:r>
        <w:rPr>
          <w:rStyle w:val="4"/>
          <w:rFonts w:hint="default" w:ascii="Arial" w:hAnsi="Arial" w:cs="Arial"/>
          <w:sz w:val="24"/>
          <w:szCs w:val="24"/>
        </w:rPr>
        <w:fldChar w:fldCharType="end"/>
      </w:r>
      <w:r>
        <w:rPr>
          <w:rFonts w:hint="default" w:ascii="Arial" w:hAnsi="Arial" w:cs="Arial"/>
          <w:sz w:val="24"/>
          <w:szCs w:val="24"/>
        </w:rPr>
        <w:t xml:space="preserve"> </w:t>
      </w:r>
    </w:p>
    <w:p w14:paraId="0B176B14">
      <w:pPr>
        <w:keepNext w:val="0"/>
        <w:keepLines w:val="0"/>
        <w:pageBreakBefore w:val="0"/>
        <w:widowControl/>
        <w:numPr>
          <w:ilvl w:val="0"/>
          <w:numId w:val="1"/>
        </w:numPr>
        <w:kinsoku/>
        <w:wordWrap/>
        <w:overflowPunct/>
        <w:topLinePunct w:val="0"/>
        <w:autoSpaceDE/>
        <w:autoSpaceDN/>
        <w:bidi w:val="0"/>
        <w:adjustRightInd/>
        <w:snapToGrid/>
        <w:spacing w:after="0" w:line="360" w:lineRule="auto"/>
        <w:ind w:left="0"/>
        <w:jc w:val="both"/>
        <w:textAlignment w:val="auto"/>
        <w:rPr>
          <w:rFonts w:hint="default" w:ascii="Arial" w:hAnsi="Arial" w:cs="Arial"/>
          <w:kern w:val="0"/>
          <w:sz w:val="24"/>
          <w:szCs w:val="24"/>
        </w:rPr>
      </w:pPr>
      <w:r>
        <w:rPr>
          <w:rFonts w:hint="default" w:ascii="Arial" w:hAnsi="Arial" w:cs="Arial"/>
          <w:sz w:val="24"/>
          <w:szCs w:val="24"/>
        </w:rPr>
        <w:t xml:space="preserve">Six Senses Laamu, 2024. Sustainability in Laamu. </w:t>
      </w:r>
      <w:r>
        <w:rPr>
          <w:rFonts w:hint="default" w:ascii="Arial" w:hAnsi="Arial" w:cs="Arial"/>
          <w:sz w:val="24"/>
          <w:szCs w:val="24"/>
        </w:rPr>
        <w:fldChar w:fldCharType="begin"/>
      </w:r>
      <w:r>
        <w:rPr>
          <w:rFonts w:hint="default" w:ascii="Arial" w:hAnsi="Arial" w:cs="Arial"/>
          <w:sz w:val="24"/>
          <w:szCs w:val="24"/>
        </w:rPr>
        <w:instrText xml:space="preserve"> HYPERLINK "https://www.sixsenses.com/en/hotels-resorts/asia-the-pacific/maldives/laamu/sustainability/" </w:instrText>
      </w:r>
      <w:r>
        <w:rPr>
          <w:rFonts w:hint="default" w:ascii="Arial" w:hAnsi="Arial" w:cs="Arial"/>
          <w:sz w:val="24"/>
          <w:szCs w:val="24"/>
        </w:rPr>
        <w:fldChar w:fldCharType="separate"/>
      </w:r>
      <w:r>
        <w:rPr>
          <w:rStyle w:val="4"/>
          <w:rFonts w:hint="default" w:ascii="Arial" w:hAnsi="Arial" w:cs="Arial"/>
          <w:sz w:val="24"/>
          <w:szCs w:val="24"/>
        </w:rPr>
        <w:t>https://www.sixsenses.com/en/hotels-resorts/asia-the-pacific/maldives/laamu/sustainability/</w:t>
      </w:r>
      <w:r>
        <w:rPr>
          <w:rStyle w:val="4"/>
          <w:rFonts w:hint="default" w:ascii="Arial" w:hAnsi="Arial" w:cs="Arial"/>
          <w:sz w:val="24"/>
          <w:szCs w:val="24"/>
        </w:rPr>
        <w:fldChar w:fldCharType="end"/>
      </w:r>
      <w:r>
        <w:rPr>
          <w:rFonts w:hint="default" w:ascii="Arial" w:hAnsi="Arial" w:cs="Arial"/>
          <w:sz w:val="24"/>
          <w:szCs w:val="24"/>
        </w:rPr>
        <w:t xml:space="preserve"> </w:t>
      </w:r>
    </w:p>
    <w:p w14:paraId="5481A33F">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 xml:space="preserve">Stombelli, V.M., 2020. Corporate Social Responsibility in hospitality: are sustainability initiatives really sustainable? Case example from CitizenM, Lefay and Six Senses. </w:t>
      </w:r>
      <w:r>
        <w:rPr>
          <w:rFonts w:hint="default" w:ascii="Arial" w:hAnsi="Arial" w:cs="Arial"/>
          <w:sz w:val="24"/>
          <w:szCs w:val="24"/>
        </w:rPr>
        <w:fldChar w:fldCharType="begin"/>
      </w:r>
      <w:r>
        <w:rPr>
          <w:rFonts w:hint="default" w:ascii="Arial" w:hAnsi="Arial" w:cs="Arial"/>
          <w:sz w:val="24"/>
          <w:szCs w:val="24"/>
        </w:rPr>
        <w:instrText xml:space="preserve"> HYPERLINK "https://www.proquest.com/docview/2625320056?sourcetype=Scholarly%20Journals" </w:instrText>
      </w:r>
      <w:r>
        <w:rPr>
          <w:rFonts w:hint="default" w:ascii="Arial" w:hAnsi="Arial" w:cs="Arial"/>
          <w:sz w:val="24"/>
          <w:szCs w:val="24"/>
        </w:rPr>
        <w:fldChar w:fldCharType="separate"/>
      </w:r>
      <w:r>
        <w:rPr>
          <w:rStyle w:val="4"/>
          <w:rFonts w:hint="default" w:ascii="Arial" w:hAnsi="Arial" w:cs="Arial"/>
          <w:sz w:val="24"/>
          <w:szCs w:val="24"/>
        </w:rPr>
        <w:t>https://www.proquest.com/docview/2625320056?sourcetype=Scholarly%20Journals</w:t>
      </w:r>
      <w:r>
        <w:rPr>
          <w:rStyle w:val="4"/>
          <w:rFonts w:hint="default" w:ascii="Arial" w:hAnsi="Arial" w:cs="Arial"/>
          <w:sz w:val="24"/>
          <w:szCs w:val="24"/>
        </w:rPr>
        <w:fldChar w:fldCharType="end"/>
      </w:r>
      <w:r>
        <w:rPr>
          <w:rFonts w:hint="default" w:ascii="Arial" w:hAnsi="Arial" w:cs="Arial"/>
          <w:sz w:val="24"/>
          <w:szCs w:val="24"/>
        </w:rPr>
        <w:t xml:space="preserve"> </w:t>
      </w:r>
    </w:p>
    <w:p w14:paraId="7C289E12">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Techera, E., &amp; Cannell-Lunn, M., 2019. A review of environmental law in Maldives with respect to conservation, biodiversity, fisheries and tourism. </w:t>
      </w:r>
      <w:r>
        <w:rPr>
          <w:rFonts w:hint="default" w:ascii="Arial" w:hAnsi="Arial" w:cs="Arial"/>
          <w:i/>
          <w:iCs/>
          <w:sz w:val="24"/>
          <w:szCs w:val="24"/>
        </w:rPr>
        <w:t>Asia Pacific Journal of Environmental Law</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"https://doi.org/10.4337/apjel.2019.02.03" </w:instrText>
      </w:r>
      <w:r>
        <w:rPr>
          <w:rFonts w:hint="default" w:ascii="Arial" w:hAnsi="Arial" w:cs="Arial"/>
          <w:sz w:val="24"/>
          <w:szCs w:val="24"/>
        </w:rPr>
        <w:fldChar w:fldCharType="separate"/>
      </w:r>
      <w:r>
        <w:rPr>
          <w:rStyle w:val="4"/>
          <w:rFonts w:hint="default" w:ascii="Arial" w:hAnsi="Arial" w:cs="Arial"/>
          <w:sz w:val="24"/>
          <w:szCs w:val="24"/>
        </w:rPr>
        <w:t>https://doi.org/10.4337/apjel.2019.02.03</w:t>
      </w:r>
      <w:r>
        <w:rPr>
          <w:rStyle w:val="4"/>
          <w:rFonts w:hint="default" w:ascii="Arial" w:hAnsi="Arial" w:cs="Arial"/>
          <w:sz w:val="24"/>
          <w:szCs w:val="24"/>
        </w:rPr>
        <w:fldChar w:fldCharType="end"/>
      </w:r>
      <w:r>
        <w:rPr>
          <w:rFonts w:hint="default" w:ascii="Arial" w:hAnsi="Arial" w:cs="Arial"/>
          <w:sz w:val="24"/>
          <w:szCs w:val="24"/>
        </w:rPr>
        <w:t xml:space="preserve">. </w:t>
      </w:r>
    </w:p>
    <w:p w14:paraId="792209C9">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Wilson, A.M.W. and Forsyth, C., 2018. Restoring near-shore marine ecosystems to enhance climate security for island ocean states: Aligning international processes and local practices. </w:t>
      </w:r>
      <w:r>
        <w:rPr>
          <w:rFonts w:hint="default" w:ascii="Arial" w:hAnsi="Arial" w:cs="Arial"/>
          <w:i/>
          <w:iCs/>
          <w:sz w:val="24"/>
          <w:szCs w:val="24"/>
        </w:rPr>
        <w:t>Marine Policy</w:t>
      </w:r>
      <w:r>
        <w:rPr>
          <w:rFonts w:hint="default" w:ascii="Arial" w:hAnsi="Arial" w:cs="Arial"/>
          <w:sz w:val="24"/>
          <w:szCs w:val="24"/>
        </w:rPr>
        <w:t>, </w:t>
      </w:r>
      <w:r>
        <w:rPr>
          <w:rFonts w:hint="default" w:ascii="Arial" w:hAnsi="Arial" w:cs="Arial"/>
          <w:i/>
          <w:iCs/>
          <w:sz w:val="24"/>
          <w:szCs w:val="24"/>
        </w:rPr>
        <w:t>93</w:t>
      </w:r>
      <w:r>
        <w:rPr>
          <w:rFonts w:hint="default" w:ascii="Arial" w:hAnsi="Arial" w:cs="Arial"/>
          <w:sz w:val="24"/>
          <w:szCs w:val="24"/>
        </w:rPr>
        <w:t xml:space="preserve">, pp.284-294. </w:t>
      </w:r>
      <w:r>
        <w:rPr>
          <w:rFonts w:hint="default" w:ascii="Arial" w:hAnsi="Arial" w:cs="Arial"/>
          <w:sz w:val="24"/>
          <w:szCs w:val="24"/>
        </w:rPr>
        <w:fldChar w:fldCharType="begin"/>
      </w:r>
      <w:r>
        <w:rPr>
          <w:rFonts w:hint="default" w:ascii="Arial" w:hAnsi="Arial" w:cs="Arial"/>
          <w:sz w:val="24"/>
          <w:szCs w:val="24"/>
        </w:rPr>
        <w:instrText xml:space="preserve"> HYPERLINK "https://doi.org/10.1016/j.marpol.2018.01.018" </w:instrText>
      </w:r>
      <w:r>
        <w:rPr>
          <w:rFonts w:hint="default" w:ascii="Arial" w:hAnsi="Arial" w:cs="Arial"/>
          <w:sz w:val="24"/>
          <w:szCs w:val="24"/>
        </w:rPr>
        <w:fldChar w:fldCharType="separate"/>
      </w:r>
      <w:r>
        <w:rPr>
          <w:rStyle w:val="4"/>
          <w:rFonts w:hint="default" w:ascii="Arial" w:hAnsi="Arial" w:cs="Arial"/>
          <w:sz w:val="24"/>
          <w:szCs w:val="24"/>
        </w:rPr>
        <w:t>https://doi.org/10.1016/j.marpol.2018.01.018</w:t>
      </w:r>
      <w:r>
        <w:rPr>
          <w:rStyle w:val="4"/>
          <w:rFonts w:hint="default" w:ascii="Arial" w:hAnsi="Arial" w:cs="Arial"/>
          <w:sz w:val="24"/>
          <w:szCs w:val="24"/>
        </w:rPr>
        <w:fldChar w:fldCharType="end"/>
      </w:r>
      <w:r>
        <w:rPr>
          <w:rFonts w:hint="default" w:ascii="Arial" w:hAnsi="Arial" w:cs="Arial"/>
          <w:sz w:val="24"/>
          <w:szCs w:val="24"/>
        </w:rPr>
        <w:t xml:space="preserve"> </w:t>
      </w:r>
    </w:p>
    <w:p w14:paraId="529D4867">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Zhang, H., Omhand, K., Li, H., Ahmad, A., Samad, S., Gavrilut, D., &amp; Badulescu, D. (2022). Corporate Social Responsibility and Energy-Related Pro-Environmental Behaviour of Employees in Hospitality Industry. </w:t>
      </w:r>
      <w:r>
        <w:rPr>
          <w:rFonts w:hint="default" w:ascii="Arial" w:hAnsi="Arial" w:cs="Arial"/>
          <w:i/>
          <w:iCs/>
          <w:sz w:val="24"/>
          <w:szCs w:val="24"/>
        </w:rPr>
        <w:t>International Journal of Environmental Research and Public Health</w:t>
      </w:r>
      <w:r>
        <w:rPr>
          <w:rFonts w:hint="default" w:ascii="Arial" w:hAnsi="Arial" w:cs="Arial"/>
          <w:sz w:val="24"/>
          <w:szCs w:val="24"/>
        </w:rPr>
        <w:t xml:space="preserve">, 19. </w:t>
      </w:r>
      <w:r>
        <w:rPr>
          <w:rFonts w:hint="default" w:ascii="Arial" w:hAnsi="Arial" w:cs="Arial"/>
          <w:sz w:val="24"/>
          <w:szCs w:val="24"/>
        </w:rPr>
        <w:fldChar w:fldCharType="begin"/>
      </w:r>
      <w:r>
        <w:rPr>
          <w:rFonts w:hint="default" w:ascii="Arial" w:hAnsi="Arial" w:cs="Arial"/>
          <w:sz w:val="24"/>
          <w:szCs w:val="24"/>
        </w:rPr>
        <w:instrText xml:space="preserve"> HYPERLINK "https://doi.org/10.3390/ijerph192316141" </w:instrText>
      </w:r>
      <w:r>
        <w:rPr>
          <w:rFonts w:hint="default" w:ascii="Arial" w:hAnsi="Arial" w:cs="Arial"/>
          <w:sz w:val="24"/>
          <w:szCs w:val="24"/>
        </w:rPr>
        <w:fldChar w:fldCharType="separate"/>
      </w:r>
      <w:r>
        <w:rPr>
          <w:rStyle w:val="4"/>
          <w:rFonts w:hint="default" w:ascii="Arial" w:hAnsi="Arial" w:cs="Arial"/>
          <w:sz w:val="24"/>
          <w:szCs w:val="24"/>
        </w:rPr>
        <w:t>https://doi.org/10.3390/ijerph192316141</w:t>
      </w:r>
      <w:r>
        <w:rPr>
          <w:rStyle w:val="4"/>
          <w:rFonts w:hint="default" w:ascii="Arial" w:hAnsi="Arial" w:cs="Arial"/>
          <w:sz w:val="24"/>
          <w:szCs w:val="24"/>
        </w:rPr>
        <w:fldChar w:fldCharType="end"/>
      </w:r>
      <w:r>
        <w:rPr>
          <w:rFonts w:hint="default" w:ascii="Arial" w:hAnsi="Arial" w:cs="Arial"/>
          <w:sz w:val="24"/>
          <w:szCs w:val="24"/>
        </w:rPr>
        <w:t xml:space="preserve">. </w:t>
      </w:r>
    </w:p>
    <w:p w14:paraId="7AEE5B2E">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6D02A815">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67998F6E">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6E29C9A3">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4DB12AED">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52E97062">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629A08AB">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4C6DE5D4">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52D5FF1B">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lang w:val="ro-RO"/>
        </w:rPr>
      </w:pPr>
      <w:r>
        <w:rPr>
          <w:rFonts w:hint="default" w:ascii="Arial" w:hAnsi="Arial" w:cs="Arial"/>
          <w:sz w:val="24"/>
          <w:szCs w:val="24"/>
          <w:lang w:val="ro-RO"/>
        </w:rPr>
        <w:t>I confirm that I have not used any AI tools in the research and creation of this assignment.</w:t>
      </w:r>
    </w:p>
    <w:p w14:paraId="152B11A7">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lang w:val="ro-RO"/>
        </w:rPr>
      </w:pPr>
      <w:r>
        <w:rPr>
          <w:rFonts w:hint="default" w:ascii="Arial" w:hAnsi="Arial" w:cs="Arial"/>
          <w:sz w:val="24"/>
          <w:szCs w:val="24"/>
          <w:lang w:val="ro-RO"/>
        </w:rPr>
        <w:t>I confirm that I have not presented any AI generated materials as my own</w:t>
      </w:r>
    </w:p>
    <w:p w14:paraId="52009C5A">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lang w:val="ro-RO"/>
        </w:rPr>
      </w:pPr>
      <w:r>
        <w:rPr>
          <w:rFonts w:hint="default" w:ascii="Arial" w:hAnsi="Arial" w:cs="Arial"/>
          <w:sz w:val="24"/>
          <w:szCs w:val="24"/>
          <w:lang w:val="ro-RO"/>
        </w:rPr>
        <w:t>I confirm I have copies of my drafts, notes, and other resources I used, which I may be asked to provide in evidence.</w:t>
      </w:r>
    </w:p>
    <w:p w14:paraId="775C8621">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b w:val="0"/>
          <w:bCs w:val="0"/>
          <w:sz w:val="24"/>
          <w:szCs w:val="24"/>
        </w:rPr>
      </w:pPr>
    </w:p>
    <w:sectPr>
      <w:pgSz w:w="12240" w:h="15840"/>
      <w:pgMar w:top="1440" w:right="1440" w:bottom="1440" w:left="1440" w:header="720"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MS PGothic">
    <w:panose1 w:val="020B0600070205080204"/>
    <w:charset w:val="80"/>
    <w:family w:val="auto"/>
    <w:pitch w:val="default"/>
    <w:sig w:usb0="E00002FF" w:usb1="6AC7FDFB" w:usb2="08000012" w:usb3="00000000" w:csb0="4002009F" w:csb1="DFD7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7086F1F"/>
    <w:multiLevelType w:val="multilevel"/>
    <w:tmpl w:val="37086F1F"/>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footnotePr>
    <w:footnote w:id="0"/>
    <w:footnote w:id="1"/>
  </w:footnotePr>
  <w:endnotePr>
    <w:endnote w:id="0"/>
    <w:endnote w:id="1"/>
  </w:endnotePr>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5A63E7B"/>
    <w:rsid w:val="1B0D7067"/>
    <w:rsid w:val="4B7F38EA"/>
    <w:rsid w:val="6BA52685"/>
    <w:rsid w:val="7A5950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Aptos" w:hAnsi="Aptos" w:eastAsia="Times New Roman" w:cs="Times New Roman"/>
      <w:kern w:val="2"/>
      <w:sz w:val="24"/>
      <w:szCs w:val="24"/>
      <w:lang w:val="en-US" w:eastAsia="en-US"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character" w:styleId="4">
    <w:name w:val="Hyperlink"/>
    <w:unhideWhenUsed/>
    <w:qFormat/>
    <w:uiPriority w:val="99"/>
    <w:rPr>
      <w:color w:val="467886"/>
      <w:u w:val="single"/>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0</Words>
  <Characters>0</Characters>
  <Lines>0</Lines>
  <Paragraphs>0</Paragraphs>
  <TotalTime>7</TotalTime>
  <ScaleCrop>false</ScaleCrop>
  <LinksUpToDate>false</LinksUpToDate>
  <CharactersWithSpaces>0</CharactersWithSpaces>
  <Application>WPS Office_12.2.0.18283_F1E327BC-269C-435d-A152-05C5408002CA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2024-10-20T12:03:00Z</dcterms:created>
  <dc:creator>HP Probook 650 G2</dc:creator>
  <cp:lastModifiedBy>lucian stefan</cp:lastModifiedBy>
  <dcterms:modified xsi:type="dcterms:W3CDTF">2024-10-21T18:32:14Z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1033-12.2.0.18283</vt:lpwstr>
  </property>
  <property fmtid="{D5CDD505-2E9C-101B-9397-08002B2CF9AE}" pid="3" name="ICV">
    <vt:lpwstr>8164F103CEB549DBBA177D3AB487F555_12</vt:lpwstr>
  </property>
</Properties>
</file>