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CD1BCB" w:rsidRPr="00117ED8" w:rsidRDefault="00074402" w:rsidP="00CD33A8">
      <w:pPr>
        <w:spacing w:line="360" w:lineRule="auto"/>
        <w:rPr>
          <w:rFonts w:ascii="Arial" w:hAnsi="Arial" w:cs="Arial"/>
          <w:sz w:val="22"/>
        </w:rPr>
      </w:pPr>
      <w:r w:rsidRPr="00117ED8">
        <w:rPr>
          <w:rFonts w:ascii="Arial" w:hAnsi="Arial" w:cs="Arial"/>
          <w:noProof/>
          <w:sz w:val="22"/>
          <w:lang w:eastAsia="en-GB"/>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117ED8" w:rsidRDefault="00074402" w:rsidP="00CD33A8">
      <w:pPr>
        <w:spacing w:line="360" w:lineRule="auto"/>
        <w:rPr>
          <w:rFonts w:ascii="Arial" w:hAnsi="Arial" w:cs="Arial"/>
          <w:sz w:val="22"/>
        </w:rPr>
      </w:pPr>
    </w:p>
    <w:p w14:paraId="4E267F2C" w14:textId="35E99859" w:rsidR="00074402" w:rsidRPr="00117ED8" w:rsidRDefault="00074402" w:rsidP="00CD33A8">
      <w:pPr>
        <w:spacing w:line="360" w:lineRule="auto"/>
        <w:rPr>
          <w:rFonts w:ascii="Arial" w:hAnsi="Arial" w:cs="Arial"/>
          <w:sz w:val="22"/>
        </w:rPr>
      </w:pPr>
    </w:p>
    <w:p w14:paraId="5D864E3F" w14:textId="3A5CD4C4" w:rsidR="00074402" w:rsidRDefault="00074402" w:rsidP="00CD33A8">
      <w:pPr>
        <w:spacing w:line="360" w:lineRule="auto"/>
        <w:rPr>
          <w:rFonts w:ascii="Arial" w:hAnsi="Arial" w:cs="Arial"/>
          <w:sz w:val="22"/>
        </w:rPr>
      </w:pPr>
    </w:p>
    <w:p w14:paraId="165B440D" w14:textId="464E649D" w:rsidR="00577985" w:rsidRDefault="00577985" w:rsidP="00CD33A8">
      <w:pPr>
        <w:spacing w:line="360" w:lineRule="auto"/>
        <w:rPr>
          <w:rFonts w:ascii="Arial" w:hAnsi="Arial" w:cs="Arial"/>
          <w:sz w:val="22"/>
        </w:rPr>
      </w:pPr>
    </w:p>
    <w:p w14:paraId="72A562C7" w14:textId="249263FE" w:rsidR="00577985" w:rsidRDefault="00577985" w:rsidP="00CD33A8">
      <w:pPr>
        <w:spacing w:line="360" w:lineRule="auto"/>
        <w:rPr>
          <w:rFonts w:ascii="Arial" w:hAnsi="Arial" w:cs="Arial"/>
          <w:sz w:val="22"/>
        </w:rPr>
      </w:pPr>
    </w:p>
    <w:p w14:paraId="4DFB875A" w14:textId="77777777" w:rsidR="00BC772C" w:rsidRPr="00577985" w:rsidRDefault="00BC772C" w:rsidP="00CD33A8">
      <w:pPr>
        <w:spacing w:line="360" w:lineRule="auto"/>
        <w:rPr>
          <w:rFonts w:ascii="Arial" w:hAnsi="Arial" w:cs="Arial"/>
          <w:sz w:val="22"/>
          <w:lang w:val="uk-UA"/>
        </w:rPr>
      </w:pPr>
    </w:p>
    <w:p w14:paraId="22F2817A" w14:textId="77777777" w:rsidR="00074402" w:rsidRPr="00117ED8" w:rsidRDefault="00074402" w:rsidP="00CD33A8">
      <w:pPr>
        <w:tabs>
          <w:tab w:val="left" w:pos="6540"/>
        </w:tabs>
        <w:spacing w:line="360" w:lineRule="auto"/>
        <w:rPr>
          <w:rFonts w:ascii="Arial" w:hAnsi="Arial" w:cs="Arial"/>
          <w:sz w:val="22"/>
        </w:rPr>
      </w:pPr>
    </w:p>
    <w:p w14:paraId="7D557BA5" w14:textId="2A5E52A2" w:rsidR="00CD33A8" w:rsidRPr="00577985" w:rsidRDefault="00CD33A8" w:rsidP="00CD33A8">
      <w:pPr>
        <w:tabs>
          <w:tab w:val="left" w:pos="6540"/>
        </w:tabs>
        <w:spacing w:line="360" w:lineRule="auto"/>
        <w:rPr>
          <w:rFonts w:ascii="Arial" w:hAnsi="Arial" w:cs="Arial"/>
          <w:sz w:val="28"/>
          <w:szCs w:val="28"/>
          <w:lang w:val="nl-NL"/>
        </w:rPr>
      </w:pPr>
      <w:r w:rsidRPr="00577985">
        <w:rPr>
          <w:rFonts w:ascii="Arial" w:hAnsi="Arial" w:cs="Arial"/>
          <w:b/>
          <w:bCs/>
          <w:sz w:val="28"/>
          <w:szCs w:val="28"/>
          <w:lang w:val="nl-NL"/>
        </w:rPr>
        <w:t>Module name</w:t>
      </w:r>
      <w:r w:rsidRPr="00577985">
        <w:rPr>
          <w:rFonts w:ascii="Arial" w:hAnsi="Arial" w:cs="Arial"/>
          <w:sz w:val="28"/>
          <w:szCs w:val="28"/>
          <w:lang w:val="nl-NL"/>
        </w:rPr>
        <w:t xml:space="preserve">: </w:t>
      </w:r>
      <w:r w:rsidR="00117ED8" w:rsidRPr="00577985">
        <w:rPr>
          <w:rFonts w:ascii="Arial" w:hAnsi="Arial" w:cs="Arial"/>
          <w:sz w:val="28"/>
          <w:szCs w:val="28"/>
          <w:lang w:val="nl-NL"/>
        </w:rPr>
        <w:t xml:space="preserve"> </w:t>
      </w:r>
      <w:r w:rsidR="00117ED8" w:rsidRPr="00577985">
        <w:rPr>
          <w:rFonts w:ascii="Arial" w:hAnsi="Arial" w:cs="Arial"/>
          <w:color w:val="222222"/>
          <w:sz w:val="28"/>
          <w:szCs w:val="28"/>
        </w:rPr>
        <w:t>Introduction to Independent Research Skills</w:t>
      </w:r>
    </w:p>
    <w:p w14:paraId="537571AF" w14:textId="2E4DCB83" w:rsidR="00CD33A8" w:rsidRPr="00577985" w:rsidRDefault="00CD33A8" w:rsidP="00CD33A8">
      <w:pPr>
        <w:tabs>
          <w:tab w:val="left" w:pos="6540"/>
        </w:tabs>
        <w:spacing w:line="360" w:lineRule="auto"/>
        <w:rPr>
          <w:rFonts w:ascii="Arial" w:hAnsi="Arial" w:cs="Arial"/>
          <w:sz w:val="28"/>
          <w:szCs w:val="28"/>
        </w:rPr>
      </w:pPr>
      <w:r w:rsidRPr="00577985">
        <w:rPr>
          <w:rFonts w:ascii="Arial" w:hAnsi="Arial" w:cs="Arial"/>
          <w:b/>
          <w:bCs/>
          <w:sz w:val="28"/>
          <w:szCs w:val="28"/>
        </w:rPr>
        <w:t>Module code</w:t>
      </w:r>
      <w:r w:rsidRPr="00577985">
        <w:rPr>
          <w:rFonts w:ascii="Arial" w:hAnsi="Arial" w:cs="Arial"/>
          <w:sz w:val="28"/>
          <w:szCs w:val="28"/>
        </w:rPr>
        <w:t>:</w:t>
      </w:r>
      <w:r w:rsidR="00117ED8" w:rsidRPr="00577985">
        <w:rPr>
          <w:rFonts w:ascii="Arial" w:hAnsi="Arial" w:cs="Arial"/>
          <w:sz w:val="28"/>
          <w:szCs w:val="28"/>
        </w:rPr>
        <w:t xml:space="preserve"> </w:t>
      </w:r>
      <w:r w:rsidR="00117ED8" w:rsidRPr="00577985">
        <w:rPr>
          <w:rFonts w:ascii="Arial" w:hAnsi="Arial" w:cs="Arial"/>
          <w:color w:val="222222"/>
          <w:sz w:val="28"/>
          <w:szCs w:val="28"/>
        </w:rPr>
        <w:t>BMHP5019</w:t>
      </w:r>
    </w:p>
    <w:p w14:paraId="529D7354" w14:textId="77777777" w:rsidR="00CD33A8" w:rsidRPr="00577985" w:rsidRDefault="00CD33A8" w:rsidP="00CD33A8">
      <w:pPr>
        <w:tabs>
          <w:tab w:val="left" w:pos="6540"/>
        </w:tabs>
        <w:spacing w:line="360" w:lineRule="auto"/>
        <w:rPr>
          <w:rFonts w:ascii="Arial" w:hAnsi="Arial" w:cs="Arial"/>
          <w:b/>
          <w:bCs/>
          <w:sz w:val="28"/>
          <w:szCs w:val="28"/>
          <w:lang w:val="nl-NL"/>
        </w:rPr>
      </w:pPr>
    </w:p>
    <w:p w14:paraId="0A48766D" w14:textId="4FE6B03E" w:rsidR="00074402" w:rsidRPr="00577985" w:rsidRDefault="00074402" w:rsidP="00CD33A8">
      <w:pPr>
        <w:tabs>
          <w:tab w:val="left" w:pos="6540"/>
        </w:tabs>
        <w:spacing w:line="360" w:lineRule="auto"/>
        <w:rPr>
          <w:rFonts w:ascii="Arial" w:hAnsi="Arial" w:cs="Arial"/>
          <w:sz w:val="28"/>
          <w:szCs w:val="28"/>
          <w:lang w:val="nl-NL"/>
        </w:rPr>
      </w:pPr>
      <w:r w:rsidRPr="00577985">
        <w:rPr>
          <w:rFonts w:ascii="Arial" w:hAnsi="Arial" w:cs="Arial"/>
          <w:b/>
          <w:bCs/>
          <w:sz w:val="28"/>
          <w:szCs w:val="28"/>
          <w:lang w:val="nl-NL"/>
        </w:rPr>
        <w:t>Student name</w:t>
      </w:r>
      <w:r w:rsidRPr="00577985">
        <w:rPr>
          <w:rFonts w:ascii="Arial" w:hAnsi="Arial" w:cs="Arial"/>
          <w:sz w:val="28"/>
          <w:szCs w:val="28"/>
          <w:lang w:val="nl-NL"/>
        </w:rPr>
        <w:t>:</w:t>
      </w:r>
      <w:r w:rsidR="00577985" w:rsidRPr="00577985">
        <w:rPr>
          <w:rFonts w:ascii="Arial" w:hAnsi="Arial" w:cs="Arial"/>
          <w:sz w:val="28"/>
          <w:szCs w:val="28"/>
          <w:lang w:val="nl-NL"/>
        </w:rPr>
        <w:t xml:space="preserve"> Vitalina Kraievska</w:t>
      </w:r>
    </w:p>
    <w:p w14:paraId="39AA4413" w14:textId="71550521" w:rsidR="00074402" w:rsidRPr="00577985" w:rsidRDefault="00074402" w:rsidP="00CD33A8">
      <w:pPr>
        <w:tabs>
          <w:tab w:val="left" w:pos="6540"/>
        </w:tabs>
        <w:spacing w:line="360" w:lineRule="auto"/>
        <w:rPr>
          <w:rFonts w:ascii="Arial" w:hAnsi="Arial" w:cs="Arial"/>
          <w:sz w:val="28"/>
          <w:szCs w:val="28"/>
          <w:lang w:val="nl-NL"/>
        </w:rPr>
      </w:pPr>
      <w:r w:rsidRPr="00577985">
        <w:rPr>
          <w:rFonts w:ascii="Arial" w:hAnsi="Arial" w:cs="Arial"/>
          <w:b/>
          <w:bCs/>
          <w:sz w:val="28"/>
          <w:szCs w:val="28"/>
          <w:lang w:val="nl-NL"/>
        </w:rPr>
        <w:t>Student ID</w:t>
      </w:r>
      <w:r w:rsidRPr="00577985">
        <w:rPr>
          <w:rFonts w:ascii="Arial" w:hAnsi="Arial" w:cs="Arial"/>
          <w:sz w:val="28"/>
          <w:szCs w:val="28"/>
          <w:lang w:val="nl-NL"/>
        </w:rPr>
        <w:t>:</w:t>
      </w:r>
      <w:r w:rsidR="00577985" w:rsidRPr="00577985">
        <w:rPr>
          <w:rFonts w:ascii="Arial" w:hAnsi="Arial" w:cs="Arial"/>
          <w:sz w:val="28"/>
          <w:szCs w:val="28"/>
          <w:lang w:val="nl-NL"/>
        </w:rPr>
        <w:t xml:space="preserve"> 2411153</w:t>
      </w:r>
    </w:p>
    <w:p w14:paraId="5E81F6AD" w14:textId="77777777" w:rsidR="00074402" w:rsidRPr="00577985" w:rsidRDefault="00074402" w:rsidP="00CD33A8">
      <w:pPr>
        <w:tabs>
          <w:tab w:val="left" w:pos="6540"/>
        </w:tabs>
        <w:spacing w:line="360" w:lineRule="auto"/>
        <w:rPr>
          <w:rFonts w:ascii="Arial" w:hAnsi="Arial" w:cs="Arial"/>
          <w:sz w:val="28"/>
          <w:szCs w:val="28"/>
          <w:lang w:val="nl-NL"/>
        </w:rPr>
      </w:pPr>
    </w:p>
    <w:p w14:paraId="1A0B2D2B" w14:textId="5656CD67" w:rsidR="00074402" w:rsidRPr="00577985" w:rsidRDefault="00B8304B" w:rsidP="00CD33A8">
      <w:pPr>
        <w:tabs>
          <w:tab w:val="left" w:pos="6540"/>
        </w:tabs>
        <w:spacing w:line="360" w:lineRule="auto"/>
        <w:rPr>
          <w:rFonts w:ascii="Arial" w:hAnsi="Arial" w:cs="Arial"/>
          <w:sz w:val="28"/>
          <w:szCs w:val="28"/>
        </w:rPr>
      </w:pPr>
      <w:r w:rsidRPr="00577985">
        <w:rPr>
          <w:rFonts w:ascii="Arial" w:hAnsi="Arial" w:cs="Arial"/>
          <w:b/>
          <w:bCs/>
          <w:sz w:val="28"/>
          <w:szCs w:val="28"/>
        </w:rPr>
        <w:t>Lecturer’s name</w:t>
      </w:r>
      <w:r w:rsidR="00074402" w:rsidRPr="00577985">
        <w:rPr>
          <w:rFonts w:ascii="Arial" w:hAnsi="Arial" w:cs="Arial"/>
          <w:sz w:val="28"/>
          <w:szCs w:val="28"/>
        </w:rPr>
        <w:t>:</w:t>
      </w:r>
      <w:r w:rsidR="00577985" w:rsidRPr="00577985">
        <w:rPr>
          <w:rFonts w:ascii="Arial" w:hAnsi="Arial" w:cs="Arial"/>
          <w:sz w:val="28"/>
          <w:szCs w:val="28"/>
        </w:rPr>
        <w:t xml:space="preserve"> </w:t>
      </w:r>
      <w:r w:rsidR="00577985" w:rsidRPr="00577985">
        <w:rPr>
          <w:rStyle w:val="normaltextrun"/>
          <w:rFonts w:ascii="Arial" w:hAnsi="Arial" w:cs="Arial"/>
          <w:color w:val="1D2125"/>
          <w:sz w:val="28"/>
          <w:szCs w:val="28"/>
          <w:shd w:val="clear" w:color="auto" w:fill="FFFFFF"/>
        </w:rPr>
        <w:t>Eleni Koutsogeorgou-Andreou</w:t>
      </w:r>
    </w:p>
    <w:p w14:paraId="39D08584" w14:textId="77777777" w:rsidR="00074402" w:rsidRPr="00117ED8" w:rsidRDefault="00074402" w:rsidP="00CD33A8">
      <w:pPr>
        <w:tabs>
          <w:tab w:val="left" w:pos="6540"/>
        </w:tabs>
        <w:spacing w:line="360" w:lineRule="auto"/>
        <w:rPr>
          <w:rFonts w:ascii="Arial" w:hAnsi="Arial" w:cs="Arial"/>
          <w:sz w:val="22"/>
        </w:rPr>
      </w:pPr>
    </w:p>
    <w:p w14:paraId="5B66D125" w14:textId="77777777" w:rsidR="00074402" w:rsidRPr="00117ED8" w:rsidRDefault="00074402" w:rsidP="00CD33A8">
      <w:pPr>
        <w:tabs>
          <w:tab w:val="left" w:pos="6540"/>
        </w:tabs>
        <w:spacing w:line="360" w:lineRule="auto"/>
        <w:rPr>
          <w:rFonts w:ascii="Arial" w:hAnsi="Arial" w:cs="Arial"/>
          <w:sz w:val="22"/>
        </w:rPr>
      </w:pPr>
    </w:p>
    <w:p w14:paraId="291524A2" w14:textId="2CBFF360" w:rsidR="00074402" w:rsidRPr="00117ED8" w:rsidRDefault="00074402" w:rsidP="00CD33A8">
      <w:pPr>
        <w:tabs>
          <w:tab w:val="left" w:pos="6540"/>
        </w:tabs>
        <w:spacing w:line="360" w:lineRule="auto"/>
        <w:rPr>
          <w:rFonts w:ascii="Arial" w:hAnsi="Arial" w:cs="Arial"/>
          <w:sz w:val="22"/>
        </w:rPr>
      </w:pPr>
    </w:p>
    <w:p w14:paraId="5AE88297" w14:textId="24E6B718" w:rsidR="00B87E75" w:rsidRPr="00117ED8" w:rsidRDefault="00B87E75" w:rsidP="00CD33A8">
      <w:pPr>
        <w:tabs>
          <w:tab w:val="left" w:pos="6540"/>
        </w:tabs>
        <w:spacing w:line="360" w:lineRule="auto"/>
        <w:rPr>
          <w:rFonts w:ascii="Arial" w:hAnsi="Arial" w:cs="Arial"/>
          <w:sz w:val="22"/>
        </w:rPr>
      </w:pPr>
    </w:p>
    <w:p w14:paraId="420ADE33" w14:textId="35FB1322" w:rsidR="00B87E75" w:rsidRPr="00117ED8" w:rsidRDefault="00B87E75" w:rsidP="00CD33A8">
      <w:pPr>
        <w:spacing w:line="360" w:lineRule="auto"/>
        <w:rPr>
          <w:rFonts w:ascii="Arial" w:hAnsi="Arial" w:cs="Arial"/>
          <w:sz w:val="22"/>
        </w:rPr>
      </w:pPr>
      <w:r w:rsidRPr="00117ED8">
        <w:rPr>
          <w:rFonts w:ascii="Arial" w:hAnsi="Arial" w:cs="Arial"/>
          <w:sz w:val="22"/>
        </w:rPr>
        <w:br w:type="page"/>
      </w:r>
    </w:p>
    <w:sdt>
      <w:sdtPr>
        <w:rPr>
          <w:rFonts w:ascii="Times New Roman" w:eastAsiaTheme="minorHAnsi" w:hAnsi="Times New Roman" w:cstheme="minorBidi"/>
          <w:color w:val="auto"/>
          <w:sz w:val="24"/>
          <w:szCs w:val="22"/>
          <w:lang w:val="en-GB"/>
        </w:rPr>
        <w:id w:val="511578092"/>
        <w:docPartObj>
          <w:docPartGallery w:val="Table of Contents"/>
          <w:docPartUnique/>
        </w:docPartObj>
      </w:sdtPr>
      <w:sdtEndPr>
        <w:rPr>
          <w:b/>
          <w:bCs/>
          <w:noProof/>
        </w:rPr>
      </w:sdtEndPr>
      <w:sdtContent>
        <w:p w14:paraId="18208EBB" w14:textId="190168E8" w:rsidR="00117ED8" w:rsidRPr="00117ED8" w:rsidRDefault="00117ED8" w:rsidP="00117ED8">
          <w:pPr>
            <w:pStyle w:val="TOCHeading"/>
            <w:jc w:val="center"/>
            <w:rPr>
              <w:rFonts w:ascii="Arial" w:hAnsi="Arial" w:cs="Arial"/>
              <w:b/>
            </w:rPr>
          </w:pPr>
          <w:r w:rsidRPr="00117ED8">
            <w:rPr>
              <w:rFonts w:ascii="Arial" w:hAnsi="Arial" w:cs="Arial"/>
              <w:b/>
            </w:rPr>
            <w:t>Table of Contents</w:t>
          </w:r>
        </w:p>
        <w:p w14:paraId="14309C18" w14:textId="1D65C4BA" w:rsidR="00117ED8" w:rsidRPr="00117ED8" w:rsidRDefault="00117ED8">
          <w:pPr>
            <w:pStyle w:val="TOC1"/>
            <w:tabs>
              <w:tab w:val="right" w:leader="dot" w:pos="9016"/>
            </w:tabs>
            <w:rPr>
              <w:rFonts w:ascii="Arial" w:hAnsi="Arial" w:cs="Arial"/>
              <w:noProof/>
            </w:rPr>
          </w:pPr>
          <w:r w:rsidRPr="00117ED8">
            <w:rPr>
              <w:rFonts w:ascii="Arial" w:hAnsi="Arial" w:cs="Arial"/>
            </w:rPr>
            <w:fldChar w:fldCharType="begin"/>
          </w:r>
          <w:r w:rsidRPr="00117ED8">
            <w:rPr>
              <w:rFonts w:ascii="Arial" w:hAnsi="Arial" w:cs="Arial"/>
            </w:rPr>
            <w:instrText xml:space="preserve"> TOC \o "1-3" \h \z \u </w:instrText>
          </w:r>
          <w:r w:rsidRPr="00117ED8">
            <w:rPr>
              <w:rFonts w:ascii="Arial" w:hAnsi="Arial" w:cs="Arial"/>
            </w:rPr>
            <w:fldChar w:fldCharType="separate"/>
          </w:r>
          <w:hyperlink w:anchor="_Toc233545995" w:history="1">
            <w:r w:rsidRPr="00117ED8">
              <w:rPr>
                <w:rStyle w:val="Hyperlink"/>
                <w:rFonts w:ascii="Arial" w:hAnsi="Arial" w:cs="Arial"/>
                <w:noProof/>
              </w:rPr>
              <w:t xml:space="preserve">Topic: </w:t>
            </w:r>
            <w:r w:rsidRPr="00117ED8">
              <w:rPr>
                <w:rStyle w:val="Hyperlink"/>
                <w:rFonts w:ascii="Arial" w:eastAsia="Arial" w:hAnsi="Arial" w:cs="Arial"/>
                <w:noProof/>
              </w:rPr>
              <w:t>Barriers to accessing mental health support among young adults in the UK.</w:t>
            </w:r>
            <w:r w:rsidRPr="00117ED8">
              <w:rPr>
                <w:rFonts w:ascii="Arial" w:hAnsi="Arial" w:cs="Arial"/>
                <w:noProof/>
                <w:webHidden/>
              </w:rPr>
              <w:tab/>
            </w:r>
            <w:r w:rsidRPr="00117ED8">
              <w:rPr>
                <w:rFonts w:ascii="Arial" w:hAnsi="Arial" w:cs="Arial"/>
                <w:noProof/>
                <w:webHidden/>
              </w:rPr>
              <w:fldChar w:fldCharType="begin"/>
            </w:r>
            <w:r w:rsidRPr="00117ED8">
              <w:rPr>
                <w:rFonts w:ascii="Arial" w:hAnsi="Arial" w:cs="Arial"/>
                <w:noProof/>
                <w:webHidden/>
              </w:rPr>
              <w:instrText xml:space="preserve"> PAGEREF _Toc233545995 \h </w:instrText>
            </w:r>
            <w:r w:rsidRPr="00117ED8">
              <w:rPr>
                <w:rFonts w:ascii="Arial" w:hAnsi="Arial" w:cs="Arial"/>
                <w:noProof/>
                <w:webHidden/>
              </w:rPr>
            </w:r>
            <w:r w:rsidRPr="00117ED8">
              <w:rPr>
                <w:rFonts w:ascii="Arial" w:hAnsi="Arial" w:cs="Arial"/>
                <w:noProof/>
                <w:webHidden/>
              </w:rPr>
              <w:fldChar w:fldCharType="separate"/>
            </w:r>
            <w:r w:rsidRPr="00117ED8">
              <w:rPr>
                <w:rFonts w:ascii="Arial" w:hAnsi="Arial" w:cs="Arial"/>
                <w:noProof/>
                <w:webHidden/>
              </w:rPr>
              <w:t>3</w:t>
            </w:r>
            <w:r w:rsidRPr="00117ED8">
              <w:rPr>
                <w:rFonts w:ascii="Arial" w:hAnsi="Arial" w:cs="Arial"/>
                <w:noProof/>
                <w:webHidden/>
              </w:rPr>
              <w:fldChar w:fldCharType="end"/>
            </w:r>
          </w:hyperlink>
        </w:p>
        <w:p w14:paraId="27E0F7E6" w14:textId="6E8E0E72" w:rsidR="00117ED8" w:rsidRPr="00117ED8" w:rsidRDefault="00310BC3">
          <w:pPr>
            <w:pStyle w:val="TOC1"/>
            <w:tabs>
              <w:tab w:val="right" w:leader="dot" w:pos="9016"/>
            </w:tabs>
            <w:rPr>
              <w:rFonts w:ascii="Arial" w:hAnsi="Arial" w:cs="Arial"/>
              <w:noProof/>
            </w:rPr>
          </w:pPr>
          <w:hyperlink w:anchor="_Toc233545996" w:history="1">
            <w:r w:rsidR="00117ED8" w:rsidRPr="00117ED8">
              <w:rPr>
                <w:rStyle w:val="Hyperlink"/>
                <w:rFonts w:ascii="Arial" w:hAnsi="Arial" w:cs="Arial"/>
                <w:noProof/>
              </w:rPr>
              <w:t>1.0 Abstract</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_Toc233545996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3</w:t>
            </w:r>
            <w:r w:rsidR="00117ED8" w:rsidRPr="00117ED8">
              <w:rPr>
                <w:rFonts w:ascii="Arial" w:hAnsi="Arial" w:cs="Arial"/>
                <w:noProof/>
                <w:webHidden/>
              </w:rPr>
              <w:fldChar w:fldCharType="end"/>
            </w:r>
          </w:hyperlink>
        </w:p>
        <w:p w14:paraId="7C92E85A" w14:textId="638C3616" w:rsidR="00117ED8" w:rsidRPr="00117ED8" w:rsidRDefault="00310BC3">
          <w:pPr>
            <w:pStyle w:val="TOC1"/>
            <w:tabs>
              <w:tab w:val="right" w:leader="dot" w:pos="9016"/>
            </w:tabs>
            <w:rPr>
              <w:rFonts w:ascii="Arial" w:hAnsi="Arial" w:cs="Arial"/>
              <w:noProof/>
            </w:rPr>
          </w:pPr>
          <w:hyperlink w:anchor="_Toc233545997" w:history="1">
            <w:r w:rsidR="00117ED8" w:rsidRPr="00117ED8">
              <w:rPr>
                <w:rStyle w:val="Hyperlink"/>
                <w:rFonts w:ascii="Arial" w:hAnsi="Arial" w:cs="Arial"/>
                <w:noProof/>
              </w:rPr>
              <w:t>2.0 Introduction</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_Toc233545997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4</w:t>
            </w:r>
            <w:r w:rsidR="00117ED8" w:rsidRPr="00117ED8">
              <w:rPr>
                <w:rFonts w:ascii="Arial" w:hAnsi="Arial" w:cs="Arial"/>
                <w:noProof/>
                <w:webHidden/>
              </w:rPr>
              <w:fldChar w:fldCharType="end"/>
            </w:r>
          </w:hyperlink>
        </w:p>
        <w:p w14:paraId="2AE8AE92" w14:textId="2393A049" w:rsidR="00117ED8" w:rsidRPr="00117ED8" w:rsidRDefault="00310BC3">
          <w:pPr>
            <w:pStyle w:val="TOC1"/>
            <w:tabs>
              <w:tab w:val="right" w:leader="dot" w:pos="9016"/>
            </w:tabs>
            <w:rPr>
              <w:rFonts w:ascii="Arial" w:hAnsi="Arial" w:cs="Arial"/>
              <w:noProof/>
            </w:rPr>
          </w:pPr>
          <w:hyperlink w:anchor="_Toc233545998" w:history="1">
            <w:r w:rsidR="00117ED8" w:rsidRPr="00117ED8">
              <w:rPr>
                <w:rStyle w:val="Hyperlink"/>
                <w:rFonts w:ascii="Arial" w:hAnsi="Arial" w:cs="Arial"/>
                <w:noProof/>
              </w:rPr>
              <w:t>3.0 Background</w:t>
            </w:r>
            <w:r w:rsidR="00117ED8" w:rsidRPr="00117ED8">
              <w:rPr>
                <w:rFonts w:ascii="Arial" w:hAnsi="Arial" w:cs="Arial"/>
                <w:noProof/>
                <w:webHidden/>
              </w:rPr>
              <w:tab/>
            </w:r>
            <w:r w:rsidR="00965CC2">
              <w:rPr>
                <w:rFonts w:ascii="Arial" w:hAnsi="Arial" w:cs="Arial"/>
                <w:noProof/>
                <w:webHidden/>
              </w:rPr>
              <w:t>6</w:t>
            </w:r>
          </w:hyperlink>
        </w:p>
        <w:p w14:paraId="3B7DE3D7" w14:textId="7D134B5C" w:rsidR="00117ED8" w:rsidRPr="00117ED8" w:rsidRDefault="00310BC3">
          <w:pPr>
            <w:pStyle w:val="TOC1"/>
            <w:tabs>
              <w:tab w:val="right" w:leader="dot" w:pos="9016"/>
            </w:tabs>
            <w:rPr>
              <w:rFonts w:ascii="Arial" w:hAnsi="Arial" w:cs="Arial"/>
              <w:noProof/>
            </w:rPr>
          </w:pPr>
          <w:hyperlink w:anchor="_Toc233545999" w:history="1">
            <w:r w:rsidR="00117ED8" w:rsidRPr="00117ED8">
              <w:rPr>
                <w:rStyle w:val="Hyperlink"/>
                <w:rFonts w:ascii="Arial" w:hAnsi="Arial" w:cs="Arial"/>
                <w:noProof/>
              </w:rPr>
              <w:t>4.0 Methods</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_Toc233545999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8</w:t>
            </w:r>
            <w:r w:rsidR="00117ED8" w:rsidRPr="00117ED8">
              <w:rPr>
                <w:rFonts w:ascii="Arial" w:hAnsi="Arial" w:cs="Arial"/>
                <w:noProof/>
                <w:webHidden/>
              </w:rPr>
              <w:fldChar w:fldCharType="end"/>
            </w:r>
          </w:hyperlink>
        </w:p>
        <w:p w14:paraId="679A8FE9" w14:textId="1AF3FDE2" w:rsidR="00117ED8" w:rsidRPr="00117ED8" w:rsidRDefault="00310BC3">
          <w:pPr>
            <w:pStyle w:val="TOC1"/>
            <w:tabs>
              <w:tab w:val="right" w:leader="dot" w:pos="9016"/>
            </w:tabs>
            <w:rPr>
              <w:rFonts w:ascii="Arial" w:hAnsi="Arial" w:cs="Arial"/>
              <w:noProof/>
            </w:rPr>
          </w:pPr>
          <w:hyperlink w:anchor="_Toc233546000" w:history="1">
            <w:r w:rsidR="00117ED8" w:rsidRPr="00117ED8">
              <w:rPr>
                <w:rStyle w:val="Hyperlink"/>
                <w:rFonts w:ascii="Arial" w:hAnsi="Arial" w:cs="Arial"/>
                <w:noProof/>
              </w:rPr>
              <w:t>5.0 Results</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_Toc233546000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10</w:t>
            </w:r>
            <w:r w:rsidR="00117ED8" w:rsidRPr="00117ED8">
              <w:rPr>
                <w:rFonts w:ascii="Arial" w:hAnsi="Arial" w:cs="Arial"/>
                <w:noProof/>
                <w:webHidden/>
              </w:rPr>
              <w:fldChar w:fldCharType="end"/>
            </w:r>
          </w:hyperlink>
        </w:p>
        <w:p w14:paraId="2F8FD18F" w14:textId="28B54C5F" w:rsidR="00117ED8" w:rsidRPr="00117ED8" w:rsidRDefault="00310BC3">
          <w:pPr>
            <w:pStyle w:val="TOC1"/>
            <w:tabs>
              <w:tab w:val="right" w:leader="dot" w:pos="9016"/>
            </w:tabs>
            <w:rPr>
              <w:rFonts w:ascii="Arial" w:hAnsi="Arial" w:cs="Arial"/>
              <w:noProof/>
            </w:rPr>
          </w:pPr>
          <w:hyperlink w:anchor="_Toc233546001" w:history="1">
            <w:r w:rsidR="00117ED8" w:rsidRPr="00117ED8">
              <w:rPr>
                <w:rStyle w:val="Hyperlink"/>
                <w:rFonts w:ascii="Arial" w:hAnsi="Arial" w:cs="Arial"/>
                <w:noProof/>
              </w:rPr>
              <w:t>6.0 Discussion</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_Toc233546001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15</w:t>
            </w:r>
            <w:r w:rsidR="00117ED8" w:rsidRPr="00117ED8">
              <w:rPr>
                <w:rFonts w:ascii="Arial" w:hAnsi="Arial" w:cs="Arial"/>
                <w:noProof/>
                <w:webHidden/>
              </w:rPr>
              <w:fldChar w:fldCharType="end"/>
            </w:r>
          </w:hyperlink>
        </w:p>
        <w:p w14:paraId="3B6734B7" w14:textId="5C807130" w:rsidR="00117ED8" w:rsidRPr="00117ED8" w:rsidRDefault="00310BC3">
          <w:pPr>
            <w:pStyle w:val="TOC1"/>
            <w:tabs>
              <w:tab w:val="right" w:leader="dot" w:pos="9016"/>
            </w:tabs>
            <w:rPr>
              <w:rFonts w:ascii="Arial" w:hAnsi="Arial" w:cs="Arial"/>
              <w:noProof/>
            </w:rPr>
          </w:pPr>
          <w:hyperlink w:anchor="_Toc233546002" w:history="1">
            <w:r w:rsidR="00117ED8" w:rsidRPr="00117ED8">
              <w:rPr>
                <w:rStyle w:val="Hyperlink"/>
                <w:rFonts w:ascii="Arial" w:hAnsi="Arial" w:cs="Arial"/>
                <w:noProof/>
              </w:rPr>
              <w:t>7.0 Conclusion and Recommendations</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_Toc233546002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17</w:t>
            </w:r>
            <w:r w:rsidR="00117ED8" w:rsidRPr="00117ED8">
              <w:rPr>
                <w:rFonts w:ascii="Arial" w:hAnsi="Arial" w:cs="Arial"/>
                <w:noProof/>
                <w:webHidden/>
              </w:rPr>
              <w:fldChar w:fldCharType="end"/>
            </w:r>
          </w:hyperlink>
        </w:p>
        <w:p w14:paraId="015E1B30" w14:textId="1267EDE4" w:rsidR="00117ED8" w:rsidRPr="00117ED8" w:rsidRDefault="00310BC3">
          <w:pPr>
            <w:pStyle w:val="TOC1"/>
            <w:tabs>
              <w:tab w:val="right" w:leader="dot" w:pos="9016"/>
            </w:tabs>
            <w:rPr>
              <w:rFonts w:ascii="Arial" w:hAnsi="Arial" w:cs="Arial"/>
              <w:noProof/>
            </w:rPr>
          </w:pPr>
          <w:hyperlink w:anchor="_Toc233546003" w:history="1">
            <w:r w:rsidR="00117ED8" w:rsidRPr="00117ED8">
              <w:rPr>
                <w:rStyle w:val="Hyperlink"/>
                <w:rFonts w:ascii="Arial" w:hAnsi="Arial" w:cs="Arial"/>
                <w:noProof/>
              </w:rPr>
              <w:t>References</w:t>
            </w:r>
            <w:r w:rsidR="00117ED8" w:rsidRPr="00117ED8">
              <w:rPr>
                <w:rFonts w:ascii="Arial" w:hAnsi="Arial" w:cs="Arial"/>
                <w:noProof/>
                <w:webHidden/>
              </w:rPr>
              <w:tab/>
            </w:r>
            <w:r w:rsidR="00117ED8" w:rsidRPr="00117ED8">
              <w:rPr>
                <w:rFonts w:ascii="Arial" w:hAnsi="Arial" w:cs="Arial"/>
                <w:noProof/>
                <w:webHidden/>
              </w:rPr>
              <w:fldChar w:fldCharType="begin"/>
            </w:r>
            <w:r w:rsidR="00117ED8" w:rsidRPr="00117ED8">
              <w:rPr>
                <w:rFonts w:ascii="Arial" w:hAnsi="Arial" w:cs="Arial"/>
                <w:noProof/>
                <w:webHidden/>
              </w:rPr>
              <w:instrText xml:space="preserve"> PAGEREF _Toc233546003 \h </w:instrText>
            </w:r>
            <w:r w:rsidR="00117ED8" w:rsidRPr="00117ED8">
              <w:rPr>
                <w:rFonts w:ascii="Arial" w:hAnsi="Arial" w:cs="Arial"/>
                <w:noProof/>
                <w:webHidden/>
              </w:rPr>
            </w:r>
            <w:r w:rsidR="00117ED8" w:rsidRPr="00117ED8">
              <w:rPr>
                <w:rFonts w:ascii="Arial" w:hAnsi="Arial" w:cs="Arial"/>
                <w:noProof/>
                <w:webHidden/>
              </w:rPr>
              <w:fldChar w:fldCharType="separate"/>
            </w:r>
            <w:r w:rsidR="00117ED8" w:rsidRPr="00117ED8">
              <w:rPr>
                <w:rFonts w:ascii="Arial" w:hAnsi="Arial" w:cs="Arial"/>
                <w:noProof/>
                <w:webHidden/>
              </w:rPr>
              <w:t>1</w:t>
            </w:r>
            <w:r w:rsidR="00A222C8">
              <w:rPr>
                <w:rFonts w:ascii="Arial" w:hAnsi="Arial" w:cs="Arial"/>
                <w:noProof/>
                <w:webHidden/>
              </w:rPr>
              <w:t>8</w:t>
            </w:r>
            <w:r w:rsidR="00117ED8" w:rsidRPr="00117ED8">
              <w:rPr>
                <w:rFonts w:ascii="Arial" w:hAnsi="Arial" w:cs="Arial"/>
                <w:noProof/>
                <w:webHidden/>
              </w:rPr>
              <w:fldChar w:fldCharType="end"/>
            </w:r>
          </w:hyperlink>
        </w:p>
        <w:p w14:paraId="34105DF2" w14:textId="255A6C81" w:rsidR="00117ED8" w:rsidRDefault="00117ED8">
          <w:r w:rsidRPr="00117ED8">
            <w:rPr>
              <w:rFonts w:ascii="Arial" w:hAnsi="Arial" w:cs="Arial"/>
              <w:bCs/>
              <w:noProof/>
            </w:rPr>
            <w:fldChar w:fldCharType="end"/>
          </w:r>
        </w:p>
      </w:sdtContent>
    </w:sdt>
    <w:p w14:paraId="13E00080" w14:textId="137FF22A" w:rsidR="00B87E75" w:rsidRPr="00117ED8" w:rsidRDefault="00B87E75" w:rsidP="00CD33A8">
      <w:pPr>
        <w:spacing w:line="360" w:lineRule="auto"/>
        <w:rPr>
          <w:rFonts w:ascii="Arial" w:hAnsi="Arial" w:cs="Arial"/>
          <w:sz w:val="22"/>
        </w:rPr>
      </w:pPr>
    </w:p>
    <w:p w14:paraId="2E79F7ED" w14:textId="182913C0" w:rsidR="00B87E75" w:rsidRPr="00117ED8" w:rsidRDefault="00B87E75" w:rsidP="00CD33A8">
      <w:pPr>
        <w:spacing w:line="360" w:lineRule="auto"/>
        <w:rPr>
          <w:rFonts w:ascii="Arial" w:hAnsi="Arial" w:cs="Arial"/>
          <w:sz w:val="22"/>
        </w:rPr>
      </w:pPr>
    </w:p>
    <w:p w14:paraId="7AE771D5" w14:textId="1C06E45A" w:rsidR="00B87E75" w:rsidRPr="00117ED8" w:rsidRDefault="00B87E75" w:rsidP="00CD33A8">
      <w:pPr>
        <w:spacing w:line="360" w:lineRule="auto"/>
        <w:rPr>
          <w:rFonts w:ascii="Arial" w:hAnsi="Arial" w:cs="Arial"/>
          <w:sz w:val="22"/>
        </w:rPr>
      </w:pPr>
    </w:p>
    <w:p w14:paraId="4F7320CB" w14:textId="000D21B8" w:rsidR="00B87E75" w:rsidRPr="00117ED8" w:rsidRDefault="00B87E75" w:rsidP="00CD33A8">
      <w:pPr>
        <w:spacing w:line="360" w:lineRule="auto"/>
        <w:rPr>
          <w:rFonts w:ascii="Arial" w:hAnsi="Arial" w:cs="Arial"/>
          <w:sz w:val="22"/>
        </w:rPr>
      </w:pPr>
      <w:r w:rsidRPr="00117ED8">
        <w:rPr>
          <w:rFonts w:ascii="Arial" w:hAnsi="Arial" w:cs="Arial"/>
          <w:sz w:val="22"/>
        </w:rPr>
        <w:br w:type="page"/>
      </w:r>
    </w:p>
    <w:p w14:paraId="2CF27283" w14:textId="14E11933" w:rsidR="00B8304B" w:rsidRPr="00117ED8" w:rsidRDefault="00B8304B" w:rsidP="00B8304B">
      <w:pPr>
        <w:pStyle w:val="Heading1"/>
        <w:rPr>
          <w:rFonts w:cs="Arial"/>
        </w:rPr>
      </w:pPr>
      <w:bookmarkStart w:id="0" w:name="_Toc233545995"/>
      <w:r w:rsidRPr="00117ED8">
        <w:rPr>
          <w:rFonts w:cs="Arial"/>
        </w:rPr>
        <w:lastRenderedPageBreak/>
        <w:t xml:space="preserve">Topic: </w:t>
      </w:r>
      <w:r w:rsidR="00117ED8" w:rsidRPr="00117ED8">
        <w:rPr>
          <w:rFonts w:eastAsia="Arial" w:cs="Arial"/>
        </w:rPr>
        <w:t>Barriers to accessing mental health support among young adults in the UK.</w:t>
      </w:r>
      <w:bookmarkEnd w:id="0"/>
    </w:p>
    <w:p w14:paraId="3914D9AE" w14:textId="23B68DDF" w:rsidR="00CD33A8" w:rsidRPr="00117ED8" w:rsidRDefault="00117ED8" w:rsidP="00E620E7">
      <w:pPr>
        <w:pStyle w:val="Heading1"/>
        <w:rPr>
          <w:rFonts w:cs="Arial"/>
        </w:rPr>
      </w:pPr>
      <w:bookmarkStart w:id="1" w:name="_Toc233545996"/>
      <w:r>
        <w:rPr>
          <w:rFonts w:cs="Arial"/>
        </w:rPr>
        <w:t xml:space="preserve">1.0 </w:t>
      </w:r>
      <w:r w:rsidR="00CD33A8" w:rsidRPr="00117ED8">
        <w:rPr>
          <w:rFonts w:cs="Arial"/>
        </w:rPr>
        <w:t>Abstract</w:t>
      </w:r>
      <w:bookmarkEnd w:id="1"/>
    </w:p>
    <w:p w14:paraId="68C4C60F" w14:textId="27FAE774"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This study examines the barriers to formal access to mental health services </w:t>
      </w:r>
      <w:r w:rsidR="00587EA4">
        <w:rPr>
          <w:rFonts w:ascii="Arial" w:eastAsia="Times New Roman" w:hAnsi="Arial" w:cs="Arial"/>
          <w:szCs w:val="24"/>
        </w:rPr>
        <w:t>for</w:t>
      </w:r>
      <w:r w:rsidRPr="00117ED8">
        <w:rPr>
          <w:rFonts w:ascii="Arial" w:eastAsia="Times New Roman" w:hAnsi="Arial" w:cs="Arial"/>
          <w:szCs w:val="24"/>
        </w:rPr>
        <w:t xml:space="preserve"> young people (aged 18-25) in the U.K. A scoping review design was used instead of a ‘statistical effect' intervention-negative control design to map recent peer-reviewed evidence that explicitly addresses the scope of the review. The research used content analysis with a thematic approach</w:t>
      </w:r>
      <w:r>
        <w:rPr>
          <w:rFonts w:ascii="Arial" w:eastAsia="Times New Roman" w:hAnsi="Arial" w:cs="Arial"/>
          <w:szCs w:val="24"/>
        </w:rPr>
        <w:t>,</w:t>
      </w:r>
      <w:r w:rsidRPr="00117ED8">
        <w:rPr>
          <w:rFonts w:ascii="Arial" w:eastAsia="Times New Roman" w:hAnsi="Arial" w:cs="Arial"/>
          <w:szCs w:val="24"/>
        </w:rPr>
        <w:t xml:space="preserve"> and five studies related to the research were found. Results indicate that access barriers are at the individual, service and structural level. Individual barriers include stigma, embarrassment, felt need, mental health literacy, </w:t>
      </w:r>
      <w:r>
        <w:rPr>
          <w:rFonts w:ascii="Arial" w:eastAsia="Times New Roman" w:hAnsi="Arial" w:cs="Arial"/>
          <w:szCs w:val="24"/>
        </w:rPr>
        <w:t xml:space="preserve">and </w:t>
      </w:r>
      <w:r w:rsidRPr="00117ED8">
        <w:rPr>
          <w:rFonts w:ascii="Arial" w:eastAsia="Times New Roman" w:hAnsi="Arial" w:cs="Arial"/>
          <w:szCs w:val="24"/>
        </w:rPr>
        <w:t>fear of judgment. Some barriers to the service level are wait times, lack of clarity in the referral process, high eligibility quotas, poor continuity of care, and confidentiality issues. Care-experienced young people, students and socioeconomically disadvantaged groups/young adults who have lower trust in formal services are affected by inequality. The review agrees that there is restricted access, which is not just down to reluctance, but also service design and inequalities that are more broadly. Providing youth</w:t>
      </w:r>
      <w:r>
        <w:rPr>
          <w:rFonts w:ascii="Arial" w:eastAsia="Times New Roman" w:hAnsi="Arial" w:cs="Arial"/>
          <w:szCs w:val="24"/>
        </w:rPr>
        <w:t>-</w:t>
      </w:r>
      <w:r w:rsidRPr="00117ED8">
        <w:rPr>
          <w:rFonts w:ascii="Arial" w:eastAsia="Times New Roman" w:hAnsi="Arial" w:cs="Arial"/>
          <w:szCs w:val="24"/>
        </w:rPr>
        <w:t>friendly communication, as well as improving referrals and wait times and culturally appropriate support and early intervention</w:t>
      </w:r>
      <w:r w:rsidR="00864892">
        <w:rPr>
          <w:rFonts w:ascii="Arial" w:eastAsia="Times New Roman" w:hAnsi="Arial" w:cs="Arial"/>
          <w:szCs w:val="24"/>
        </w:rPr>
        <w:t>, are</w:t>
      </w:r>
      <w:r w:rsidRPr="00117ED8">
        <w:rPr>
          <w:rFonts w:ascii="Arial" w:eastAsia="Times New Roman" w:hAnsi="Arial" w:cs="Arial"/>
          <w:szCs w:val="24"/>
        </w:rPr>
        <w:t xml:space="preserve"> recommended.</w:t>
      </w:r>
    </w:p>
    <w:p w14:paraId="313ED97C" w14:textId="23936635" w:rsidR="00CD33A8" w:rsidRPr="00117ED8" w:rsidRDefault="00CD33A8" w:rsidP="00CD33A8">
      <w:pPr>
        <w:rPr>
          <w:rFonts w:ascii="Arial" w:hAnsi="Arial" w:cs="Arial"/>
          <w:sz w:val="22"/>
        </w:rPr>
      </w:pPr>
    </w:p>
    <w:p w14:paraId="46C3E29E" w14:textId="77777777" w:rsidR="00CD33A8" w:rsidRPr="00117ED8" w:rsidRDefault="00CD33A8" w:rsidP="00CD33A8">
      <w:pPr>
        <w:rPr>
          <w:rFonts w:ascii="Arial" w:hAnsi="Arial" w:cs="Arial"/>
          <w:sz w:val="22"/>
        </w:rPr>
      </w:pPr>
    </w:p>
    <w:p w14:paraId="0A06133D" w14:textId="77777777" w:rsidR="00117ED8" w:rsidRPr="00117ED8" w:rsidRDefault="00117ED8">
      <w:pPr>
        <w:rPr>
          <w:rFonts w:ascii="Arial" w:eastAsiaTheme="majorEastAsia" w:hAnsi="Arial" w:cs="Arial"/>
          <w:b/>
          <w:sz w:val="32"/>
        </w:rPr>
      </w:pPr>
      <w:r w:rsidRPr="00117ED8">
        <w:rPr>
          <w:rFonts w:ascii="Arial" w:hAnsi="Arial" w:cs="Arial"/>
        </w:rPr>
        <w:br w:type="page"/>
      </w:r>
    </w:p>
    <w:p w14:paraId="12D76753" w14:textId="4C569D1E" w:rsidR="00B87E75" w:rsidRPr="00117ED8" w:rsidRDefault="00117ED8" w:rsidP="00E620E7">
      <w:pPr>
        <w:pStyle w:val="Heading1"/>
        <w:rPr>
          <w:rFonts w:cs="Arial"/>
        </w:rPr>
      </w:pPr>
      <w:bookmarkStart w:id="2" w:name="_Toc233545997"/>
      <w:r>
        <w:rPr>
          <w:rFonts w:cs="Arial"/>
        </w:rPr>
        <w:lastRenderedPageBreak/>
        <w:t xml:space="preserve">2.0 </w:t>
      </w:r>
      <w:r w:rsidR="00B87E75" w:rsidRPr="00117ED8">
        <w:rPr>
          <w:rFonts w:cs="Arial"/>
        </w:rPr>
        <w:t>Introduction</w:t>
      </w:r>
      <w:bookmarkEnd w:id="2"/>
    </w:p>
    <w:p w14:paraId="029CAA5E" w14:textId="3A69D90F"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2.1 </w:t>
      </w:r>
      <w:r>
        <w:rPr>
          <w:rFonts w:ascii="Arial" w:eastAsia="Times New Roman" w:hAnsi="Arial" w:cs="Arial"/>
          <w:b/>
          <w:bCs/>
          <w:sz w:val="26"/>
          <w:szCs w:val="26"/>
        </w:rPr>
        <w:t>Definition of the main concepts</w:t>
      </w:r>
    </w:p>
    <w:p w14:paraId="4F40931E"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However, the review has a wide understanding of the meaning of young adults, as the window for independence, employment/ further education and support to prepare for adulthood is likely to overlap in the UK with age 18-25. Mental health support: Professional/organised support that is provided in relation to emotional distress, anxiety, depression or psychological needs. Formal mental health care refers to mental health treatment provided by a GP or recognised provider (GP-Directed mental health services, NHS Mental health services, NHS Talking Therapies, university wellbeing services or regulated pathways through the voluntary sector (Rice and O'Connor, 2023). </w:t>
      </w:r>
    </w:p>
    <w:p w14:paraId="7B58BDDD" w14:textId="2FEC92C9"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2.2 Rationale of the res</w:t>
      </w:r>
      <w:r>
        <w:rPr>
          <w:rFonts w:ascii="Arial" w:eastAsia="Times New Roman" w:hAnsi="Arial" w:cs="Arial"/>
          <w:b/>
          <w:bCs/>
          <w:sz w:val="26"/>
          <w:szCs w:val="26"/>
        </w:rPr>
        <w:t>earch</w:t>
      </w:r>
    </w:p>
    <w:p w14:paraId="1678C192" w14:textId="77777777"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noProof/>
          <w:szCs w:val="24"/>
        </w:rPr>
        <w:drawing>
          <wp:inline distT="114300" distB="114300" distL="114300" distR="114300" wp14:anchorId="5ED88B3C" wp14:editId="34626120">
            <wp:extent cx="5110163" cy="2612407"/>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110163" cy="2612407"/>
                    </a:xfrm>
                    <a:prstGeom prst="rect">
                      <a:avLst/>
                    </a:prstGeom>
                    <a:ln/>
                  </pic:spPr>
                </pic:pic>
              </a:graphicData>
            </a:graphic>
          </wp:inline>
        </w:drawing>
      </w:r>
    </w:p>
    <w:p w14:paraId="31A6C24D" w14:textId="526073B6"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b/>
          <w:bCs/>
          <w:szCs w:val="24"/>
        </w:rPr>
        <w:t xml:space="preserve">Figure: </w:t>
      </w:r>
      <w:r w:rsidRPr="00117ED8">
        <w:rPr>
          <w:rFonts w:ascii="Arial" w:eastAsia="Times New Roman" w:hAnsi="Arial" w:cs="Arial"/>
          <w:szCs w:val="24"/>
        </w:rPr>
        <w:t>Children and young people</w:t>
      </w:r>
      <w:r>
        <w:rPr>
          <w:rFonts w:ascii="Arial" w:eastAsia="Times New Roman" w:hAnsi="Arial" w:cs="Arial"/>
          <w:szCs w:val="24"/>
        </w:rPr>
        <w:t>'s</w:t>
      </w:r>
      <w:r w:rsidRPr="00117ED8">
        <w:rPr>
          <w:rFonts w:ascii="Arial" w:eastAsia="Times New Roman" w:hAnsi="Arial" w:cs="Arial"/>
          <w:szCs w:val="24"/>
        </w:rPr>
        <w:t xml:space="preserve"> mental disorder statistics</w:t>
      </w:r>
    </w:p>
    <w:p w14:paraId="6578C9A7" w14:textId="77777777" w:rsidR="00117ED8" w:rsidRPr="00117ED8" w:rsidRDefault="00117ED8" w:rsidP="00117ED8">
      <w:pPr>
        <w:spacing w:line="360" w:lineRule="auto"/>
        <w:jc w:val="center"/>
        <w:rPr>
          <w:rFonts w:ascii="Arial" w:eastAsia="Times New Roman" w:hAnsi="Arial" w:cs="Arial"/>
          <w:b/>
          <w:bCs/>
          <w:szCs w:val="24"/>
        </w:rPr>
      </w:pPr>
      <w:r w:rsidRPr="00117ED8">
        <w:rPr>
          <w:rFonts w:ascii="Arial" w:eastAsia="Times New Roman" w:hAnsi="Arial" w:cs="Arial"/>
          <w:b/>
          <w:bCs/>
          <w:szCs w:val="24"/>
        </w:rPr>
        <w:t xml:space="preserve">Source: </w:t>
      </w:r>
      <w:r w:rsidRPr="00117ED8">
        <w:rPr>
          <w:rFonts w:ascii="Arial" w:eastAsia="Times New Roman" w:hAnsi="Arial" w:cs="Arial"/>
          <w:szCs w:val="24"/>
        </w:rPr>
        <w:t>(NHS Digital, 2023)</w:t>
      </w:r>
    </w:p>
    <w:p w14:paraId="65DD0905" w14:textId="00FBB61A"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This is an important topic because of a disconnect between need and access to this subject. There is </w:t>
      </w:r>
      <w:r>
        <w:rPr>
          <w:rFonts w:ascii="Arial" w:eastAsia="Times New Roman" w:hAnsi="Arial" w:cs="Arial"/>
          <w:szCs w:val="24"/>
        </w:rPr>
        <w:t xml:space="preserve">a </w:t>
      </w:r>
      <w:r w:rsidRPr="00117ED8">
        <w:rPr>
          <w:rFonts w:ascii="Arial" w:eastAsia="Times New Roman" w:hAnsi="Arial" w:cs="Arial"/>
          <w:szCs w:val="24"/>
        </w:rPr>
        <w:t>great need within the age group closest to that of this review: 21.7% of 20 to 25</w:t>
      </w:r>
      <w:r>
        <w:rPr>
          <w:rFonts w:ascii="Arial" w:eastAsia="Times New Roman" w:hAnsi="Arial" w:cs="Arial"/>
          <w:szCs w:val="24"/>
        </w:rPr>
        <w:t>-year-</w:t>
      </w:r>
      <w:r w:rsidRPr="00117ED8">
        <w:rPr>
          <w:rFonts w:ascii="Arial" w:eastAsia="Times New Roman" w:hAnsi="Arial" w:cs="Arial"/>
          <w:szCs w:val="24"/>
        </w:rPr>
        <w:t xml:space="preserve">olds are likely to have a mental disorder in England in 2023 (NHS Digital, 2023). </w:t>
      </w:r>
      <w:r w:rsidR="003E0E37">
        <w:rPr>
          <w:rFonts w:ascii="Arial" w:eastAsia="Times New Roman" w:hAnsi="Arial" w:cs="Arial"/>
          <w:szCs w:val="24"/>
        </w:rPr>
        <w:t>Reaching</w:t>
      </w:r>
      <w:r w:rsidRPr="00117ED8">
        <w:rPr>
          <w:rFonts w:ascii="Arial" w:eastAsia="Times New Roman" w:hAnsi="Arial" w:cs="Arial"/>
          <w:szCs w:val="24"/>
        </w:rPr>
        <w:t xml:space="preserve"> young adults (YAs) through prevalence statistics cannot explain why </w:t>
      </w:r>
      <w:r>
        <w:rPr>
          <w:rFonts w:ascii="Arial" w:eastAsia="Times New Roman" w:hAnsi="Arial" w:cs="Arial"/>
          <w:szCs w:val="24"/>
        </w:rPr>
        <w:t>young adults</w:t>
      </w:r>
      <w:r w:rsidRPr="00117ED8">
        <w:rPr>
          <w:rFonts w:ascii="Arial" w:eastAsia="Times New Roman" w:hAnsi="Arial" w:cs="Arial"/>
          <w:szCs w:val="24"/>
        </w:rPr>
        <w:t xml:space="preserve"> fail to use services, however. If treatment is delayed, it may be possible for symptoms to escalate, for presenting in crisis and for </w:t>
      </w:r>
      <w:r w:rsidRPr="00117ED8">
        <w:rPr>
          <w:rFonts w:ascii="Arial" w:eastAsia="Times New Roman" w:hAnsi="Arial" w:cs="Arial"/>
          <w:szCs w:val="24"/>
        </w:rPr>
        <w:lastRenderedPageBreak/>
        <w:t>primary/community mental health care and university support services</w:t>
      </w:r>
      <w:r>
        <w:rPr>
          <w:rFonts w:ascii="Arial" w:eastAsia="Times New Roman" w:hAnsi="Arial" w:cs="Arial"/>
          <w:szCs w:val="24"/>
        </w:rPr>
        <w:t>,</w:t>
      </w:r>
      <w:r w:rsidRPr="00117ED8">
        <w:rPr>
          <w:rFonts w:ascii="Arial" w:eastAsia="Times New Roman" w:hAnsi="Arial" w:cs="Arial"/>
          <w:szCs w:val="24"/>
        </w:rPr>
        <w:t xml:space="preserve"> which are already overextended</w:t>
      </w:r>
      <w:r>
        <w:rPr>
          <w:rFonts w:ascii="Arial" w:eastAsia="Times New Roman" w:hAnsi="Arial" w:cs="Arial"/>
          <w:szCs w:val="24"/>
        </w:rPr>
        <w:t>,</w:t>
      </w:r>
      <w:r w:rsidRPr="00117ED8">
        <w:rPr>
          <w:rFonts w:ascii="Arial" w:eastAsia="Times New Roman" w:hAnsi="Arial" w:cs="Arial"/>
          <w:szCs w:val="24"/>
        </w:rPr>
        <w:t xml:space="preserve"> to become even more strained. Equality of access is also not in place. Stigma, low mental health literacy and fear of judgement, concerns about confidentiality, pressure around cost and waiting times may affect mental health more among young women than young men, ethnic minority youth and those with socioeconomic disadvantage and those out of education/training (Renwick et al., 2024).</w:t>
      </w:r>
    </w:p>
    <w:p w14:paraId="6BB00098" w14:textId="7391F9A2"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2.3 Review question</w:t>
      </w:r>
    </w:p>
    <w:p w14:paraId="5A13CA1E"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What are the barriers young adults aged 18–25 in the UK encounter in accessing formal mental health care?</w:t>
      </w:r>
    </w:p>
    <w:p w14:paraId="443DC753" w14:textId="2EFE273E"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2.4 Aim and objectives</w:t>
      </w:r>
    </w:p>
    <w:p w14:paraId="1114A09C" w14:textId="61AE559F"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b/>
          <w:bCs/>
          <w:i/>
          <w:iCs/>
          <w:szCs w:val="24"/>
        </w:rPr>
        <w:t>Aim:</w:t>
      </w:r>
      <w:r w:rsidRPr="00117ED8">
        <w:rPr>
          <w:rFonts w:ascii="Arial" w:eastAsia="Times New Roman" w:hAnsi="Arial" w:cs="Arial"/>
          <w:szCs w:val="24"/>
        </w:rPr>
        <w:t xml:space="preserve"> To explore current literature with respect to barriers to </w:t>
      </w:r>
      <w:r w:rsidR="006F3211">
        <w:rPr>
          <w:rFonts w:ascii="Arial" w:eastAsia="Times New Roman" w:hAnsi="Arial" w:cs="Arial"/>
          <w:szCs w:val="24"/>
        </w:rPr>
        <w:t>accessing</w:t>
      </w:r>
      <w:r w:rsidRPr="00117ED8">
        <w:rPr>
          <w:rFonts w:ascii="Arial" w:eastAsia="Times New Roman" w:hAnsi="Arial" w:cs="Arial"/>
          <w:szCs w:val="24"/>
        </w:rPr>
        <w:t xml:space="preserve"> formal mental health support for young adults in UK</w:t>
      </w:r>
      <w:r>
        <w:rPr>
          <w:rFonts w:ascii="Arial" w:eastAsia="Times New Roman" w:hAnsi="Arial" w:cs="Arial"/>
          <w:szCs w:val="24"/>
        </w:rPr>
        <w:t>-based peer-</w:t>
      </w:r>
      <w:r w:rsidRPr="00117ED8">
        <w:rPr>
          <w:rFonts w:ascii="Arial" w:eastAsia="Times New Roman" w:hAnsi="Arial" w:cs="Arial"/>
          <w:szCs w:val="24"/>
        </w:rPr>
        <w:t>reviewed literature.</w:t>
      </w:r>
    </w:p>
    <w:p w14:paraId="5F6231E6" w14:textId="77777777" w:rsidR="00117ED8" w:rsidRPr="00117ED8" w:rsidRDefault="00117ED8" w:rsidP="00117ED8">
      <w:pPr>
        <w:spacing w:line="360" w:lineRule="auto"/>
        <w:jc w:val="both"/>
        <w:rPr>
          <w:rFonts w:ascii="Arial" w:eastAsia="Times New Roman" w:hAnsi="Arial" w:cs="Arial"/>
          <w:b/>
          <w:bCs/>
          <w:i/>
          <w:iCs/>
          <w:szCs w:val="24"/>
        </w:rPr>
      </w:pPr>
      <w:r w:rsidRPr="00117ED8">
        <w:rPr>
          <w:rFonts w:ascii="Arial" w:eastAsia="Times New Roman" w:hAnsi="Arial" w:cs="Arial"/>
          <w:b/>
          <w:bCs/>
          <w:i/>
          <w:iCs/>
          <w:szCs w:val="24"/>
        </w:rPr>
        <w:t>Objectives:</w:t>
      </w:r>
    </w:p>
    <w:p w14:paraId="55212B5B"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To identify barriers to access to mental health support services at the individual, community and program level.</w:t>
      </w:r>
    </w:p>
    <w:p w14:paraId="748923FD"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To talk about stigma, waiting time, confidentiality, cost and low levels of mental health awareness in access to services.</w:t>
      </w:r>
    </w:p>
    <w:p w14:paraId="4C368A42"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To explore gender/ethnic/socio-economic and student/non-student differences in barriers.</w:t>
      </w:r>
    </w:p>
    <w:p w14:paraId="6362EECD" w14:textId="071B946C"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To identify areas for uncertainty in practice that may affect health and social care in the UK.</w:t>
      </w:r>
    </w:p>
    <w:p w14:paraId="65700CBB" w14:textId="615C2D0C"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2.5 Structure of the report</w:t>
      </w:r>
    </w:p>
    <w:p w14:paraId="52010A5E" w14:textId="1D1E5621" w:rsidR="0026393A" w:rsidRPr="00117ED8" w:rsidRDefault="00117ED8" w:rsidP="00CD33A8">
      <w:pPr>
        <w:tabs>
          <w:tab w:val="left" w:pos="6540"/>
        </w:tabs>
        <w:spacing w:line="360" w:lineRule="auto"/>
        <w:rPr>
          <w:rFonts w:ascii="Arial" w:hAnsi="Arial" w:cs="Arial"/>
          <w:sz w:val="22"/>
        </w:rPr>
      </w:pPr>
      <w:r w:rsidRPr="00117ED8">
        <w:rPr>
          <w:rFonts w:ascii="Arial" w:eastAsia="Times New Roman" w:hAnsi="Arial" w:cs="Arial"/>
          <w:szCs w:val="24"/>
        </w:rPr>
        <w:t xml:space="preserve">The report starts with an outline of the background </w:t>
      </w:r>
      <w:r w:rsidR="00BA03D7">
        <w:rPr>
          <w:rFonts w:ascii="Arial" w:eastAsia="Times New Roman" w:hAnsi="Arial" w:cs="Arial"/>
          <w:szCs w:val="24"/>
        </w:rPr>
        <w:t xml:space="preserve">of </w:t>
      </w:r>
      <w:r w:rsidRPr="00117ED8">
        <w:rPr>
          <w:rFonts w:ascii="Arial" w:eastAsia="Times New Roman" w:hAnsi="Arial" w:cs="Arial"/>
          <w:szCs w:val="24"/>
        </w:rPr>
        <w:t xml:space="preserve">the UK and the policy context and service setting. It then introduces the method of a scoping review, search strategy, data analysis and ethical issues. Key themes highlighted from the selected studies are presented in the results section. </w:t>
      </w:r>
      <w:r w:rsidR="0026393A" w:rsidRPr="00117ED8">
        <w:rPr>
          <w:rFonts w:ascii="Arial" w:hAnsi="Arial" w:cs="Arial"/>
          <w:sz w:val="22"/>
        </w:rPr>
        <w:t xml:space="preserve"> </w:t>
      </w:r>
    </w:p>
    <w:p w14:paraId="0F7D7609" w14:textId="294AFF5D" w:rsidR="0026393A" w:rsidRPr="00117ED8" w:rsidRDefault="00117ED8" w:rsidP="00E620E7">
      <w:pPr>
        <w:pStyle w:val="Heading1"/>
        <w:rPr>
          <w:rFonts w:cs="Arial"/>
        </w:rPr>
      </w:pPr>
      <w:bookmarkStart w:id="3" w:name="_Toc233545998"/>
      <w:r>
        <w:rPr>
          <w:rFonts w:cs="Arial"/>
        </w:rPr>
        <w:lastRenderedPageBreak/>
        <w:t xml:space="preserve">3.0 </w:t>
      </w:r>
      <w:r w:rsidR="0026393A" w:rsidRPr="00117ED8">
        <w:rPr>
          <w:rFonts w:cs="Arial"/>
        </w:rPr>
        <w:t>Background</w:t>
      </w:r>
      <w:bookmarkEnd w:id="3"/>
    </w:p>
    <w:p w14:paraId="0D1012F3" w14:textId="2A017943"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3.1 Mental health ne</w:t>
      </w:r>
      <w:r>
        <w:rPr>
          <w:rFonts w:ascii="Arial" w:eastAsia="Times New Roman" w:hAnsi="Arial" w:cs="Arial"/>
          <w:b/>
          <w:bCs/>
          <w:sz w:val="26"/>
          <w:szCs w:val="26"/>
        </w:rPr>
        <w:t>ed among young adults in the UK</w:t>
      </w:r>
    </w:p>
    <w:p w14:paraId="3CB3A7C1"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noProof/>
          <w:szCs w:val="24"/>
        </w:rPr>
        <w:drawing>
          <wp:inline distT="114300" distB="114300" distL="114300" distR="114300" wp14:anchorId="5C274BFF" wp14:editId="6A9B5551">
            <wp:extent cx="5943600" cy="30480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943600" cy="3048000"/>
                    </a:xfrm>
                    <a:prstGeom prst="rect">
                      <a:avLst/>
                    </a:prstGeom>
                    <a:ln/>
                  </pic:spPr>
                </pic:pic>
              </a:graphicData>
            </a:graphic>
          </wp:inline>
        </w:drawing>
      </w:r>
    </w:p>
    <w:p w14:paraId="533768C9" w14:textId="434CF149"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b/>
          <w:bCs/>
          <w:szCs w:val="24"/>
        </w:rPr>
        <w:t xml:space="preserve">Figure: </w:t>
      </w:r>
      <w:r w:rsidRPr="00117ED8">
        <w:rPr>
          <w:rFonts w:ascii="Arial" w:eastAsia="Times New Roman" w:hAnsi="Arial" w:cs="Arial"/>
          <w:szCs w:val="24"/>
        </w:rPr>
        <w:t>Mental health CIS-R score among male</w:t>
      </w:r>
      <w:r>
        <w:rPr>
          <w:rFonts w:ascii="Arial" w:eastAsia="Times New Roman" w:hAnsi="Arial" w:cs="Arial"/>
          <w:szCs w:val="24"/>
        </w:rPr>
        <w:t>s</w:t>
      </w:r>
      <w:r w:rsidRPr="00117ED8">
        <w:rPr>
          <w:rFonts w:ascii="Arial" w:eastAsia="Times New Roman" w:hAnsi="Arial" w:cs="Arial"/>
          <w:szCs w:val="24"/>
        </w:rPr>
        <w:t xml:space="preserve"> and female among England</w:t>
      </w:r>
    </w:p>
    <w:p w14:paraId="0FBBC06A" w14:textId="77777777"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b/>
          <w:bCs/>
          <w:szCs w:val="24"/>
        </w:rPr>
        <w:t xml:space="preserve">Source: </w:t>
      </w:r>
      <w:r w:rsidRPr="00117ED8">
        <w:rPr>
          <w:rFonts w:ascii="Arial" w:eastAsia="Times New Roman" w:hAnsi="Arial" w:cs="Arial"/>
          <w:szCs w:val="24"/>
        </w:rPr>
        <w:t>(NHS, 2026)</w:t>
      </w:r>
    </w:p>
    <w:p w14:paraId="30D14A5F" w14:textId="760FABA6"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However, given the pressures of a multitude of developmental, educational, employment and social stressors that can mount as young people cross from the boundaries of child to adult health and social care services, mental health matters greatly for young adults. If mental health is poor at this stage, </w:t>
      </w:r>
      <w:r>
        <w:rPr>
          <w:rFonts w:ascii="Arial" w:eastAsia="Times New Roman" w:hAnsi="Arial" w:cs="Arial"/>
          <w:szCs w:val="24"/>
        </w:rPr>
        <w:t>it</w:t>
      </w:r>
      <w:r w:rsidRPr="00117ED8">
        <w:rPr>
          <w:rFonts w:ascii="Arial" w:eastAsia="Times New Roman" w:hAnsi="Arial" w:cs="Arial"/>
          <w:szCs w:val="24"/>
        </w:rPr>
        <w:t xml:space="preserve"> can affect studying, work, relationships, housing and long</w:t>
      </w:r>
      <w:r>
        <w:rPr>
          <w:rFonts w:ascii="Arial" w:eastAsia="Times New Roman" w:hAnsi="Arial" w:cs="Arial"/>
          <w:szCs w:val="24"/>
        </w:rPr>
        <w:t>-</w:t>
      </w:r>
      <w:r w:rsidRPr="00117ED8">
        <w:rPr>
          <w:rFonts w:ascii="Arial" w:eastAsia="Times New Roman" w:hAnsi="Arial" w:cs="Arial"/>
          <w:szCs w:val="24"/>
        </w:rPr>
        <w:t xml:space="preserve">term wellbeing. Not only are these experiences prevalent, </w:t>
      </w:r>
      <w:r>
        <w:rPr>
          <w:rFonts w:ascii="Arial" w:eastAsia="Times New Roman" w:hAnsi="Arial" w:cs="Arial"/>
          <w:szCs w:val="24"/>
        </w:rPr>
        <w:t xml:space="preserve">but </w:t>
      </w:r>
      <w:r w:rsidRPr="00117ED8">
        <w:rPr>
          <w:rFonts w:ascii="Arial" w:eastAsia="Times New Roman" w:hAnsi="Arial" w:cs="Arial"/>
          <w:szCs w:val="24"/>
        </w:rPr>
        <w:t>they are a matter of getting them help in time so they don't spiral out of control. NHS Talking Therapies data indicate that there continues to be a high demand for psychological support throughout the adult population</w:t>
      </w:r>
      <w:r>
        <w:rPr>
          <w:rFonts w:ascii="Arial" w:eastAsia="Times New Roman" w:hAnsi="Arial" w:cs="Arial"/>
          <w:szCs w:val="24"/>
        </w:rPr>
        <w:t>,</w:t>
      </w:r>
      <w:r w:rsidRPr="00117ED8">
        <w:rPr>
          <w:rFonts w:ascii="Arial" w:eastAsia="Times New Roman" w:hAnsi="Arial" w:cs="Arial"/>
          <w:szCs w:val="24"/>
        </w:rPr>
        <w:t xml:space="preserve"> as 1.81 million referrals were made in England during 2024–25, reflecting the current service pressure (NHS, 2025). Early intervention is important as more complex anxiety, depression</w:t>
      </w:r>
      <w:r>
        <w:rPr>
          <w:rFonts w:ascii="Arial" w:eastAsia="Times New Roman" w:hAnsi="Arial" w:cs="Arial"/>
          <w:szCs w:val="24"/>
        </w:rPr>
        <w:t>,</w:t>
      </w:r>
      <w:r w:rsidRPr="00117ED8">
        <w:rPr>
          <w:rFonts w:ascii="Arial" w:eastAsia="Times New Roman" w:hAnsi="Arial" w:cs="Arial"/>
          <w:szCs w:val="24"/>
        </w:rPr>
        <w:t xml:space="preserve"> and distress can become, and more crisis presentations increase</w:t>
      </w:r>
      <w:r>
        <w:rPr>
          <w:rFonts w:ascii="Arial" w:eastAsia="Times New Roman" w:hAnsi="Arial" w:cs="Arial"/>
          <w:szCs w:val="24"/>
        </w:rPr>
        <w:t>,</w:t>
      </w:r>
      <w:r w:rsidRPr="00117ED8">
        <w:rPr>
          <w:rFonts w:ascii="Arial" w:eastAsia="Times New Roman" w:hAnsi="Arial" w:cs="Arial"/>
          <w:szCs w:val="24"/>
        </w:rPr>
        <w:t xml:space="preserve"> and less recovery </w:t>
      </w:r>
      <w:r w:rsidR="00D136C0">
        <w:rPr>
          <w:rFonts w:ascii="Arial" w:eastAsia="Times New Roman" w:hAnsi="Arial" w:cs="Arial"/>
          <w:szCs w:val="24"/>
        </w:rPr>
        <w:t>opportunities exist</w:t>
      </w:r>
      <w:r w:rsidRPr="00117ED8">
        <w:rPr>
          <w:rFonts w:ascii="Arial" w:eastAsia="Times New Roman" w:hAnsi="Arial" w:cs="Arial"/>
          <w:szCs w:val="24"/>
        </w:rPr>
        <w:t xml:space="preserve"> (Phillips et al. 2023). This is</w:t>
      </w:r>
      <w:r>
        <w:rPr>
          <w:rFonts w:ascii="Arial" w:eastAsia="Times New Roman" w:hAnsi="Arial" w:cs="Arial"/>
          <w:szCs w:val="24"/>
        </w:rPr>
        <w:t>,</w:t>
      </w:r>
      <w:r w:rsidRPr="00117ED8">
        <w:rPr>
          <w:rFonts w:ascii="Arial" w:eastAsia="Times New Roman" w:hAnsi="Arial" w:cs="Arial"/>
          <w:szCs w:val="24"/>
        </w:rPr>
        <w:t xml:space="preserve"> therefore, a delay in seeking service and is harmful to the individual and puts a strain on the systems.</w:t>
      </w:r>
    </w:p>
    <w:p w14:paraId="681EEA43" w14:textId="2EB29430"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3.2 UK service context</w:t>
      </w:r>
    </w:p>
    <w:p w14:paraId="050DFEAF" w14:textId="232C323F" w:rsidR="00117ED8" w:rsidRPr="00117ED8" w:rsidRDefault="00117ED8" w:rsidP="00117ED8">
      <w:pPr>
        <w:spacing w:line="360" w:lineRule="auto"/>
        <w:jc w:val="both"/>
        <w:rPr>
          <w:rFonts w:ascii="Arial" w:eastAsia="Times New Roman" w:hAnsi="Arial" w:cs="Arial"/>
          <w:szCs w:val="24"/>
        </w:rPr>
      </w:pPr>
      <w:r>
        <w:rPr>
          <w:rFonts w:ascii="Arial" w:eastAsia="Times New Roman" w:hAnsi="Arial" w:cs="Arial"/>
          <w:szCs w:val="24"/>
        </w:rPr>
        <w:lastRenderedPageBreak/>
        <w:t>Several</w:t>
      </w:r>
      <w:r w:rsidRPr="00117ED8">
        <w:rPr>
          <w:rFonts w:ascii="Arial" w:eastAsia="Times New Roman" w:hAnsi="Arial" w:cs="Arial"/>
          <w:szCs w:val="24"/>
        </w:rPr>
        <w:t xml:space="preserve"> pathways for formal approaches exist for accessing mental illness and health services in the United Kingdom, and some of these are more difficult for young adults to navigate. GPs are likely to be the initial point of contact for access, evaluation and medicines</w:t>
      </w:r>
      <w:r>
        <w:rPr>
          <w:rFonts w:ascii="Arial" w:eastAsia="Times New Roman" w:hAnsi="Arial" w:cs="Arial"/>
          <w:szCs w:val="24"/>
        </w:rPr>
        <w:t>,</w:t>
      </w:r>
      <w:r w:rsidRPr="00117ED8">
        <w:rPr>
          <w:rFonts w:ascii="Arial" w:eastAsia="Times New Roman" w:hAnsi="Arial" w:cs="Arial"/>
          <w:szCs w:val="24"/>
        </w:rPr>
        <w:t xml:space="preserve"> and the point of signposting and referrals. NHS Talking Therapies offers therapy via a structured psychological approach for common mental health conditions and </w:t>
      </w:r>
      <w:r>
        <w:rPr>
          <w:rFonts w:ascii="Arial" w:eastAsia="Times New Roman" w:hAnsi="Arial" w:cs="Arial"/>
          <w:szCs w:val="24"/>
        </w:rPr>
        <w:t xml:space="preserve">the </w:t>
      </w:r>
      <w:r w:rsidRPr="00117ED8">
        <w:rPr>
          <w:rFonts w:ascii="Arial" w:eastAsia="Times New Roman" w:hAnsi="Arial" w:cs="Arial"/>
          <w:szCs w:val="24"/>
        </w:rPr>
        <w:t>availability of community mental health services for more complex and/or serious mental health needs. It would be difficult to find a counselling service or wellbeing team/crisis referral pathway at a university</w:t>
      </w:r>
      <w:r>
        <w:rPr>
          <w:rFonts w:ascii="Arial" w:eastAsia="Times New Roman" w:hAnsi="Arial" w:cs="Arial"/>
          <w:szCs w:val="24"/>
        </w:rPr>
        <w:t>,</w:t>
      </w:r>
      <w:r w:rsidRPr="00117ED8">
        <w:rPr>
          <w:rFonts w:ascii="Arial" w:eastAsia="Times New Roman" w:hAnsi="Arial" w:cs="Arial"/>
          <w:szCs w:val="24"/>
        </w:rPr>
        <w:t xml:space="preserve"> not to mention for young adults who are not in the university system. This can involve routes to crisis care</w:t>
      </w:r>
      <w:r>
        <w:rPr>
          <w:rFonts w:ascii="Arial" w:eastAsia="Times New Roman" w:hAnsi="Arial" w:cs="Arial"/>
          <w:szCs w:val="24"/>
        </w:rPr>
        <w:t>,</w:t>
      </w:r>
      <w:r w:rsidRPr="00117ED8">
        <w:rPr>
          <w:rFonts w:ascii="Arial" w:eastAsia="Times New Roman" w:hAnsi="Arial" w:cs="Arial"/>
          <w:szCs w:val="24"/>
        </w:rPr>
        <w:t xml:space="preserve"> e.g. NHS 111, crisis mental health lines, emergency departments and crisis resolution services (Lewis et al. 2023). Although digital routes to mental health (online self</w:t>
      </w:r>
      <w:r>
        <w:rPr>
          <w:rFonts w:ascii="Arial" w:eastAsia="Times New Roman" w:hAnsi="Arial" w:cs="Arial"/>
          <w:szCs w:val="24"/>
        </w:rPr>
        <w:t>-</w:t>
      </w:r>
      <w:r w:rsidRPr="00117ED8">
        <w:rPr>
          <w:rFonts w:ascii="Arial" w:eastAsia="Times New Roman" w:hAnsi="Arial" w:cs="Arial"/>
          <w:szCs w:val="24"/>
        </w:rPr>
        <w:t>referral, NHS</w:t>
      </w:r>
      <w:r>
        <w:rPr>
          <w:rFonts w:ascii="Arial" w:eastAsia="Times New Roman" w:hAnsi="Arial" w:cs="Arial"/>
          <w:szCs w:val="24"/>
        </w:rPr>
        <w:t>-</w:t>
      </w:r>
      <w:r w:rsidRPr="00117ED8">
        <w:rPr>
          <w:rFonts w:ascii="Arial" w:eastAsia="Times New Roman" w:hAnsi="Arial" w:cs="Arial"/>
          <w:szCs w:val="24"/>
        </w:rPr>
        <w:t>approved online tools</w:t>
      </w:r>
      <w:r>
        <w:rPr>
          <w:rFonts w:ascii="Arial" w:eastAsia="Times New Roman" w:hAnsi="Arial" w:cs="Arial"/>
          <w:szCs w:val="24"/>
        </w:rPr>
        <w:t>,</w:t>
      </w:r>
      <w:r w:rsidRPr="00117ED8">
        <w:rPr>
          <w:rFonts w:ascii="Arial" w:eastAsia="Times New Roman" w:hAnsi="Arial" w:cs="Arial"/>
          <w:szCs w:val="24"/>
        </w:rPr>
        <w:t xml:space="preserve"> etc.) could help to make mental health more accessible, they also depend on being digitally literate and confident about privacy and knowing where and what is available.</w:t>
      </w:r>
    </w:p>
    <w:p w14:paraId="04F03A19" w14:textId="2347B902"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3.3 Policy, l</w:t>
      </w:r>
      <w:r>
        <w:rPr>
          <w:rFonts w:ascii="Arial" w:eastAsia="Times New Roman" w:hAnsi="Arial" w:cs="Arial"/>
          <w:b/>
          <w:bCs/>
          <w:sz w:val="26"/>
          <w:szCs w:val="26"/>
        </w:rPr>
        <w:t>egislation and guidance context</w:t>
      </w:r>
    </w:p>
    <w:p w14:paraId="0EF17F3E" w14:textId="05B821C9"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A focus on access to mental health in the context of the policy and legal environment and as part of </w:t>
      </w:r>
      <w:r>
        <w:rPr>
          <w:rFonts w:ascii="Arial" w:eastAsia="Times New Roman" w:hAnsi="Arial" w:cs="Arial"/>
          <w:szCs w:val="24"/>
        </w:rPr>
        <w:t xml:space="preserve">the </w:t>
      </w:r>
      <w:r w:rsidRPr="00117ED8">
        <w:rPr>
          <w:rFonts w:ascii="Arial" w:eastAsia="Times New Roman" w:hAnsi="Arial" w:cs="Arial"/>
          <w:szCs w:val="24"/>
        </w:rPr>
        <w:t>broader responsibility of equity, safety and timely care. Increased provision for mental health is a key priority of the NHS long</w:t>
      </w:r>
      <w:r>
        <w:rPr>
          <w:rFonts w:ascii="Arial" w:eastAsia="Times New Roman" w:hAnsi="Arial" w:cs="Arial"/>
          <w:szCs w:val="24"/>
        </w:rPr>
        <w:t>-</w:t>
      </w:r>
      <w:r w:rsidRPr="00117ED8">
        <w:rPr>
          <w:rFonts w:ascii="Arial" w:eastAsia="Times New Roman" w:hAnsi="Arial" w:cs="Arial"/>
          <w:szCs w:val="24"/>
        </w:rPr>
        <w:t>term plan, along with embedding care and making earlier interventions for those with common and severe mental health issues (NHS England, 2019). If risk or compulsory assessment or detention is an issue</w:t>
      </w:r>
      <w:r>
        <w:rPr>
          <w:rFonts w:ascii="Arial" w:eastAsia="Times New Roman" w:hAnsi="Arial" w:cs="Arial"/>
          <w:szCs w:val="24"/>
        </w:rPr>
        <w:t>,</w:t>
      </w:r>
      <w:r w:rsidRPr="00117ED8">
        <w:rPr>
          <w:rFonts w:ascii="Arial" w:eastAsia="Times New Roman" w:hAnsi="Arial" w:cs="Arial"/>
          <w:szCs w:val="24"/>
        </w:rPr>
        <w:t xml:space="preserve"> then the Mental Health pathway is applicable</w:t>
      </w:r>
      <w:r>
        <w:rPr>
          <w:rFonts w:ascii="Arial" w:eastAsia="Times New Roman" w:hAnsi="Arial" w:cs="Arial"/>
          <w:szCs w:val="24"/>
        </w:rPr>
        <w:t>;</w:t>
      </w:r>
      <w:r w:rsidRPr="00117ED8">
        <w:rPr>
          <w:rFonts w:ascii="Arial" w:eastAsia="Times New Roman" w:hAnsi="Arial" w:cs="Arial"/>
          <w:szCs w:val="24"/>
        </w:rPr>
        <w:t xml:space="preserve"> however, most young adults seeking routine services will not access services through the Mental Health pathway. The Equality Act 2010 includes disability (long</w:t>
      </w:r>
      <w:r>
        <w:rPr>
          <w:rFonts w:ascii="Arial" w:eastAsia="Times New Roman" w:hAnsi="Arial" w:cs="Arial"/>
          <w:szCs w:val="24"/>
        </w:rPr>
        <w:t>-</w:t>
      </w:r>
      <w:r w:rsidRPr="00117ED8">
        <w:rPr>
          <w:rFonts w:ascii="Arial" w:eastAsia="Times New Roman" w:hAnsi="Arial" w:cs="Arial"/>
          <w:szCs w:val="24"/>
        </w:rPr>
        <w:t>term mental health disability) as a feature of the requirement for reasonable adjustment and the prohibition on disability discrimination. Care according to NICE guidance for common mental health conditions that includes a step-by-step approach, evidence-based assessment and psychological interventions (Robinson et al. 2023). Safeguarding and confidentiality are also of particular importance, as fear of disclosure may have an influence on both trust and seeking help.</w:t>
      </w:r>
    </w:p>
    <w:p w14:paraId="61AB1CCD" w14:textId="77040AB1"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3.4 Ex</w:t>
      </w:r>
      <w:r>
        <w:rPr>
          <w:rFonts w:ascii="Arial" w:eastAsia="Times New Roman" w:hAnsi="Arial" w:cs="Arial"/>
          <w:b/>
          <w:bCs/>
          <w:sz w:val="26"/>
          <w:szCs w:val="26"/>
        </w:rPr>
        <w:t>isting knowledge about barriers</w:t>
      </w:r>
    </w:p>
    <w:p w14:paraId="0537CEF5" w14:textId="6F7E8B66" w:rsidR="003E4ECF" w:rsidRPr="00117ED8" w:rsidRDefault="00117ED8" w:rsidP="00117ED8">
      <w:pPr>
        <w:tabs>
          <w:tab w:val="left" w:pos="6540"/>
        </w:tabs>
        <w:spacing w:line="360" w:lineRule="auto"/>
        <w:jc w:val="both"/>
        <w:rPr>
          <w:rFonts w:ascii="Arial" w:hAnsi="Arial" w:cs="Arial"/>
          <w:sz w:val="22"/>
        </w:rPr>
      </w:pPr>
      <w:r w:rsidRPr="00117ED8">
        <w:rPr>
          <w:rFonts w:ascii="Arial" w:eastAsia="Times New Roman" w:hAnsi="Arial" w:cs="Arial"/>
          <w:szCs w:val="24"/>
        </w:rPr>
        <w:t xml:space="preserve">Evidence we've heard revealed that barriers to access exist both preceding and following a young person's contact with services. Stigma and embarrassment about </w:t>
      </w:r>
      <w:r w:rsidRPr="00117ED8">
        <w:rPr>
          <w:rFonts w:ascii="Arial" w:eastAsia="Times New Roman" w:hAnsi="Arial" w:cs="Arial"/>
          <w:szCs w:val="24"/>
        </w:rPr>
        <w:lastRenderedPageBreak/>
        <w:t xml:space="preserve">seeking support, perceived lack of need, mental health literacy, and uncertainty about symptoms are all potential aspects that may delay help-seeking, even </w:t>
      </w:r>
      <w:r>
        <w:rPr>
          <w:rFonts w:ascii="Arial" w:eastAsia="Times New Roman" w:hAnsi="Arial" w:cs="Arial"/>
          <w:szCs w:val="24"/>
        </w:rPr>
        <w:t>before</w:t>
      </w:r>
      <w:r w:rsidRPr="00117ED8">
        <w:rPr>
          <w:rFonts w:ascii="Arial" w:eastAsia="Times New Roman" w:hAnsi="Arial" w:cs="Arial"/>
          <w:szCs w:val="24"/>
        </w:rPr>
        <w:t xml:space="preserve"> seeking support (Shaw et al. 2024). Post-contact concerns: Low time efficiency, lack of understanding of eligibility, confusion with </w:t>
      </w:r>
      <w:r>
        <w:rPr>
          <w:rFonts w:ascii="Arial" w:eastAsia="Times New Roman" w:hAnsi="Arial" w:cs="Arial"/>
          <w:szCs w:val="24"/>
        </w:rPr>
        <w:t xml:space="preserve">the </w:t>
      </w:r>
      <w:r w:rsidRPr="00117ED8">
        <w:rPr>
          <w:rFonts w:ascii="Arial" w:eastAsia="Times New Roman" w:hAnsi="Arial" w:cs="Arial"/>
          <w:szCs w:val="24"/>
        </w:rPr>
        <w:t xml:space="preserve">referral process, lack of continuity, </w:t>
      </w:r>
      <w:r>
        <w:rPr>
          <w:rFonts w:ascii="Arial" w:eastAsia="Times New Roman" w:hAnsi="Arial" w:cs="Arial"/>
          <w:szCs w:val="24"/>
        </w:rPr>
        <w:t xml:space="preserve">and </w:t>
      </w:r>
      <w:r w:rsidRPr="00117ED8">
        <w:rPr>
          <w:rFonts w:ascii="Arial" w:eastAsia="Times New Roman" w:hAnsi="Arial" w:cs="Arial"/>
          <w:szCs w:val="24"/>
        </w:rPr>
        <w:t>brief appointments. The issues are not spread equitably. Others may have barriers, such as cultural barriers, racism, language barriers, financial barriers, temporary housing, student status, and/or digital barriers.</w:t>
      </w:r>
    </w:p>
    <w:p w14:paraId="60B2CDC3" w14:textId="644A685A" w:rsidR="00B87E75" w:rsidRPr="00117ED8" w:rsidRDefault="00117ED8" w:rsidP="00E620E7">
      <w:pPr>
        <w:pStyle w:val="Heading1"/>
        <w:rPr>
          <w:rFonts w:cs="Arial"/>
        </w:rPr>
      </w:pPr>
      <w:bookmarkStart w:id="4" w:name="_Toc233545999"/>
      <w:r>
        <w:rPr>
          <w:rFonts w:cs="Arial"/>
        </w:rPr>
        <w:t xml:space="preserve">4.0 </w:t>
      </w:r>
      <w:r w:rsidR="00B87E75" w:rsidRPr="00117ED8">
        <w:rPr>
          <w:rFonts w:cs="Arial"/>
        </w:rPr>
        <w:t>Method</w:t>
      </w:r>
      <w:r w:rsidR="003E4ECF" w:rsidRPr="00117ED8">
        <w:rPr>
          <w:rFonts w:cs="Arial"/>
        </w:rPr>
        <w:t>s</w:t>
      </w:r>
      <w:bookmarkEnd w:id="4"/>
    </w:p>
    <w:p w14:paraId="6DB3DD16" w14:textId="2B212FE2"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4.1 Review design</w:t>
      </w:r>
    </w:p>
    <w:p w14:paraId="28358B61" w14:textId="2BCE95E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A Scoping review design was chosen for this study due to the concept of access</w:t>
      </w:r>
      <w:r>
        <w:rPr>
          <w:rFonts w:ascii="Arial" w:eastAsia="Times New Roman" w:hAnsi="Arial" w:cs="Arial"/>
          <w:szCs w:val="24"/>
        </w:rPr>
        <w:t>,</w:t>
      </w:r>
      <w:r w:rsidRPr="00117ED8">
        <w:rPr>
          <w:rFonts w:ascii="Arial" w:eastAsia="Times New Roman" w:hAnsi="Arial" w:cs="Arial"/>
          <w:szCs w:val="24"/>
        </w:rPr>
        <w:t xml:space="preserve"> including a multitude of evidence, a diversity of </w:t>
      </w:r>
      <w:r>
        <w:rPr>
          <w:rFonts w:ascii="Arial" w:eastAsia="Times New Roman" w:hAnsi="Arial" w:cs="Arial"/>
          <w:szCs w:val="24"/>
        </w:rPr>
        <w:t xml:space="preserve">the </w:t>
      </w:r>
      <w:r w:rsidRPr="00117ED8">
        <w:rPr>
          <w:rFonts w:ascii="Arial" w:eastAsia="Times New Roman" w:hAnsi="Arial" w:cs="Arial"/>
          <w:szCs w:val="24"/>
        </w:rPr>
        <w:t>young adult population, and barriers to access. The need for a scoping review arises when a broad understanding of the scope of research and the topics that have been examined, but also to identify the gaps in that research, without identifying an overall number. It appears to be suitable for the review question</w:t>
      </w:r>
      <w:r w:rsidR="00091062">
        <w:rPr>
          <w:rFonts w:ascii="Arial" w:eastAsia="Times New Roman" w:hAnsi="Arial" w:cs="Arial"/>
          <w:szCs w:val="24"/>
        </w:rPr>
        <w:t>,</w:t>
      </w:r>
      <w:r w:rsidRPr="00117ED8">
        <w:rPr>
          <w:rFonts w:ascii="Arial" w:eastAsia="Times New Roman" w:hAnsi="Arial" w:cs="Arial"/>
          <w:szCs w:val="24"/>
        </w:rPr>
        <w:t xml:space="preserve"> as access to services and commodities is individual, cultural, financial, service and digital and is not consistently identified between the review studies (Campbell et al. 2023).</w:t>
      </w:r>
    </w:p>
    <w:p w14:paraId="2930E1C8" w14:textId="7F9928C3"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4.2 PCC fra</w:t>
      </w:r>
      <w:r>
        <w:rPr>
          <w:rFonts w:ascii="Arial" w:eastAsia="Times New Roman" w:hAnsi="Arial" w:cs="Arial"/>
          <w:b/>
          <w:bCs/>
          <w:sz w:val="26"/>
          <w:szCs w:val="26"/>
        </w:rPr>
        <w:t>mework and eligibility criteria</w:t>
      </w:r>
    </w:p>
    <w:p w14:paraId="53526B74" w14:textId="6563628F"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The reviewing process is based on PCC</w:t>
      </w:r>
      <w:r>
        <w:rPr>
          <w:rFonts w:ascii="Arial" w:eastAsia="Times New Roman" w:hAnsi="Arial" w:cs="Arial"/>
          <w:szCs w:val="24"/>
        </w:rPr>
        <w:t>,</w:t>
      </w:r>
      <w:r w:rsidRPr="00117ED8">
        <w:rPr>
          <w:rFonts w:ascii="Arial" w:eastAsia="Times New Roman" w:hAnsi="Arial" w:cs="Arial"/>
          <w:szCs w:val="24"/>
        </w:rPr>
        <w:t xml:space="preserve"> which outlines the review. Most of the population </w:t>
      </w:r>
      <w:r>
        <w:rPr>
          <w:rFonts w:ascii="Arial" w:eastAsia="Times New Roman" w:hAnsi="Arial" w:cs="Arial"/>
          <w:szCs w:val="24"/>
        </w:rPr>
        <w:t>is</w:t>
      </w:r>
      <w:r w:rsidRPr="00117ED8">
        <w:rPr>
          <w:rFonts w:ascii="Arial" w:eastAsia="Times New Roman" w:hAnsi="Arial" w:cs="Arial"/>
          <w:szCs w:val="24"/>
        </w:rPr>
        <w:t xml:space="preserve"> young adults (18 to 25 years). This is a story about a barrier to seeking formal help for mental health. The background is in health and social care and DHP practice in the UK. Studies included must be peer-reviewed journal articles featuring primary or secondary research, UK</w:t>
      </w:r>
      <w:r>
        <w:rPr>
          <w:rFonts w:ascii="Arial" w:eastAsia="Times New Roman" w:hAnsi="Arial" w:cs="Arial"/>
          <w:szCs w:val="24"/>
        </w:rPr>
        <w:t>-</w:t>
      </w:r>
      <w:r w:rsidRPr="00117ED8">
        <w:rPr>
          <w:rFonts w:ascii="Arial" w:eastAsia="Times New Roman" w:hAnsi="Arial" w:cs="Arial"/>
          <w:szCs w:val="24"/>
        </w:rPr>
        <w:t xml:space="preserve">based or clearly identified UK research and include </w:t>
      </w:r>
      <w:r>
        <w:rPr>
          <w:rFonts w:ascii="Arial" w:eastAsia="Times New Roman" w:hAnsi="Arial" w:cs="Arial"/>
          <w:szCs w:val="24"/>
        </w:rPr>
        <w:t xml:space="preserve">a </w:t>
      </w:r>
      <w:r w:rsidRPr="00117ED8">
        <w:rPr>
          <w:rFonts w:ascii="Arial" w:eastAsia="Times New Roman" w:hAnsi="Arial" w:cs="Arial"/>
          <w:szCs w:val="24"/>
        </w:rPr>
        <w:t xml:space="preserve">reference to help-seeking/barriers and </w:t>
      </w:r>
      <w:r>
        <w:rPr>
          <w:rFonts w:ascii="Arial" w:eastAsia="Times New Roman" w:hAnsi="Arial" w:cs="Arial"/>
          <w:szCs w:val="24"/>
        </w:rPr>
        <w:t xml:space="preserve">be </w:t>
      </w:r>
      <w:r w:rsidRPr="00117ED8">
        <w:rPr>
          <w:rFonts w:ascii="Arial" w:eastAsia="Times New Roman" w:hAnsi="Arial" w:cs="Arial"/>
          <w:szCs w:val="24"/>
        </w:rPr>
        <w:t>published in English. For the main analysis, the following types of source content were not included: editorials, commentaries, conference papers, policy papers (Wiggins et al., 2022).</w:t>
      </w:r>
    </w:p>
    <w:p w14:paraId="1BF12B04" w14:textId="7109804B"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4.3 </w:t>
      </w:r>
      <w:r>
        <w:rPr>
          <w:rFonts w:ascii="Arial" w:eastAsia="Times New Roman" w:hAnsi="Arial" w:cs="Arial"/>
          <w:b/>
          <w:bCs/>
          <w:sz w:val="26"/>
          <w:szCs w:val="26"/>
        </w:rPr>
        <w:t>Data collection/search strategy</w:t>
      </w:r>
    </w:p>
    <w:p w14:paraId="0E0C052F" w14:textId="3D210276"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Search approach to identify suitable peer</w:t>
      </w:r>
      <w:r>
        <w:rPr>
          <w:rFonts w:ascii="Arial" w:eastAsia="Times New Roman" w:hAnsi="Arial" w:cs="Arial"/>
          <w:szCs w:val="24"/>
        </w:rPr>
        <w:t>-</w:t>
      </w:r>
      <w:r w:rsidRPr="00117ED8">
        <w:rPr>
          <w:rFonts w:ascii="Arial" w:eastAsia="Times New Roman" w:hAnsi="Arial" w:cs="Arial"/>
          <w:szCs w:val="24"/>
        </w:rPr>
        <w:t xml:space="preserve">reviewed evidence from academic databases. The databases searched were PubMed, CINAHL, PsycINFO, Sage, EBSCOhost, and UWTSD Library and Google Scholar (when available). Combined </w:t>
      </w:r>
      <w:r w:rsidRPr="00117ED8">
        <w:rPr>
          <w:rFonts w:ascii="Arial" w:eastAsia="Times New Roman" w:hAnsi="Arial" w:cs="Arial"/>
          <w:szCs w:val="24"/>
        </w:rPr>
        <w:lastRenderedPageBreak/>
        <w:t>population, concept and setting terms (in any order) were “young adults” OR “young people”, “mental health” OR “mental health care”, “barriers” OR “access” OR “help-seeking”, and “UK” OR “England” OR “Wales” OR “Northern Ireland” OR “Scotland”. Wildcards (or wildcard) have been used to increase or narrow down results. For those databases</w:t>
      </w:r>
      <w:r>
        <w:rPr>
          <w:rFonts w:ascii="Arial" w:eastAsia="Times New Roman" w:hAnsi="Arial" w:cs="Arial"/>
          <w:szCs w:val="24"/>
        </w:rPr>
        <w:t>,</w:t>
      </w:r>
      <w:r w:rsidRPr="00117ED8">
        <w:rPr>
          <w:rFonts w:ascii="Arial" w:eastAsia="Times New Roman" w:hAnsi="Arial" w:cs="Arial"/>
          <w:szCs w:val="24"/>
        </w:rPr>
        <w:t xml:space="preserve"> it was possible</w:t>
      </w:r>
      <w:r>
        <w:rPr>
          <w:rFonts w:ascii="Arial" w:eastAsia="Times New Roman" w:hAnsi="Arial" w:cs="Arial"/>
          <w:szCs w:val="24"/>
        </w:rPr>
        <w:t xml:space="preserve"> to impose</w:t>
      </w:r>
      <w:r w:rsidRPr="00117ED8">
        <w:rPr>
          <w:rFonts w:ascii="Arial" w:eastAsia="Times New Roman" w:hAnsi="Arial" w:cs="Arial"/>
          <w:szCs w:val="24"/>
        </w:rPr>
        <w:t xml:space="preserve"> date restriction</w:t>
      </w:r>
      <w:r>
        <w:rPr>
          <w:rFonts w:ascii="Arial" w:eastAsia="Times New Roman" w:hAnsi="Arial" w:cs="Arial"/>
          <w:szCs w:val="24"/>
        </w:rPr>
        <w:t>s,</w:t>
      </w:r>
      <w:r w:rsidRPr="00117ED8">
        <w:rPr>
          <w:rFonts w:ascii="Arial" w:eastAsia="Times New Roman" w:hAnsi="Arial" w:cs="Arial"/>
          <w:szCs w:val="24"/>
        </w:rPr>
        <w:t xml:space="preserve"> and </w:t>
      </w:r>
      <w:r>
        <w:rPr>
          <w:rFonts w:ascii="Arial" w:eastAsia="Times New Roman" w:hAnsi="Arial" w:cs="Arial"/>
          <w:szCs w:val="24"/>
        </w:rPr>
        <w:t xml:space="preserve">a </w:t>
      </w:r>
      <w:r w:rsidRPr="00117ED8">
        <w:rPr>
          <w:rFonts w:ascii="Arial" w:eastAsia="Times New Roman" w:hAnsi="Arial" w:cs="Arial"/>
          <w:szCs w:val="24"/>
        </w:rPr>
        <w:t>peer-review restriction was imposed. Any relevant studies located in reference lists were also scanned to minimise the risk of omitting any relevant articles (MacFarlane et al. 2022).</w:t>
      </w:r>
    </w:p>
    <w:p w14:paraId="7E2F8F8C" w14:textId="07E909F4"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4.4 Study selection process</w:t>
      </w:r>
    </w:p>
    <w:p w14:paraId="01A2E5E6" w14:textId="1E369D28"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A staged screening process was used for the selection process. The titles and abstracts were screened for the review question and eligibility criteria. Interestingly, studies that appeared relevant were then read in </w:t>
      </w:r>
      <w:r>
        <w:rPr>
          <w:rFonts w:ascii="Arial" w:eastAsia="Times New Roman" w:hAnsi="Arial" w:cs="Arial"/>
          <w:szCs w:val="24"/>
        </w:rPr>
        <w:t xml:space="preserve">their </w:t>
      </w:r>
      <w:r w:rsidRPr="00117ED8">
        <w:rPr>
          <w:rFonts w:ascii="Arial" w:eastAsia="Times New Roman" w:hAnsi="Arial" w:cs="Arial"/>
          <w:szCs w:val="24"/>
        </w:rPr>
        <w:t xml:space="preserve">entirety to establish whether their population, context, </w:t>
      </w:r>
      <w:r>
        <w:rPr>
          <w:rFonts w:ascii="Arial" w:eastAsia="Times New Roman" w:hAnsi="Arial" w:cs="Arial"/>
          <w:szCs w:val="24"/>
        </w:rPr>
        <w:t xml:space="preserve">and </w:t>
      </w:r>
      <w:r w:rsidRPr="00117ED8">
        <w:rPr>
          <w:rFonts w:ascii="Arial" w:eastAsia="Times New Roman" w:hAnsi="Arial" w:cs="Arial"/>
          <w:szCs w:val="24"/>
        </w:rPr>
        <w:t>method w</w:t>
      </w:r>
      <w:r>
        <w:rPr>
          <w:rFonts w:ascii="Arial" w:eastAsia="Times New Roman" w:hAnsi="Arial" w:cs="Arial"/>
          <w:szCs w:val="24"/>
        </w:rPr>
        <w:t>ere</w:t>
      </w:r>
      <w:r w:rsidRPr="00117ED8">
        <w:rPr>
          <w:rFonts w:ascii="Arial" w:eastAsia="Times New Roman" w:hAnsi="Arial" w:cs="Arial"/>
          <w:szCs w:val="24"/>
        </w:rPr>
        <w:t xml:space="preserve"> relevant to formal access to mental health services. Three to five studies were selected as a result of the final review, in accordance with the assessment requirement, </w:t>
      </w:r>
      <w:r>
        <w:rPr>
          <w:rFonts w:ascii="Arial" w:eastAsia="Times New Roman" w:hAnsi="Arial" w:cs="Arial"/>
          <w:szCs w:val="24"/>
        </w:rPr>
        <w:t>and</w:t>
      </w:r>
      <w:r w:rsidRPr="00117ED8">
        <w:rPr>
          <w:rFonts w:ascii="Arial" w:eastAsia="Times New Roman" w:hAnsi="Arial" w:cs="Arial"/>
          <w:szCs w:val="24"/>
        </w:rPr>
        <w:t xml:space="preserve"> were subject to peer</w:t>
      </w:r>
      <w:r>
        <w:rPr>
          <w:rFonts w:ascii="Arial" w:eastAsia="Times New Roman" w:hAnsi="Arial" w:cs="Arial"/>
          <w:szCs w:val="24"/>
        </w:rPr>
        <w:t xml:space="preserve"> </w:t>
      </w:r>
      <w:r w:rsidRPr="00117ED8">
        <w:rPr>
          <w:rFonts w:ascii="Arial" w:eastAsia="Times New Roman" w:hAnsi="Arial" w:cs="Arial"/>
          <w:szCs w:val="24"/>
        </w:rPr>
        <w:t>review. Based on relevance to the UK young adult population, questionnaires were selected, rather than being convenient and commonly of interest to mental health (Khalil et al. 2024).</w:t>
      </w:r>
    </w:p>
    <w:p w14:paraId="615A5BBB" w14:textId="3F656AD0"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4.5 </w:t>
      </w:r>
      <w:r>
        <w:rPr>
          <w:rFonts w:ascii="Arial" w:eastAsia="Times New Roman" w:hAnsi="Arial" w:cs="Arial"/>
          <w:b/>
          <w:bCs/>
          <w:sz w:val="26"/>
          <w:szCs w:val="26"/>
        </w:rPr>
        <w:t>Data extraction/charting</w:t>
      </w:r>
    </w:p>
    <w:p w14:paraId="627DF118" w14:textId="6B1DA654" w:rsidR="00117ED8" w:rsidRPr="00117ED8" w:rsidRDefault="00117ED8" w:rsidP="00117ED8">
      <w:pPr>
        <w:spacing w:line="360" w:lineRule="auto"/>
        <w:jc w:val="both"/>
        <w:rPr>
          <w:rFonts w:ascii="Arial" w:eastAsia="Times New Roman" w:hAnsi="Arial" w:cs="Arial"/>
          <w:szCs w:val="24"/>
        </w:rPr>
      </w:pPr>
      <w:r>
        <w:rPr>
          <w:rFonts w:ascii="Arial" w:eastAsia="Times New Roman" w:hAnsi="Arial" w:cs="Arial"/>
          <w:szCs w:val="24"/>
        </w:rPr>
        <w:t>A s</w:t>
      </w:r>
      <w:r w:rsidRPr="00117ED8">
        <w:rPr>
          <w:rFonts w:ascii="Arial" w:eastAsia="Times New Roman" w:hAnsi="Arial" w:cs="Arial"/>
          <w:szCs w:val="24"/>
        </w:rPr>
        <w:t xml:space="preserve">tructured charting table was used </w:t>
      </w:r>
      <w:r>
        <w:rPr>
          <w:rFonts w:ascii="Arial" w:eastAsia="Times New Roman" w:hAnsi="Arial" w:cs="Arial"/>
          <w:szCs w:val="24"/>
        </w:rPr>
        <w:t>for the</w:t>
      </w:r>
      <w:r w:rsidRPr="00117ED8">
        <w:rPr>
          <w:rFonts w:ascii="Arial" w:eastAsia="Times New Roman" w:hAnsi="Arial" w:cs="Arial"/>
          <w:szCs w:val="24"/>
        </w:rPr>
        <w:t xml:space="preserve"> extraction of data. Charting categories included author, year, purpose of the study, specifically research-oriented or not, study design—specifically sample or case study, location of study—specifically the UK, type of mental health intervention, barriers identified, main findings, and limitations and relevance to the review question. This allowed an analysis of the same phenomenon across studies of different design</w:t>
      </w:r>
      <w:r>
        <w:rPr>
          <w:rFonts w:ascii="Arial" w:eastAsia="Times New Roman" w:hAnsi="Arial" w:cs="Arial"/>
          <w:szCs w:val="24"/>
        </w:rPr>
        <w:t>s</w:t>
      </w:r>
      <w:r w:rsidRPr="00117ED8">
        <w:rPr>
          <w:rFonts w:ascii="Arial" w:eastAsia="Times New Roman" w:hAnsi="Arial" w:cs="Arial"/>
          <w:szCs w:val="24"/>
        </w:rPr>
        <w:t>. The degree of barriers at the individual, community, service and structural levels was also identified through charting. This minimi</w:t>
      </w:r>
      <w:r>
        <w:rPr>
          <w:rFonts w:ascii="Arial" w:eastAsia="Times New Roman" w:hAnsi="Arial" w:cs="Arial"/>
          <w:szCs w:val="24"/>
        </w:rPr>
        <w:t>s</w:t>
      </w:r>
      <w:r w:rsidRPr="00117ED8">
        <w:rPr>
          <w:rFonts w:ascii="Arial" w:eastAsia="Times New Roman" w:hAnsi="Arial" w:cs="Arial"/>
          <w:szCs w:val="24"/>
        </w:rPr>
        <w:t>ed the chances of showing a particular finding without synthesis (Zamani et al. 2023).</w:t>
      </w:r>
    </w:p>
    <w:p w14:paraId="14971B0F" w14:textId="5C071473"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4.6 Data analysis</w:t>
      </w:r>
    </w:p>
    <w:p w14:paraId="03F5D32A" w14:textId="223EF0DB"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Repetitive patterns of all selected studies were established by using thematic analysis with the review. The barriers identified in the responses were classified and grouped into general themes. Barriers that were expected ranged from individual barriers (e.g. stigma; low perceived need)</w:t>
      </w:r>
      <w:r>
        <w:rPr>
          <w:rFonts w:ascii="Arial" w:eastAsia="Times New Roman" w:hAnsi="Arial" w:cs="Arial"/>
          <w:szCs w:val="24"/>
        </w:rPr>
        <w:t>,</w:t>
      </w:r>
      <w:r w:rsidRPr="00117ED8">
        <w:rPr>
          <w:rFonts w:ascii="Arial" w:eastAsia="Times New Roman" w:hAnsi="Arial" w:cs="Arial"/>
          <w:szCs w:val="24"/>
        </w:rPr>
        <w:t xml:space="preserve"> service level barriers (e.g. waiting time; referral </w:t>
      </w:r>
      <w:r w:rsidRPr="00117ED8">
        <w:rPr>
          <w:rFonts w:ascii="Arial" w:eastAsia="Times New Roman" w:hAnsi="Arial" w:cs="Arial"/>
          <w:szCs w:val="24"/>
        </w:rPr>
        <w:lastRenderedPageBreak/>
        <w:t>complexity)</w:t>
      </w:r>
      <w:r>
        <w:rPr>
          <w:rFonts w:ascii="Arial" w:eastAsia="Times New Roman" w:hAnsi="Arial" w:cs="Arial"/>
          <w:szCs w:val="24"/>
        </w:rPr>
        <w:t>,</w:t>
      </w:r>
      <w:r w:rsidRPr="00117ED8">
        <w:rPr>
          <w:rFonts w:ascii="Arial" w:eastAsia="Times New Roman" w:hAnsi="Arial" w:cs="Arial"/>
          <w:szCs w:val="24"/>
        </w:rPr>
        <w:t xml:space="preserve"> and inequality-related barriers (e.g. ethnicity; socioeconomic position; gender; student status; digital exclusion). Because it represents a way of structured interpretation of evidence from both qualitative, quantitative and mixed studies, thematic analysis was appropriate.</w:t>
      </w:r>
    </w:p>
    <w:p w14:paraId="08B29507" w14:textId="5712D884"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4.7 Ethical considerations</w:t>
      </w:r>
    </w:p>
    <w:p w14:paraId="4FC14C6B" w14:textId="04B7E8A7" w:rsidR="00B87E75" w:rsidRPr="00117ED8" w:rsidRDefault="00117ED8" w:rsidP="00CD33A8">
      <w:pPr>
        <w:tabs>
          <w:tab w:val="left" w:pos="6540"/>
        </w:tabs>
        <w:spacing w:line="360" w:lineRule="auto"/>
        <w:rPr>
          <w:rFonts w:ascii="Arial" w:hAnsi="Arial" w:cs="Arial"/>
          <w:sz w:val="22"/>
        </w:rPr>
      </w:pPr>
      <w:r w:rsidRPr="00117ED8">
        <w:rPr>
          <w:rFonts w:ascii="Arial" w:eastAsia="Times New Roman" w:hAnsi="Arial" w:cs="Arial"/>
          <w:szCs w:val="24"/>
        </w:rPr>
        <w:t>Informed consent or safeguarding procedures w</w:t>
      </w:r>
      <w:r>
        <w:rPr>
          <w:rFonts w:ascii="Arial" w:eastAsia="Times New Roman" w:hAnsi="Arial" w:cs="Arial"/>
          <w:szCs w:val="24"/>
        </w:rPr>
        <w:t>ere</w:t>
      </w:r>
      <w:r w:rsidRPr="00117ED8">
        <w:rPr>
          <w:rFonts w:ascii="Arial" w:eastAsia="Times New Roman" w:hAnsi="Arial" w:cs="Arial"/>
          <w:szCs w:val="24"/>
        </w:rPr>
        <w:t xml:space="preserve"> not required for this review since no primary data was collected or participants were recruited in this review. Although providing services is ethical, the issue</w:t>
      </w:r>
      <w:r>
        <w:rPr>
          <w:rFonts w:ascii="Arial" w:eastAsia="Times New Roman" w:hAnsi="Arial" w:cs="Arial"/>
          <w:szCs w:val="24"/>
        </w:rPr>
        <w:t xml:space="preserve"> of</w:t>
      </w:r>
      <w:r w:rsidRPr="00117ED8">
        <w:rPr>
          <w:rFonts w:ascii="Arial" w:eastAsia="Times New Roman" w:hAnsi="Arial" w:cs="Arial"/>
          <w:szCs w:val="24"/>
        </w:rPr>
        <w:t xml:space="preserve"> mental </w:t>
      </w:r>
      <w:r>
        <w:rPr>
          <w:rFonts w:ascii="Arial" w:eastAsia="Times New Roman" w:hAnsi="Arial" w:cs="Arial"/>
          <w:szCs w:val="24"/>
        </w:rPr>
        <w:t xml:space="preserve">health </w:t>
      </w:r>
      <w:r w:rsidRPr="00117ED8">
        <w:rPr>
          <w:rFonts w:ascii="Arial" w:eastAsia="Times New Roman" w:hAnsi="Arial" w:cs="Arial"/>
          <w:szCs w:val="24"/>
        </w:rPr>
        <w:t xml:space="preserve">and </w:t>
      </w:r>
      <w:r>
        <w:rPr>
          <w:rFonts w:ascii="Arial" w:eastAsia="Times New Roman" w:hAnsi="Arial" w:cs="Arial"/>
          <w:szCs w:val="24"/>
        </w:rPr>
        <w:t>robots</w:t>
      </w:r>
      <w:r w:rsidRPr="00117ED8">
        <w:rPr>
          <w:rFonts w:ascii="Arial" w:eastAsia="Times New Roman" w:hAnsi="Arial" w:cs="Arial"/>
          <w:szCs w:val="24"/>
        </w:rPr>
        <w:t xml:space="preserve"> allows access to services. To prevent plagiarism and misrepresentation of sources, all sources were cited properly. The results were expressed in an unbiased way without pointing fingers at young adults who refuse help. Barriers were perceived as social and cultural</w:t>
      </w:r>
      <w:r>
        <w:rPr>
          <w:rFonts w:ascii="Arial" w:eastAsia="Times New Roman" w:hAnsi="Arial" w:cs="Arial"/>
          <w:szCs w:val="24"/>
        </w:rPr>
        <w:t>,</w:t>
      </w:r>
      <w:r w:rsidRPr="00117ED8">
        <w:rPr>
          <w:rFonts w:ascii="Arial" w:eastAsia="Times New Roman" w:hAnsi="Arial" w:cs="Arial"/>
          <w:szCs w:val="24"/>
        </w:rPr>
        <w:t xml:space="preserve"> and service issues were not viewed as personal issue</w:t>
      </w:r>
      <w:r>
        <w:rPr>
          <w:rFonts w:ascii="Arial" w:eastAsia="Times New Roman" w:hAnsi="Arial" w:cs="Arial"/>
          <w:szCs w:val="24"/>
        </w:rPr>
        <w:t>s</w:t>
      </w:r>
      <w:r w:rsidRPr="00117ED8">
        <w:rPr>
          <w:rFonts w:ascii="Arial" w:eastAsia="Times New Roman" w:hAnsi="Arial" w:cs="Arial"/>
          <w:szCs w:val="24"/>
        </w:rPr>
        <w:t>. Further, the review did not extend findings from findings on specific groups to findings about all young adults in general. An increased effort was made to protect the sensitive results, to prevent any stigma and academic dishonesty (Laurijssen et al. 2022).</w:t>
      </w:r>
      <w:r w:rsidR="00B87E75" w:rsidRPr="00117ED8">
        <w:rPr>
          <w:rFonts w:ascii="Arial" w:hAnsi="Arial" w:cs="Arial"/>
          <w:sz w:val="22"/>
        </w:rPr>
        <w:t xml:space="preserve"> </w:t>
      </w:r>
    </w:p>
    <w:p w14:paraId="581C99BF" w14:textId="586E8B75" w:rsidR="00B87E75" w:rsidRPr="00117ED8" w:rsidRDefault="00117ED8" w:rsidP="00E620E7">
      <w:pPr>
        <w:pStyle w:val="Heading1"/>
        <w:rPr>
          <w:rFonts w:cs="Arial"/>
        </w:rPr>
      </w:pPr>
      <w:bookmarkStart w:id="5" w:name="_Toc233546000"/>
      <w:r>
        <w:rPr>
          <w:rFonts w:cs="Arial"/>
        </w:rPr>
        <w:t xml:space="preserve">5.0 </w:t>
      </w:r>
      <w:r w:rsidR="00B87E75" w:rsidRPr="00117ED8">
        <w:rPr>
          <w:rFonts w:cs="Arial"/>
        </w:rPr>
        <w:t>Results</w:t>
      </w:r>
      <w:bookmarkEnd w:id="5"/>
    </w:p>
    <w:p w14:paraId="4750E66B" w14:textId="7FAC258A"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5.1 Number of studies selec</w:t>
      </w:r>
      <w:r>
        <w:rPr>
          <w:rFonts w:ascii="Arial" w:eastAsia="Times New Roman" w:hAnsi="Arial" w:cs="Arial"/>
          <w:b/>
          <w:bCs/>
          <w:sz w:val="26"/>
          <w:szCs w:val="26"/>
        </w:rPr>
        <w:t>ted</w:t>
      </w:r>
    </w:p>
    <w:p w14:paraId="05A46E04" w14:textId="4ABF854C"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Sixty-two records were found from 7 databases</w:t>
      </w:r>
      <w:r>
        <w:rPr>
          <w:rFonts w:ascii="Arial" w:eastAsia="Times New Roman" w:hAnsi="Arial" w:cs="Arial"/>
          <w:szCs w:val="24"/>
        </w:rPr>
        <w:t>,</w:t>
      </w:r>
      <w:r w:rsidRPr="00117ED8">
        <w:rPr>
          <w:rFonts w:ascii="Arial" w:eastAsia="Times New Roman" w:hAnsi="Arial" w:cs="Arial"/>
          <w:szCs w:val="24"/>
        </w:rPr>
        <w:t xml:space="preserve"> including PubMed, CINAHL, PsycINFO, Sage, EBSCOhost</w:t>
      </w:r>
      <w:r>
        <w:rPr>
          <w:rFonts w:ascii="Arial" w:eastAsia="Times New Roman" w:hAnsi="Arial" w:cs="Arial"/>
          <w:szCs w:val="24"/>
        </w:rPr>
        <w:t>,</w:t>
      </w:r>
      <w:r w:rsidRPr="00117ED8">
        <w:rPr>
          <w:rFonts w:ascii="Arial" w:eastAsia="Times New Roman" w:hAnsi="Arial" w:cs="Arial"/>
          <w:szCs w:val="24"/>
        </w:rPr>
        <w:t xml:space="preserve"> UWTSD Library and Google Scholar. Following </w:t>
      </w:r>
      <w:r w:rsidR="009866C1">
        <w:rPr>
          <w:rFonts w:ascii="Arial" w:eastAsia="Times New Roman" w:hAnsi="Arial" w:cs="Arial"/>
          <w:szCs w:val="24"/>
        </w:rPr>
        <w:t>the</w:t>
      </w:r>
      <w:r w:rsidRPr="00117ED8">
        <w:rPr>
          <w:rFonts w:ascii="Arial" w:eastAsia="Times New Roman" w:hAnsi="Arial" w:cs="Arial"/>
          <w:szCs w:val="24"/>
        </w:rPr>
        <w:t xml:space="preserve"> removal of 14 duplicate titles</w:t>
      </w:r>
      <w:r w:rsidR="007D2A57">
        <w:rPr>
          <w:rFonts w:ascii="Arial" w:eastAsia="Times New Roman" w:hAnsi="Arial" w:cs="Arial"/>
          <w:szCs w:val="24"/>
        </w:rPr>
        <w:t>,</w:t>
      </w:r>
      <w:r w:rsidRPr="00117ED8">
        <w:rPr>
          <w:rFonts w:ascii="Arial" w:eastAsia="Times New Roman" w:hAnsi="Arial" w:cs="Arial"/>
          <w:szCs w:val="24"/>
        </w:rPr>
        <w:t xml:space="preserve"> abstracts were screened. Thirty-six records were discarded because of the focus of the paper being outside the UK, the paper </w:t>
      </w:r>
      <w:r w:rsidR="00914611">
        <w:rPr>
          <w:rFonts w:ascii="Arial" w:eastAsia="Times New Roman" w:hAnsi="Arial" w:cs="Arial"/>
          <w:szCs w:val="24"/>
        </w:rPr>
        <w:t xml:space="preserve">was </w:t>
      </w:r>
      <w:r w:rsidRPr="00117ED8">
        <w:rPr>
          <w:rFonts w:ascii="Arial" w:eastAsia="Times New Roman" w:hAnsi="Arial" w:cs="Arial"/>
          <w:szCs w:val="24"/>
        </w:rPr>
        <w:t xml:space="preserve">not being peer-reviewed, the age of the people in the focus not falling within the age range or because it was not related to formal access to mental health. </w:t>
      </w:r>
    </w:p>
    <w:p w14:paraId="101D4C73"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b/>
          <w:bCs/>
          <w:i/>
          <w:iCs/>
          <w:szCs w:val="24"/>
        </w:rPr>
        <w:t>Study-selection flow</w:t>
      </w:r>
    </w:p>
    <w:p w14:paraId="4F0A85B5" w14:textId="77777777"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noProof/>
          <w:szCs w:val="24"/>
        </w:rPr>
        <w:lastRenderedPageBreak/>
        <w:drawing>
          <wp:inline distT="114300" distB="114300" distL="114300" distR="114300" wp14:anchorId="21E3F59D" wp14:editId="41524EC5">
            <wp:extent cx="4248150" cy="592455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248150" cy="5924550"/>
                    </a:xfrm>
                    <a:prstGeom prst="rect">
                      <a:avLst/>
                    </a:prstGeom>
                    <a:ln/>
                  </pic:spPr>
                </pic:pic>
              </a:graphicData>
            </a:graphic>
          </wp:inline>
        </w:drawing>
      </w:r>
    </w:p>
    <w:p w14:paraId="61B857DA" w14:textId="77777777" w:rsidR="00117ED8" w:rsidRP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b/>
          <w:bCs/>
          <w:szCs w:val="24"/>
        </w:rPr>
        <w:t xml:space="preserve">Figure: </w:t>
      </w:r>
      <w:r w:rsidRPr="00117ED8">
        <w:rPr>
          <w:rFonts w:ascii="Arial" w:eastAsia="Times New Roman" w:hAnsi="Arial" w:cs="Arial"/>
          <w:szCs w:val="24"/>
        </w:rPr>
        <w:t>PRISMA Diagram for study selection</w:t>
      </w:r>
    </w:p>
    <w:p w14:paraId="780F43FF" w14:textId="77777777" w:rsidR="00117ED8" w:rsidRDefault="00117ED8" w:rsidP="00117ED8">
      <w:pPr>
        <w:spacing w:line="360" w:lineRule="auto"/>
        <w:jc w:val="center"/>
        <w:rPr>
          <w:rFonts w:ascii="Arial" w:eastAsia="Times New Roman" w:hAnsi="Arial" w:cs="Arial"/>
          <w:szCs w:val="24"/>
        </w:rPr>
      </w:pPr>
      <w:r w:rsidRPr="00117ED8">
        <w:rPr>
          <w:rFonts w:ascii="Arial" w:eastAsia="Times New Roman" w:hAnsi="Arial" w:cs="Arial"/>
          <w:b/>
          <w:bCs/>
          <w:szCs w:val="24"/>
        </w:rPr>
        <w:t xml:space="preserve">Source: </w:t>
      </w:r>
      <w:r w:rsidRPr="00117ED8">
        <w:rPr>
          <w:rFonts w:ascii="Arial" w:eastAsia="Times New Roman" w:hAnsi="Arial" w:cs="Arial"/>
          <w:szCs w:val="24"/>
        </w:rPr>
        <w:t>(Self-Created)</w:t>
      </w:r>
    </w:p>
    <w:p w14:paraId="704160FD" w14:textId="77777777" w:rsidR="002B160E" w:rsidRPr="00117ED8" w:rsidRDefault="002B160E" w:rsidP="00117ED8">
      <w:pPr>
        <w:spacing w:line="360" w:lineRule="auto"/>
        <w:jc w:val="center"/>
        <w:rPr>
          <w:rFonts w:ascii="Arial" w:eastAsia="Times New Roman" w:hAnsi="Arial" w:cs="Arial"/>
          <w:szCs w:val="24"/>
        </w:rPr>
      </w:pPr>
    </w:p>
    <w:p w14:paraId="1C18E49C" w14:textId="687B9DF7"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5.2 Su</w:t>
      </w:r>
      <w:r>
        <w:rPr>
          <w:rFonts w:ascii="Arial" w:eastAsia="Times New Roman" w:hAnsi="Arial" w:cs="Arial"/>
          <w:b/>
          <w:bCs/>
          <w:sz w:val="26"/>
          <w:szCs w:val="26"/>
        </w:rPr>
        <w:t>mmary table of selected studies</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170"/>
        <w:gridCol w:w="1170"/>
        <w:gridCol w:w="1170"/>
        <w:gridCol w:w="1170"/>
        <w:gridCol w:w="1170"/>
        <w:gridCol w:w="1170"/>
        <w:gridCol w:w="1170"/>
        <w:gridCol w:w="1170"/>
      </w:tblGrid>
      <w:tr w:rsidR="00117ED8" w:rsidRPr="00117ED8" w14:paraId="3573C30B" w14:textId="77777777" w:rsidTr="00295D83">
        <w:trPr>
          <w:trHeight w:val="525"/>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20704ED"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Author/year</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25499D0"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Study aim</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29DB6BA"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Design/method</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777D935"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Sample/population</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BD4A5B7"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UK setting</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7E620B2"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Main access barriers found</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280FD84"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Relevance</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8A9B46" w14:textId="77777777" w:rsidR="00117ED8" w:rsidRPr="00117ED8" w:rsidRDefault="00117ED8" w:rsidP="00295D83">
            <w:pPr>
              <w:widowControl w:val="0"/>
              <w:jc w:val="center"/>
              <w:rPr>
                <w:rFonts w:ascii="Arial" w:eastAsia="Times New Roman" w:hAnsi="Arial" w:cs="Arial"/>
                <w:szCs w:val="24"/>
              </w:rPr>
            </w:pPr>
            <w:r w:rsidRPr="00117ED8">
              <w:rPr>
                <w:rFonts w:ascii="Arial" w:eastAsia="Times New Roman" w:hAnsi="Arial" w:cs="Arial"/>
                <w:b/>
                <w:bCs/>
                <w:szCs w:val="24"/>
              </w:rPr>
              <w:t>Limitations</w:t>
            </w:r>
          </w:p>
        </w:tc>
      </w:tr>
      <w:tr w:rsidR="00117ED8" w:rsidRPr="00117ED8" w14:paraId="785A0A4A" w14:textId="77777777" w:rsidTr="00295D83">
        <w:trPr>
          <w:trHeight w:val="975"/>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50E4514"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lastRenderedPageBreak/>
              <w:t>Punton et al. (2022)</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F7CE010"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To gain insight into young adults' waiting experiences.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4ACB0CF"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Interpretive phenomenological analysis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007DDBA"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Seven young adults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8D1EB08"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UK mental health services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832702A"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Waiting time, uncertainty, deterioration while waiting</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205E86E"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Directly addresses formal access delays</w:t>
            </w:r>
          </w:p>
        </w:tc>
        <w:tc>
          <w:tcPr>
            <w:tcW w:w="11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57B29063"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Small qualitative sample</w:t>
            </w:r>
          </w:p>
        </w:tc>
      </w:tr>
      <w:tr w:rsidR="00117ED8" w:rsidRPr="00117ED8" w14:paraId="5B6C3E7A" w14:textId="77777777" w:rsidTr="00295D83">
        <w:trPr>
          <w:trHeight w:val="975"/>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49C167"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Appleton et al. (2022)</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58D6475"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To raise awareness about support following gaps in CAMHS transition</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C53C6C0"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Qualitative interviews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FCA378"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Young people and parents/carers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B1805C4" w14:textId="751AEB3B"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 xml:space="preserve">London and </w:t>
            </w:r>
            <w:r>
              <w:rPr>
                <w:rFonts w:ascii="Arial" w:eastAsia="Times New Roman" w:hAnsi="Arial" w:cs="Arial"/>
                <w:szCs w:val="24"/>
              </w:rPr>
              <w:t xml:space="preserve">the </w:t>
            </w:r>
            <w:r w:rsidRPr="00117ED8">
              <w:rPr>
                <w:rFonts w:ascii="Arial" w:eastAsia="Times New Roman" w:hAnsi="Arial" w:cs="Arial"/>
                <w:szCs w:val="24"/>
              </w:rPr>
              <w:t>West Midlands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A1FB81"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Poor continuity, unclear GP role, transition failure</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83A72C3"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Strong evidence on service navigation</w:t>
            </w:r>
          </w:p>
        </w:tc>
        <w:tc>
          <w:tcPr>
            <w:tcW w:w="11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45514FB9"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Includes parent/carer views</w:t>
            </w:r>
          </w:p>
        </w:tc>
      </w:tr>
      <w:tr w:rsidR="00117ED8" w:rsidRPr="00117ED8" w14:paraId="2D62DC64" w14:textId="77777777" w:rsidTr="00295D83">
        <w:trPr>
          <w:trHeight w:val="1200"/>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2A5B917"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Sheldon et al. (2024)</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BAA158"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To discuss some barriers to medical students.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4CC555B" w14:textId="1408247D"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 xml:space="preserve">Mixed methods using </w:t>
            </w:r>
            <w:r>
              <w:rPr>
                <w:rFonts w:ascii="Arial" w:eastAsia="Times New Roman" w:hAnsi="Arial" w:cs="Arial"/>
                <w:szCs w:val="24"/>
              </w:rPr>
              <w:t xml:space="preserve">the </w:t>
            </w:r>
            <w:r w:rsidRPr="00117ED8">
              <w:rPr>
                <w:rFonts w:ascii="Arial" w:eastAsia="Times New Roman" w:hAnsi="Arial" w:cs="Arial"/>
                <w:szCs w:val="24"/>
              </w:rPr>
              <w:t>candidacy framework</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DF35A3B"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Medical students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BD93891"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UK university setting</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75BCFD0" w14:textId="4ED18206"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 xml:space="preserve">Stigma, confidentiality, </w:t>
            </w:r>
            <w:r>
              <w:rPr>
                <w:rFonts w:ascii="Arial" w:eastAsia="Times New Roman" w:hAnsi="Arial" w:cs="Arial"/>
                <w:szCs w:val="24"/>
              </w:rPr>
              <w:t xml:space="preserve">and </w:t>
            </w:r>
            <w:r w:rsidRPr="00117ED8">
              <w:rPr>
                <w:rFonts w:ascii="Arial" w:eastAsia="Times New Roman" w:hAnsi="Arial" w:cs="Arial"/>
                <w:szCs w:val="24"/>
              </w:rPr>
              <w:t>fear of fitness-to-practise processes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18406729" w14:textId="4AE0B0F7" w:rsidR="00117ED8" w:rsidRPr="00117ED8" w:rsidRDefault="00117ED8" w:rsidP="00117ED8">
            <w:pPr>
              <w:widowControl w:val="0"/>
              <w:rPr>
                <w:rFonts w:ascii="Arial" w:eastAsia="Times New Roman" w:hAnsi="Arial" w:cs="Arial"/>
                <w:szCs w:val="24"/>
              </w:rPr>
            </w:pPr>
            <w:r w:rsidRPr="00117ED8">
              <w:rPr>
                <w:rFonts w:ascii="Arial" w:eastAsia="Times New Roman" w:hAnsi="Arial" w:cs="Arial"/>
                <w:szCs w:val="24"/>
              </w:rPr>
              <w:t xml:space="preserve">Relevant to </w:t>
            </w:r>
            <w:r>
              <w:rPr>
                <w:rFonts w:ascii="Arial" w:eastAsia="Times New Roman" w:hAnsi="Arial" w:cs="Arial"/>
                <w:szCs w:val="24"/>
              </w:rPr>
              <w:t>young adult studen</w:t>
            </w:r>
            <w:r w:rsidRPr="00117ED8">
              <w:rPr>
                <w:rFonts w:ascii="Arial" w:eastAsia="Times New Roman" w:hAnsi="Arial" w:cs="Arial"/>
                <w:szCs w:val="24"/>
              </w:rPr>
              <w:t>ts</w:t>
            </w:r>
          </w:p>
        </w:tc>
        <w:tc>
          <w:tcPr>
            <w:tcW w:w="11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79C24876"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Specific to medical students</w:t>
            </w:r>
          </w:p>
        </w:tc>
      </w:tr>
      <w:tr w:rsidR="00117ED8" w:rsidRPr="00117ED8" w14:paraId="3A55DA05" w14:textId="77777777" w:rsidTr="00295D83">
        <w:trPr>
          <w:trHeight w:val="1200"/>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4ADB62E"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Phillips et al. (2024)</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732D1FC"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To find out what the careleavers' experiences of seeking help were.</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3AE9121"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Qualitative study</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6B027DFF"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Care-leavers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9A885C3"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UK formal mental health services</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312079DC" w14:textId="3A2C806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 xml:space="preserve">Trust, service rigidity, instability, </w:t>
            </w:r>
            <w:r>
              <w:rPr>
                <w:rFonts w:ascii="Arial" w:eastAsia="Times New Roman" w:hAnsi="Arial" w:cs="Arial"/>
                <w:szCs w:val="24"/>
              </w:rPr>
              <w:t xml:space="preserve">and </w:t>
            </w:r>
            <w:r w:rsidRPr="00117ED8">
              <w:rPr>
                <w:rFonts w:ascii="Arial" w:eastAsia="Times New Roman" w:hAnsi="Arial" w:cs="Arial"/>
                <w:szCs w:val="24"/>
              </w:rPr>
              <w:t>poor relational continuity</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5EFB59A"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Strong inequality-focused evidence</w:t>
            </w:r>
          </w:p>
        </w:tc>
        <w:tc>
          <w:tcPr>
            <w:tcW w:w="11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1816B621"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Specific vulnerable group</w:t>
            </w:r>
          </w:p>
        </w:tc>
      </w:tr>
      <w:tr w:rsidR="00117ED8" w:rsidRPr="00117ED8" w14:paraId="3DD9D8E1" w14:textId="77777777" w:rsidTr="00295D83">
        <w:trPr>
          <w:trHeight w:val="1200"/>
        </w:trPr>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99B6FB"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Oha et al. (2025)</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460D6166" w14:textId="046EF1B8" w:rsidR="00117ED8" w:rsidRPr="00117ED8" w:rsidRDefault="00117ED8" w:rsidP="00117ED8">
            <w:pPr>
              <w:widowControl w:val="0"/>
              <w:rPr>
                <w:rFonts w:ascii="Arial" w:eastAsia="Times New Roman" w:hAnsi="Arial" w:cs="Arial"/>
                <w:szCs w:val="24"/>
              </w:rPr>
            </w:pPr>
            <w:r w:rsidRPr="00117ED8">
              <w:rPr>
                <w:rFonts w:ascii="Arial" w:eastAsia="Times New Roman" w:hAnsi="Arial" w:cs="Arial"/>
                <w:szCs w:val="24"/>
              </w:rPr>
              <w:t>To evaluate mental health support</w:t>
            </w:r>
            <w:r>
              <w:rPr>
                <w:rFonts w:ascii="Arial" w:eastAsia="Times New Roman" w:hAnsi="Arial" w:cs="Arial"/>
                <w:szCs w:val="24"/>
              </w:rPr>
              <w:t xml:space="preserve"> compliance with</w:t>
            </w:r>
            <w:r w:rsidRPr="00117ED8">
              <w:rPr>
                <w:rFonts w:ascii="Arial" w:eastAsia="Times New Roman" w:hAnsi="Arial" w:cs="Arial"/>
                <w:szCs w:val="24"/>
              </w:rPr>
              <w:t xml:space="preserve"> the provision for </w:t>
            </w:r>
            <w:r w:rsidRPr="00117ED8">
              <w:rPr>
                <w:rFonts w:ascii="Arial" w:eastAsia="Times New Roman" w:hAnsi="Arial" w:cs="Arial"/>
                <w:szCs w:val="24"/>
              </w:rPr>
              <w:lastRenderedPageBreak/>
              <w:t>vulnerable young people</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A5E51F6"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lastRenderedPageBreak/>
              <w:t>Mixed-method process evaluation</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5F7AFDEB"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Young people aged 16–25</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0C6BF904"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East of England</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253CBD5C" w14:textId="6CE4B61D"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 xml:space="preserve">Thresholds, fragmentation, </w:t>
            </w:r>
            <w:r>
              <w:rPr>
                <w:rFonts w:ascii="Arial" w:eastAsia="Times New Roman" w:hAnsi="Arial" w:cs="Arial"/>
                <w:szCs w:val="24"/>
              </w:rPr>
              <w:t xml:space="preserve">and </w:t>
            </w:r>
            <w:r w:rsidRPr="00117ED8">
              <w:rPr>
                <w:rFonts w:ascii="Arial" w:eastAsia="Times New Roman" w:hAnsi="Arial" w:cs="Arial"/>
                <w:szCs w:val="24"/>
              </w:rPr>
              <w:t>inaccessible pathways</w:t>
            </w:r>
          </w:p>
        </w:tc>
        <w:tc>
          <w:tcPr>
            <w:tcW w:w="1170" w:type="dxa"/>
            <w:tcBorders>
              <w:top w:val="single" w:sz="5" w:space="0" w:color="CCCCCC"/>
              <w:left w:val="single" w:sz="5" w:space="0" w:color="CCCCCC"/>
              <w:bottom w:val="single" w:sz="5" w:space="0" w:color="CCCCCC"/>
              <w:right w:val="single" w:sz="5" w:space="0" w:color="000000"/>
            </w:tcBorders>
            <w:tcMar>
              <w:top w:w="40" w:type="dxa"/>
              <w:left w:w="0" w:type="dxa"/>
              <w:bottom w:w="40" w:type="dxa"/>
              <w:right w:w="0" w:type="dxa"/>
            </w:tcMar>
            <w:vAlign w:val="bottom"/>
          </w:tcPr>
          <w:p w14:paraId="26394106"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Directly relevant to service ga</w:t>
            </w:r>
          </w:p>
        </w:tc>
        <w:tc>
          <w:tcPr>
            <w:tcW w:w="1170" w:type="dxa"/>
            <w:tcBorders>
              <w:top w:val="single" w:sz="5" w:space="0" w:color="CCCCCC"/>
              <w:left w:val="single" w:sz="5" w:space="0" w:color="CCCCCC"/>
              <w:bottom w:val="single" w:sz="5" w:space="0" w:color="CCCCCC"/>
              <w:right w:val="single" w:sz="5" w:space="0" w:color="CCCCCC"/>
            </w:tcBorders>
            <w:tcMar>
              <w:top w:w="40" w:type="dxa"/>
              <w:left w:w="40" w:type="dxa"/>
              <w:bottom w:w="40" w:type="dxa"/>
              <w:right w:w="40" w:type="dxa"/>
            </w:tcMar>
            <w:vAlign w:val="bottom"/>
          </w:tcPr>
          <w:p w14:paraId="7D804B68" w14:textId="77777777" w:rsidR="00117ED8" w:rsidRPr="00117ED8" w:rsidRDefault="00117ED8" w:rsidP="00295D83">
            <w:pPr>
              <w:widowControl w:val="0"/>
              <w:rPr>
                <w:rFonts w:ascii="Arial" w:eastAsia="Times New Roman" w:hAnsi="Arial" w:cs="Arial"/>
                <w:szCs w:val="24"/>
              </w:rPr>
            </w:pPr>
            <w:r w:rsidRPr="00117ED8">
              <w:rPr>
                <w:rFonts w:ascii="Arial" w:eastAsia="Times New Roman" w:hAnsi="Arial" w:cs="Arial"/>
                <w:szCs w:val="24"/>
              </w:rPr>
              <w:t>Regional intervention context</w:t>
            </w:r>
          </w:p>
        </w:tc>
      </w:tr>
    </w:tbl>
    <w:p w14:paraId="69621291" w14:textId="77777777" w:rsidR="00117ED8" w:rsidRPr="00117ED8" w:rsidRDefault="00117ED8" w:rsidP="00117ED8">
      <w:pPr>
        <w:spacing w:line="360" w:lineRule="auto"/>
        <w:jc w:val="both"/>
        <w:rPr>
          <w:rFonts w:ascii="Arial" w:eastAsia="Times New Roman" w:hAnsi="Arial" w:cs="Arial"/>
          <w:szCs w:val="24"/>
        </w:rPr>
      </w:pPr>
    </w:p>
    <w:p w14:paraId="726F34EA" w14:textId="2D9EA63D"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5</w:t>
      </w:r>
      <w:r>
        <w:rPr>
          <w:rFonts w:ascii="Arial" w:eastAsia="Times New Roman" w:hAnsi="Arial" w:cs="Arial"/>
          <w:b/>
          <w:bCs/>
          <w:sz w:val="26"/>
          <w:szCs w:val="26"/>
        </w:rPr>
        <w:t>.3 Overview of selected studies</w:t>
      </w:r>
    </w:p>
    <w:p w14:paraId="2F4DF8F5" w14:textId="521B0E03"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Most of the selected studies are qualitative and mixed</w:t>
      </w:r>
      <w:r>
        <w:rPr>
          <w:rFonts w:ascii="Arial" w:eastAsia="Times New Roman" w:hAnsi="Arial" w:cs="Arial"/>
          <w:szCs w:val="24"/>
        </w:rPr>
        <w:t>-</w:t>
      </w:r>
      <w:r w:rsidRPr="00117ED8">
        <w:rPr>
          <w:rFonts w:ascii="Arial" w:eastAsia="Times New Roman" w:hAnsi="Arial" w:cs="Arial"/>
          <w:szCs w:val="24"/>
        </w:rPr>
        <w:t xml:space="preserve">method studies as they are fitting for the type of access barriers </w:t>
      </w:r>
      <w:r>
        <w:rPr>
          <w:rFonts w:ascii="Arial" w:eastAsia="Times New Roman" w:hAnsi="Arial" w:cs="Arial"/>
          <w:szCs w:val="24"/>
        </w:rPr>
        <w:t>that</w:t>
      </w:r>
      <w:r w:rsidRPr="00117ED8">
        <w:rPr>
          <w:rFonts w:ascii="Arial" w:eastAsia="Times New Roman" w:hAnsi="Arial" w:cs="Arial"/>
          <w:szCs w:val="24"/>
        </w:rPr>
        <w:t xml:space="preserve"> are patterned after experience and judgment, and social context and service design. Punton et al. discuss life whilst on a waiting list</w:t>
      </w:r>
      <w:r>
        <w:rPr>
          <w:rFonts w:ascii="Arial" w:eastAsia="Times New Roman" w:hAnsi="Arial" w:cs="Arial"/>
          <w:szCs w:val="24"/>
        </w:rPr>
        <w:t>,</w:t>
      </w:r>
      <w:r w:rsidRPr="00117ED8">
        <w:rPr>
          <w:rFonts w:ascii="Arial" w:eastAsia="Times New Roman" w:hAnsi="Arial" w:cs="Arial"/>
          <w:szCs w:val="24"/>
        </w:rPr>
        <w:t xml:space="preserve"> and Appleton et al. focus on primary healthcare after a failure of transition from child to adult mental health services. Sheldon et al. incorporate medical student data, which yield inconsistent evidence on the effect of professional fears by medical students on seeking help. Phillips et al. focus on care-leavers who are more vulnerable and have lower continuity of care. Oha et al. bill data to illustrate the status of vulnerable young people aged 16-25. The synthesis of studies reveals that barriers are not independent, and they are shared experiences throughout a number of formal care pathways (Punton et al., 2022; Appleton et al., 2022).</w:t>
      </w:r>
    </w:p>
    <w:p w14:paraId="5D54A3E5" w14:textId="037D1616"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5.4 Theme 1: Individual and psychological b</w:t>
      </w:r>
      <w:r>
        <w:rPr>
          <w:rFonts w:ascii="Arial" w:eastAsia="Times New Roman" w:hAnsi="Arial" w:cs="Arial"/>
          <w:b/>
          <w:bCs/>
          <w:sz w:val="26"/>
          <w:szCs w:val="26"/>
        </w:rPr>
        <w:t>arriers</w:t>
      </w:r>
    </w:p>
    <w:p w14:paraId="132080AE" w14:textId="13DDC4BB"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The first theme highlights that there are various delays in accessing formal services with regard to help-seeking amongst young adults before going through their entry into formal services. Stigma is a factor that causes young adults to underreport mental health problems as they are embarrassed, afraid of being labe</w:t>
      </w:r>
      <w:r>
        <w:rPr>
          <w:rFonts w:ascii="Arial" w:eastAsia="Times New Roman" w:hAnsi="Arial" w:cs="Arial"/>
          <w:szCs w:val="24"/>
        </w:rPr>
        <w:t>l</w:t>
      </w:r>
      <w:r w:rsidRPr="00117ED8">
        <w:rPr>
          <w:rFonts w:ascii="Arial" w:eastAsia="Times New Roman" w:hAnsi="Arial" w:cs="Arial"/>
          <w:szCs w:val="24"/>
        </w:rPr>
        <w:t>led as weak, risky or incompetent. This is clearly seen in medicine, especially among medical students</w:t>
      </w:r>
      <w:r w:rsidR="00966B09">
        <w:rPr>
          <w:rFonts w:ascii="Arial" w:eastAsia="Times New Roman" w:hAnsi="Arial" w:cs="Arial"/>
          <w:szCs w:val="24"/>
        </w:rPr>
        <w:t>;</w:t>
      </w:r>
      <w:r w:rsidRPr="00117ED8">
        <w:rPr>
          <w:rFonts w:ascii="Arial" w:eastAsia="Times New Roman" w:hAnsi="Arial" w:cs="Arial"/>
          <w:szCs w:val="24"/>
        </w:rPr>
        <w:t xml:space="preserve"> </w:t>
      </w:r>
      <w:r>
        <w:rPr>
          <w:rFonts w:ascii="Arial" w:eastAsia="Times New Roman" w:hAnsi="Arial" w:cs="Arial"/>
          <w:szCs w:val="24"/>
        </w:rPr>
        <w:t xml:space="preserve">the </w:t>
      </w:r>
      <w:r w:rsidRPr="00117ED8">
        <w:rPr>
          <w:rFonts w:ascii="Arial" w:eastAsia="Times New Roman" w:hAnsi="Arial" w:cs="Arial"/>
          <w:szCs w:val="24"/>
        </w:rPr>
        <w:t xml:space="preserve">transformational pressure of a fitness-to-practise case created wariness even where there was felt to be a need (Sheldon et al., 2024). If your perceived need is low, this can also have an impact because young adults can deem anxiety, depression or distress as 'simply coping' – with regular study, work or transition stresses. This finds itself blocking early intervention as symptoms are not manifesting themselves as an issue to be addressed and intervened through professionals. In terms of mental health, mental health literacy impacts the rates </w:t>
      </w:r>
      <w:r>
        <w:rPr>
          <w:rFonts w:ascii="Arial" w:eastAsia="Times New Roman" w:hAnsi="Arial" w:cs="Arial"/>
          <w:szCs w:val="24"/>
        </w:rPr>
        <w:t>at</w:t>
      </w:r>
      <w:r w:rsidRPr="00117ED8">
        <w:rPr>
          <w:rFonts w:ascii="Arial" w:eastAsia="Times New Roman" w:hAnsi="Arial" w:cs="Arial"/>
          <w:szCs w:val="24"/>
        </w:rPr>
        <w:t xml:space="preserve"> which young adults recognise symptoms, label those symptoms as a need and to identify the pathway to services. Punton et al. also show that waiting may enhance psychological insecurity, which exacerbates youth's doubt about their health and whether they continue to have access to support </w:t>
      </w:r>
      <w:r w:rsidRPr="00117ED8">
        <w:rPr>
          <w:rFonts w:ascii="Arial" w:eastAsia="Times New Roman" w:hAnsi="Arial" w:cs="Arial"/>
          <w:szCs w:val="24"/>
        </w:rPr>
        <w:lastRenderedPageBreak/>
        <w:t>or if they are seriously ill (Punton et al., 2022). This is because service insecurity</w:t>
      </w:r>
      <w:r>
        <w:rPr>
          <w:rFonts w:ascii="Arial" w:eastAsia="Times New Roman" w:hAnsi="Arial" w:cs="Arial"/>
          <w:szCs w:val="24"/>
        </w:rPr>
        <w:t>,</w:t>
      </w:r>
      <w:r w:rsidRPr="00117ED8">
        <w:rPr>
          <w:rFonts w:ascii="Arial" w:eastAsia="Times New Roman" w:hAnsi="Arial" w:cs="Arial"/>
          <w:szCs w:val="24"/>
        </w:rPr>
        <w:t xml:space="preserve"> social judg</w:t>
      </w:r>
      <w:r>
        <w:rPr>
          <w:rFonts w:ascii="Arial" w:eastAsia="Times New Roman" w:hAnsi="Arial" w:cs="Arial"/>
          <w:szCs w:val="24"/>
        </w:rPr>
        <w:t>ment,</w:t>
      </w:r>
      <w:r w:rsidRPr="00117ED8">
        <w:rPr>
          <w:rFonts w:ascii="Arial" w:eastAsia="Times New Roman" w:hAnsi="Arial" w:cs="Arial"/>
          <w:szCs w:val="24"/>
        </w:rPr>
        <w:t xml:space="preserve"> and personal reluctance can help to create individual barriers.</w:t>
      </w:r>
    </w:p>
    <w:p w14:paraId="60F549AF" w14:textId="0757DE2B"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5.5 Theme 2: Se</w:t>
      </w:r>
      <w:r>
        <w:rPr>
          <w:rFonts w:ascii="Arial" w:eastAsia="Times New Roman" w:hAnsi="Arial" w:cs="Arial"/>
          <w:b/>
          <w:bCs/>
          <w:sz w:val="26"/>
          <w:szCs w:val="26"/>
        </w:rPr>
        <w:t>rvice and system-level barriers</w:t>
      </w:r>
    </w:p>
    <w:p w14:paraId="3D189A70" w14:textId="7DDDFA89"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The 2nd theme identifies that even after a young adult has </w:t>
      </w:r>
      <w:r>
        <w:rPr>
          <w:rFonts w:ascii="Arial" w:eastAsia="Times New Roman" w:hAnsi="Arial" w:cs="Arial"/>
          <w:szCs w:val="24"/>
        </w:rPr>
        <w:t xml:space="preserve">made </w:t>
      </w:r>
      <w:r w:rsidRPr="00117ED8">
        <w:rPr>
          <w:rFonts w:ascii="Arial" w:eastAsia="Times New Roman" w:hAnsi="Arial" w:cs="Arial"/>
          <w:szCs w:val="24"/>
        </w:rPr>
        <w:t xml:space="preserve">the decision to access formal care assistance providers, formal care pathways can be a barrier to access. Waiting times were a significant barrier as these contributed to delaying treatment, causing distress and a sense of abandonment (Punton et al., 2022). Also, </w:t>
      </w:r>
      <w:r>
        <w:rPr>
          <w:rFonts w:ascii="Arial" w:eastAsia="Times New Roman" w:hAnsi="Arial" w:cs="Arial"/>
          <w:szCs w:val="24"/>
        </w:rPr>
        <w:t xml:space="preserve">the </w:t>
      </w:r>
      <w:r w:rsidRPr="00117ED8">
        <w:rPr>
          <w:rFonts w:ascii="Arial" w:eastAsia="Times New Roman" w:hAnsi="Arial" w:cs="Arial"/>
          <w:szCs w:val="24"/>
        </w:rPr>
        <w:t>complexity of referral was an issue for access. Appleton et al (2022) found that if there was no change and young people fell into and through the ‘CAMHS transition gap'</w:t>
      </w:r>
      <w:r>
        <w:rPr>
          <w:rFonts w:ascii="Arial" w:eastAsia="Times New Roman" w:hAnsi="Arial" w:cs="Arial"/>
          <w:szCs w:val="24"/>
        </w:rPr>
        <w:t>,</w:t>
      </w:r>
      <w:r w:rsidRPr="00117ED8">
        <w:rPr>
          <w:rFonts w:ascii="Arial" w:eastAsia="Times New Roman" w:hAnsi="Arial" w:cs="Arial"/>
          <w:szCs w:val="24"/>
        </w:rPr>
        <w:t xml:space="preserve"> then there was a risk of poor continuity, where it was not clear who was responsible for the child services and who for the adult services, including primary care. This is what it means: While legally full-grown, young adults can be developmentally and socially vulnerable. The study “Barriers to utilisation of services by vulnerable children and youth in England: insights from the DCYJ” identified </w:t>
      </w:r>
      <w:r>
        <w:rPr>
          <w:rFonts w:ascii="Arial" w:eastAsia="Times New Roman" w:hAnsi="Arial" w:cs="Arial"/>
          <w:szCs w:val="24"/>
        </w:rPr>
        <w:t>several</w:t>
      </w:r>
      <w:r w:rsidRPr="00117ED8">
        <w:rPr>
          <w:rFonts w:ascii="Arial" w:eastAsia="Times New Roman" w:hAnsi="Arial" w:cs="Arial"/>
          <w:szCs w:val="24"/>
        </w:rPr>
        <w:t xml:space="preserve"> factors which prevent vulnerable young people from accessing services, including thresholds and disjointed support, which means services only respond when there is a high level of need for a child or young person</w:t>
      </w:r>
      <w:r>
        <w:rPr>
          <w:rFonts w:ascii="Arial" w:eastAsia="Times New Roman" w:hAnsi="Arial" w:cs="Arial"/>
          <w:szCs w:val="24"/>
        </w:rPr>
        <w:t>,</w:t>
      </w:r>
      <w:r w:rsidRPr="00117ED8">
        <w:rPr>
          <w:rFonts w:ascii="Arial" w:eastAsia="Times New Roman" w:hAnsi="Arial" w:cs="Arial"/>
          <w:szCs w:val="24"/>
        </w:rPr>
        <w:t xml:space="preserve"> and they meet the service</w:t>
      </w:r>
      <w:r>
        <w:rPr>
          <w:rFonts w:ascii="Arial" w:eastAsia="Times New Roman" w:hAnsi="Arial" w:cs="Arial"/>
          <w:szCs w:val="24"/>
        </w:rPr>
        <w:t>'</w:t>
      </w:r>
      <w:r w:rsidRPr="00117ED8">
        <w:rPr>
          <w:rFonts w:ascii="Arial" w:eastAsia="Times New Roman" w:hAnsi="Arial" w:cs="Arial"/>
          <w:szCs w:val="24"/>
        </w:rPr>
        <w:t>s threshold (Oha et al., 2025). However, confidence also played a part in access to services</w:t>
      </w:r>
      <w:r>
        <w:rPr>
          <w:rFonts w:ascii="Arial" w:eastAsia="Times New Roman" w:hAnsi="Arial" w:cs="Arial"/>
          <w:szCs w:val="24"/>
        </w:rPr>
        <w:t>,</w:t>
      </w:r>
      <w:r w:rsidRPr="00117ED8">
        <w:rPr>
          <w:rFonts w:ascii="Arial" w:eastAsia="Times New Roman" w:hAnsi="Arial" w:cs="Arial"/>
          <w:szCs w:val="24"/>
        </w:rPr>
        <w:t xml:space="preserve"> as young people may not have wanted to use a formal pathway if they believed it would affect their education, job status, or have an effect on family life. Such worries are especially strong when mental health visuali</w:t>
      </w:r>
      <w:r>
        <w:rPr>
          <w:rFonts w:ascii="Arial" w:eastAsia="Times New Roman" w:hAnsi="Arial" w:cs="Arial"/>
          <w:szCs w:val="24"/>
        </w:rPr>
        <w:t>s</w:t>
      </w:r>
      <w:r w:rsidRPr="00117ED8">
        <w:rPr>
          <w:rFonts w:ascii="Arial" w:eastAsia="Times New Roman" w:hAnsi="Arial" w:cs="Arial"/>
          <w:szCs w:val="24"/>
        </w:rPr>
        <w:t xml:space="preserve">ation relates to future ability assessments (Sheldon et al., 2024). </w:t>
      </w:r>
    </w:p>
    <w:p w14:paraId="73E988AF" w14:textId="70C20BAB"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5.6 Theme 3: Social, cultural </w:t>
      </w:r>
      <w:r>
        <w:rPr>
          <w:rFonts w:ascii="Arial" w:eastAsia="Times New Roman" w:hAnsi="Arial" w:cs="Arial"/>
          <w:b/>
          <w:bCs/>
          <w:sz w:val="26"/>
          <w:szCs w:val="26"/>
        </w:rPr>
        <w:t>and inequality-related barriers</w:t>
      </w:r>
    </w:p>
    <w:p w14:paraId="612DA526" w14:textId="68F1B07C"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Care-leavers reported needing to be 'persistent' to access services, feeling sometimes that services were lost touch with, and feeling a lack of trust and sense of security in services being available (Phillips et al., 2024). This suggests that the traditional referral process might be suited to stable young adults more than young adults with insecure housing, care and/or poor family relationships. Social and economic disadvantage can also pose a barrier through influences such as privacy, transport, access to digital life and time flexibility. As Oha et al. show, joined-up, flexible and community-based support may be preferable to traditional pathway-centric support for vulnerable young people whose lives are many times complex in nature (Oha et al., 2025). There may </w:t>
      </w:r>
      <w:r w:rsidRPr="00117ED8">
        <w:rPr>
          <w:rFonts w:ascii="Arial" w:eastAsia="Times New Roman" w:hAnsi="Arial" w:cs="Arial"/>
          <w:szCs w:val="24"/>
        </w:rPr>
        <w:lastRenderedPageBreak/>
        <w:t>also be a different pattern of access if the person becomes a student, because while they become eligible to get City supports, these can be short</w:t>
      </w:r>
      <w:r>
        <w:rPr>
          <w:rFonts w:ascii="Arial" w:eastAsia="Times New Roman" w:hAnsi="Arial" w:cs="Arial"/>
          <w:szCs w:val="24"/>
        </w:rPr>
        <w:t>-</w:t>
      </w:r>
      <w:r w:rsidRPr="00117ED8">
        <w:rPr>
          <w:rFonts w:ascii="Arial" w:eastAsia="Times New Roman" w:hAnsi="Arial" w:cs="Arial"/>
          <w:szCs w:val="24"/>
        </w:rPr>
        <w:t xml:space="preserve">term, interrupted or insecure, and there can be cultural stigma and distrust that can result in less disclosure by members of minoritised groups. </w:t>
      </w:r>
      <w:r>
        <w:rPr>
          <w:rFonts w:ascii="Arial" w:eastAsia="Times New Roman" w:hAnsi="Arial" w:cs="Arial"/>
          <w:szCs w:val="24"/>
        </w:rPr>
        <w:t>In</w:t>
      </w:r>
      <w:r w:rsidRPr="00117ED8">
        <w:rPr>
          <w:rFonts w:ascii="Arial" w:eastAsia="Times New Roman" w:hAnsi="Arial" w:cs="Arial"/>
          <w:szCs w:val="24"/>
        </w:rPr>
        <w:t xml:space="preserve"> the study by Phillips et al., they found that for vulnerable young adults, relational continuity is not a decision, but is rather at the heart of trust and engagement (Phillips et al., 2024). Inequality thus manifests itself in the social situation and in the design of services.</w:t>
      </w:r>
    </w:p>
    <w:p w14:paraId="2F257B26" w14:textId="7E3E7103"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5.7 Cross-study synthesis</w:t>
      </w:r>
    </w:p>
    <w:p w14:paraId="0B299BAA" w14:textId="4FCFF872" w:rsidR="00B87E75" w:rsidRPr="00117ED8" w:rsidRDefault="00117ED8" w:rsidP="00CD33A8">
      <w:pPr>
        <w:tabs>
          <w:tab w:val="left" w:pos="6540"/>
        </w:tabs>
        <w:spacing w:line="360" w:lineRule="auto"/>
        <w:rPr>
          <w:rFonts w:ascii="Arial" w:hAnsi="Arial" w:cs="Arial"/>
          <w:sz w:val="22"/>
        </w:rPr>
      </w:pPr>
      <w:r w:rsidRPr="00117ED8">
        <w:rPr>
          <w:rFonts w:ascii="Arial" w:eastAsia="Times New Roman" w:hAnsi="Arial" w:cs="Arial"/>
          <w:szCs w:val="24"/>
        </w:rPr>
        <w:t>The barriers operate at three interrelated levels: individual level of reluctance, service-system level of constriction and structural level of inequity</w:t>
      </w:r>
      <w:r>
        <w:rPr>
          <w:rFonts w:ascii="Arial" w:eastAsia="Times New Roman" w:hAnsi="Arial" w:cs="Arial"/>
          <w:szCs w:val="24"/>
        </w:rPr>
        <w:t>,</w:t>
      </w:r>
      <w:r w:rsidRPr="00117ED8">
        <w:rPr>
          <w:rFonts w:ascii="Arial" w:eastAsia="Times New Roman" w:hAnsi="Arial" w:cs="Arial"/>
          <w:szCs w:val="24"/>
        </w:rPr>
        <w:t xml:space="preserve"> in all five studies. The authors have thus included evidence on the impact of stigma, uncertainty, waiting, fragmentation, thresholds for access to formal care, and concerns about confidentiality or discrepancy between access to formal mental health care, on young adults' pathway to formal mental health care (Appleton et al., 2022; Oha et al., 2025).</w:t>
      </w:r>
    </w:p>
    <w:p w14:paraId="5C43254D" w14:textId="3208597A" w:rsidR="00B87E75" w:rsidRPr="00117ED8" w:rsidRDefault="00117ED8" w:rsidP="00E620E7">
      <w:pPr>
        <w:pStyle w:val="Heading1"/>
        <w:rPr>
          <w:rFonts w:cs="Arial"/>
        </w:rPr>
      </w:pPr>
      <w:bookmarkStart w:id="6" w:name="_Toc233546001"/>
      <w:r>
        <w:rPr>
          <w:rFonts w:cs="Arial"/>
        </w:rPr>
        <w:t xml:space="preserve">6.0 </w:t>
      </w:r>
      <w:r w:rsidR="00B87E75" w:rsidRPr="00117ED8">
        <w:rPr>
          <w:rFonts w:cs="Arial"/>
        </w:rPr>
        <w:t>Discussion</w:t>
      </w:r>
      <w:bookmarkEnd w:id="6"/>
    </w:p>
    <w:p w14:paraId="33D30EF2" w14:textId="7A60FF86"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6</w:t>
      </w:r>
      <w:r>
        <w:rPr>
          <w:rFonts w:ascii="Arial" w:eastAsia="Times New Roman" w:hAnsi="Arial" w:cs="Arial"/>
          <w:b/>
          <w:bCs/>
          <w:sz w:val="26"/>
          <w:szCs w:val="26"/>
        </w:rPr>
        <w:t>.1 Summary of the main findings</w:t>
      </w:r>
    </w:p>
    <w:p w14:paraId="42F11CC0" w14:textId="6304ADAF"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The three interrelated levels of barriers that were evident from the selected studies are discussed. Individual or psychological barriers are: stigma, embarrassment, low perceived need, uncertainty of symptoms and fear of judgment. Second, </w:t>
      </w:r>
      <w:r w:rsidR="00C954C2">
        <w:rPr>
          <w:rFonts w:ascii="Arial" w:eastAsia="Times New Roman" w:hAnsi="Arial" w:cs="Arial"/>
          <w:szCs w:val="24"/>
        </w:rPr>
        <w:t>service-level</w:t>
      </w:r>
      <w:r w:rsidRPr="00117ED8">
        <w:rPr>
          <w:rFonts w:ascii="Arial" w:eastAsia="Times New Roman" w:hAnsi="Arial" w:cs="Arial"/>
          <w:szCs w:val="24"/>
        </w:rPr>
        <w:t xml:space="preserve"> barrier</w:t>
      </w:r>
      <w:r>
        <w:rPr>
          <w:rFonts w:ascii="Arial" w:eastAsia="Times New Roman" w:hAnsi="Arial" w:cs="Arial"/>
          <w:szCs w:val="24"/>
        </w:rPr>
        <w:t>s are</w:t>
      </w:r>
      <w:r w:rsidRPr="00117ED8">
        <w:rPr>
          <w:rFonts w:ascii="Arial" w:eastAsia="Times New Roman" w:hAnsi="Arial" w:cs="Arial"/>
          <w:szCs w:val="24"/>
        </w:rPr>
        <w:t xml:space="preserve"> waiting lists, barriers to referral, high thresholds, lack of continuity and unclear responsibilities between the services. Thirdly, these barriers to disadvantage which affect equity are experienced by care</w:t>
      </w:r>
      <w:r>
        <w:rPr>
          <w:rFonts w:ascii="Arial" w:eastAsia="Times New Roman" w:hAnsi="Arial" w:cs="Arial"/>
          <w:szCs w:val="24"/>
        </w:rPr>
        <w:t>-</w:t>
      </w:r>
      <w:r w:rsidRPr="00117ED8">
        <w:rPr>
          <w:rFonts w:ascii="Arial" w:eastAsia="Times New Roman" w:hAnsi="Arial" w:cs="Arial"/>
          <w:szCs w:val="24"/>
        </w:rPr>
        <w:t>experienced, socio-economically challenged, minoritised, student &amp; digitally excluded young adults. Limited access is, therefore, not only a result of individual reluctance but also created through interaction between the individual concerns, the design of the services and the structures of inequality (Punton et al., 2022; Appleton et al., 2022; Phillips et al., 2024).</w:t>
      </w:r>
    </w:p>
    <w:p w14:paraId="36E8CC7D" w14:textId="66FB1E19"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6.2 Discussion </w:t>
      </w:r>
      <w:r>
        <w:rPr>
          <w:rFonts w:ascii="Arial" w:eastAsia="Times New Roman" w:hAnsi="Arial" w:cs="Arial"/>
          <w:b/>
          <w:bCs/>
          <w:sz w:val="26"/>
          <w:szCs w:val="26"/>
        </w:rPr>
        <w:t>in relation to wider literature</w:t>
      </w:r>
    </w:p>
    <w:p w14:paraId="1BF9AFFA" w14:textId="12494ACE"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Results are consistent with the wider literature in the UK showing differential access to mental health services, both in terms of social status and visibility/trust of services. </w:t>
      </w:r>
      <w:r w:rsidRPr="00117ED8">
        <w:rPr>
          <w:rFonts w:ascii="Arial" w:eastAsia="Times New Roman" w:hAnsi="Arial" w:cs="Arial"/>
          <w:szCs w:val="24"/>
        </w:rPr>
        <w:lastRenderedPageBreak/>
        <w:t>NHS policy highlights the need for early help and mental health support outside the NHS system</w:t>
      </w:r>
      <w:r>
        <w:rPr>
          <w:rFonts w:ascii="Arial" w:eastAsia="Times New Roman" w:hAnsi="Arial" w:cs="Arial"/>
          <w:szCs w:val="24"/>
        </w:rPr>
        <w:t>. E</w:t>
      </w:r>
      <w:r w:rsidRPr="00117ED8">
        <w:rPr>
          <w:rFonts w:ascii="Arial" w:eastAsia="Times New Roman" w:hAnsi="Arial" w:cs="Arial"/>
          <w:szCs w:val="24"/>
        </w:rPr>
        <w:t>vidence reviewed suggests that pathways beyond mental health are still disjointed</w:t>
      </w:r>
      <w:r>
        <w:rPr>
          <w:rFonts w:ascii="Arial" w:eastAsia="Times New Roman" w:hAnsi="Arial" w:cs="Arial"/>
          <w:szCs w:val="24"/>
        </w:rPr>
        <w:t>,</w:t>
      </w:r>
      <w:r w:rsidRPr="00117ED8">
        <w:rPr>
          <w:rFonts w:ascii="Arial" w:eastAsia="Times New Roman" w:hAnsi="Arial" w:cs="Arial"/>
          <w:szCs w:val="24"/>
        </w:rPr>
        <w:t xml:space="preserve"> and there is a threshold for access to a young adult mental health service (NHS England, 2025; Oha et al., 2025). NICE pathway advice is based on principles of stepped care and involves timely assessment and signposting between each step of the pathway (Robinson et al. 2023). This resonates with other evidence of the links between deprivation, ethnicity, geography and system complexity and inequalities in access to mental health services for adults (Lowther-Payne et al., 2023). This does not imply that the access barriers are necessarily time-limited, individual defects of individual services. They syndicate </w:t>
      </w:r>
      <w:r>
        <w:rPr>
          <w:rFonts w:ascii="Arial" w:eastAsia="Times New Roman" w:hAnsi="Arial" w:cs="Arial"/>
          <w:szCs w:val="24"/>
        </w:rPr>
        <w:t xml:space="preserve">the </w:t>
      </w:r>
      <w:r w:rsidRPr="00117ED8">
        <w:rPr>
          <w:rFonts w:ascii="Arial" w:eastAsia="Times New Roman" w:hAnsi="Arial" w:cs="Arial"/>
          <w:szCs w:val="24"/>
        </w:rPr>
        <w:t>more generally prevailing mismatch between young adults' needs and the formal care system.</w:t>
      </w:r>
    </w:p>
    <w:p w14:paraId="54E0D81F" w14:textId="2B1C6AE5"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 xml:space="preserve">6.3 Importance for </w:t>
      </w:r>
      <w:r>
        <w:rPr>
          <w:rFonts w:ascii="Arial" w:eastAsia="Times New Roman" w:hAnsi="Arial" w:cs="Arial"/>
          <w:b/>
          <w:bCs/>
          <w:sz w:val="26"/>
          <w:szCs w:val="26"/>
        </w:rPr>
        <w:t>health and social care practice</w:t>
      </w:r>
    </w:p>
    <w:p w14:paraId="50CFEFFB" w14:textId="481B6CB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This information is valuable because delays in access to services will likely result in greater distress and will contribute to the crash-seeking help-seeking behavio</w:t>
      </w:r>
      <w:r>
        <w:rPr>
          <w:rFonts w:ascii="Arial" w:eastAsia="Times New Roman" w:hAnsi="Arial" w:cs="Arial"/>
          <w:szCs w:val="24"/>
        </w:rPr>
        <w:t>u</w:t>
      </w:r>
      <w:r w:rsidRPr="00117ED8">
        <w:rPr>
          <w:rFonts w:ascii="Arial" w:eastAsia="Times New Roman" w:hAnsi="Arial" w:cs="Arial"/>
          <w:szCs w:val="24"/>
        </w:rPr>
        <w:t xml:space="preserve">rs of youth. It is important, therefore, that the practice in health and social care focuses on the early stage signings, health and social protection </w:t>
      </w:r>
      <w:r w:rsidR="007E424C">
        <w:rPr>
          <w:rFonts w:ascii="Arial" w:eastAsia="Times New Roman" w:hAnsi="Arial" w:cs="Arial"/>
          <w:szCs w:val="24"/>
        </w:rPr>
        <w:t>awareness</w:t>
      </w:r>
      <w:r w:rsidRPr="00117ED8">
        <w:rPr>
          <w:rFonts w:ascii="Arial" w:eastAsia="Times New Roman" w:hAnsi="Arial" w:cs="Arial"/>
          <w:szCs w:val="24"/>
        </w:rPr>
        <w:t xml:space="preserve"> communication between youth, on routing children's communication between child and adult services, and on links with primary care, the University and community services, and the better follow-up of children moving into adulthood. Delay should not just be highlighted by </w:t>
      </w:r>
      <w:r>
        <w:rPr>
          <w:rFonts w:ascii="Arial" w:eastAsia="Times New Roman" w:hAnsi="Arial" w:cs="Arial"/>
          <w:szCs w:val="24"/>
        </w:rPr>
        <w:t>wait</w:t>
      </w:r>
      <w:r w:rsidRPr="00117ED8">
        <w:rPr>
          <w:rFonts w:ascii="Arial" w:eastAsia="Times New Roman" w:hAnsi="Arial" w:cs="Arial"/>
          <w:szCs w:val="24"/>
        </w:rPr>
        <w:t xml:space="preserve">list management but also support the patient, monitoring the </w:t>
      </w:r>
      <w:r>
        <w:rPr>
          <w:rFonts w:ascii="Arial" w:eastAsia="Times New Roman" w:hAnsi="Arial" w:cs="Arial"/>
          <w:szCs w:val="24"/>
        </w:rPr>
        <w:t>risk,</w:t>
      </w:r>
      <w:r w:rsidRPr="00117ED8">
        <w:rPr>
          <w:rFonts w:ascii="Arial" w:eastAsia="Times New Roman" w:hAnsi="Arial" w:cs="Arial"/>
          <w:szCs w:val="24"/>
        </w:rPr>
        <w:t xml:space="preserve"> and assigning transparent communication. Confidentiality should be fully explained, especially when small children, student</w:t>
      </w:r>
      <w:r>
        <w:rPr>
          <w:rFonts w:ascii="Arial" w:eastAsia="Times New Roman" w:hAnsi="Arial" w:cs="Arial"/>
          <w:szCs w:val="24"/>
        </w:rPr>
        <w:t>s,</w:t>
      </w:r>
      <w:r w:rsidRPr="00117ED8">
        <w:rPr>
          <w:rFonts w:ascii="Arial" w:eastAsia="Times New Roman" w:hAnsi="Arial" w:cs="Arial"/>
          <w:szCs w:val="24"/>
        </w:rPr>
        <w:t xml:space="preserve"> care-leavers, or young adults consider what impact this will have on their family, job or professional life (Sheldon et al., 2024). </w:t>
      </w:r>
    </w:p>
    <w:p w14:paraId="54365E67" w14:textId="1F0404BB"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6.4 Strengths and weak</w:t>
      </w:r>
      <w:r>
        <w:rPr>
          <w:rFonts w:ascii="Arial" w:eastAsia="Times New Roman" w:hAnsi="Arial" w:cs="Arial"/>
          <w:b/>
          <w:bCs/>
          <w:sz w:val="26"/>
          <w:szCs w:val="26"/>
        </w:rPr>
        <w:t>nesses of the reviewed evidence</w:t>
      </w:r>
    </w:p>
    <w:p w14:paraId="44D076AD" w14:textId="048CCC59"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The evidence is accessible and helpful as the majority of the selected studies are both recent and UK-based, as well as directly relating to lived experience and service access. Qualitative research provides a perspective on trust, waiting and navigation issues. Now, including support for broad service insight in mixed method studies (Holding et al. 2022). However, weaknesses remain. A variety of samples</w:t>
      </w:r>
      <w:r>
        <w:rPr>
          <w:rFonts w:ascii="Arial" w:eastAsia="Times New Roman" w:hAnsi="Arial" w:cs="Arial"/>
          <w:szCs w:val="24"/>
        </w:rPr>
        <w:t>,</w:t>
      </w:r>
      <w:r w:rsidRPr="00117ED8">
        <w:rPr>
          <w:rFonts w:ascii="Arial" w:eastAsia="Times New Roman" w:hAnsi="Arial" w:cs="Arial"/>
          <w:szCs w:val="24"/>
        </w:rPr>
        <w:t xml:space="preserve"> including some small group samples (e.g</w:t>
      </w:r>
      <w:r>
        <w:rPr>
          <w:rFonts w:ascii="Arial" w:eastAsia="Times New Roman" w:hAnsi="Arial" w:cs="Arial"/>
          <w:szCs w:val="24"/>
        </w:rPr>
        <w:t>.,</w:t>
      </w:r>
      <w:r w:rsidRPr="00117ED8">
        <w:rPr>
          <w:rFonts w:ascii="Arial" w:eastAsia="Times New Roman" w:hAnsi="Arial" w:cs="Arial"/>
          <w:szCs w:val="24"/>
        </w:rPr>
        <w:t xml:space="preserve"> medical students, care-leavers). Subjectivity of some findings and not all studies reflect young adults offline (not in education, employment or stable housing settings).</w:t>
      </w:r>
    </w:p>
    <w:p w14:paraId="0C659BD9" w14:textId="07E68F89"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lastRenderedPageBreak/>
        <w:t>6.5 Li</w:t>
      </w:r>
      <w:r>
        <w:rPr>
          <w:rFonts w:ascii="Arial" w:eastAsia="Times New Roman" w:hAnsi="Arial" w:cs="Arial"/>
          <w:b/>
          <w:bCs/>
          <w:sz w:val="26"/>
          <w:szCs w:val="26"/>
        </w:rPr>
        <w:t>mitations of the scoping review</w:t>
      </w:r>
    </w:p>
    <w:p w14:paraId="682D1769" w14:textId="4C3D11AE" w:rsidR="003E4ECF" w:rsidRPr="00117ED8" w:rsidRDefault="00117ED8" w:rsidP="00117ED8">
      <w:pPr>
        <w:tabs>
          <w:tab w:val="left" w:pos="6540"/>
        </w:tabs>
        <w:spacing w:line="360" w:lineRule="auto"/>
        <w:jc w:val="both"/>
        <w:rPr>
          <w:rFonts w:ascii="Arial" w:hAnsi="Arial" w:cs="Arial"/>
          <w:sz w:val="22"/>
        </w:rPr>
      </w:pPr>
      <w:r w:rsidRPr="00117ED8">
        <w:rPr>
          <w:rFonts w:ascii="Arial" w:eastAsia="Times New Roman" w:hAnsi="Arial" w:cs="Arial"/>
          <w:szCs w:val="24"/>
        </w:rPr>
        <w:t>Only 5 studies have been included</w:t>
      </w:r>
      <w:r>
        <w:rPr>
          <w:rFonts w:ascii="Arial" w:eastAsia="Times New Roman" w:hAnsi="Arial" w:cs="Arial"/>
          <w:szCs w:val="24"/>
        </w:rPr>
        <w:t>,</w:t>
      </w:r>
      <w:r w:rsidRPr="00117ED8">
        <w:rPr>
          <w:rFonts w:ascii="Arial" w:eastAsia="Times New Roman" w:hAnsi="Arial" w:cs="Arial"/>
          <w:szCs w:val="24"/>
        </w:rPr>
        <w:t xml:space="preserve"> and as such</w:t>
      </w:r>
      <w:r>
        <w:rPr>
          <w:rFonts w:ascii="Arial" w:eastAsia="Times New Roman" w:hAnsi="Arial" w:cs="Arial"/>
          <w:szCs w:val="24"/>
        </w:rPr>
        <w:t>,</w:t>
      </w:r>
      <w:r w:rsidRPr="00117ED8">
        <w:rPr>
          <w:rFonts w:ascii="Arial" w:eastAsia="Times New Roman" w:hAnsi="Arial" w:cs="Arial"/>
          <w:szCs w:val="24"/>
        </w:rPr>
        <w:t xml:space="preserve"> these results are not a reflection of young people from across the UK. Relevant research may not have been included because of the limitations of database access</w:t>
      </w:r>
      <w:r>
        <w:rPr>
          <w:rFonts w:ascii="Arial" w:eastAsia="Times New Roman" w:hAnsi="Arial" w:cs="Arial"/>
          <w:szCs w:val="24"/>
        </w:rPr>
        <w:t>,</w:t>
      </w:r>
      <w:r w:rsidRPr="00117ED8">
        <w:rPr>
          <w:rFonts w:ascii="Arial" w:eastAsia="Times New Roman" w:hAnsi="Arial" w:cs="Arial"/>
          <w:szCs w:val="24"/>
        </w:rPr>
        <w:t xml:space="preserve"> search criteria or temporal boundaries. There may also be language limitations (English) for </w:t>
      </w:r>
      <w:r>
        <w:rPr>
          <w:rFonts w:ascii="Arial" w:eastAsia="Times New Roman" w:hAnsi="Arial" w:cs="Arial"/>
          <w:szCs w:val="24"/>
        </w:rPr>
        <w:t xml:space="preserve">the </w:t>
      </w:r>
      <w:r w:rsidRPr="00117ED8">
        <w:rPr>
          <w:rFonts w:ascii="Arial" w:eastAsia="Times New Roman" w:hAnsi="Arial" w:cs="Arial"/>
          <w:szCs w:val="24"/>
        </w:rPr>
        <w:t>evidence. Comparisons were challenging because of the differences in age range of the studies, differences in setting and definitions of access. Some evidence reference 16-25 meaning was relevant, but not necessarily limited to 18-25.</w:t>
      </w:r>
    </w:p>
    <w:p w14:paraId="16FAF0EA" w14:textId="2FE276A3" w:rsidR="00B87E75" w:rsidRPr="00117ED8" w:rsidRDefault="00117ED8" w:rsidP="00E620E7">
      <w:pPr>
        <w:pStyle w:val="Heading1"/>
        <w:rPr>
          <w:rFonts w:cs="Arial"/>
        </w:rPr>
      </w:pPr>
      <w:bookmarkStart w:id="7" w:name="_Toc233546002"/>
      <w:r>
        <w:rPr>
          <w:rFonts w:cs="Arial"/>
        </w:rPr>
        <w:t>7</w:t>
      </w:r>
      <w:r w:rsidR="00B87E75" w:rsidRPr="00117ED8">
        <w:rPr>
          <w:rFonts w:cs="Arial"/>
        </w:rPr>
        <w:t>.</w:t>
      </w:r>
      <w:r>
        <w:rPr>
          <w:rFonts w:cs="Arial"/>
        </w:rPr>
        <w:t>0</w:t>
      </w:r>
      <w:r w:rsidR="00B87E75" w:rsidRPr="00117ED8">
        <w:rPr>
          <w:rFonts w:cs="Arial"/>
        </w:rPr>
        <w:t xml:space="preserve"> Conclusion</w:t>
      </w:r>
      <w:r w:rsidR="00CD33A8" w:rsidRPr="00117ED8">
        <w:rPr>
          <w:rFonts w:cs="Arial"/>
        </w:rPr>
        <w:t xml:space="preserve"> and Recommendations</w:t>
      </w:r>
      <w:bookmarkEnd w:id="7"/>
    </w:p>
    <w:p w14:paraId="15361B2B" w14:textId="42DEBFF7" w:rsidR="00117ED8" w:rsidRPr="00117ED8" w:rsidRDefault="00117ED8" w:rsidP="00117ED8">
      <w:pPr>
        <w:spacing w:line="360" w:lineRule="auto"/>
        <w:jc w:val="both"/>
        <w:rPr>
          <w:rFonts w:ascii="Arial" w:eastAsia="Times New Roman" w:hAnsi="Arial" w:cs="Arial"/>
          <w:b/>
          <w:bCs/>
          <w:sz w:val="26"/>
          <w:szCs w:val="26"/>
        </w:rPr>
      </w:pPr>
      <w:r>
        <w:rPr>
          <w:rFonts w:ascii="Arial" w:eastAsia="Times New Roman" w:hAnsi="Arial" w:cs="Arial"/>
          <w:b/>
          <w:bCs/>
          <w:sz w:val="26"/>
          <w:szCs w:val="26"/>
        </w:rPr>
        <w:t>7.1 Conclusion</w:t>
      </w:r>
    </w:p>
    <w:p w14:paraId="57BCF119" w14:textId="469236EB"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This report outlines the problems young adults face accessing mental health services through formal health systems in the UK. The most significant barriers are stigma, low mental health literacy, lack of knowledge about the signs and manifestation</w:t>
      </w:r>
      <w:r>
        <w:rPr>
          <w:rFonts w:ascii="Arial" w:eastAsia="Times New Roman" w:hAnsi="Arial" w:cs="Arial"/>
          <w:szCs w:val="24"/>
        </w:rPr>
        <w:t>s</w:t>
      </w:r>
      <w:r w:rsidRPr="00117ED8">
        <w:rPr>
          <w:rFonts w:ascii="Arial" w:eastAsia="Times New Roman" w:hAnsi="Arial" w:cs="Arial"/>
          <w:szCs w:val="24"/>
        </w:rPr>
        <w:t xml:space="preserve"> of mental health problem(s) and long waiting periods, lack of clarity about referral procedures, concern about confidentiality of seeking help and inequity of access to help depending on social position. These barriers are NOT individual. All of these contribute to the difficulty in accessing services, delays in seek</w:t>
      </w:r>
      <w:r>
        <w:rPr>
          <w:rFonts w:ascii="Arial" w:eastAsia="Times New Roman" w:hAnsi="Arial" w:cs="Arial"/>
          <w:szCs w:val="24"/>
        </w:rPr>
        <w:t>ing</w:t>
      </w:r>
      <w:r w:rsidRPr="00117ED8">
        <w:rPr>
          <w:rFonts w:ascii="Arial" w:eastAsia="Times New Roman" w:hAnsi="Arial" w:cs="Arial"/>
          <w:szCs w:val="24"/>
        </w:rPr>
        <w:t xml:space="preserve"> services and increased risk of youth accessing services only when distress is high. Improving access thus needs both individual and systems-level interventions and strategies – stigma reduction and mental health education interventions</w:t>
      </w:r>
      <w:r>
        <w:rPr>
          <w:rFonts w:ascii="Arial" w:eastAsia="Times New Roman" w:hAnsi="Arial" w:cs="Arial"/>
          <w:szCs w:val="24"/>
        </w:rPr>
        <w:t>,</w:t>
      </w:r>
      <w:r w:rsidRPr="00117ED8">
        <w:rPr>
          <w:rFonts w:ascii="Arial" w:eastAsia="Times New Roman" w:hAnsi="Arial" w:cs="Arial"/>
          <w:szCs w:val="24"/>
        </w:rPr>
        <w:t xml:space="preserve"> and more responsive, joined-up and youth-focused services.</w:t>
      </w:r>
    </w:p>
    <w:p w14:paraId="067A39EE" w14:textId="6F9807AE"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7.2 Reco</w:t>
      </w:r>
      <w:r>
        <w:rPr>
          <w:rFonts w:ascii="Arial" w:eastAsia="Times New Roman" w:hAnsi="Arial" w:cs="Arial"/>
          <w:b/>
          <w:bCs/>
          <w:sz w:val="26"/>
          <w:szCs w:val="26"/>
        </w:rPr>
        <w:t>mmendations for future research</w:t>
      </w:r>
    </w:p>
    <w:p w14:paraId="1A0D1DE1" w14:textId="4133149E"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The research reported here should be replicated specifically with young adults (aged 18-25) from the United Kingdom. Significant disparities are needed with minoritised ethnic groups, low</w:t>
      </w:r>
      <w:r>
        <w:rPr>
          <w:rFonts w:ascii="Arial" w:eastAsia="Times New Roman" w:hAnsi="Arial" w:cs="Arial"/>
          <w:szCs w:val="24"/>
        </w:rPr>
        <w:t>-</w:t>
      </w:r>
      <w:r w:rsidRPr="00117ED8">
        <w:rPr>
          <w:rFonts w:ascii="Arial" w:eastAsia="Times New Roman" w:hAnsi="Arial" w:cs="Arial"/>
          <w:szCs w:val="24"/>
        </w:rPr>
        <w:t>income young adults, non-students, young men,</w:t>
      </w:r>
      <w:r>
        <w:rPr>
          <w:rFonts w:ascii="Arial" w:eastAsia="Times New Roman" w:hAnsi="Arial" w:cs="Arial"/>
          <w:szCs w:val="24"/>
        </w:rPr>
        <w:t xml:space="preserve"> </w:t>
      </w:r>
      <w:r w:rsidRPr="00117ED8">
        <w:rPr>
          <w:rFonts w:ascii="Arial" w:eastAsia="Times New Roman" w:hAnsi="Arial" w:cs="Arial"/>
          <w:szCs w:val="24"/>
        </w:rPr>
        <w:t>care</w:t>
      </w:r>
      <w:r>
        <w:rPr>
          <w:rFonts w:ascii="Arial" w:eastAsia="Times New Roman" w:hAnsi="Arial" w:cs="Arial"/>
          <w:szCs w:val="24"/>
        </w:rPr>
        <w:t>-</w:t>
      </w:r>
      <w:r w:rsidRPr="00117ED8">
        <w:rPr>
          <w:rFonts w:ascii="Arial" w:eastAsia="Times New Roman" w:hAnsi="Arial" w:cs="Arial"/>
          <w:szCs w:val="24"/>
        </w:rPr>
        <w:t>experienced and digital</w:t>
      </w:r>
      <w:r>
        <w:rPr>
          <w:rFonts w:ascii="Arial" w:eastAsia="Times New Roman" w:hAnsi="Arial" w:cs="Arial"/>
          <w:szCs w:val="24"/>
        </w:rPr>
        <w:t>ly</w:t>
      </w:r>
      <w:r w:rsidRPr="00117ED8">
        <w:rPr>
          <w:rFonts w:ascii="Arial" w:eastAsia="Times New Roman" w:hAnsi="Arial" w:cs="Arial"/>
          <w:szCs w:val="24"/>
        </w:rPr>
        <w:t xml:space="preserve"> excluded youth.</w:t>
      </w:r>
    </w:p>
    <w:p w14:paraId="043FFFFB" w14:textId="4C6AAD78" w:rsidR="00117ED8" w:rsidRPr="00117ED8" w:rsidRDefault="00117ED8" w:rsidP="00117ED8">
      <w:pPr>
        <w:spacing w:line="360" w:lineRule="auto"/>
        <w:jc w:val="both"/>
        <w:rPr>
          <w:rFonts w:ascii="Arial" w:eastAsia="Times New Roman" w:hAnsi="Arial" w:cs="Arial"/>
          <w:b/>
          <w:bCs/>
          <w:sz w:val="26"/>
          <w:szCs w:val="26"/>
        </w:rPr>
      </w:pPr>
      <w:r w:rsidRPr="00117ED8">
        <w:rPr>
          <w:rFonts w:ascii="Arial" w:eastAsia="Times New Roman" w:hAnsi="Arial" w:cs="Arial"/>
          <w:b/>
          <w:bCs/>
          <w:sz w:val="26"/>
          <w:szCs w:val="26"/>
        </w:rPr>
        <w:t>7.3 Recommen</w:t>
      </w:r>
      <w:r>
        <w:rPr>
          <w:rFonts w:ascii="Arial" w:eastAsia="Times New Roman" w:hAnsi="Arial" w:cs="Arial"/>
          <w:b/>
          <w:bCs/>
          <w:sz w:val="26"/>
          <w:szCs w:val="26"/>
        </w:rPr>
        <w:t>dations for policy and services</w:t>
      </w:r>
    </w:p>
    <w:p w14:paraId="18999130" w14:textId="323326C6" w:rsidR="00CD33A8" w:rsidRPr="00D33CDC" w:rsidRDefault="00117ED8" w:rsidP="00D33CDC">
      <w:pPr>
        <w:tabs>
          <w:tab w:val="left" w:pos="6540"/>
        </w:tabs>
        <w:spacing w:line="360" w:lineRule="auto"/>
        <w:rPr>
          <w:rFonts w:ascii="Arial" w:hAnsi="Arial" w:cs="Arial"/>
          <w:sz w:val="22"/>
        </w:rPr>
      </w:pPr>
      <w:r w:rsidRPr="00117ED8">
        <w:rPr>
          <w:rFonts w:ascii="Arial" w:eastAsia="Times New Roman" w:hAnsi="Arial" w:cs="Arial"/>
          <w:szCs w:val="24"/>
        </w:rPr>
        <w:t>Policy and services should focus on reducing wait times &amp; ensuring easy reference from GPs</w:t>
      </w:r>
      <w:r>
        <w:rPr>
          <w:rFonts w:ascii="Arial" w:eastAsia="Times New Roman" w:hAnsi="Arial" w:cs="Arial"/>
          <w:szCs w:val="24"/>
        </w:rPr>
        <w:t>,</w:t>
      </w:r>
      <w:r w:rsidRPr="00117ED8">
        <w:rPr>
          <w:rFonts w:ascii="Arial" w:eastAsia="Times New Roman" w:hAnsi="Arial" w:cs="Arial"/>
          <w:szCs w:val="24"/>
        </w:rPr>
        <w:t xml:space="preserve"> NHS Mental </w:t>
      </w:r>
      <w:r>
        <w:rPr>
          <w:rFonts w:ascii="Arial" w:eastAsia="Times New Roman" w:hAnsi="Arial" w:cs="Arial"/>
          <w:szCs w:val="24"/>
        </w:rPr>
        <w:t>H</w:t>
      </w:r>
      <w:r w:rsidRPr="00117ED8">
        <w:rPr>
          <w:rFonts w:ascii="Arial" w:eastAsia="Times New Roman" w:hAnsi="Arial" w:cs="Arial"/>
          <w:szCs w:val="24"/>
        </w:rPr>
        <w:t xml:space="preserve">ealth teams, Community &amp; University support. Services should be appropriately cultural, flexible and more readily available </w:t>
      </w:r>
      <w:r>
        <w:rPr>
          <w:rFonts w:ascii="Arial" w:eastAsia="Times New Roman" w:hAnsi="Arial" w:cs="Arial"/>
          <w:szCs w:val="24"/>
        </w:rPr>
        <w:t>before</w:t>
      </w:r>
      <w:r w:rsidRPr="00117ED8">
        <w:rPr>
          <w:rFonts w:ascii="Arial" w:eastAsia="Times New Roman" w:hAnsi="Arial" w:cs="Arial"/>
          <w:szCs w:val="24"/>
        </w:rPr>
        <w:t xml:space="preserve"> </w:t>
      </w:r>
      <w:r>
        <w:rPr>
          <w:rFonts w:ascii="Arial" w:eastAsia="Times New Roman" w:hAnsi="Arial" w:cs="Arial"/>
          <w:szCs w:val="24"/>
        </w:rPr>
        <w:t xml:space="preserve">a </w:t>
      </w:r>
      <w:r w:rsidRPr="00117ED8">
        <w:rPr>
          <w:rFonts w:ascii="Arial" w:eastAsia="Times New Roman" w:hAnsi="Arial" w:cs="Arial"/>
          <w:szCs w:val="24"/>
        </w:rPr>
        <w:t>crisis.</w:t>
      </w:r>
      <w:r w:rsidR="00CD33A8" w:rsidRPr="00117ED8">
        <w:rPr>
          <w:rFonts w:ascii="Arial" w:hAnsi="Arial" w:cs="Arial"/>
        </w:rPr>
        <w:br w:type="page"/>
      </w:r>
    </w:p>
    <w:p w14:paraId="33F8F0BD" w14:textId="3687B171" w:rsidR="00B87E75" w:rsidRPr="00117ED8" w:rsidRDefault="00B87E75" w:rsidP="00E620E7">
      <w:pPr>
        <w:pStyle w:val="Heading1"/>
        <w:rPr>
          <w:rFonts w:cs="Arial"/>
        </w:rPr>
      </w:pPr>
      <w:bookmarkStart w:id="8" w:name="_Toc233546003"/>
      <w:r w:rsidRPr="00117ED8">
        <w:rPr>
          <w:rFonts w:cs="Arial"/>
        </w:rPr>
        <w:lastRenderedPageBreak/>
        <w:t>References</w:t>
      </w:r>
      <w:bookmarkEnd w:id="8"/>
    </w:p>
    <w:p w14:paraId="1083D486"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Appleton, R., Loew, J. and Mughal, F., 2022. Young people who have fallen through the mental health transition gap: a qualitative study on primary care support. </w:t>
      </w:r>
      <w:r w:rsidRPr="00117ED8">
        <w:rPr>
          <w:rFonts w:ascii="Arial" w:hAnsi="Arial" w:cs="Arial"/>
          <w:i/>
          <w:iCs/>
          <w:color w:val="222222"/>
          <w:szCs w:val="24"/>
          <w:highlight w:val="white"/>
        </w:rPr>
        <w:t>The British Journal of General Practice</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72</w:t>
      </w:r>
      <w:r w:rsidRPr="00117ED8">
        <w:rPr>
          <w:rFonts w:ascii="Arial" w:hAnsi="Arial" w:cs="Arial"/>
          <w:color w:val="222222"/>
          <w:szCs w:val="24"/>
          <w:highlight w:val="white"/>
        </w:rPr>
        <w:t>(719), p.e413.</w:t>
      </w:r>
      <w:r w:rsidRPr="00117ED8">
        <w:rPr>
          <w:rFonts w:ascii="Arial" w:eastAsia="Times New Roman" w:hAnsi="Arial" w:cs="Arial"/>
          <w:szCs w:val="24"/>
        </w:rPr>
        <w:t xml:space="preserve"> Available at: </w:t>
      </w:r>
      <w:hyperlink r:id="rId12">
        <w:r w:rsidRPr="00117ED8">
          <w:rPr>
            <w:rFonts w:ascii="Arial" w:eastAsia="Times New Roman" w:hAnsi="Arial" w:cs="Arial"/>
            <w:color w:val="1155CC"/>
            <w:szCs w:val="24"/>
            <w:u w:val="single"/>
          </w:rPr>
          <w:t>https://bjgp.org/content/bjgp/early/2022/05/03/BJGP.2021.0678.full.pdf?versioned=true</w:t>
        </w:r>
      </w:hyperlink>
      <w:r w:rsidRPr="00117ED8">
        <w:rPr>
          <w:rFonts w:ascii="Arial" w:eastAsia="Times New Roman" w:hAnsi="Arial" w:cs="Arial"/>
          <w:szCs w:val="24"/>
        </w:rPr>
        <w:t xml:space="preserve"> (Accessed: 28 June 2026).</w:t>
      </w:r>
    </w:p>
    <w:p w14:paraId="2C7CD54C"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Campbell, F., Tricco, A.C., Munn, Z., Pollock, D., Saran, A., Sutton, A., White, H. and Khalil, H., 2023. Mapping reviews, scoping reviews, and evidence and gap maps (EGMs): the same but different—the “Big Picture” review family. </w:t>
      </w:r>
      <w:r w:rsidRPr="00117ED8">
        <w:rPr>
          <w:rFonts w:ascii="Arial" w:hAnsi="Arial" w:cs="Arial"/>
          <w:i/>
          <w:iCs/>
          <w:color w:val="222222"/>
          <w:szCs w:val="24"/>
          <w:highlight w:val="white"/>
        </w:rPr>
        <w:t>Systematic reviews</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12</w:t>
      </w:r>
      <w:r w:rsidRPr="00117ED8">
        <w:rPr>
          <w:rFonts w:ascii="Arial" w:hAnsi="Arial" w:cs="Arial"/>
          <w:color w:val="222222"/>
          <w:szCs w:val="24"/>
          <w:highlight w:val="white"/>
        </w:rPr>
        <w:t>(1), p.45.</w:t>
      </w:r>
      <w:r w:rsidRPr="00117ED8">
        <w:rPr>
          <w:rFonts w:ascii="Arial" w:eastAsia="Times New Roman" w:hAnsi="Arial" w:cs="Arial"/>
          <w:szCs w:val="24"/>
        </w:rPr>
        <w:t xml:space="preserve">  Available at: </w:t>
      </w:r>
      <w:hyperlink r:id="rId13">
        <w:r w:rsidRPr="00117ED8">
          <w:rPr>
            <w:rFonts w:ascii="Arial" w:eastAsia="Times New Roman" w:hAnsi="Arial" w:cs="Arial"/>
            <w:color w:val="1155CC"/>
            <w:szCs w:val="24"/>
            <w:u w:val="single"/>
          </w:rPr>
          <w:t>https://link.springer.com/article/10.1186/s13643-023-02178-5</w:t>
        </w:r>
      </w:hyperlink>
      <w:r w:rsidRPr="00117ED8">
        <w:rPr>
          <w:rFonts w:ascii="Arial" w:eastAsia="Times New Roman" w:hAnsi="Arial" w:cs="Arial"/>
          <w:szCs w:val="24"/>
        </w:rPr>
        <w:t xml:space="preserve"> (Accessed: 28 June 2026).</w:t>
      </w:r>
    </w:p>
    <w:p w14:paraId="4C0F9C6D"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Holding, E., Crowder, M., Woodrow, N., Griffin, N., Knights, N., Goyder, E., McKeown, R. and Fairbrother, H., 2022. Exploring young people's perspectives on mental health support: A qualitative study across three geographical areas in England, UK. </w:t>
      </w:r>
      <w:r w:rsidRPr="00117ED8">
        <w:rPr>
          <w:rFonts w:ascii="Arial" w:hAnsi="Arial" w:cs="Arial"/>
          <w:i/>
          <w:iCs/>
          <w:color w:val="222222"/>
          <w:szCs w:val="24"/>
          <w:highlight w:val="white"/>
        </w:rPr>
        <w:t>Health &amp; Social Care in the Community</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30</w:t>
      </w:r>
      <w:r w:rsidRPr="00117ED8">
        <w:rPr>
          <w:rFonts w:ascii="Arial" w:hAnsi="Arial" w:cs="Arial"/>
          <w:color w:val="222222"/>
          <w:szCs w:val="24"/>
          <w:highlight w:val="white"/>
        </w:rPr>
        <w:t>(6), pp.e6366-e6375.</w:t>
      </w:r>
      <w:r w:rsidRPr="00117ED8">
        <w:rPr>
          <w:rFonts w:ascii="Arial" w:eastAsia="Times New Roman" w:hAnsi="Arial" w:cs="Arial"/>
          <w:szCs w:val="24"/>
        </w:rPr>
        <w:t xml:space="preserve"> Available at: </w:t>
      </w:r>
      <w:hyperlink r:id="rId14">
        <w:r w:rsidRPr="00117ED8">
          <w:rPr>
            <w:rFonts w:ascii="Arial" w:eastAsia="Times New Roman" w:hAnsi="Arial" w:cs="Arial"/>
            <w:color w:val="1155CC"/>
            <w:szCs w:val="24"/>
            <w:u w:val="single"/>
          </w:rPr>
          <w:t>https://onlinelibrary.wiley.com/doi/full/10.1111/hsc.14078</w:t>
        </w:r>
      </w:hyperlink>
      <w:r w:rsidRPr="00117ED8">
        <w:rPr>
          <w:rFonts w:ascii="Arial" w:eastAsia="Times New Roman" w:hAnsi="Arial" w:cs="Arial"/>
          <w:szCs w:val="24"/>
        </w:rPr>
        <w:t xml:space="preserve">  (Accessed: 28 June 2026).</w:t>
      </w:r>
    </w:p>
    <w:p w14:paraId="0DF0D6F2"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Khalil, H., Campbell, F., Danial, K., Pollock, D., Munn, Z., Welsh, V., Saran, A., Hoppe, D. and Tricco, A.C., 2024. Advancing the methodology of mapping reviews: A scoping review. </w:t>
      </w:r>
      <w:r w:rsidRPr="00117ED8">
        <w:rPr>
          <w:rFonts w:ascii="Arial" w:hAnsi="Arial" w:cs="Arial"/>
          <w:i/>
          <w:iCs/>
          <w:color w:val="222222"/>
          <w:szCs w:val="24"/>
          <w:highlight w:val="white"/>
        </w:rPr>
        <w:t>Research synthesis methods</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15</w:t>
      </w:r>
      <w:r w:rsidRPr="00117ED8">
        <w:rPr>
          <w:rFonts w:ascii="Arial" w:hAnsi="Arial" w:cs="Arial"/>
          <w:color w:val="222222"/>
          <w:szCs w:val="24"/>
          <w:highlight w:val="white"/>
        </w:rPr>
        <w:t>(3), pp.384-397.</w:t>
      </w:r>
      <w:r w:rsidRPr="00117ED8">
        <w:rPr>
          <w:rFonts w:ascii="Arial" w:eastAsia="Times New Roman" w:hAnsi="Arial" w:cs="Arial"/>
          <w:szCs w:val="24"/>
        </w:rPr>
        <w:t xml:space="preserve">  Available at: </w:t>
      </w:r>
      <w:hyperlink r:id="rId15">
        <w:r w:rsidRPr="00117ED8">
          <w:rPr>
            <w:rFonts w:ascii="Arial" w:eastAsia="Times New Roman" w:hAnsi="Arial" w:cs="Arial"/>
            <w:color w:val="1155CC"/>
            <w:szCs w:val="24"/>
            <w:u w:val="single"/>
          </w:rPr>
          <w:t>https://onlinelibrary.wiley.com/doi/abs/10.1002/jrsm.1694</w:t>
        </w:r>
      </w:hyperlink>
      <w:r w:rsidRPr="00117ED8">
        <w:rPr>
          <w:rFonts w:ascii="Arial" w:eastAsia="Times New Roman" w:hAnsi="Arial" w:cs="Arial"/>
          <w:szCs w:val="24"/>
        </w:rPr>
        <w:t xml:space="preserve"> (Accessed: 28 June 2026).</w:t>
      </w:r>
    </w:p>
    <w:p w14:paraId="6B72B11E"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Laurijssen, S.J., van der Graaf, R., van Dijk, W.B., Schuit, E., Groenwold, R.H., Grobbee, D.E. and de Vries, M.C., 2022. When is it impractical to ask informed consent? A systematic review. </w:t>
      </w:r>
      <w:r w:rsidRPr="00117ED8">
        <w:rPr>
          <w:rFonts w:ascii="Arial" w:hAnsi="Arial" w:cs="Arial"/>
          <w:i/>
          <w:iCs/>
          <w:color w:val="222222"/>
          <w:szCs w:val="24"/>
          <w:highlight w:val="white"/>
        </w:rPr>
        <w:t>Clinical Trials</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19</w:t>
      </w:r>
      <w:r w:rsidRPr="00117ED8">
        <w:rPr>
          <w:rFonts w:ascii="Arial" w:hAnsi="Arial" w:cs="Arial"/>
          <w:color w:val="222222"/>
          <w:szCs w:val="24"/>
          <w:highlight w:val="white"/>
        </w:rPr>
        <w:t>(5), pp.545-560.</w:t>
      </w:r>
      <w:r w:rsidRPr="00117ED8">
        <w:rPr>
          <w:rFonts w:ascii="Arial" w:eastAsia="Times New Roman" w:hAnsi="Arial" w:cs="Arial"/>
          <w:szCs w:val="24"/>
        </w:rPr>
        <w:t xml:space="preserve">  Available at: </w:t>
      </w:r>
      <w:hyperlink r:id="rId16">
        <w:r w:rsidRPr="00117ED8">
          <w:rPr>
            <w:rFonts w:ascii="Arial" w:eastAsia="Times New Roman" w:hAnsi="Arial" w:cs="Arial"/>
            <w:color w:val="1155CC"/>
            <w:szCs w:val="24"/>
            <w:u w:val="single"/>
          </w:rPr>
          <w:t>https://journals.sagepub.com/doi/abs/10.1177/17407745221103567</w:t>
        </w:r>
      </w:hyperlink>
      <w:r w:rsidRPr="00117ED8">
        <w:rPr>
          <w:rFonts w:ascii="Arial" w:eastAsia="Times New Roman" w:hAnsi="Arial" w:cs="Arial"/>
          <w:szCs w:val="24"/>
        </w:rPr>
        <w:t xml:space="preserve"> (Accessed: 28 June 2026).</w:t>
      </w:r>
    </w:p>
    <w:p w14:paraId="2A01B660"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Lewis, J., Weich, S., O’Keeffe, C., Stone, T., Hulin, J., Bell, N., Doyle, M., Lucock, M. and Mason, S., 2023. Use of urgent, emergency and acute care by mental health service users: A record-level cohort study. </w:t>
      </w:r>
      <w:r w:rsidRPr="00117ED8">
        <w:rPr>
          <w:rFonts w:ascii="Arial" w:hAnsi="Arial" w:cs="Arial"/>
          <w:i/>
          <w:iCs/>
          <w:color w:val="222222"/>
          <w:szCs w:val="24"/>
          <w:highlight w:val="white"/>
        </w:rPr>
        <w:t>Plos one</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18</w:t>
      </w:r>
      <w:r w:rsidRPr="00117ED8">
        <w:rPr>
          <w:rFonts w:ascii="Arial" w:hAnsi="Arial" w:cs="Arial"/>
          <w:color w:val="222222"/>
          <w:szCs w:val="24"/>
          <w:highlight w:val="white"/>
        </w:rPr>
        <w:t>(2), p.e0281667.</w:t>
      </w:r>
      <w:r w:rsidRPr="00117ED8">
        <w:rPr>
          <w:rFonts w:ascii="Arial" w:eastAsia="Times New Roman" w:hAnsi="Arial" w:cs="Arial"/>
          <w:szCs w:val="24"/>
        </w:rPr>
        <w:t xml:space="preserve">  Available at: </w:t>
      </w:r>
      <w:hyperlink r:id="rId17">
        <w:r w:rsidRPr="00117ED8">
          <w:rPr>
            <w:rFonts w:ascii="Arial" w:eastAsia="Times New Roman" w:hAnsi="Arial" w:cs="Arial"/>
            <w:color w:val="1155CC"/>
            <w:szCs w:val="24"/>
            <w:u w:val="single"/>
          </w:rPr>
          <w:t>https://journals.plos.org/plosone/article?id=10.1371/journal.pone.0281667</w:t>
        </w:r>
      </w:hyperlink>
      <w:r w:rsidRPr="00117ED8">
        <w:rPr>
          <w:rFonts w:ascii="Arial" w:eastAsia="Times New Roman" w:hAnsi="Arial" w:cs="Arial"/>
          <w:szCs w:val="24"/>
        </w:rPr>
        <w:t xml:space="preserve">  (Accessed: 28 June 2026).</w:t>
      </w:r>
    </w:p>
    <w:p w14:paraId="1EBE38B3"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lastRenderedPageBreak/>
        <w:t xml:space="preserve">MacFarlane, A., Russell-Rose, T. and Shokraneh, F., 2022. Search strategy formulation for systematic reviews: Issues, challenges and opportunities. </w:t>
      </w:r>
      <w:r w:rsidRPr="00117ED8">
        <w:rPr>
          <w:rFonts w:ascii="Arial" w:hAnsi="Arial" w:cs="Arial"/>
          <w:i/>
          <w:iCs/>
          <w:color w:val="222222"/>
          <w:szCs w:val="24"/>
          <w:highlight w:val="white"/>
        </w:rPr>
        <w:t>Intelligent Systems with Applications</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15</w:t>
      </w:r>
      <w:r w:rsidRPr="00117ED8">
        <w:rPr>
          <w:rFonts w:ascii="Arial" w:hAnsi="Arial" w:cs="Arial"/>
          <w:color w:val="222222"/>
          <w:szCs w:val="24"/>
          <w:highlight w:val="white"/>
        </w:rPr>
        <w:t>, p.200091.</w:t>
      </w:r>
      <w:r w:rsidRPr="00117ED8">
        <w:rPr>
          <w:rFonts w:ascii="Arial" w:eastAsia="Times New Roman" w:hAnsi="Arial" w:cs="Arial"/>
          <w:szCs w:val="24"/>
        </w:rPr>
        <w:t xml:space="preserve">  Available at: </w:t>
      </w:r>
      <w:hyperlink r:id="rId18">
        <w:r w:rsidRPr="00117ED8">
          <w:rPr>
            <w:rFonts w:ascii="Arial" w:eastAsia="Times New Roman" w:hAnsi="Arial" w:cs="Arial"/>
            <w:color w:val="1155CC"/>
            <w:szCs w:val="24"/>
            <w:u w:val="single"/>
          </w:rPr>
          <w:t>https://www.sciencedirect.com/science/article/pii/S266730532200031X</w:t>
        </w:r>
      </w:hyperlink>
      <w:r w:rsidRPr="00117ED8">
        <w:rPr>
          <w:rFonts w:ascii="Arial" w:eastAsia="Times New Roman" w:hAnsi="Arial" w:cs="Arial"/>
          <w:szCs w:val="24"/>
        </w:rPr>
        <w:t xml:space="preserve"> (Accessed: 28 June 2026).</w:t>
      </w:r>
    </w:p>
    <w:p w14:paraId="0291EADF"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NHS (2025) </w:t>
      </w:r>
      <w:r w:rsidRPr="00117ED8">
        <w:rPr>
          <w:rFonts w:ascii="Arial" w:eastAsia="Times New Roman" w:hAnsi="Arial" w:cs="Arial"/>
          <w:i/>
          <w:iCs/>
          <w:szCs w:val="24"/>
        </w:rPr>
        <w:t>NHS talking therapies, for anxiety and depression, annual reports, 2024-25 - NHS england digital</w:t>
      </w:r>
      <w:r w:rsidRPr="00117ED8">
        <w:rPr>
          <w:rFonts w:ascii="Arial" w:eastAsia="Times New Roman" w:hAnsi="Arial" w:cs="Arial"/>
          <w:szCs w:val="24"/>
        </w:rPr>
        <w:t xml:space="preserve">, </w:t>
      </w:r>
      <w:r w:rsidRPr="00117ED8">
        <w:rPr>
          <w:rFonts w:ascii="Arial" w:eastAsia="Times New Roman" w:hAnsi="Arial" w:cs="Arial"/>
          <w:i/>
          <w:iCs/>
          <w:szCs w:val="24"/>
        </w:rPr>
        <w:t>NHS</w:t>
      </w:r>
      <w:r w:rsidRPr="00117ED8">
        <w:rPr>
          <w:rFonts w:ascii="Arial" w:eastAsia="Times New Roman" w:hAnsi="Arial" w:cs="Arial"/>
          <w:szCs w:val="24"/>
        </w:rPr>
        <w:t>. Available at: https://digital.nhs.uk/data-and-information/publications/statistical/nhs-talking-therapies-for-anxiety-and-depression-annual-reports/2024-25 (Accessed: 28 June 2026).</w:t>
      </w:r>
    </w:p>
    <w:p w14:paraId="32EC1733"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NHS (2026) </w:t>
      </w:r>
      <w:r w:rsidRPr="00117ED8">
        <w:rPr>
          <w:rFonts w:ascii="Arial" w:eastAsia="Times New Roman" w:hAnsi="Arial" w:cs="Arial"/>
          <w:i/>
          <w:iCs/>
          <w:szCs w:val="24"/>
        </w:rPr>
        <w:t>Chapter 1: Common mental health conditions - NHS england digital</w:t>
      </w:r>
      <w:r w:rsidRPr="00117ED8">
        <w:rPr>
          <w:rFonts w:ascii="Arial" w:eastAsia="Times New Roman" w:hAnsi="Arial" w:cs="Arial"/>
          <w:szCs w:val="24"/>
        </w:rPr>
        <w:t xml:space="preserve">, </w:t>
      </w:r>
      <w:r w:rsidRPr="00117ED8">
        <w:rPr>
          <w:rFonts w:ascii="Arial" w:eastAsia="Times New Roman" w:hAnsi="Arial" w:cs="Arial"/>
          <w:i/>
          <w:iCs/>
          <w:szCs w:val="24"/>
        </w:rPr>
        <w:t>NHS</w:t>
      </w:r>
      <w:r w:rsidRPr="00117ED8">
        <w:rPr>
          <w:rFonts w:ascii="Arial" w:eastAsia="Times New Roman" w:hAnsi="Arial" w:cs="Arial"/>
          <w:szCs w:val="24"/>
        </w:rPr>
        <w:t>. Available at: https://digital.nhs.uk/data-and-information/publications/statistical/adult-psychiatric-morbidity-survey/survey-of-mental-health-and-wellbeing-england-2023-24/common-mental-health-conditions (Accessed: 28 June 2026).</w:t>
      </w:r>
    </w:p>
    <w:p w14:paraId="2642BD1F" w14:textId="77777777" w:rsidR="00117ED8" w:rsidRPr="00117ED8" w:rsidRDefault="00117ED8" w:rsidP="00117ED8">
      <w:pPr>
        <w:spacing w:line="360" w:lineRule="auto"/>
        <w:jc w:val="both"/>
        <w:rPr>
          <w:rFonts w:ascii="Arial" w:eastAsia="Times New Roman" w:hAnsi="Arial" w:cs="Arial"/>
          <w:szCs w:val="24"/>
        </w:rPr>
      </w:pPr>
      <w:r w:rsidRPr="00117ED8">
        <w:rPr>
          <w:rFonts w:ascii="Arial" w:eastAsia="Times New Roman" w:hAnsi="Arial" w:cs="Arial"/>
          <w:szCs w:val="24"/>
        </w:rPr>
        <w:t xml:space="preserve">NHS Digital (2023) </w:t>
      </w:r>
      <w:r w:rsidRPr="00117ED8">
        <w:rPr>
          <w:rFonts w:ascii="Arial" w:eastAsia="Times New Roman" w:hAnsi="Arial" w:cs="Arial"/>
          <w:i/>
          <w:iCs/>
          <w:szCs w:val="24"/>
        </w:rPr>
        <w:t>Mental Health of children and young people in England, 2023 - wave 4 follow up to the 2017 Survey - NHS England Digital</w:t>
      </w:r>
      <w:r w:rsidRPr="00117ED8">
        <w:rPr>
          <w:rFonts w:ascii="Arial" w:eastAsia="Times New Roman" w:hAnsi="Arial" w:cs="Arial"/>
          <w:szCs w:val="24"/>
        </w:rPr>
        <w:t xml:space="preserve">, </w:t>
      </w:r>
      <w:r w:rsidRPr="00117ED8">
        <w:rPr>
          <w:rFonts w:ascii="Arial" w:eastAsia="Times New Roman" w:hAnsi="Arial" w:cs="Arial"/>
          <w:i/>
          <w:iCs/>
          <w:szCs w:val="24"/>
        </w:rPr>
        <w:t>NHS</w:t>
      </w:r>
      <w:r w:rsidRPr="00117ED8">
        <w:rPr>
          <w:rFonts w:ascii="Arial" w:eastAsia="Times New Roman" w:hAnsi="Arial" w:cs="Arial"/>
          <w:szCs w:val="24"/>
        </w:rPr>
        <w:t>. Available at: https://digital.nhs.uk/data-and-information/publications/statistical/mental-health-of-children-and-young-people-in-england/2023-wave-4-follow-up (Accessed: 28 June 2026).</w:t>
      </w:r>
    </w:p>
    <w:p w14:paraId="695E2494" w14:textId="77777777" w:rsid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Oha, J.T., Bridge, G., Flood, C., Jenkins, C.L., Taylor-Page, C., Sykes, S., Wills, J., York, W., Callaghan, P. and Reavey, P., 2025. Gaps and opportunities in mental health support for young people: a process evaluation of a multi component intervention. </w:t>
      </w:r>
      <w:r w:rsidRPr="00117ED8">
        <w:rPr>
          <w:rFonts w:ascii="Arial" w:hAnsi="Arial" w:cs="Arial"/>
          <w:i/>
          <w:iCs/>
          <w:color w:val="222222"/>
          <w:szCs w:val="24"/>
          <w:highlight w:val="white"/>
        </w:rPr>
        <w:t>Frontiers in Public Health</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13</w:t>
      </w:r>
      <w:r w:rsidRPr="00117ED8">
        <w:rPr>
          <w:rFonts w:ascii="Arial" w:hAnsi="Arial" w:cs="Arial"/>
          <w:color w:val="222222"/>
          <w:szCs w:val="24"/>
          <w:highlight w:val="white"/>
        </w:rPr>
        <w:t>, p.1684562.</w:t>
      </w:r>
      <w:r w:rsidRPr="00117ED8">
        <w:rPr>
          <w:rFonts w:ascii="Arial" w:eastAsia="Times New Roman" w:hAnsi="Arial" w:cs="Arial"/>
          <w:szCs w:val="24"/>
        </w:rPr>
        <w:t xml:space="preserve">   Available at: </w:t>
      </w:r>
      <w:hyperlink r:id="rId19">
        <w:r w:rsidRPr="00117ED8">
          <w:rPr>
            <w:rFonts w:ascii="Arial" w:eastAsia="Times New Roman" w:hAnsi="Arial" w:cs="Arial"/>
            <w:color w:val="1155CC"/>
            <w:szCs w:val="24"/>
            <w:u w:val="single"/>
          </w:rPr>
          <w:t>https://doi.org/10.3389/fpubh.2025.1684562</w:t>
        </w:r>
      </w:hyperlink>
      <w:r w:rsidRPr="00117ED8">
        <w:rPr>
          <w:rFonts w:ascii="Arial" w:eastAsia="Times New Roman" w:hAnsi="Arial" w:cs="Arial"/>
          <w:szCs w:val="24"/>
        </w:rPr>
        <w:t xml:space="preserve">  (Accessed: 28 June 2026).</w:t>
      </w:r>
    </w:p>
    <w:p w14:paraId="2C6DC066" w14:textId="77777777" w:rsidR="00EE3810" w:rsidRPr="00EE3810" w:rsidRDefault="00EE3810" w:rsidP="00EE3810">
      <w:pPr>
        <w:spacing w:line="360" w:lineRule="auto"/>
        <w:jc w:val="both"/>
        <w:rPr>
          <w:rFonts w:ascii="Arial" w:eastAsia="Arial" w:hAnsi="Arial" w:cs="Arial"/>
        </w:rPr>
      </w:pPr>
      <w:r w:rsidRPr="00EE3810">
        <w:rPr>
          <w:rFonts w:ascii="Arial" w:eastAsia="Arial" w:hAnsi="Arial" w:cs="Arial"/>
          <w:color w:val="222222"/>
        </w:rPr>
        <w:t xml:space="preserve">Osborn, T.G., Town, R., Bawendi, M., Stapley, E., Saunders, R. and Fonagy, P., 2024. University students’ access to mental health services: A qualitative study of the experiences of health service professionals through the lens of candidacy in England. </w:t>
      </w:r>
      <w:r w:rsidRPr="00EE3810">
        <w:rPr>
          <w:rFonts w:ascii="Arial" w:eastAsia="Arial" w:hAnsi="Arial" w:cs="Arial"/>
          <w:i/>
          <w:iCs/>
          <w:color w:val="222222"/>
        </w:rPr>
        <w:t>Journal of Health Services Research &amp; Policy</w:t>
      </w:r>
      <w:r w:rsidRPr="00EE3810">
        <w:rPr>
          <w:rFonts w:ascii="Arial" w:eastAsia="Arial" w:hAnsi="Arial" w:cs="Arial"/>
          <w:color w:val="222222"/>
        </w:rPr>
        <w:t xml:space="preserve">, </w:t>
      </w:r>
      <w:r w:rsidRPr="00EE3810">
        <w:rPr>
          <w:rFonts w:ascii="Arial" w:eastAsia="Arial" w:hAnsi="Arial" w:cs="Arial"/>
          <w:i/>
          <w:iCs/>
          <w:color w:val="222222"/>
        </w:rPr>
        <w:t>29</w:t>
      </w:r>
      <w:r w:rsidRPr="00EE3810">
        <w:rPr>
          <w:rFonts w:ascii="Arial" w:eastAsia="Arial" w:hAnsi="Arial" w:cs="Arial"/>
          <w:color w:val="222222"/>
        </w:rPr>
        <w:t>(4), pp.230-239.</w:t>
      </w:r>
      <w:r w:rsidRPr="00EE3810">
        <w:rPr>
          <w:rFonts w:ascii="Arial" w:eastAsia="Arial" w:hAnsi="Arial" w:cs="Arial"/>
        </w:rPr>
        <w:t xml:space="preserve"> Available at: </w:t>
      </w:r>
      <w:hyperlink r:id="rId20">
        <w:r w:rsidRPr="00EE3810">
          <w:rPr>
            <w:rFonts w:ascii="Arial" w:eastAsia="Arial" w:hAnsi="Arial" w:cs="Arial"/>
            <w:color w:val="1155CC"/>
            <w:u w:val="single"/>
          </w:rPr>
          <w:t>https://journals.sagepub.com/doi/full/10.1177/13558196241235877</w:t>
        </w:r>
      </w:hyperlink>
      <w:r w:rsidRPr="00EE3810">
        <w:rPr>
          <w:rFonts w:ascii="Arial" w:eastAsia="Arial" w:hAnsi="Arial" w:cs="Arial"/>
        </w:rPr>
        <w:t xml:space="preserve"> (Accessed: 11 August 2026).</w:t>
      </w:r>
    </w:p>
    <w:p w14:paraId="74A04973" w14:textId="77777777" w:rsidR="003F2BBA" w:rsidRPr="00117ED8" w:rsidRDefault="003F2BBA" w:rsidP="00117ED8">
      <w:pPr>
        <w:spacing w:line="360" w:lineRule="auto"/>
        <w:jc w:val="both"/>
        <w:rPr>
          <w:rFonts w:ascii="Arial" w:eastAsia="Times New Roman" w:hAnsi="Arial" w:cs="Arial"/>
          <w:szCs w:val="24"/>
        </w:rPr>
      </w:pPr>
    </w:p>
    <w:p w14:paraId="42D5CA6D"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lastRenderedPageBreak/>
        <w:t>Phillips, A.R., Hiller, R.M., Halligan, S.L., Lavi, I., Macleod, J.A. and Wilkins, D., 2024. A qualitative investigation into care</w:t>
      </w:r>
      <w:r w:rsidRPr="00117ED8">
        <w:rPr>
          <w:rFonts w:ascii="Cambria Math" w:hAnsi="Cambria Math" w:cs="Cambria Math"/>
          <w:color w:val="222222"/>
          <w:szCs w:val="24"/>
          <w:highlight w:val="white"/>
        </w:rPr>
        <w:t>‐</w:t>
      </w:r>
      <w:r w:rsidRPr="00117ED8">
        <w:rPr>
          <w:rFonts w:ascii="Arial" w:hAnsi="Arial" w:cs="Arial"/>
          <w:color w:val="222222"/>
          <w:szCs w:val="24"/>
          <w:highlight w:val="white"/>
        </w:rPr>
        <w:t xml:space="preserve">leavers' experiences of accessing mental health support. </w:t>
      </w:r>
      <w:r w:rsidRPr="00117ED8">
        <w:rPr>
          <w:rFonts w:ascii="Arial" w:hAnsi="Arial" w:cs="Arial"/>
          <w:i/>
          <w:iCs/>
          <w:color w:val="222222"/>
          <w:szCs w:val="24"/>
          <w:highlight w:val="white"/>
        </w:rPr>
        <w:t>Psychology and Psychotherapy: Theory, Research and Practice</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97</w:t>
      </w:r>
      <w:r w:rsidRPr="00117ED8">
        <w:rPr>
          <w:rFonts w:ascii="Arial" w:hAnsi="Arial" w:cs="Arial"/>
          <w:color w:val="222222"/>
          <w:szCs w:val="24"/>
          <w:highlight w:val="white"/>
        </w:rPr>
        <w:t>(3), pp.439-455.</w:t>
      </w:r>
      <w:r w:rsidRPr="00117ED8">
        <w:rPr>
          <w:rFonts w:ascii="Arial" w:eastAsia="Times New Roman" w:hAnsi="Arial" w:cs="Arial"/>
          <w:szCs w:val="24"/>
        </w:rPr>
        <w:t xml:space="preserve">  Available at: </w:t>
      </w:r>
      <w:hyperlink r:id="rId21">
        <w:r w:rsidRPr="00117ED8">
          <w:rPr>
            <w:rFonts w:ascii="Arial" w:eastAsia="Times New Roman" w:hAnsi="Arial" w:cs="Arial"/>
            <w:color w:val="1155CC"/>
            <w:szCs w:val="24"/>
            <w:u w:val="single"/>
          </w:rPr>
          <w:t>https://doi.org/10.1111/papt.12525</w:t>
        </w:r>
      </w:hyperlink>
      <w:r w:rsidRPr="00117ED8">
        <w:rPr>
          <w:rFonts w:ascii="Arial" w:eastAsia="Times New Roman" w:hAnsi="Arial" w:cs="Arial"/>
          <w:szCs w:val="24"/>
        </w:rPr>
        <w:t xml:space="preserve"> (Accessed: 28 June 2026).</w:t>
      </w:r>
    </w:p>
    <w:p w14:paraId="1EC39A95"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Proudfoot, K., 2023. Inductive/deductive hybrid thematic analysis in mixed methods research. </w:t>
      </w:r>
      <w:r w:rsidRPr="00117ED8">
        <w:rPr>
          <w:rFonts w:ascii="Arial" w:hAnsi="Arial" w:cs="Arial"/>
          <w:i/>
          <w:iCs/>
          <w:color w:val="222222"/>
          <w:szCs w:val="24"/>
          <w:highlight w:val="white"/>
        </w:rPr>
        <w:t>Journal of mixed methods research</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17</w:t>
      </w:r>
      <w:r w:rsidRPr="00117ED8">
        <w:rPr>
          <w:rFonts w:ascii="Arial" w:hAnsi="Arial" w:cs="Arial"/>
          <w:color w:val="222222"/>
          <w:szCs w:val="24"/>
          <w:highlight w:val="white"/>
        </w:rPr>
        <w:t>(3), pp.308-326.</w:t>
      </w:r>
      <w:r w:rsidRPr="00117ED8">
        <w:rPr>
          <w:rFonts w:ascii="Arial" w:eastAsia="Times New Roman" w:hAnsi="Arial" w:cs="Arial"/>
          <w:szCs w:val="24"/>
        </w:rPr>
        <w:t xml:space="preserve">  Available at: </w:t>
      </w:r>
      <w:hyperlink r:id="rId22">
        <w:r w:rsidRPr="00117ED8">
          <w:rPr>
            <w:rFonts w:ascii="Arial" w:eastAsia="Times New Roman" w:hAnsi="Arial" w:cs="Arial"/>
            <w:color w:val="1155CC"/>
            <w:szCs w:val="24"/>
            <w:u w:val="single"/>
          </w:rPr>
          <w:t>https://journals.sagepub.com/doi/abs/10.1177/15586898221126816</w:t>
        </w:r>
      </w:hyperlink>
      <w:r w:rsidRPr="00117ED8">
        <w:rPr>
          <w:rFonts w:ascii="Arial" w:eastAsia="Times New Roman" w:hAnsi="Arial" w:cs="Arial"/>
          <w:szCs w:val="24"/>
        </w:rPr>
        <w:t xml:space="preserve"> (Accessed: 28 June 2026).</w:t>
      </w:r>
    </w:p>
    <w:p w14:paraId="510DF795" w14:textId="77777777" w:rsid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Punton, G., Dodd, A.L. and McNeill, A., 2022. ‘You’re on the waiting list’: An interpretive phenomenological analysis of young adults’ experiences of waiting lists within mental health services in the UK. </w:t>
      </w:r>
      <w:r w:rsidRPr="00117ED8">
        <w:rPr>
          <w:rFonts w:ascii="Arial" w:hAnsi="Arial" w:cs="Arial"/>
          <w:i/>
          <w:iCs/>
          <w:color w:val="222222"/>
          <w:szCs w:val="24"/>
          <w:highlight w:val="white"/>
        </w:rPr>
        <w:t>Plos one</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17</w:t>
      </w:r>
      <w:r w:rsidRPr="00117ED8">
        <w:rPr>
          <w:rFonts w:ascii="Arial" w:hAnsi="Arial" w:cs="Arial"/>
          <w:color w:val="222222"/>
          <w:szCs w:val="24"/>
          <w:highlight w:val="white"/>
        </w:rPr>
        <w:t>(3), p.e0265542.</w:t>
      </w:r>
      <w:r w:rsidRPr="00117ED8">
        <w:rPr>
          <w:rFonts w:ascii="Arial" w:eastAsia="Times New Roman" w:hAnsi="Arial" w:cs="Arial"/>
          <w:szCs w:val="24"/>
        </w:rPr>
        <w:t xml:space="preserve"> Available at: </w:t>
      </w:r>
      <w:hyperlink r:id="rId23">
        <w:r w:rsidRPr="00117ED8">
          <w:rPr>
            <w:rFonts w:ascii="Arial" w:eastAsia="Times New Roman" w:hAnsi="Arial" w:cs="Arial"/>
            <w:color w:val="1155CC"/>
            <w:szCs w:val="24"/>
            <w:u w:val="single"/>
          </w:rPr>
          <w:t>https://doi.org/10.1371/journal.pone.0265542</w:t>
        </w:r>
      </w:hyperlink>
      <w:r w:rsidRPr="00117ED8">
        <w:rPr>
          <w:rFonts w:ascii="Arial" w:eastAsia="Times New Roman" w:hAnsi="Arial" w:cs="Arial"/>
          <w:szCs w:val="24"/>
        </w:rPr>
        <w:t xml:space="preserve">  (Accessed: 28 June 2026).</w:t>
      </w:r>
    </w:p>
    <w:p w14:paraId="1272F0A6" w14:textId="77777777" w:rsidR="0018411A" w:rsidRPr="0018411A" w:rsidRDefault="0018411A" w:rsidP="0018411A">
      <w:pPr>
        <w:spacing w:line="360" w:lineRule="auto"/>
        <w:jc w:val="both"/>
        <w:rPr>
          <w:rFonts w:ascii="Arial" w:eastAsia="Arial" w:hAnsi="Arial" w:cs="Arial"/>
        </w:rPr>
      </w:pPr>
      <w:r w:rsidRPr="0018411A">
        <w:rPr>
          <w:rFonts w:ascii="Arial" w:eastAsia="Arial" w:hAnsi="Arial" w:cs="Arial"/>
          <w:color w:val="222222"/>
        </w:rPr>
        <w:t xml:space="preserve">Radez, J., Causier, C., Maughan, D., Waite, F. and Johns, L., 2024. The experience of seeking and accessing help from mental health services among young people of Eastern European backgrounds: A qualitative interview study. </w:t>
      </w:r>
      <w:r w:rsidRPr="0018411A">
        <w:rPr>
          <w:rFonts w:ascii="Arial" w:eastAsia="Arial" w:hAnsi="Arial" w:cs="Arial"/>
          <w:i/>
          <w:iCs/>
          <w:color w:val="222222"/>
        </w:rPr>
        <w:t>Psychology and Psychotherapy: Theory, Research and Practice</w:t>
      </w:r>
      <w:r w:rsidRPr="0018411A">
        <w:rPr>
          <w:rFonts w:ascii="Arial" w:eastAsia="Arial" w:hAnsi="Arial" w:cs="Arial"/>
          <w:color w:val="222222"/>
        </w:rPr>
        <w:t xml:space="preserve">, </w:t>
      </w:r>
      <w:r w:rsidRPr="0018411A">
        <w:rPr>
          <w:rFonts w:ascii="Arial" w:eastAsia="Arial" w:hAnsi="Arial" w:cs="Arial"/>
          <w:i/>
          <w:iCs/>
          <w:color w:val="222222"/>
        </w:rPr>
        <w:t>97</w:t>
      </w:r>
      <w:r w:rsidRPr="0018411A">
        <w:rPr>
          <w:rFonts w:ascii="Arial" w:eastAsia="Arial" w:hAnsi="Arial" w:cs="Arial"/>
          <w:color w:val="222222"/>
        </w:rPr>
        <w:t>(3), pp.425-438.</w:t>
      </w:r>
      <w:r w:rsidRPr="0018411A">
        <w:rPr>
          <w:rFonts w:ascii="Arial" w:eastAsia="Arial" w:hAnsi="Arial" w:cs="Arial"/>
        </w:rPr>
        <w:t xml:space="preserve"> Available at: </w:t>
      </w:r>
      <w:hyperlink r:id="rId24">
        <w:r w:rsidRPr="0018411A">
          <w:rPr>
            <w:rFonts w:ascii="Arial" w:eastAsia="Arial" w:hAnsi="Arial" w:cs="Arial"/>
            <w:color w:val="1155CC"/>
            <w:u w:val="single"/>
          </w:rPr>
          <w:t>https://bpspsychub.onlinelibrary.wiley.com/doi/full/10.1111/papt.12524</w:t>
        </w:r>
      </w:hyperlink>
      <w:r w:rsidRPr="0018411A">
        <w:rPr>
          <w:rFonts w:ascii="Arial" w:eastAsia="Arial" w:hAnsi="Arial" w:cs="Arial"/>
        </w:rPr>
        <w:t xml:space="preserve"> (Accessed: 11 August 2026).</w:t>
      </w:r>
    </w:p>
    <w:p w14:paraId="5E86C73A" w14:textId="77777777" w:rsidR="0018411A" w:rsidRPr="0018411A" w:rsidRDefault="0018411A" w:rsidP="0018411A">
      <w:pPr>
        <w:spacing w:line="360" w:lineRule="auto"/>
        <w:jc w:val="both"/>
        <w:rPr>
          <w:rFonts w:ascii="Arial" w:eastAsia="Arial" w:hAnsi="Arial" w:cs="Arial"/>
        </w:rPr>
      </w:pPr>
      <w:r w:rsidRPr="0018411A">
        <w:rPr>
          <w:rFonts w:ascii="Arial" w:eastAsia="Arial" w:hAnsi="Arial" w:cs="Arial"/>
          <w:color w:val="222222"/>
        </w:rPr>
        <w:t xml:space="preserve">Reed, J., Hunn, L., Smith, T., Bosworth, R., Gee, B., Berry, C. and Clarke, T., 2025. Barriers and facilitators in the implementation of youth and young adult models of mental health care. </w:t>
      </w:r>
      <w:r w:rsidRPr="0018411A">
        <w:rPr>
          <w:rFonts w:ascii="Arial" w:eastAsia="Arial" w:hAnsi="Arial" w:cs="Arial"/>
          <w:i/>
          <w:iCs/>
          <w:color w:val="222222"/>
        </w:rPr>
        <w:t>Early Intervention in Psychiatry</w:t>
      </w:r>
      <w:r w:rsidRPr="0018411A">
        <w:rPr>
          <w:rFonts w:ascii="Arial" w:eastAsia="Arial" w:hAnsi="Arial" w:cs="Arial"/>
          <w:color w:val="222222"/>
        </w:rPr>
        <w:t xml:space="preserve">, </w:t>
      </w:r>
      <w:r w:rsidRPr="0018411A">
        <w:rPr>
          <w:rFonts w:ascii="Arial" w:eastAsia="Arial" w:hAnsi="Arial" w:cs="Arial"/>
          <w:i/>
          <w:iCs/>
          <w:color w:val="222222"/>
        </w:rPr>
        <w:t>19</w:t>
      </w:r>
      <w:r w:rsidRPr="0018411A">
        <w:rPr>
          <w:rFonts w:ascii="Arial" w:eastAsia="Arial" w:hAnsi="Arial" w:cs="Arial"/>
          <w:color w:val="222222"/>
        </w:rPr>
        <w:t>(1), p.e13555.</w:t>
      </w:r>
      <w:r w:rsidRPr="0018411A">
        <w:rPr>
          <w:rFonts w:ascii="Arial" w:eastAsia="Arial" w:hAnsi="Arial" w:cs="Arial"/>
        </w:rPr>
        <w:t xml:space="preserve"> Available at: </w:t>
      </w:r>
      <w:hyperlink r:id="rId25">
        <w:r w:rsidRPr="0018411A">
          <w:rPr>
            <w:rFonts w:ascii="Arial" w:eastAsia="Arial" w:hAnsi="Arial" w:cs="Arial"/>
            <w:color w:val="1155CC"/>
            <w:u w:val="single"/>
          </w:rPr>
          <w:t>https://onlinelibrary.wiley.com/doi/full/10.1111/eip.13555</w:t>
        </w:r>
      </w:hyperlink>
      <w:r w:rsidRPr="0018411A">
        <w:rPr>
          <w:rFonts w:ascii="Arial" w:eastAsia="Arial" w:hAnsi="Arial" w:cs="Arial"/>
        </w:rPr>
        <w:t xml:space="preserve"> (Accessed: 11 August 2026).</w:t>
      </w:r>
    </w:p>
    <w:p w14:paraId="6B4CCB86"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Robinson, A., De Boos, D. and Moghaddam, N., 2023. A service evaluation of the assessment process in a Step4 Psychological Therapies Service. </w:t>
      </w:r>
      <w:r w:rsidRPr="00117ED8">
        <w:rPr>
          <w:rFonts w:ascii="Arial" w:hAnsi="Arial" w:cs="Arial"/>
          <w:i/>
          <w:iCs/>
          <w:color w:val="222222"/>
          <w:szCs w:val="24"/>
          <w:highlight w:val="white"/>
        </w:rPr>
        <w:t>Mental Health Review Journal</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28</w:t>
      </w:r>
      <w:r w:rsidRPr="00117ED8">
        <w:rPr>
          <w:rFonts w:ascii="Arial" w:hAnsi="Arial" w:cs="Arial"/>
          <w:color w:val="222222"/>
          <w:szCs w:val="24"/>
          <w:highlight w:val="white"/>
        </w:rPr>
        <w:t>(2), pp.167-179.</w:t>
      </w:r>
      <w:r w:rsidRPr="00117ED8">
        <w:rPr>
          <w:rFonts w:ascii="Arial" w:eastAsia="Times New Roman" w:hAnsi="Arial" w:cs="Arial"/>
          <w:szCs w:val="24"/>
        </w:rPr>
        <w:t xml:space="preserve">  Available at: </w:t>
      </w:r>
      <w:hyperlink r:id="rId26">
        <w:r w:rsidRPr="00117ED8">
          <w:rPr>
            <w:rFonts w:ascii="Arial" w:eastAsia="Times New Roman" w:hAnsi="Arial" w:cs="Arial"/>
            <w:color w:val="1155CC"/>
            <w:szCs w:val="24"/>
            <w:u w:val="single"/>
          </w:rPr>
          <w:t>https://www.emerald.com/mhrj/article-abstract/28/2/167/292138/A-service-evaluation-of-the-assessment-process-in</w:t>
        </w:r>
      </w:hyperlink>
      <w:r w:rsidRPr="00117ED8">
        <w:rPr>
          <w:rFonts w:ascii="Arial" w:eastAsia="Times New Roman" w:hAnsi="Arial" w:cs="Arial"/>
          <w:szCs w:val="24"/>
        </w:rPr>
        <w:t xml:space="preserve">  (Accessed: 28 June 2026).</w:t>
      </w:r>
    </w:p>
    <w:p w14:paraId="7C28BE26"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Shaw, S.C., Carravallah, L., Johnson, M., O’Sullivan, J., Chown, N., Neilson, S. and Doherty, M., 2024. Barriers to healthcare and a ‘triple empathy problem’may lead to </w:t>
      </w:r>
      <w:r w:rsidRPr="00117ED8">
        <w:rPr>
          <w:rFonts w:ascii="Arial" w:hAnsi="Arial" w:cs="Arial"/>
          <w:color w:val="222222"/>
          <w:szCs w:val="24"/>
          <w:highlight w:val="white"/>
        </w:rPr>
        <w:lastRenderedPageBreak/>
        <w:t xml:space="preserve">adverse outcomes for autistic adults: A qualitative study. </w:t>
      </w:r>
      <w:r w:rsidRPr="00117ED8">
        <w:rPr>
          <w:rFonts w:ascii="Arial" w:hAnsi="Arial" w:cs="Arial"/>
          <w:i/>
          <w:iCs/>
          <w:color w:val="222222"/>
          <w:szCs w:val="24"/>
          <w:highlight w:val="white"/>
        </w:rPr>
        <w:t>Autism</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28</w:t>
      </w:r>
      <w:r w:rsidRPr="00117ED8">
        <w:rPr>
          <w:rFonts w:ascii="Arial" w:hAnsi="Arial" w:cs="Arial"/>
          <w:color w:val="222222"/>
          <w:szCs w:val="24"/>
          <w:highlight w:val="white"/>
        </w:rPr>
        <w:t>(7), pp.1746-1757.</w:t>
      </w:r>
      <w:r w:rsidRPr="00117ED8">
        <w:rPr>
          <w:rFonts w:ascii="Arial" w:eastAsia="Times New Roman" w:hAnsi="Arial" w:cs="Arial"/>
          <w:szCs w:val="24"/>
        </w:rPr>
        <w:t xml:space="preserve">  Available at: </w:t>
      </w:r>
      <w:hyperlink r:id="rId27">
        <w:r w:rsidRPr="00117ED8">
          <w:rPr>
            <w:rFonts w:ascii="Arial" w:eastAsia="Times New Roman" w:hAnsi="Arial" w:cs="Arial"/>
            <w:color w:val="1155CC"/>
            <w:szCs w:val="24"/>
            <w:u w:val="single"/>
          </w:rPr>
          <w:t>https://journals.sagepub.com/doi/abs/10.1177/13623613231205629</w:t>
        </w:r>
      </w:hyperlink>
      <w:r w:rsidRPr="00117ED8">
        <w:rPr>
          <w:rFonts w:ascii="Arial" w:eastAsia="Times New Roman" w:hAnsi="Arial" w:cs="Arial"/>
          <w:szCs w:val="24"/>
        </w:rPr>
        <w:t xml:space="preserve"> (Accessed: 28 June 2026).</w:t>
      </w:r>
    </w:p>
    <w:p w14:paraId="4213BC5A"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Sheldon, E., Ezaydi, N., Desoysa, L., Young, J., Simmonds-Buckley, M., Hind, P.D. and Burton, P.C., 2024. Barriers to help-seeking, accessing and providing mental health support for medical students: a mixed methods study using the candidacy framework. </w:t>
      </w:r>
      <w:r w:rsidRPr="00117ED8">
        <w:rPr>
          <w:rFonts w:ascii="Arial" w:hAnsi="Arial" w:cs="Arial"/>
          <w:i/>
          <w:iCs/>
          <w:color w:val="222222"/>
          <w:szCs w:val="24"/>
          <w:highlight w:val="white"/>
        </w:rPr>
        <w:t>BMC Health Services Research</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24</w:t>
      </w:r>
      <w:r w:rsidRPr="00117ED8">
        <w:rPr>
          <w:rFonts w:ascii="Arial" w:hAnsi="Arial" w:cs="Arial"/>
          <w:color w:val="222222"/>
          <w:szCs w:val="24"/>
          <w:highlight w:val="white"/>
        </w:rPr>
        <w:t>(1), p.738.</w:t>
      </w:r>
      <w:r w:rsidRPr="00117ED8">
        <w:rPr>
          <w:rFonts w:ascii="Arial" w:eastAsia="Times New Roman" w:hAnsi="Arial" w:cs="Arial"/>
          <w:szCs w:val="24"/>
        </w:rPr>
        <w:t xml:space="preserve">  Available at: </w:t>
      </w:r>
      <w:hyperlink r:id="rId28">
        <w:r w:rsidRPr="00117ED8">
          <w:rPr>
            <w:rFonts w:ascii="Arial" w:eastAsia="Times New Roman" w:hAnsi="Arial" w:cs="Arial"/>
            <w:color w:val="1155CC"/>
            <w:szCs w:val="24"/>
            <w:u w:val="single"/>
          </w:rPr>
          <w:t>https://doi.org/10.1186/s12913-024-11204-8</w:t>
        </w:r>
      </w:hyperlink>
      <w:r w:rsidRPr="00117ED8">
        <w:rPr>
          <w:rFonts w:ascii="Arial" w:eastAsia="Times New Roman" w:hAnsi="Arial" w:cs="Arial"/>
          <w:szCs w:val="24"/>
        </w:rPr>
        <w:t xml:space="preserve"> (Accessed: 28 June 2026).</w:t>
      </w:r>
    </w:p>
    <w:p w14:paraId="0A2DAEFA"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Wiggins, D., Downie, A., Engel, R. and Brown, B.T., 2022. Factors that influence scope of practice of the chiropractic profession in Australia: a scoping review. </w:t>
      </w:r>
      <w:r w:rsidRPr="00117ED8">
        <w:rPr>
          <w:rFonts w:ascii="Arial" w:hAnsi="Arial" w:cs="Arial"/>
          <w:i/>
          <w:iCs/>
          <w:color w:val="222222"/>
          <w:szCs w:val="24"/>
          <w:highlight w:val="white"/>
        </w:rPr>
        <w:t>Chiropractic &amp; Manual Therapies</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30</w:t>
      </w:r>
      <w:r w:rsidRPr="00117ED8">
        <w:rPr>
          <w:rFonts w:ascii="Arial" w:hAnsi="Arial" w:cs="Arial"/>
          <w:color w:val="222222"/>
          <w:szCs w:val="24"/>
          <w:highlight w:val="white"/>
        </w:rPr>
        <w:t>(1), p.19.</w:t>
      </w:r>
      <w:r w:rsidRPr="00117ED8">
        <w:rPr>
          <w:rFonts w:ascii="Arial" w:eastAsia="Times New Roman" w:hAnsi="Arial" w:cs="Arial"/>
          <w:szCs w:val="24"/>
        </w:rPr>
        <w:t xml:space="preserve">  Available at: </w:t>
      </w:r>
      <w:hyperlink r:id="rId29">
        <w:r w:rsidRPr="00117ED8">
          <w:rPr>
            <w:rFonts w:ascii="Arial" w:eastAsia="Times New Roman" w:hAnsi="Arial" w:cs="Arial"/>
            <w:color w:val="1155CC"/>
            <w:szCs w:val="24"/>
            <w:u w:val="single"/>
          </w:rPr>
          <w:t>https://link.springer.com/article/10.1186/s12998-022-00428-2</w:t>
        </w:r>
      </w:hyperlink>
      <w:r w:rsidRPr="00117ED8">
        <w:rPr>
          <w:rFonts w:ascii="Arial" w:eastAsia="Times New Roman" w:hAnsi="Arial" w:cs="Arial"/>
          <w:szCs w:val="24"/>
        </w:rPr>
        <w:t xml:space="preserve">  (Accessed: 28 June 2026).</w:t>
      </w:r>
    </w:p>
    <w:p w14:paraId="159E5DFA" w14:textId="77777777" w:rsidR="00117ED8" w:rsidRPr="00117ED8" w:rsidRDefault="00117ED8" w:rsidP="00117ED8">
      <w:pPr>
        <w:spacing w:line="360" w:lineRule="auto"/>
        <w:jc w:val="both"/>
        <w:rPr>
          <w:rFonts w:ascii="Arial" w:eastAsia="Times New Roman" w:hAnsi="Arial" w:cs="Arial"/>
          <w:szCs w:val="24"/>
        </w:rPr>
      </w:pPr>
      <w:r w:rsidRPr="00117ED8">
        <w:rPr>
          <w:rFonts w:ascii="Arial" w:hAnsi="Arial" w:cs="Arial"/>
          <w:color w:val="222222"/>
          <w:szCs w:val="24"/>
          <w:highlight w:val="white"/>
        </w:rPr>
        <w:t xml:space="preserve">Zamani, E.D., Smyth, C., Gupta, S. and Dennehy, D., 2023. Artificial intelligence and big data analytics for supply chain resilience: a systematic literature review. </w:t>
      </w:r>
      <w:r w:rsidRPr="00117ED8">
        <w:rPr>
          <w:rFonts w:ascii="Arial" w:hAnsi="Arial" w:cs="Arial"/>
          <w:i/>
          <w:iCs/>
          <w:color w:val="222222"/>
          <w:szCs w:val="24"/>
          <w:highlight w:val="white"/>
        </w:rPr>
        <w:t>Annals of Operations Research</w:t>
      </w:r>
      <w:r w:rsidRPr="00117ED8">
        <w:rPr>
          <w:rFonts w:ascii="Arial" w:hAnsi="Arial" w:cs="Arial"/>
          <w:color w:val="222222"/>
          <w:szCs w:val="24"/>
          <w:highlight w:val="white"/>
        </w:rPr>
        <w:t xml:space="preserve">, </w:t>
      </w:r>
      <w:r w:rsidRPr="00117ED8">
        <w:rPr>
          <w:rFonts w:ascii="Arial" w:hAnsi="Arial" w:cs="Arial"/>
          <w:i/>
          <w:iCs/>
          <w:color w:val="222222"/>
          <w:szCs w:val="24"/>
          <w:highlight w:val="white"/>
        </w:rPr>
        <w:t>327</w:t>
      </w:r>
      <w:r w:rsidRPr="00117ED8">
        <w:rPr>
          <w:rFonts w:ascii="Arial" w:hAnsi="Arial" w:cs="Arial"/>
          <w:color w:val="222222"/>
          <w:szCs w:val="24"/>
          <w:highlight w:val="white"/>
        </w:rPr>
        <w:t>(2), pp.605-632.</w:t>
      </w:r>
      <w:r w:rsidRPr="00117ED8">
        <w:rPr>
          <w:rFonts w:ascii="Arial" w:eastAsia="Times New Roman" w:hAnsi="Arial" w:cs="Arial"/>
          <w:szCs w:val="24"/>
        </w:rPr>
        <w:t xml:space="preserve">  Available at: </w:t>
      </w:r>
      <w:hyperlink r:id="rId30">
        <w:r w:rsidRPr="00117ED8">
          <w:rPr>
            <w:rFonts w:ascii="Arial" w:eastAsia="Times New Roman" w:hAnsi="Arial" w:cs="Arial"/>
            <w:color w:val="1155CC"/>
            <w:szCs w:val="24"/>
            <w:u w:val="single"/>
          </w:rPr>
          <w:t>https://link.springer.com/article/10.1007/s10479-022-04983-y</w:t>
        </w:r>
      </w:hyperlink>
      <w:r w:rsidRPr="00117ED8">
        <w:rPr>
          <w:rFonts w:ascii="Arial" w:eastAsia="Times New Roman" w:hAnsi="Arial" w:cs="Arial"/>
          <w:szCs w:val="24"/>
        </w:rPr>
        <w:t xml:space="preserve"> (Accessed: 28 June 2026).</w:t>
      </w:r>
    </w:p>
    <w:p w14:paraId="0EAF02C9" w14:textId="77777777" w:rsidR="00117ED8" w:rsidRPr="00117ED8" w:rsidRDefault="00117ED8" w:rsidP="00117ED8">
      <w:pPr>
        <w:rPr>
          <w:rFonts w:ascii="Arial" w:hAnsi="Arial" w:cs="Arial"/>
        </w:rPr>
      </w:pPr>
    </w:p>
    <w:p w14:paraId="1425F4AC" w14:textId="6695D929" w:rsidR="001D7C03" w:rsidRPr="00117ED8" w:rsidRDefault="001D7C03" w:rsidP="00CD33A8">
      <w:pPr>
        <w:tabs>
          <w:tab w:val="left" w:pos="6540"/>
        </w:tabs>
        <w:spacing w:line="360" w:lineRule="auto"/>
        <w:rPr>
          <w:rFonts w:ascii="Arial" w:hAnsi="Arial" w:cs="Arial"/>
          <w:sz w:val="22"/>
        </w:rPr>
      </w:pPr>
    </w:p>
    <w:sectPr w:rsidR="001D7C03" w:rsidRPr="00117ED8" w:rsidSect="00E620E7">
      <w:footerReference w:type="defaul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ED118E" w14:textId="77777777" w:rsidR="00310BC3" w:rsidRDefault="00310BC3" w:rsidP="003E4ECF">
      <w:pPr>
        <w:spacing w:after="0" w:line="240" w:lineRule="auto"/>
      </w:pPr>
      <w:r>
        <w:separator/>
      </w:r>
    </w:p>
  </w:endnote>
  <w:endnote w:type="continuationSeparator" w:id="0">
    <w:p w14:paraId="555D7A2A" w14:textId="77777777" w:rsidR="00310BC3" w:rsidRDefault="00310BC3"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A0002AEF" w:usb1="4000207B" w:usb2="00000000" w:usb3="00000000" w:csb0="000001F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rFonts w:asciiTheme="minorBidi" w:hAnsiTheme="minorBidi"/>
        <w:noProof/>
        <w:sz w:val="22"/>
      </w:rPr>
    </w:sdtEndPr>
    <w:sdtContent>
      <w:p w14:paraId="22F0D82E" w14:textId="18685858"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00117ED8">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4019364"/>
      <w:docPartObj>
        <w:docPartGallery w:val="Page Numbers (Bottom of Page)"/>
        <w:docPartUnique/>
      </w:docPartObj>
    </w:sdtPr>
    <w:sdtEndPr>
      <w:rPr>
        <w:noProof/>
      </w:rPr>
    </w:sdtEndPr>
    <w:sdtContent>
      <w:p w14:paraId="353F41F6" w14:textId="7C4D0188" w:rsidR="00117ED8" w:rsidRDefault="00117ED8">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642728B8" w14:textId="77777777" w:rsidR="00117ED8" w:rsidRDefault="00117E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5E6E3E" w14:textId="77777777" w:rsidR="00310BC3" w:rsidRDefault="00310BC3" w:rsidP="003E4ECF">
      <w:pPr>
        <w:spacing w:after="0" w:line="240" w:lineRule="auto"/>
      </w:pPr>
      <w:r>
        <w:separator/>
      </w:r>
    </w:p>
  </w:footnote>
  <w:footnote w:type="continuationSeparator" w:id="0">
    <w:p w14:paraId="4067ECFE" w14:textId="77777777" w:rsidR="00310BC3" w:rsidRDefault="00310BC3"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c0MLM0MDOyMDU2sjBQ0lEKTi0uzszPAykwrAUAuJwM4iwAAAA="/>
  </w:docVars>
  <w:rsids>
    <w:rsidRoot w:val="00074402"/>
    <w:rsid w:val="000572BF"/>
    <w:rsid w:val="00071E10"/>
    <w:rsid w:val="00074402"/>
    <w:rsid w:val="00091062"/>
    <w:rsid w:val="00117ED8"/>
    <w:rsid w:val="0017169A"/>
    <w:rsid w:val="0018411A"/>
    <w:rsid w:val="001D7C03"/>
    <w:rsid w:val="00216C85"/>
    <w:rsid w:val="002228FF"/>
    <w:rsid w:val="0026393A"/>
    <w:rsid w:val="00273EDD"/>
    <w:rsid w:val="002B160E"/>
    <w:rsid w:val="002C1776"/>
    <w:rsid w:val="002C3965"/>
    <w:rsid w:val="00310BC3"/>
    <w:rsid w:val="00321C4C"/>
    <w:rsid w:val="00392BBC"/>
    <w:rsid w:val="003E0E37"/>
    <w:rsid w:val="003E4ECF"/>
    <w:rsid w:val="003F2BBA"/>
    <w:rsid w:val="004409BD"/>
    <w:rsid w:val="004A736E"/>
    <w:rsid w:val="00577985"/>
    <w:rsid w:val="00587EA4"/>
    <w:rsid w:val="006925AA"/>
    <w:rsid w:val="006D01A8"/>
    <w:rsid w:val="006F3211"/>
    <w:rsid w:val="00725177"/>
    <w:rsid w:val="00773EAE"/>
    <w:rsid w:val="007D2A57"/>
    <w:rsid w:val="007E424C"/>
    <w:rsid w:val="00814A9E"/>
    <w:rsid w:val="00836BA4"/>
    <w:rsid w:val="00864892"/>
    <w:rsid w:val="0090040D"/>
    <w:rsid w:val="00903107"/>
    <w:rsid w:val="00914611"/>
    <w:rsid w:val="00937A90"/>
    <w:rsid w:val="00965CC2"/>
    <w:rsid w:val="00966B09"/>
    <w:rsid w:val="009866C1"/>
    <w:rsid w:val="009D052C"/>
    <w:rsid w:val="009D1D1E"/>
    <w:rsid w:val="00A035FD"/>
    <w:rsid w:val="00A222C8"/>
    <w:rsid w:val="00B30D21"/>
    <w:rsid w:val="00B321FD"/>
    <w:rsid w:val="00B3733C"/>
    <w:rsid w:val="00B8304B"/>
    <w:rsid w:val="00B87E75"/>
    <w:rsid w:val="00BA03D7"/>
    <w:rsid w:val="00BC772C"/>
    <w:rsid w:val="00C84506"/>
    <w:rsid w:val="00C954C2"/>
    <w:rsid w:val="00CC2462"/>
    <w:rsid w:val="00CD1BCB"/>
    <w:rsid w:val="00CD33A8"/>
    <w:rsid w:val="00D136C0"/>
    <w:rsid w:val="00D33CDC"/>
    <w:rsid w:val="00D80613"/>
    <w:rsid w:val="00E569FD"/>
    <w:rsid w:val="00E620E7"/>
    <w:rsid w:val="00EE3810"/>
    <w:rsid w:val="00F66E1B"/>
    <w:rsid w:val="00FB7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Heading">
    <w:name w:val="TOC Heading"/>
    <w:basedOn w:val="Heading1"/>
    <w:next w:val="Normal"/>
    <w:uiPriority w:val="39"/>
    <w:unhideWhenUsed/>
    <w:qFormat/>
    <w:rsid w:val="00117ED8"/>
    <w:pPr>
      <w:spacing w:line="259" w:lineRule="auto"/>
      <w:outlineLvl w:val="9"/>
    </w:pPr>
    <w:rPr>
      <w:rFonts w:asciiTheme="majorHAnsi" w:hAnsiTheme="majorHAnsi" w:cstheme="majorBidi"/>
      <w:b w:val="0"/>
      <w:color w:val="2F5496" w:themeColor="accent1" w:themeShade="BF"/>
      <w:szCs w:val="32"/>
      <w:lang w:val="en-US"/>
    </w:rPr>
  </w:style>
  <w:style w:type="paragraph" w:styleId="TOC1">
    <w:name w:val="toc 1"/>
    <w:basedOn w:val="Normal"/>
    <w:next w:val="Normal"/>
    <w:autoRedefine/>
    <w:uiPriority w:val="39"/>
    <w:unhideWhenUsed/>
    <w:rsid w:val="00117ED8"/>
    <w:pPr>
      <w:spacing w:after="100"/>
    </w:pPr>
  </w:style>
  <w:style w:type="character" w:styleId="Hyperlink">
    <w:name w:val="Hyperlink"/>
    <w:basedOn w:val="DefaultParagraphFont"/>
    <w:uiPriority w:val="99"/>
    <w:unhideWhenUsed/>
    <w:rsid w:val="00117ED8"/>
    <w:rPr>
      <w:color w:val="0563C1" w:themeColor="hyperlink"/>
      <w:u w:val="single"/>
    </w:rPr>
  </w:style>
  <w:style w:type="character" w:customStyle="1" w:styleId="normaltextrun">
    <w:name w:val="normaltextrun"/>
    <w:basedOn w:val="DefaultParagraphFont"/>
    <w:rsid w:val="005779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article/10.1186/s13643-023-02178-5" TargetMode="External"/><Relationship Id="rId18" Type="http://schemas.openxmlformats.org/officeDocument/2006/relationships/hyperlink" Target="https://www.sciencedirect.com/science/article/pii/S266730532200031X" TargetMode="External"/><Relationship Id="rId26" Type="http://schemas.openxmlformats.org/officeDocument/2006/relationships/hyperlink" Target="https://www.emerald.com/mhrj/article-abstract/28/2/167/292138/A-service-evaluation-of-the-assessment-process-in" TargetMode="External"/><Relationship Id="rId3" Type="http://schemas.openxmlformats.org/officeDocument/2006/relationships/settings" Target="settings.xml"/><Relationship Id="rId21" Type="http://schemas.openxmlformats.org/officeDocument/2006/relationships/hyperlink" Target="https://doi.org/10.1111/papt.12525"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bjgp.org/content/bjgp/early/2022/05/03/BJGP.2021.0678.full.pdf?versioned=true" TargetMode="External"/><Relationship Id="rId17" Type="http://schemas.openxmlformats.org/officeDocument/2006/relationships/hyperlink" Target="https://journals.plos.org/plosone/article?id=10.1371/journal.pone.0281667" TargetMode="External"/><Relationship Id="rId25" Type="http://schemas.openxmlformats.org/officeDocument/2006/relationships/hyperlink" Target="https://onlinelibrary.wiley.com/doi/full/10.1111/eip.13555"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journals.sagepub.com/doi/abs/10.1177/17407745221103567" TargetMode="External"/><Relationship Id="rId20" Type="http://schemas.openxmlformats.org/officeDocument/2006/relationships/hyperlink" Target="https://journals.sagepub.com/doi/full/10.1177/13558196241235877" TargetMode="External"/><Relationship Id="rId29" Type="http://schemas.openxmlformats.org/officeDocument/2006/relationships/hyperlink" Target="https://link.springer.com/article/10.1186/s12998-022-00428-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s://bpspsychub.onlinelibrary.wiley.com/doi/full/10.1111/papt.12524" TargetMode="External"/><Relationship Id="rId32"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onlinelibrary.wiley.com/doi/abs/10.1002/jrsm.1694" TargetMode="External"/><Relationship Id="rId23" Type="http://schemas.openxmlformats.org/officeDocument/2006/relationships/hyperlink" Target="https://doi.org/10.1371/journal.pone.0265542" TargetMode="External"/><Relationship Id="rId28" Type="http://schemas.openxmlformats.org/officeDocument/2006/relationships/hyperlink" Target="https://doi.org/10.1186/s12913-024-11204-8" TargetMode="External"/><Relationship Id="rId10" Type="http://schemas.openxmlformats.org/officeDocument/2006/relationships/image" Target="media/image3.png"/><Relationship Id="rId19" Type="http://schemas.openxmlformats.org/officeDocument/2006/relationships/hyperlink" Target="https://doi.org/10.3389/fpubh.2025.1684562"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onlinelibrary.wiley.com/doi/full/10.1111/hsc.14078" TargetMode="External"/><Relationship Id="rId22" Type="http://schemas.openxmlformats.org/officeDocument/2006/relationships/hyperlink" Target="https://journals.sagepub.com/doi/abs/10.1177/15586898221126816" TargetMode="External"/><Relationship Id="rId27" Type="http://schemas.openxmlformats.org/officeDocument/2006/relationships/hyperlink" Target="https://journals.sagepub.com/doi/abs/10.1177/13623613231205629" TargetMode="External"/><Relationship Id="rId30" Type="http://schemas.openxmlformats.org/officeDocument/2006/relationships/hyperlink" Target="https://link.springer.com/article/10.1007/s10479-022-04983-y"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5C80FA-6C9B-4642-A01E-F4CE32B26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5639</Words>
  <Characters>32147</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Vitalina Vasko</cp:lastModifiedBy>
  <cp:revision>33</cp:revision>
  <dcterms:created xsi:type="dcterms:W3CDTF">2026-07-31T11:15:00Z</dcterms:created>
  <dcterms:modified xsi:type="dcterms:W3CDTF">2026-08-12T13:06:00Z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abc4f096-fbbb-4172-8f05-6eb898b6b264</vt:lpwstr>
  </property>
</Properties>
</file>