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9ECF9" w14:textId="77777777" w:rsidR="00FA4EB6" w:rsidRDefault="00FA4EB6" w:rsidP="00FA4EB6">
      <w:pPr>
        <w:spacing w:line="360" w:lineRule="auto"/>
        <w:jc w:val="both"/>
        <w:rPr>
          <w:rFonts w:ascii="Arial" w:hAnsi="Arial" w:cs="Arial"/>
        </w:rPr>
      </w:pPr>
    </w:p>
    <w:p w14:paraId="5934FC79" w14:textId="77777777" w:rsidR="00FA4EB6" w:rsidRDefault="00FA4EB6" w:rsidP="00FA4EB6">
      <w:pPr>
        <w:spacing w:line="360" w:lineRule="auto"/>
        <w:jc w:val="both"/>
      </w:pPr>
      <w:r>
        <w:rPr>
          <w:rFonts w:ascii="Arial" w:hAnsi="Arial" w:cs="Arial"/>
          <w:b/>
          <w:bCs/>
          <w:noProof/>
        </w:rPr>
        <w:drawing>
          <wp:anchor distT="0" distB="0" distL="114300" distR="114300" simplePos="0" relativeHeight="251659264" behindDoc="0" locked="0" layoutInCell="1" allowOverlap="1" wp14:anchorId="55164A0B" wp14:editId="5323650E">
            <wp:simplePos x="0" y="0"/>
            <wp:positionH relativeFrom="column">
              <wp:align>left</wp:align>
            </wp:positionH>
            <wp:positionV relativeFrom="paragraph">
              <wp:align>top</wp:align>
            </wp:positionV>
            <wp:extent cx="2209803" cy="742950"/>
            <wp:effectExtent l="0" t="0" r="0" b="0"/>
            <wp:wrapSquare wrapText="bothSides"/>
            <wp:docPr id="930578656"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60C69D13" w14:textId="77777777" w:rsidR="00FA4EB6" w:rsidRDefault="00FA4EB6" w:rsidP="00FA4EB6">
      <w:pPr>
        <w:spacing w:line="360" w:lineRule="auto"/>
        <w:jc w:val="both"/>
        <w:rPr>
          <w:rFonts w:ascii="Arial" w:hAnsi="Arial" w:cs="Arial"/>
        </w:rPr>
      </w:pPr>
    </w:p>
    <w:p w14:paraId="3E84CA0E" w14:textId="77777777" w:rsidR="00FA4EB6" w:rsidRDefault="00FA4EB6" w:rsidP="00FA4EB6">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4A0" w:firstRow="1" w:lastRow="0" w:firstColumn="1" w:lastColumn="0" w:noHBand="0" w:noVBand="1"/>
      </w:tblPr>
      <w:tblGrid>
        <w:gridCol w:w="2016"/>
        <w:gridCol w:w="6768"/>
      </w:tblGrid>
      <w:tr w:rsidR="00FA4EB6" w14:paraId="5CFB2D0A" w14:textId="77777777" w:rsidTr="00F86B9A">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74840FF" w14:textId="77777777" w:rsidR="00FA4EB6" w:rsidRDefault="00FA4EB6" w:rsidP="00F86B9A">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9F23C2B" w14:textId="77777777" w:rsidR="00FA4EB6" w:rsidRDefault="00FA4EB6" w:rsidP="00F86B9A">
            <w:pPr>
              <w:spacing w:line="360" w:lineRule="auto"/>
              <w:jc w:val="both"/>
              <w:rPr>
                <w:rFonts w:ascii="Arial" w:hAnsi="Arial" w:cs="Arial"/>
              </w:rPr>
            </w:pPr>
            <w:r>
              <w:rPr>
                <w:rFonts w:ascii="Arial" w:hAnsi="Arial" w:cs="Arial"/>
              </w:rPr>
              <w:t>Kelly Keefe </w:t>
            </w:r>
          </w:p>
        </w:tc>
      </w:tr>
      <w:tr w:rsidR="00FA4EB6" w14:paraId="53CB8531" w14:textId="77777777" w:rsidTr="00F86B9A">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AFBB65F" w14:textId="77777777" w:rsidR="00FA4EB6" w:rsidRDefault="00FA4EB6" w:rsidP="00F86B9A">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59016E8" w14:textId="77777777" w:rsidR="00FA4EB6" w:rsidRDefault="00FA4EB6" w:rsidP="00F86B9A">
            <w:pPr>
              <w:spacing w:line="360" w:lineRule="auto"/>
              <w:jc w:val="both"/>
              <w:rPr>
                <w:rFonts w:ascii="Arial" w:hAnsi="Arial" w:cs="Arial"/>
              </w:rPr>
            </w:pPr>
            <w:r>
              <w:rPr>
                <w:rFonts w:ascii="Arial" w:hAnsi="Arial" w:cs="Arial"/>
              </w:rPr>
              <w:t>2318120</w:t>
            </w:r>
          </w:p>
        </w:tc>
      </w:tr>
      <w:tr w:rsidR="00FA4EB6" w14:paraId="3B74A229" w14:textId="77777777" w:rsidTr="00F86B9A">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41C18A82" w14:textId="77777777" w:rsidR="00FA4EB6" w:rsidRDefault="00FA4EB6" w:rsidP="00F86B9A">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8EB71AC" w14:textId="17ED5EC7" w:rsidR="00FA4EB6" w:rsidRDefault="00FA4EB6" w:rsidP="00F86B9A">
            <w:pPr>
              <w:spacing w:line="360" w:lineRule="auto"/>
              <w:jc w:val="both"/>
              <w:rPr>
                <w:rFonts w:ascii="Arial" w:hAnsi="Arial" w:cs="Arial"/>
              </w:rPr>
            </w:pPr>
            <w:r>
              <w:rPr>
                <w:rFonts w:ascii="Arial" w:hAnsi="Arial" w:cs="Arial"/>
              </w:rPr>
              <w:t>BMSK</w:t>
            </w:r>
            <w:r w:rsidR="005C0CBE">
              <w:rPr>
                <w:rFonts w:ascii="Arial" w:hAnsi="Arial" w:cs="Arial"/>
              </w:rPr>
              <w:t>6008</w:t>
            </w:r>
          </w:p>
        </w:tc>
      </w:tr>
      <w:tr w:rsidR="00FA4EB6" w14:paraId="7ADBC801" w14:textId="77777777" w:rsidTr="00F86B9A">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47DCE19" w14:textId="77777777" w:rsidR="00FA4EB6" w:rsidRDefault="00FA4EB6" w:rsidP="00F86B9A">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9584855" w14:textId="5763B13B" w:rsidR="00FA4EB6" w:rsidRDefault="005C0CBE" w:rsidP="00F86B9A">
            <w:pPr>
              <w:spacing w:line="360" w:lineRule="auto"/>
              <w:jc w:val="both"/>
              <w:rPr>
                <w:rFonts w:ascii="Arial" w:hAnsi="Arial" w:cs="Arial"/>
              </w:rPr>
            </w:pPr>
            <w:r>
              <w:rPr>
                <w:rFonts w:ascii="Arial" w:hAnsi="Arial" w:cs="Arial"/>
                <w:b/>
                <w:color w:val="000000"/>
              </w:rPr>
              <w:t>Coaching and Mentoring</w:t>
            </w:r>
            <w:r w:rsidR="001E052F">
              <w:rPr>
                <w:rFonts w:ascii="Arial" w:hAnsi="Arial" w:cs="Arial"/>
                <w:b/>
                <w:color w:val="000000"/>
              </w:rPr>
              <w:t xml:space="preserve"> Skills</w:t>
            </w:r>
          </w:p>
        </w:tc>
      </w:tr>
    </w:tbl>
    <w:p w14:paraId="5C94DA7A" w14:textId="77777777" w:rsidR="00FA4EB6" w:rsidRDefault="00FA4EB6" w:rsidP="00FA4EB6">
      <w:pPr>
        <w:spacing w:line="360" w:lineRule="auto"/>
        <w:jc w:val="both"/>
        <w:rPr>
          <w:rFonts w:ascii="Arial" w:hAnsi="Arial" w:cs="Arial"/>
        </w:rPr>
      </w:pPr>
    </w:p>
    <w:p w14:paraId="558E6DEF" w14:textId="77777777" w:rsidR="00FA4EB6" w:rsidRDefault="00FA4EB6" w:rsidP="00FA4EB6">
      <w:pPr>
        <w:spacing w:line="360" w:lineRule="auto"/>
        <w:jc w:val="both"/>
      </w:pPr>
      <w:r>
        <w:rPr>
          <w:rFonts w:ascii="Arial" w:hAnsi="Arial" w:cs="Arial"/>
          <w:b/>
          <w:bCs/>
        </w:rPr>
        <w:t>Statement of Confirmation of Authenticity</w:t>
      </w:r>
    </w:p>
    <w:p w14:paraId="541C4E14" w14:textId="77777777" w:rsidR="00FA4EB6" w:rsidRDefault="00FA4EB6" w:rsidP="00FA4EB6">
      <w:pPr>
        <w:spacing w:line="360" w:lineRule="auto"/>
        <w:jc w:val="both"/>
        <w:rPr>
          <w:rFonts w:ascii="Arial" w:hAnsi="Arial" w:cs="Arial"/>
          <w:sz w:val="22"/>
          <w:szCs w:val="22"/>
        </w:rPr>
      </w:pPr>
      <w:r>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EC3074" w14:textId="77777777" w:rsidR="00FA4EB6" w:rsidRDefault="00FA4EB6" w:rsidP="00FA4EB6">
      <w:pPr>
        <w:spacing w:line="360" w:lineRule="auto"/>
        <w:jc w:val="both"/>
        <w:rPr>
          <w:rFonts w:ascii="Arial" w:hAnsi="Arial" w:cs="Arial"/>
          <w:sz w:val="22"/>
          <w:szCs w:val="22"/>
        </w:rPr>
      </w:pPr>
      <w:r>
        <w:rPr>
          <w:rFonts w:ascii="Arial" w:hAnsi="Arial" w:cs="Arial"/>
          <w:sz w:val="22"/>
          <w:szCs w:val="22"/>
        </w:rPr>
        <w:t>Attention is drawn to the plagiarism and unfair practice policies of both the University and of ILM.</w:t>
      </w:r>
    </w:p>
    <w:p w14:paraId="6C0BAE26" w14:textId="77777777" w:rsidR="00FA4EB6" w:rsidRDefault="00FA4EB6" w:rsidP="00FA4EB6">
      <w:pPr>
        <w:jc w:val="both"/>
      </w:pPr>
      <w:r>
        <w:rPr>
          <w:rFonts w:ascii="Arial" w:hAnsi="Arial" w:cs="Arial"/>
        </w:rPr>
        <w:br/>
      </w:r>
    </w:p>
    <w:p w14:paraId="1724EA1C" w14:textId="77777777" w:rsidR="00FA4EB6" w:rsidRDefault="00FA4EB6" w:rsidP="00FA4EB6">
      <w:pPr>
        <w:jc w:val="both"/>
      </w:pPr>
    </w:p>
    <w:p w14:paraId="7E35E2D9" w14:textId="77777777" w:rsidR="00FA4EB6" w:rsidRDefault="00FA4EB6" w:rsidP="00FA4EB6">
      <w:pPr>
        <w:jc w:val="both"/>
      </w:pPr>
    </w:p>
    <w:p w14:paraId="744CA540" w14:textId="77777777" w:rsidR="00FA4EB6" w:rsidRDefault="00FA4EB6" w:rsidP="00FA4EB6">
      <w:pPr>
        <w:jc w:val="both"/>
      </w:pPr>
    </w:p>
    <w:p w14:paraId="3B6C835C" w14:textId="77777777" w:rsidR="00FA4EB6" w:rsidRDefault="00FA4EB6" w:rsidP="00FA4EB6">
      <w:pPr>
        <w:jc w:val="both"/>
      </w:pPr>
    </w:p>
    <w:sdt>
      <w:sdtPr>
        <w:rPr>
          <w:rFonts w:asciiTheme="minorHAnsi" w:eastAsiaTheme="minorHAnsi" w:hAnsiTheme="minorHAnsi" w:cstheme="minorBidi"/>
          <w:color w:val="auto"/>
          <w:kern w:val="2"/>
          <w:sz w:val="24"/>
          <w:szCs w:val="24"/>
          <w:lang w:val="en-GB"/>
          <w14:ligatures w14:val="standardContextual"/>
        </w:rPr>
        <w:id w:val="1330168938"/>
        <w:docPartObj>
          <w:docPartGallery w:val="Table of Contents"/>
          <w:docPartUnique/>
        </w:docPartObj>
      </w:sdtPr>
      <w:sdtEndPr>
        <w:rPr>
          <w:b/>
          <w:bCs/>
          <w:noProof/>
        </w:rPr>
      </w:sdtEndPr>
      <w:sdtContent>
        <w:p w14:paraId="4CF824AE" w14:textId="77777777" w:rsidR="00FA4EB6" w:rsidRDefault="00FA4EB6" w:rsidP="00FA4EB6">
          <w:pPr>
            <w:pStyle w:val="TOCHeading"/>
            <w:jc w:val="both"/>
          </w:pPr>
          <w:r>
            <w:t>Table of Contents</w:t>
          </w:r>
        </w:p>
        <w:p w14:paraId="701B9082" w14:textId="05CE607B" w:rsidR="009E4350" w:rsidRDefault="00FA4EB6">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4851437" w:history="1">
            <w:r w:rsidR="009E4350" w:rsidRPr="00C07A6C">
              <w:rPr>
                <w:rStyle w:val="Hyperlink"/>
                <w:noProof/>
              </w:rPr>
              <w:t>Coaching and Mentoring Skills in the Workplace</w:t>
            </w:r>
            <w:r w:rsidR="009E4350">
              <w:rPr>
                <w:noProof/>
                <w:webHidden/>
              </w:rPr>
              <w:tab/>
            </w:r>
            <w:r w:rsidR="009E4350">
              <w:rPr>
                <w:noProof/>
                <w:webHidden/>
              </w:rPr>
              <w:fldChar w:fldCharType="begin"/>
            </w:r>
            <w:r w:rsidR="009E4350">
              <w:rPr>
                <w:noProof/>
                <w:webHidden/>
              </w:rPr>
              <w:instrText xml:space="preserve"> PAGEREF _Toc224851437 \h </w:instrText>
            </w:r>
            <w:r w:rsidR="009E4350">
              <w:rPr>
                <w:noProof/>
                <w:webHidden/>
              </w:rPr>
            </w:r>
            <w:r w:rsidR="009E4350">
              <w:rPr>
                <w:noProof/>
                <w:webHidden/>
              </w:rPr>
              <w:fldChar w:fldCharType="separate"/>
            </w:r>
            <w:r w:rsidR="009E4350">
              <w:rPr>
                <w:noProof/>
                <w:webHidden/>
              </w:rPr>
              <w:t>3</w:t>
            </w:r>
            <w:r w:rsidR="009E4350">
              <w:rPr>
                <w:noProof/>
                <w:webHidden/>
              </w:rPr>
              <w:fldChar w:fldCharType="end"/>
            </w:r>
          </w:hyperlink>
        </w:p>
        <w:p w14:paraId="6C83AC08" w14:textId="2203FD4D" w:rsidR="009E4350" w:rsidRDefault="009E4350">
          <w:pPr>
            <w:pStyle w:val="TOC2"/>
            <w:tabs>
              <w:tab w:val="right" w:leader="dot" w:pos="9016"/>
            </w:tabs>
            <w:rPr>
              <w:rFonts w:cstheme="minorBidi"/>
              <w:noProof/>
              <w:kern w:val="2"/>
              <w:sz w:val="24"/>
              <w:szCs w:val="24"/>
              <w:lang w:val="en-GB" w:eastAsia="en-GB"/>
              <w14:ligatures w14:val="standardContextual"/>
            </w:rPr>
          </w:pPr>
          <w:hyperlink w:anchor="_Toc224851438" w:history="1">
            <w:r w:rsidRPr="00C07A6C">
              <w:rPr>
                <w:rStyle w:val="Hyperlink"/>
                <w:noProof/>
              </w:rPr>
              <w:t>1.0 Introduction</w:t>
            </w:r>
            <w:r>
              <w:rPr>
                <w:noProof/>
                <w:webHidden/>
              </w:rPr>
              <w:tab/>
            </w:r>
            <w:r>
              <w:rPr>
                <w:noProof/>
                <w:webHidden/>
              </w:rPr>
              <w:fldChar w:fldCharType="begin"/>
            </w:r>
            <w:r>
              <w:rPr>
                <w:noProof/>
                <w:webHidden/>
              </w:rPr>
              <w:instrText xml:space="preserve"> PAGEREF _Toc224851438 \h </w:instrText>
            </w:r>
            <w:r>
              <w:rPr>
                <w:noProof/>
                <w:webHidden/>
              </w:rPr>
            </w:r>
            <w:r>
              <w:rPr>
                <w:noProof/>
                <w:webHidden/>
              </w:rPr>
              <w:fldChar w:fldCharType="separate"/>
            </w:r>
            <w:r>
              <w:rPr>
                <w:noProof/>
                <w:webHidden/>
              </w:rPr>
              <w:t>3</w:t>
            </w:r>
            <w:r>
              <w:rPr>
                <w:noProof/>
                <w:webHidden/>
              </w:rPr>
              <w:fldChar w:fldCharType="end"/>
            </w:r>
          </w:hyperlink>
        </w:p>
        <w:p w14:paraId="126BA2D3" w14:textId="75CAFC9C"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39" w:history="1">
            <w:r w:rsidRPr="00C07A6C">
              <w:rPr>
                <w:rStyle w:val="Hyperlink"/>
                <w:noProof/>
              </w:rPr>
              <w:t>2.0 Defining Coaching and Mentoring</w:t>
            </w:r>
            <w:r>
              <w:rPr>
                <w:noProof/>
                <w:webHidden/>
              </w:rPr>
              <w:tab/>
            </w:r>
            <w:r>
              <w:rPr>
                <w:noProof/>
                <w:webHidden/>
              </w:rPr>
              <w:fldChar w:fldCharType="begin"/>
            </w:r>
            <w:r>
              <w:rPr>
                <w:noProof/>
                <w:webHidden/>
              </w:rPr>
              <w:instrText xml:space="preserve"> PAGEREF _Toc224851439 \h </w:instrText>
            </w:r>
            <w:r>
              <w:rPr>
                <w:noProof/>
                <w:webHidden/>
              </w:rPr>
            </w:r>
            <w:r>
              <w:rPr>
                <w:noProof/>
                <w:webHidden/>
              </w:rPr>
              <w:fldChar w:fldCharType="separate"/>
            </w:r>
            <w:r>
              <w:rPr>
                <w:noProof/>
                <w:webHidden/>
              </w:rPr>
              <w:t>3</w:t>
            </w:r>
            <w:r>
              <w:rPr>
                <w:noProof/>
                <w:webHidden/>
              </w:rPr>
              <w:fldChar w:fldCharType="end"/>
            </w:r>
          </w:hyperlink>
        </w:p>
        <w:p w14:paraId="46522C21" w14:textId="39CF0206"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0" w:history="1">
            <w:r w:rsidRPr="00C07A6C">
              <w:rPr>
                <w:rStyle w:val="Hyperlink"/>
                <w:noProof/>
              </w:rPr>
              <w:t>2.1 Definitions and Differences</w:t>
            </w:r>
            <w:r>
              <w:rPr>
                <w:noProof/>
                <w:webHidden/>
              </w:rPr>
              <w:tab/>
            </w:r>
            <w:r>
              <w:rPr>
                <w:noProof/>
                <w:webHidden/>
              </w:rPr>
              <w:fldChar w:fldCharType="begin"/>
            </w:r>
            <w:r>
              <w:rPr>
                <w:noProof/>
                <w:webHidden/>
              </w:rPr>
              <w:instrText xml:space="preserve"> PAGEREF _Toc224851440 \h </w:instrText>
            </w:r>
            <w:r>
              <w:rPr>
                <w:noProof/>
                <w:webHidden/>
              </w:rPr>
            </w:r>
            <w:r>
              <w:rPr>
                <w:noProof/>
                <w:webHidden/>
              </w:rPr>
              <w:fldChar w:fldCharType="separate"/>
            </w:r>
            <w:r>
              <w:rPr>
                <w:noProof/>
                <w:webHidden/>
              </w:rPr>
              <w:t>4</w:t>
            </w:r>
            <w:r>
              <w:rPr>
                <w:noProof/>
                <w:webHidden/>
              </w:rPr>
              <w:fldChar w:fldCharType="end"/>
            </w:r>
          </w:hyperlink>
        </w:p>
        <w:p w14:paraId="5973BFA9" w14:textId="2C72A750"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1" w:history="1">
            <w:r w:rsidRPr="00C07A6C">
              <w:rPr>
                <w:rStyle w:val="Hyperlink"/>
                <w:noProof/>
              </w:rPr>
              <w:t>2.2 Why Coaching in Aesthetic Education</w:t>
            </w:r>
            <w:r>
              <w:rPr>
                <w:noProof/>
                <w:webHidden/>
              </w:rPr>
              <w:tab/>
            </w:r>
            <w:r>
              <w:rPr>
                <w:noProof/>
                <w:webHidden/>
              </w:rPr>
              <w:fldChar w:fldCharType="begin"/>
            </w:r>
            <w:r>
              <w:rPr>
                <w:noProof/>
                <w:webHidden/>
              </w:rPr>
              <w:instrText xml:space="preserve"> PAGEREF _Toc224851441 \h </w:instrText>
            </w:r>
            <w:r>
              <w:rPr>
                <w:noProof/>
                <w:webHidden/>
              </w:rPr>
            </w:r>
            <w:r>
              <w:rPr>
                <w:noProof/>
                <w:webHidden/>
              </w:rPr>
              <w:fldChar w:fldCharType="separate"/>
            </w:r>
            <w:r>
              <w:rPr>
                <w:noProof/>
                <w:webHidden/>
              </w:rPr>
              <w:t>4</w:t>
            </w:r>
            <w:r>
              <w:rPr>
                <w:noProof/>
                <w:webHidden/>
              </w:rPr>
              <w:fldChar w:fldCharType="end"/>
            </w:r>
          </w:hyperlink>
        </w:p>
        <w:p w14:paraId="488C8FC9" w14:textId="45D0BD88" w:rsidR="009E4350" w:rsidRDefault="009E4350">
          <w:pPr>
            <w:pStyle w:val="TOC2"/>
            <w:tabs>
              <w:tab w:val="right" w:leader="dot" w:pos="9016"/>
            </w:tabs>
            <w:rPr>
              <w:rFonts w:cstheme="minorBidi"/>
              <w:noProof/>
              <w:kern w:val="2"/>
              <w:sz w:val="24"/>
              <w:szCs w:val="24"/>
              <w:lang w:val="en-GB" w:eastAsia="en-GB"/>
              <w14:ligatures w14:val="standardContextual"/>
            </w:rPr>
          </w:pPr>
          <w:hyperlink w:anchor="_Toc224851442" w:history="1">
            <w:r w:rsidRPr="00C07A6C">
              <w:rPr>
                <w:rStyle w:val="Hyperlink"/>
                <w:noProof/>
              </w:rPr>
              <w:t>3.0 Knowledge, Skills, Attitudes and Behaviours of an Effective Workplace Coach</w:t>
            </w:r>
            <w:r>
              <w:rPr>
                <w:noProof/>
                <w:webHidden/>
              </w:rPr>
              <w:tab/>
            </w:r>
            <w:r>
              <w:rPr>
                <w:noProof/>
                <w:webHidden/>
              </w:rPr>
              <w:fldChar w:fldCharType="begin"/>
            </w:r>
            <w:r>
              <w:rPr>
                <w:noProof/>
                <w:webHidden/>
              </w:rPr>
              <w:instrText xml:space="preserve"> PAGEREF _Toc224851442 \h </w:instrText>
            </w:r>
            <w:r>
              <w:rPr>
                <w:noProof/>
                <w:webHidden/>
              </w:rPr>
            </w:r>
            <w:r>
              <w:rPr>
                <w:noProof/>
                <w:webHidden/>
              </w:rPr>
              <w:fldChar w:fldCharType="separate"/>
            </w:r>
            <w:r>
              <w:rPr>
                <w:noProof/>
                <w:webHidden/>
              </w:rPr>
              <w:t>5</w:t>
            </w:r>
            <w:r>
              <w:rPr>
                <w:noProof/>
                <w:webHidden/>
              </w:rPr>
              <w:fldChar w:fldCharType="end"/>
            </w:r>
          </w:hyperlink>
        </w:p>
        <w:p w14:paraId="5374E03E" w14:textId="54B1328C"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3" w:history="1">
            <w:r w:rsidRPr="00C07A6C">
              <w:rPr>
                <w:rStyle w:val="Hyperlink"/>
                <w:noProof/>
              </w:rPr>
              <w:t>3.1 Purpose and Context of Workplace Coaching</w:t>
            </w:r>
            <w:r>
              <w:rPr>
                <w:noProof/>
                <w:webHidden/>
              </w:rPr>
              <w:tab/>
            </w:r>
            <w:r>
              <w:rPr>
                <w:noProof/>
                <w:webHidden/>
              </w:rPr>
              <w:fldChar w:fldCharType="begin"/>
            </w:r>
            <w:r>
              <w:rPr>
                <w:noProof/>
                <w:webHidden/>
              </w:rPr>
              <w:instrText xml:space="preserve"> PAGEREF _Toc224851443 \h </w:instrText>
            </w:r>
            <w:r>
              <w:rPr>
                <w:noProof/>
                <w:webHidden/>
              </w:rPr>
            </w:r>
            <w:r>
              <w:rPr>
                <w:noProof/>
                <w:webHidden/>
              </w:rPr>
              <w:fldChar w:fldCharType="separate"/>
            </w:r>
            <w:r>
              <w:rPr>
                <w:noProof/>
                <w:webHidden/>
              </w:rPr>
              <w:t>6</w:t>
            </w:r>
            <w:r>
              <w:rPr>
                <w:noProof/>
                <w:webHidden/>
              </w:rPr>
              <w:fldChar w:fldCharType="end"/>
            </w:r>
          </w:hyperlink>
        </w:p>
        <w:p w14:paraId="45CB9CA4" w14:textId="1EBF7EFD"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4" w:history="1">
            <w:r w:rsidRPr="00C07A6C">
              <w:rPr>
                <w:rStyle w:val="Hyperlink"/>
                <w:noProof/>
              </w:rPr>
              <w:t>3.2 Knowledge and Skills of an Effective Coach</w:t>
            </w:r>
            <w:r>
              <w:rPr>
                <w:noProof/>
                <w:webHidden/>
              </w:rPr>
              <w:tab/>
            </w:r>
            <w:r>
              <w:rPr>
                <w:noProof/>
                <w:webHidden/>
              </w:rPr>
              <w:fldChar w:fldCharType="begin"/>
            </w:r>
            <w:r>
              <w:rPr>
                <w:noProof/>
                <w:webHidden/>
              </w:rPr>
              <w:instrText xml:space="preserve"> PAGEREF _Toc224851444 \h </w:instrText>
            </w:r>
            <w:r>
              <w:rPr>
                <w:noProof/>
                <w:webHidden/>
              </w:rPr>
            </w:r>
            <w:r>
              <w:rPr>
                <w:noProof/>
                <w:webHidden/>
              </w:rPr>
              <w:fldChar w:fldCharType="separate"/>
            </w:r>
            <w:r>
              <w:rPr>
                <w:noProof/>
                <w:webHidden/>
              </w:rPr>
              <w:t>7</w:t>
            </w:r>
            <w:r>
              <w:rPr>
                <w:noProof/>
                <w:webHidden/>
              </w:rPr>
              <w:fldChar w:fldCharType="end"/>
            </w:r>
          </w:hyperlink>
        </w:p>
        <w:p w14:paraId="2F450B8F" w14:textId="0A14F1A3"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5" w:history="1">
            <w:r w:rsidRPr="00C07A6C">
              <w:rPr>
                <w:rStyle w:val="Hyperlink"/>
                <w:noProof/>
              </w:rPr>
              <w:t>3.3 Attitudes, Behaviours and Professional Judgement in Coaching</w:t>
            </w:r>
            <w:r>
              <w:rPr>
                <w:noProof/>
                <w:webHidden/>
              </w:rPr>
              <w:tab/>
            </w:r>
            <w:r>
              <w:rPr>
                <w:noProof/>
                <w:webHidden/>
              </w:rPr>
              <w:fldChar w:fldCharType="begin"/>
            </w:r>
            <w:r>
              <w:rPr>
                <w:noProof/>
                <w:webHidden/>
              </w:rPr>
              <w:instrText xml:space="preserve"> PAGEREF _Toc224851445 \h </w:instrText>
            </w:r>
            <w:r>
              <w:rPr>
                <w:noProof/>
                <w:webHidden/>
              </w:rPr>
            </w:r>
            <w:r>
              <w:rPr>
                <w:noProof/>
                <w:webHidden/>
              </w:rPr>
              <w:fldChar w:fldCharType="separate"/>
            </w:r>
            <w:r>
              <w:rPr>
                <w:noProof/>
                <w:webHidden/>
              </w:rPr>
              <w:t>8</w:t>
            </w:r>
            <w:r>
              <w:rPr>
                <w:noProof/>
                <w:webHidden/>
              </w:rPr>
              <w:fldChar w:fldCharType="end"/>
            </w:r>
          </w:hyperlink>
        </w:p>
        <w:p w14:paraId="06D92779" w14:textId="277D8B19"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6" w:history="1">
            <w:r w:rsidRPr="00C07A6C">
              <w:rPr>
                <w:rStyle w:val="Hyperlink"/>
                <w:noProof/>
              </w:rPr>
              <w:t>3.4 Workplace Culture, Motivation and the Relationship</w:t>
            </w:r>
            <w:r>
              <w:rPr>
                <w:noProof/>
                <w:webHidden/>
              </w:rPr>
              <w:tab/>
            </w:r>
            <w:r>
              <w:rPr>
                <w:noProof/>
                <w:webHidden/>
              </w:rPr>
              <w:fldChar w:fldCharType="begin"/>
            </w:r>
            <w:r>
              <w:rPr>
                <w:noProof/>
                <w:webHidden/>
              </w:rPr>
              <w:instrText xml:space="preserve"> PAGEREF _Toc224851446 \h </w:instrText>
            </w:r>
            <w:r>
              <w:rPr>
                <w:noProof/>
                <w:webHidden/>
              </w:rPr>
            </w:r>
            <w:r>
              <w:rPr>
                <w:noProof/>
                <w:webHidden/>
              </w:rPr>
              <w:fldChar w:fldCharType="separate"/>
            </w:r>
            <w:r>
              <w:rPr>
                <w:noProof/>
                <w:webHidden/>
              </w:rPr>
              <w:t>10</w:t>
            </w:r>
            <w:r>
              <w:rPr>
                <w:noProof/>
                <w:webHidden/>
              </w:rPr>
              <w:fldChar w:fldCharType="end"/>
            </w:r>
          </w:hyperlink>
        </w:p>
        <w:p w14:paraId="53CBFB1D" w14:textId="4B2C9F19" w:rsidR="009E4350" w:rsidRDefault="009E4350">
          <w:pPr>
            <w:pStyle w:val="TOC2"/>
            <w:tabs>
              <w:tab w:val="right" w:leader="dot" w:pos="9016"/>
            </w:tabs>
            <w:rPr>
              <w:rFonts w:cstheme="minorBidi"/>
              <w:noProof/>
              <w:kern w:val="2"/>
              <w:sz w:val="24"/>
              <w:szCs w:val="24"/>
              <w:lang w:val="en-GB" w:eastAsia="en-GB"/>
              <w14:ligatures w14:val="standardContextual"/>
            </w:rPr>
          </w:pPr>
          <w:hyperlink w:anchor="_Toc224851447" w:history="1">
            <w:r w:rsidRPr="00C07A6C">
              <w:rPr>
                <w:rStyle w:val="Hyperlink"/>
                <w:noProof/>
              </w:rPr>
              <w:t>4.0 Application of Coaching Models</w:t>
            </w:r>
            <w:r>
              <w:rPr>
                <w:noProof/>
                <w:webHidden/>
              </w:rPr>
              <w:tab/>
            </w:r>
            <w:r>
              <w:rPr>
                <w:noProof/>
                <w:webHidden/>
              </w:rPr>
              <w:fldChar w:fldCharType="begin"/>
            </w:r>
            <w:r>
              <w:rPr>
                <w:noProof/>
                <w:webHidden/>
              </w:rPr>
              <w:instrText xml:space="preserve"> PAGEREF _Toc224851447 \h </w:instrText>
            </w:r>
            <w:r>
              <w:rPr>
                <w:noProof/>
                <w:webHidden/>
              </w:rPr>
            </w:r>
            <w:r>
              <w:rPr>
                <w:noProof/>
                <w:webHidden/>
              </w:rPr>
              <w:fldChar w:fldCharType="separate"/>
            </w:r>
            <w:r>
              <w:rPr>
                <w:noProof/>
                <w:webHidden/>
              </w:rPr>
              <w:t>11</w:t>
            </w:r>
            <w:r>
              <w:rPr>
                <w:noProof/>
                <w:webHidden/>
              </w:rPr>
              <w:fldChar w:fldCharType="end"/>
            </w:r>
          </w:hyperlink>
        </w:p>
        <w:p w14:paraId="536D5D2D" w14:textId="0035F2C5"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8" w:history="1">
            <w:r w:rsidRPr="00C07A6C">
              <w:rPr>
                <w:rStyle w:val="Hyperlink"/>
                <w:noProof/>
              </w:rPr>
              <w:t>4.2 Comparison of GROW with Other Models</w:t>
            </w:r>
            <w:r>
              <w:rPr>
                <w:noProof/>
                <w:webHidden/>
              </w:rPr>
              <w:tab/>
            </w:r>
            <w:r>
              <w:rPr>
                <w:noProof/>
                <w:webHidden/>
              </w:rPr>
              <w:fldChar w:fldCharType="begin"/>
            </w:r>
            <w:r>
              <w:rPr>
                <w:noProof/>
                <w:webHidden/>
              </w:rPr>
              <w:instrText xml:space="preserve"> PAGEREF _Toc224851448 \h </w:instrText>
            </w:r>
            <w:r>
              <w:rPr>
                <w:noProof/>
                <w:webHidden/>
              </w:rPr>
            </w:r>
            <w:r>
              <w:rPr>
                <w:noProof/>
                <w:webHidden/>
              </w:rPr>
              <w:fldChar w:fldCharType="separate"/>
            </w:r>
            <w:r>
              <w:rPr>
                <w:noProof/>
                <w:webHidden/>
              </w:rPr>
              <w:t>13</w:t>
            </w:r>
            <w:r>
              <w:rPr>
                <w:noProof/>
                <w:webHidden/>
              </w:rPr>
              <w:fldChar w:fldCharType="end"/>
            </w:r>
          </w:hyperlink>
        </w:p>
        <w:p w14:paraId="259C78CB" w14:textId="4BB79976"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49" w:history="1">
            <w:r w:rsidRPr="00C07A6C">
              <w:rPr>
                <w:rStyle w:val="Hyperlink"/>
                <w:noProof/>
              </w:rPr>
              <w:t>4.3 Contracting, Supervision and Evaluation of Coaching Effectiveness</w:t>
            </w:r>
            <w:r>
              <w:rPr>
                <w:noProof/>
                <w:webHidden/>
              </w:rPr>
              <w:tab/>
            </w:r>
            <w:r>
              <w:rPr>
                <w:noProof/>
                <w:webHidden/>
              </w:rPr>
              <w:fldChar w:fldCharType="begin"/>
            </w:r>
            <w:r>
              <w:rPr>
                <w:noProof/>
                <w:webHidden/>
              </w:rPr>
              <w:instrText xml:space="preserve"> PAGEREF _Toc224851449 \h </w:instrText>
            </w:r>
            <w:r>
              <w:rPr>
                <w:noProof/>
                <w:webHidden/>
              </w:rPr>
            </w:r>
            <w:r>
              <w:rPr>
                <w:noProof/>
                <w:webHidden/>
              </w:rPr>
              <w:fldChar w:fldCharType="separate"/>
            </w:r>
            <w:r>
              <w:rPr>
                <w:noProof/>
                <w:webHidden/>
              </w:rPr>
              <w:t>13</w:t>
            </w:r>
            <w:r>
              <w:rPr>
                <w:noProof/>
                <w:webHidden/>
              </w:rPr>
              <w:fldChar w:fldCharType="end"/>
            </w:r>
          </w:hyperlink>
        </w:p>
        <w:p w14:paraId="7ED2B75E" w14:textId="2215CB3E" w:rsidR="009E4350" w:rsidRDefault="009E4350">
          <w:pPr>
            <w:pStyle w:val="TOC3"/>
            <w:tabs>
              <w:tab w:val="right" w:leader="dot" w:pos="9016"/>
            </w:tabs>
            <w:rPr>
              <w:rFonts w:cstheme="minorBidi"/>
              <w:noProof/>
              <w:kern w:val="2"/>
              <w:sz w:val="24"/>
              <w:szCs w:val="24"/>
              <w:lang w:val="en-GB" w:eastAsia="en-GB"/>
              <w14:ligatures w14:val="standardContextual"/>
            </w:rPr>
          </w:pPr>
          <w:hyperlink w:anchor="_Toc224851450" w:history="1">
            <w:r w:rsidRPr="00C07A6C">
              <w:rPr>
                <w:rStyle w:val="Hyperlink"/>
                <w:noProof/>
              </w:rPr>
              <w:t>4.4 Recommendations for Coaching in Aesthetic Education</w:t>
            </w:r>
            <w:r>
              <w:rPr>
                <w:noProof/>
                <w:webHidden/>
              </w:rPr>
              <w:tab/>
            </w:r>
            <w:r>
              <w:rPr>
                <w:noProof/>
                <w:webHidden/>
              </w:rPr>
              <w:fldChar w:fldCharType="begin"/>
            </w:r>
            <w:r>
              <w:rPr>
                <w:noProof/>
                <w:webHidden/>
              </w:rPr>
              <w:instrText xml:space="preserve"> PAGEREF _Toc224851450 \h </w:instrText>
            </w:r>
            <w:r>
              <w:rPr>
                <w:noProof/>
                <w:webHidden/>
              </w:rPr>
            </w:r>
            <w:r>
              <w:rPr>
                <w:noProof/>
                <w:webHidden/>
              </w:rPr>
              <w:fldChar w:fldCharType="separate"/>
            </w:r>
            <w:r>
              <w:rPr>
                <w:noProof/>
                <w:webHidden/>
              </w:rPr>
              <w:t>15</w:t>
            </w:r>
            <w:r>
              <w:rPr>
                <w:noProof/>
                <w:webHidden/>
              </w:rPr>
              <w:fldChar w:fldCharType="end"/>
            </w:r>
          </w:hyperlink>
        </w:p>
        <w:p w14:paraId="74D1971E" w14:textId="04747DC8" w:rsidR="009E4350" w:rsidRDefault="009E4350">
          <w:pPr>
            <w:pStyle w:val="TOC2"/>
            <w:tabs>
              <w:tab w:val="right" w:leader="dot" w:pos="9016"/>
            </w:tabs>
            <w:rPr>
              <w:rFonts w:cstheme="minorBidi"/>
              <w:noProof/>
              <w:kern w:val="2"/>
              <w:sz w:val="24"/>
              <w:szCs w:val="24"/>
              <w:lang w:val="en-GB" w:eastAsia="en-GB"/>
              <w14:ligatures w14:val="standardContextual"/>
            </w:rPr>
          </w:pPr>
          <w:hyperlink w:anchor="_Toc224851451" w:history="1">
            <w:r w:rsidRPr="00C07A6C">
              <w:rPr>
                <w:rStyle w:val="Hyperlink"/>
                <w:noProof/>
              </w:rPr>
              <w:t>5.0 Conclusion</w:t>
            </w:r>
            <w:r>
              <w:rPr>
                <w:noProof/>
                <w:webHidden/>
              </w:rPr>
              <w:tab/>
            </w:r>
            <w:r>
              <w:rPr>
                <w:noProof/>
                <w:webHidden/>
              </w:rPr>
              <w:fldChar w:fldCharType="begin"/>
            </w:r>
            <w:r>
              <w:rPr>
                <w:noProof/>
                <w:webHidden/>
              </w:rPr>
              <w:instrText xml:space="preserve"> PAGEREF _Toc224851451 \h </w:instrText>
            </w:r>
            <w:r>
              <w:rPr>
                <w:noProof/>
                <w:webHidden/>
              </w:rPr>
            </w:r>
            <w:r>
              <w:rPr>
                <w:noProof/>
                <w:webHidden/>
              </w:rPr>
              <w:fldChar w:fldCharType="separate"/>
            </w:r>
            <w:r>
              <w:rPr>
                <w:noProof/>
                <w:webHidden/>
              </w:rPr>
              <w:t>15</w:t>
            </w:r>
            <w:r>
              <w:rPr>
                <w:noProof/>
                <w:webHidden/>
              </w:rPr>
              <w:fldChar w:fldCharType="end"/>
            </w:r>
          </w:hyperlink>
        </w:p>
        <w:p w14:paraId="279F5169" w14:textId="0F5B67BD" w:rsidR="009E4350" w:rsidRDefault="009E4350">
          <w:pPr>
            <w:pStyle w:val="TOC2"/>
            <w:tabs>
              <w:tab w:val="right" w:leader="dot" w:pos="9016"/>
            </w:tabs>
            <w:rPr>
              <w:rFonts w:cstheme="minorBidi"/>
              <w:noProof/>
              <w:kern w:val="2"/>
              <w:sz w:val="24"/>
              <w:szCs w:val="24"/>
              <w:lang w:val="en-GB" w:eastAsia="en-GB"/>
              <w14:ligatures w14:val="standardContextual"/>
            </w:rPr>
          </w:pPr>
          <w:hyperlink w:anchor="_Toc224851452" w:history="1">
            <w:r w:rsidRPr="00C07A6C">
              <w:rPr>
                <w:rStyle w:val="Hyperlink"/>
                <w:noProof/>
              </w:rPr>
              <w:t>References</w:t>
            </w:r>
            <w:r>
              <w:rPr>
                <w:noProof/>
                <w:webHidden/>
              </w:rPr>
              <w:tab/>
            </w:r>
            <w:r>
              <w:rPr>
                <w:noProof/>
                <w:webHidden/>
              </w:rPr>
              <w:fldChar w:fldCharType="begin"/>
            </w:r>
            <w:r>
              <w:rPr>
                <w:noProof/>
                <w:webHidden/>
              </w:rPr>
              <w:instrText xml:space="preserve"> PAGEREF _Toc224851452 \h </w:instrText>
            </w:r>
            <w:r>
              <w:rPr>
                <w:noProof/>
                <w:webHidden/>
              </w:rPr>
            </w:r>
            <w:r>
              <w:rPr>
                <w:noProof/>
                <w:webHidden/>
              </w:rPr>
              <w:fldChar w:fldCharType="separate"/>
            </w:r>
            <w:r>
              <w:rPr>
                <w:noProof/>
                <w:webHidden/>
              </w:rPr>
              <w:t>17</w:t>
            </w:r>
            <w:r>
              <w:rPr>
                <w:noProof/>
                <w:webHidden/>
              </w:rPr>
              <w:fldChar w:fldCharType="end"/>
            </w:r>
          </w:hyperlink>
        </w:p>
        <w:p w14:paraId="2291F2D0" w14:textId="2602F832" w:rsidR="00FA4EB6" w:rsidRDefault="00FA4EB6" w:rsidP="00FA4EB6">
          <w:pPr>
            <w:jc w:val="both"/>
          </w:pPr>
          <w:r>
            <w:rPr>
              <w:b/>
              <w:bCs/>
              <w:noProof/>
            </w:rPr>
            <w:fldChar w:fldCharType="end"/>
          </w:r>
        </w:p>
      </w:sdtContent>
    </w:sdt>
    <w:p w14:paraId="541CCE95" w14:textId="77777777" w:rsidR="00FA4EB6" w:rsidRDefault="00FA4EB6" w:rsidP="00FA4EB6">
      <w:pPr>
        <w:jc w:val="both"/>
        <w:rPr>
          <w:b/>
          <w:bCs/>
        </w:rPr>
      </w:pPr>
    </w:p>
    <w:p w14:paraId="702E0CBB" w14:textId="77777777" w:rsidR="00FA4EB6" w:rsidRDefault="00FA4EB6" w:rsidP="00FA4EB6">
      <w:pPr>
        <w:jc w:val="both"/>
        <w:rPr>
          <w:b/>
          <w:bCs/>
        </w:rPr>
      </w:pPr>
    </w:p>
    <w:p w14:paraId="31AB63A3" w14:textId="77777777" w:rsidR="00FA4EB6" w:rsidRDefault="00FA4EB6" w:rsidP="00FA4EB6">
      <w:pPr>
        <w:jc w:val="both"/>
        <w:rPr>
          <w:b/>
          <w:bCs/>
        </w:rPr>
      </w:pPr>
    </w:p>
    <w:p w14:paraId="171A27E1" w14:textId="77777777" w:rsidR="00FA4EB6" w:rsidRDefault="00FA4EB6" w:rsidP="00FA4EB6">
      <w:pPr>
        <w:jc w:val="both"/>
        <w:rPr>
          <w:b/>
          <w:bCs/>
        </w:rPr>
      </w:pPr>
    </w:p>
    <w:p w14:paraId="61789709" w14:textId="77777777" w:rsidR="00FA4EB6" w:rsidRDefault="00FA4EB6" w:rsidP="00FA4EB6">
      <w:pPr>
        <w:jc w:val="both"/>
        <w:rPr>
          <w:b/>
          <w:bCs/>
        </w:rPr>
      </w:pPr>
    </w:p>
    <w:p w14:paraId="6A472C3A" w14:textId="77777777" w:rsidR="00FA4EB6" w:rsidRDefault="00FA4EB6" w:rsidP="00FA4EB6">
      <w:pPr>
        <w:jc w:val="both"/>
        <w:rPr>
          <w:b/>
          <w:bCs/>
        </w:rPr>
      </w:pPr>
    </w:p>
    <w:p w14:paraId="4778A5DB" w14:textId="77777777" w:rsidR="00FA4EB6" w:rsidRDefault="00FA4EB6" w:rsidP="00FA4EB6">
      <w:pPr>
        <w:jc w:val="both"/>
        <w:rPr>
          <w:b/>
          <w:bCs/>
        </w:rPr>
      </w:pPr>
    </w:p>
    <w:p w14:paraId="7A7F94E7" w14:textId="77777777" w:rsidR="00FA4EB6" w:rsidRDefault="00FA4EB6" w:rsidP="00FA4EB6">
      <w:pPr>
        <w:jc w:val="both"/>
        <w:rPr>
          <w:b/>
          <w:bCs/>
        </w:rPr>
      </w:pPr>
    </w:p>
    <w:p w14:paraId="0B8053AA" w14:textId="77777777" w:rsidR="00FA4EB6" w:rsidRDefault="00FA4EB6" w:rsidP="00FA4EB6">
      <w:pPr>
        <w:jc w:val="both"/>
        <w:rPr>
          <w:b/>
          <w:bCs/>
        </w:rPr>
      </w:pPr>
    </w:p>
    <w:p w14:paraId="6E552531" w14:textId="77777777" w:rsidR="00FA4EB6" w:rsidRDefault="00FA4EB6" w:rsidP="00FA4EB6">
      <w:pPr>
        <w:rPr>
          <w:b/>
          <w:bCs/>
        </w:rPr>
      </w:pPr>
    </w:p>
    <w:p w14:paraId="0F58755B" w14:textId="77777777" w:rsidR="00FA4EB6" w:rsidRDefault="00FA4EB6" w:rsidP="00FA4EB6">
      <w:pPr>
        <w:rPr>
          <w:b/>
          <w:bCs/>
        </w:rPr>
      </w:pPr>
    </w:p>
    <w:p w14:paraId="00B626AE" w14:textId="77777777" w:rsidR="00FA4EB6" w:rsidRDefault="00FA4EB6" w:rsidP="00FA4EB6">
      <w:pPr>
        <w:rPr>
          <w:b/>
          <w:bCs/>
        </w:rPr>
      </w:pPr>
    </w:p>
    <w:p w14:paraId="1D794CB1" w14:textId="77777777" w:rsidR="00FA4EB6" w:rsidRDefault="00FA4EB6" w:rsidP="00FA4EB6">
      <w:pPr>
        <w:rPr>
          <w:b/>
          <w:bCs/>
        </w:rPr>
      </w:pPr>
    </w:p>
    <w:p w14:paraId="6A60B906" w14:textId="517FD0FB" w:rsidR="00FA4EB6" w:rsidRPr="00FA4EB6" w:rsidRDefault="00FA4EB6" w:rsidP="00FA4EB6">
      <w:pPr>
        <w:pStyle w:val="Heading1"/>
      </w:pPr>
      <w:bookmarkStart w:id="0" w:name="_Toc224851437"/>
      <w:r w:rsidRPr="00FA4EB6">
        <w:lastRenderedPageBreak/>
        <w:t>Coaching and Mentoring Skills in the Workplace</w:t>
      </w:r>
      <w:bookmarkEnd w:id="0"/>
    </w:p>
    <w:p w14:paraId="1BA6FD0A" w14:textId="77777777" w:rsidR="00FA4EB6" w:rsidRPr="00FA4EB6" w:rsidRDefault="00FA4EB6" w:rsidP="00FA4EB6">
      <w:pPr>
        <w:pStyle w:val="Heading2"/>
      </w:pPr>
      <w:bookmarkStart w:id="1" w:name="_Toc224851438"/>
      <w:r w:rsidRPr="00FA4EB6">
        <w:t>1.0 Introduction</w:t>
      </w:r>
      <w:bookmarkEnd w:id="1"/>
    </w:p>
    <w:p w14:paraId="704624A6" w14:textId="07FE39E0" w:rsidR="00FA4EB6" w:rsidRPr="00FA4EB6" w:rsidRDefault="00FA4EB6" w:rsidP="00FA4EB6">
      <w:pPr>
        <w:spacing w:line="360" w:lineRule="auto"/>
        <w:jc w:val="both"/>
      </w:pPr>
      <w:r w:rsidRPr="00FA4EB6">
        <w:t xml:space="preserve">Coaching and mentoring are widely recognised developmental practices used within organisations to improve employee performance, professional growth and knowledge. Both play </w:t>
      </w:r>
      <w:r w:rsidR="00483960" w:rsidRPr="00FA4EB6">
        <w:t>a key role</w:t>
      </w:r>
      <w:r w:rsidRPr="00FA4EB6">
        <w:t xml:space="preserve"> in individual development and organisational learning (Grant </w:t>
      </w:r>
      <w:r w:rsidR="00E44069">
        <w:t>&amp;</w:t>
      </w:r>
      <w:r w:rsidRPr="00FA4EB6">
        <w:t xml:space="preserve"> Gerrard, 2020). However, although they share a developmental purpose, they differ in structure, duration and emphasis. Grant and Gerrard (2020) present coaching as a structured, goal-focused process, whereas Kolontari </w:t>
      </w:r>
      <w:r w:rsidRPr="00FA4EB6">
        <w:rPr>
          <w:i/>
          <w:iCs/>
        </w:rPr>
        <w:t>et al</w:t>
      </w:r>
      <w:r w:rsidRPr="00FA4EB6">
        <w:t>. (2023) emphasise the broader and more relational nature of mentoring. This distinction is particularly relevant in aesthetic education, where short-form training often prioritises immediate competence over long-term career guidance.</w:t>
      </w:r>
    </w:p>
    <w:p w14:paraId="4DF8E11A" w14:textId="53154257" w:rsidR="00FA4EB6" w:rsidRPr="00FA4EB6" w:rsidRDefault="00FA4EB6" w:rsidP="00FA4EB6">
      <w:pPr>
        <w:spacing w:line="360" w:lineRule="auto"/>
        <w:jc w:val="both"/>
      </w:pPr>
      <w:r w:rsidRPr="00FA4EB6">
        <w:t>Within workplace settings, coaching i</w:t>
      </w:r>
      <w:r w:rsidR="00E97EBA">
        <w:t>s</w:t>
      </w:r>
      <w:r w:rsidRPr="00FA4EB6">
        <w:t xml:space="preserve"> used to support skills development, reflective practice and improved performance. In the aesthetics sector, it is especially relevant because practitioners are required to develop not only technical competence but also consultation skills, professional judgement and safe clinical practice within a changing regulatory environment. These demands make workplace learning both practical and high stakes, requiring developmental approaches that are structured, responsive, and clearly linked to professional standards.</w:t>
      </w:r>
    </w:p>
    <w:p w14:paraId="00596D2A" w14:textId="77777777" w:rsidR="00844131" w:rsidRDefault="00FA4EB6" w:rsidP="00844131">
      <w:pPr>
        <w:spacing w:line="360" w:lineRule="auto"/>
        <w:jc w:val="both"/>
      </w:pPr>
      <w:r w:rsidRPr="00FA4EB6">
        <w:t>This report critically analyses coaching within organisational contexts, evaluates selected coaching models used in practice, and reflects on how coaching can support practitioner development and workplace performance in the aesthetics sector.</w:t>
      </w:r>
    </w:p>
    <w:p w14:paraId="40056E4F" w14:textId="77777777" w:rsidR="00844131" w:rsidRDefault="00FA4EB6" w:rsidP="00844131">
      <w:pPr>
        <w:pStyle w:val="Heading3"/>
      </w:pPr>
      <w:bookmarkStart w:id="2" w:name="_Toc224851439"/>
      <w:r w:rsidRPr="00FA4EB6">
        <w:t>2.0 Defining Coaching and Mentoring</w:t>
      </w:r>
      <w:bookmarkEnd w:id="2"/>
    </w:p>
    <w:p w14:paraId="1BFE349A" w14:textId="71BDC621" w:rsidR="00844131" w:rsidRDefault="00844131" w:rsidP="00844131">
      <w:pPr>
        <w:spacing w:line="360" w:lineRule="auto"/>
        <w:jc w:val="both"/>
      </w:pPr>
      <w:r w:rsidRPr="00844131">
        <w:t xml:space="preserve">Organisations use both coaching and mentoring to help their employees learn and grow, but the two are usually different in terms of their goals and how they are set up. </w:t>
      </w:r>
      <w:r w:rsidR="00AE518E">
        <w:t>People often</w:t>
      </w:r>
      <w:r w:rsidRPr="00844131">
        <w:t xml:space="preserve"> think of coaching as a more structured and </w:t>
      </w:r>
      <w:r w:rsidR="00483960" w:rsidRPr="00844131">
        <w:t>purposeful</w:t>
      </w:r>
      <w:r w:rsidRPr="00844131">
        <w:t xml:space="preserve"> process, while mentoring is often thought of as a more general, relationship-based form of support. This distinction is beneficial in aesthetic education as brief training programs often emphasise the swift acquisition of skills over enduring career guidance.</w:t>
      </w:r>
    </w:p>
    <w:p w14:paraId="3F7A5643" w14:textId="32CDCB54" w:rsidR="00FA4EB6" w:rsidRPr="00FA4EB6" w:rsidRDefault="00FA4EB6" w:rsidP="00FA4EB6">
      <w:pPr>
        <w:pStyle w:val="Heading3"/>
      </w:pPr>
      <w:bookmarkStart w:id="3" w:name="_Toc224851440"/>
      <w:r w:rsidRPr="00FA4EB6">
        <w:lastRenderedPageBreak/>
        <w:t>2.1 Definitions and Differences</w:t>
      </w:r>
      <w:bookmarkEnd w:id="3"/>
    </w:p>
    <w:p w14:paraId="534C1896" w14:textId="1253BA1A" w:rsidR="00FA4EB6" w:rsidRPr="00FA4EB6" w:rsidRDefault="00FA4EB6" w:rsidP="00FA4EB6">
      <w:pPr>
        <w:spacing w:line="360" w:lineRule="auto"/>
        <w:jc w:val="both"/>
      </w:pPr>
      <w:r w:rsidRPr="00FA4EB6">
        <w:t>Coaching and mentoring both involve communication, reflection, feedback and support</w:t>
      </w:r>
      <w:r w:rsidR="00941F2D">
        <w:t>ing development</w:t>
      </w:r>
      <w:r w:rsidR="00C5631B">
        <w:t xml:space="preserve"> where</w:t>
      </w:r>
      <w:r w:rsidRPr="00FA4EB6">
        <w:t xml:space="preserve"> both may contribute to </w:t>
      </w:r>
      <w:r w:rsidR="00C5631B">
        <w:t>building</w:t>
      </w:r>
      <w:r w:rsidRPr="00FA4EB6">
        <w:t xml:space="preserve"> professional growth</w:t>
      </w:r>
      <w:r w:rsidR="00C5631B">
        <w:t>, such as gaining confidence</w:t>
      </w:r>
      <w:r w:rsidRPr="00FA4EB6">
        <w:t xml:space="preserve"> (Grant </w:t>
      </w:r>
      <w:r w:rsidR="00E44069">
        <w:t>&amp;</w:t>
      </w:r>
      <w:r w:rsidRPr="00FA4EB6">
        <w:t xml:space="preserve"> Gerrard, 2020). </w:t>
      </w:r>
      <w:r w:rsidR="00727494">
        <w:t xml:space="preserve">Within the workplace, both </w:t>
      </w:r>
      <w:r w:rsidR="001B65A5">
        <w:t xml:space="preserve">methods </w:t>
      </w:r>
      <w:r w:rsidRPr="00FA4EB6">
        <w:t>may overlap</w:t>
      </w:r>
      <w:r w:rsidR="001B65A5">
        <w:t xml:space="preserve">. </w:t>
      </w:r>
      <w:r w:rsidR="00F87E8C">
        <w:t>Specifically,</w:t>
      </w:r>
      <w:r w:rsidR="0092184C">
        <w:t xml:space="preserve"> environments</w:t>
      </w:r>
      <w:r w:rsidRPr="00FA4EB6">
        <w:t xml:space="preserve"> where learning </w:t>
      </w:r>
      <w:r w:rsidR="001B65A5">
        <w:t>continues</w:t>
      </w:r>
      <w:r w:rsidRPr="00FA4EB6">
        <w:t xml:space="preserve"> and support is integrated into practice (CIPD, 202</w:t>
      </w:r>
      <w:r w:rsidR="00F35AE2">
        <w:t>5</w:t>
      </w:r>
      <w:r w:rsidRPr="00FA4EB6">
        <w:t xml:space="preserve">; Garvey </w:t>
      </w:r>
      <w:r w:rsidRPr="00FA4EB6">
        <w:rPr>
          <w:i/>
          <w:iCs/>
        </w:rPr>
        <w:t>et al</w:t>
      </w:r>
      <w:r w:rsidRPr="00FA4EB6">
        <w:t>., 2018). Nevertheless, they remain conceptually distinct.</w:t>
      </w:r>
    </w:p>
    <w:p w14:paraId="295820F0" w14:textId="7D989C18" w:rsidR="00FA4EB6" w:rsidRPr="00FA4EB6" w:rsidRDefault="00FA4EB6" w:rsidP="00FA4EB6">
      <w:pPr>
        <w:spacing w:line="360" w:lineRule="auto"/>
        <w:jc w:val="both"/>
      </w:pPr>
      <w:r w:rsidRPr="00FA4EB6">
        <w:t xml:space="preserve">Coaching is regarded as a targeted, objective-driven process </w:t>
      </w:r>
      <w:r w:rsidR="00E46FD8">
        <w:t>created</w:t>
      </w:r>
      <w:r w:rsidRPr="00FA4EB6">
        <w:t xml:space="preserve"> to improve skills, behaviours, or performance through </w:t>
      </w:r>
      <w:r w:rsidR="00EE1116">
        <w:t>planning</w:t>
      </w:r>
      <w:r w:rsidRPr="00FA4EB6">
        <w:t xml:space="preserve"> and reflection (Irby </w:t>
      </w:r>
      <w:r w:rsidR="00E44069">
        <w:t>&amp;</w:t>
      </w:r>
      <w:r w:rsidRPr="00FA4EB6">
        <w:t xml:space="preserve"> Pashmforoosh, 2024)</w:t>
      </w:r>
      <w:r w:rsidR="00EE1116">
        <w:t xml:space="preserve"> and</w:t>
      </w:r>
      <w:r w:rsidRPr="00FA4EB6">
        <w:t xml:space="preserve"> is often associated with short-term development </w:t>
      </w:r>
      <w:r w:rsidR="00EE1116">
        <w:t>with</w:t>
      </w:r>
      <w:r w:rsidRPr="00FA4EB6">
        <w:t xml:space="preserve"> a clearly defined outcome, such as improving a specific task</w:t>
      </w:r>
      <w:r w:rsidR="00506CD9">
        <w:t xml:space="preserve"> or </w:t>
      </w:r>
      <w:r w:rsidRPr="00FA4EB6">
        <w:t>behaviour</w:t>
      </w:r>
      <w:r w:rsidR="00506CD9">
        <w:t xml:space="preserve"> in</w:t>
      </w:r>
      <w:r w:rsidRPr="00FA4EB6">
        <w:t xml:space="preserve"> professional practice. In </w:t>
      </w:r>
      <w:r w:rsidR="00506CD9">
        <w:t xml:space="preserve">the </w:t>
      </w:r>
      <w:r w:rsidRPr="00FA4EB6">
        <w:t xml:space="preserve">workplace, coaching </w:t>
      </w:r>
      <w:r w:rsidR="00506CD9">
        <w:t>claims to</w:t>
      </w:r>
      <w:r w:rsidRPr="00FA4EB6">
        <w:t xml:space="preserve"> help learners </w:t>
      </w:r>
      <w:r w:rsidR="00D0507B">
        <w:t xml:space="preserve">see what and how they need to improve on, </w:t>
      </w:r>
      <w:r w:rsidRPr="00FA4EB6">
        <w:t>reflect on and move towards</w:t>
      </w:r>
      <w:r w:rsidR="007C50FD">
        <w:t xml:space="preserve"> a</w:t>
      </w:r>
      <w:r w:rsidRPr="00FA4EB6">
        <w:t xml:space="preserve"> more effective performance.</w:t>
      </w:r>
    </w:p>
    <w:p w14:paraId="34F466FD" w14:textId="7B8156AE" w:rsidR="00FA4EB6" w:rsidRPr="00FA4EB6" w:rsidRDefault="00FA4EB6" w:rsidP="00FA4EB6">
      <w:pPr>
        <w:spacing w:line="360" w:lineRule="auto"/>
        <w:jc w:val="both"/>
      </w:pPr>
      <w:r w:rsidRPr="00FA4EB6">
        <w:t xml:space="preserve">Mentoring, by contrast, is more a longer-term developmental relationship in which a more experienced person offers advice, support and professional insight to a less experienced colleague (Kolontari </w:t>
      </w:r>
      <w:r w:rsidRPr="00FA4EB6">
        <w:rPr>
          <w:i/>
          <w:iCs/>
        </w:rPr>
        <w:t>et al</w:t>
      </w:r>
      <w:r w:rsidRPr="00FA4EB6">
        <w:t xml:space="preserve">., 2023; Luong, 2025). </w:t>
      </w:r>
      <w:r w:rsidR="00810A2E">
        <w:t>Mentoring is</w:t>
      </w:r>
      <w:r w:rsidRPr="00FA4EB6">
        <w:t xml:space="preserve"> more </w:t>
      </w:r>
      <w:r w:rsidR="00FE1AD6" w:rsidRPr="00FA4EB6">
        <w:t>strongly associated</w:t>
      </w:r>
      <w:r w:rsidRPr="00FA4EB6">
        <w:t xml:space="preserve"> with broader career development</w:t>
      </w:r>
      <w:r w:rsidR="00810A2E">
        <w:t xml:space="preserve"> within larger organisations</w:t>
      </w:r>
      <w:r w:rsidR="00D337EF">
        <w:t xml:space="preserve"> </w:t>
      </w:r>
      <w:r w:rsidR="00A03F38">
        <w:t xml:space="preserve">to help </w:t>
      </w:r>
      <w:r w:rsidRPr="00FA4EB6">
        <w:t>shar</w:t>
      </w:r>
      <w:r w:rsidR="00A03F38">
        <w:t xml:space="preserve">e knowledge and experience </w:t>
      </w:r>
      <w:r w:rsidRPr="00FA4EB6">
        <w:t>over time (CIPD, 202</w:t>
      </w:r>
      <w:r w:rsidR="00F35AE2">
        <w:t>5</w:t>
      </w:r>
      <w:r w:rsidRPr="00FA4EB6">
        <w:t xml:space="preserve">; Nuis </w:t>
      </w:r>
      <w:r w:rsidRPr="00FA4EB6">
        <w:rPr>
          <w:i/>
          <w:iCs/>
        </w:rPr>
        <w:t>et al</w:t>
      </w:r>
      <w:r w:rsidRPr="00FA4EB6">
        <w:t xml:space="preserve">., 2023). </w:t>
      </w:r>
    </w:p>
    <w:p w14:paraId="1F1FBC8C" w14:textId="57D50594" w:rsidR="00FA4EB6" w:rsidRPr="00FA4EB6" w:rsidRDefault="00FA4EB6" w:rsidP="00FA4EB6">
      <w:pPr>
        <w:spacing w:line="360" w:lineRule="auto"/>
        <w:jc w:val="both"/>
      </w:pPr>
      <w:r w:rsidRPr="00FA4EB6">
        <w:t>In practice, particularly within specialist or small-scale training environments such as facial aesthetics, coaching and mentoring may sometimes blend</w:t>
      </w:r>
      <w:r w:rsidR="00892F1F">
        <w:t xml:space="preserve"> where the coach may offer advice and guidance after the training</w:t>
      </w:r>
      <w:r w:rsidRPr="00FA4EB6">
        <w:t xml:space="preserve">. However, </w:t>
      </w:r>
      <w:r w:rsidR="00A840ED">
        <w:t xml:space="preserve">it </w:t>
      </w:r>
      <w:r w:rsidR="00821C26">
        <w:t>may be</w:t>
      </w:r>
      <w:r w:rsidR="00A840ED">
        <w:t xml:space="preserve"> consider</w:t>
      </w:r>
      <w:r w:rsidR="00821C26">
        <w:t>ed</w:t>
      </w:r>
      <w:r w:rsidR="00A840ED">
        <w:t xml:space="preserve"> whether the </w:t>
      </w:r>
      <w:r w:rsidRPr="00FA4EB6">
        <w:t xml:space="preserve">developmental approach matches the learner’s needs, the workplace and the structure of the learning environment. This is </w:t>
      </w:r>
      <w:r w:rsidR="00B44725">
        <w:t>reviewed in</w:t>
      </w:r>
      <w:r w:rsidRPr="00FA4EB6">
        <w:t xml:space="preserve"> aesthetics, where training often takes place over </w:t>
      </w:r>
      <w:r w:rsidR="00483960" w:rsidRPr="00FA4EB6">
        <w:t>a brief period</w:t>
      </w:r>
      <w:r w:rsidRPr="00FA4EB6">
        <w:t xml:space="preserve"> and where competence must be demonstrated quickly and safely.</w:t>
      </w:r>
    </w:p>
    <w:p w14:paraId="1F910906" w14:textId="77777777" w:rsidR="00FA4EB6" w:rsidRPr="00FA4EB6" w:rsidRDefault="00FA4EB6" w:rsidP="00FA4EB6">
      <w:pPr>
        <w:pStyle w:val="Heading3"/>
      </w:pPr>
      <w:bookmarkStart w:id="4" w:name="_Toc224851441"/>
      <w:r w:rsidRPr="00FA4EB6">
        <w:t>2.2 Why Coaching in Aesthetic Education</w:t>
      </w:r>
      <w:bookmarkEnd w:id="4"/>
    </w:p>
    <w:p w14:paraId="1A13ED92" w14:textId="3FE0AA31" w:rsidR="00FA4EB6" w:rsidRPr="00FA4EB6" w:rsidRDefault="00FA4EB6" w:rsidP="00FA4EB6">
      <w:pPr>
        <w:spacing w:line="360" w:lineRule="auto"/>
        <w:jc w:val="both"/>
      </w:pPr>
      <w:r w:rsidRPr="00FA4EB6">
        <w:t xml:space="preserve">Coaching is </w:t>
      </w:r>
      <w:r w:rsidR="00031FFF">
        <w:t>best suitable within</w:t>
      </w:r>
      <w:r w:rsidRPr="00FA4EB6">
        <w:t xml:space="preserve"> aesthetic education because practitioners work independently or are self-employed, which may limit access to </w:t>
      </w:r>
      <w:r w:rsidR="00031FFF">
        <w:t>mentors within the workplace</w:t>
      </w:r>
      <w:r w:rsidR="001D5BB9">
        <w:t xml:space="preserve"> unless paid for independently. </w:t>
      </w:r>
      <w:r w:rsidRPr="00FA4EB6">
        <w:t>In addition, aesthetic training is often short, intensive and performance focused</w:t>
      </w:r>
      <w:r w:rsidR="001D5BB9">
        <w:t xml:space="preserve"> where l</w:t>
      </w:r>
      <w:r w:rsidRPr="00FA4EB6">
        <w:t xml:space="preserve">earners are expected to develop consultation </w:t>
      </w:r>
      <w:r w:rsidRPr="00FA4EB6">
        <w:lastRenderedPageBreak/>
        <w:t xml:space="preserve">skills, </w:t>
      </w:r>
      <w:r w:rsidR="001D5BB9">
        <w:t xml:space="preserve">knowledge and </w:t>
      </w:r>
      <w:r w:rsidRPr="00FA4EB6">
        <w:t>understanding, techni</w:t>
      </w:r>
      <w:r w:rsidR="001D5BB9">
        <w:t>que</w:t>
      </w:r>
      <w:r w:rsidRPr="00FA4EB6">
        <w:t xml:space="preserve"> and safe practice. In this context, coaching is more suitable because it supports immediate improvement through demonstration, guided practice, structured feedback</w:t>
      </w:r>
      <w:r w:rsidR="00515991">
        <w:t xml:space="preserve"> </w:t>
      </w:r>
      <w:r w:rsidRPr="00FA4EB6">
        <w:t>and reflection.</w:t>
      </w:r>
      <w:r w:rsidR="00515991">
        <w:t xml:space="preserve"> </w:t>
      </w:r>
    </w:p>
    <w:p w14:paraId="098DAAF9" w14:textId="6C069606" w:rsidR="00FA4EB6" w:rsidRPr="00FA4EB6" w:rsidRDefault="00FA4EB6" w:rsidP="00FA4EB6">
      <w:pPr>
        <w:spacing w:line="360" w:lineRule="auto"/>
        <w:jc w:val="both"/>
      </w:pPr>
      <w:r w:rsidRPr="00FA4EB6">
        <w:t xml:space="preserve">Research suggests that workplace coaching can enhance performance, engagement, and learning when it combines structure with reflection on practice (Cannon-Bowers </w:t>
      </w:r>
      <w:r w:rsidRPr="00FA4EB6">
        <w:rPr>
          <w:i/>
          <w:iCs/>
        </w:rPr>
        <w:t>et al.,</w:t>
      </w:r>
      <w:r w:rsidRPr="00FA4EB6">
        <w:t xml:space="preserve"> 2023; Jagadeeswari </w:t>
      </w:r>
      <w:r w:rsidRPr="00FA4EB6">
        <w:rPr>
          <w:i/>
          <w:iCs/>
        </w:rPr>
        <w:t>et al.,</w:t>
      </w:r>
      <w:r w:rsidRPr="00FA4EB6">
        <w:t xml:space="preserve"> 2025). </w:t>
      </w:r>
      <w:r w:rsidR="00A21B33">
        <w:t xml:space="preserve">Sipondo and Terblanche (2024( suggest this is relevant in </w:t>
      </w:r>
      <w:r w:rsidRPr="00FA4EB6">
        <w:t xml:space="preserve">skill-based professions, where learners benefit from observation, structured practice, and reflective discussion. </w:t>
      </w:r>
      <w:r w:rsidR="00A21B33">
        <w:t>These</w:t>
      </w:r>
      <w:r w:rsidRPr="00FA4EB6">
        <w:t xml:space="preserve"> features are important</w:t>
      </w:r>
      <w:r w:rsidR="00A21B33">
        <w:t xml:space="preserve"> within aesthetics education</w:t>
      </w:r>
      <w:r w:rsidRPr="00FA4EB6">
        <w:t xml:space="preserve"> because training must support not only </w:t>
      </w:r>
      <w:r w:rsidR="00A21B33">
        <w:t>their ability on in-date techniques</w:t>
      </w:r>
      <w:r w:rsidRPr="00FA4EB6">
        <w:t xml:space="preserve"> but also safe practice, confidence and professional judgement.</w:t>
      </w:r>
    </w:p>
    <w:p w14:paraId="1AE4B706" w14:textId="0AC96BD6" w:rsidR="00FA4EB6" w:rsidRPr="00FA4EB6" w:rsidRDefault="00FA4EB6" w:rsidP="00FA4EB6">
      <w:pPr>
        <w:spacing w:line="360" w:lineRule="auto"/>
        <w:jc w:val="both"/>
      </w:pPr>
      <w:r w:rsidRPr="00FA4EB6">
        <w:t xml:space="preserve">Coaching is also suited to the trainer’s role in aesthetic education because trainers often </w:t>
      </w:r>
      <w:r w:rsidR="00302976" w:rsidRPr="00FA4EB6">
        <w:t>collaborate</w:t>
      </w:r>
      <w:r w:rsidRPr="00FA4EB6">
        <w:t xml:space="preserve"> with learners </w:t>
      </w:r>
      <w:r w:rsidR="00984CFC">
        <w:t>very</w:t>
      </w:r>
      <w:r w:rsidRPr="00FA4EB6">
        <w:t xml:space="preserve"> briefly and </w:t>
      </w:r>
      <w:r w:rsidR="00984CFC">
        <w:t>should look to</w:t>
      </w:r>
      <w:r w:rsidRPr="00FA4EB6">
        <w:t xml:space="preserve"> support visible progress within the </w:t>
      </w:r>
      <w:r w:rsidR="0084409E" w:rsidRPr="00FA4EB6">
        <w:t>time</w:t>
      </w:r>
      <w:r w:rsidR="00EC6943">
        <w:t xml:space="preserve"> given. </w:t>
      </w:r>
      <w:r w:rsidRPr="00FA4EB6">
        <w:t xml:space="preserve">This makes mentoring less </w:t>
      </w:r>
      <w:r w:rsidR="00EC6943">
        <w:t>accessible</w:t>
      </w:r>
      <w:r w:rsidRPr="00FA4EB6">
        <w:t xml:space="preserve"> because mentoring</w:t>
      </w:r>
      <w:r w:rsidR="00EC6943">
        <w:t xml:space="preserve"> </w:t>
      </w:r>
      <w:r w:rsidRPr="00FA4EB6">
        <w:t>depend</w:t>
      </w:r>
      <w:r w:rsidR="00576598">
        <w:t>s</w:t>
      </w:r>
      <w:r w:rsidRPr="00FA4EB6">
        <w:t xml:space="preserve"> on a longer-term developmental relationship. Coaching, offers a more pragmatic and contextually relevant approach, enabling the trainer to support competence and confidence within the limits of a short training programme (Dhar, 2025; Cannon-Bowers </w:t>
      </w:r>
      <w:r w:rsidRPr="00FA4EB6">
        <w:rPr>
          <w:i/>
          <w:iCs/>
        </w:rPr>
        <w:t>et al</w:t>
      </w:r>
      <w:r w:rsidRPr="00FA4EB6">
        <w:t>., 2023).</w:t>
      </w:r>
    </w:p>
    <w:p w14:paraId="534E2D3B" w14:textId="4D61A08F" w:rsidR="00FA4EB6" w:rsidRPr="00FA4EB6" w:rsidRDefault="00FA4EB6" w:rsidP="00FA4EB6">
      <w:pPr>
        <w:spacing w:line="360" w:lineRule="auto"/>
        <w:jc w:val="both"/>
      </w:pPr>
      <w:r w:rsidRPr="00FA4EB6">
        <w:t>Mentoring may still h</w:t>
      </w:r>
      <w:r w:rsidR="009604F3">
        <w:t>old</w:t>
      </w:r>
      <w:r w:rsidRPr="00FA4EB6">
        <w:t xml:space="preserve"> value in </w:t>
      </w:r>
      <w:r w:rsidR="009604F3">
        <w:t>when building working relationships</w:t>
      </w:r>
      <w:r w:rsidRPr="00FA4EB6">
        <w:t xml:space="preserve"> and longer-term career development</w:t>
      </w:r>
      <w:r w:rsidR="00B62BA6">
        <w:t>, but</w:t>
      </w:r>
      <w:r w:rsidRPr="00FA4EB6">
        <w:t xml:space="preserve"> as a primary developmental strategy, it is less suited to short-form aesthetic training, where immediate competence, safe practice and clear performance outcomes are prioritised.</w:t>
      </w:r>
    </w:p>
    <w:p w14:paraId="792A1848" w14:textId="77777777" w:rsidR="00FA4EB6" w:rsidRPr="00FA4EB6" w:rsidRDefault="00FA4EB6" w:rsidP="00FA4EB6">
      <w:pPr>
        <w:pStyle w:val="Heading2"/>
      </w:pPr>
      <w:bookmarkStart w:id="5" w:name="_Toc224851442"/>
      <w:r w:rsidRPr="00FA4EB6">
        <w:t>3.0 Knowledge, Skills, Attitudes and Behaviours of an Effective Workplace Coach</w:t>
      </w:r>
      <w:bookmarkEnd w:id="5"/>
    </w:p>
    <w:p w14:paraId="5EF278EB" w14:textId="31556882" w:rsidR="00FA4EB6" w:rsidRPr="00FA4EB6" w:rsidRDefault="00FA4EB6" w:rsidP="00E44069">
      <w:pPr>
        <w:spacing w:line="360" w:lineRule="auto"/>
        <w:jc w:val="both"/>
      </w:pPr>
      <w:r w:rsidRPr="00FA4EB6">
        <w:t xml:space="preserve">Effective coaching depends on a </w:t>
      </w:r>
      <w:r w:rsidR="00B62BA6">
        <w:t>mixture</w:t>
      </w:r>
      <w:r w:rsidRPr="00FA4EB6">
        <w:t xml:space="preserve"> of knowledge, practical skill, professional attitude and appropriate behaviour. </w:t>
      </w:r>
      <w:r w:rsidR="00AE64C1">
        <w:t xml:space="preserve">A coach should aim to support meaningful </w:t>
      </w:r>
      <w:r w:rsidRPr="00FA4EB6">
        <w:t>development rather than be</w:t>
      </w:r>
      <w:r w:rsidR="0062738A">
        <w:t xml:space="preserve"> </w:t>
      </w:r>
      <w:r w:rsidRPr="00FA4EB6">
        <w:t xml:space="preserve">overly directive or ineffective (CIPD, 2025). Cannon-Bowers </w:t>
      </w:r>
      <w:r w:rsidRPr="00FA4EB6">
        <w:rPr>
          <w:i/>
          <w:iCs/>
        </w:rPr>
        <w:t>et al</w:t>
      </w:r>
      <w:r w:rsidRPr="00FA4EB6">
        <w:t xml:space="preserve">. (2023) similarly argue that coaching effectiveness depends on factors such as organisational culture, coach competence and the extent to which learning is transferred into practice. This is particularly relevant in short, skill-based workplace settings such as aesthetic education, where coaching must support both immediate competence and </w:t>
      </w:r>
      <w:r w:rsidRPr="00FA4EB6">
        <w:lastRenderedPageBreak/>
        <w:t>longer-term professional confidence</w:t>
      </w:r>
      <w:r w:rsidR="0062738A">
        <w:t xml:space="preserve">, otherwise the learner may feel overwhelmed or unsatisfied with their learning outcome. </w:t>
      </w:r>
    </w:p>
    <w:p w14:paraId="1715A577" w14:textId="77777777" w:rsidR="00FA4EB6" w:rsidRPr="00FA4EB6" w:rsidRDefault="00FA4EB6" w:rsidP="00FA4EB6">
      <w:pPr>
        <w:pStyle w:val="Heading3"/>
      </w:pPr>
      <w:bookmarkStart w:id="6" w:name="_Toc224851443"/>
      <w:r w:rsidRPr="00FA4EB6">
        <w:t>3.1 Purpose and Context of Workplace Coaching</w:t>
      </w:r>
      <w:bookmarkEnd w:id="6"/>
    </w:p>
    <w:p w14:paraId="347994C2" w14:textId="51AEEDD2" w:rsidR="00FA4EB6" w:rsidRPr="00FA4EB6" w:rsidRDefault="00FA4EB6" w:rsidP="00FA4EB6">
      <w:pPr>
        <w:spacing w:line="360" w:lineRule="auto"/>
        <w:jc w:val="both"/>
      </w:pPr>
      <w:r w:rsidRPr="00FA4EB6">
        <w:t xml:space="preserve">One of the main purposes of coaching is to improve learner performance. The CIPD (2025) notes that coaching can help individuals achieve work-related goals, while Cannon-Bowers </w:t>
      </w:r>
      <w:r w:rsidRPr="00FA4EB6">
        <w:rPr>
          <w:i/>
          <w:iCs/>
        </w:rPr>
        <w:t>et al</w:t>
      </w:r>
      <w:r w:rsidRPr="00FA4EB6">
        <w:t>. (2023)</w:t>
      </w:r>
      <w:r w:rsidR="00862CC7">
        <w:t xml:space="preserve"> defines</w:t>
      </w:r>
      <w:r w:rsidRPr="00FA4EB6">
        <w:t xml:space="preserve"> coaching </w:t>
      </w:r>
      <w:r w:rsidR="00862CC7">
        <w:t xml:space="preserve">as a </w:t>
      </w:r>
      <w:r w:rsidRPr="00FA4EB6">
        <w:t>positiv</w:t>
      </w:r>
      <w:r w:rsidR="00862CC7">
        <w:t xml:space="preserve">e </w:t>
      </w:r>
      <w:r w:rsidR="009C093C">
        <w:t xml:space="preserve">deliverable </w:t>
      </w:r>
      <w:r w:rsidRPr="00FA4EB6">
        <w:t>to organisational outcomes when it is structured and linked to clear objectives</w:t>
      </w:r>
      <w:r w:rsidR="009C093C">
        <w:t xml:space="preserve"> that support individual development</w:t>
      </w:r>
      <w:r w:rsidRPr="00FA4EB6">
        <w:t xml:space="preserve">. However, </w:t>
      </w:r>
      <w:r w:rsidR="004C3470">
        <w:t>coaching</w:t>
      </w:r>
      <w:r w:rsidRPr="00FA4EB6">
        <w:t xml:space="preserve"> </w:t>
      </w:r>
      <w:r w:rsidR="004C3470" w:rsidRPr="00FA4EB6">
        <w:t>depends</w:t>
      </w:r>
      <w:r w:rsidRPr="00FA4EB6">
        <w:t xml:space="preserve"> on the quality of the interaction and whether learning is applied in practice</w:t>
      </w:r>
      <w:r w:rsidR="004C3470">
        <w:t xml:space="preserve">, not just the </w:t>
      </w:r>
      <w:r w:rsidR="004C3470" w:rsidRPr="00FA4EB6">
        <w:t>presence of coaching</w:t>
      </w:r>
      <w:r w:rsidR="004C3470">
        <w:t>.</w:t>
      </w:r>
    </w:p>
    <w:p w14:paraId="374C97BD" w14:textId="5682056B" w:rsidR="00FA4EB6" w:rsidRPr="00FA4EB6" w:rsidRDefault="00FA4EB6" w:rsidP="00FA4EB6">
      <w:pPr>
        <w:spacing w:line="360" w:lineRule="auto"/>
        <w:jc w:val="both"/>
      </w:pPr>
      <w:r w:rsidRPr="00FA4EB6">
        <w:t xml:space="preserve">Coaching </w:t>
      </w:r>
      <w:r w:rsidR="00E9064C">
        <w:t xml:space="preserve">should also look to support </w:t>
      </w:r>
      <w:r w:rsidRPr="00FA4EB6">
        <w:t xml:space="preserve"> motivation, engagement and self-efficacy. Tang </w:t>
      </w:r>
      <w:r w:rsidRPr="00FA4EB6">
        <w:rPr>
          <w:i/>
          <w:iCs/>
        </w:rPr>
        <w:t>et al.</w:t>
      </w:r>
      <w:r w:rsidRPr="00FA4EB6">
        <w:t xml:space="preserve"> (2024) found that coaching leadership can improve work engagement, particularly where coaching encourages </w:t>
      </w:r>
      <w:r w:rsidR="00E9064C">
        <w:t>self-re</w:t>
      </w:r>
      <w:r w:rsidRPr="00FA4EB6">
        <w:t xml:space="preserve">flection and learner </w:t>
      </w:r>
      <w:r w:rsidR="00E9064C">
        <w:t>accountability</w:t>
      </w:r>
      <w:r w:rsidRPr="00FA4EB6">
        <w:t>. This suggests that coaching in organisations should not be viewed</w:t>
      </w:r>
      <w:r w:rsidR="00AD59C2">
        <w:t xml:space="preserve"> </w:t>
      </w:r>
      <w:r w:rsidRPr="00FA4EB6">
        <w:t>as a training technique, but as a leadership behaviour that can influence workplace culture and learner motivation. Similarly, Sipondo and Terblanche (2024) suggest that coaching can strengthen resilience, adaptive behaviour and professional confidence through feedback and reflective learning. However,</w:t>
      </w:r>
      <w:r w:rsidR="00C2779E">
        <w:t xml:space="preserve"> i</w:t>
      </w:r>
      <w:r w:rsidRPr="00FA4EB6">
        <w:t xml:space="preserve">f learners experience coaching as judgement rather than support, or if they are not ready to engage reflectively, </w:t>
      </w:r>
      <w:r w:rsidR="00C2779E">
        <w:t>this can create a negative impact</w:t>
      </w:r>
      <w:r w:rsidRPr="00FA4EB6">
        <w:t xml:space="preserve">. </w:t>
      </w:r>
    </w:p>
    <w:p w14:paraId="10660F85" w14:textId="28EDEA0D" w:rsidR="00FA4EB6" w:rsidRPr="00FA4EB6" w:rsidRDefault="00FA4EB6" w:rsidP="00FA4EB6">
      <w:pPr>
        <w:spacing w:line="360" w:lineRule="auto"/>
        <w:jc w:val="both"/>
      </w:pPr>
      <w:r w:rsidRPr="00FA4EB6">
        <w:t xml:space="preserve">Coaching can also be a leadership function within organisations, as coaching-oriented leaders may support learning, engagement, accountability and reflective practice. In small professional settings such as aesthetic clinics, this is particularly relevant because the behaviours of trainers, senior practitioners, or managers help shape whether development is experienced as supportive learning or as performance control. In workplace environments where the coach </w:t>
      </w:r>
      <w:r w:rsidR="00D746C4">
        <w:t>is also the leader</w:t>
      </w:r>
      <w:r w:rsidR="006A2A79">
        <w:t xml:space="preserve"> or manager</w:t>
      </w:r>
      <w:r w:rsidRPr="00FA4EB6">
        <w:t>, learners may perceive coaching as a form of monitoring rather than developmental support, which may reduce openness and reflection</w:t>
      </w:r>
      <w:r w:rsidR="006A2A79">
        <w:t xml:space="preserve">, and should be reviewed for the best outcome towards the end goal. </w:t>
      </w:r>
    </w:p>
    <w:p w14:paraId="366E1D56" w14:textId="245A301F" w:rsidR="00FA4EB6" w:rsidRPr="00FA4EB6" w:rsidRDefault="00FA4EB6" w:rsidP="00FA4EB6">
      <w:pPr>
        <w:spacing w:line="360" w:lineRule="auto"/>
        <w:jc w:val="both"/>
      </w:pPr>
      <w:r w:rsidRPr="00FA4EB6">
        <w:t xml:space="preserve">In aesthetic education, these issues </w:t>
      </w:r>
      <w:r w:rsidR="0033536B">
        <w:t>may affect</w:t>
      </w:r>
      <w:r w:rsidRPr="00FA4EB6">
        <w:t xml:space="preserve"> </w:t>
      </w:r>
      <w:r w:rsidR="00E411C2">
        <w:t>learners’</w:t>
      </w:r>
      <w:r w:rsidRPr="00FA4EB6">
        <w:t xml:space="preserve"> </w:t>
      </w:r>
      <w:r w:rsidR="0033536B">
        <w:t>development and confidence</w:t>
      </w:r>
      <w:r w:rsidR="00E411C2">
        <w:t xml:space="preserve"> within their professional practice</w:t>
      </w:r>
      <w:r w:rsidRPr="00FA4EB6">
        <w:t xml:space="preserve">. In this context, coaching is most effective when it has a clear purpose, is responsive to learner needs and is </w:t>
      </w:r>
      <w:r w:rsidR="00483960" w:rsidRPr="00FA4EB6">
        <w:t>linked</w:t>
      </w:r>
      <w:r w:rsidRPr="00FA4EB6">
        <w:t xml:space="preserve"> to workplace performance </w:t>
      </w:r>
      <w:r w:rsidRPr="00FA4EB6">
        <w:lastRenderedPageBreak/>
        <w:t xml:space="preserve">requirements. This also raises </w:t>
      </w:r>
      <w:r w:rsidR="00A53150">
        <w:t>questions</w:t>
      </w:r>
      <w:r w:rsidRPr="00FA4EB6">
        <w:t>: coaching effectiveness depends not only on structure, but on whether the coach has sufficient professional expertise, credibility and judgement to guide learning appropriately.</w:t>
      </w:r>
    </w:p>
    <w:p w14:paraId="396832AD" w14:textId="77777777" w:rsidR="00FA4EB6" w:rsidRPr="00FA4EB6" w:rsidRDefault="00FA4EB6" w:rsidP="00FA4EB6">
      <w:pPr>
        <w:pStyle w:val="Heading3"/>
      </w:pPr>
      <w:bookmarkStart w:id="7" w:name="_Toc224851444"/>
      <w:r w:rsidRPr="00FA4EB6">
        <w:t>3.2 Knowledge and Skills of an Effective Coach</w:t>
      </w:r>
      <w:bookmarkEnd w:id="7"/>
    </w:p>
    <w:p w14:paraId="6D6CE6CB" w14:textId="61B3C16E" w:rsidR="00FA4EB6" w:rsidRPr="00FA4EB6" w:rsidRDefault="00FA4EB6" w:rsidP="00FA4EB6">
      <w:pPr>
        <w:spacing w:line="360" w:lineRule="auto"/>
        <w:jc w:val="both"/>
      </w:pPr>
      <w:r w:rsidRPr="00FA4EB6">
        <w:t xml:space="preserve">An effective workplace coach </w:t>
      </w:r>
      <w:r w:rsidR="00E40AA7">
        <w:t>should have both</w:t>
      </w:r>
      <w:r w:rsidRPr="00FA4EB6">
        <w:t xml:space="preserve"> occupational knowledge and </w:t>
      </w:r>
      <w:r w:rsidR="00E40AA7">
        <w:t>up to date techniques</w:t>
      </w:r>
      <w:r w:rsidR="002C7B97">
        <w:t xml:space="preserve"> or skills, and t</w:t>
      </w:r>
      <w:r w:rsidRPr="00FA4EB6">
        <w:t>he coach must understand the task, role</w:t>
      </w:r>
      <w:r w:rsidR="002C7B97">
        <w:t xml:space="preserve"> and</w:t>
      </w:r>
      <w:r w:rsidRPr="00FA4EB6">
        <w:t xml:space="preserve"> professional standard being developed, because coaching is less useful if it becomes detached from the realities of practice (Dhar, 2025). In aesthetic education, this includes knowledge of consultation, treatment procedures, patient safety, infection prevention and legal or professional accountability. Without this foundation, coaching may become too generic to support meaningful improvement.</w:t>
      </w:r>
    </w:p>
    <w:p w14:paraId="05DEF2AF" w14:textId="77777777" w:rsidR="00FA4EB6" w:rsidRPr="00FA4EB6" w:rsidRDefault="00FA4EB6" w:rsidP="00FA4EB6">
      <w:pPr>
        <w:spacing w:line="360" w:lineRule="auto"/>
        <w:jc w:val="both"/>
      </w:pPr>
      <w:r w:rsidRPr="00FA4EB6">
        <w:t>Effective coaching also depends on communication skills, particularly active listening, questioning, and feedback. These are central to coaching because they move the interaction beyond simple instruction and encourage learners to think critically about their own practice. Questioning can promote reflection and deeper learning, while feedback helps learners recognise strengths, identify areas for improvement, and apply learning more effectively in practice. However, the value of these skills depends on how they are used and in what context they are applied.</w:t>
      </w:r>
    </w:p>
    <w:p w14:paraId="5510DDA5" w14:textId="13456B50" w:rsidR="00FA4EB6" w:rsidRPr="00FA4EB6" w:rsidRDefault="00FA4EB6" w:rsidP="00FA4EB6">
      <w:pPr>
        <w:spacing w:line="360" w:lineRule="auto"/>
        <w:jc w:val="both"/>
      </w:pPr>
      <w:r w:rsidRPr="00FA4EB6">
        <w:t xml:space="preserve">In </w:t>
      </w:r>
      <w:r w:rsidR="00792131">
        <w:t>short</w:t>
      </w:r>
      <w:r w:rsidRPr="00FA4EB6">
        <w:t xml:space="preserve"> courses, reflective questioning may need to be balanced with more direct guidance, especially where clinical safety and legal accountability are involved (Department of Health </w:t>
      </w:r>
      <w:r w:rsidR="00E44069">
        <w:t>&amp;</w:t>
      </w:r>
      <w:r w:rsidRPr="00FA4EB6">
        <w:t xml:space="preserve"> Social Care, 2025; Joint Council for Cosmetic Practitioners, 2025). In this sense, </w:t>
      </w:r>
      <w:r w:rsidR="007E00C2">
        <w:t>the coach should aim to guide learners on</w:t>
      </w:r>
      <w:r w:rsidRPr="00FA4EB6">
        <w:t xml:space="preserve"> safety and professional standards</w:t>
      </w:r>
      <w:r w:rsidR="007E00C2">
        <w:t xml:space="preserve"> within the course</w:t>
      </w:r>
      <w:r w:rsidR="00970AEE">
        <w:t xml:space="preserve"> and they accept accountability</w:t>
      </w:r>
      <w:r w:rsidRPr="00FA4EB6">
        <w:t>. This is particularly relevant in aesthetic education, where the consequences of poor judgement or inconsistent technique may extend beyond the learner to the client.</w:t>
      </w:r>
    </w:p>
    <w:p w14:paraId="0313D405" w14:textId="7A755D06" w:rsidR="00FA4EB6" w:rsidRPr="00FA4EB6" w:rsidRDefault="00FA4EB6" w:rsidP="00FA4EB6">
      <w:pPr>
        <w:spacing w:line="360" w:lineRule="auto"/>
        <w:jc w:val="both"/>
      </w:pPr>
      <w:r w:rsidRPr="00FA4EB6">
        <w:t xml:space="preserve">Feedback is </w:t>
      </w:r>
      <w:r w:rsidR="00224A21">
        <w:t xml:space="preserve">important for the learner to understand their level within </w:t>
      </w:r>
      <w:r w:rsidR="000C7C9A">
        <w:t>coaching</w:t>
      </w:r>
      <w:r w:rsidRPr="00FA4EB6">
        <w:t xml:space="preserve">. Development-focused feedback can support reflective learning and skill improvement when it is timely, specific and clearly linked to observable practice. However, </w:t>
      </w:r>
      <w:r w:rsidR="000C7C9A">
        <w:t xml:space="preserve">how feedback is delivered can impact the learners progress, such as how it </w:t>
      </w:r>
      <w:r w:rsidRPr="00FA4EB6">
        <w:t xml:space="preserve">is communicated and how </w:t>
      </w:r>
      <w:r w:rsidR="00302976" w:rsidRPr="00FA4EB6">
        <w:t xml:space="preserve">the learner </w:t>
      </w:r>
      <w:r w:rsidR="0084409E" w:rsidRPr="00FA4EB6">
        <w:t>understands it</w:t>
      </w:r>
      <w:r w:rsidR="0084409E" w:rsidRPr="00FA4EB6">
        <w:t xml:space="preserve"> </w:t>
      </w:r>
      <w:r w:rsidR="00302976" w:rsidRPr="00FA4EB6">
        <w:t xml:space="preserve">(Atkinson </w:t>
      </w:r>
      <w:r w:rsidR="00302976" w:rsidRPr="00DF141E">
        <w:rPr>
          <w:i/>
          <w:iCs/>
        </w:rPr>
        <w:t>et al.,</w:t>
      </w:r>
      <w:r w:rsidR="00302976" w:rsidRPr="00FA4EB6">
        <w:t xml:space="preserve"> 2022)</w:t>
      </w:r>
      <w:r w:rsidRPr="00FA4EB6">
        <w:t xml:space="preserve">. </w:t>
      </w:r>
      <w:r w:rsidR="00723749">
        <w:t xml:space="preserve">Feedback that is too critical or </w:t>
      </w:r>
      <w:r w:rsidR="00665F90">
        <w:lastRenderedPageBreak/>
        <w:t xml:space="preserve">hard to gain clarity from </w:t>
      </w:r>
      <w:r w:rsidRPr="00FA4EB6">
        <w:t xml:space="preserve">may </w:t>
      </w:r>
      <w:r w:rsidR="00665F90">
        <w:t xml:space="preserve">affect </w:t>
      </w:r>
      <w:r w:rsidRPr="00FA4EB6">
        <w:t xml:space="preserve">confidence rather than promote development. </w:t>
      </w:r>
      <w:r w:rsidR="009A6804">
        <w:t xml:space="preserve">The coach will be required to find balance so that the </w:t>
      </w:r>
      <w:r w:rsidR="00343900">
        <w:t>learner’s</w:t>
      </w:r>
      <w:r w:rsidR="009A6804">
        <w:t xml:space="preserve"> skill and confidence are not affected. </w:t>
      </w:r>
    </w:p>
    <w:p w14:paraId="587F7464" w14:textId="77777777" w:rsidR="00554651" w:rsidRDefault="00FA4EB6" w:rsidP="00454109">
      <w:pPr>
        <w:spacing w:line="360" w:lineRule="auto"/>
        <w:jc w:val="both"/>
      </w:pPr>
      <w:r w:rsidRPr="00FA4EB6">
        <w:t xml:space="preserve">Goal setting is </w:t>
      </w:r>
      <w:r w:rsidR="009A6804">
        <w:t xml:space="preserve">equally as important </w:t>
      </w:r>
      <w:r w:rsidR="00343900">
        <w:t>for</w:t>
      </w:r>
      <w:r w:rsidRPr="00FA4EB6">
        <w:t xml:space="preserve"> effective coaching because clear goals provide direction, clarify expectations, and help learners monitor progress. However, goals should not become so rigid that they narrow the learning process. In practice-based education, confidence, communication and judgement may not develop at the same pace as technical skill. For this reason, coaching skills should not be viewed as isolated techniques, but as part of a broader </w:t>
      </w:r>
      <w:r w:rsidR="00343900">
        <w:t>ability</w:t>
      </w:r>
      <w:r w:rsidRPr="00FA4EB6">
        <w:t xml:space="preserve"> involving judgement, timing</w:t>
      </w:r>
      <w:r w:rsidR="00343900">
        <w:t xml:space="preserve"> and applying </w:t>
      </w:r>
      <w:r w:rsidR="00F87BDB">
        <w:t xml:space="preserve">towards the work context of the learner. </w:t>
      </w:r>
    </w:p>
    <w:p w14:paraId="735C57DF" w14:textId="77777777" w:rsidR="00623F2A" w:rsidRDefault="00FA4EB6" w:rsidP="00623F2A">
      <w:pPr>
        <w:pStyle w:val="Heading3"/>
      </w:pPr>
      <w:bookmarkStart w:id="8" w:name="_Toc224851445"/>
      <w:r w:rsidRPr="00FA4EB6">
        <w:t>3.3 Attitudes, Behaviours and Professional Judgement in Coaching</w:t>
      </w:r>
      <w:bookmarkEnd w:id="8"/>
    </w:p>
    <w:p w14:paraId="1259AB4F" w14:textId="3B37C20A" w:rsidR="00623F2A" w:rsidRPr="000E40A4" w:rsidRDefault="00454109" w:rsidP="00623F2A">
      <w:pPr>
        <w:spacing w:line="360" w:lineRule="auto"/>
        <w:jc w:val="both"/>
        <w:rPr>
          <w:i/>
          <w:iCs/>
        </w:rPr>
      </w:pPr>
      <w:r w:rsidRPr="00454109">
        <w:t>Coaching depends on more than just the coach's knowledge and skills</w:t>
      </w:r>
      <w:r w:rsidR="00CC0B16">
        <w:t>, i</w:t>
      </w:r>
      <w:r w:rsidRPr="00454109">
        <w:t xml:space="preserve">t depends on their attitude and behaviour. A coach at work should be open, patient, respectful and </w:t>
      </w:r>
      <w:r w:rsidR="00483960" w:rsidRPr="00454109">
        <w:t>deeply committed</w:t>
      </w:r>
      <w:r w:rsidRPr="00454109">
        <w:t xml:space="preserve"> to helping learners grow. These attitudes affect how people feel about coaching: it can be seen as helpful and growth-oriented, or as corrective and scary. Tang </w:t>
      </w:r>
      <w:r w:rsidRPr="00887840">
        <w:rPr>
          <w:i/>
          <w:iCs/>
        </w:rPr>
        <w:t>et al.</w:t>
      </w:r>
      <w:r w:rsidRPr="00454109">
        <w:t xml:space="preserve"> (2024) discovered that supportive coaching relationships can enhance engagement and learning, indicating that attitude is integral to coaching effectiveness rather than distinct from it.</w:t>
      </w:r>
      <w:r w:rsidR="00623F2A">
        <w:t xml:space="preserve"> </w:t>
      </w:r>
    </w:p>
    <w:p w14:paraId="3AE03D63" w14:textId="69E30F1E" w:rsidR="00623F2A" w:rsidRDefault="00454109" w:rsidP="00623F2A">
      <w:pPr>
        <w:spacing w:line="360" w:lineRule="auto"/>
        <w:jc w:val="both"/>
      </w:pPr>
      <w:r w:rsidRPr="00454109">
        <w:t xml:space="preserve">In real life, these attitudes show up in how people act. Good coaching means listening without interruption, asking questions that have a purpose, giving support that is specific to the learner's needs and giving feedback that is based on performance rather than </w:t>
      </w:r>
      <w:r w:rsidR="00623F2A" w:rsidRPr="00454109">
        <w:t>opinion</w:t>
      </w:r>
      <w:r w:rsidRPr="00454109">
        <w:t xml:space="preserve">. In professional training settings, such behaviours may </w:t>
      </w:r>
      <w:r w:rsidR="00887840">
        <w:t>build upon</w:t>
      </w:r>
      <w:r w:rsidRPr="00454109">
        <w:t xml:space="preserve"> psychological safety, which is crucial as learners are more inclined to enquire, recognise errors and engage in reflection when they are not apprehensive of embarrassment or unjust criticism. This is especially true in aesthetic education, where students may feel vulnerable while learning visible practical skills in front of others.</w:t>
      </w:r>
    </w:p>
    <w:p w14:paraId="5051FF50" w14:textId="40DB5C06" w:rsidR="00623F2A" w:rsidRDefault="00454109" w:rsidP="00623F2A">
      <w:pPr>
        <w:spacing w:line="360" w:lineRule="auto"/>
        <w:jc w:val="both"/>
      </w:pPr>
      <w:r w:rsidRPr="00454109">
        <w:t xml:space="preserve">Being aware of yourself is another important part of being a good coach. Moos and Spranz-Fogasy (2024) contend that coaches must acknowledge the impact of their assumptions, communication style and expectations on the coaching relationship. Feedback and reflection can also help people become more self-aware by helping them </w:t>
      </w:r>
      <w:r w:rsidRPr="00454109">
        <w:lastRenderedPageBreak/>
        <w:t xml:space="preserve">find blind spots and see how their actions affect other people. This is important because coaching </w:t>
      </w:r>
      <w:r w:rsidR="00AE518E" w:rsidRPr="00454109">
        <w:t>is not</w:t>
      </w:r>
      <w:r w:rsidRPr="00454109">
        <w:t xml:space="preserve"> </w:t>
      </w:r>
      <w:r w:rsidR="0084409E" w:rsidRPr="00454109">
        <w:t>about what</w:t>
      </w:r>
      <w:r w:rsidRPr="00454109">
        <w:t xml:space="preserve"> the coach wants; </w:t>
      </w:r>
      <w:r w:rsidR="0084409E" w:rsidRPr="00454109">
        <w:t>it is</w:t>
      </w:r>
      <w:r w:rsidRPr="00454109">
        <w:t xml:space="preserve"> also about how the learner feels about the interaction. Because of this, bias and power become </w:t>
      </w:r>
      <w:r w:rsidR="0084409E" w:rsidRPr="00454109">
        <w:t>especially critical issues</w:t>
      </w:r>
      <w:r w:rsidRPr="00454109">
        <w:t>.</w:t>
      </w:r>
    </w:p>
    <w:p w14:paraId="1BC07F3C" w14:textId="573B8FDB" w:rsidR="00623F2A" w:rsidRDefault="00454109" w:rsidP="00623F2A">
      <w:pPr>
        <w:spacing w:line="360" w:lineRule="auto"/>
        <w:jc w:val="both"/>
      </w:pPr>
      <w:r w:rsidRPr="00454109">
        <w:t xml:space="preserve">Coaching at work is influenced by more than just coaching methods; it is also affected by beliefs, role expectations and how people see support (Stone </w:t>
      </w:r>
      <w:r w:rsidRPr="00095CEA">
        <w:rPr>
          <w:i/>
          <w:iCs/>
        </w:rPr>
        <w:t>et al</w:t>
      </w:r>
      <w:r w:rsidRPr="00454109">
        <w:t xml:space="preserve">., 2024). This is especially important when the trainer is also the person who grades the work. In these situations, feedback may be perceived as evaluative rather than developmental, potentially impacting learner confidence and willingness to participate. Woulfin </w:t>
      </w:r>
      <w:r w:rsidRPr="00095CEA">
        <w:rPr>
          <w:i/>
          <w:iCs/>
        </w:rPr>
        <w:t>et al.</w:t>
      </w:r>
      <w:r w:rsidRPr="00454109">
        <w:t xml:space="preserve"> (2023) emphasise the influence of power dynamics and assumptions in developmental relationships on engagement, whereas Steyn and Barnard (2024) propose that explicit, objective feedback centred on observable behaviours may mitigate this risk.</w:t>
      </w:r>
      <w:r w:rsidR="00623F2A">
        <w:t xml:space="preserve"> </w:t>
      </w:r>
    </w:p>
    <w:p w14:paraId="2DFB7A4D" w14:textId="47683E41" w:rsidR="00623F2A" w:rsidRDefault="00454109" w:rsidP="00623F2A">
      <w:pPr>
        <w:spacing w:line="360" w:lineRule="auto"/>
        <w:jc w:val="both"/>
      </w:pPr>
      <w:r w:rsidRPr="00454109">
        <w:t xml:space="preserve">Boyatzis </w:t>
      </w:r>
      <w:r w:rsidRPr="00095CEA">
        <w:rPr>
          <w:i/>
          <w:iCs/>
        </w:rPr>
        <w:t>et al</w:t>
      </w:r>
      <w:r w:rsidRPr="00454109">
        <w:t xml:space="preserve">. (2024) underscore the significance of empathy, self-awareness and emotional regulation in achieving favourable coaching results. This means that good coaching </w:t>
      </w:r>
      <w:r w:rsidR="00AE518E" w:rsidRPr="00454109">
        <w:t>is not</w:t>
      </w:r>
      <w:r w:rsidRPr="00454109">
        <w:t xml:space="preserve"> just about using the right tools; </w:t>
      </w:r>
      <w:r w:rsidR="00AE518E" w:rsidRPr="00454109">
        <w:t>it is</w:t>
      </w:r>
      <w:r w:rsidRPr="00454109">
        <w:t xml:space="preserve"> also about using them with good judgement. A coach may possess the skills to enquire, listen and establish objectives, yet still provide ineffective coaching if they do not acknowledge learner anxiety, depend on judgement, or fail to </w:t>
      </w:r>
      <w:r w:rsidR="00A56D96">
        <w:t>alter</w:t>
      </w:r>
      <w:r w:rsidRPr="00454109">
        <w:t xml:space="preserve"> t</w:t>
      </w:r>
      <w:r w:rsidR="00A56D96">
        <w:t>o suit their needs</w:t>
      </w:r>
      <w:r w:rsidRPr="00454109">
        <w:t xml:space="preserve">. Cannon-Bowers </w:t>
      </w:r>
      <w:r w:rsidRPr="00095CEA">
        <w:rPr>
          <w:i/>
          <w:iCs/>
        </w:rPr>
        <w:t>et al</w:t>
      </w:r>
      <w:r w:rsidRPr="00454109">
        <w:t xml:space="preserve">. (2023) </w:t>
      </w:r>
      <w:r w:rsidR="005501E1">
        <w:t>discuss</w:t>
      </w:r>
      <w:r w:rsidRPr="00454109">
        <w:t xml:space="preserve"> structured coaching </w:t>
      </w:r>
      <w:r w:rsidR="005501E1">
        <w:t>as</w:t>
      </w:r>
      <w:r w:rsidRPr="00454109">
        <w:t xml:space="preserve"> most effective when tailored to the specific </w:t>
      </w:r>
      <w:r w:rsidR="005501E1">
        <w:t>subject</w:t>
      </w:r>
      <w:r w:rsidRPr="00454109">
        <w:t xml:space="preserve"> and </w:t>
      </w:r>
      <w:r w:rsidR="005501E1">
        <w:t>mapped towards the training objectives</w:t>
      </w:r>
      <w:r w:rsidRPr="00454109">
        <w:t>. Psychological safety is frequently regarded as crucial for reflective learning</w:t>
      </w:r>
      <w:r w:rsidR="00C71102">
        <w:t>, referred to by Maslow’s hierarchy of needs</w:t>
      </w:r>
      <w:r w:rsidRPr="00454109">
        <w:t xml:space="preserve">; however, this may be challenging to </w:t>
      </w:r>
      <w:r w:rsidR="00C71102">
        <w:t xml:space="preserve">achieve when the coach </w:t>
      </w:r>
      <w:r w:rsidR="000B3EEC">
        <w:t>has time limitations</w:t>
      </w:r>
      <w:r w:rsidRPr="00454109">
        <w:t>. In these instances, the developmental objective of coaching may be compromised by the learner's perception of judgement and power disparity.</w:t>
      </w:r>
    </w:p>
    <w:p w14:paraId="07DC3087" w14:textId="77777777" w:rsidR="00B44646" w:rsidRDefault="00454109" w:rsidP="00B44646">
      <w:pPr>
        <w:spacing w:line="360" w:lineRule="auto"/>
        <w:jc w:val="both"/>
      </w:pPr>
      <w:r w:rsidRPr="00454109">
        <w:t>The Johari Window can also help you understand how feedback and reflection work in coaching</w:t>
      </w:r>
      <w:r w:rsidR="00A24463">
        <w:t xml:space="preserve"> (Spennemman, 2023)</w:t>
      </w:r>
      <w:r w:rsidRPr="00454109">
        <w:t>. Coaching can help learners become more aware of how others see their communication, decision-making</w:t>
      </w:r>
      <w:r w:rsidR="008E5A41">
        <w:t xml:space="preserve"> and how they behave</w:t>
      </w:r>
      <w:r w:rsidRPr="00454109">
        <w:t xml:space="preserve"> by </w:t>
      </w:r>
      <w:r w:rsidR="009C6862">
        <w:t>helping them reflect and receive feedback</w:t>
      </w:r>
      <w:r w:rsidRPr="00454109">
        <w:t xml:space="preserve">. In aesthetic education, this may be useful </w:t>
      </w:r>
      <w:r w:rsidR="009C6862">
        <w:t>during consultations</w:t>
      </w:r>
      <w:r w:rsidRPr="00454109">
        <w:t>, where students may not realise how tone, body language, or uncertainty can affect a client's confidence.</w:t>
      </w:r>
    </w:p>
    <w:p w14:paraId="2CD12B3F" w14:textId="37BDE26A" w:rsidR="007B7BBD" w:rsidRDefault="00B44646" w:rsidP="00B44646">
      <w:pPr>
        <w:spacing w:line="360" w:lineRule="auto"/>
        <w:jc w:val="both"/>
      </w:pPr>
      <w:r>
        <w:lastRenderedPageBreak/>
        <w:t xml:space="preserve"> </w:t>
      </w:r>
      <w:r w:rsidRPr="00B44646">
        <w:t xml:space="preserve">Professional judgement in coaching also means knowing how important safety standards, supervision, bias reduction and emotional boundaries are. Supervision lets the coach reflect on their work, question their beliefs, and make sure that everything is done fairly and consistently. This is especially important in aesthetic education, where the trainer may also be the one who grades the work and where differences in power can change how feedback is understood. Regular supervision may foster reflective enhancement, increase bias awareness, and reduce the risk of coaching becoming overly subjective or inconsistent (Ratlabala &amp; Terblanche, 2022). Emotional boundaries are also </w:t>
      </w:r>
      <w:r w:rsidR="00F57218" w:rsidRPr="00B44646">
        <w:t>especially important</w:t>
      </w:r>
      <w:r w:rsidRPr="00B44646">
        <w:t xml:space="preserve"> because coaches need to be supportive without becoming too dependent on them or going beyond their professional role. When coaches </w:t>
      </w:r>
      <w:r w:rsidR="00FE1AD6" w:rsidRPr="00B44646">
        <w:t>collaborate</w:t>
      </w:r>
      <w:r w:rsidRPr="00B44646">
        <w:t xml:space="preserve"> with clients, clear professional boundaries and safety standards help keep the focus on development, safety, and accountability instead of personal influence or informal judgement (Collins </w:t>
      </w:r>
      <w:r w:rsidRPr="007B7BBD">
        <w:rPr>
          <w:i/>
          <w:iCs/>
        </w:rPr>
        <w:t>et al</w:t>
      </w:r>
      <w:r w:rsidRPr="00B44646">
        <w:t>., 2024).</w:t>
      </w:r>
      <w:r w:rsidR="007B7BBD">
        <w:t xml:space="preserve"> </w:t>
      </w:r>
    </w:p>
    <w:p w14:paraId="54D31579" w14:textId="63BEF54F" w:rsidR="00D607E1" w:rsidRDefault="00D607E1" w:rsidP="00B91E31">
      <w:pPr>
        <w:pStyle w:val="Heading3"/>
      </w:pPr>
      <w:bookmarkStart w:id="9" w:name="_Toc224851446"/>
      <w:r>
        <w:t xml:space="preserve">3.4 </w:t>
      </w:r>
      <w:r w:rsidRPr="00D607E1">
        <w:t xml:space="preserve">Workplace Culture, Motivation and the </w:t>
      </w:r>
      <w:r>
        <w:t>Relationship</w:t>
      </w:r>
      <w:bookmarkEnd w:id="9"/>
    </w:p>
    <w:p w14:paraId="08A84716" w14:textId="4DBC8B77" w:rsidR="00BD2C2A" w:rsidRDefault="00D607E1" w:rsidP="00BD2C2A">
      <w:pPr>
        <w:spacing w:line="360" w:lineRule="auto"/>
        <w:jc w:val="both"/>
      </w:pPr>
      <w:r w:rsidRPr="00D607E1">
        <w:t xml:space="preserve">An effective workplace for coaching and mentoring </w:t>
      </w:r>
      <w:r w:rsidR="00BD2C2A">
        <w:t xml:space="preserve">is not only one that gives them chances to grow, but also one where they feel safe enough to learn, ask questions and say they </w:t>
      </w:r>
      <w:r w:rsidR="00AE518E">
        <w:t>do not</w:t>
      </w:r>
      <w:r w:rsidR="00BD2C2A">
        <w:t xml:space="preserve"> know something. Workplace culture is important because it affects how people give and get feedback, help, and challenges. When trust, openness and learning are valued in a culture, learners and mentees are more likely to be honest, think about what they do, and use feedback in a helpful way. </w:t>
      </w:r>
    </w:p>
    <w:p w14:paraId="3ABBCA2B" w14:textId="267CDCF0" w:rsidR="00BD2C2A" w:rsidRDefault="00BD2C2A" w:rsidP="00BD2C2A">
      <w:pPr>
        <w:spacing w:line="360" w:lineRule="auto"/>
        <w:jc w:val="both"/>
      </w:pPr>
      <w:r>
        <w:t xml:space="preserve">On the contrary, coaching and mentoring can start to feel more like monitoring than development when the culture is too judgemental, too hierarchical, or not supportive. This can make people less open and limit their learning (CIPD, 2025; Patil </w:t>
      </w:r>
      <w:r w:rsidRPr="00BD2C2A">
        <w:rPr>
          <w:i/>
          <w:iCs/>
        </w:rPr>
        <w:t>et al</w:t>
      </w:r>
      <w:r>
        <w:t xml:space="preserve">., 2023; Wang, 2024). This is </w:t>
      </w:r>
      <w:r w:rsidR="00F90066">
        <w:t>important</w:t>
      </w:r>
      <w:r>
        <w:t xml:space="preserve"> </w:t>
      </w:r>
      <w:r w:rsidR="00F90066">
        <w:t xml:space="preserve">when building a relationship between the coach and the learner. </w:t>
      </w:r>
    </w:p>
    <w:p w14:paraId="462F7588" w14:textId="6313B2BD" w:rsidR="00BD2C2A" w:rsidRDefault="00BD2C2A" w:rsidP="00BD2C2A">
      <w:pPr>
        <w:spacing w:line="360" w:lineRule="auto"/>
        <w:jc w:val="both"/>
      </w:pPr>
      <w:r>
        <w:t xml:space="preserve">Motivation is just as important. Both the coach and the person being coached or mentored need to be willing to take part in the process for it to work. The coach or mentor must possess the motivation to dedicate time, attentively listen and </w:t>
      </w:r>
      <w:r w:rsidR="001A6B61">
        <w:t>build</w:t>
      </w:r>
      <w:r>
        <w:t xml:space="preserve"> development with patience and consistency, while the learner or mentee must be receptive to </w:t>
      </w:r>
      <w:r>
        <w:lastRenderedPageBreak/>
        <w:t xml:space="preserve">feedback, willing to engage in reflection, and prepared to implement their acquired knowledge. </w:t>
      </w:r>
    </w:p>
    <w:p w14:paraId="25BCAF22" w14:textId="3AD8FF7E" w:rsidR="00BD2C2A" w:rsidRDefault="00BD2C2A" w:rsidP="00BD2C2A">
      <w:pPr>
        <w:spacing w:line="360" w:lineRule="auto"/>
        <w:jc w:val="both"/>
      </w:pPr>
      <w:r>
        <w:t xml:space="preserve">Recent studies indicate that supportive developmental relationships can enhance confidence, resilience, engagement, and </w:t>
      </w:r>
      <w:r w:rsidR="00FE1AD6">
        <w:t>initiative-taking</w:t>
      </w:r>
      <w:r>
        <w:t xml:space="preserve"> behaviour; however, these outcomes are more probable in workplaces that prioritise support and growth over mere performance control (Hammer </w:t>
      </w:r>
      <w:r w:rsidRPr="001A6B61">
        <w:rPr>
          <w:i/>
          <w:iCs/>
        </w:rPr>
        <w:t>et al</w:t>
      </w:r>
      <w:r>
        <w:t xml:space="preserve">., 2024; Sipondo &amp; Terblanche, 2024; Yang </w:t>
      </w:r>
      <w:r w:rsidRPr="001A6B61">
        <w:rPr>
          <w:i/>
          <w:iCs/>
        </w:rPr>
        <w:t>et al.,</w:t>
      </w:r>
      <w:r>
        <w:t xml:space="preserve"> 2024). Research on mentoring indicates that individuals are frequently driven to mentor due to a desire to assist others and contribute to the profession; however, this motivation may be diminished by pressure, workload, and insufficient organisational support (Kakyo </w:t>
      </w:r>
      <w:r w:rsidRPr="001A6B61">
        <w:rPr>
          <w:i/>
          <w:iCs/>
        </w:rPr>
        <w:t>et al.,</w:t>
      </w:r>
      <w:r>
        <w:t xml:space="preserve"> 2025). </w:t>
      </w:r>
    </w:p>
    <w:p w14:paraId="52978531" w14:textId="77777777" w:rsidR="00BD2C2A" w:rsidRDefault="00BD2C2A" w:rsidP="00BD2C2A">
      <w:pPr>
        <w:spacing w:line="360" w:lineRule="auto"/>
        <w:jc w:val="both"/>
      </w:pPr>
      <w:r>
        <w:t>Culture and motivation are closely related: a positive workplace culture fosters the trust and commitment essential for effective coaching and mentoring relationships, whereas a negative culture can hinder even proficient and well-meaning developmental practices.</w:t>
      </w:r>
    </w:p>
    <w:p w14:paraId="226F628B" w14:textId="5808662D" w:rsidR="00FA4EB6" w:rsidRPr="00FA4EB6" w:rsidRDefault="00FA4EB6" w:rsidP="009E4350">
      <w:pPr>
        <w:pStyle w:val="Heading2"/>
      </w:pPr>
      <w:bookmarkStart w:id="10" w:name="_Toc224851447"/>
      <w:r w:rsidRPr="00FA4EB6">
        <w:t>4.0 Application of Coaching Models</w:t>
      </w:r>
      <w:bookmarkEnd w:id="10"/>
    </w:p>
    <w:p w14:paraId="6D8879BE" w14:textId="3FD75372" w:rsidR="00EE29E3" w:rsidRDefault="00FA4EB6" w:rsidP="00EE29E3">
      <w:pPr>
        <w:spacing w:line="360" w:lineRule="auto"/>
        <w:jc w:val="both"/>
      </w:pPr>
      <w:r w:rsidRPr="00FA4EB6">
        <w:t xml:space="preserve">Coaching models </w:t>
      </w:r>
      <w:r w:rsidR="004F1BC4">
        <w:t xml:space="preserve">help to build structure around </w:t>
      </w:r>
      <w:r w:rsidR="000E07EE">
        <w:t>training; h</w:t>
      </w:r>
      <w:r w:rsidRPr="00FA4EB6">
        <w:t xml:space="preserve">owever, not all models are equally </w:t>
      </w:r>
      <w:r w:rsidR="000E07EE">
        <w:t>are useful within all organisations</w:t>
      </w:r>
      <w:r w:rsidRPr="00FA4EB6">
        <w:t>. In aesthetic education, coaching takes place within brief, skill-oriented training environments, so the most effective models are likely to be those that are structured, practical and adaptable enough to support both competence and confidence. This</w:t>
      </w:r>
      <w:r w:rsidR="00770EA5">
        <w:t xml:space="preserve"> can align goals with </w:t>
      </w:r>
      <w:r w:rsidRPr="00FA4EB6">
        <w:t xml:space="preserve">the view that coaching is most effective when it is evidence-informed, </w:t>
      </w:r>
      <w:r w:rsidR="00B92679">
        <w:t xml:space="preserve">relevant </w:t>
      </w:r>
      <w:r w:rsidRPr="00FA4EB6">
        <w:t xml:space="preserve">and linked to clear developmental needs (CIPD, 2025; Cannon-Bowers </w:t>
      </w:r>
      <w:r w:rsidRPr="00E44069">
        <w:rPr>
          <w:i/>
          <w:iCs/>
        </w:rPr>
        <w:t>et al.,</w:t>
      </w:r>
      <w:r w:rsidRPr="00FA4EB6">
        <w:t xml:space="preserve"> 2023; Antoni </w:t>
      </w:r>
      <w:r w:rsidR="00E44069">
        <w:t>&amp;</w:t>
      </w:r>
      <w:r w:rsidRPr="00FA4EB6">
        <w:t xml:space="preserve"> Tatar, 2025).</w:t>
      </w:r>
    </w:p>
    <w:p w14:paraId="49C4E561" w14:textId="77777777" w:rsidR="00EE29E3" w:rsidRDefault="00FA4EB6" w:rsidP="00B92679">
      <w:pPr>
        <w:pStyle w:val="Heading3"/>
      </w:pPr>
      <w:r w:rsidRPr="00FA4EB6">
        <w:t>4.1 Application and Evaluation of Coaching Models in Aesthetic Education</w:t>
      </w:r>
    </w:p>
    <w:p w14:paraId="37BCECEE" w14:textId="77777777" w:rsidR="00F97B3E" w:rsidRDefault="003C6311" w:rsidP="00F97B3E">
      <w:pPr>
        <w:spacing w:line="360" w:lineRule="auto"/>
        <w:jc w:val="both"/>
      </w:pPr>
      <w:r>
        <w:t>The GROW model is a useful framework for individuals to learn about</w:t>
      </w:r>
      <w:r w:rsidR="00EE29E3" w:rsidRPr="00EE29E3">
        <w:t xml:space="preserve"> aesthetics because it </w:t>
      </w:r>
      <w:r w:rsidR="00F97B3E">
        <w:t>provides</w:t>
      </w:r>
      <w:r w:rsidR="00EE29E3" w:rsidRPr="00EE29E3">
        <w:t xml:space="preserve"> structure </w:t>
      </w:r>
      <w:r w:rsidR="00F97B3E">
        <w:t>in</w:t>
      </w:r>
      <w:r w:rsidR="00EE29E3" w:rsidRPr="00EE29E3">
        <w:t xml:space="preserve"> short training sessions. Whitmore (2017) says that GROW is a framework that is based on four things: Goal, Reality, Options, and Will. </w:t>
      </w:r>
      <w:r w:rsidR="00F97B3E">
        <w:t xml:space="preserve">Importantly, GROW </w:t>
      </w:r>
      <w:r w:rsidR="00EE29E3" w:rsidRPr="00EE29E3">
        <w:t>makes coaching more focused and useful</w:t>
      </w:r>
      <w:r w:rsidR="00F97B3E">
        <w:t xml:space="preserve"> which is</w:t>
      </w:r>
      <w:r w:rsidR="00EE29E3" w:rsidRPr="00EE29E3">
        <w:t xml:space="preserve"> helpful in aesthetic training, where students are often expected to learn practical skills, how to consult with clients and </w:t>
      </w:r>
      <w:r w:rsidR="00F97B3E">
        <w:t>gain confidence in a short</w:t>
      </w:r>
      <w:r w:rsidR="00EE29E3" w:rsidRPr="00EE29E3">
        <w:t xml:space="preserve"> amount of time.</w:t>
      </w:r>
      <w:r w:rsidR="00F97B3E">
        <w:t xml:space="preserve"> </w:t>
      </w:r>
    </w:p>
    <w:p w14:paraId="72794958" w14:textId="3455BB14" w:rsidR="00A82267" w:rsidRDefault="00EE29E3" w:rsidP="00A82267">
      <w:pPr>
        <w:spacing w:line="360" w:lineRule="auto"/>
        <w:jc w:val="both"/>
      </w:pPr>
      <w:r w:rsidRPr="00EE29E3">
        <w:lastRenderedPageBreak/>
        <w:t xml:space="preserve">GROW could help a trainee who can do a treatment but </w:t>
      </w:r>
      <w:r w:rsidR="00AE518E" w:rsidRPr="00EE29E3">
        <w:t>is not</w:t>
      </w:r>
      <w:r w:rsidRPr="00EE29E3">
        <w:t xml:space="preserve"> sure how to talk to a client about it. The goal might be to do a safe, clear and professional consultation on your own. The reality stage would look at where the learner is right now, like how unsure they are about explaining contraindications,</w:t>
      </w:r>
      <w:r w:rsidR="00B92679">
        <w:t xml:space="preserve"> </w:t>
      </w:r>
      <w:r w:rsidRPr="00EE29E3">
        <w:t xml:space="preserve">managing client expectations, or talking about aftercare. During the options stage, </w:t>
      </w:r>
      <w:r w:rsidR="00A82267">
        <w:t>learners may watch an</w:t>
      </w:r>
      <w:r w:rsidRPr="00EE29E3">
        <w:t xml:space="preserve"> experienced practitioner, practise important parts of the consultation, or use a structured checklist. The will stage would then turn this into a plan of action that the learner can use in real life. This agrees with what Antoni and Tatar (2025) said: that coaching works better when learning goals are clear and connected to action.</w:t>
      </w:r>
      <w:r w:rsidR="00A82267">
        <w:t xml:space="preserve"> </w:t>
      </w:r>
    </w:p>
    <w:p w14:paraId="1F6BA80E" w14:textId="06514ECD" w:rsidR="0001658F" w:rsidRDefault="00EE29E3" w:rsidP="0001658F">
      <w:pPr>
        <w:spacing w:line="360" w:lineRule="auto"/>
        <w:jc w:val="both"/>
      </w:pPr>
      <w:r w:rsidRPr="00EE29E3">
        <w:t xml:space="preserve">GROW is helpful because it gives short training sessions structure and makes things </w:t>
      </w:r>
      <w:r w:rsidR="00992774" w:rsidRPr="00EE29E3">
        <w:t>clear,</w:t>
      </w:r>
      <w:r w:rsidR="00057570">
        <w:t xml:space="preserve"> but</w:t>
      </w:r>
      <w:r w:rsidRPr="00EE29E3">
        <w:t xml:space="preserve"> it</w:t>
      </w:r>
      <w:r w:rsidR="00057570">
        <w:t>s</w:t>
      </w:r>
      <w:r w:rsidRPr="00EE29E3">
        <w:t xml:space="preserve"> staged logic can make learning too simple when confidence, communication and clinical judgement grow at different rates. </w:t>
      </w:r>
      <w:r w:rsidR="00057570">
        <w:t>Therefore</w:t>
      </w:r>
      <w:r w:rsidRPr="00EE29E3">
        <w:t xml:space="preserve">, its value </w:t>
      </w:r>
      <w:r w:rsidR="00AE518E" w:rsidRPr="00EE29E3">
        <w:t>is not</w:t>
      </w:r>
      <w:r w:rsidRPr="00EE29E3">
        <w:t xml:space="preserve"> in strict adherence, but in how flexible it is. GROW can also work well with SMART goal setting, which is when goals must be clear and measurable (Müller &amp; Kotte, 2020). </w:t>
      </w:r>
      <w:r w:rsidR="00992774">
        <w:t>Setting</w:t>
      </w:r>
      <w:r w:rsidRPr="00EE29E3">
        <w:t xml:space="preserve"> too many goals, can make learning harder and less flexible. </w:t>
      </w:r>
      <w:r w:rsidR="00992774">
        <w:t>Learners</w:t>
      </w:r>
      <w:r w:rsidRPr="00EE29E3">
        <w:t xml:space="preserve"> in aesthetic education often need help not only with finishing a task, but also with building their confidence, communication skills and professional judgement.</w:t>
      </w:r>
      <w:r w:rsidR="0001658F">
        <w:t xml:space="preserve"> </w:t>
      </w:r>
    </w:p>
    <w:p w14:paraId="236E0231" w14:textId="650FA55E" w:rsidR="0001658F" w:rsidRDefault="00EE29E3" w:rsidP="0001658F">
      <w:pPr>
        <w:spacing w:line="360" w:lineRule="auto"/>
        <w:jc w:val="both"/>
      </w:pPr>
      <w:r w:rsidRPr="00EE29E3">
        <w:t xml:space="preserve">This </w:t>
      </w:r>
      <w:r w:rsidR="0001658F">
        <w:t>defines a flaw</w:t>
      </w:r>
      <w:r w:rsidRPr="00EE29E3">
        <w:t xml:space="preserve"> in GROW. It may be too linear for learners who are anxious, overwhelmed, or not experienced enough to find realistic options on their own, even though it gives them a useful structure. In these instances, coaching may necessitate a more prescriptive approach, especially concerning clinical safety, infection control, informed consent, and legal responsibility (Fey </w:t>
      </w:r>
      <w:r w:rsidRPr="0001658F">
        <w:rPr>
          <w:i/>
          <w:iCs/>
        </w:rPr>
        <w:t>et al</w:t>
      </w:r>
      <w:r w:rsidRPr="00EE29E3">
        <w:t xml:space="preserve">., 2022). This is especially important right now because the rules for non-surgical cosmetic procedures are changing, and the government is paying more attention to practitioner competence and public safety (Department of Health &amp; Social Care, 2025; Joint Council for Cosmetic Practitioners, 2025). Ben-Hador (2024) </w:t>
      </w:r>
      <w:r w:rsidR="00C547D6">
        <w:t xml:space="preserve">says </w:t>
      </w:r>
      <w:r w:rsidRPr="00EE29E3">
        <w:t>workplace coaching is influenced by th</w:t>
      </w:r>
      <w:r w:rsidR="00C547D6">
        <w:t>ose involved in the workplace</w:t>
      </w:r>
      <w:r w:rsidRPr="00EE29E3">
        <w:t xml:space="preserve">, </w:t>
      </w:r>
      <w:r w:rsidR="00C547D6">
        <w:t xml:space="preserve">which suggests </w:t>
      </w:r>
      <w:r w:rsidRPr="00EE29E3">
        <w:t xml:space="preserve">choosing a model is </w:t>
      </w:r>
      <w:r w:rsidR="002768E8">
        <w:t>ineffective if the dynamics of the workplace are not considered, as this may affect the support and attitude provided</w:t>
      </w:r>
      <w:proofErr w:type="gramStart"/>
      <w:r w:rsidR="002768E8">
        <w:t xml:space="preserve">. </w:t>
      </w:r>
      <w:r w:rsidR="0001658F">
        <w:t xml:space="preserve"> </w:t>
      </w:r>
      <w:proofErr w:type="gramEnd"/>
    </w:p>
    <w:p w14:paraId="1EB7237C" w14:textId="7F135342" w:rsidR="00FA4EB6" w:rsidRPr="00FA4EB6" w:rsidRDefault="00FA4EB6" w:rsidP="0001658F">
      <w:pPr>
        <w:pStyle w:val="Heading3"/>
      </w:pPr>
      <w:bookmarkStart w:id="11" w:name="_Toc224851448"/>
      <w:r w:rsidRPr="00FA4EB6">
        <w:lastRenderedPageBreak/>
        <w:t>4.2 Comparison of GROW with Other Models</w:t>
      </w:r>
      <w:bookmarkEnd w:id="11"/>
    </w:p>
    <w:p w14:paraId="72D91BFE" w14:textId="2433564E" w:rsidR="00FA4EB6" w:rsidRPr="00FA4EB6" w:rsidRDefault="00FA4EB6" w:rsidP="00E44069">
      <w:pPr>
        <w:spacing w:line="360" w:lineRule="auto"/>
        <w:jc w:val="both"/>
      </w:pPr>
      <w:r w:rsidRPr="00FA4EB6">
        <w:t xml:space="preserve">Although GROW is a strong main model for this context, other approaches may also be useful. OSCAR may be particularly helpful for learners who are anxious or overwhelmed because it focuses on solutions and directs attention towards strengths, progress and achievable next steps. This may be valuable in aesthetic training where lack of confidence affects either technical performance or communication with clients. In situations where confidence-building is a priority, OSCAR may offer advantages over GROW. Conversely, where the main objective is to structure learning around a clear and measurable performance goal, GROW may be more effective (Grant </w:t>
      </w:r>
      <w:r w:rsidR="00E44069">
        <w:t>&amp;</w:t>
      </w:r>
      <w:r w:rsidRPr="00FA4EB6">
        <w:t xml:space="preserve"> Gerrard, 2020).</w:t>
      </w:r>
    </w:p>
    <w:p w14:paraId="0E13D836" w14:textId="47605027" w:rsidR="00FA4EB6" w:rsidRPr="00FA4EB6" w:rsidRDefault="00FA4EB6" w:rsidP="00E44069">
      <w:pPr>
        <w:spacing w:line="360" w:lineRule="auto"/>
        <w:jc w:val="both"/>
      </w:pPr>
      <w:r w:rsidRPr="00FA4EB6">
        <w:t xml:space="preserve">NLP may be </w:t>
      </w:r>
      <w:r w:rsidR="00F71D89">
        <w:t>used to</w:t>
      </w:r>
      <w:r w:rsidRPr="00FA4EB6">
        <w:t xml:space="preserve"> influence communication and confidence development, but it is less convincing as</w:t>
      </w:r>
      <w:r w:rsidR="00F71D89">
        <w:t xml:space="preserve"> a</w:t>
      </w:r>
      <w:r w:rsidRPr="00FA4EB6">
        <w:t xml:space="preserve"> coaching model in t</w:t>
      </w:r>
      <w:r w:rsidR="00F71D89">
        <w:t>he aesthetic education</w:t>
      </w:r>
      <w:r w:rsidRPr="00FA4EB6">
        <w:t>. The evidence is more mixed, and in short practical training the immediate priority is usually to help the learner perform safely and competently rather than to explore deeper patterns of thought or language</w:t>
      </w:r>
      <w:r w:rsidR="00F71D89">
        <w:t xml:space="preserve"> </w:t>
      </w:r>
      <w:r w:rsidRPr="00FA4EB6">
        <w:t xml:space="preserve">(Passmore </w:t>
      </w:r>
      <w:r w:rsidR="00E44069">
        <w:t>&amp;</w:t>
      </w:r>
      <w:r w:rsidRPr="00FA4EB6">
        <w:t xml:space="preserve"> Rowson, 2019). </w:t>
      </w:r>
      <w:r w:rsidR="008E0386">
        <w:t xml:space="preserve">It would place constraints towards time and resources if LP were reviewed. </w:t>
      </w:r>
      <w:r w:rsidRPr="00FA4EB6">
        <w:t>For this reason, GROW and OSCAR appear more appropriate for aesthetic education because they offer clearer and more practical structures for coaching in workplace learning settings.</w:t>
      </w:r>
    </w:p>
    <w:p w14:paraId="1FCF5929" w14:textId="2D12A037" w:rsidR="00CD19A3" w:rsidRDefault="00FA4EB6" w:rsidP="00CD19A3">
      <w:pPr>
        <w:spacing w:line="360" w:lineRule="auto"/>
        <w:jc w:val="both"/>
      </w:pPr>
      <w:r w:rsidRPr="00FA4EB6">
        <w:t xml:space="preserve">This reinforces the importance of adapting coaching to the </w:t>
      </w:r>
      <w:r w:rsidR="00FA20CD" w:rsidRPr="00FA4EB6">
        <w:t>learner;</w:t>
      </w:r>
      <w:r w:rsidRPr="00FA4EB6">
        <w:t xml:space="preserve"> the skill being developed and the practical re</w:t>
      </w:r>
      <w:r w:rsidR="00FA20CD">
        <w:t xml:space="preserve">adiness </w:t>
      </w:r>
      <w:r w:rsidRPr="00FA4EB6">
        <w:t xml:space="preserve">of the training environment. In aesthetic education, the most effective approach is likely to be </w:t>
      </w:r>
      <w:r w:rsidR="00636325">
        <w:t xml:space="preserve">GROW due to its </w:t>
      </w:r>
      <w:r w:rsidR="00AE707B">
        <w:t xml:space="preserve">flexibility while </w:t>
      </w:r>
      <w:r w:rsidRPr="00FA4EB6">
        <w:t xml:space="preserve">OSCAR </w:t>
      </w:r>
      <w:r w:rsidR="00AE707B">
        <w:t xml:space="preserve">is more of </w:t>
      </w:r>
      <w:r w:rsidR="00F526B9">
        <w:t>directive feedback</w:t>
      </w:r>
      <w:r w:rsidRPr="00FA4EB6">
        <w:t xml:space="preserve"> are used </w:t>
      </w:r>
      <w:r w:rsidR="00AE707B">
        <w:t>to</w:t>
      </w:r>
      <w:r w:rsidRPr="00FA4EB6">
        <w:t xml:space="preserve"> support safe practice, learner confidence and professional development.</w:t>
      </w:r>
      <w:r w:rsidR="00CD19A3">
        <w:t xml:space="preserve"> </w:t>
      </w:r>
    </w:p>
    <w:p w14:paraId="5CCA64D1" w14:textId="77777777" w:rsidR="00CD19A3" w:rsidRDefault="00FA4EB6" w:rsidP="00CD19A3">
      <w:pPr>
        <w:pStyle w:val="Heading3"/>
      </w:pPr>
      <w:bookmarkStart w:id="12" w:name="_Toc224851449"/>
      <w:r w:rsidRPr="00FA4EB6">
        <w:t>4.3 Contracting, Supervision and Evaluation of Coaching Effectiveness</w:t>
      </w:r>
      <w:bookmarkEnd w:id="12"/>
      <w:r w:rsidR="00CD19A3">
        <w:t xml:space="preserve"> </w:t>
      </w:r>
    </w:p>
    <w:p w14:paraId="78940DF5" w14:textId="2267BE5D" w:rsidR="00CD19A3" w:rsidRDefault="00CD19A3" w:rsidP="00CD19A3">
      <w:pPr>
        <w:spacing w:line="360" w:lineRule="auto"/>
        <w:jc w:val="both"/>
      </w:pPr>
      <w:r w:rsidRPr="00CD19A3">
        <w:t xml:space="preserve">Formal coaching in organisations must </w:t>
      </w:r>
      <w:r w:rsidR="00314C06">
        <w:t>receive</w:t>
      </w:r>
      <w:r w:rsidRPr="00CD19A3">
        <w:t xml:space="preserve"> contracting, suitable supervision and reliable evaluation methods (Vitzthum, 2023; Jarosz &amp; Cartor, 2025). Contracting is important because it makes clear what the goals, responsibilities, limits, privacy and review points are. This is especially important in aesthetic education, where the coach could also be the trainer or the person who grades the students. Learners must comprehend whether a conversation is developmental, evaluative, or both (Mand </w:t>
      </w:r>
      <w:r w:rsidRPr="000E40A4">
        <w:rPr>
          <w:i/>
          <w:iCs/>
        </w:rPr>
        <w:t>et al</w:t>
      </w:r>
      <w:r w:rsidRPr="00CD19A3">
        <w:t xml:space="preserve">., </w:t>
      </w:r>
      <w:r w:rsidRPr="00CD19A3">
        <w:lastRenderedPageBreak/>
        <w:t xml:space="preserve">2025). If there </w:t>
      </w:r>
      <w:r w:rsidR="00AE518E" w:rsidRPr="00CD19A3">
        <w:t>is not</w:t>
      </w:r>
      <w:r w:rsidRPr="00CD19A3">
        <w:t xml:space="preserve"> a clear contract, coaching can become unstructured, and students may not be as willing to admit mistakes, uncertainty, or doubts.</w:t>
      </w:r>
    </w:p>
    <w:p w14:paraId="21D043AD" w14:textId="77777777" w:rsidR="00CD19A3" w:rsidRDefault="00CD19A3" w:rsidP="00CD19A3">
      <w:pPr>
        <w:spacing w:line="360" w:lineRule="auto"/>
        <w:jc w:val="both"/>
      </w:pPr>
      <w:r w:rsidRPr="00CD19A3">
        <w:t>Supervision is also important because it helps keep the quality of the work, helps coaches grow, and encourages consistent practice. It gives the coach a structured place to think about tough situations, see if bias has affected their judgement and keep their emotions in check. This is important because coaches might not mean to make their support too directive, inconsistent, or emotionally unclear. Supervision in aesthetic education also helps keep safety standards high and makes sure that everyone follows professional, ethical and client safety rules (Ratlabala &amp; Terblanche, 2022).</w:t>
      </w:r>
      <w:r>
        <w:t xml:space="preserve"> </w:t>
      </w:r>
    </w:p>
    <w:p w14:paraId="3E25BD98" w14:textId="64EDBE0B" w:rsidR="004F5D45" w:rsidRDefault="00CD19A3" w:rsidP="004F5D45">
      <w:pPr>
        <w:spacing w:line="360" w:lineRule="auto"/>
        <w:jc w:val="both"/>
      </w:pPr>
      <w:r>
        <w:t>A</w:t>
      </w:r>
      <w:r w:rsidRPr="00CD19A3">
        <w:t xml:space="preserve">ssessment is equally significant. Coaching is more effective when it is associated with clear objectives and quantifiable developmental results (Nicolau </w:t>
      </w:r>
      <w:r w:rsidRPr="00CD19A3">
        <w:rPr>
          <w:i/>
          <w:iCs/>
        </w:rPr>
        <w:t>et al</w:t>
      </w:r>
      <w:r w:rsidRPr="00CD19A3">
        <w:t xml:space="preserve">., 2023; Stojanović </w:t>
      </w:r>
      <w:r w:rsidRPr="00CD19A3">
        <w:rPr>
          <w:i/>
          <w:iCs/>
        </w:rPr>
        <w:t>et al.,</w:t>
      </w:r>
      <w:r w:rsidRPr="00CD19A3">
        <w:t xml:space="preserve"> 2024). Learner feedback can offer valuable insights into the effectiveness, clarity, and relevance of the coaching process, especially when learners actively engage with and apply the feedback received (van Wijk </w:t>
      </w:r>
      <w:r w:rsidRPr="00CD19A3">
        <w:rPr>
          <w:i/>
          <w:iCs/>
        </w:rPr>
        <w:t>et al.,</w:t>
      </w:r>
      <w:r w:rsidRPr="00CD19A3">
        <w:t xml:space="preserve"> 2024; Lipnevich </w:t>
      </w:r>
      <w:r w:rsidRPr="00CD19A3">
        <w:rPr>
          <w:i/>
          <w:iCs/>
        </w:rPr>
        <w:t>et al.,</w:t>
      </w:r>
      <w:r w:rsidRPr="00CD19A3">
        <w:t xml:space="preserve"> 2025). Another sign is whether students reach their goals, which could show up as better consultation, better technical skills, or more professional confidence. But self-reporting </w:t>
      </w:r>
      <w:r w:rsidR="00AE518E" w:rsidRPr="00CD19A3">
        <w:t>should not</w:t>
      </w:r>
      <w:r w:rsidRPr="00CD19A3">
        <w:t xml:space="preserve"> be the only part of evaluation. Competence assessments, repeated performance data, and workplace-based observations can furnish more robust evidence of the significant impact of coaching (Mand </w:t>
      </w:r>
      <w:r w:rsidRPr="00CD19A3">
        <w:rPr>
          <w:i/>
          <w:iCs/>
        </w:rPr>
        <w:t>et al.,</w:t>
      </w:r>
      <w:r w:rsidRPr="00CD19A3">
        <w:t xml:space="preserve"> 2025; Jarosz &amp; Cartor, 2025).</w:t>
      </w:r>
      <w:r w:rsidR="004F5D45">
        <w:t xml:space="preserve"> </w:t>
      </w:r>
    </w:p>
    <w:p w14:paraId="6D61CECF" w14:textId="77777777" w:rsidR="004F5D45" w:rsidRDefault="00CD19A3" w:rsidP="004F5D45">
      <w:pPr>
        <w:spacing w:line="360" w:lineRule="auto"/>
        <w:jc w:val="both"/>
      </w:pPr>
      <w:r w:rsidRPr="00CD19A3">
        <w:t>In aesthetic education, this may manifest as enhanced consultation practices, more secure clinical decision-making, fortified infection prevention and control measures</w:t>
      </w:r>
      <w:r w:rsidR="004F5D45">
        <w:t>,</w:t>
      </w:r>
      <w:r w:rsidRPr="00CD19A3">
        <w:t xml:space="preserve"> and increased consistency in treatment administration. Other important indicators could be client safety outcomes, measures of confidence and proof that professionals are doing their jobs more consistently over time. These steps are important because coaching in this situation should not only make people feel more confident, but it should also make their professional practice safer and more responsible. Consequently, evaluation must be multidimensional, incorporating learner perceptions alongside observed outcomes and established professional standards. This supports the idea that coaching works best when it is seen as a developmental process that includes contracting, supervision, reflection, and evaluation (Cannon-Bowers </w:t>
      </w:r>
      <w:r w:rsidRPr="004F5D45">
        <w:rPr>
          <w:i/>
          <w:iCs/>
        </w:rPr>
        <w:t>et al.,</w:t>
      </w:r>
      <w:r w:rsidRPr="00CD19A3">
        <w:t xml:space="preserve"> 2023).</w:t>
      </w:r>
    </w:p>
    <w:p w14:paraId="6FC12354" w14:textId="5C47D7BB" w:rsidR="00FA4EB6" w:rsidRPr="00FA4EB6" w:rsidRDefault="00FA4EB6" w:rsidP="004F5D45">
      <w:pPr>
        <w:pStyle w:val="Heading3"/>
      </w:pPr>
      <w:bookmarkStart w:id="13" w:name="_Toc224851450"/>
      <w:r w:rsidRPr="00FA4EB6">
        <w:lastRenderedPageBreak/>
        <w:t>4.4 Recommendations for Coaching in Aesthetic Education</w:t>
      </w:r>
      <w:bookmarkEnd w:id="13"/>
    </w:p>
    <w:p w14:paraId="5F75476C" w14:textId="77777777" w:rsidR="00FA4EB6" w:rsidRPr="00FA4EB6" w:rsidRDefault="00FA4EB6" w:rsidP="00F35AE2">
      <w:pPr>
        <w:spacing w:line="360" w:lineRule="auto"/>
        <w:jc w:val="both"/>
      </w:pPr>
      <w:r w:rsidRPr="00FA4EB6">
        <w:t>Coaching in aesthetic education should be structured but flexible. The MoSCoW framework can be used to prioritise what matters most (Agile Business Consortium, n.d.).</w:t>
      </w:r>
    </w:p>
    <w:p w14:paraId="3141E875" w14:textId="77777777" w:rsidR="00FA4EB6" w:rsidRPr="00FA4EB6" w:rsidRDefault="00FA4EB6" w:rsidP="00F35AE2">
      <w:pPr>
        <w:spacing w:line="360" w:lineRule="auto"/>
        <w:jc w:val="both"/>
      </w:pPr>
      <w:r w:rsidRPr="00FA4EB6">
        <w:rPr>
          <w:b/>
          <w:bCs/>
        </w:rPr>
        <w:t>Must have</w:t>
      </w:r>
      <w:r w:rsidRPr="00FA4EB6">
        <w:t xml:space="preserve"> elements include clear contracting at the outset, alignment with organisational priorities such as safety, consistency, and service quality, and evaluation through learner feedback alongside observed competence.</w:t>
      </w:r>
    </w:p>
    <w:p w14:paraId="487F8B66" w14:textId="4CEF5AC8" w:rsidR="00FA4EB6" w:rsidRPr="00FA4EB6" w:rsidRDefault="00FA4EB6" w:rsidP="00F35AE2">
      <w:pPr>
        <w:spacing w:line="360" w:lineRule="auto"/>
        <w:jc w:val="both"/>
      </w:pPr>
      <w:r w:rsidRPr="00FA4EB6">
        <w:rPr>
          <w:b/>
          <w:bCs/>
        </w:rPr>
        <w:t>Should have</w:t>
      </w:r>
      <w:r w:rsidRPr="00FA4EB6">
        <w:t xml:space="preserve"> elements include separating developmental coaching from formal assessment where </w:t>
      </w:r>
      <w:r w:rsidR="00E44069" w:rsidRPr="00FA4EB6">
        <w:t>possible and</w:t>
      </w:r>
      <w:r w:rsidRPr="00FA4EB6">
        <w:t xml:space="preserve"> using the GROW model flexibly according to learner readiness and clinical context.</w:t>
      </w:r>
    </w:p>
    <w:p w14:paraId="6013990D" w14:textId="77777777" w:rsidR="00FA4EB6" w:rsidRPr="00FA4EB6" w:rsidRDefault="00FA4EB6" w:rsidP="00F35AE2">
      <w:pPr>
        <w:spacing w:line="360" w:lineRule="auto"/>
        <w:jc w:val="both"/>
      </w:pPr>
      <w:r w:rsidRPr="00FA4EB6">
        <w:rPr>
          <w:b/>
          <w:bCs/>
        </w:rPr>
        <w:t>Could have</w:t>
      </w:r>
      <w:r w:rsidRPr="00FA4EB6">
        <w:t xml:space="preserve"> elements include supervision for coaches and trainers to support reflection, consistency, and awareness of bias.</w:t>
      </w:r>
    </w:p>
    <w:p w14:paraId="6AE36F1F" w14:textId="77777777" w:rsidR="00FA4EB6" w:rsidRPr="00FA4EB6" w:rsidRDefault="00FA4EB6" w:rsidP="00F35AE2">
      <w:pPr>
        <w:spacing w:line="360" w:lineRule="auto"/>
        <w:jc w:val="both"/>
      </w:pPr>
      <w:r w:rsidRPr="00FA4EB6">
        <w:t>Using MoSCoW in this way helps ensure that coaching remains focused on safe practice while also supporting learner confidence and professional development.</w:t>
      </w:r>
    </w:p>
    <w:p w14:paraId="322AEB94" w14:textId="77777777" w:rsidR="00FA4EB6" w:rsidRPr="00FA4EB6" w:rsidRDefault="00FA4EB6" w:rsidP="00F35AE2">
      <w:pPr>
        <w:pStyle w:val="Heading2"/>
      </w:pPr>
      <w:bookmarkStart w:id="14" w:name="_Toc224851451"/>
      <w:r w:rsidRPr="00FA4EB6">
        <w:t>5.0 Conclusion</w:t>
      </w:r>
      <w:bookmarkEnd w:id="14"/>
    </w:p>
    <w:p w14:paraId="339C5539" w14:textId="73DBAF44" w:rsidR="00FA4EB6" w:rsidRPr="00FA4EB6" w:rsidRDefault="00FA4EB6" w:rsidP="00F35AE2">
      <w:pPr>
        <w:spacing w:line="360" w:lineRule="auto"/>
        <w:jc w:val="both"/>
      </w:pPr>
      <w:r w:rsidRPr="00FA4EB6">
        <w:t xml:space="preserve">This report has explored the role of coaching and mentoring in organisational contexts, with a particular focus on coaching within aesthetic education. Although coaching and mentoring both aim to support professional development, coaching is </w:t>
      </w:r>
      <w:r w:rsidR="00AE518E" w:rsidRPr="00FA4EB6">
        <w:t>more</w:t>
      </w:r>
      <w:r w:rsidRPr="00FA4EB6">
        <w:t xml:space="preserve"> structured and short term, with a stronger emphasis on improving specific skills and performance outcomes.</w:t>
      </w:r>
    </w:p>
    <w:p w14:paraId="0F7E37FD" w14:textId="76F81C1F" w:rsidR="00FA4EB6" w:rsidRPr="00FA4EB6" w:rsidRDefault="00FA4EB6" w:rsidP="00F35AE2">
      <w:pPr>
        <w:spacing w:line="360" w:lineRule="auto"/>
        <w:jc w:val="both"/>
      </w:pPr>
      <w:r w:rsidRPr="00FA4EB6">
        <w:t xml:space="preserve">The analysis suggests that coaching can play </w:t>
      </w:r>
      <w:r w:rsidR="00483960" w:rsidRPr="00FA4EB6">
        <w:t>a key role</w:t>
      </w:r>
      <w:r w:rsidRPr="00FA4EB6">
        <w:t xml:space="preserve"> in workplace learning by supporting skill development, motivation, engagement and reflective practice. Effective coaching depends on key competencies such as communication, feedback, self-awareness, empathy and professional judgement. These qualities contribute to learning environments in which individuals can reflect on performance, build confidence and improve practice.</w:t>
      </w:r>
    </w:p>
    <w:p w14:paraId="783694F0" w14:textId="7DF1209F" w:rsidR="00FA4EB6" w:rsidRPr="00FA4EB6" w:rsidRDefault="00FA4EB6" w:rsidP="00F35AE2">
      <w:pPr>
        <w:spacing w:line="360" w:lineRule="auto"/>
        <w:jc w:val="both"/>
      </w:pPr>
      <w:r w:rsidRPr="00FA4EB6">
        <w:t xml:space="preserve">The evaluation of coaching models indicates that structured approaches such as GROW are particularly useful in skill-based training settings because they support </w:t>
      </w:r>
      <w:r w:rsidR="00F35AE2" w:rsidRPr="00FA4EB6">
        <w:t>goal setting</w:t>
      </w:r>
      <w:r w:rsidRPr="00FA4EB6">
        <w:t xml:space="preserve">, reflection, and practical improvement. However, their effectiveness depends on the </w:t>
      </w:r>
      <w:r w:rsidRPr="00FA4EB6">
        <w:lastRenderedPageBreak/>
        <w:t>context in which they are used, including organisational culture, learner readiness, the coach’s competence and the safety demands of the workplace.</w:t>
      </w:r>
    </w:p>
    <w:p w14:paraId="14429EFE" w14:textId="77777777" w:rsidR="00925C81" w:rsidRDefault="00FA4EB6" w:rsidP="00925C81">
      <w:pPr>
        <w:spacing w:line="360" w:lineRule="auto"/>
        <w:jc w:val="both"/>
      </w:pPr>
      <w:r w:rsidRPr="00FA4EB6">
        <w:t>Overall, coaching is more defensible than mentoring in short-form aesthetic education because it aligns more closely with immediate competence development. However, its value depends on whether it remains genuinely developmental rather than merely evaluative. In this context, GROW is most effective when used flexibly and combined with supportive feedback, confidence-building and more directive intervention where safety requires it</w:t>
      </w:r>
      <w:bookmarkStart w:id="15" w:name="_Toc224851452"/>
      <w:r w:rsidR="00F062D1">
        <w:t xml:space="preserve">. </w:t>
      </w:r>
    </w:p>
    <w:p w14:paraId="01C7D6AA" w14:textId="77777777" w:rsidR="00925C81" w:rsidRDefault="00925C81" w:rsidP="00925C81">
      <w:pPr>
        <w:spacing w:line="360" w:lineRule="auto"/>
        <w:jc w:val="both"/>
      </w:pPr>
    </w:p>
    <w:p w14:paraId="39598790" w14:textId="77777777" w:rsidR="00925C81" w:rsidRDefault="00925C81" w:rsidP="00925C81">
      <w:pPr>
        <w:spacing w:line="360" w:lineRule="auto"/>
        <w:jc w:val="both"/>
      </w:pPr>
    </w:p>
    <w:p w14:paraId="689464BB" w14:textId="77777777" w:rsidR="00925C81" w:rsidRDefault="00925C81" w:rsidP="00925C81">
      <w:pPr>
        <w:spacing w:line="360" w:lineRule="auto"/>
        <w:jc w:val="both"/>
      </w:pPr>
    </w:p>
    <w:p w14:paraId="531D45F3" w14:textId="77777777" w:rsidR="00925C81" w:rsidRDefault="00925C81" w:rsidP="00925C81">
      <w:pPr>
        <w:spacing w:line="360" w:lineRule="auto"/>
        <w:jc w:val="both"/>
      </w:pPr>
    </w:p>
    <w:p w14:paraId="28062E86" w14:textId="77777777" w:rsidR="00925C81" w:rsidRDefault="00925C81" w:rsidP="00925C81">
      <w:pPr>
        <w:spacing w:line="360" w:lineRule="auto"/>
        <w:jc w:val="both"/>
      </w:pPr>
    </w:p>
    <w:p w14:paraId="27863C23" w14:textId="77777777" w:rsidR="00925C81" w:rsidRDefault="00925C81" w:rsidP="00925C81">
      <w:pPr>
        <w:spacing w:line="360" w:lineRule="auto"/>
        <w:jc w:val="both"/>
      </w:pPr>
    </w:p>
    <w:p w14:paraId="058E9D6D" w14:textId="77777777" w:rsidR="00925C81" w:rsidRDefault="00925C81" w:rsidP="00925C81">
      <w:pPr>
        <w:spacing w:line="360" w:lineRule="auto"/>
        <w:jc w:val="both"/>
      </w:pPr>
    </w:p>
    <w:p w14:paraId="10387908" w14:textId="77777777" w:rsidR="00925C81" w:rsidRDefault="00925C81" w:rsidP="00925C81">
      <w:pPr>
        <w:spacing w:line="360" w:lineRule="auto"/>
        <w:jc w:val="both"/>
      </w:pPr>
    </w:p>
    <w:p w14:paraId="34962929" w14:textId="77777777" w:rsidR="00925C81" w:rsidRDefault="00925C81" w:rsidP="00925C81">
      <w:pPr>
        <w:spacing w:line="360" w:lineRule="auto"/>
        <w:jc w:val="both"/>
      </w:pPr>
    </w:p>
    <w:p w14:paraId="00644FAC" w14:textId="77777777" w:rsidR="00925C81" w:rsidRDefault="00925C81" w:rsidP="00925C81">
      <w:pPr>
        <w:spacing w:line="360" w:lineRule="auto"/>
        <w:jc w:val="both"/>
      </w:pPr>
    </w:p>
    <w:p w14:paraId="79D54674" w14:textId="77777777" w:rsidR="00925C81" w:rsidRDefault="00925C81" w:rsidP="00925C81">
      <w:pPr>
        <w:spacing w:line="360" w:lineRule="auto"/>
        <w:jc w:val="both"/>
      </w:pPr>
    </w:p>
    <w:p w14:paraId="4F9AC8A9" w14:textId="77777777" w:rsidR="00925C81" w:rsidRDefault="00925C81" w:rsidP="00925C81">
      <w:pPr>
        <w:spacing w:line="360" w:lineRule="auto"/>
        <w:jc w:val="both"/>
      </w:pPr>
    </w:p>
    <w:p w14:paraId="248E6568" w14:textId="77777777" w:rsidR="00925C81" w:rsidRDefault="00925C81" w:rsidP="00925C81">
      <w:pPr>
        <w:spacing w:line="360" w:lineRule="auto"/>
        <w:jc w:val="both"/>
      </w:pPr>
    </w:p>
    <w:p w14:paraId="57D0A6EE" w14:textId="77777777" w:rsidR="00925C81" w:rsidRDefault="00925C81" w:rsidP="00925C81">
      <w:pPr>
        <w:spacing w:line="360" w:lineRule="auto"/>
        <w:jc w:val="both"/>
      </w:pPr>
    </w:p>
    <w:p w14:paraId="0765BD80" w14:textId="77777777" w:rsidR="00925C81" w:rsidRDefault="00925C81" w:rsidP="00925C81">
      <w:pPr>
        <w:spacing w:line="360" w:lineRule="auto"/>
        <w:jc w:val="both"/>
      </w:pPr>
    </w:p>
    <w:p w14:paraId="5627BDA0" w14:textId="7AA0D704" w:rsidR="00FA4EB6" w:rsidRDefault="00FA4EB6" w:rsidP="00925C81">
      <w:pPr>
        <w:pStyle w:val="Heading2"/>
      </w:pPr>
      <w:r>
        <w:lastRenderedPageBreak/>
        <w:t>References</w:t>
      </w:r>
      <w:bookmarkEnd w:id="15"/>
    </w:p>
    <w:p w14:paraId="4DE9569E" w14:textId="77777777" w:rsidR="00F35AE2" w:rsidRPr="00F35AE2" w:rsidRDefault="00F35AE2" w:rsidP="00F35AE2">
      <w:pPr>
        <w:ind w:left="720" w:hanging="720"/>
      </w:pPr>
      <w:r w:rsidRPr="00F35AE2">
        <w:t xml:space="preserve">Agile Business Consortium. (n.d.). </w:t>
      </w:r>
      <w:r w:rsidRPr="00F35AE2">
        <w:rPr>
          <w:i/>
          <w:iCs/>
        </w:rPr>
        <w:t>MoSCoW prioritisation</w:t>
      </w:r>
      <w:r w:rsidRPr="00F35AE2">
        <w:t xml:space="preserve">. </w:t>
      </w:r>
      <w:hyperlink r:id="rId5" w:tgtFrame="_new" w:history="1">
        <w:r w:rsidRPr="00F35AE2">
          <w:rPr>
            <w:rStyle w:val="Hyperlink"/>
          </w:rPr>
          <w:t>https://www.agilebusiness.org/dsdm-project-framework/moscow-prioritisation.html</w:t>
        </w:r>
      </w:hyperlink>
    </w:p>
    <w:p w14:paraId="0BACDA5F" w14:textId="77777777" w:rsidR="00F35AE2" w:rsidRPr="00F35AE2" w:rsidRDefault="00F35AE2" w:rsidP="00F35AE2">
      <w:pPr>
        <w:ind w:left="720" w:hanging="720"/>
      </w:pPr>
      <w:r w:rsidRPr="00F35AE2">
        <w:t xml:space="preserve">Antoni, C. H., &amp; Tatar, A. (2025). Learning processes as mediators of the impact of workplace coaching interventions on goal attainment. </w:t>
      </w:r>
      <w:r w:rsidRPr="00F35AE2">
        <w:rPr>
          <w:i/>
          <w:iCs/>
        </w:rPr>
        <w:t>Journal of Occupational and Organizational Psychology, 98</w:t>
      </w:r>
      <w:r w:rsidRPr="00F35AE2">
        <w:t xml:space="preserve">(1). </w:t>
      </w:r>
      <w:hyperlink r:id="rId6" w:tgtFrame="_new" w:history="1">
        <w:r w:rsidRPr="00F35AE2">
          <w:rPr>
            <w:rStyle w:val="Hyperlink"/>
          </w:rPr>
          <w:t>https://doi.org/10.1111/joop.70004</w:t>
        </w:r>
      </w:hyperlink>
    </w:p>
    <w:p w14:paraId="0142225E" w14:textId="77777777" w:rsidR="00F35AE2" w:rsidRPr="00F35AE2" w:rsidRDefault="00F35AE2" w:rsidP="00F35AE2">
      <w:pPr>
        <w:ind w:left="720" w:hanging="720"/>
      </w:pPr>
      <w:r w:rsidRPr="00F35AE2">
        <w:t xml:space="preserve">Atkinson, A., Watling, C. J., &amp; Brand, P. L. P. (2022). Feedback and coaching. </w:t>
      </w:r>
      <w:r w:rsidRPr="00F35AE2">
        <w:rPr>
          <w:i/>
          <w:iCs/>
        </w:rPr>
        <w:t>European Journal of Pediatrics, 181</w:t>
      </w:r>
      <w:r w:rsidRPr="00F35AE2">
        <w:t xml:space="preserve">(2), 441–446. </w:t>
      </w:r>
      <w:hyperlink r:id="rId7" w:tgtFrame="_new" w:history="1">
        <w:r w:rsidRPr="00F35AE2">
          <w:rPr>
            <w:rStyle w:val="Hyperlink"/>
          </w:rPr>
          <w:t>https://doi.org/10.1007/s00431-021-04118-8</w:t>
        </w:r>
      </w:hyperlink>
    </w:p>
    <w:p w14:paraId="612D17EF" w14:textId="77777777" w:rsidR="00F35AE2" w:rsidRPr="00F35AE2" w:rsidRDefault="00F35AE2" w:rsidP="00F35AE2">
      <w:pPr>
        <w:ind w:left="720" w:hanging="720"/>
      </w:pPr>
      <w:r w:rsidRPr="00F35AE2">
        <w:t xml:space="preserve">Ben-Hador, B. (2024). The practice of manager as coach (MAC): Unequal power relations and their effect on feelings toward the organization. </w:t>
      </w:r>
      <w:r w:rsidRPr="00F35AE2">
        <w:rPr>
          <w:i/>
          <w:iCs/>
        </w:rPr>
        <w:t>Human Resource Development Quarterly, 35</w:t>
      </w:r>
      <w:r w:rsidRPr="00F35AE2">
        <w:t xml:space="preserve">(1), 67–88. </w:t>
      </w:r>
      <w:hyperlink r:id="rId8" w:tgtFrame="_new" w:history="1">
        <w:r w:rsidRPr="00F35AE2">
          <w:rPr>
            <w:rStyle w:val="Hyperlink"/>
          </w:rPr>
          <w:t>https://doi.org/10.1002/hrdq.21497</w:t>
        </w:r>
      </w:hyperlink>
    </w:p>
    <w:p w14:paraId="19FC16FA" w14:textId="77777777" w:rsidR="00F35AE2" w:rsidRPr="00F35AE2" w:rsidRDefault="00F35AE2" w:rsidP="00F35AE2">
      <w:pPr>
        <w:ind w:left="720" w:hanging="720"/>
      </w:pPr>
      <w:r w:rsidRPr="00F35AE2">
        <w:t xml:space="preserve">Cannon-Bowers, J. A., Bowers, C. A., Carlson, C., Doherty, S., Evans, J., &amp; Hall, J. (2023). Workplace coaching: A meta-analysis and recommendations for advancing the science of coaching. </w:t>
      </w:r>
      <w:r w:rsidRPr="00F35AE2">
        <w:rPr>
          <w:i/>
          <w:iCs/>
        </w:rPr>
        <w:t>Frontiers in Psychology, 14</w:t>
      </w:r>
      <w:r w:rsidRPr="00F35AE2">
        <w:t xml:space="preserve">, Article 1204166. </w:t>
      </w:r>
      <w:hyperlink r:id="rId9" w:tgtFrame="_new" w:history="1">
        <w:r w:rsidRPr="00F35AE2">
          <w:rPr>
            <w:rStyle w:val="Hyperlink"/>
          </w:rPr>
          <w:t>https://doi.org/10.3389/fpsyg.2023.1204166</w:t>
        </w:r>
      </w:hyperlink>
    </w:p>
    <w:p w14:paraId="5BFADA4E" w14:textId="77777777" w:rsidR="00F35AE2" w:rsidRPr="00F35AE2" w:rsidRDefault="00F35AE2" w:rsidP="00F35AE2">
      <w:pPr>
        <w:ind w:left="720" w:hanging="720"/>
      </w:pPr>
      <w:r w:rsidRPr="00F35AE2">
        <w:t xml:space="preserve">Chartered Institute of Personnel and Development. (2025). </w:t>
      </w:r>
      <w:r w:rsidRPr="00F35AE2">
        <w:rPr>
          <w:i/>
          <w:iCs/>
        </w:rPr>
        <w:t>Coaching and mentoring</w:t>
      </w:r>
      <w:r w:rsidRPr="00F35AE2">
        <w:t xml:space="preserve">. </w:t>
      </w:r>
      <w:hyperlink r:id="rId10" w:tgtFrame="_new" w:history="1">
        <w:r w:rsidRPr="00F35AE2">
          <w:rPr>
            <w:rStyle w:val="Hyperlink"/>
          </w:rPr>
          <w:t>https://www.cipd.org/en/knowledge/factsheets/coaching-mentoring-factsheet/</w:t>
        </w:r>
      </w:hyperlink>
    </w:p>
    <w:p w14:paraId="4195D01B" w14:textId="77777777" w:rsidR="00F35AE2" w:rsidRPr="00F35AE2" w:rsidRDefault="00F35AE2" w:rsidP="00F35AE2">
      <w:pPr>
        <w:ind w:left="720" w:hanging="720"/>
      </w:pPr>
      <w:r w:rsidRPr="00F35AE2">
        <w:t xml:space="preserve">Collins, A. M., Ashman, I., &amp; Crozier, S. (2024). Managing boundaries: Exploring the experiences of line-managers who provide mental health support in the workplace. </w:t>
      </w:r>
      <w:r w:rsidRPr="00F35AE2">
        <w:rPr>
          <w:i/>
          <w:iCs/>
        </w:rPr>
        <w:t>The International Journal of Human Resource Management, 35</w:t>
      </w:r>
      <w:r w:rsidRPr="00F35AE2">
        <w:t xml:space="preserve">(22), 3800–3825. </w:t>
      </w:r>
      <w:hyperlink r:id="rId11" w:tgtFrame="_new" w:history="1">
        <w:r w:rsidRPr="00F35AE2">
          <w:rPr>
            <w:rStyle w:val="Hyperlink"/>
          </w:rPr>
          <w:t>https://doi.org/10.1080/09585192.2024.2429128</w:t>
        </w:r>
      </w:hyperlink>
    </w:p>
    <w:p w14:paraId="2B5D799F" w14:textId="77777777" w:rsidR="00F35AE2" w:rsidRPr="00F35AE2" w:rsidRDefault="00F35AE2" w:rsidP="00F35AE2">
      <w:pPr>
        <w:ind w:left="720" w:hanging="720"/>
      </w:pPr>
      <w:r w:rsidRPr="00F35AE2">
        <w:t xml:space="preserve">Department of Health and Social Care. (2025). </w:t>
      </w:r>
      <w:r w:rsidRPr="00F35AE2">
        <w:rPr>
          <w:i/>
          <w:iCs/>
        </w:rPr>
        <w:t>The licensing of non-surgical cosmetic procedures in England: Consultation response</w:t>
      </w:r>
      <w:r w:rsidRPr="00F35AE2">
        <w:t xml:space="preserve">. GOV.UK. </w:t>
      </w:r>
      <w:hyperlink r:id="rId12" w:tgtFrame="_new" w:history="1">
        <w:r w:rsidRPr="00F35AE2">
          <w:rPr>
            <w:rStyle w:val="Hyperlink"/>
          </w:rPr>
          <w:t>https://www.gov.uk/government/consultations/licensing-of-non-surgical-cosmetic-procedures/outcome/the-licensing-of-non-surgical-cosmetic-procedures-in-england-consultation-response</w:t>
        </w:r>
      </w:hyperlink>
    </w:p>
    <w:p w14:paraId="3C0F8C1F" w14:textId="77777777" w:rsidR="00F35AE2" w:rsidRPr="00F35AE2" w:rsidRDefault="00F35AE2" w:rsidP="00F35AE2">
      <w:pPr>
        <w:ind w:left="720" w:hanging="720"/>
      </w:pPr>
      <w:r w:rsidRPr="00F35AE2">
        <w:t xml:space="preserve">Dhar, U. (2025). A model of managerial coach learning and development. </w:t>
      </w:r>
      <w:r w:rsidRPr="00F35AE2">
        <w:rPr>
          <w:i/>
          <w:iCs/>
        </w:rPr>
        <w:t>Human Resource Management Review, 35</w:t>
      </w:r>
      <w:r w:rsidRPr="00F35AE2">
        <w:t xml:space="preserve">(2), Article 101073. </w:t>
      </w:r>
      <w:hyperlink r:id="rId13" w:tgtFrame="_new" w:history="1">
        <w:r w:rsidRPr="00F35AE2">
          <w:rPr>
            <w:rStyle w:val="Hyperlink"/>
          </w:rPr>
          <w:t>https://doi.org/10.1016/j.hrmr.2024.101073</w:t>
        </w:r>
      </w:hyperlink>
    </w:p>
    <w:p w14:paraId="2188D297" w14:textId="77777777" w:rsidR="00F35AE2" w:rsidRPr="00F35AE2" w:rsidRDefault="00F35AE2" w:rsidP="00F35AE2">
      <w:pPr>
        <w:ind w:left="720" w:hanging="720"/>
      </w:pPr>
      <w:r w:rsidRPr="00F35AE2">
        <w:t xml:space="preserve">Fey, M. K., Roussin, C. J., Rudolph, J. W., Morse, K. J., Palaganas, J. C., &amp; Szyld, D. (2022). Teaching, coaching, or debriefing with good judgment: A roadmap for implementing “with good judgment” across the SimZones. </w:t>
      </w:r>
      <w:r w:rsidRPr="00F35AE2">
        <w:rPr>
          <w:i/>
          <w:iCs/>
        </w:rPr>
        <w:t>Advances in Simulation, 7</w:t>
      </w:r>
      <w:r w:rsidRPr="00F35AE2">
        <w:t xml:space="preserve">(1), Article 39. </w:t>
      </w:r>
      <w:hyperlink r:id="rId14" w:tgtFrame="_new" w:history="1">
        <w:r w:rsidRPr="00F35AE2">
          <w:rPr>
            <w:rStyle w:val="Hyperlink"/>
          </w:rPr>
          <w:t>https://doi.org/10.1186/s41077-022-00235-y</w:t>
        </w:r>
      </w:hyperlink>
    </w:p>
    <w:p w14:paraId="3F47A1BA" w14:textId="77777777" w:rsidR="00F35AE2" w:rsidRDefault="00F35AE2" w:rsidP="00F35AE2">
      <w:pPr>
        <w:ind w:left="720" w:hanging="720"/>
      </w:pPr>
      <w:r w:rsidRPr="00F35AE2">
        <w:lastRenderedPageBreak/>
        <w:t xml:space="preserve">Grant, A. M., &amp; Gerrard, B. (2020). Comparing problem-focused, purposeful, and combined problem-focused/purposeful coaching approaches: Purposeful coaching questions mitigate the negative impact of dysfunctional attitudes. </w:t>
      </w:r>
      <w:r w:rsidRPr="00F35AE2">
        <w:rPr>
          <w:i/>
          <w:iCs/>
        </w:rPr>
        <w:t>Coaching: An International Journal of Theory, Research and Practice, 13</w:t>
      </w:r>
      <w:r w:rsidRPr="00F35AE2">
        <w:t xml:space="preserve">(1), 61–77. </w:t>
      </w:r>
      <w:hyperlink r:id="rId15" w:tgtFrame="_new" w:history="1">
        <w:r w:rsidRPr="00F35AE2">
          <w:rPr>
            <w:rStyle w:val="Hyperlink"/>
          </w:rPr>
          <w:t>https://doi.org/10.1080/17521882.2019.1599030</w:t>
        </w:r>
      </w:hyperlink>
    </w:p>
    <w:p w14:paraId="0F9CC8F7" w14:textId="586C371E" w:rsidR="00D607E1" w:rsidRPr="00F35AE2" w:rsidRDefault="00D607E1" w:rsidP="00F35AE2">
      <w:pPr>
        <w:ind w:left="720" w:hanging="720"/>
      </w:pPr>
      <w:r w:rsidRPr="00D607E1">
        <w:t>Hammer, L. B., Dimoff, J., Mohr, C. D., &amp; Allen, S. J. (2024). A Framework for Protecting and Promoting Employee Mental Health through Supervisor Supportive Behaviors. </w:t>
      </w:r>
      <w:r w:rsidRPr="00D607E1">
        <w:rPr>
          <w:i/>
          <w:iCs/>
        </w:rPr>
        <w:t>Occupational Health Science</w:t>
      </w:r>
      <w:r w:rsidRPr="00D607E1">
        <w:t>, </w:t>
      </w:r>
      <w:r w:rsidRPr="00D607E1">
        <w:rPr>
          <w:i/>
          <w:iCs/>
        </w:rPr>
        <w:t>8</w:t>
      </w:r>
      <w:r w:rsidRPr="00D607E1">
        <w:t xml:space="preserve">(2). </w:t>
      </w:r>
      <w:hyperlink r:id="rId16" w:history="1">
        <w:r w:rsidRPr="002E2F80">
          <w:rPr>
            <w:rStyle w:val="Hyperlink"/>
          </w:rPr>
          <w:t>https://doi.org/10.1007/s41542-023-00171-x</w:t>
        </w:r>
      </w:hyperlink>
      <w:r>
        <w:t xml:space="preserve"> </w:t>
      </w:r>
    </w:p>
    <w:p w14:paraId="3A142DA5" w14:textId="77777777" w:rsidR="00F35AE2" w:rsidRPr="00F35AE2" w:rsidRDefault="00F35AE2" w:rsidP="00F35AE2">
      <w:pPr>
        <w:ind w:left="720" w:hanging="720"/>
      </w:pPr>
      <w:r w:rsidRPr="00F35AE2">
        <w:t xml:space="preserve">Irby, B. J., &amp; Pashmforoosh, R. (2024). Editorial: Mentoring, coaching, and tutoring as an enterprise. </w:t>
      </w:r>
      <w:r w:rsidRPr="00F35AE2">
        <w:rPr>
          <w:i/>
          <w:iCs/>
        </w:rPr>
        <w:t>Frontiers in Education, 9</w:t>
      </w:r>
      <w:r w:rsidRPr="00F35AE2">
        <w:t xml:space="preserve">, Article 1382129. </w:t>
      </w:r>
      <w:hyperlink r:id="rId17" w:tgtFrame="_new" w:history="1">
        <w:r w:rsidRPr="00F35AE2">
          <w:rPr>
            <w:rStyle w:val="Hyperlink"/>
          </w:rPr>
          <w:t>https://doi.org/10.3389/feduc.2024.1382129</w:t>
        </w:r>
      </w:hyperlink>
    </w:p>
    <w:p w14:paraId="3327DAF3" w14:textId="77777777" w:rsidR="00F35AE2" w:rsidRPr="00F35AE2" w:rsidRDefault="00F35AE2" w:rsidP="00F35AE2">
      <w:pPr>
        <w:ind w:left="720" w:hanging="720"/>
      </w:pPr>
      <w:r w:rsidRPr="00F35AE2">
        <w:t xml:space="preserve">Jagadeeswari, I. U., Shukla, N., Toni, M., &amp; Mishra, K. (2025). A systematic literature review and bibliometric analysis of workplace coaching. </w:t>
      </w:r>
      <w:r w:rsidRPr="00F35AE2">
        <w:rPr>
          <w:i/>
          <w:iCs/>
        </w:rPr>
        <w:t>F1000Research, 14</w:t>
      </w:r>
      <w:r w:rsidRPr="00F35AE2">
        <w:t xml:space="preserve">, Article 1290. </w:t>
      </w:r>
      <w:hyperlink r:id="rId18" w:tgtFrame="_new" w:history="1">
        <w:r w:rsidRPr="00F35AE2">
          <w:rPr>
            <w:rStyle w:val="Hyperlink"/>
          </w:rPr>
          <w:t>https://doi.org/10.12688/f1000research.171808.1</w:t>
        </w:r>
      </w:hyperlink>
    </w:p>
    <w:p w14:paraId="1B07651C" w14:textId="77777777" w:rsidR="00F35AE2" w:rsidRPr="00F35AE2" w:rsidRDefault="00F35AE2" w:rsidP="00F35AE2">
      <w:pPr>
        <w:ind w:left="720" w:hanging="720"/>
      </w:pPr>
      <w:r w:rsidRPr="00F35AE2">
        <w:t xml:space="preserve">Jarosz, J., &amp; Cartor, R. (2025). Coaching effectiveness framework. </w:t>
      </w:r>
      <w:r w:rsidRPr="00F35AE2">
        <w:rPr>
          <w:i/>
          <w:iCs/>
        </w:rPr>
        <w:t>International Journal of Evidence Based Coaching and Mentoring, 23</w:t>
      </w:r>
      <w:r w:rsidRPr="00F35AE2">
        <w:t xml:space="preserve">(1), 49–66. </w:t>
      </w:r>
      <w:hyperlink r:id="rId19" w:tgtFrame="_new" w:history="1">
        <w:r w:rsidRPr="00F35AE2">
          <w:rPr>
            <w:rStyle w:val="Hyperlink"/>
          </w:rPr>
          <w:t>https://doi.org/10.24384/ssyz-ng55</w:t>
        </w:r>
      </w:hyperlink>
    </w:p>
    <w:p w14:paraId="05BEABEE" w14:textId="77777777" w:rsidR="00F35AE2" w:rsidRPr="00F35AE2" w:rsidRDefault="00F35AE2" w:rsidP="00F35AE2">
      <w:pPr>
        <w:ind w:left="720" w:hanging="720"/>
      </w:pPr>
      <w:r w:rsidRPr="00F35AE2">
        <w:t xml:space="preserve">Joint Council for Cosmetic Practitioners. (2025). </w:t>
      </w:r>
      <w:r w:rsidRPr="00F35AE2">
        <w:rPr>
          <w:i/>
          <w:iCs/>
        </w:rPr>
        <w:t>[Title of webpage/document used]</w:t>
      </w:r>
      <w:r w:rsidRPr="00F35AE2">
        <w:t xml:space="preserve">. </w:t>
      </w:r>
      <w:hyperlink r:id="rId20" w:tgtFrame="_new" w:history="1">
        <w:r w:rsidRPr="00F35AE2">
          <w:rPr>
            <w:rStyle w:val="Hyperlink"/>
          </w:rPr>
          <w:t>https://www.jccp.org.uk/</w:t>
        </w:r>
      </w:hyperlink>
    </w:p>
    <w:p w14:paraId="7ED68B3F" w14:textId="77777777" w:rsidR="00F35AE2" w:rsidRPr="00F35AE2" w:rsidRDefault="00F35AE2" w:rsidP="00F35AE2">
      <w:pPr>
        <w:ind w:left="720" w:hanging="720"/>
      </w:pPr>
      <w:r w:rsidRPr="00F35AE2">
        <w:t xml:space="preserve">Kolontari, F., Lawton, M., &amp; Rhodes, S. (2023). Using developmental mentoring and coaching approaches in academic and professional development to address feelings of “imposter syndrome.” </w:t>
      </w:r>
      <w:r w:rsidRPr="00F35AE2">
        <w:rPr>
          <w:i/>
          <w:iCs/>
        </w:rPr>
        <w:t>Journal of Perspectives in Applied Academic Practice, 11</w:t>
      </w:r>
      <w:r w:rsidRPr="00F35AE2">
        <w:t xml:space="preserve">(1), 34–41. </w:t>
      </w:r>
      <w:hyperlink r:id="rId21" w:tgtFrame="_new" w:history="1">
        <w:r w:rsidRPr="00F35AE2">
          <w:rPr>
            <w:rStyle w:val="Hyperlink"/>
          </w:rPr>
          <w:t>https://doi.org/10.56433/jpaap.v11i1.537</w:t>
        </w:r>
      </w:hyperlink>
    </w:p>
    <w:p w14:paraId="07A8DC29" w14:textId="77777777" w:rsidR="00F35AE2" w:rsidRPr="00F35AE2" w:rsidRDefault="00F35AE2" w:rsidP="00F35AE2">
      <w:pPr>
        <w:ind w:left="720" w:hanging="720"/>
      </w:pPr>
      <w:r w:rsidRPr="00F35AE2">
        <w:t xml:space="preserve">Lipnevich, A. A., Mattern, K., &amp; Feddock, C. (2025). Formative assessment and feedback in medical education: A practical guide: AMEE guide No. 189. </w:t>
      </w:r>
      <w:r w:rsidRPr="00F35AE2">
        <w:rPr>
          <w:i/>
          <w:iCs/>
        </w:rPr>
        <w:t>Medical Teacher</w:t>
      </w:r>
      <w:r w:rsidRPr="00F35AE2">
        <w:t xml:space="preserve">, 1–20. </w:t>
      </w:r>
      <w:hyperlink r:id="rId22" w:tgtFrame="_new" w:history="1">
        <w:r w:rsidRPr="00F35AE2">
          <w:rPr>
            <w:rStyle w:val="Hyperlink"/>
          </w:rPr>
          <w:t>https://doi.org/10.1080/0142159X.2025.2569623</w:t>
        </w:r>
      </w:hyperlink>
    </w:p>
    <w:p w14:paraId="7412D680" w14:textId="77777777" w:rsidR="00F35AE2" w:rsidRPr="00F35AE2" w:rsidRDefault="00F35AE2" w:rsidP="00F35AE2">
      <w:pPr>
        <w:ind w:left="720" w:hanging="720"/>
      </w:pPr>
      <w:r w:rsidRPr="00F35AE2">
        <w:t xml:space="preserve">Luong, G.-Y. (2025). The effectiveness of mentoring, coaching, and induction practices for early career teachers: A scoping review. </w:t>
      </w:r>
      <w:r w:rsidRPr="00F35AE2">
        <w:rPr>
          <w:i/>
          <w:iCs/>
        </w:rPr>
        <w:t>Teaching and Teacher Education, 163</w:t>
      </w:r>
      <w:r w:rsidRPr="00F35AE2">
        <w:t xml:space="preserve">, Article 105065. </w:t>
      </w:r>
      <w:hyperlink r:id="rId23" w:tgtFrame="_new" w:history="1">
        <w:r w:rsidRPr="00F35AE2">
          <w:rPr>
            <w:rStyle w:val="Hyperlink"/>
          </w:rPr>
          <w:t>https://doi.org/10.1016/j.tate.2025.105065</w:t>
        </w:r>
      </w:hyperlink>
    </w:p>
    <w:p w14:paraId="11BBE2E4" w14:textId="77777777" w:rsidR="00F35AE2" w:rsidRPr="00F35AE2" w:rsidRDefault="00F35AE2" w:rsidP="00F35AE2">
      <w:pPr>
        <w:ind w:left="720" w:hanging="720"/>
      </w:pPr>
      <w:r w:rsidRPr="00F35AE2">
        <w:t xml:space="preserve">Mand, S. K., Caretta-Weyer, H., Jewell, C., Pirotte, M., Scott, K. R., Yarris, L. M., &amp; Schnapp, B. H. (2025). The coaching approach in graduate medical education: Practical considerations for program creation and implementation. </w:t>
      </w:r>
      <w:r w:rsidRPr="00F35AE2">
        <w:rPr>
          <w:i/>
          <w:iCs/>
        </w:rPr>
        <w:t>AEM Education and Training, 9</w:t>
      </w:r>
      <w:r w:rsidRPr="00F35AE2">
        <w:t xml:space="preserve">(S1), S12–S23. </w:t>
      </w:r>
      <w:hyperlink r:id="rId24" w:tgtFrame="_new" w:history="1">
        <w:r w:rsidRPr="00F35AE2">
          <w:rPr>
            <w:rStyle w:val="Hyperlink"/>
          </w:rPr>
          <w:t>https://doi.org/10.1002/aet2.70019</w:t>
        </w:r>
      </w:hyperlink>
    </w:p>
    <w:p w14:paraId="6FFBF800" w14:textId="77777777" w:rsidR="00F35AE2" w:rsidRPr="00F35AE2" w:rsidRDefault="00F35AE2" w:rsidP="00F35AE2">
      <w:pPr>
        <w:ind w:left="720" w:hanging="720"/>
      </w:pPr>
      <w:r w:rsidRPr="00F35AE2">
        <w:t xml:space="preserve">Moos, C., &amp; Spranz-Fogasy, T. (2024). “Now once again this idea of yours (…) how does it sound when I say that?” Changing the perspective: How coach’s questioning </w:t>
      </w:r>
      <w:r w:rsidRPr="00F35AE2">
        <w:lastRenderedPageBreak/>
        <w:t xml:space="preserve">practices elicit self-reflecting processes in clients. </w:t>
      </w:r>
      <w:r w:rsidRPr="00F35AE2">
        <w:rPr>
          <w:i/>
          <w:iCs/>
        </w:rPr>
        <w:t>Frontiers in Psychology, 15</w:t>
      </w:r>
      <w:r w:rsidRPr="00F35AE2">
        <w:t xml:space="preserve">, Article 1241489. </w:t>
      </w:r>
      <w:hyperlink r:id="rId25" w:tgtFrame="_new" w:history="1">
        <w:r w:rsidRPr="00F35AE2">
          <w:rPr>
            <w:rStyle w:val="Hyperlink"/>
          </w:rPr>
          <w:t>https://doi.org/10.3389/fpsyg.2024.1241489</w:t>
        </w:r>
      </w:hyperlink>
    </w:p>
    <w:p w14:paraId="30661A87" w14:textId="77777777" w:rsidR="00F35AE2" w:rsidRPr="00F35AE2" w:rsidRDefault="00F35AE2" w:rsidP="00F35AE2">
      <w:pPr>
        <w:ind w:left="720" w:hanging="720"/>
      </w:pPr>
      <w:r w:rsidRPr="00F35AE2">
        <w:t xml:space="preserve">Müller, A. A., &amp; Kotte, S. (2020). Of SMART, GROW and goals gone wild: A systematic literature review on the relevance of goal activities in workplace coaching. </w:t>
      </w:r>
      <w:r w:rsidRPr="00F35AE2">
        <w:rPr>
          <w:i/>
          <w:iCs/>
        </w:rPr>
        <w:t>International Coaching Psychology Review, 15</w:t>
      </w:r>
      <w:r w:rsidRPr="00F35AE2">
        <w:t xml:space="preserve">(2), 69–97. </w:t>
      </w:r>
      <w:hyperlink r:id="rId26" w:tgtFrame="_new" w:history="1">
        <w:r w:rsidRPr="00F35AE2">
          <w:rPr>
            <w:rStyle w:val="Hyperlink"/>
          </w:rPr>
          <w:t>https://doi.org/10.53841/bpsicpr.2020.15.2.69</w:t>
        </w:r>
      </w:hyperlink>
    </w:p>
    <w:p w14:paraId="581470B4" w14:textId="77777777" w:rsidR="00F35AE2" w:rsidRPr="00F35AE2" w:rsidRDefault="00F35AE2" w:rsidP="00F35AE2">
      <w:pPr>
        <w:ind w:left="720" w:hanging="720"/>
      </w:pPr>
      <w:r w:rsidRPr="00F35AE2">
        <w:t xml:space="preserve">Nicolau, A., Candel, O. S., Constantin, T., &amp; Kleingeld, A. (2023). The effects of executive coaching on behaviors, attitudes, and personal characteristics: A meta-analysis of randomized control trial studies. </w:t>
      </w:r>
      <w:r w:rsidRPr="00F35AE2">
        <w:rPr>
          <w:i/>
          <w:iCs/>
        </w:rPr>
        <w:t>Frontiers in Psychology, 14</w:t>
      </w:r>
      <w:r w:rsidRPr="00F35AE2">
        <w:t xml:space="preserve">, Article 1089797. </w:t>
      </w:r>
      <w:hyperlink r:id="rId27" w:tgtFrame="_new" w:history="1">
        <w:r w:rsidRPr="00F35AE2">
          <w:rPr>
            <w:rStyle w:val="Hyperlink"/>
          </w:rPr>
          <w:t>https://doi.org/10.3389/fpsyg.2023.1089797</w:t>
        </w:r>
      </w:hyperlink>
    </w:p>
    <w:p w14:paraId="2334840E" w14:textId="77777777" w:rsidR="00F35AE2" w:rsidRDefault="00F35AE2" w:rsidP="00F35AE2">
      <w:pPr>
        <w:ind w:left="720" w:hanging="720"/>
      </w:pPr>
      <w:r w:rsidRPr="00F35AE2">
        <w:t xml:space="preserve">Nuis, W., Segers, M., &amp; Beausaert, S. (2023). Conceptualizing mentoring in higher education: A systematic literature review. </w:t>
      </w:r>
      <w:r w:rsidRPr="00F35AE2">
        <w:rPr>
          <w:i/>
          <w:iCs/>
        </w:rPr>
        <w:t>Educational Research Review, 41</w:t>
      </w:r>
      <w:r w:rsidRPr="00F35AE2">
        <w:t xml:space="preserve">, Article 100565. </w:t>
      </w:r>
      <w:hyperlink r:id="rId28" w:tgtFrame="_new" w:history="1">
        <w:r w:rsidRPr="00F35AE2">
          <w:rPr>
            <w:rStyle w:val="Hyperlink"/>
          </w:rPr>
          <w:t>https://doi.org/10.1016/j.edurev.2023.100565</w:t>
        </w:r>
      </w:hyperlink>
    </w:p>
    <w:p w14:paraId="5EB0A47A" w14:textId="2FE607B0" w:rsidR="00D607E1" w:rsidRPr="00F35AE2" w:rsidRDefault="00D607E1" w:rsidP="00F35AE2">
      <w:pPr>
        <w:ind w:left="720" w:hanging="720"/>
      </w:pPr>
      <w:r w:rsidRPr="00D607E1">
        <w:t>Patil, R., Raheja, D. K., Nair, L., Deshpande, A., &amp; Mittal, A. (2023). The Power of Psychological Safety: Investigating its Impact on Team Learning, Team Efficacy, and Team Productivity. </w:t>
      </w:r>
      <w:r w:rsidRPr="00D607E1">
        <w:rPr>
          <w:i/>
          <w:iCs/>
        </w:rPr>
        <w:t>The Open Psychology Journal</w:t>
      </w:r>
      <w:r w:rsidRPr="00D607E1">
        <w:t>, </w:t>
      </w:r>
      <w:r w:rsidRPr="00D607E1">
        <w:rPr>
          <w:i/>
          <w:iCs/>
        </w:rPr>
        <w:t>16</w:t>
      </w:r>
      <w:r w:rsidRPr="00D607E1">
        <w:t>(1).</w:t>
      </w:r>
      <w:r>
        <w:t xml:space="preserve"> </w:t>
      </w:r>
    </w:p>
    <w:p w14:paraId="30BADEAF" w14:textId="77777777" w:rsidR="00F35AE2" w:rsidRPr="00F35AE2" w:rsidRDefault="00F35AE2" w:rsidP="00F35AE2">
      <w:pPr>
        <w:ind w:left="720" w:hanging="720"/>
      </w:pPr>
      <w:r w:rsidRPr="00F35AE2">
        <w:t xml:space="preserve">Passmore, J., &amp; Rowson, T. (2019). Neuro-linguistic programming: A review of NLP research and the application of NLP in coaching. </w:t>
      </w:r>
      <w:r w:rsidRPr="00F35AE2">
        <w:rPr>
          <w:i/>
          <w:iCs/>
        </w:rPr>
        <w:t>International Coaching Psychology Review, 14</w:t>
      </w:r>
      <w:r w:rsidRPr="00F35AE2">
        <w:t xml:space="preserve">(1), 57–69. </w:t>
      </w:r>
      <w:hyperlink r:id="rId29" w:tgtFrame="_new" w:history="1">
        <w:r w:rsidRPr="00F35AE2">
          <w:rPr>
            <w:rStyle w:val="Hyperlink"/>
          </w:rPr>
          <w:t>https://doi.org/10.53841/bpsicpr.2019.14.1.57</w:t>
        </w:r>
      </w:hyperlink>
    </w:p>
    <w:p w14:paraId="0BFDB200" w14:textId="77777777" w:rsidR="00F35AE2" w:rsidRPr="00F35AE2" w:rsidRDefault="00F35AE2" w:rsidP="00F35AE2">
      <w:pPr>
        <w:ind w:left="720" w:hanging="720"/>
      </w:pPr>
      <w:r w:rsidRPr="00F35AE2">
        <w:t xml:space="preserve">Ratlabala, P., &amp; Terblanche, N. (2022). Supervisors’ perspectives on the contribution of coaching supervision to the development of ethical organisational coaching practice. </w:t>
      </w:r>
      <w:r w:rsidRPr="00F35AE2">
        <w:rPr>
          <w:i/>
          <w:iCs/>
        </w:rPr>
        <w:t>SA Journal of Human Resource Management, 20</w:t>
      </w:r>
      <w:r w:rsidRPr="00F35AE2">
        <w:t xml:space="preserve">, Article a1930. </w:t>
      </w:r>
      <w:hyperlink r:id="rId30" w:tgtFrame="_new" w:history="1">
        <w:r w:rsidRPr="00F35AE2">
          <w:rPr>
            <w:rStyle w:val="Hyperlink"/>
          </w:rPr>
          <w:t>https://doi.org/10.4102/sajhrm.v20i0.1930</w:t>
        </w:r>
      </w:hyperlink>
    </w:p>
    <w:p w14:paraId="1EA255FC" w14:textId="77777777" w:rsidR="00F35AE2" w:rsidRDefault="00F35AE2" w:rsidP="00F35AE2">
      <w:pPr>
        <w:ind w:left="720" w:hanging="720"/>
      </w:pPr>
      <w:r w:rsidRPr="00F35AE2">
        <w:t xml:space="preserve">Sipondo, A., &amp; Terblanche, N. (2024). Organisational coaching to improve workplace resilience: A scoping review and agenda for future research. </w:t>
      </w:r>
      <w:r w:rsidRPr="00F35AE2">
        <w:rPr>
          <w:i/>
          <w:iCs/>
        </w:rPr>
        <w:t>Frontiers in Psychology, 15</w:t>
      </w:r>
      <w:r w:rsidRPr="00F35AE2">
        <w:t xml:space="preserve">, Article 1484222. </w:t>
      </w:r>
      <w:hyperlink r:id="rId31" w:tgtFrame="_new" w:history="1">
        <w:r w:rsidRPr="00F35AE2">
          <w:rPr>
            <w:rStyle w:val="Hyperlink"/>
          </w:rPr>
          <w:t>https://doi.org/10.3389/fpsyg.2024.1484222</w:t>
        </w:r>
      </w:hyperlink>
    </w:p>
    <w:p w14:paraId="3BC91BD5" w14:textId="52B7AAD0" w:rsidR="00914D34" w:rsidRDefault="00914D34" w:rsidP="00F35AE2">
      <w:pPr>
        <w:ind w:left="720" w:hanging="720"/>
      </w:pPr>
      <w:r w:rsidRPr="00914D34">
        <w:t>Spennemann, D. H. R. (2023). The Usefulness of the Johari Window for the Cultural Heritage Planning Process. </w:t>
      </w:r>
      <w:r w:rsidRPr="00914D34">
        <w:rPr>
          <w:i/>
          <w:iCs/>
        </w:rPr>
        <w:t>Heritage</w:t>
      </w:r>
      <w:r w:rsidRPr="00914D34">
        <w:t>, </w:t>
      </w:r>
      <w:r w:rsidRPr="00914D34">
        <w:rPr>
          <w:i/>
          <w:iCs/>
        </w:rPr>
        <w:t>6</w:t>
      </w:r>
      <w:r w:rsidRPr="00914D34">
        <w:t xml:space="preserve">(1), 724–741. </w:t>
      </w:r>
      <w:hyperlink r:id="rId32" w:history="1">
        <w:r w:rsidRPr="00B12724">
          <w:rPr>
            <w:rStyle w:val="Hyperlink"/>
          </w:rPr>
          <w:t>https://doi.org/10.3390/heritage6010039</w:t>
        </w:r>
      </w:hyperlink>
      <w:r>
        <w:t xml:space="preserve"> </w:t>
      </w:r>
    </w:p>
    <w:p w14:paraId="54C96FEC" w14:textId="77777777" w:rsidR="00F35AE2" w:rsidRPr="00F35AE2" w:rsidRDefault="00F35AE2" w:rsidP="00F35AE2">
      <w:pPr>
        <w:ind w:left="720" w:hanging="720"/>
      </w:pPr>
      <w:r w:rsidRPr="00F35AE2">
        <w:t xml:space="preserve">Steyn, L., &amp; Barnard, A. (2024). The coaching experience as identity work: Reflective metaphors. </w:t>
      </w:r>
      <w:r w:rsidRPr="00F35AE2">
        <w:rPr>
          <w:i/>
          <w:iCs/>
        </w:rPr>
        <w:t>SA Journal of Industrial Psychology, 50</w:t>
      </w:r>
      <w:r w:rsidRPr="00F35AE2">
        <w:t xml:space="preserve">. </w:t>
      </w:r>
      <w:hyperlink r:id="rId33" w:tgtFrame="_new" w:history="1">
        <w:r w:rsidRPr="00F35AE2">
          <w:rPr>
            <w:rStyle w:val="Hyperlink"/>
          </w:rPr>
          <w:t>https://doi.org/10.4102/sajip.v50i0.2132</w:t>
        </w:r>
      </w:hyperlink>
    </w:p>
    <w:p w14:paraId="4ED7A699" w14:textId="77777777" w:rsidR="00F35AE2" w:rsidRPr="00F35AE2" w:rsidRDefault="00F35AE2" w:rsidP="00F35AE2">
      <w:pPr>
        <w:ind w:left="720" w:hanging="720"/>
      </w:pPr>
      <w:r w:rsidRPr="00F35AE2">
        <w:t xml:space="preserve">Stojanović, A., Fris, D. A. H., Solms, L., De Hoog, E. M., &amp; Anne. (2024). Lifelong development in medicine: A thematic analysis of coaching goals throughout medical careers. </w:t>
      </w:r>
      <w:r w:rsidRPr="00F35AE2">
        <w:rPr>
          <w:i/>
          <w:iCs/>
        </w:rPr>
        <w:t>BMJ Open, 14</w:t>
      </w:r>
      <w:r w:rsidRPr="00F35AE2">
        <w:t xml:space="preserve">(5), Article e081139. </w:t>
      </w:r>
      <w:hyperlink r:id="rId34" w:tgtFrame="_new" w:history="1">
        <w:r w:rsidRPr="00F35AE2">
          <w:rPr>
            <w:rStyle w:val="Hyperlink"/>
          </w:rPr>
          <w:t>https://doi.org/10.1136/bmjopen-2023-081139</w:t>
        </w:r>
      </w:hyperlink>
    </w:p>
    <w:p w14:paraId="421F0AB5" w14:textId="77777777" w:rsidR="00F35AE2" w:rsidRPr="00F35AE2" w:rsidRDefault="00F35AE2" w:rsidP="00F35AE2">
      <w:pPr>
        <w:ind w:left="720" w:hanging="720"/>
      </w:pPr>
      <w:r w:rsidRPr="00F35AE2">
        <w:lastRenderedPageBreak/>
        <w:t xml:space="preserve">Stone, K., Nimon, K., &amp; Ellinger, A. D. (2024). Examining the predictive validity of a managerial coaching scale: A longitudinal study. </w:t>
      </w:r>
      <w:r w:rsidRPr="00F35AE2">
        <w:rPr>
          <w:i/>
          <w:iCs/>
        </w:rPr>
        <w:t>Frontiers in Psychology, 15</w:t>
      </w:r>
      <w:r w:rsidRPr="00F35AE2">
        <w:t xml:space="preserve">, Article 1277422. </w:t>
      </w:r>
      <w:hyperlink r:id="rId35" w:tgtFrame="_new" w:history="1">
        <w:r w:rsidRPr="00F35AE2">
          <w:rPr>
            <w:rStyle w:val="Hyperlink"/>
          </w:rPr>
          <w:t>https://doi.org/10.3389/fpsyg.2024.1277422</w:t>
        </w:r>
      </w:hyperlink>
    </w:p>
    <w:p w14:paraId="3BEA9466" w14:textId="77777777" w:rsidR="00F35AE2" w:rsidRDefault="00F35AE2" w:rsidP="00F35AE2">
      <w:pPr>
        <w:ind w:left="720" w:hanging="720"/>
      </w:pPr>
      <w:r w:rsidRPr="00F35AE2">
        <w:t xml:space="preserve">Tang, L., Shi, M., Liu, Y., Liu, Y., &amp; Yang, B. (2024). Building a committed workforce: The synergistic effects of coaching leadership, organizational self-esteem, and learning goal orientation. </w:t>
      </w:r>
      <w:r w:rsidRPr="00F35AE2">
        <w:rPr>
          <w:i/>
          <w:iCs/>
        </w:rPr>
        <w:t>Frontiers in Psychology, 15</w:t>
      </w:r>
      <w:r w:rsidRPr="00F35AE2">
        <w:t xml:space="preserve">, Article 1423540. </w:t>
      </w:r>
      <w:hyperlink r:id="rId36" w:tgtFrame="_new" w:history="1">
        <w:r w:rsidRPr="00F35AE2">
          <w:rPr>
            <w:rStyle w:val="Hyperlink"/>
          </w:rPr>
          <w:t>https://doi.org/10.3389/fpsyg.2024.1423540</w:t>
        </w:r>
      </w:hyperlink>
    </w:p>
    <w:p w14:paraId="1C6347F2" w14:textId="0CC343B5" w:rsidR="00D607E1" w:rsidRPr="00F35AE2" w:rsidRDefault="00D607E1" w:rsidP="00F35AE2">
      <w:pPr>
        <w:ind w:left="720" w:hanging="720"/>
      </w:pPr>
      <w:r w:rsidRPr="00D607E1">
        <w:t>Kakyo</w:t>
      </w:r>
      <w:r>
        <w:t>, T.</w:t>
      </w:r>
      <w:r w:rsidRPr="00D607E1">
        <w:t xml:space="preserve">, Xiao, </w:t>
      </w:r>
      <w:r>
        <w:t>L.D.,</w:t>
      </w:r>
      <w:r w:rsidRPr="00D607E1">
        <w:t>&amp; Chamberlain, D. (2024). The role of motivation in the initiation and maintening mentoring relationships among nurses and midwives. </w:t>
      </w:r>
      <w:r w:rsidRPr="00D607E1">
        <w:rPr>
          <w:i/>
          <w:iCs/>
        </w:rPr>
        <w:t>International Nursing Review</w:t>
      </w:r>
      <w:r w:rsidRPr="00D607E1">
        <w:t>, </w:t>
      </w:r>
      <w:r w:rsidRPr="00D607E1">
        <w:rPr>
          <w:i/>
          <w:iCs/>
        </w:rPr>
        <w:t>72</w:t>
      </w:r>
      <w:r w:rsidRPr="00D607E1">
        <w:t xml:space="preserve">(1). </w:t>
      </w:r>
      <w:hyperlink r:id="rId37" w:history="1">
        <w:r w:rsidRPr="002E2F80">
          <w:rPr>
            <w:rStyle w:val="Hyperlink"/>
          </w:rPr>
          <w:t>https://doi.org/10.1111/inr.12977</w:t>
        </w:r>
      </w:hyperlink>
      <w:r>
        <w:t xml:space="preserve"> </w:t>
      </w:r>
    </w:p>
    <w:p w14:paraId="314BF44F" w14:textId="77777777" w:rsidR="00F35AE2" w:rsidRPr="00F35AE2" w:rsidRDefault="00F35AE2" w:rsidP="00F35AE2">
      <w:pPr>
        <w:ind w:left="720" w:hanging="720"/>
      </w:pPr>
      <w:r w:rsidRPr="00F35AE2">
        <w:t xml:space="preserve">van Wijk, E. V., van Blankenstein, F. M., Janse, R. J., Dubois, E. A., &amp; Langers, A. M. J. (2024). Understanding students’ feedback use in medical progress testing: A qualitative interview study. </w:t>
      </w:r>
      <w:r w:rsidRPr="00F35AE2">
        <w:rPr>
          <w:i/>
          <w:iCs/>
        </w:rPr>
        <w:t>Medical Education, 58</w:t>
      </w:r>
      <w:r w:rsidRPr="00F35AE2">
        <w:t xml:space="preserve">(8), 980–988. </w:t>
      </w:r>
      <w:hyperlink r:id="rId38" w:tgtFrame="_new" w:history="1">
        <w:r w:rsidRPr="00F35AE2">
          <w:rPr>
            <w:rStyle w:val="Hyperlink"/>
          </w:rPr>
          <w:t>https://doi.org/10.1111/medu.15378</w:t>
        </w:r>
      </w:hyperlink>
    </w:p>
    <w:p w14:paraId="49E839B7" w14:textId="77777777" w:rsidR="00F35AE2" w:rsidRDefault="00F35AE2" w:rsidP="00F35AE2">
      <w:pPr>
        <w:ind w:left="720" w:hanging="720"/>
      </w:pPr>
      <w:r w:rsidRPr="00F35AE2">
        <w:t xml:space="preserve">Vitzthum, C. (2023). A pawn in the game? The significance of contracting in coaching with gender-sensitivity. </w:t>
      </w:r>
      <w:r w:rsidRPr="00F35AE2">
        <w:rPr>
          <w:i/>
          <w:iCs/>
        </w:rPr>
        <w:t>International Journal of Evidence Based Coaching and Mentoring, 17</w:t>
      </w:r>
      <w:r w:rsidRPr="00F35AE2">
        <w:t xml:space="preserve">, 3–17. </w:t>
      </w:r>
      <w:hyperlink r:id="rId39" w:tgtFrame="_new" w:history="1">
        <w:r w:rsidRPr="00F35AE2">
          <w:rPr>
            <w:rStyle w:val="Hyperlink"/>
          </w:rPr>
          <w:t>https://doi.org/10.24384/jbdb-xv40</w:t>
        </w:r>
      </w:hyperlink>
    </w:p>
    <w:p w14:paraId="1F5C4480" w14:textId="1DF6B959" w:rsidR="00E97EBA" w:rsidRPr="00F35AE2" w:rsidRDefault="00E97EBA" w:rsidP="00F35AE2">
      <w:pPr>
        <w:ind w:left="720" w:hanging="720"/>
      </w:pPr>
      <w:r w:rsidRPr="00E97EBA">
        <w:t>Wang, C., &amp; Ning, Y. (2024). The employee’s perception of psychological safety: construct dimensions, scale development and validation. </w:t>
      </w:r>
      <w:r w:rsidRPr="00E97EBA">
        <w:rPr>
          <w:i/>
          <w:iCs/>
        </w:rPr>
        <w:t>BMC Psychology</w:t>
      </w:r>
      <w:r w:rsidRPr="00E97EBA">
        <w:t>, </w:t>
      </w:r>
      <w:r w:rsidRPr="00E97EBA">
        <w:rPr>
          <w:i/>
          <w:iCs/>
        </w:rPr>
        <w:t>12</w:t>
      </w:r>
      <w:r w:rsidRPr="00E97EBA">
        <w:t xml:space="preserve">(1). </w:t>
      </w:r>
      <w:hyperlink r:id="rId40" w:history="1">
        <w:r w:rsidRPr="002E2F80">
          <w:rPr>
            <w:rStyle w:val="Hyperlink"/>
          </w:rPr>
          <w:t>https://doi.org/10.1186/s40359-024-02295-3</w:t>
        </w:r>
      </w:hyperlink>
      <w:r>
        <w:t xml:space="preserve"> </w:t>
      </w:r>
    </w:p>
    <w:p w14:paraId="6CFAF21A" w14:textId="77777777" w:rsidR="00F35AE2" w:rsidRPr="00F35AE2" w:rsidRDefault="00F35AE2" w:rsidP="00F35AE2">
      <w:pPr>
        <w:ind w:left="720" w:hanging="720"/>
      </w:pPr>
      <w:r w:rsidRPr="00F35AE2">
        <w:t xml:space="preserve">Whitmore, J. (2017). </w:t>
      </w:r>
      <w:r w:rsidRPr="00F35AE2">
        <w:rPr>
          <w:i/>
          <w:iCs/>
        </w:rPr>
        <w:t>Coaching for performance: The principles and practice of coaching and leadership</w:t>
      </w:r>
      <w:r w:rsidRPr="00F35AE2">
        <w:t xml:space="preserve"> (5th ed.). Nicholas Brealey.</w:t>
      </w:r>
    </w:p>
    <w:p w14:paraId="7226BA5E" w14:textId="77777777" w:rsidR="00F35AE2" w:rsidRDefault="00F35AE2" w:rsidP="00F35AE2">
      <w:pPr>
        <w:ind w:left="720" w:hanging="720"/>
      </w:pPr>
      <w:r w:rsidRPr="00F35AE2">
        <w:t xml:space="preserve">Woulfin, S. L., Stevenson, I., &amp; Lord, K. (2023). </w:t>
      </w:r>
      <w:r w:rsidRPr="00F35AE2">
        <w:rPr>
          <w:i/>
          <w:iCs/>
        </w:rPr>
        <w:t>Making coaching matter</w:t>
      </w:r>
      <w:r w:rsidRPr="00F35AE2">
        <w:t>. Teachers College Press.</w:t>
      </w:r>
    </w:p>
    <w:p w14:paraId="32F7FCBF" w14:textId="50337784" w:rsidR="00E97EBA" w:rsidRPr="00E97EBA" w:rsidRDefault="00E97EBA" w:rsidP="00E97EBA">
      <w:pPr>
        <w:ind w:left="720" w:hanging="720"/>
      </w:pPr>
      <w:r w:rsidRPr="00E97EBA">
        <w:t>Yang, W., Wang, Y., Choi, M., &amp; Li, Y. (2024). Influence of mentoring on the proactive behavior of new employees: moderated mediation effect of agreeableness. </w:t>
      </w:r>
      <w:r w:rsidRPr="00E97EBA">
        <w:rPr>
          <w:i/>
          <w:iCs/>
        </w:rPr>
        <w:t>Frontiers in Psychology</w:t>
      </w:r>
      <w:r w:rsidRPr="00E97EBA">
        <w:t>, </w:t>
      </w:r>
      <w:r w:rsidRPr="00E97EBA">
        <w:rPr>
          <w:i/>
          <w:iCs/>
        </w:rPr>
        <w:t>15</w:t>
      </w:r>
      <w:r w:rsidRPr="00E97EBA">
        <w:t xml:space="preserve">. </w:t>
      </w:r>
      <w:hyperlink r:id="rId41" w:history="1">
        <w:r w:rsidRPr="002E2F80">
          <w:rPr>
            <w:rStyle w:val="Hyperlink"/>
          </w:rPr>
          <w:t>https://doi.org/10.3389/fpsyg.2024.1370815</w:t>
        </w:r>
      </w:hyperlink>
      <w:r>
        <w:t xml:space="preserve"> </w:t>
      </w:r>
    </w:p>
    <w:p w14:paraId="04AB03BB" w14:textId="77777777" w:rsidR="00E97EBA" w:rsidRPr="00F35AE2" w:rsidRDefault="00E97EBA" w:rsidP="00F35AE2">
      <w:pPr>
        <w:ind w:left="720" w:hanging="720"/>
      </w:pPr>
    </w:p>
    <w:p w14:paraId="1AE45006" w14:textId="77777777" w:rsidR="00F35AE2" w:rsidRDefault="00F35AE2" w:rsidP="00F35AE2">
      <w:pPr>
        <w:ind w:left="720" w:hanging="720"/>
      </w:pPr>
    </w:p>
    <w:sectPr w:rsidR="00F35A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EB6"/>
    <w:rsid w:val="0001658F"/>
    <w:rsid w:val="00031FFF"/>
    <w:rsid w:val="00054817"/>
    <w:rsid w:val="00057570"/>
    <w:rsid w:val="00095CEA"/>
    <w:rsid w:val="000A0EC7"/>
    <w:rsid w:val="000B3EEC"/>
    <w:rsid w:val="000C7C9A"/>
    <w:rsid w:val="000E07EE"/>
    <w:rsid w:val="000E40A4"/>
    <w:rsid w:val="000F5E71"/>
    <w:rsid w:val="0017659E"/>
    <w:rsid w:val="001A6B61"/>
    <w:rsid w:val="001B65A5"/>
    <w:rsid w:val="001D2E34"/>
    <w:rsid w:val="001D5BB9"/>
    <w:rsid w:val="001E052F"/>
    <w:rsid w:val="00205944"/>
    <w:rsid w:val="00224A21"/>
    <w:rsid w:val="002768E8"/>
    <w:rsid w:val="002C7B97"/>
    <w:rsid w:val="00302976"/>
    <w:rsid w:val="00314C06"/>
    <w:rsid w:val="0033536B"/>
    <w:rsid w:val="00343900"/>
    <w:rsid w:val="003A0D0D"/>
    <w:rsid w:val="003C6311"/>
    <w:rsid w:val="003F4F6F"/>
    <w:rsid w:val="00403AD7"/>
    <w:rsid w:val="004148FB"/>
    <w:rsid w:val="00454109"/>
    <w:rsid w:val="00483960"/>
    <w:rsid w:val="004C3470"/>
    <w:rsid w:val="004F1BC4"/>
    <w:rsid w:val="004F5D45"/>
    <w:rsid w:val="00506CD9"/>
    <w:rsid w:val="00515991"/>
    <w:rsid w:val="005501E1"/>
    <w:rsid w:val="00554651"/>
    <w:rsid w:val="00576598"/>
    <w:rsid w:val="005C0CBE"/>
    <w:rsid w:val="005D57F8"/>
    <w:rsid w:val="005F188D"/>
    <w:rsid w:val="00623F2A"/>
    <w:rsid w:val="0062738A"/>
    <w:rsid w:val="00636325"/>
    <w:rsid w:val="00661706"/>
    <w:rsid w:val="00665F90"/>
    <w:rsid w:val="006A2A79"/>
    <w:rsid w:val="00723749"/>
    <w:rsid w:val="00727494"/>
    <w:rsid w:val="00770EA5"/>
    <w:rsid w:val="00792131"/>
    <w:rsid w:val="007B3073"/>
    <w:rsid w:val="007B37ED"/>
    <w:rsid w:val="007B7BBD"/>
    <w:rsid w:val="007C50FD"/>
    <w:rsid w:val="007E00C2"/>
    <w:rsid w:val="00810A2E"/>
    <w:rsid w:val="00821C26"/>
    <w:rsid w:val="0084409E"/>
    <w:rsid w:val="00844131"/>
    <w:rsid w:val="00862CC7"/>
    <w:rsid w:val="00887840"/>
    <w:rsid w:val="00892F1F"/>
    <w:rsid w:val="008E0386"/>
    <w:rsid w:val="008E5A41"/>
    <w:rsid w:val="00901D6D"/>
    <w:rsid w:val="009132FF"/>
    <w:rsid w:val="00914D34"/>
    <w:rsid w:val="0092184C"/>
    <w:rsid w:val="00925C81"/>
    <w:rsid w:val="00941F2D"/>
    <w:rsid w:val="009604F3"/>
    <w:rsid w:val="00970AEE"/>
    <w:rsid w:val="00984CFC"/>
    <w:rsid w:val="00992774"/>
    <w:rsid w:val="009A6804"/>
    <w:rsid w:val="009C093C"/>
    <w:rsid w:val="009C6862"/>
    <w:rsid w:val="009E4350"/>
    <w:rsid w:val="00A03F38"/>
    <w:rsid w:val="00A21B33"/>
    <w:rsid w:val="00A24463"/>
    <w:rsid w:val="00A53150"/>
    <w:rsid w:val="00A56D96"/>
    <w:rsid w:val="00A82267"/>
    <w:rsid w:val="00A840ED"/>
    <w:rsid w:val="00AD59C2"/>
    <w:rsid w:val="00AE518E"/>
    <w:rsid w:val="00AE64C1"/>
    <w:rsid w:val="00AE707B"/>
    <w:rsid w:val="00AF3C47"/>
    <w:rsid w:val="00B03CDD"/>
    <w:rsid w:val="00B44646"/>
    <w:rsid w:val="00B44725"/>
    <w:rsid w:val="00B62694"/>
    <w:rsid w:val="00B62BA6"/>
    <w:rsid w:val="00B91E31"/>
    <w:rsid w:val="00B92679"/>
    <w:rsid w:val="00B93FC1"/>
    <w:rsid w:val="00BB3534"/>
    <w:rsid w:val="00BD2C2A"/>
    <w:rsid w:val="00C20EB2"/>
    <w:rsid w:val="00C2779E"/>
    <w:rsid w:val="00C547D6"/>
    <w:rsid w:val="00C5631B"/>
    <w:rsid w:val="00C71102"/>
    <w:rsid w:val="00CC0B16"/>
    <w:rsid w:val="00CD19A3"/>
    <w:rsid w:val="00D0507B"/>
    <w:rsid w:val="00D337EF"/>
    <w:rsid w:val="00D607E1"/>
    <w:rsid w:val="00D746C4"/>
    <w:rsid w:val="00DF141E"/>
    <w:rsid w:val="00E40AA7"/>
    <w:rsid w:val="00E411C2"/>
    <w:rsid w:val="00E44069"/>
    <w:rsid w:val="00E46FD8"/>
    <w:rsid w:val="00E9064C"/>
    <w:rsid w:val="00E97EBA"/>
    <w:rsid w:val="00EC6943"/>
    <w:rsid w:val="00EE1116"/>
    <w:rsid w:val="00EE29E3"/>
    <w:rsid w:val="00F062D1"/>
    <w:rsid w:val="00F10436"/>
    <w:rsid w:val="00F35AE2"/>
    <w:rsid w:val="00F526B9"/>
    <w:rsid w:val="00F57218"/>
    <w:rsid w:val="00F71D89"/>
    <w:rsid w:val="00F87BDB"/>
    <w:rsid w:val="00F87E8C"/>
    <w:rsid w:val="00F90066"/>
    <w:rsid w:val="00F97B3E"/>
    <w:rsid w:val="00FA20CD"/>
    <w:rsid w:val="00FA4EB6"/>
    <w:rsid w:val="00FE1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3596"/>
  <w15:chartTrackingRefBased/>
  <w15:docId w15:val="{EBE2A6B8-9D0B-4817-96BC-182465235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E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4E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4E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E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E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E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4E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4E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E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E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EB6"/>
    <w:rPr>
      <w:rFonts w:eastAsiaTheme="majorEastAsia" w:cstheme="majorBidi"/>
      <w:color w:val="272727" w:themeColor="text1" w:themeTint="D8"/>
    </w:rPr>
  </w:style>
  <w:style w:type="paragraph" w:styleId="Title">
    <w:name w:val="Title"/>
    <w:basedOn w:val="Normal"/>
    <w:next w:val="Normal"/>
    <w:link w:val="TitleChar"/>
    <w:uiPriority w:val="10"/>
    <w:qFormat/>
    <w:rsid w:val="00FA4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EB6"/>
    <w:pPr>
      <w:spacing w:before="160"/>
      <w:jc w:val="center"/>
    </w:pPr>
    <w:rPr>
      <w:i/>
      <w:iCs/>
      <w:color w:val="404040" w:themeColor="text1" w:themeTint="BF"/>
    </w:rPr>
  </w:style>
  <w:style w:type="character" w:customStyle="1" w:styleId="QuoteChar">
    <w:name w:val="Quote Char"/>
    <w:basedOn w:val="DefaultParagraphFont"/>
    <w:link w:val="Quote"/>
    <w:uiPriority w:val="29"/>
    <w:rsid w:val="00FA4EB6"/>
    <w:rPr>
      <w:i/>
      <w:iCs/>
      <w:color w:val="404040" w:themeColor="text1" w:themeTint="BF"/>
    </w:rPr>
  </w:style>
  <w:style w:type="paragraph" w:styleId="ListParagraph">
    <w:name w:val="List Paragraph"/>
    <w:basedOn w:val="Normal"/>
    <w:uiPriority w:val="34"/>
    <w:qFormat/>
    <w:rsid w:val="00FA4EB6"/>
    <w:pPr>
      <w:ind w:left="720"/>
      <w:contextualSpacing/>
    </w:pPr>
  </w:style>
  <w:style w:type="character" w:styleId="IntenseEmphasis">
    <w:name w:val="Intense Emphasis"/>
    <w:basedOn w:val="DefaultParagraphFont"/>
    <w:uiPriority w:val="21"/>
    <w:qFormat/>
    <w:rsid w:val="00FA4EB6"/>
    <w:rPr>
      <w:i/>
      <w:iCs/>
      <w:color w:val="0F4761" w:themeColor="accent1" w:themeShade="BF"/>
    </w:rPr>
  </w:style>
  <w:style w:type="paragraph" w:styleId="IntenseQuote">
    <w:name w:val="Intense Quote"/>
    <w:basedOn w:val="Normal"/>
    <w:next w:val="Normal"/>
    <w:link w:val="IntenseQuoteChar"/>
    <w:uiPriority w:val="30"/>
    <w:qFormat/>
    <w:rsid w:val="00FA4E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EB6"/>
    <w:rPr>
      <w:i/>
      <w:iCs/>
      <w:color w:val="0F4761" w:themeColor="accent1" w:themeShade="BF"/>
    </w:rPr>
  </w:style>
  <w:style w:type="character" w:styleId="IntenseReference">
    <w:name w:val="Intense Reference"/>
    <w:basedOn w:val="DefaultParagraphFont"/>
    <w:uiPriority w:val="32"/>
    <w:qFormat/>
    <w:rsid w:val="00FA4EB6"/>
    <w:rPr>
      <w:b/>
      <w:bCs/>
      <w:smallCaps/>
      <w:color w:val="0F4761" w:themeColor="accent1" w:themeShade="BF"/>
      <w:spacing w:val="5"/>
    </w:rPr>
  </w:style>
  <w:style w:type="character" w:styleId="Hyperlink">
    <w:name w:val="Hyperlink"/>
    <w:basedOn w:val="DefaultParagraphFont"/>
    <w:uiPriority w:val="99"/>
    <w:unhideWhenUsed/>
    <w:rsid w:val="00FA4EB6"/>
    <w:rPr>
      <w:color w:val="467886" w:themeColor="hyperlink"/>
      <w:u w:val="single"/>
    </w:rPr>
  </w:style>
  <w:style w:type="paragraph" w:styleId="TOCHeading">
    <w:name w:val="TOC Heading"/>
    <w:basedOn w:val="Heading1"/>
    <w:next w:val="Normal"/>
    <w:uiPriority w:val="39"/>
    <w:unhideWhenUsed/>
    <w:qFormat/>
    <w:rsid w:val="00FA4EB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A4EB6"/>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A4EB6"/>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A4EB6"/>
    <w:pPr>
      <w:spacing w:after="100" w:line="259" w:lineRule="auto"/>
      <w:ind w:left="440"/>
    </w:pPr>
    <w:rPr>
      <w:rFonts w:eastAsiaTheme="minorEastAsia" w:cs="Times New Roman"/>
      <w:kern w:val="0"/>
      <w:sz w:val="22"/>
      <w:szCs w:val="22"/>
      <w:lang w:val="en-US"/>
      <w14:ligatures w14:val="none"/>
    </w:rPr>
  </w:style>
  <w:style w:type="character" w:styleId="UnresolvedMention">
    <w:name w:val="Unresolved Mention"/>
    <w:basedOn w:val="DefaultParagraphFont"/>
    <w:uiPriority w:val="99"/>
    <w:semiHidden/>
    <w:unhideWhenUsed/>
    <w:rsid w:val="00F35A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hrmr.2024.101073" TargetMode="External"/><Relationship Id="rId18" Type="http://schemas.openxmlformats.org/officeDocument/2006/relationships/hyperlink" Target="https://doi.org/10.12688/f1000research.171808.1" TargetMode="External"/><Relationship Id="rId26" Type="http://schemas.openxmlformats.org/officeDocument/2006/relationships/hyperlink" Target="https://doi.org/10.53841/bpsicpr.2020.15.2.69" TargetMode="External"/><Relationship Id="rId39" Type="http://schemas.openxmlformats.org/officeDocument/2006/relationships/hyperlink" Target="https://doi.org/10.24384/jbdb-xv40" TargetMode="External"/><Relationship Id="rId21" Type="http://schemas.openxmlformats.org/officeDocument/2006/relationships/hyperlink" Target="https://doi.org/10.56433/jpaap.v11i1.537" TargetMode="External"/><Relationship Id="rId34" Type="http://schemas.openxmlformats.org/officeDocument/2006/relationships/hyperlink" Target="https://doi.org/10.1136/bmjopen-2023-081139" TargetMode="External"/><Relationship Id="rId42" Type="http://schemas.openxmlformats.org/officeDocument/2006/relationships/fontTable" Target="fontTable.xml"/><Relationship Id="rId7" Type="http://schemas.openxmlformats.org/officeDocument/2006/relationships/hyperlink" Target="https://doi.org/10.1007/s00431-021-04118-8" TargetMode="External"/><Relationship Id="rId2" Type="http://schemas.openxmlformats.org/officeDocument/2006/relationships/settings" Target="settings.xml"/><Relationship Id="rId16" Type="http://schemas.openxmlformats.org/officeDocument/2006/relationships/hyperlink" Target="https://doi.org/10.1007/s41542-023-00171-x" TargetMode="External"/><Relationship Id="rId20" Type="http://schemas.openxmlformats.org/officeDocument/2006/relationships/hyperlink" Target="https://www.jccp.org.uk/" TargetMode="External"/><Relationship Id="rId29" Type="http://schemas.openxmlformats.org/officeDocument/2006/relationships/hyperlink" Target="https://doi.org/10.53841/bpsicpr.2019.14.1.57" TargetMode="External"/><Relationship Id="rId41" Type="http://schemas.openxmlformats.org/officeDocument/2006/relationships/hyperlink" Target="https://doi.org/10.3389/fpsyg.2024.1370815" TargetMode="External"/><Relationship Id="rId1" Type="http://schemas.openxmlformats.org/officeDocument/2006/relationships/styles" Target="styles.xml"/><Relationship Id="rId6" Type="http://schemas.openxmlformats.org/officeDocument/2006/relationships/hyperlink" Target="https://doi.org/10.1111/joop.70004" TargetMode="External"/><Relationship Id="rId11" Type="http://schemas.openxmlformats.org/officeDocument/2006/relationships/hyperlink" Target="https://doi.org/10.1080/09585192.2024.2429128" TargetMode="External"/><Relationship Id="rId24" Type="http://schemas.openxmlformats.org/officeDocument/2006/relationships/hyperlink" Target="https://doi.org/10.1002/aet2.70019" TargetMode="External"/><Relationship Id="rId32" Type="http://schemas.openxmlformats.org/officeDocument/2006/relationships/hyperlink" Target="https://doi.org/10.3390/heritage6010039" TargetMode="External"/><Relationship Id="rId37" Type="http://schemas.openxmlformats.org/officeDocument/2006/relationships/hyperlink" Target="https://doi.org/10.1111/inr.12977" TargetMode="External"/><Relationship Id="rId40" Type="http://schemas.openxmlformats.org/officeDocument/2006/relationships/hyperlink" Target="https://doi.org/10.1186/s40359-024-02295-3" TargetMode="External"/><Relationship Id="rId5" Type="http://schemas.openxmlformats.org/officeDocument/2006/relationships/hyperlink" Target="https://www.agilebusiness.org/dsdm-project-framework/moscow-prioritisation.html" TargetMode="External"/><Relationship Id="rId15" Type="http://schemas.openxmlformats.org/officeDocument/2006/relationships/hyperlink" Target="https://doi.org/10.1080/17521882.2019.1599030" TargetMode="External"/><Relationship Id="rId23" Type="http://schemas.openxmlformats.org/officeDocument/2006/relationships/hyperlink" Target="https://doi.org/10.1016/j.tate.2025.105065" TargetMode="External"/><Relationship Id="rId28" Type="http://schemas.openxmlformats.org/officeDocument/2006/relationships/hyperlink" Target="https://doi.org/10.1016/j.edurev.2023.100565" TargetMode="External"/><Relationship Id="rId36" Type="http://schemas.openxmlformats.org/officeDocument/2006/relationships/hyperlink" Target="https://doi.org/10.3389/fpsyg.2024.1423540" TargetMode="External"/><Relationship Id="rId10" Type="http://schemas.openxmlformats.org/officeDocument/2006/relationships/hyperlink" Target="https://www.cipd.org/en/knowledge/factsheets/coaching-mentoring-factsheet/" TargetMode="External"/><Relationship Id="rId19" Type="http://schemas.openxmlformats.org/officeDocument/2006/relationships/hyperlink" Target="https://doi.org/10.24384/ssyz-ng55" TargetMode="External"/><Relationship Id="rId31" Type="http://schemas.openxmlformats.org/officeDocument/2006/relationships/hyperlink" Target="https://doi.org/10.3389/fpsyg.2024.1484222" TargetMode="External"/><Relationship Id="rId4" Type="http://schemas.openxmlformats.org/officeDocument/2006/relationships/image" Target="media/image1.png"/><Relationship Id="rId9" Type="http://schemas.openxmlformats.org/officeDocument/2006/relationships/hyperlink" Target="https://doi.org/10.3389/fpsyg.2023.1204166" TargetMode="External"/><Relationship Id="rId14" Type="http://schemas.openxmlformats.org/officeDocument/2006/relationships/hyperlink" Target="https://doi.org/10.1186/s41077-022-00235-y" TargetMode="External"/><Relationship Id="rId22" Type="http://schemas.openxmlformats.org/officeDocument/2006/relationships/hyperlink" Target="https://doi.org/10.1080/0142159X.2025.2569623" TargetMode="External"/><Relationship Id="rId27" Type="http://schemas.openxmlformats.org/officeDocument/2006/relationships/hyperlink" Target="https://doi.org/10.3389/fpsyg.2023.1089797" TargetMode="External"/><Relationship Id="rId30" Type="http://schemas.openxmlformats.org/officeDocument/2006/relationships/hyperlink" Target="https://doi.org/10.4102/sajhrm.v20i0.1930" TargetMode="External"/><Relationship Id="rId35" Type="http://schemas.openxmlformats.org/officeDocument/2006/relationships/hyperlink" Target="https://doi.org/10.3389/fpsyg.2024.1277422" TargetMode="External"/><Relationship Id="rId43" Type="http://schemas.openxmlformats.org/officeDocument/2006/relationships/theme" Target="theme/theme1.xml"/><Relationship Id="rId8" Type="http://schemas.openxmlformats.org/officeDocument/2006/relationships/hyperlink" Target="https://doi.org/10.1002/hrdq.21497" TargetMode="External"/><Relationship Id="rId3" Type="http://schemas.openxmlformats.org/officeDocument/2006/relationships/webSettings" Target="webSettings.xml"/><Relationship Id="rId12" Type="http://schemas.openxmlformats.org/officeDocument/2006/relationships/hyperlink" Target="https://www.gov.uk/government/consultations/licensing-of-non-surgical-cosmetic-procedures/outcome/the-licensing-of-non-surgical-cosmetic-procedures-in-england-consultation-response" TargetMode="External"/><Relationship Id="rId17" Type="http://schemas.openxmlformats.org/officeDocument/2006/relationships/hyperlink" Target="https://doi.org/10.3389/feduc.2024.1382129" TargetMode="External"/><Relationship Id="rId25" Type="http://schemas.openxmlformats.org/officeDocument/2006/relationships/hyperlink" Target="https://doi.org/10.3389/fpsyg.2024.1241489" TargetMode="External"/><Relationship Id="rId33" Type="http://schemas.openxmlformats.org/officeDocument/2006/relationships/hyperlink" Target="https://doi.org/10.4102/sajip.v50i0.2132" TargetMode="External"/><Relationship Id="rId38" Type="http://schemas.openxmlformats.org/officeDocument/2006/relationships/hyperlink" Target="https://doi.org/10.1111/medu.153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20</Pages>
  <Words>6197</Words>
  <Characters>38489</Characters>
  <Application>Microsoft Office Word</Application>
  <DocSecurity>0</DocSecurity>
  <Lines>663</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cp:keywords/>
  <dc:description/>
  <cp:lastModifiedBy>Kelly Keefe (2318120)</cp:lastModifiedBy>
  <cp:revision>23</cp:revision>
  <dcterms:created xsi:type="dcterms:W3CDTF">2026-03-19T22:37:00Z</dcterms:created>
  <dcterms:modified xsi:type="dcterms:W3CDTF">2026-03-19T22:58:00Z</dcterms:modified>
</cp:coreProperties>
</file>