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DD824" w14:textId="141A130E" w:rsidR="000C5986" w:rsidRDefault="00A63A07" w:rsidP="00A63A07">
      <w:pPr>
        <w:pStyle w:val="NoSpacing"/>
        <w:jc w:val="center"/>
        <w:rPr>
          <w:b/>
          <w:bCs/>
          <w:u w:val="single"/>
        </w:rPr>
      </w:pPr>
      <w:r>
        <w:rPr>
          <w:b/>
          <w:bCs/>
          <w:u w:val="single"/>
        </w:rPr>
        <w:t>Research Methodology and Planning</w:t>
      </w:r>
    </w:p>
    <w:p w14:paraId="5B46DF13" w14:textId="77777777" w:rsidR="00A63A07" w:rsidRDefault="00A63A07" w:rsidP="00A63A07">
      <w:pPr>
        <w:pStyle w:val="NoSpacing"/>
        <w:jc w:val="center"/>
        <w:rPr>
          <w:b/>
          <w:bCs/>
          <w:u w:val="single"/>
        </w:rPr>
      </w:pPr>
    </w:p>
    <w:p w14:paraId="21B97566" w14:textId="28219CE8" w:rsidR="00A63A07" w:rsidRDefault="00A63A07" w:rsidP="00A63A07">
      <w:pPr>
        <w:pStyle w:val="NoSpacing"/>
      </w:pPr>
      <w:r>
        <w:t>This research project is addressing the issue of police retention within UK policing, through the lens of organisational commitment. The Police Uplift Programme</w:t>
      </w:r>
      <w:r w:rsidR="00AA123B">
        <w:t xml:space="preserve"> (PUP)</w:t>
      </w:r>
      <w:r>
        <w:t xml:space="preserve"> sought to raise officer numbers and retain these officers at high level</w:t>
      </w:r>
      <w:r w:rsidR="005D6B55">
        <w:t>s</w:t>
      </w:r>
      <w:r>
        <w:t xml:space="preserve">, however voluntarily resignations have continued to increase. Academics note that </w:t>
      </w:r>
      <w:r w:rsidR="00AA123B">
        <w:t xml:space="preserve">PUP </w:t>
      </w:r>
      <w:r>
        <w:t xml:space="preserve">will lower the </w:t>
      </w:r>
      <w:r w:rsidR="006301F2">
        <w:t>cross-sectional age of officers</w:t>
      </w:r>
      <w:r w:rsidR="002A7C2E">
        <w:t xml:space="preserve"> within</w:t>
      </w:r>
      <w:r>
        <w:t xml:space="preserve"> the workforce, and that differ</w:t>
      </w:r>
      <w:r w:rsidR="002A7C2E">
        <w:t>ing</w:t>
      </w:r>
      <w:r>
        <w:t xml:space="preserve"> generations have different </w:t>
      </w:r>
      <w:r w:rsidR="002A7C2E">
        <w:t>priorities</w:t>
      </w:r>
      <w:r>
        <w:t xml:space="preserve"> within the workplace. The objectives of this research</w:t>
      </w:r>
      <w:r w:rsidR="00250948">
        <w:t xml:space="preserve"> are to identify</w:t>
      </w:r>
      <w:r w:rsidR="00D95C6B">
        <w:t xml:space="preserve"> factors linked to </w:t>
      </w:r>
      <w:r w:rsidR="00EC1CC2">
        <w:t xml:space="preserve">improved </w:t>
      </w:r>
      <w:r w:rsidR="00D95C6B">
        <w:t>organisational commitment</w:t>
      </w:r>
      <w:r w:rsidR="006A512F">
        <w:t>, analyse</w:t>
      </w:r>
      <w:r w:rsidR="00456119">
        <w:t xml:space="preserve"> any variations in importance of such factors with respect to generation, and consider </w:t>
      </w:r>
      <w:r w:rsidR="00313656">
        <w:t xml:space="preserve">the implications that </w:t>
      </w:r>
      <w:r w:rsidR="006412DE">
        <w:t xml:space="preserve">these findings will have on the police as an organisation. To date, there does not appear to have been any study that directly </w:t>
      </w:r>
      <w:r w:rsidR="008A0129">
        <w:t>measures organisational commitment against age, in a policing context.</w:t>
      </w:r>
    </w:p>
    <w:p w14:paraId="4C81C8F6" w14:textId="77777777" w:rsidR="003F3D74" w:rsidRDefault="003F3D74" w:rsidP="00A63A07">
      <w:pPr>
        <w:pStyle w:val="NoSpacing"/>
      </w:pPr>
    </w:p>
    <w:p w14:paraId="13240CB5" w14:textId="25B3F08A" w:rsidR="004E7041" w:rsidRDefault="00C1707A" w:rsidP="004E7041">
      <w:pPr>
        <w:pStyle w:val="NoSpacing"/>
      </w:pPr>
      <w:r>
        <w:t>Queiros, Faria and Almeida (2017)</w:t>
      </w:r>
      <w:r w:rsidR="00532858">
        <w:t xml:space="preserve"> s</w:t>
      </w:r>
      <w:r w:rsidR="00532858">
        <w:t xml:space="preserve">ummarise the differences between </w:t>
      </w:r>
      <w:r w:rsidR="00532858">
        <w:t>qualitative and quantitative research appro</w:t>
      </w:r>
      <w:r w:rsidR="007F1D5D">
        <w:t>aches</w:t>
      </w:r>
      <w:r w:rsidR="008D0ECB">
        <w:t xml:space="preserve">. </w:t>
      </w:r>
      <w:r w:rsidR="004E7041" w:rsidRPr="00EA06A8">
        <w:t>Qualitative methodology</w:t>
      </w:r>
      <w:r w:rsidR="004E7041">
        <w:t xml:space="preserve"> seeks to develop an understanding of meaning</w:t>
      </w:r>
      <w:r w:rsidR="008B08A1">
        <w:t>,</w:t>
      </w:r>
      <w:r w:rsidR="004E7041">
        <w:t xml:space="preserve"> </w:t>
      </w:r>
      <w:r w:rsidR="008B08A1">
        <w:t>with d</w:t>
      </w:r>
      <w:r w:rsidR="004E7041">
        <w:t>eeper and more complex information uncovered about why a</w:t>
      </w:r>
      <w:r w:rsidR="001E25B8">
        <w:t>n</w:t>
      </w:r>
      <w:r w:rsidR="004E7041">
        <w:t xml:space="preserve"> action may or may not take place. It can address various dimensions of the problem</w:t>
      </w:r>
      <w:r w:rsidR="00B15827">
        <w:t xml:space="preserve">, </w:t>
      </w:r>
      <w:r w:rsidR="004E7041">
        <w:t>draw</w:t>
      </w:r>
      <w:r w:rsidR="00B15827">
        <w:t>ing</w:t>
      </w:r>
      <w:r w:rsidR="004E7041">
        <w:t xml:space="preserve"> </w:t>
      </w:r>
      <w:r w:rsidR="00B15827">
        <w:t>on</w:t>
      </w:r>
      <w:r w:rsidR="004E7041">
        <w:t xml:space="preserve"> metrics that cannot be quantified.</w:t>
      </w:r>
      <w:r w:rsidR="00B15827">
        <w:t xml:space="preserve"> I</w:t>
      </w:r>
      <w:r w:rsidR="004E7041">
        <w:t>t is useful for researching beliefs, values and attitudes. In contrast</w:t>
      </w:r>
      <w:r w:rsidR="004D2C35">
        <w:t>,</w:t>
      </w:r>
      <w:r w:rsidR="004E7041">
        <w:t xml:space="preserve"> quantitative research can be quantified. It seeks to obtain data to be statistically analysed, offering a reliable and true measurement of a concept. To this end, mathematics feature heavily within this form of methodology, and the research remains objective to specific factors. This form of methodology also enables a wider research base to be used, which can be generalised for a population. </w:t>
      </w:r>
    </w:p>
    <w:p w14:paraId="481C15DD" w14:textId="77777777" w:rsidR="00B842FC" w:rsidRDefault="00B842FC" w:rsidP="004E7041">
      <w:pPr>
        <w:pStyle w:val="NoSpacing"/>
      </w:pPr>
    </w:p>
    <w:p w14:paraId="5D32FE39" w14:textId="4758189A" w:rsidR="00B842FC" w:rsidRDefault="00B842FC" w:rsidP="00B842FC">
      <w:pPr>
        <w:pStyle w:val="NoSpacing"/>
      </w:pPr>
      <w:r>
        <w:t>Examples of qualitative research include interviews and focus groups, however these forms of research are time consuming to conduct, can present difficulty in scope to extract comparable data, and due to the smaller sample sizes they cannot be generalised for a population. Examples of quantitative research include surveys and field experiments. Whilst surveys are less time consuming, the reliability of data is dependent on the quality of the survey structure and honesty of responses. Field experiments can present great difficulty in controlling variables and replicating scenarios</w:t>
      </w:r>
      <w:r>
        <w:t xml:space="preserve"> (</w:t>
      </w:r>
      <w:r w:rsidR="002621C0">
        <w:t>Queiros, Faria and Almeida</w:t>
      </w:r>
      <w:r w:rsidR="002621C0">
        <w:t xml:space="preserve">, </w:t>
      </w:r>
      <w:r w:rsidR="002621C0">
        <w:t>2017)</w:t>
      </w:r>
      <w:r>
        <w:t>.</w:t>
      </w:r>
    </w:p>
    <w:p w14:paraId="063700B3" w14:textId="77777777" w:rsidR="00B85976" w:rsidRDefault="00B85976" w:rsidP="00B842FC">
      <w:pPr>
        <w:pStyle w:val="NoSpacing"/>
      </w:pPr>
    </w:p>
    <w:p w14:paraId="6954AC7D" w14:textId="6B680827" w:rsidR="00416638" w:rsidRDefault="00B85976" w:rsidP="00951437">
      <w:pPr>
        <w:pStyle w:val="NoSpacing"/>
      </w:pPr>
      <w:r>
        <w:t>To conduct primary research for this study, I will utilise an online survey.</w:t>
      </w:r>
      <w:r w:rsidR="008B32F3">
        <w:t xml:space="preserve"> However, i</w:t>
      </w:r>
      <w:r w:rsidR="008B32F3">
        <w:t>t is noted that many of the studies and research referenced within the literature review of this study, have incorporated qualitative research to form their hypotheses and conclusions. These findings have informed the basis of the quantitative research that this study serves to gather, by identifying values and attitudes to measure. Therefore, whilst this study will utilise quantitative methods as a primary source of research, qualitative research has undoubtedly feature</w:t>
      </w:r>
      <w:r w:rsidR="00D61F49">
        <w:t>d</w:t>
      </w:r>
      <w:r w:rsidR="008B32F3">
        <w:t xml:space="preserve"> as a secondary source.</w:t>
      </w:r>
      <w:r w:rsidR="00951437">
        <w:t xml:space="preserve"> </w:t>
      </w:r>
      <w:r w:rsidR="00D61F49">
        <w:t xml:space="preserve">Nayak and Narayan (2019) discuss the </w:t>
      </w:r>
      <w:r w:rsidR="00595F38">
        <w:t>benefits</w:t>
      </w:r>
      <w:r w:rsidR="00D61F49">
        <w:t xml:space="preserve"> of online surveys as a research method.</w:t>
      </w:r>
      <w:r w:rsidR="006250C1">
        <w:t xml:space="preserve"> They write that they are suitable for a cross-sectional study</w:t>
      </w:r>
      <w:r w:rsidR="002743F4">
        <w:t>, there is little financial cost involved,</w:t>
      </w:r>
      <w:r w:rsidR="00BD6C37">
        <w:t xml:space="preserve"> and </w:t>
      </w:r>
      <w:r w:rsidR="00416638">
        <w:t>o</w:t>
      </w:r>
      <w:r w:rsidR="00416638">
        <w:t xml:space="preserve">nline programmes allow for </w:t>
      </w:r>
      <w:r w:rsidR="00416638">
        <w:t xml:space="preserve">the </w:t>
      </w:r>
      <w:r w:rsidR="00416638">
        <w:t>eas</w:t>
      </w:r>
      <w:r w:rsidR="00416638">
        <w:t>y</w:t>
      </w:r>
      <w:r w:rsidR="00416638">
        <w:t xml:space="preserve"> and </w:t>
      </w:r>
      <w:r w:rsidR="00416638">
        <w:t>expedited</w:t>
      </w:r>
      <w:r w:rsidR="00416638">
        <w:t xml:space="preserve"> creat</w:t>
      </w:r>
      <w:r w:rsidR="009255D9">
        <w:t>ion of surveys</w:t>
      </w:r>
      <w:r w:rsidR="00416638">
        <w:t>, making the method more time efficient.</w:t>
      </w:r>
      <w:r w:rsidR="00271452">
        <w:t xml:space="preserve"> Moreover,</w:t>
      </w:r>
      <w:r w:rsidR="00940E97">
        <w:t xml:space="preserve"> contacting the sample</w:t>
      </w:r>
      <w:r w:rsidR="00FD3FA0">
        <w:t>, and storage and analysis of results</w:t>
      </w:r>
      <w:r w:rsidR="00E4136E">
        <w:t>,</w:t>
      </w:r>
      <w:r w:rsidR="00FD3FA0">
        <w:t xml:space="preserve"> can be </w:t>
      </w:r>
      <w:r w:rsidR="00E4136E">
        <w:t xml:space="preserve">conducted online. As the data is stored in the server, it cannot be accessed by </w:t>
      </w:r>
      <w:r w:rsidR="00663405">
        <w:t>persons seeking to alter it, negating this as an ethical issue.</w:t>
      </w:r>
    </w:p>
    <w:p w14:paraId="56A8591F" w14:textId="77777777" w:rsidR="00951437" w:rsidRDefault="00951437" w:rsidP="00951437">
      <w:pPr>
        <w:pStyle w:val="NoSpacing"/>
      </w:pPr>
    </w:p>
    <w:p w14:paraId="009F9B6D" w14:textId="1C5539D9" w:rsidR="005D2B22" w:rsidRDefault="009B5CF0" w:rsidP="00B2764E">
      <w:pPr>
        <w:pStyle w:val="NoSpacing"/>
      </w:pPr>
      <w:r>
        <w:t xml:space="preserve">The sample for the study will be limited to response police officers. </w:t>
      </w:r>
      <w:r w:rsidR="00DA6500">
        <w:t>R</w:t>
      </w:r>
      <w:r w:rsidR="00955936">
        <w:t>esearchers (Gullon-Scott and Longstaff, 2024; Burnett, Sheard and</w:t>
      </w:r>
      <w:r w:rsidR="00FA0E51">
        <w:t xml:space="preserve"> St-Clair Thompson, 2019) n</w:t>
      </w:r>
      <w:r w:rsidR="00DA6500">
        <w:t>ote</w:t>
      </w:r>
      <w:r w:rsidR="00FA0E51">
        <w:t xml:space="preserve"> that response officers are </w:t>
      </w:r>
      <w:r w:rsidR="00914A41">
        <w:t xml:space="preserve">more likely to experience </w:t>
      </w:r>
      <w:r w:rsidR="00C3629D">
        <w:t>stress and anxiety</w:t>
      </w:r>
      <w:r w:rsidR="008B280B">
        <w:t xml:space="preserve"> comparative to other roles, and </w:t>
      </w:r>
      <w:r w:rsidR="008A609F">
        <w:t>that these have been linked as indicators of diminished commitment (</w:t>
      </w:r>
      <w:r w:rsidR="007438E5" w:rsidRPr="0072403E">
        <w:t>Choi, Kruis and Yun, 2020; Johnson, 2015</w:t>
      </w:r>
      <w:r w:rsidR="007438E5">
        <w:t xml:space="preserve">; </w:t>
      </w:r>
      <w:r w:rsidR="00CA530C" w:rsidRPr="00D4242D">
        <w:t>Matz, Woo and Kim</w:t>
      </w:r>
      <w:r w:rsidR="00CA530C">
        <w:t xml:space="preserve">, </w:t>
      </w:r>
      <w:r w:rsidR="00CA530C" w:rsidRPr="00D4242D">
        <w:t>2014</w:t>
      </w:r>
      <w:r w:rsidR="007438E5" w:rsidRPr="0072403E">
        <w:t>)</w:t>
      </w:r>
      <w:r w:rsidR="007438E5">
        <w:t>.</w:t>
      </w:r>
      <w:r w:rsidR="00CA530C">
        <w:t xml:space="preserve"> Furthermore</w:t>
      </w:r>
      <w:r w:rsidR="0009044B">
        <w:t xml:space="preserve">, </w:t>
      </w:r>
      <w:r w:rsidR="004332B4">
        <w:t xml:space="preserve">86% of recruits attained through </w:t>
      </w:r>
      <w:r w:rsidR="00DA6500">
        <w:t>PUP</w:t>
      </w:r>
      <w:r w:rsidR="004332B4">
        <w:t xml:space="preserve"> were recruited via the IPLDP, PCDA and DHEP routes, meaning that they would enter the workstream in a uniformed response role to complete a probationary period of 2 to 3 years</w:t>
      </w:r>
      <w:r w:rsidR="004332B4">
        <w:t xml:space="preserve"> (Home Office, 2024)</w:t>
      </w:r>
      <w:r w:rsidR="004332B4">
        <w:t xml:space="preserve">. It can be deduced then that </w:t>
      </w:r>
      <w:r w:rsidR="004332B4">
        <w:t>most of</w:t>
      </w:r>
      <w:r w:rsidR="004332B4">
        <w:t xml:space="preserve"> these are still within the response policing role.</w:t>
      </w:r>
      <w:r w:rsidR="008B4F1D">
        <w:t xml:space="preserve"> The sample will be obtained from Gwent </w:t>
      </w:r>
      <w:r w:rsidR="008B4F1D">
        <w:lastRenderedPageBreak/>
        <w:t>Police</w:t>
      </w:r>
      <w:r w:rsidR="00F817A3">
        <w:t>. T</w:t>
      </w:r>
      <w:r w:rsidR="008856A5">
        <w:t xml:space="preserve">hey have </w:t>
      </w:r>
      <w:r w:rsidR="00772274">
        <w:t>an officer count of 262 per 100,000 population, which is significantly close to the UK average of 251</w:t>
      </w:r>
      <w:r w:rsidR="0011457A">
        <w:t xml:space="preserve"> (Home Office, 2023)</w:t>
      </w:r>
      <w:r w:rsidR="00F817A3">
        <w:t>, suggesting</w:t>
      </w:r>
      <w:r w:rsidR="0011457A">
        <w:t xml:space="preserve"> that results would be representative </w:t>
      </w:r>
      <w:r w:rsidR="004855C1">
        <w:t>of the UK as a whole.</w:t>
      </w:r>
    </w:p>
    <w:p w14:paraId="7C401CCC" w14:textId="77777777" w:rsidR="00B2764E" w:rsidRDefault="00B2764E" w:rsidP="00B2764E">
      <w:pPr>
        <w:pStyle w:val="NoSpacing"/>
      </w:pPr>
    </w:p>
    <w:p w14:paraId="7DE6882E" w14:textId="4C99009F" w:rsidR="000C11F0" w:rsidRDefault="00445315" w:rsidP="00B2764E">
      <w:pPr>
        <w:pStyle w:val="NoSpacing"/>
      </w:pPr>
      <w:r>
        <w:t>The</w:t>
      </w:r>
      <w:r w:rsidR="008D0E83">
        <w:t xml:space="preserve"> opening question of the survey will be a closed question </w:t>
      </w:r>
      <w:r w:rsidR="000A54C9">
        <w:t xml:space="preserve">pertaining to the age of the respondent, as this is pertinent </w:t>
      </w:r>
      <w:r w:rsidR="00D278B1">
        <w:t>to facilitate a comparison of responses by generation. The remaining</w:t>
      </w:r>
      <w:r>
        <w:t xml:space="preserve"> questions</w:t>
      </w:r>
      <w:r w:rsidR="00DB2C87">
        <w:t xml:space="preserve"> will be developed in relation to </w:t>
      </w:r>
      <w:r w:rsidR="00E7780C">
        <w:t xml:space="preserve">three </w:t>
      </w:r>
      <w:r w:rsidR="00F667CB">
        <w:t xml:space="preserve">common factors contributing to </w:t>
      </w:r>
      <w:r w:rsidR="00130C79">
        <w:t>organisational commitment as identified within the literature review. These are</w:t>
      </w:r>
      <w:r w:rsidR="005C7D70">
        <w:t xml:space="preserve"> support </w:t>
      </w:r>
      <w:r w:rsidR="0076525E">
        <w:t xml:space="preserve">(Singh </w:t>
      </w:r>
      <w:r w:rsidR="0076525E">
        <w:rPr>
          <w:i/>
          <w:iCs/>
        </w:rPr>
        <w:t>et al</w:t>
      </w:r>
      <w:r w:rsidR="0076525E">
        <w:t>, 2020; Kop, Euwema and Schaufeli, 1999, Jamarillo, Nixon and Sams, 2005)</w:t>
      </w:r>
      <w:r w:rsidR="0076525E">
        <w:t xml:space="preserve">, feedback </w:t>
      </w:r>
      <w:r w:rsidR="00CA7F48">
        <w:t>(Metcalfe and Dick, 2001; Charman and Bennett, 2022; Beck and Wilson, 1997)</w:t>
      </w:r>
      <w:r w:rsidR="00CA7F48">
        <w:t xml:space="preserve"> and team cohesion </w:t>
      </w:r>
      <w:r w:rsidR="00BF594A">
        <w:t>(Johnson, 2015; Jamarillo, Nixon and Sams, 2005)</w:t>
      </w:r>
      <w:r w:rsidR="00BF594A">
        <w:t>.</w:t>
      </w:r>
      <w:r w:rsidR="00FC76E6">
        <w:t xml:space="preserve"> These factors will be measured against the three </w:t>
      </w:r>
      <w:r w:rsidR="005A6BC3">
        <w:t xml:space="preserve">elements of organisational commitment as outlined by </w:t>
      </w:r>
      <w:r w:rsidR="00A73151" w:rsidRPr="000C7651">
        <w:t>Mowday, Steers and Porter (1979)</w:t>
      </w:r>
      <w:r w:rsidR="00A73151">
        <w:t>, using a Likert scale.</w:t>
      </w:r>
      <w:r w:rsidR="00EF52EE">
        <w:t xml:space="preserve"> Harpe (2015)</w:t>
      </w:r>
      <w:r w:rsidR="000E4D0F">
        <w:t xml:space="preserve"> explains that </w:t>
      </w:r>
      <w:r w:rsidR="00B3203E">
        <w:t xml:space="preserve">Likert scales can be used to apply a rating to an </w:t>
      </w:r>
      <w:r w:rsidR="00B3203E">
        <w:t>individual’s</w:t>
      </w:r>
      <w:r w:rsidR="00B3203E">
        <w:t xml:space="preserve"> perception, to measure a possible underlying phenomenon</w:t>
      </w:r>
      <w:r w:rsidR="00B3203E">
        <w:t xml:space="preserve">. </w:t>
      </w:r>
      <w:r w:rsidR="00B3203E">
        <w:t>Within it, each item is a declarative statement. The response set consists of equally spaced numbers assigned to equally spaced anchors. These anchors are terms such as “strongly agree” and Likert proposed that a mathematical mean of responses be calculated as a representative response.</w:t>
      </w:r>
      <w:r w:rsidR="007711EC">
        <w:t xml:space="preserve"> </w:t>
      </w:r>
      <w:r w:rsidR="00B3203E">
        <w:t>Criticisms are that “strongly agree” and “agree” are subjective to the respondent, and when calculating a statistical analysis, the average between these would therefore not be “agree-and-a-half”.</w:t>
      </w:r>
      <w:r w:rsidR="007711EC">
        <w:t xml:space="preserve"> This will be factored </w:t>
      </w:r>
      <w:r w:rsidR="00E04336">
        <w:t>within the analysis of the results.</w:t>
      </w:r>
    </w:p>
    <w:p w14:paraId="359B7534" w14:textId="77777777" w:rsidR="00302BB9" w:rsidRDefault="00302BB9" w:rsidP="00B2764E">
      <w:pPr>
        <w:pStyle w:val="NoSpacing"/>
      </w:pPr>
    </w:p>
    <w:p w14:paraId="01D1E920" w14:textId="303B52FB" w:rsidR="000C11F0" w:rsidRPr="00AF6A80" w:rsidRDefault="000C11F0" w:rsidP="00B2764E">
      <w:pPr>
        <w:pStyle w:val="NoSpacing"/>
      </w:pPr>
      <w:r>
        <w:t>Nayak</w:t>
      </w:r>
      <w:r w:rsidR="009F4B10">
        <w:t xml:space="preserve"> and Narayan (2019) further discuss the limitations and issues of the use of surveys</w:t>
      </w:r>
      <w:r w:rsidR="00A67665">
        <w:t xml:space="preserve">, suggesting that researchers </w:t>
      </w:r>
      <w:r w:rsidR="00E51354">
        <w:t>cannot ensure</w:t>
      </w:r>
      <w:r w:rsidR="00E51354">
        <w:t xml:space="preserve"> the</w:t>
      </w:r>
      <w:r w:rsidR="00E51354">
        <w:t xml:space="preserve"> sample is from</w:t>
      </w:r>
      <w:r w:rsidR="00E51354">
        <w:t xml:space="preserve"> the</w:t>
      </w:r>
      <w:r w:rsidR="00E51354">
        <w:t xml:space="preserve"> target population, </w:t>
      </w:r>
      <w:r w:rsidR="00E51354">
        <w:t xml:space="preserve">and </w:t>
      </w:r>
      <w:r w:rsidR="00E51354">
        <w:t xml:space="preserve">if </w:t>
      </w:r>
      <w:r w:rsidR="00BF602E">
        <w:t xml:space="preserve">a </w:t>
      </w:r>
      <w:r w:rsidR="00E51354">
        <w:t>respondent does not understand or have a doubt, the researcher cannot address this immediately</w:t>
      </w:r>
      <w:r w:rsidR="00E51354">
        <w:t xml:space="preserve">. </w:t>
      </w:r>
      <w:r w:rsidR="005D6F74">
        <w:t xml:space="preserve">The former of these will be addressed by </w:t>
      </w:r>
      <w:r w:rsidR="008F3358">
        <w:t xml:space="preserve">using an intra-organisational email </w:t>
      </w:r>
      <w:r w:rsidR="0022251E">
        <w:t>to ensure the survey is sent to the relevant audience</w:t>
      </w:r>
      <w:r w:rsidR="00BF602E">
        <w:t>.</w:t>
      </w:r>
      <w:r w:rsidR="0022251E">
        <w:t xml:space="preserve"> </w:t>
      </w:r>
      <w:r w:rsidR="00BF602E">
        <w:t>Th</w:t>
      </w:r>
      <w:r w:rsidR="0022251E">
        <w:t xml:space="preserve">e latter will seek to be minimised </w:t>
      </w:r>
      <w:r w:rsidR="00302BB9">
        <w:t>using</w:t>
      </w:r>
      <w:r w:rsidR="0022251E">
        <w:t xml:space="preserve"> simpl</w:t>
      </w:r>
      <w:r w:rsidR="00302BB9">
        <w:t>e</w:t>
      </w:r>
      <w:r w:rsidR="0022251E">
        <w:t xml:space="preserve"> language within the survey</w:t>
      </w:r>
      <w:r w:rsidR="00302BB9">
        <w:t>.</w:t>
      </w:r>
      <w:r w:rsidR="00B875FD">
        <w:t xml:space="preserve"> Further, they note tha</w:t>
      </w:r>
      <w:r w:rsidR="006D42A0">
        <w:t xml:space="preserve">t </w:t>
      </w:r>
      <w:r w:rsidR="00B875FD">
        <w:t xml:space="preserve">non-response rates </w:t>
      </w:r>
      <w:r w:rsidR="00125D0F">
        <w:t>can cause</w:t>
      </w:r>
      <w:r w:rsidR="006D42A0">
        <w:t xml:space="preserve"> bias, if non-respondents would have answered systematically differently to </w:t>
      </w:r>
      <w:r w:rsidR="0062536B">
        <w:t xml:space="preserve">active responders. </w:t>
      </w:r>
      <w:r w:rsidR="00F851A1">
        <w:t>To consider this in the results, the sample size will be recorded</w:t>
      </w:r>
      <w:r w:rsidR="002B76AC">
        <w:t xml:space="preserve"> beforehand</w:t>
      </w:r>
      <w:r w:rsidR="00CB4DE4">
        <w:t>, so that the response rate can be calculated</w:t>
      </w:r>
      <w:r w:rsidR="00BD6CC5">
        <w:t xml:space="preserve"> and measure possible bias emerging from this. Finally, they note that </w:t>
      </w:r>
      <w:r w:rsidR="00B63150">
        <w:t>the ethical issues of informed consent, anonymity and confidentiality</w:t>
      </w:r>
      <w:r w:rsidR="00027523">
        <w:t xml:space="preserve"> can rise from the use of surveys.</w:t>
      </w:r>
      <w:r w:rsidR="00621718">
        <w:t xml:space="preserve"> To address these, the survey will feature a disclaimer</w:t>
      </w:r>
      <w:r w:rsidR="009A2E56">
        <w:t xml:space="preserve"> at the start</w:t>
      </w:r>
      <w:r w:rsidR="00791417">
        <w:t xml:space="preserve"> noting</w:t>
      </w:r>
      <w:r w:rsidR="009A2E56">
        <w:t xml:space="preserve"> that participation is voluntary, </w:t>
      </w:r>
      <w:r w:rsidR="0043693C">
        <w:t>and no personal data will be gathered</w:t>
      </w:r>
      <w:r w:rsidR="00AF2DD4">
        <w:t xml:space="preserve"> within the survey, aside from a broad age category.</w:t>
      </w:r>
    </w:p>
    <w:p w14:paraId="7B1AA449" w14:textId="61B8B0E4" w:rsidR="00D61F49" w:rsidRDefault="00D61F49" w:rsidP="008B32F3">
      <w:pPr>
        <w:pStyle w:val="NoSpacing"/>
      </w:pPr>
    </w:p>
    <w:p w14:paraId="50C8A8F8" w14:textId="7385DCC9" w:rsidR="00B85976" w:rsidRPr="00EA06A8" w:rsidRDefault="00B85976" w:rsidP="00B842FC">
      <w:pPr>
        <w:pStyle w:val="NoSpacing"/>
      </w:pPr>
    </w:p>
    <w:p w14:paraId="544459B9" w14:textId="77777777" w:rsidR="00B842FC" w:rsidRDefault="00B842FC" w:rsidP="004E7041">
      <w:pPr>
        <w:pStyle w:val="NoSpacing"/>
      </w:pPr>
    </w:p>
    <w:p w14:paraId="7A4EE9BB" w14:textId="3C03A4CE" w:rsidR="003F3D74" w:rsidRDefault="00B40170" w:rsidP="00A63A07">
      <w:pPr>
        <w:pStyle w:val="NoSpacing"/>
      </w:pPr>
      <w:r>
        <w:t>[Word Count: 1084]</w:t>
      </w:r>
    </w:p>
    <w:p w14:paraId="208ACE91" w14:textId="77777777" w:rsidR="00B40170" w:rsidRDefault="00B40170" w:rsidP="00A63A07">
      <w:pPr>
        <w:pStyle w:val="NoSpacing"/>
      </w:pPr>
    </w:p>
    <w:p w14:paraId="4FA9336C" w14:textId="292686A2" w:rsidR="00B40170" w:rsidRDefault="00B40170">
      <w:r>
        <w:br w:type="page"/>
      </w:r>
    </w:p>
    <w:p w14:paraId="4607CADF" w14:textId="5F2E005A" w:rsidR="00B40170" w:rsidRDefault="007C6571" w:rsidP="00B40170">
      <w:pPr>
        <w:pStyle w:val="NoSpacing"/>
        <w:jc w:val="center"/>
        <w:rPr>
          <w:b/>
          <w:bCs/>
          <w:u w:val="single"/>
        </w:rPr>
      </w:pPr>
      <w:r>
        <w:rPr>
          <w:b/>
          <w:bCs/>
          <w:u w:val="single"/>
        </w:rPr>
        <w:lastRenderedPageBreak/>
        <w:t>Reference List</w:t>
      </w:r>
    </w:p>
    <w:p w14:paraId="0E7A8D19" w14:textId="77777777" w:rsidR="007C6571" w:rsidRDefault="007C6571" w:rsidP="00B40170">
      <w:pPr>
        <w:pStyle w:val="NoSpacing"/>
        <w:jc w:val="center"/>
        <w:rPr>
          <w:b/>
          <w:bCs/>
          <w:u w:val="single"/>
        </w:rPr>
      </w:pPr>
    </w:p>
    <w:p w14:paraId="00CB02D6" w14:textId="0257BECE" w:rsidR="00130CDD" w:rsidRPr="00130CDD" w:rsidRDefault="00130CDD" w:rsidP="00130CDD">
      <w:pPr>
        <w:pStyle w:val="NoSpacing"/>
      </w:pPr>
      <w:r w:rsidRPr="00130CDD">
        <w:t xml:space="preserve">Burnett, M. E., Sheard, I., and St Clair-Thompson, H. (2019) ‘The prevalence of compassion fatigue, compassion satisfaction and perceived stress, and their relationships with mental toughness, individual differences and number of self-care actions in a UK police force’, </w:t>
      </w:r>
      <w:r w:rsidRPr="00130CDD">
        <w:rPr>
          <w:i/>
          <w:iCs/>
        </w:rPr>
        <w:t xml:space="preserve">Police Practice and Research, </w:t>
      </w:r>
      <w:r w:rsidRPr="00130CDD">
        <w:t>21(3), pp. 1-18</w:t>
      </w:r>
      <w:r w:rsidR="001B4868">
        <w:t>.</w:t>
      </w:r>
    </w:p>
    <w:p w14:paraId="07386E23" w14:textId="77777777" w:rsidR="00130CDD" w:rsidRPr="00130CDD" w:rsidRDefault="00130CDD" w:rsidP="00130CDD">
      <w:pPr>
        <w:pStyle w:val="NoSpacing"/>
      </w:pPr>
      <w:r w:rsidRPr="00130CDD">
        <w:t xml:space="preserve">DOI: </w:t>
      </w:r>
      <w:hyperlink r:id="rId4" w:history="1">
        <w:r w:rsidRPr="00130CDD">
          <w:rPr>
            <w:rStyle w:val="Hyperlink"/>
          </w:rPr>
          <w:t>http://dx.doi.org/10.1080/15614263.2019.1617144</w:t>
        </w:r>
      </w:hyperlink>
    </w:p>
    <w:p w14:paraId="0BB971FD" w14:textId="77777777" w:rsidR="00130CDD" w:rsidRDefault="00130CDD" w:rsidP="00A56A5C">
      <w:pPr>
        <w:pStyle w:val="NoSpacing"/>
      </w:pPr>
    </w:p>
    <w:p w14:paraId="67F83501" w14:textId="1E06F388" w:rsidR="00A56A5C" w:rsidRPr="00A56A5C" w:rsidRDefault="00A56A5C" w:rsidP="00A56A5C">
      <w:pPr>
        <w:pStyle w:val="NoSpacing"/>
      </w:pPr>
      <w:r w:rsidRPr="00A56A5C">
        <w:t xml:space="preserve">Gullon-Scott, P., and Longstaff, L. (2024) ‘The prevalence of depression, anxiety, stress and their relationship to length of service in the UK police force’, </w:t>
      </w:r>
      <w:r w:rsidRPr="00A56A5C">
        <w:rPr>
          <w:i/>
          <w:iCs/>
        </w:rPr>
        <w:t>The Police Journal</w:t>
      </w:r>
      <w:r w:rsidRPr="00A56A5C">
        <w:t xml:space="preserve">, 97(1), pp. 131-149. </w:t>
      </w:r>
    </w:p>
    <w:p w14:paraId="38164E51" w14:textId="77777777" w:rsidR="00A56A5C" w:rsidRPr="00A56A5C" w:rsidRDefault="00A56A5C" w:rsidP="00A56A5C">
      <w:pPr>
        <w:pStyle w:val="NoSpacing"/>
      </w:pPr>
      <w:r w:rsidRPr="00A56A5C">
        <w:t xml:space="preserve">DOI: </w:t>
      </w:r>
      <w:hyperlink r:id="rId5" w:history="1">
        <w:r w:rsidRPr="00A56A5C">
          <w:rPr>
            <w:rStyle w:val="Hyperlink"/>
          </w:rPr>
          <w:t>https://doi.org/10.1177/0032258X221140813</w:t>
        </w:r>
      </w:hyperlink>
    </w:p>
    <w:p w14:paraId="0B62CA51" w14:textId="77777777" w:rsidR="00A56A5C" w:rsidRDefault="00A56A5C" w:rsidP="00787047">
      <w:pPr>
        <w:pStyle w:val="NoSpacing"/>
      </w:pPr>
    </w:p>
    <w:p w14:paraId="6BBA1574" w14:textId="795D4D13" w:rsidR="00787047" w:rsidRPr="00787047" w:rsidRDefault="00787047" w:rsidP="00787047">
      <w:pPr>
        <w:pStyle w:val="NoSpacing"/>
      </w:pPr>
      <w:r w:rsidRPr="00787047">
        <w:t>Harpe, S.E.</w:t>
      </w:r>
      <w:r>
        <w:t xml:space="preserve"> (</w:t>
      </w:r>
      <w:r w:rsidRPr="00787047">
        <w:t>2015</w:t>
      </w:r>
      <w:r>
        <w:t>)</w:t>
      </w:r>
      <w:r w:rsidRPr="00787047">
        <w:t xml:space="preserve"> </w:t>
      </w:r>
      <w:r>
        <w:t>‘</w:t>
      </w:r>
      <w:r w:rsidRPr="00787047">
        <w:t>How to analyze Likert and other rating scale data</w:t>
      </w:r>
      <w:r>
        <w:t>’,</w:t>
      </w:r>
      <w:r w:rsidRPr="00787047">
        <w:t> </w:t>
      </w:r>
      <w:r w:rsidRPr="00787047">
        <w:rPr>
          <w:i/>
          <w:iCs/>
        </w:rPr>
        <w:t>Currents in pharmacy teaching and learning</w:t>
      </w:r>
      <w:r w:rsidRPr="00787047">
        <w:t>, </w:t>
      </w:r>
      <w:r w:rsidRPr="00787047">
        <w:rPr>
          <w:i/>
          <w:iCs/>
        </w:rPr>
        <w:t>7</w:t>
      </w:r>
      <w:r w:rsidRPr="00787047">
        <w:t>(6), pp.836-850.</w:t>
      </w:r>
    </w:p>
    <w:p w14:paraId="5CD60571" w14:textId="77777777" w:rsidR="00787047" w:rsidRPr="00787047" w:rsidRDefault="00787047" w:rsidP="00787047">
      <w:pPr>
        <w:pStyle w:val="NoSpacing"/>
      </w:pPr>
      <w:r w:rsidRPr="00787047">
        <w:t xml:space="preserve">DOI: </w:t>
      </w:r>
      <w:hyperlink r:id="rId6" w:history="1">
        <w:r w:rsidRPr="00787047">
          <w:rPr>
            <w:rStyle w:val="Hyperlink"/>
          </w:rPr>
          <w:t>https://doi.org/10.1016/j.cptl.2015.08.001</w:t>
        </w:r>
      </w:hyperlink>
      <w:r w:rsidRPr="00787047">
        <w:t xml:space="preserve"> </w:t>
      </w:r>
    </w:p>
    <w:p w14:paraId="62409DA0" w14:textId="77777777" w:rsidR="00787047" w:rsidRDefault="00787047" w:rsidP="00A96531">
      <w:pPr>
        <w:pStyle w:val="NoSpacing"/>
      </w:pPr>
    </w:p>
    <w:p w14:paraId="22D8E7E8" w14:textId="77777777" w:rsidR="00850350" w:rsidRPr="00850350" w:rsidRDefault="00850350" w:rsidP="00850350">
      <w:pPr>
        <w:pStyle w:val="NoSpacing"/>
        <w:rPr>
          <w:i/>
          <w:iCs/>
        </w:rPr>
      </w:pPr>
      <w:r w:rsidRPr="00850350">
        <w:t xml:space="preserve">Home Office (2023) </w:t>
      </w:r>
      <w:r w:rsidRPr="00850350">
        <w:rPr>
          <w:i/>
          <w:iCs/>
        </w:rPr>
        <w:t>Police officer uplift, final position as at March 2023</w:t>
      </w:r>
    </w:p>
    <w:p w14:paraId="76458346" w14:textId="77777777" w:rsidR="00850350" w:rsidRDefault="00850350" w:rsidP="00850350">
      <w:pPr>
        <w:pStyle w:val="NoSpacing"/>
      </w:pPr>
      <w:r w:rsidRPr="00850350">
        <w:t xml:space="preserve">Available at: </w:t>
      </w:r>
      <w:hyperlink r:id="rId7" w:anchor=":~:text=The%20rate%20of%20police%20officers,and%20Wales%20%5Bfootnote%204%5D" w:history="1">
        <w:r w:rsidRPr="00850350">
          <w:rPr>
            <w:rStyle w:val="Hyperlink"/>
          </w:rPr>
          <w:t>https://www.gov.uk/government/statistics/police-officer-uplift-final-position-as-at-march-2023/police-officer-uplift-final-position-as-at-march-2023#:~:text=The%20rate%20of%20police%20officers,and%20Wales%20%5Bfootnote%204%5D</w:t>
        </w:r>
      </w:hyperlink>
      <w:r w:rsidRPr="00850350">
        <w:t>. (Accessed: 16</w:t>
      </w:r>
      <w:r w:rsidRPr="00850350">
        <w:rPr>
          <w:vertAlign w:val="superscript"/>
        </w:rPr>
        <w:t>th</w:t>
      </w:r>
      <w:r w:rsidRPr="00850350">
        <w:t xml:space="preserve"> May 2024)</w:t>
      </w:r>
    </w:p>
    <w:p w14:paraId="2EC93947" w14:textId="77777777" w:rsidR="001B4868" w:rsidRDefault="001B4868" w:rsidP="00850350">
      <w:pPr>
        <w:pStyle w:val="NoSpacing"/>
      </w:pPr>
    </w:p>
    <w:p w14:paraId="31C4CD6F" w14:textId="77777777" w:rsidR="001B4868" w:rsidRPr="001B4868" w:rsidRDefault="001B4868" w:rsidP="001B4868">
      <w:pPr>
        <w:pStyle w:val="NoSpacing"/>
        <w:rPr>
          <w:i/>
          <w:iCs/>
        </w:rPr>
      </w:pPr>
      <w:r w:rsidRPr="001B4868">
        <w:t xml:space="preserve">Home Office (2024) </w:t>
      </w:r>
      <w:r w:rsidRPr="001B4868">
        <w:rPr>
          <w:i/>
          <w:iCs/>
        </w:rPr>
        <w:t>Police Uplift Programme: entry routes of officer recruits</w:t>
      </w:r>
    </w:p>
    <w:p w14:paraId="6609ED72" w14:textId="77777777" w:rsidR="001B4868" w:rsidRPr="001B4868" w:rsidRDefault="001B4868" w:rsidP="001B4868">
      <w:pPr>
        <w:pStyle w:val="NoSpacing"/>
      </w:pPr>
      <w:r w:rsidRPr="001B4868">
        <w:t xml:space="preserve">Available at: </w:t>
      </w:r>
      <w:hyperlink r:id="rId8" w:history="1">
        <w:r w:rsidRPr="001B4868">
          <w:rPr>
            <w:rStyle w:val="Hyperlink"/>
          </w:rPr>
          <w:t>https://www.gov.uk/government/statistics/police-uplift-programme-entry-routes-of-officer-recruits/police-uplift-programme-entry-routes-of-officer-recruits</w:t>
        </w:r>
      </w:hyperlink>
      <w:r w:rsidRPr="001B4868">
        <w:t xml:space="preserve"> (Accessed: 9</w:t>
      </w:r>
      <w:r w:rsidRPr="001B4868">
        <w:rPr>
          <w:vertAlign w:val="superscript"/>
        </w:rPr>
        <w:t>th</w:t>
      </w:r>
      <w:r w:rsidRPr="001B4868">
        <w:t xml:space="preserve"> September 2024)</w:t>
      </w:r>
    </w:p>
    <w:p w14:paraId="4D3D49A2" w14:textId="77777777" w:rsidR="00850350" w:rsidRDefault="00850350" w:rsidP="00A96531">
      <w:pPr>
        <w:pStyle w:val="NoSpacing"/>
      </w:pPr>
    </w:p>
    <w:p w14:paraId="132E89B4" w14:textId="65CAA73B" w:rsidR="00A96531" w:rsidRPr="00A96531" w:rsidRDefault="00A96531" w:rsidP="00A96531">
      <w:pPr>
        <w:pStyle w:val="NoSpacing"/>
      </w:pPr>
      <w:r w:rsidRPr="00A96531">
        <w:t xml:space="preserve">Nayak, M., S., D., P., and Narayan,K., A. (2019) ‘Strengths and Weaknesses of Online Surveys, </w:t>
      </w:r>
      <w:r w:rsidRPr="00A96531">
        <w:rPr>
          <w:i/>
          <w:iCs/>
        </w:rPr>
        <w:t xml:space="preserve">Journal of Humanities and Social Sciences, </w:t>
      </w:r>
      <w:r w:rsidRPr="00A96531">
        <w:t>24(5), pp. 31-38</w:t>
      </w:r>
      <w:r w:rsidR="00690D6B">
        <w:t>.</w:t>
      </w:r>
    </w:p>
    <w:p w14:paraId="7B6589B1" w14:textId="77777777" w:rsidR="00A96531" w:rsidRPr="00A96531" w:rsidRDefault="00A96531" w:rsidP="00A96531">
      <w:pPr>
        <w:pStyle w:val="NoSpacing"/>
      </w:pPr>
      <w:r w:rsidRPr="00A96531">
        <w:t xml:space="preserve">Available at: </w:t>
      </w:r>
      <w:hyperlink r:id="rId9" w:history="1">
        <w:r w:rsidRPr="00A96531">
          <w:rPr>
            <w:rStyle w:val="Hyperlink"/>
          </w:rPr>
          <w:t>https://www.researchgate.net/publication/333207786_Strengths_and_Weakness_of_Online_Surveys</w:t>
        </w:r>
      </w:hyperlink>
      <w:r w:rsidRPr="00A96531">
        <w:t xml:space="preserve"> (Accessed: 9</w:t>
      </w:r>
      <w:r w:rsidRPr="00A96531">
        <w:rPr>
          <w:vertAlign w:val="superscript"/>
        </w:rPr>
        <w:t>th</w:t>
      </w:r>
      <w:r w:rsidRPr="00A96531">
        <w:t xml:space="preserve"> September 2024)</w:t>
      </w:r>
    </w:p>
    <w:p w14:paraId="677012BB" w14:textId="77777777" w:rsidR="00A96531" w:rsidRDefault="00A96531" w:rsidP="00AD598F">
      <w:pPr>
        <w:pStyle w:val="NoSpacing"/>
      </w:pPr>
    </w:p>
    <w:p w14:paraId="7E9FBF52" w14:textId="14F673B3" w:rsidR="00AD598F" w:rsidRPr="00AD598F" w:rsidRDefault="00AD598F" w:rsidP="00AD598F">
      <w:pPr>
        <w:pStyle w:val="NoSpacing"/>
      </w:pPr>
      <w:r w:rsidRPr="00AD598F">
        <w:t xml:space="preserve">Queirós, A., Faria, D. and Almeida, F. </w:t>
      </w:r>
      <w:r>
        <w:t>(</w:t>
      </w:r>
      <w:r w:rsidRPr="00AD598F">
        <w:t>2017</w:t>
      </w:r>
      <w:r>
        <w:t>)</w:t>
      </w:r>
      <w:r w:rsidRPr="00AD598F">
        <w:t xml:space="preserve"> </w:t>
      </w:r>
      <w:r>
        <w:t>‘</w:t>
      </w:r>
      <w:r w:rsidRPr="00AD598F">
        <w:t>Strengths and limitations of qualitative and quantitative research methods</w:t>
      </w:r>
      <w:r>
        <w:t>’</w:t>
      </w:r>
      <w:r w:rsidRPr="00AD598F">
        <w:t>. </w:t>
      </w:r>
      <w:r w:rsidRPr="00AD598F">
        <w:rPr>
          <w:i/>
          <w:iCs/>
        </w:rPr>
        <w:t>European journal of education studies</w:t>
      </w:r>
      <w:r w:rsidRPr="00AD598F">
        <w:t>, 3(9), pp. 369-387.</w:t>
      </w:r>
    </w:p>
    <w:p w14:paraId="517B97DC" w14:textId="77777777" w:rsidR="00AD598F" w:rsidRPr="00AD598F" w:rsidRDefault="00AD598F" w:rsidP="00AD598F">
      <w:pPr>
        <w:pStyle w:val="NoSpacing"/>
      </w:pPr>
      <w:r w:rsidRPr="00AD598F">
        <w:t xml:space="preserve">Available at: </w:t>
      </w:r>
      <w:hyperlink r:id="rId10" w:history="1">
        <w:r w:rsidRPr="00AD598F">
          <w:rPr>
            <w:rStyle w:val="Hyperlink"/>
          </w:rPr>
          <w:t>https://oapub.org/edu/index.php/ejes/article/view/1017</w:t>
        </w:r>
      </w:hyperlink>
      <w:r w:rsidRPr="00AD598F">
        <w:t xml:space="preserve"> (Accessed: 8</w:t>
      </w:r>
      <w:r w:rsidRPr="00AD598F">
        <w:rPr>
          <w:vertAlign w:val="superscript"/>
        </w:rPr>
        <w:t>th</w:t>
      </w:r>
      <w:r w:rsidRPr="00AD598F">
        <w:t xml:space="preserve"> September 2024)</w:t>
      </w:r>
    </w:p>
    <w:p w14:paraId="6E9E1B7F" w14:textId="77777777" w:rsidR="007C6571" w:rsidRPr="007C6571" w:rsidRDefault="007C6571" w:rsidP="007C6571">
      <w:pPr>
        <w:pStyle w:val="NoSpacing"/>
      </w:pPr>
    </w:p>
    <w:sectPr w:rsidR="007C6571" w:rsidRPr="007C65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A07"/>
    <w:rsid w:val="00027523"/>
    <w:rsid w:val="0009044B"/>
    <w:rsid w:val="000A54C9"/>
    <w:rsid w:val="000C11F0"/>
    <w:rsid w:val="000C5986"/>
    <w:rsid w:val="000E4D0F"/>
    <w:rsid w:val="0011457A"/>
    <w:rsid w:val="00125D0F"/>
    <w:rsid w:val="00130C79"/>
    <w:rsid w:val="00130CDD"/>
    <w:rsid w:val="001B4868"/>
    <w:rsid w:val="001E25B8"/>
    <w:rsid w:val="0022251E"/>
    <w:rsid w:val="00234BCE"/>
    <w:rsid w:val="00250948"/>
    <w:rsid w:val="002621C0"/>
    <w:rsid w:val="00270F3B"/>
    <w:rsid w:val="00271452"/>
    <w:rsid w:val="002743F4"/>
    <w:rsid w:val="002A7C2E"/>
    <w:rsid w:val="002B76AC"/>
    <w:rsid w:val="00302BB9"/>
    <w:rsid w:val="00313656"/>
    <w:rsid w:val="003F3D74"/>
    <w:rsid w:val="00416638"/>
    <w:rsid w:val="004332B4"/>
    <w:rsid w:val="0043693C"/>
    <w:rsid w:val="00445315"/>
    <w:rsid w:val="00456119"/>
    <w:rsid w:val="004855C1"/>
    <w:rsid w:val="004D2C35"/>
    <w:rsid w:val="004E7041"/>
    <w:rsid w:val="00532858"/>
    <w:rsid w:val="00595F38"/>
    <w:rsid w:val="005A6BC3"/>
    <w:rsid w:val="005C7D70"/>
    <w:rsid w:val="005D2B22"/>
    <w:rsid w:val="005D6B55"/>
    <w:rsid w:val="005D6F74"/>
    <w:rsid w:val="00621718"/>
    <w:rsid w:val="006250C1"/>
    <w:rsid w:val="0062536B"/>
    <w:rsid w:val="006301F2"/>
    <w:rsid w:val="006412DE"/>
    <w:rsid w:val="00663405"/>
    <w:rsid w:val="00690D6B"/>
    <w:rsid w:val="006A512F"/>
    <w:rsid w:val="006D42A0"/>
    <w:rsid w:val="007438E5"/>
    <w:rsid w:val="0076525E"/>
    <w:rsid w:val="007711EC"/>
    <w:rsid w:val="00772274"/>
    <w:rsid w:val="00787047"/>
    <w:rsid w:val="00791417"/>
    <w:rsid w:val="007C6571"/>
    <w:rsid w:val="007F1D5D"/>
    <w:rsid w:val="00800194"/>
    <w:rsid w:val="00850350"/>
    <w:rsid w:val="008856A5"/>
    <w:rsid w:val="008A0129"/>
    <w:rsid w:val="008A609F"/>
    <w:rsid w:val="008B08A1"/>
    <w:rsid w:val="008B280B"/>
    <w:rsid w:val="008B32F3"/>
    <w:rsid w:val="008B4F1D"/>
    <w:rsid w:val="008D0E83"/>
    <w:rsid w:val="008D0ECB"/>
    <w:rsid w:val="008E2C50"/>
    <w:rsid w:val="008F3358"/>
    <w:rsid w:val="009129AA"/>
    <w:rsid w:val="00914A41"/>
    <w:rsid w:val="009255D9"/>
    <w:rsid w:val="00940E97"/>
    <w:rsid w:val="00951437"/>
    <w:rsid w:val="00955936"/>
    <w:rsid w:val="009A2E56"/>
    <w:rsid w:val="009B5CF0"/>
    <w:rsid w:val="009F4B10"/>
    <w:rsid w:val="00A170A9"/>
    <w:rsid w:val="00A56A5C"/>
    <w:rsid w:val="00A63A07"/>
    <w:rsid w:val="00A67665"/>
    <w:rsid w:val="00A73151"/>
    <w:rsid w:val="00A96531"/>
    <w:rsid w:val="00AA123B"/>
    <w:rsid w:val="00AD598F"/>
    <w:rsid w:val="00AF2DD4"/>
    <w:rsid w:val="00B15827"/>
    <w:rsid w:val="00B2764E"/>
    <w:rsid w:val="00B3203E"/>
    <w:rsid w:val="00B40170"/>
    <w:rsid w:val="00B63150"/>
    <w:rsid w:val="00B842FC"/>
    <w:rsid w:val="00B85976"/>
    <w:rsid w:val="00B875FD"/>
    <w:rsid w:val="00BD6C37"/>
    <w:rsid w:val="00BD6CC5"/>
    <w:rsid w:val="00BF594A"/>
    <w:rsid w:val="00BF602E"/>
    <w:rsid w:val="00C1707A"/>
    <w:rsid w:val="00C3629D"/>
    <w:rsid w:val="00CA530C"/>
    <w:rsid w:val="00CA7F48"/>
    <w:rsid w:val="00CB4DE4"/>
    <w:rsid w:val="00D278B1"/>
    <w:rsid w:val="00D61F49"/>
    <w:rsid w:val="00D95C6B"/>
    <w:rsid w:val="00DA6500"/>
    <w:rsid w:val="00DB2C87"/>
    <w:rsid w:val="00E04336"/>
    <w:rsid w:val="00E4136E"/>
    <w:rsid w:val="00E51354"/>
    <w:rsid w:val="00E54729"/>
    <w:rsid w:val="00E7780C"/>
    <w:rsid w:val="00EC1CC2"/>
    <w:rsid w:val="00EF52EE"/>
    <w:rsid w:val="00F667CB"/>
    <w:rsid w:val="00F817A3"/>
    <w:rsid w:val="00F851A1"/>
    <w:rsid w:val="00FA0E51"/>
    <w:rsid w:val="00FC76E6"/>
    <w:rsid w:val="00FD3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41786"/>
  <w15:chartTrackingRefBased/>
  <w15:docId w15:val="{4AF914DC-A388-4872-B2A0-4C0316BBB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63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63A07"/>
    <w:pPr>
      <w:spacing w:after="0" w:line="240" w:lineRule="auto"/>
    </w:pPr>
  </w:style>
  <w:style w:type="character" w:styleId="Hyperlink">
    <w:name w:val="Hyperlink"/>
    <w:basedOn w:val="DefaultParagraphFont"/>
    <w:uiPriority w:val="99"/>
    <w:unhideWhenUsed/>
    <w:rsid w:val="00AD598F"/>
    <w:rPr>
      <w:color w:val="0563C1" w:themeColor="hyperlink"/>
      <w:u w:val="single"/>
    </w:rPr>
  </w:style>
  <w:style w:type="character" w:styleId="UnresolvedMention">
    <w:name w:val="Unresolved Mention"/>
    <w:basedOn w:val="DefaultParagraphFont"/>
    <w:uiPriority w:val="99"/>
    <w:semiHidden/>
    <w:unhideWhenUsed/>
    <w:rsid w:val="00AD598F"/>
    <w:rPr>
      <w:color w:val="605E5C"/>
      <w:shd w:val="clear" w:color="auto" w:fill="E1DFDD"/>
    </w:rPr>
  </w:style>
  <w:style w:type="character" w:styleId="FollowedHyperlink">
    <w:name w:val="FollowedHyperlink"/>
    <w:basedOn w:val="DefaultParagraphFont"/>
    <w:uiPriority w:val="99"/>
    <w:semiHidden/>
    <w:unhideWhenUsed/>
    <w:rsid w:val="008503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police-uplift-programme-entry-routes-of-officer-recruits/police-uplift-programme-entry-routes-of-officer-recruits" TargetMode="External"/><Relationship Id="rId3" Type="http://schemas.openxmlformats.org/officeDocument/2006/relationships/webSettings" Target="webSettings.xml"/><Relationship Id="rId7" Type="http://schemas.openxmlformats.org/officeDocument/2006/relationships/hyperlink" Target="https://www.gov.uk/government/statistics/police-officer-uplift-final-position-as-at-march-2023/police-officer-uplift-final-position-as-at-march-2023"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cptl.2015.08.001" TargetMode="External"/><Relationship Id="rId11" Type="http://schemas.openxmlformats.org/officeDocument/2006/relationships/fontTable" Target="fontTable.xml"/><Relationship Id="rId5" Type="http://schemas.openxmlformats.org/officeDocument/2006/relationships/hyperlink" Target="https://doi.org/10.1177/0032258X221140813" TargetMode="External"/><Relationship Id="rId10" Type="http://schemas.openxmlformats.org/officeDocument/2006/relationships/hyperlink" Target="https://oapub.org/edu/index.php/ejes/article/view/1017" TargetMode="External"/><Relationship Id="rId4" Type="http://schemas.openxmlformats.org/officeDocument/2006/relationships/hyperlink" Target="http://dx.doi.org/10.1080/15614263.2019.1617144" TargetMode="External"/><Relationship Id="rId9" Type="http://schemas.openxmlformats.org/officeDocument/2006/relationships/hyperlink" Target="https://www.researchgate.net/publication/333207786_Strengths_and_Weakness_of_Online_Surve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3</Pages>
  <Words>1477</Words>
  <Characters>8419</Characters>
  <Application>Microsoft Office Word</Application>
  <DocSecurity>0</DocSecurity>
  <Lines>70</Lines>
  <Paragraphs>19</Paragraphs>
  <ScaleCrop>false</ScaleCrop>
  <Company>Gwent Police</Company>
  <LinksUpToDate>false</LinksUpToDate>
  <CharactersWithSpaces>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Scott</dc:creator>
  <cp:keywords/>
  <dc:description/>
  <cp:lastModifiedBy>Saunders, Scott</cp:lastModifiedBy>
  <cp:revision>120</cp:revision>
  <dcterms:created xsi:type="dcterms:W3CDTF">2024-09-09T15:45:00Z</dcterms:created>
  <dcterms:modified xsi:type="dcterms:W3CDTF">2024-09-09T18:07:00Z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2024-09-09T15:56:34Z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2c97e4f6-6702-4f21-aab3-40f06e85ed30</vt:lpwstr>
  </property>
  <property fmtid="{D5CDD505-2E9C-101B-9397-08002B2CF9AE}" pid="8" name="MSIP_Label_f2acd28b-79a3-4a0f-b0ff-4b75658b1549_ContentBits">
    <vt:lpwstr>0</vt:lpwstr>
  </property>
</Properties>
</file>