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4325E" w14:textId="77777777" w:rsidR="00B101AD" w:rsidRPr="00B101AD" w:rsidRDefault="00B101AD" w:rsidP="00B101AD">
      <w:pPr>
        <w:jc w:val="center"/>
        <w:rPr>
          <w:bCs/>
        </w:rPr>
      </w:pPr>
      <w:r w:rsidRPr="00B101AD">
        <w:rPr>
          <w:bCs/>
        </w:rPr>
        <w:t>Name: Moshfique Khaled Chowdhury</w:t>
      </w:r>
    </w:p>
    <w:p w14:paraId="1B0D1EA3" w14:textId="77777777" w:rsidR="00B101AD" w:rsidRPr="00B101AD" w:rsidRDefault="00B101AD" w:rsidP="00B101AD">
      <w:pPr>
        <w:jc w:val="center"/>
        <w:rPr>
          <w:bCs/>
        </w:rPr>
      </w:pPr>
      <w:r w:rsidRPr="00B101AD">
        <w:rPr>
          <w:bCs/>
        </w:rPr>
        <w:t>Student No. 2017480</w:t>
      </w:r>
    </w:p>
    <w:p w14:paraId="69296FA3" w14:textId="77777777" w:rsidR="00FB7416" w:rsidRPr="00B101AD" w:rsidRDefault="00FB7416"/>
    <w:p w14:paraId="75ACB4E0" w14:textId="77777777" w:rsidR="00952AE4" w:rsidRPr="00B101AD" w:rsidRDefault="00952AE4"/>
    <w:p w14:paraId="7DA3EE75" w14:textId="77777777" w:rsidR="00952AE4" w:rsidRPr="00B101AD" w:rsidRDefault="00952AE4"/>
    <w:p w14:paraId="14FFECBA" w14:textId="77777777" w:rsidR="00952AE4" w:rsidRPr="00B101AD" w:rsidRDefault="00952AE4">
      <w:pPr>
        <w:rPr>
          <w:b/>
        </w:rPr>
      </w:pPr>
    </w:p>
    <w:p w14:paraId="3929568A" w14:textId="77777777" w:rsidR="00FB7416" w:rsidRPr="00B101AD" w:rsidRDefault="00FB7416">
      <w:pPr>
        <w:rPr>
          <w:b/>
        </w:rPr>
      </w:pPr>
    </w:p>
    <w:p w14:paraId="01E9C41A" w14:textId="77777777" w:rsidR="00FB7416" w:rsidRPr="00B101AD" w:rsidRDefault="00FB7416">
      <w:pPr>
        <w:rPr>
          <w:b/>
        </w:rPr>
      </w:pPr>
    </w:p>
    <w:p w14:paraId="0014D65E" w14:textId="77777777" w:rsidR="00FB7416" w:rsidRPr="00B101AD" w:rsidRDefault="00FB7416">
      <w:pPr>
        <w:rPr>
          <w:b/>
        </w:rPr>
      </w:pPr>
    </w:p>
    <w:p w14:paraId="3A707B1D" w14:textId="77777777" w:rsidR="00FB7416" w:rsidRPr="00B101AD" w:rsidRDefault="00FB7416">
      <w:pPr>
        <w:rPr>
          <w:b/>
        </w:rPr>
      </w:pPr>
    </w:p>
    <w:p w14:paraId="082FE365" w14:textId="77777777" w:rsidR="00FB7416" w:rsidRPr="00B101AD" w:rsidRDefault="00FB7416">
      <w:pPr>
        <w:rPr>
          <w:b/>
        </w:rPr>
      </w:pPr>
    </w:p>
    <w:p w14:paraId="1B5ED4A5" w14:textId="77777777" w:rsidR="00FB7416" w:rsidRPr="00B101AD" w:rsidRDefault="00FB7416" w:rsidP="00B101AD">
      <w:pPr>
        <w:rPr>
          <w:b/>
        </w:rPr>
      </w:pPr>
    </w:p>
    <w:p w14:paraId="20106F65" w14:textId="4921429C" w:rsidR="00952AE4" w:rsidRDefault="00B101AD">
      <w:pPr>
        <w:jc w:val="center"/>
        <w:rPr>
          <w:bCs/>
        </w:rPr>
      </w:pPr>
      <w:r w:rsidRPr="00B101AD">
        <w:rPr>
          <w:bCs/>
        </w:rPr>
        <w:t xml:space="preserve">Module Name: </w:t>
      </w:r>
      <w:r w:rsidR="00DF7E9B" w:rsidRPr="007862AA">
        <w:rPr>
          <w:bCs/>
        </w:rPr>
        <w:t>MANAGING FOOD AND BEVERAGE OPERATIONS</w:t>
      </w:r>
    </w:p>
    <w:p w14:paraId="59527658" w14:textId="77777777" w:rsidR="007862AA" w:rsidRPr="007862AA" w:rsidRDefault="007862AA">
      <w:pPr>
        <w:jc w:val="center"/>
        <w:rPr>
          <w:bCs/>
        </w:rPr>
      </w:pPr>
    </w:p>
    <w:p w14:paraId="73212C57" w14:textId="77777777" w:rsidR="00B101AD" w:rsidRDefault="00B101AD">
      <w:pPr>
        <w:jc w:val="center"/>
      </w:pPr>
      <w:r>
        <w:t>BMIH6002</w:t>
      </w:r>
    </w:p>
    <w:p w14:paraId="5E88D9B9" w14:textId="77777777" w:rsidR="007862AA" w:rsidRDefault="007862AA">
      <w:pPr>
        <w:jc w:val="center"/>
      </w:pPr>
    </w:p>
    <w:p w14:paraId="288A376B" w14:textId="77777777" w:rsidR="007862AA" w:rsidRDefault="007862AA">
      <w:pPr>
        <w:jc w:val="center"/>
      </w:pPr>
    </w:p>
    <w:p w14:paraId="5C8E56D5" w14:textId="7CB47066" w:rsidR="00B101AD" w:rsidRPr="00B101AD" w:rsidRDefault="00B101AD">
      <w:pPr>
        <w:jc w:val="center"/>
        <w:rPr>
          <w:b/>
        </w:rPr>
      </w:pPr>
      <w:r w:rsidRPr="00B101AD">
        <w:rPr>
          <w:bCs/>
        </w:rPr>
        <w:t>Lecturer’s Name:</w:t>
      </w:r>
      <w:r w:rsidR="007862AA">
        <w:rPr>
          <w:bCs/>
        </w:rPr>
        <w:t xml:space="preserve"> </w:t>
      </w:r>
      <w:r w:rsidR="007862AA">
        <w:t>Rodrigo Fernandes Aguilera</w:t>
      </w:r>
    </w:p>
    <w:p w14:paraId="6E74F22E" w14:textId="177BB704" w:rsidR="00B101AD" w:rsidRDefault="00952AE4">
      <w:pPr>
        <w:rPr>
          <w:b/>
          <w:sz w:val="32"/>
          <w:szCs w:val="32"/>
        </w:rPr>
      </w:pPr>
      <w:r>
        <w:rPr>
          <w:b/>
          <w:sz w:val="32"/>
          <w:szCs w:val="32"/>
        </w:rPr>
        <w:br w:type="page"/>
      </w:r>
    </w:p>
    <w:sdt>
      <w:sdtPr>
        <w:rPr>
          <w:rFonts w:ascii="Times New Roman" w:eastAsia="Times New Roman" w:hAnsi="Times New Roman" w:cs="Times New Roman"/>
          <w:color w:val="auto"/>
          <w:sz w:val="24"/>
          <w:szCs w:val="24"/>
          <w:lang w:val="en"/>
        </w:rPr>
        <w:id w:val="-893498149"/>
        <w:docPartObj>
          <w:docPartGallery w:val="Table of Contents"/>
          <w:docPartUnique/>
        </w:docPartObj>
      </w:sdtPr>
      <w:sdtEndPr>
        <w:rPr>
          <w:b/>
          <w:bCs/>
          <w:noProof/>
        </w:rPr>
      </w:sdtEndPr>
      <w:sdtContent>
        <w:p w14:paraId="3AE16DD7" w14:textId="77777777" w:rsidR="00952AE4" w:rsidRPr="00952AE4" w:rsidRDefault="00952AE4" w:rsidP="00952AE4">
          <w:pPr>
            <w:pStyle w:val="TOCHeading"/>
            <w:spacing w:line="360" w:lineRule="auto"/>
            <w:jc w:val="center"/>
            <w:rPr>
              <w:rFonts w:ascii="Times New Roman" w:hAnsi="Times New Roman" w:cs="Times New Roman"/>
              <w:b/>
              <w:color w:val="000000" w:themeColor="text1"/>
              <w:sz w:val="28"/>
              <w:szCs w:val="28"/>
            </w:rPr>
          </w:pPr>
          <w:r w:rsidRPr="00952AE4">
            <w:rPr>
              <w:rFonts w:ascii="Times New Roman" w:hAnsi="Times New Roman" w:cs="Times New Roman"/>
              <w:b/>
              <w:color w:val="000000" w:themeColor="text1"/>
              <w:sz w:val="28"/>
              <w:szCs w:val="28"/>
            </w:rPr>
            <w:t>TABLE OF CONTENTS</w:t>
          </w:r>
        </w:p>
        <w:p w14:paraId="753F9536" w14:textId="77777777" w:rsidR="00952AE4" w:rsidRPr="00952AE4" w:rsidRDefault="00952AE4" w:rsidP="00952AE4">
          <w:pPr>
            <w:pStyle w:val="TOC1"/>
            <w:tabs>
              <w:tab w:val="right" w:leader="dot" w:pos="9350"/>
            </w:tabs>
            <w:rPr>
              <w:noProof/>
            </w:rPr>
          </w:pPr>
          <w:r w:rsidRPr="00952AE4">
            <w:fldChar w:fldCharType="begin"/>
          </w:r>
          <w:r w:rsidRPr="00952AE4">
            <w:instrText xml:space="preserve"> TOC \o "1-3" \h \z \u </w:instrText>
          </w:r>
          <w:r w:rsidRPr="00952AE4">
            <w:fldChar w:fldCharType="separate"/>
          </w:r>
          <w:hyperlink w:anchor="_Toc137222632" w:history="1">
            <w:r w:rsidRPr="00952AE4">
              <w:rPr>
                <w:rStyle w:val="Hyperlink"/>
                <w:noProof/>
              </w:rPr>
              <w:t>Introduction</w:t>
            </w:r>
            <w:r w:rsidRPr="00952AE4">
              <w:rPr>
                <w:noProof/>
                <w:webHidden/>
              </w:rPr>
              <w:tab/>
            </w:r>
            <w:r w:rsidRPr="00952AE4">
              <w:rPr>
                <w:noProof/>
                <w:webHidden/>
              </w:rPr>
              <w:fldChar w:fldCharType="begin"/>
            </w:r>
            <w:r w:rsidRPr="00952AE4">
              <w:rPr>
                <w:noProof/>
                <w:webHidden/>
              </w:rPr>
              <w:instrText xml:space="preserve"> PAGEREF _Toc137222632 \h </w:instrText>
            </w:r>
            <w:r w:rsidRPr="00952AE4">
              <w:rPr>
                <w:noProof/>
                <w:webHidden/>
              </w:rPr>
            </w:r>
            <w:r w:rsidRPr="00952AE4">
              <w:rPr>
                <w:noProof/>
                <w:webHidden/>
              </w:rPr>
              <w:fldChar w:fldCharType="separate"/>
            </w:r>
            <w:r w:rsidRPr="00952AE4">
              <w:rPr>
                <w:noProof/>
                <w:webHidden/>
              </w:rPr>
              <w:t>3</w:t>
            </w:r>
            <w:r w:rsidRPr="00952AE4">
              <w:rPr>
                <w:noProof/>
                <w:webHidden/>
              </w:rPr>
              <w:fldChar w:fldCharType="end"/>
            </w:r>
          </w:hyperlink>
        </w:p>
        <w:p w14:paraId="234C3D18" w14:textId="77777777" w:rsidR="00952AE4" w:rsidRPr="00952AE4" w:rsidRDefault="00000000" w:rsidP="00952AE4">
          <w:pPr>
            <w:pStyle w:val="TOC1"/>
            <w:tabs>
              <w:tab w:val="right" w:leader="dot" w:pos="9350"/>
            </w:tabs>
            <w:rPr>
              <w:noProof/>
            </w:rPr>
          </w:pPr>
          <w:hyperlink w:anchor="_Toc137222633" w:history="1">
            <w:r w:rsidR="00952AE4" w:rsidRPr="00952AE4">
              <w:rPr>
                <w:rStyle w:val="Hyperlink"/>
                <w:noProof/>
              </w:rPr>
              <w:t>Discussion</w:t>
            </w:r>
            <w:r w:rsidR="00952AE4" w:rsidRPr="00952AE4">
              <w:rPr>
                <w:noProof/>
                <w:webHidden/>
              </w:rPr>
              <w:tab/>
            </w:r>
            <w:r w:rsidR="00952AE4" w:rsidRPr="00952AE4">
              <w:rPr>
                <w:noProof/>
                <w:webHidden/>
              </w:rPr>
              <w:fldChar w:fldCharType="begin"/>
            </w:r>
            <w:r w:rsidR="00952AE4" w:rsidRPr="00952AE4">
              <w:rPr>
                <w:noProof/>
                <w:webHidden/>
              </w:rPr>
              <w:instrText xml:space="preserve"> PAGEREF _Toc137222633 \h </w:instrText>
            </w:r>
            <w:r w:rsidR="00952AE4" w:rsidRPr="00952AE4">
              <w:rPr>
                <w:noProof/>
                <w:webHidden/>
              </w:rPr>
            </w:r>
            <w:r w:rsidR="00952AE4" w:rsidRPr="00952AE4">
              <w:rPr>
                <w:noProof/>
                <w:webHidden/>
              </w:rPr>
              <w:fldChar w:fldCharType="separate"/>
            </w:r>
            <w:r w:rsidR="00952AE4" w:rsidRPr="00952AE4">
              <w:rPr>
                <w:noProof/>
                <w:webHidden/>
              </w:rPr>
              <w:t>4</w:t>
            </w:r>
            <w:r w:rsidR="00952AE4" w:rsidRPr="00952AE4">
              <w:rPr>
                <w:noProof/>
                <w:webHidden/>
              </w:rPr>
              <w:fldChar w:fldCharType="end"/>
            </w:r>
          </w:hyperlink>
        </w:p>
        <w:p w14:paraId="3ED07A97" w14:textId="77777777" w:rsidR="00952AE4" w:rsidRPr="00952AE4" w:rsidRDefault="00000000" w:rsidP="00952AE4">
          <w:pPr>
            <w:pStyle w:val="TOC1"/>
            <w:tabs>
              <w:tab w:val="right" w:leader="dot" w:pos="9350"/>
            </w:tabs>
            <w:rPr>
              <w:noProof/>
            </w:rPr>
          </w:pPr>
          <w:hyperlink w:anchor="_Toc137222634" w:history="1">
            <w:r w:rsidR="00952AE4" w:rsidRPr="00952AE4">
              <w:rPr>
                <w:rStyle w:val="Hyperlink"/>
                <w:noProof/>
              </w:rPr>
              <w:t>Conclusion</w:t>
            </w:r>
            <w:r w:rsidR="00952AE4" w:rsidRPr="00952AE4">
              <w:rPr>
                <w:noProof/>
                <w:webHidden/>
              </w:rPr>
              <w:tab/>
            </w:r>
            <w:r w:rsidR="00952AE4" w:rsidRPr="00952AE4">
              <w:rPr>
                <w:noProof/>
                <w:webHidden/>
              </w:rPr>
              <w:fldChar w:fldCharType="begin"/>
            </w:r>
            <w:r w:rsidR="00952AE4" w:rsidRPr="00952AE4">
              <w:rPr>
                <w:noProof/>
                <w:webHidden/>
              </w:rPr>
              <w:instrText xml:space="preserve"> PAGEREF _Toc137222634 \h </w:instrText>
            </w:r>
            <w:r w:rsidR="00952AE4" w:rsidRPr="00952AE4">
              <w:rPr>
                <w:noProof/>
                <w:webHidden/>
              </w:rPr>
            </w:r>
            <w:r w:rsidR="00952AE4" w:rsidRPr="00952AE4">
              <w:rPr>
                <w:noProof/>
                <w:webHidden/>
              </w:rPr>
              <w:fldChar w:fldCharType="separate"/>
            </w:r>
            <w:r w:rsidR="00952AE4" w:rsidRPr="00952AE4">
              <w:rPr>
                <w:noProof/>
                <w:webHidden/>
              </w:rPr>
              <w:t>5</w:t>
            </w:r>
            <w:r w:rsidR="00952AE4" w:rsidRPr="00952AE4">
              <w:rPr>
                <w:noProof/>
                <w:webHidden/>
              </w:rPr>
              <w:fldChar w:fldCharType="end"/>
            </w:r>
          </w:hyperlink>
        </w:p>
        <w:p w14:paraId="5EFBC786" w14:textId="77777777" w:rsidR="00952AE4" w:rsidRPr="00952AE4" w:rsidRDefault="00000000" w:rsidP="00952AE4">
          <w:pPr>
            <w:pStyle w:val="TOC1"/>
            <w:tabs>
              <w:tab w:val="right" w:leader="dot" w:pos="9350"/>
            </w:tabs>
            <w:rPr>
              <w:noProof/>
            </w:rPr>
          </w:pPr>
          <w:hyperlink w:anchor="_Toc137222635" w:history="1">
            <w:r w:rsidR="00952AE4" w:rsidRPr="00952AE4">
              <w:rPr>
                <w:rStyle w:val="Hyperlink"/>
                <w:noProof/>
              </w:rPr>
              <w:t>Reference List</w:t>
            </w:r>
            <w:r w:rsidR="00952AE4" w:rsidRPr="00952AE4">
              <w:rPr>
                <w:noProof/>
                <w:webHidden/>
              </w:rPr>
              <w:tab/>
            </w:r>
            <w:r w:rsidR="00952AE4" w:rsidRPr="00952AE4">
              <w:rPr>
                <w:noProof/>
                <w:webHidden/>
              </w:rPr>
              <w:fldChar w:fldCharType="begin"/>
            </w:r>
            <w:r w:rsidR="00952AE4" w:rsidRPr="00952AE4">
              <w:rPr>
                <w:noProof/>
                <w:webHidden/>
              </w:rPr>
              <w:instrText xml:space="preserve"> PAGEREF _Toc137222635 \h </w:instrText>
            </w:r>
            <w:r w:rsidR="00952AE4" w:rsidRPr="00952AE4">
              <w:rPr>
                <w:noProof/>
                <w:webHidden/>
              </w:rPr>
            </w:r>
            <w:r w:rsidR="00952AE4" w:rsidRPr="00952AE4">
              <w:rPr>
                <w:noProof/>
                <w:webHidden/>
              </w:rPr>
              <w:fldChar w:fldCharType="separate"/>
            </w:r>
            <w:r w:rsidR="00952AE4" w:rsidRPr="00952AE4">
              <w:rPr>
                <w:noProof/>
                <w:webHidden/>
              </w:rPr>
              <w:t>7</w:t>
            </w:r>
            <w:r w:rsidR="00952AE4" w:rsidRPr="00952AE4">
              <w:rPr>
                <w:noProof/>
                <w:webHidden/>
              </w:rPr>
              <w:fldChar w:fldCharType="end"/>
            </w:r>
          </w:hyperlink>
        </w:p>
        <w:p w14:paraId="7C224342" w14:textId="77777777" w:rsidR="00952AE4" w:rsidRPr="00952AE4" w:rsidRDefault="00000000" w:rsidP="00952AE4">
          <w:pPr>
            <w:pStyle w:val="TOC1"/>
            <w:tabs>
              <w:tab w:val="right" w:leader="dot" w:pos="9350"/>
            </w:tabs>
            <w:rPr>
              <w:noProof/>
            </w:rPr>
          </w:pPr>
          <w:hyperlink w:anchor="_Toc137222636" w:history="1">
            <w:r w:rsidR="00952AE4" w:rsidRPr="00952AE4">
              <w:rPr>
                <w:rStyle w:val="Hyperlink"/>
                <w:noProof/>
              </w:rPr>
              <w:t>Appendices</w:t>
            </w:r>
            <w:r w:rsidR="00952AE4" w:rsidRPr="00952AE4">
              <w:rPr>
                <w:noProof/>
                <w:webHidden/>
              </w:rPr>
              <w:tab/>
            </w:r>
            <w:r w:rsidR="00952AE4" w:rsidRPr="00952AE4">
              <w:rPr>
                <w:noProof/>
                <w:webHidden/>
              </w:rPr>
              <w:fldChar w:fldCharType="begin"/>
            </w:r>
            <w:r w:rsidR="00952AE4" w:rsidRPr="00952AE4">
              <w:rPr>
                <w:noProof/>
                <w:webHidden/>
              </w:rPr>
              <w:instrText xml:space="preserve"> PAGEREF _Toc137222636 \h </w:instrText>
            </w:r>
            <w:r w:rsidR="00952AE4" w:rsidRPr="00952AE4">
              <w:rPr>
                <w:noProof/>
                <w:webHidden/>
              </w:rPr>
            </w:r>
            <w:r w:rsidR="00952AE4" w:rsidRPr="00952AE4">
              <w:rPr>
                <w:noProof/>
                <w:webHidden/>
              </w:rPr>
              <w:fldChar w:fldCharType="separate"/>
            </w:r>
            <w:r w:rsidR="00952AE4" w:rsidRPr="00952AE4">
              <w:rPr>
                <w:noProof/>
                <w:webHidden/>
              </w:rPr>
              <w:t>8</w:t>
            </w:r>
            <w:r w:rsidR="00952AE4" w:rsidRPr="00952AE4">
              <w:rPr>
                <w:noProof/>
                <w:webHidden/>
              </w:rPr>
              <w:fldChar w:fldCharType="end"/>
            </w:r>
          </w:hyperlink>
        </w:p>
        <w:p w14:paraId="497B242D" w14:textId="77777777" w:rsidR="00952AE4" w:rsidRDefault="00952AE4" w:rsidP="00952AE4">
          <w:r w:rsidRPr="00952AE4">
            <w:rPr>
              <w:b/>
              <w:bCs/>
              <w:noProof/>
            </w:rPr>
            <w:fldChar w:fldCharType="end"/>
          </w:r>
        </w:p>
      </w:sdtContent>
    </w:sdt>
    <w:p w14:paraId="1427AD17" w14:textId="77777777" w:rsidR="00FB7416" w:rsidRDefault="00FB7416">
      <w:pPr>
        <w:jc w:val="center"/>
        <w:rPr>
          <w:b/>
          <w:sz w:val="32"/>
          <w:szCs w:val="32"/>
        </w:rPr>
      </w:pPr>
    </w:p>
    <w:p w14:paraId="5127FD8F" w14:textId="77777777" w:rsidR="00FB7416" w:rsidRDefault="00D73106">
      <w:pPr>
        <w:jc w:val="center"/>
        <w:rPr>
          <w:b/>
          <w:sz w:val="32"/>
          <w:szCs w:val="32"/>
        </w:rPr>
      </w:pPr>
      <w:r>
        <w:br w:type="page"/>
      </w:r>
    </w:p>
    <w:p w14:paraId="06372541" w14:textId="77777777" w:rsidR="00FB7416" w:rsidRDefault="00D73106" w:rsidP="00952AE4">
      <w:pPr>
        <w:pStyle w:val="Heading1"/>
      </w:pPr>
      <w:bookmarkStart w:id="0" w:name="_Toc137222632"/>
      <w:r>
        <w:lastRenderedPageBreak/>
        <w:t>Introduction</w:t>
      </w:r>
      <w:bookmarkEnd w:id="0"/>
    </w:p>
    <w:p w14:paraId="0C9CDAF9" w14:textId="77777777" w:rsidR="00FB7416" w:rsidRDefault="00D73106">
      <w:r>
        <w:t>In the introduction of managing food and beverage operations that is the more complex and critical task that is analyzed within the hospitality industry.  Managing food and beverage operations is a mind boggling and basic errand inside the neighborliness business. It includes supervising all parts of the food and drink administration, from menu arranging and acquisition to creation and administration. This field requires a profound comprehension of culinary expressions, customer care, and business board standards. Powerful admin</w:t>
      </w:r>
      <w:r w:rsidR="00952AE4">
        <w:t xml:space="preserve">istration of food and beverage </w:t>
      </w:r>
      <w:r>
        <w:t>tasks is fundamental for guaranteeing visitor fulfillment, expanding income, and keeping an upper hand on the lookout. One of th</w:t>
      </w:r>
      <w:r w:rsidR="00952AE4">
        <w:t xml:space="preserve">e vital obligations in Managing </w:t>
      </w:r>
      <w:r>
        <w:t xml:space="preserve">food and beverage operations is menu arranging. This includes making a different and engaging menu that takes care of the inclinations and dietary prerequisites of visitors. A director should cautiously think about elements like occasional accessibility of fixings, cost-viability, and the general topic or idea of the foundation. </w:t>
      </w:r>
    </w:p>
    <w:p w14:paraId="78894A4F" w14:textId="078885B0" w:rsidR="00FB7416" w:rsidRDefault="00D73106">
      <w:r>
        <w:t xml:space="preserve">By offering an inventive and </w:t>
      </w:r>
      <w:r w:rsidR="00253882">
        <w:t>high-quality</w:t>
      </w:r>
      <w:r>
        <w:t xml:space="preserve"> ingredients menu, administrators</w:t>
      </w:r>
      <w:r w:rsidR="00952AE4">
        <w:t xml:space="preserve"> can draw in and hold customers</w:t>
      </w:r>
      <w:r>
        <w:t xml:space="preserve">, at last prompting expanded income. Procurement and stock administration are likewise critical parts of food and beverage operations. Directors should lay out associations with dependable providers to guarantee the accessibility of </w:t>
      </w:r>
      <w:r w:rsidR="00253882">
        <w:t>high-quality</w:t>
      </w:r>
      <w:r>
        <w:t xml:space="preserve"> ingredients. They should likewise arrange ideal </w:t>
      </w:r>
      <w:r w:rsidR="00253882">
        <w:t>evaluation</w:t>
      </w:r>
      <w:r>
        <w:t xml:space="preserve"> and keep up with ideal stock levels to limit waste and control costs. Furthermore, staying aware of industry drifts and obtaining reasonable and privately obtained items have become significant contemplations for current food and beverage operations.</w:t>
      </w:r>
    </w:p>
    <w:p w14:paraId="45F4C052" w14:textId="77777777" w:rsidR="00FB7416" w:rsidRDefault="00D73106">
      <w:r>
        <w:t xml:space="preserve">The creation interaction is another region that requires compelling administration. </w:t>
      </w:r>
    </w:p>
    <w:p w14:paraId="5982DAEF" w14:textId="77777777" w:rsidR="00FB7416" w:rsidRDefault="00D73106">
      <w:r>
        <w:t>This includes organizing crafted by kitchen staff, guaranteeing a productive work process, and keeping up with reliable food quality and show. Supervisors should have major areas of strength for culinary methods, food handling guidelines, and piece control to ensure consumer loyalty and comply with health standards. Customer service is a principal part of managing food and beverage operations. Supervisors should prepare and spur their staff to offer extraordinary support, guaranteeing that visitors have a positive feasting experience. Effective communication, critical thinking abilities, and the</w:t>
      </w:r>
      <w:r w:rsidR="00952AE4">
        <w:t xml:space="preserve"> capacity to deal with customer</w:t>
      </w:r>
      <w:r>
        <w:t xml:space="preserve"> protests are fundamental in this job. By conveying remarkable help, chiefs can make a dedicated customer base and create positive informal.</w:t>
      </w:r>
    </w:p>
    <w:p w14:paraId="0C15F82A" w14:textId="7BB70049" w:rsidR="00FB7416" w:rsidRDefault="00D73106">
      <w:r>
        <w:t xml:space="preserve">Finally, financial management is fundamental in food and beverage operations. Administrators should </w:t>
      </w:r>
      <w:r w:rsidR="00253882">
        <w:t>effectively</w:t>
      </w:r>
      <w:r>
        <w:t xml:space="preserve"> </w:t>
      </w:r>
      <w:r w:rsidR="00253882">
        <w:t>spend</w:t>
      </w:r>
      <w:r>
        <w:t xml:space="preserve"> plans, break down summaries, and carry out cost control measures. This </w:t>
      </w:r>
      <w:r>
        <w:lastRenderedPageBreak/>
        <w:t xml:space="preserve">incorporates checking labor costs, food costs, and other functional costs to keep up with productivity. Furthermore, directors might participate in showcasing drives and vital evaluating to </w:t>
      </w:r>
      <w:r w:rsidR="00253882">
        <w:t>increase</w:t>
      </w:r>
      <w:r>
        <w:t xml:space="preserve"> income and draw in new </w:t>
      </w:r>
      <w:r w:rsidR="00253882">
        <w:t>customers.</w:t>
      </w:r>
    </w:p>
    <w:p w14:paraId="41DE27F8" w14:textId="2A1EE8A5" w:rsidR="00FB7416" w:rsidRDefault="00D73106">
      <w:r>
        <w:t xml:space="preserve">In the summarized part, </w:t>
      </w:r>
      <w:r w:rsidR="00253882">
        <w:t>managing food</w:t>
      </w:r>
      <w:r>
        <w:t xml:space="preserve"> and beverage operations requires a complex range of abilities and an exhaustive comprehension of the business. By really </w:t>
      </w:r>
      <w:r w:rsidR="00253882">
        <w:t>Managing menu</w:t>
      </w:r>
      <w:r>
        <w:t xml:space="preserve"> arranging, acquisition, creation, customer   assistance, and monetary viewpoints, chiefs can guarantee the outcome of their foundations. With the rising contest in the neighborhood business, the job of food and </w:t>
      </w:r>
      <w:r w:rsidR="00253882">
        <w:t>beverage tasks</w:t>
      </w:r>
      <w:r>
        <w:t>, the board has become more basic than any other time in recent memory in conveying outstanding dining experience and driving business development.</w:t>
      </w:r>
    </w:p>
    <w:p w14:paraId="02B01E3A" w14:textId="77777777" w:rsidR="00FB7416" w:rsidRDefault="00D73106" w:rsidP="00952AE4">
      <w:pPr>
        <w:pStyle w:val="Heading1"/>
      </w:pPr>
      <w:bookmarkStart w:id="1" w:name="_Toc137222633"/>
      <w:r>
        <w:t>Discussion</w:t>
      </w:r>
      <w:bookmarkEnd w:id="1"/>
    </w:p>
    <w:p w14:paraId="39845556" w14:textId="564E5EAD" w:rsidR="00FB7416" w:rsidRDefault="00D73106">
      <w:r>
        <w:t xml:space="preserve">The Software can substantially improve the processes and enhance productivity when employed to manage the operations related to food and beverages. Several steps can be taken for effectively employing the system to control food and drinks operations. All eating and drinking menus should be developed and maintained using the Software. Include complete clarifications, costs, and relevant </w:t>
      </w:r>
      <w:r w:rsidR="00253882">
        <w:t>offers</w:t>
      </w:r>
      <w:r>
        <w:t xml:space="preserve"> or promotions (</w:t>
      </w:r>
      <w:r>
        <w:rPr>
          <w:color w:val="222222"/>
          <w:highlight w:val="white"/>
        </w:rPr>
        <w:t xml:space="preserve">Baek </w:t>
      </w:r>
      <w:r>
        <w:rPr>
          <w:i/>
          <w:color w:val="222222"/>
          <w:highlight w:val="white"/>
        </w:rPr>
        <w:t>et al.</w:t>
      </w:r>
      <w:r>
        <w:rPr>
          <w:color w:val="222222"/>
          <w:highlight w:val="white"/>
        </w:rPr>
        <w:t xml:space="preserve"> 2020</w:t>
      </w:r>
      <w:r>
        <w:t>). Verify that the system enables businesses to rapidly modify menus in anticipation of variations in inventory or times of the year. Use the technology to maintain precise information regarding inventory. Monitor the amount of inventory, get notifications when certain items have become low on supply, and issue purchase orders as appropriate. To avoid outages or surplus stock, the System ought to offer instantaneous insight into the stock held.</w:t>
      </w:r>
    </w:p>
    <w:p w14:paraId="24CA9BEA" w14:textId="77777777" w:rsidR="00FB7416" w:rsidRDefault="00D73106">
      <w:pPr>
        <w:rPr>
          <w:b/>
          <w:sz w:val="28"/>
          <w:szCs w:val="28"/>
        </w:rPr>
      </w:pPr>
      <w:r>
        <w:rPr>
          <w:b/>
          <w:noProof/>
          <w:sz w:val="28"/>
          <w:szCs w:val="28"/>
          <w:lang w:val="en-US"/>
        </w:rPr>
        <w:drawing>
          <wp:inline distT="114300" distB="114300" distL="114300" distR="114300" wp14:anchorId="08002B28" wp14:editId="09845189">
            <wp:extent cx="5943600" cy="1016000"/>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
                    <a:srcRect/>
                    <a:stretch>
                      <a:fillRect/>
                    </a:stretch>
                  </pic:blipFill>
                  <pic:spPr>
                    <a:xfrm>
                      <a:off x="0" y="0"/>
                      <a:ext cx="5943600" cy="1016000"/>
                    </a:xfrm>
                    <a:prstGeom prst="rect">
                      <a:avLst/>
                    </a:prstGeom>
                    <a:ln/>
                  </pic:spPr>
                </pic:pic>
              </a:graphicData>
            </a:graphic>
          </wp:inline>
        </w:drawing>
      </w:r>
    </w:p>
    <w:p w14:paraId="0BCC180F" w14:textId="77777777" w:rsidR="00FB7416" w:rsidRDefault="00D73106">
      <w:pPr>
        <w:jc w:val="center"/>
        <w:rPr>
          <w:b/>
        </w:rPr>
      </w:pPr>
      <w:r>
        <w:rPr>
          <w:b/>
        </w:rPr>
        <w:t>Figure 1: Records of booking</w:t>
      </w:r>
    </w:p>
    <w:p w14:paraId="2FC3A5D5" w14:textId="77777777" w:rsidR="00FB7416" w:rsidRDefault="00D73106">
      <w:pPr>
        <w:jc w:val="center"/>
      </w:pPr>
      <w:r>
        <w:t>(Source: Self-Created)</w:t>
      </w:r>
    </w:p>
    <w:p w14:paraId="7FBDA08F" w14:textId="0801948C" w:rsidR="00FB7416" w:rsidRDefault="00D73106">
      <w:pPr>
        <w:rPr>
          <w:b/>
          <w:i/>
        </w:rPr>
      </w:pPr>
      <w:r>
        <w:t>The System collects and keeps track of guest data when a reservation occurs. Name, contact data, address, and any special desires or requests given during the booking procedure are a few of the details that may comprise this (</w:t>
      </w:r>
      <w:r>
        <w:rPr>
          <w:color w:val="222222"/>
          <w:highlight w:val="white"/>
        </w:rPr>
        <w:t xml:space="preserve">Dopson </w:t>
      </w:r>
      <w:r>
        <w:rPr>
          <w:i/>
          <w:color w:val="222222"/>
          <w:highlight w:val="white"/>
        </w:rPr>
        <w:t>et al.</w:t>
      </w:r>
      <w:r>
        <w:rPr>
          <w:color w:val="222222"/>
          <w:highlight w:val="white"/>
        </w:rPr>
        <w:t xml:space="preserve"> 2019</w:t>
      </w:r>
      <w:r>
        <w:t xml:space="preserve">). The system retains track of specific data about </w:t>
      </w:r>
      <w:r>
        <w:lastRenderedPageBreak/>
        <w:t xml:space="preserve">each booking, such as the arrival and departing dates, the total amount of guests, the kind of lodging or category, and the additional services or amenities which the guest would have ordered. </w:t>
      </w:r>
      <w:r>
        <w:rPr>
          <w:b/>
          <w:i/>
        </w:rPr>
        <w:t>[Refer to appendix 1]</w:t>
      </w:r>
    </w:p>
    <w:p w14:paraId="28C59964" w14:textId="77777777" w:rsidR="00FB7416" w:rsidRDefault="00D73106">
      <w:pPr>
        <w:jc w:val="center"/>
      </w:pPr>
      <w:r>
        <w:rPr>
          <w:noProof/>
          <w:lang w:val="en-US"/>
        </w:rPr>
        <w:drawing>
          <wp:inline distT="114300" distB="114300" distL="114300" distR="114300" wp14:anchorId="3438AA7F" wp14:editId="7CF186AD">
            <wp:extent cx="3933825" cy="1285875"/>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
                    <a:srcRect/>
                    <a:stretch>
                      <a:fillRect/>
                    </a:stretch>
                  </pic:blipFill>
                  <pic:spPr>
                    <a:xfrm>
                      <a:off x="0" y="0"/>
                      <a:ext cx="3933825" cy="1285875"/>
                    </a:xfrm>
                    <a:prstGeom prst="rect">
                      <a:avLst/>
                    </a:prstGeom>
                    <a:ln/>
                  </pic:spPr>
                </pic:pic>
              </a:graphicData>
            </a:graphic>
          </wp:inline>
        </w:drawing>
      </w:r>
    </w:p>
    <w:p w14:paraId="3F9A6C84" w14:textId="77777777" w:rsidR="00FB7416" w:rsidRDefault="00D73106">
      <w:pPr>
        <w:jc w:val="center"/>
        <w:rPr>
          <w:b/>
        </w:rPr>
      </w:pPr>
      <w:r>
        <w:rPr>
          <w:b/>
        </w:rPr>
        <w:t>Figure 2: Records of Guests</w:t>
      </w:r>
    </w:p>
    <w:p w14:paraId="2241DFF8" w14:textId="77777777" w:rsidR="00FB7416" w:rsidRDefault="00D73106">
      <w:pPr>
        <w:jc w:val="center"/>
      </w:pPr>
      <w:r>
        <w:t>(Source: Self-Created)</w:t>
      </w:r>
    </w:p>
    <w:p w14:paraId="5439E2AB" w14:textId="675A5219" w:rsidR="00FB7416" w:rsidRDefault="00D73106">
      <w:r>
        <w:t xml:space="preserve">A guest record is created whenever a guest makes a reservation or checks in. The guest's designation, contact information, mailing address, country, and, if important, any type of loyalty scheme registration details are all incorporated in this profile, along with further critical </w:t>
      </w:r>
      <w:r w:rsidR="00253882">
        <w:t>data.</w:t>
      </w:r>
      <w:r w:rsidR="00253882">
        <w:rPr>
          <w:b/>
          <w:i/>
        </w:rPr>
        <w:t xml:space="preserve"> [</w:t>
      </w:r>
      <w:r>
        <w:rPr>
          <w:b/>
          <w:i/>
        </w:rPr>
        <w:t>Refer to appendix 2]</w:t>
      </w:r>
    </w:p>
    <w:p w14:paraId="4BB98F17" w14:textId="77777777" w:rsidR="00FB7416" w:rsidRDefault="00D73106" w:rsidP="00952AE4">
      <w:pPr>
        <w:pStyle w:val="Heading1"/>
      </w:pPr>
      <w:bookmarkStart w:id="2" w:name="_Toc137222634"/>
      <w:r>
        <w:t>Conclusion</w:t>
      </w:r>
      <w:bookmarkEnd w:id="2"/>
    </w:p>
    <w:p w14:paraId="28B33E72" w14:textId="6B389283" w:rsidR="00FB7416" w:rsidRDefault="00D73106">
      <w:r>
        <w:t xml:space="preserve">In the conclusion section summarized for the introduction of managing food and beverage operations that are critical aspects of the hospitality industry. Firstly, the presentation features the crucial significance of consumer loyalty in the food and beverage industry. Visitors' eating encounters can essentially influence their general impression of a </w:t>
      </w:r>
      <w:r w:rsidR="00253882">
        <w:t>cordial</w:t>
      </w:r>
      <w:r>
        <w:t xml:space="preserve"> foundation, prompting rehash business, positive surveys, and informal exchange proposals. In that capacity, overseeing the food and beverage industry includes guaranteeing great items, excellent assistance, and making vital encounters for benefactors.</w:t>
      </w:r>
    </w:p>
    <w:p w14:paraId="7F6F7420" w14:textId="5D71EF91" w:rsidR="00FB7416" w:rsidRDefault="00D73106">
      <w:r>
        <w:t xml:space="preserve">Moreover, the presentation stresses the assorted scope of errands and obligations that fall under the umbrella of food and </w:t>
      </w:r>
      <w:r w:rsidR="00253882">
        <w:t>beverages for</w:t>
      </w:r>
      <w:r>
        <w:t xml:space="preserve"> the executives. From menu arranging and valuing to obtaining fixings, overseeing stock, preparing staff, and guaranteeing consistency with wellbeing and security guidelines, this field </w:t>
      </w:r>
      <w:r w:rsidR="00253882">
        <w:t>requires</w:t>
      </w:r>
      <w:r>
        <w:t xml:space="preserve"> a complex range of abilities. Viable administration requires a sharp comprehension of monetary administration, showcasing procedures, HR, and </w:t>
      </w:r>
      <w:r w:rsidR="00253882">
        <w:t>tasks of</w:t>
      </w:r>
      <w:r>
        <w:t xml:space="preserve"> the executives strategies.</w:t>
      </w:r>
    </w:p>
    <w:p w14:paraId="71C6F239" w14:textId="7ED31FEC" w:rsidR="00FB7416" w:rsidRDefault="00D73106">
      <w:r>
        <w:lastRenderedPageBreak/>
        <w:t xml:space="preserve">The presentation additionally highlights the powerful idea of the food and drink industry, which is continually developing to meet changing customer inclinations and industry patterns. Effective chiefs should keep up to date with the most recent culinary advancements, dietary inclinations, and supportable practices. Adjusting to new advances, like </w:t>
      </w:r>
      <w:r w:rsidR="00253882">
        <w:t>web-based</w:t>
      </w:r>
      <w:r>
        <w:t xml:space="preserve"> requesting frameworks or versatile installment choices, is vital for remaining cutthroat in an undeniably computerized scene. In addition, the presentation addresses the meaning of viable correspondence and cooperation inside food and refreshment activities. Clear correspondence channels, both inside among staff and remotely with providers and </w:t>
      </w:r>
      <w:r w:rsidR="00253882">
        <w:t>customers,</w:t>
      </w:r>
      <w:r>
        <w:t xml:space="preserve"> are essential for keeping up with smooth activities and settling any issues that might emerge. Building a strong and roused group is fundamental for conveying predictable quality and surpassing customers assumptions. </w:t>
      </w:r>
    </w:p>
    <w:p w14:paraId="7847659F" w14:textId="0146EEEF" w:rsidR="00FB7416" w:rsidRDefault="00D73106">
      <w:r>
        <w:t xml:space="preserve">In conclusion, the introduction to overseeing food and beverage operations gives an outline of the essential job this field plays in the accommodation business. It features the significance of consumer loyalty, the assorted scope of assignments </w:t>
      </w:r>
      <w:r w:rsidR="00283B14">
        <w:t>including</w:t>
      </w:r>
      <w:r>
        <w:t xml:space="preserve"> the need to adjust to industry patterns, and the meaning of compelling correspondence and collaboration. By getting it and executing the standards examined in this presentation, hopeful chiefs can establish a strong starting point for progress in the dynamic and compensating field of food and beverages operations.</w:t>
      </w:r>
      <w:r>
        <w:br w:type="page"/>
      </w:r>
    </w:p>
    <w:p w14:paraId="66127AC6" w14:textId="77777777" w:rsidR="00FB7416" w:rsidRDefault="00D73106" w:rsidP="00952AE4">
      <w:pPr>
        <w:pStyle w:val="Heading1"/>
        <w:rPr>
          <w:b w:val="0"/>
        </w:rPr>
      </w:pPr>
      <w:bookmarkStart w:id="3" w:name="_m3bqj3ivl1bf" w:colFirst="0" w:colLast="0"/>
      <w:bookmarkStart w:id="4" w:name="_Toc137222635"/>
      <w:bookmarkEnd w:id="3"/>
      <w:r>
        <w:lastRenderedPageBreak/>
        <w:t xml:space="preserve">Reference </w:t>
      </w:r>
      <w:r w:rsidRPr="00952AE4">
        <w:t>List</w:t>
      </w:r>
      <w:bookmarkEnd w:id="4"/>
    </w:p>
    <w:p w14:paraId="6DFCDB10" w14:textId="77777777" w:rsidR="00FB7416" w:rsidRDefault="00D73106">
      <w:pPr>
        <w:spacing w:before="240" w:after="240"/>
        <w:rPr>
          <w:b/>
        </w:rPr>
      </w:pPr>
      <w:r>
        <w:rPr>
          <w:b/>
        </w:rPr>
        <w:t>Journals</w:t>
      </w:r>
    </w:p>
    <w:p w14:paraId="4B6DE2FC" w14:textId="138020D0" w:rsidR="002B435A" w:rsidRPr="00002B20" w:rsidRDefault="002B435A" w:rsidP="002B435A">
      <w:pPr>
        <w:spacing w:before="240" w:after="240"/>
        <w:rPr>
          <w:color w:val="222222"/>
        </w:rPr>
      </w:pPr>
      <w:r w:rsidRPr="001A40F6">
        <w:rPr>
          <w:color w:val="222222"/>
          <w:highlight w:val="white"/>
        </w:rPr>
        <w:t>Dopson, L.</w:t>
      </w:r>
      <w:r w:rsidR="00253882">
        <w:rPr>
          <w:color w:val="222222"/>
          <w:highlight w:val="white"/>
        </w:rPr>
        <w:t xml:space="preserve"> </w:t>
      </w:r>
      <w:r w:rsidR="00253882" w:rsidRPr="00253882">
        <w:rPr>
          <w:i/>
          <w:iCs/>
          <w:color w:val="222222"/>
          <w:highlight w:val="white"/>
        </w:rPr>
        <w:t>et al</w:t>
      </w:r>
      <w:r w:rsidR="00253882">
        <w:rPr>
          <w:color w:val="222222"/>
          <w:highlight w:val="white"/>
        </w:rPr>
        <w:t>.</w:t>
      </w:r>
      <w:r w:rsidRPr="001A40F6">
        <w:rPr>
          <w:color w:val="222222"/>
          <w:highlight w:val="white"/>
        </w:rPr>
        <w:t xml:space="preserve"> </w:t>
      </w:r>
      <w:r w:rsidR="00002B20">
        <w:rPr>
          <w:color w:val="222222"/>
          <w:highlight w:val="white"/>
        </w:rPr>
        <w:t>(</w:t>
      </w:r>
      <w:r w:rsidRPr="001A40F6">
        <w:rPr>
          <w:color w:val="222222"/>
          <w:highlight w:val="white"/>
        </w:rPr>
        <w:t>2019</w:t>
      </w:r>
      <w:r w:rsidR="00002B20">
        <w:rPr>
          <w:color w:val="222222"/>
          <w:highlight w:val="white"/>
        </w:rPr>
        <w:t xml:space="preserve">) </w:t>
      </w:r>
      <w:r w:rsidR="00002B20" w:rsidRPr="00002B20">
        <w:rPr>
          <w:i/>
          <w:iCs/>
          <w:color w:val="222222"/>
          <w:highlight w:val="white"/>
        </w:rPr>
        <w:t>Food</w:t>
      </w:r>
      <w:r w:rsidRPr="001A40F6">
        <w:rPr>
          <w:i/>
        </w:rPr>
        <w:t xml:space="preserve"> and beverage cost control</w:t>
      </w:r>
      <w:r w:rsidRPr="00F112EB">
        <w:t>. John Wiley &amp; Sons.</w:t>
      </w:r>
    </w:p>
    <w:p w14:paraId="51A9BE81" w14:textId="2CEF64EC" w:rsidR="002B435A" w:rsidRPr="001A40F6" w:rsidRDefault="002B435A" w:rsidP="002B435A">
      <w:pPr>
        <w:spacing w:before="240" w:after="240"/>
      </w:pPr>
      <w:proofErr w:type="spellStart"/>
      <w:r w:rsidRPr="001A40F6">
        <w:rPr>
          <w:color w:val="222222"/>
          <w:shd w:val="clear" w:color="auto" w:fill="FFFFFF"/>
        </w:rPr>
        <w:t>Telukdarie</w:t>
      </w:r>
      <w:proofErr w:type="spellEnd"/>
      <w:r w:rsidRPr="001A40F6">
        <w:rPr>
          <w:color w:val="222222"/>
          <w:shd w:val="clear" w:color="auto" w:fill="FFFFFF"/>
        </w:rPr>
        <w:t xml:space="preserve">, A., </w:t>
      </w:r>
      <w:proofErr w:type="spellStart"/>
      <w:r w:rsidRPr="001A40F6">
        <w:rPr>
          <w:color w:val="222222"/>
          <w:shd w:val="clear" w:color="auto" w:fill="FFFFFF"/>
        </w:rPr>
        <w:t>Munsamy</w:t>
      </w:r>
      <w:proofErr w:type="spellEnd"/>
      <w:r w:rsidRPr="001A40F6">
        <w:rPr>
          <w:color w:val="222222"/>
          <w:shd w:val="clear" w:color="auto" w:fill="FFFFFF"/>
        </w:rPr>
        <w:t xml:space="preserve">, M. and Mohlala, P. </w:t>
      </w:r>
      <w:r w:rsidR="00002B20">
        <w:rPr>
          <w:color w:val="222222"/>
          <w:shd w:val="clear" w:color="auto" w:fill="FFFFFF"/>
        </w:rPr>
        <w:t>(</w:t>
      </w:r>
      <w:r w:rsidRPr="001A40F6">
        <w:rPr>
          <w:color w:val="222222"/>
          <w:shd w:val="clear" w:color="auto" w:fill="FFFFFF"/>
        </w:rPr>
        <w:t>2020</w:t>
      </w:r>
      <w:r w:rsidR="00002B20">
        <w:rPr>
          <w:color w:val="222222"/>
          <w:shd w:val="clear" w:color="auto" w:fill="FFFFFF"/>
        </w:rPr>
        <w:t xml:space="preserve">) </w:t>
      </w:r>
      <w:r w:rsidR="00002B20" w:rsidRPr="001A40F6">
        <w:rPr>
          <w:color w:val="222222"/>
          <w:shd w:val="clear" w:color="auto" w:fill="FFFFFF"/>
        </w:rPr>
        <w:t>Analysis</w:t>
      </w:r>
      <w:r w:rsidRPr="001A40F6">
        <w:rPr>
          <w:color w:val="222222"/>
          <w:shd w:val="clear" w:color="auto" w:fill="FFFFFF"/>
        </w:rPr>
        <w:t xml:space="preserve"> of the Impact of COVID-19 on the Food and Beverages Manufacturing Sector. </w:t>
      </w:r>
      <w:r w:rsidRPr="001A40F6">
        <w:rPr>
          <w:i/>
          <w:iCs/>
          <w:color w:val="222222"/>
          <w:shd w:val="clear" w:color="auto" w:fill="FFFFFF"/>
        </w:rPr>
        <w:t>Sustainability</w:t>
      </w:r>
      <w:r w:rsidRPr="001A40F6">
        <w:rPr>
          <w:color w:val="222222"/>
          <w:shd w:val="clear" w:color="auto" w:fill="FFFFFF"/>
        </w:rPr>
        <w:t>, </w:t>
      </w:r>
      <w:r w:rsidRPr="001A40F6">
        <w:rPr>
          <w:i/>
          <w:iCs/>
          <w:color w:val="222222"/>
          <w:shd w:val="clear" w:color="auto" w:fill="FFFFFF"/>
        </w:rPr>
        <w:t>12</w:t>
      </w:r>
      <w:r w:rsidRPr="001A40F6">
        <w:rPr>
          <w:color w:val="222222"/>
          <w:shd w:val="clear" w:color="auto" w:fill="FFFFFF"/>
        </w:rPr>
        <w:t>(22), p.9331.</w:t>
      </w:r>
    </w:p>
    <w:p w14:paraId="77FE3659" w14:textId="7A4CDBCF" w:rsidR="002B435A" w:rsidRPr="001A40F6" w:rsidRDefault="002B435A" w:rsidP="002B435A">
      <w:pPr>
        <w:rPr>
          <w:color w:val="222222"/>
          <w:shd w:val="clear" w:color="auto" w:fill="FFFFFF"/>
        </w:rPr>
      </w:pPr>
      <w:proofErr w:type="spellStart"/>
      <w:r w:rsidRPr="001A40F6">
        <w:rPr>
          <w:color w:val="222222"/>
          <w:shd w:val="clear" w:color="auto" w:fill="FFFFFF"/>
        </w:rPr>
        <w:t>Okumus</w:t>
      </w:r>
      <w:proofErr w:type="spellEnd"/>
      <w:r w:rsidRPr="001A40F6">
        <w:rPr>
          <w:color w:val="222222"/>
          <w:shd w:val="clear" w:color="auto" w:fill="FFFFFF"/>
        </w:rPr>
        <w:t>, B.</w:t>
      </w:r>
      <w:r w:rsidR="00002B20">
        <w:rPr>
          <w:color w:val="222222"/>
          <w:shd w:val="clear" w:color="auto" w:fill="FFFFFF"/>
        </w:rPr>
        <w:t xml:space="preserve"> (</w:t>
      </w:r>
      <w:r w:rsidRPr="001A40F6">
        <w:rPr>
          <w:color w:val="222222"/>
          <w:shd w:val="clear" w:color="auto" w:fill="FFFFFF"/>
        </w:rPr>
        <w:t>2020</w:t>
      </w:r>
      <w:r w:rsidR="00002B20">
        <w:rPr>
          <w:color w:val="222222"/>
          <w:shd w:val="clear" w:color="auto" w:fill="FFFFFF"/>
        </w:rPr>
        <w:t>)</w:t>
      </w:r>
      <w:r w:rsidRPr="001A40F6">
        <w:rPr>
          <w:color w:val="222222"/>
          <w:shd w:val="clear" w:color="auto" w:fill="FFFFFF"/>
        </w:rPr>
        <w:t xml:space="preserve"> How do hotels manage food waste? Evidence from hotels in Orlando, Florida. </w:t>
      </w:r>
      <w:r w:rsidRPr="001A40F6">
        <w:rPr>
          <w:i/>
          <w:iCs/>
          <w:color w:val="222222"/>
          <w:shd w:val="clear" w:color="auto" w:fill="FFFFFF"/>
        </w:rPr>
        <w:t>Journal of Hospitality Marketing &amp; Management</w:t>
      </w:r>
      <w:r w:rsidRPr="001A40F6">
        <w:rPr>
          <w:color w:val="222222"/>
          <w:shd w:val="clear" w:color="auto" w:fill="FFFFFF"/>
        </w:rPr>
        <w:t>, </w:t>
      </w:r>
      <w:r w:rsidRPr="001A40F6">
        <w:rPr>
          <w:i/>
          <w:iCs/>
          <w:color w:val="222222"/>
          <w:shd w:val="clear" w:color="auto" w:fill="FFFFFF"/>
        </w:rPr>
        <w:t>29</w:t>
      </w:r>
      <w:r w:rsidRPr="001A40F6">
        <w:rPr>
          <w:color w:val="222222"/>
          <w:shd w:val="clear" w:color="auto" w:fill="FFFFFF"/>
        </w:rPr>
        <w:t>(3), pp.291-309.</w:t>
      </w:r>
    </w:p>
    <w:p w14:paraId="6E77EC37" w14:textId="11B183B5" w:rsidR="002B435A" w:rsidRPr="001A40F6" w:rsidRDefault="002B435A" w:rsidP="002B435A">
      <w:pPr>
        <w:rPr>
          <w:color w:val="222222"/>
          <w:shd w:val="clear" w:color="auto" w:fill="FFFFFF"/>
        </w:rPr>
      </w:pPr>
      <w:r w:rsidRPr="001A40F6">
        <w:rPr>
          <w:color w:val="222222"/>
          <w:shd w:val="clear" w:color="auto" w:fill="FFFFFF"/>
        </w:rPr>
        <w:t xml:space="preserve">Rawal, Y.S. and Dani, R. </w:t>
      </w:r>
      <w:r w:rsidR="00002B20">
        <w:rPr>
          <w:color w:val="222222"/>
          <w:shd w:val="clear" w:color="auto" w:fill="FFFFFF"/>
        </w:rPr>
        <w:t>(</w:t>
      </w:r>
      <w:r w:rsidRPr="001A40F6">
        <w:rPr>
          <w:color w:val="222222"/>
          <w:shd w:val="clear" w:color="auto" w:fill="FFFFFF"/>
        </w:rPr>
        <w:t>2019</w:t>
      </w:r>
      <w:r w:rsidR="00002B20">
        <w:rPr>
          <w:color w:val="222222"/>
          <w:shd w:val="clear" w:color="auto" w:fill="FFFFFF"/>
        </w:rPr>
        <w:t>)</w:t>
      </w:r>
      <w:r w:rsidRPr="001A40F6">
        <w:rPr>
          <w:color w:val="222222"/>
          <w:shd w:val="clear" w:color="auto" w:fill="FFFFFF"/>
        </w:rPr>
        <w:t xml:space="preserve"> Next generation trends in food and beverage service sector. </w:t>
      </w:r>
      <w:r w:rsidRPr="001A40F6">
        <w:rPr>
          <w:i/>
          <w:iCs/>
          <w:color w:val="222222"/>
          <w:shd w:val="clear" w:color="auto" w:fill="FFFFFF"/>
        </w:rPr>
        <w:t>International Journal of Management, IT and Engineering</w:t>
      </w:r>
      <w:r w:rsidRPr="001A40F6">
        <w:rPr>
          <w:color w:val="222222"/>
          <w:shd w:val="clear" w:color="auto" w:fill="FFFFFF"/>
        </w:rPr>
        <w:t>, </w:t>
      </w:r>
      <w:r w:rsidRPr="001A40F6">
        <w:rPr>
          <w:i/>
          <w:iCs/>
          <w:color w:val="222222"/>
          <w:shd w:val="clear" w:color="auto" w:fill="FFFFFF"/>
        </w:rPr>
        <w:t>7</w:t>
      </w:r>
      <w:r w:rsidRPr="001A40F6">
        <w:rPr>
          <w:color w:val="222222"/>
          <w:shd w:val="clear" w:color="auto" w:fill="FFFFFF"/>
        </w:rPr>
        <w:t>(11), pp.87-92.</w:t>
      </w:r>
    </w:p>
    <w:p w14:paraId="09ADEBCD" w14:textId="43BEDAE6" w:rsidR="002B435A" w:rsidRPr="002B435A" w:rsidRDefault="002B435A" w:rsidP="002B435A">
      <w:pPr>
        <w:rPr>
          <w:shd w:val="clear" w:color="auto" w:fill="FFFFFF"/>
        </w:rPr>
      </w:pPr>
      <w:proofErr w:type="spellStart"/>
      <w:r w:rsidRPr="002B435A">
        <w:rPr>
          <w:shd w:val="clear" w:color="auto" w:fill="FFFFFF"/>
        </w:rPr>
        <w:t>Mahafzah</w:t>
      </w:r>
      <w:proofErr w:type="spellEnd"/>
      <w:r w:rsidRPr="002B435A">
        <w:rPr>
          <w:shd w:val="clear" w:color="auto" w:fill="FFFFFF"/>
        </w:rPr>
        <w:t>, A.G.</w:t>
      </w:r>
      <w:r w:rsidR="00002B20">
        <w:rPr>
          <w:shd w:val="clear" w:color="auto" w:fill="FFFFFF"/>
        </w:rPr>
        <w:t xml:space="preserve"> </w:t>
      </w:r>
      <w:r w:rsidR="00002B20" w:rsidRPr="00002B20">
        <w:rPr>
          <w:i/>
          <w:iCs/>
          <w:shd w:val="clear" w:color="auto" w:fill="FFFFFF"/>
        </w:rPr>
        <w:t>et al</w:t>
      </w:r>
      <w:r w:rsidR="00002B20">
        <w:rPr>
          <w:i/>
          <w:iCs/>
          <w:shd w:val="clear" w:color="auto" w:fill="FFFFFF"/>
        </w:rPr>
        <w:t>.</w:t>
      </w:r>
      <w:r w:rsidRPr="002B435A">
        <w:rPr>
          <w:shd w:val="clear" w:color="auto" w:fill="FFFFFF"/>
        </w:rPr>
        <w:t xml:space="preserve"> </w:t>
      </w:r>
      <w:r w:rsidR="00002B20">
        <w:rPr>
          <w:shd w:val="clear" w:color="auto" w:fill="FFFFFF"/>
        </w:rPr>
        <w:t>(</w:t>
      </w:r>
      <w:r w:rsidRPr="002B435A">
        <w:rPr>
          <w:shd w:val="clear" w:color="auto" w:fill="FFFFFF"/>
        </w:rPr>
        <w:t>2020</w:t>
      </w:r>
      <w:r w:rsidR="00002B20">
        <w:rPr>
          <w:shd w:val="clear" w:color="auto" w:fill="FFFFFF"/>
        </w:rPr>
        <w:t>)</w:t>
      </w:r>
      <w:r w:rsidRPr="002B435A">
        <w:rPr>
          <w:shd w:val="clear" w:color="auto" w:fill="FFFFFF"/>
        </w:rPr>
        <w:t xml:space="preserve"> Impact of customer relationship management on food and beverage service quality: The mediating role of </w:t>
      </w:r>
      <w:r w:rsidR="00253882" w:rsidRPr="002B435A">
        <w:rPr>
          <w:shd w:val="clear" w:color="auto" w:fill="FFFFFF"/>
        </w:rPr>
        <w:t>employee</w:t>
      </w:r>
      <w:r w:rsidRPr="002B435A">
        <w:rPr>
          <w:shd w:val="clear" w:color="auto" w:fill="FFFFFF"/>
        </w:rPr>
        <w:t xml:space="preserve"> satisfaction. </w:t>
      </w:r>
      <w:r w:rsidRPr="002B435A">
        <w:rPr>
          <w:i/>
          <w:iCs/>
          <w:shd w:val="clear" w:color="auto" w:fill="FFFFFF"/>
        </w:rPr>
        <w:t>Humanities &amp; Social Sciences Reviews</w:t>
      </w:r>
      <w:r w:rsidRPr="002B435A">
        <w:rPr>
          <w:shd w:val="clear" w:color="auto" w:fill="FFFFFF"/>
        </w:rPr>
        <w:t>, </w:t>
      </w:r>
      <w:r w:rsidRPr="002B435A">
        <w:rPr>
          <w:i/>
          <w:iCs/>
          <w:shd w:val="clear" w:color="auto" w:fill="FFFFFF"/>
        </w:rPr>
        <w:t>8</w:t>
      </w:r>
      <w:r w:rsidRPr="002B435A">
        <w:rPr>
          <w:shd w:val="clear" w:color="auto" w:fill="FFFFFF"/>
        </w:rPr>
        <w:t>(2), pp.222-230.</w:t>
      </w:r>
    </w:p>
    <w:p w14:paraId="703BC7A6" w14:textId="5F35240B" w:rsidR="002B435A" w:rsidRPr="002B435A" w:rsidRDefault="002B435A" w:rsidP="002B435A">
      <w:pPr>
        <w:rPr>
          <w:shd w:val="clear" w:color="auto" w:fill="FFFFFF"/>
        </w:rPr>
      </w:pPr>
      <w:r w:rsidRPr="002B435A">
        <w:rPr>
          <w:shd w:val="clear" w:color="auto" w:fill="FFFFFF"/>
        </w:rPr>
        <w:t xml:space="preserve">Cousins, J., Foskett, D., Graham, D. and Hollier, A. </w:t>
      </w:r>
      <w:r w:rsidR="00002B20">
        <w:rPr>
          <w:shd w:val="clear" w:color="auto" w:fill="FFFFFF"/>
        </w:rPr>
        <w:t>(</w:t>
      </w:r>
      <w:r w:rsidRPr="002B435A">
        <w:rPr>
          <w:shd w:val="clear" w:color="auto" w:fill="FFFFFF"/>
        </w:rPr>
        <w:t>2019</w:t>
      </w:r>
      <w:r w:rsidR="00002B20">
        <w:rPr>
          <w:shd w:val="clear" w:color="auto" w:fill="FFFFFF"/>
        </w:rPr>
        <w:t>)</w:t>
      </w:r>
      <w:r w:rsidRPr="002B435A">
        <w:rPr>
          <w:shd w:val="clear" w:color="auto" w:fill="FFFFFF"/>
        </w:rPr>
        <w:t>. </w:t>
      </w:r>
      <w:r w:rsidRPr="002B435A">
        <w:rPr>
          <w:i/>
          <w:iCs/>
          <w:shd w:val="clear" w:color="auto" w:fill="FFFFFF"/>
        </w:rPr>
        <w:t xml:space="preserve">Food and beverage management: for the hospitality, </w:t>
      </w:r>
      <w:r w:rsidR="00253882" w:rsidRPr="002B435A">
        <w:rPr>
          <w:i/>
          <w:iCs/>
          <w:shd w:val="clear" w:color="auto" w:fill="FFFFFF"/>
        </w:rPr>
        <w:t>tourism,</w:t>
      </w:r>
      <w:r w:rsidRPr="002B435A">
        <w:rPr>
          <w:i/>
          <w:iCs/>
          <w:shd w:val="clear" w:color="auto" w:fill="FFFFFF"/>
        </w:rPr>
        <w:t xml:space="preserve"> and event industries</w:t>
      </w:r>
      <w:r w:rsidRPr="002B435A">
        <w:rPr>
          <w:shd w:val="clear" w:color="auto" w:fill="FFFFFF"/>
        </w:rPr>
        <w:t>. Goodfellow Publishers Ltd.</w:t>
      </w:r>
    </w:p>
    <w:p w14:paraId="406723A4" w14:textId="3605F39C" w:rsidR="002B435A" w:rsidRPr="002B435A" w:rsidRDefault="002B435A" w:rsidP="002B435A">
      <w:pPr>
        <w:rPr>
          <w:shd w:val="clear" w:color="auto" w:fill="FFFFFF"/>
        </w:rPr>
      </w:pPr>
      <w:proofErr w:type="spellStart"/>
      <w:r w:rsidRPr="002B435A">
        <w:rPr>
          <w:shd w:val="clear" w:color="auto" w:fill="FFFFFF"/>
        </w:rPr>
        <w:t>Mor</w:t>
      </w:r>
      <w:proofErr w:type="spellEnd"/>
      <w:r w:rsidRPr="002B435A">
        <w:rPr>
          <w:shd w:val="clear" w:color="auto" w:fill="FFFFFF"/>
        </w:rPr>
        <w:t>, R.S</w:t>
      </w:r>
      <w:r w:rsidRPr="00002B20">
        <w:rPr>
          <w:i/>
          <w:iCs/>
          <w:shd w:val="clear" w:color="auto" w:fill="FFFFFF"/>
        </w:rPr>
        <w:t>.</w:t>
      </w:r>
      <w:r w:rsidR="00002B20" w:rsidRPr="00002B20">
        <w:rPr>
          <w:i/>
          <w:iCs/>
          <w:shd w:val="clear" w:color="auto" w:fill="FFFFFF"/>
        </w:rPr>
        <w:t xml:space="preserve"> et al</w:t>
      </w:r>
      <w:r w:rsidR="00002B20">
        <w:rPr>
          <w:shd w:val="clear" w:color="auto" w:fill="FFFFFF"/>
        </w:rPr>
        <w:t>.</w:t>
      </w:r>
      <w:r w:rsidRPr="002B435A">
        <w:rPr>
          <w:shd w:val="clear" w:color="auto" w:fill="FFFFFF"/>
        </w:rPr>
        <w:t xml:space="preserve"> </w:t>
      </w:r>
      <w:r w:rsidR="00002B20">
        <w:rPr>
          <w:shd w:val="clear" w:color="auto" w:fill="FFFFFF"/>
        </w:rPr>
        <w:t>(</w:t>
      </w:r>
      <w:r w:rsidRPr="002B435A">
        <w:rPr>
          <w:shd w:val="clear" w:color="auto" w:fill="FFFFFF"/>
        </w:rPr>
        <w:t>2020</w:t>
      </w:r>
      <w:r w:rsidR="00002B20">
        <w:rPr>
          <w:shd w:val="clear" w:color="auto" w:fill="FFFFFF"/>
        </w:rPr>
        <w:t xml:space="preserve">) </w:t>
      </w:r>
      <w:r w:rsidRPr="002B435A">
        <w:rPr>
          <w:shd w:val="clear" w:color="auto" w:fill="FFFFFF"/>
        </w:rPr>
        <w:t>Managing food supply chains post COVID-19: A perspective. </w:t>
      </w:r>
      <w:r w:rsidRPr="002B435A">
        <w:rPr>
          <w:i/>
          <w:iCs/>
          <w:shd w:val="clear" w:color="auto" w:fill="FFFFFF"/>
        </w:rPr>
        <w:t>International Journal of Supply and Operations Management</w:t>
      </w:r>
      <w:r w:rsidRPr="002B435A">
        <w:rPr>
          <w:shd w:val="clear" w:color="auto" w:fill="FFFFFF"/>
        </w:rPr>
        <w:t>, </w:t>
      </w:r>
      <w:r w:rsidRPr="002B435A">
        <w:rPr>
          <w:i/>
          <w:iCs/>
          <w:shd w:val="clear" w:color="auto" w:fill="FFFFFF"/>
        </w:rPr>
        <w:t>7</w:t>
      </w:r>
      <w:r w:rsidRPr="002B435A">
        <w:rPr>
          <w:shd w:val="clear" w:color="auto" w:fill="FFFFFF"/>
        </w:rPr>
        <w:t>(3), pp.295-298.</w:t>
      </w:r>
    </w:p>
    <w:p w14:paraId="4FCF19A0" w14:textId="62997AD4" w:rsidR="002B435A" w:rsidRPr="002B435A" w:rsidRDefault="002B435A" w:rsidP="002B435A">
      <w:pPr>
        <w:rPr>
          <w:shd w:val="clear" w:color="auto" w:fill="FFFFFF"/>
        </w:rPr>
      </w:pPr>
      <w:r w:rsidRPr="002B435A">
        <w:rPr>
          <w:shd w:val="clear" w:color="auto" w:fill="FFFFFF"/>
        </w:rPr>
        <w:t xml:space="preserve">Weber, O. and Saunders‐Hogberg, G. </w:t>
      </w:r>
      <w:r w:rsidR="00002B20">
        <w:rPr>
          <w:shd w:val="clear" w:color="auto" w:fill="FFFFFF"/>
        </w:rPr>
        <w:t>(</w:t>
      </w:r>
      <w:r w:rsidRPr="002B435A">
        <w:rPr>
          <w:shd w:val="clear" w:color="auto" w:fill="FFFFFF"/>
        </w:rPr>
        <w:t>2020</w:t>
      </w:r>
      <w:r w:rsidR="00002B20">
        <w:rPr>
          <w:shd w:val="clear" w:color="auto" w:fill="FFFFFF"/>
        </w:rPr>
        <w:t>)</w:t>
      </w:r>
      <w:r w:rsidRPr="002B435A">
        <w:rPr>
          <w:shd w:val="clear" w:color="auto" w:fill="FFFFFF"/>
        </w:rPr>
        <w:t xml:space="preserve"> Corporate social responsibility, water management, and financial performance in the food and beverage industry. </w:t>
      </w:r>
      <w:r w:rsidRPr="002B435A">
        <w:rPr>
          <w:i/>
          <w:iCs/>
          <w:shd w:val="clear" w:color="auto" w:fill="FFFFFF"/>
        </w:rPr>
        <w:t>Corporate Social Responsibility and Environmental Management</w:t>
      </w:r>
      <w:r w:rsidRPr="002B435A">
        <w:rPr>
          <w:shd w:val="clear" w:color="auto" w:fill="FFFFFF"/>
        </w:rPr>
        <w:t>, </w:t>
      </w:r>
      <w:r w:rsidRPr="002B435A">
        <w:rPr>
          <w:i/>
          <w:iCs/>
          <w:shd w:val="clear" w:color="auto" w:fill="FFFFFF"/>
        </w:rPr>
        <w:t>27</w:t>
      </w:r>
      <w:r w:rsidRPr="002B435A">
        <w:rPr>
          <w:shd w:val="clear" w:color="auto" w:fill="FFFFFF"/>
        </w:rPr>
        <w:t>(4), pp.1937-1946.</w:t>
      </w:r>
    </w:p>
    <w:p w14:paraId="5717012A" w14:textId="68BEB7AC" w:rsidR="002B435A" w:rsidRPr="002B435A" w:rsidRDefault="002B435A" w:rsidP="002B435A">
      <w:pPr>
        <w:rPr>
          <w:shd w:val="clear" w:color="auto" w:fill="FFFFFF"/>
        </w:rPr>
      </w:pPr>
      <w:r w:rsidRPr="002B435A">
        <w:rPr>
          <w:shd w:val="clear" w:color="auto" w:fill="FFFFFF"/>
        </w:rPr>
        <w:t xml:space="preserve">Adams, D., Donovan, J. and Topple, C. </w:t>
      </w:r>
      <w:r w:rsidR="00002B20">
        <w:rPr>
          <w:shd w:val="clear" w:color="auto" w:fill="FFFFFF"/>
        </w:rPr>
        <w:t>(</w:t>
      </w:r>
      <w:r w:rsidRPr="002B435A">
        <w:rPr>
          <w:shd w:val="clear" w:color="auto" w:fill="FFFFFF"/>
        </w:rPr>
        <w:t>2021</w:t>
      </w:r>
      <w:r w:rsidR="00002B20">
        <w:rPr>
          <w:shd w:val="clear" w:color="auto" w:fill="FFFFFF"/>
        </w:rPr>
        <w:t>)</w:t>
      </w:r>
      <w:r w:rsidRPr="002B435A">
        <w:rPr>
          <w:shd w:val="clear" w:color="auto" w:fill="FFFFFF"/>
        </w:rPr>
        <w:t xml:space="preserve"> Achieving sustainability in food manufacturing operations and their supply chains: Key insights from a systematic literature review. </w:t>
      </w:r>
      <w:r w:rsidRPr="002B435A">
        <w:rPr>
          <w:i/>
          <w:iCs/>
          <w:shd w:val="clear" w:color="auto" w:fill="FFFFFF"/>
        </w:rPr>
        <w:t>Sustainable Production and Consumption</w:t>
      </w:r>
      <w:r w:rsidRPr="002B435A">
        <w:rPr>
          <w:shd w:val="clear" w:color="auto" w:fill="FFFFFF"/>
        </w:rPr>
        <w:t>, </w:t>
      </w:r>
      <w:r w:rsidRPr="002B435A">
        <w:rPr>
          <w:i/>
          <w:iCs/>
          <w:shd w:val="clear" w:color="auto" w:fill="FFFFFF"/>
        </w:rPr>
        <w:t>28</w:t>
      </w:r>
      <w:r w:rsidRPr="002B435A">
        <w:rPr>
          <w:shd w:val="clear" w:color="auto" w:fill="FFFFFF"/>
        </w:rPr>
        <w:t>, pp.1491-1499.</w:t>
      </w:r>
    </w:p>
    <w:p w14:paraId="289493A2" w14:textId="7A87B751" w:rsidR="002B435A" w:rsidRPr="002B435A" w:rsidRDefault="002B435A" w:rsidP="002B435A">
      <w:pPr>
        <w:rPr>
          <w:shd w:val="clear" w:color="auto" w:fill="FFFFFF"/>
        </w:rPr>
      </w:pPr>
      <w:r w:rsidRPr="002B435A">
        <w:rPr>
          <w:shd w:val="clear" w:color="auto" w:fill="FFFFFF"/>
        </w:rPr>
        <w:t xml:space="preserve">Abdullah, N.N. and Othman, M.B. </w:t>
      </w:r>
      <w:r w:rsidR="00002B20">
        <w:rPr>
          <w:shd w:val="clear" w:color="auto" w:fill="FFFFFF"/>
        </w:rPr>
        <w:t>(</w:t>
      </w:r>
      <w:r w:rsidRPr="002B435A">
        <w:rPr>
          <w:shd w:val="clear" w:color="auto" w:fill="FFFFFF"/>
        </w:rPr>
        <w:t>2019</w:t>
      </w:r>
      <w:r w:rsidR="00002B20">
        <w:rPr>
          <w:shd w:val="clear" w:color="auto" w:fill="FFFFFF"/>
        </w:rPr>
        <w:t>)</w:t>
      </w:r>
      <w:r w:rsidRPr="002B435A">
        <w:rPr>
          <w:shd w:val="clear" w:color="auto" w:fill="FFFFFF"/>
        </w:rPr>
        <w:t xml:space="preserve"> Examining the effects of intellectual capital on the performance of Malaysian food and beverage small and medium-sized enterprises. </w:t>
      </w:r>
      <w:r w:rsidRPr="002B435A">
        <w:rPr>
          <w:i/>
          <w:iCs/>
          <w:shd w:val="clear" w:color="auto" w:fill="FFFFFF"/>
        </w:rPr>
        <w:t>Technology (</w:t>
      </w:r>
      <w:proofErr w:type="spellStart"/>
      <w:r w:rsidRPr="002B435A">
        <w:rPr>
          <w:i/>
          <w:iCs/>
          <w:shd w:val="clear" w:color="auto" w:fill="FFFFFF"/>
        </w:rPr>
        <w:t>Ijciet</w:t>
      </w:r>
      <w:proofErr w:type="spellEnd"/>
      <w:r w:rsidRPr="002B435A">
        <w:rPr>
          <w:i/>
          <w:iCs/>
          <w:shd w:val="clear" w:color="auto" w:fill="FFFFFF"/>
        </w:rPr>
        <w:t>)</w:t>
      </w:r>
      <w:r w:rsidRPr="002B435A">
        <w:rPr>
          <w:shd w:val="clear" w:color="auto" w:fill="FFFFFF"/>
        </w:rPr>
        <w:t>, </w:t>
      </w:r>
      <w:r w:rsidRPr="002B435A">
        <w:rPr>
          <w:i/>
          <w:iCs/>
          <w:shd w:val="clear" w:color="auto" w:fill="FFFFFF"/>
        </w:rPr>
        <w:t>10</w:t>
      </w:r>
      <w:r w:rsidRPr="002B435A">
        <w:rPr>
          <w:shd w:val="clear" w:color="auto" w:fill="FFFFFF"/>
        </w:rPr>
        <w:t>(2), pp.135-143.</w:t>
      </w:r>
    </w:p>
    <w:p w14:paraId="22FFE005" w14:textId="77777777" w:rsidR="00952AE4" w:rsidRDefault="00952AE4">
      <w:pPr>
        <w:rPr>
          <w:color w:val="222222"/>
          <w:highlight w:val="white"/>
        </w:rPr>
      </w:pPr>
      <w:r>
        <w:rPr>
          <w:color w:val="222222"/>
          <w:highlight w:val="white"/>
        </w:rPr>
        <w:br w:type="page"/>
      </w:r>
    </w:p>
    <w:p w14:paraId="4D41E9FF" w14:textId="77777777" w:rsidR="00FB7416" w:rsidRDefault="00D73106" w:rsidP="00952AE4">
      <w:pPr>
        <w:pStyle w:val="Heading1"/>
      </w:pPr>
      <w:bookmarkStart w:id="5" w:name="_Toc137222636"/>
      <w:r>
        <w:lastRenderedPageBreak/>
        <w:t>Appendices</w:t>
      </w:r>
      <w:bookmarkEnd w:id="5"/>
    </w:p>
    <w:p w14:paraId="74BAAEBB" w14:textId="77777777" w:rsidR="00FB7416" w:rsidRDefault="00D73106">
      <w:r>
        <w:rPr>
          <w:b/>
        </w:rPr>
        <w:t>Appendix 1:</w:t>
      </w:r>
      <w:r>
        <w:t xml:space="preserve"> </w:t>
      </w:r>
      <w:r>
        <w:rPr>
          <w:b/>
        </w:rPr>
        <w:t>Records of booking</w:t>
      </w:r>
    </w:p>
    <w:p w14:paraId="38CE26A2" w14:textId="77777777" w:rsidR="00FB7416" w:rsidRDefault="00D73106">
      <w:pPr>
        <w:rPr>
          <w:b/>
        </w:rPr>
      </w:pPr>
      <w:r>
        <w:rPr>
          <w:b/>
          <w:noProof/>
          <w:sz w:val="28"/>
          <w:szCs w:val="28"/>
          <w:lang w:val="en-US"/>
        </w:rPr>
        <w:drawing>
          <wp:inline distT="114300" distB="114300" distL="114300" distR="114300" wp14:anchorId="58C8920F" wp14:editId="219822FE">
            <wp:extent cx="5943600" cy="10160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
                    <a:srcRect/>
                    <a:stretch>
                      <a:fillRect/>
                    </a:stretch>
                  </pic:blipFill>
                  <pic:spPr>
                    <a:xfrm>
                      <a:off x="0" y="0"/>
                      <a:ext cx="5943600" cy="1016000"/>
                    </a:xfrm>
                    <a:prstGeom prst="rect">
                      <a:avLst/>
                    </a:prstGeom>
                    <a:ln/>
                  </pic:spPr>
                </pic:pic>
              </a:graphicData>
            </a:graphic>
          </wp:inline>
        </w:drawing>
      </w:r>
    </w:p>
    <w:p w14:paraId="57ACE181" w14:textId="77777777" w:rsidR="00FB7416" w:rsidRDefault="00D73106">
      <w:pPr>
        <w:jc w:val="center"/>
      </w:pPr>
      <w:r>
        <w:t>(Source: Self-Created)</w:t>
      </w:r>
    </w:p>
    <w:p w14:paraId="1E53E4BD" w14:textId="77777777" w:rsidR="00FB7416" w:rsidRDefault="00FB7416">
      <w:pPr>
        <w:jc w:val="center"/>
        <w:rPr>
          <w:b/>
        </w:rPr>
      </w:pPr>
    </w:p>
    <w:p w14:paraId="137AD618" w14:textId="77777777" w:rsidR="00FB7416" w:rsidRDefault="00FB7416">
      <w:pPr>
        <w:jc w:val="center"/>
        <w:rPr>
          <w:b/>
        </w:rPr>
      </w:pPr>
    </w:p>
    <w:p w14:paraId="6A74095E" w14:textId="77777777" w:rsidR="00FB7416" w:rsidRDefault="00FB7416">
      <w:pPr>
        <w:jc w:val="center"/>
        <w:rPr>
          <w:b/>
        </w:rPr>
      </w:pPr>
    </w:p>
    <w:p w14:paraId="00985343" w14:textId="77777777" w:rsidR="00FB7416" w:rsidRDefault="00FB7416">
      <w:pPr>
        <w:jc w:val="center"/>
        <w:rPr>
          <w:b/>
        </w:rPr>
      </w:pPr>
    </w:p>
    <w:p w14:paraId="6EBEEB55" w14:textId="77777777" w:rsidR="00FB7416" w:rsidRDefault="00FB7416">
      <w:pPr>
        <w:jc w:val="center"/>
        <w:rPr>
          <w:b/>
        </w:rPr>
      </w:pPr>
    </w:p>
    <w:p w14:paraId="2D570C59" w14:textId="77777777" w:rsidR="00FB7416" w:rsidRDefault="00FB7416">
      <w:pPr>
        <w:jc w:val="center"/>
        <w:rPr>
          <w:b/>
        </w:rPr>
      </w:pPr>
    </w:p>
    <w:p w14:paraId="7F818A12" w14:textId="77777777" w:rsidR="00FB7416" w:rsidRDefault="00FB7416">
      <w:pPr>
        <w:jc w:val="center"/>
        <w:rPr>
          <w:b/>
        </w:rPr>
      </w:pPr>
    </w:p>
    <w:p w14:paraId="279AC947" w14:textId="77777777" w:rsidR="00FB7416" w:rsidRDefault="00FB7416">
      <w:pPr>
        <w:jc w:val="center"/>
        <w:rPr>
          <w:b/>
        </w:rPr>
      </w:pPr>
    </w:p>
    <w:p w14:paraId="782882A1" w14:textId="77777777" w:rsidR="00FB7416" w:rsidRDefault="00FB7416">
      <w:pPr>
        <w:jc w:val="center"/>
        <w:rPr>
          <w:b/>
        </w:rPr>
      </w:pPr>
    </w:p>
    <w:p w14:paraId="45285286" w14:textId="77777777" w:rsidR="00FB7416" w:rsidRDefault="00FB7416">
      <w:pPr>
        <w:jc w:val="center"/>
        <w:rPr>
          <w:b/>
        </w:rPr>
      </w:pPr>
    </w:p>
    <w:p w14:paraId="36F2B838" w14:textId="77777777" w:rsidR="00FB7416" w:rsidRDefault="00FB7416">
      <w:pPr>
        <w:jc w:val="center"/>
        <w:rPr>
          <w:b/>
        </w:rPr>
      </w:pPr>
    </w:p>
    <w:p w14:paraId="18921882" w14:textId="77777777" w:rsidR="00FB7416" w:rsidRDefault="00FB7416">
      <w:pPr>
        <w:jc w:val="center"/>
        <w:rPr>
          <w:b/>
        </w:rPr>
      </w:pPr>
    </w:p>
    <w:p w14:paraId="37C2F6BD" w14:textId="77777777" w:rsidR="00FB7416" w:rsidRDefault="00FB7416">
      <w:pPr>
        <w:jc w:val="center"/>
        <w:rPr>
          <w:b/>
        </w:rPr>
      </w:pPr>
    </w:p>
    <w:p w14:paraId="4D807D63" w14:textId="77777777" w:rsidR="00FB7416" w:rsidRDefault="00FB7416">
      <w:pPr>
        <w:jc w:val="center"/>
        <w:rPr>
          <w:b/>
        </w:rPr>
      </w:pPr>
    </w:p>
    <w:p w14:paraId="555718CE" w14:textId="77777777" w:rsidR="00FB7416" w:rsidRDefault="00FB7416">
      <w:pPr>
        <w:jc w:val="center"/>
        <w:rPr>
          <w:b/>
        </w:rPr>
      </w:pPr>
    </w:p>
    <w:p w14:paraId="095F6883" w14:textId="77777777" w:rsidR="00FB7416" w:rsidRDefault="00FB7416">
      <w:pPr>
        <w:jc w:val="center"/>
        <w:rPr>
          <w:b/>
        </w:rPr>
      </w:pPr>
    </w:p>
    <w:p w14:paraId="2C391C9E" w14:textId="77777777" w:rsidR="00FB7416" w:rsidRDefault="00D73106">
      <w:pPr>
        <w:jc w:val="center"/>
        <w:rPr>
          <w:b/>
        </w:rPr>
      </w:pPr>
      <w:r>
        <w:br w:type="page"/>
      </w:r>
    </w:p>
    <w:p w14:paraId="260BA7A0" w14:textId="77777777" w:rsidR="00FB7416" w:rsidRDefault="00D73106">
      <w:pPr>
        <w:rPr>
          <w:b/>
        </w:rPr>
      </w:pPr>
      <w:r>
        <w:rPr>
          <w:b/>
        </w:rPr>
        <w:lastRenderedPageBreak/>
        <w:t>Appendix 2: Records of Guests</w:t>
      </w:r>
    </w:p>
    <w:p w14:paraId="282A70E1" w14:textId="77777777" w:rsidR="00FB7416" w:rsidRDefault="00D73106">
      <w:pPr>
        <w:jc w:val="center"/>
        <w:rPr>
          <w:b/>
        </w:rPr>
      </w:pPr>
      <w:r>
        <w:rPr>
          <w:noProof/>
          <w:lang w:val="en-US"/>
        </w:rPr>
        <w:drawing>
          <wp:inline distT="114300" distB="114300" distL="114300" distR="114300" wp14:anchorId="64832012" wp14:editId="15723C6A">
            <wp:extent cx="3933825" cy="1285875"/>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
                    <a:srcRect/>
                    <a:stretch>
                      <a:fillRect/>
                    </a:stretch>
                  </pic:blipFill>
                  <pic:spPr>
                    <a:xfrm>
                      <a:off x="0" y="0"/>
                      <a:ext cx="3933825" cy="1285875"/>
                    </a:xfrm>
                    <a:prstGeom prst="rect">
                      <a:avLst/>
                    </a:prstGeom>
                    <a:ln/>
                  </pic:spPr>
                </pic:pic>
              </a:graphicData>
            </a:graphic>
          </wp:inline>
        </w:drawing>
      </w:r>
    </w:p>
    <w:p w14:paraId="7F3933B6" w14:textId="2E40130D" w:rsidR="00FB7416" w:rsidRDefault="00D73106">
      <w:pPr>
        <w:jc w:val="center"/>
      </w:pPr>
      <w:r>
        <w:t>(Source: Self-Created)</w:t>
      </w:r>
    </w:p>
    <w:sectPr w:rsidR="00FB7416" w:rsidSect="00D7310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416"/>
    <w:rsid w:val="00002B20"/>
    <w:rsid w:val="00253882"/>
    <w:rsid w:val="00283B14"/>
    <w:rsid w:val="002B435A"/>
    <w:rsid w:val="006A3295"/>
    <w:rsid w:val="007862AA"/>
    <w:rsid w:val="00952AE4"/>
    <w:rsid w:val="00AD538C"/>
    <w:rsid w:val="00B101AD"/>
    <w:rsid w:val="00CE5BD1"/>
    <w:rsid w:val="00D73106"/>
    <w:rsid w:val="00D94FFC"/>
    <w:rsid w:val="00DF7E9B"/>
    <w:rsid w:val="00F81349"/>
    <w:rsid w:val="00FB74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886A3"/>
  <w15:docId w15:val="{E03022F4-BBFB-42AE-AB0B-F50E9E220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952AE4"/>
    <w:pPr>
      <w:keepNext/>
      <w:keepLines/>
      <w:spacing w:before="400" w:after="120"/>
      <w:outlineLvl w:val="0"/>
    </w:pPr>
    <w:rPr>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952AE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52AE4"/>
    <w:pPr>
      <w:spacing w:after="100"/>
    </w:pPr>
  </w:style>
  <w:style w:type="character" w:styleId="Hyperlink">
    <w:name w:val="Hyperlink"/>
    <w:basedOn w:val="DefaultParagraphFont"/>
    <w:uiPriority w:val="99"/>
    <w:unhideWhenUsed/>
    <w:rsid w:val="00952AE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688A2-87EA-466B-B386-B96E32D0E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2463</TotalTime>
  <Pages>9</Pages>
  <Words>1577</Words>
  <Characters>8995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Moshfique Chowdhury</dc:creator>
  <cp:lastModifiedBy>Moshfique Khaled Chowdhury (2017480)</cp:lastModifiedBy>
  <cp:revision>12</cp:revision>
  <dcterms:created xsi:type="dcterms:W3CDTF">2023-06-12T00:21:00Z</dcterms:created>
  <dcterms:modified xsi:type="dcterms:W3CDTF">2023-06-12T15:45:00Z</dcterms:modified>
</cp:coreProperties>
</file>