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Ind w:w="-72" w:type="dxa"/>
        <w:tblLook w:val="04A0" w:firstRow="1" w:lastRow="0" w:firstColumn="1" w:lastColumn="0" w:noHBand="0" w:noVBand="1"/>
      </w:tblPr>
      <w:tblGrid>
        <w:gridCol w:w="2818"/>
        <w:gridCol w:w="2818"/>
        <w:gridCol w:w="2819"/>
      </w:tblGrid>
      <w:tr w:rsidR="00E833A9" w:rsidRPr="00871C59" w14:paraId="75A38C2A" w14:textId="77777777">
        <w:trPr>
          <w:trHeight w:val="1255"/>
        </w:trPr>
        <w:tc>
          <w:tcPr>
            <w:tcW w:w="2818" w:type="dxa"/>
            <w:vAlign w:val="center"/>
            <w:hideMark/>
          </w:tcPr>
          <w:p w14:paraId="3DFE45F2" w14:textId="2FB84235" w:rsidR="00E833A9" w:rsidRPr="00871C59" w:rsidRDefault="00E833A9" w:rsidP="00E833A9">
            <w:pPr>
              <w:rPr>
                <w:rFonts w:asciiTheme="majorBidi" w:hAnsiTheme="majorBidi" w:cstheme="majorBidi"/>
              </w:rPr>
            </w:pPr>
            <w:bookmarkStart w:id="0" w:name="_Hlk211369701"/>
            <w:r w:rsidRPr="00871C59">
              <w:rPr>
                <w:rFonts w:asciiTheme="majorBidi" w:hAnsiTheme="majorBidi" w:cstheme="majorBidi"/>
                <w:noProof/>
              </w:rPr>
              <w:drawing>
                <wp:inline distT="0" distB="0" distL="0" distR="0" wp14:anchorId="7F781D05" wp14:editId="3EB228E8">
                  <wp:extent cx="1377655" cy="446918"/>
                  <wp:effectExtent l="0" t="0" r="0" b="0"/>
                  <wp:docPr id="1349486370"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89330" cy="450705"/>
                          </a:xfrm>
                          <a:prstGeom prst="rect">
                            <a:avLst/>
                          </a:prstGeom>
                          <a:noFill/>
                          <a:ln>
                            <a:noFill/>
                          </a:ln>
                        </pic:spPr>
                      </pic:pic>
                    </a:graphicData>
                  </a:graphic>
                </wp:inline>
              </w:drawing>
            </w:r>
          </w:p>
        </w:tc>
        <w:tc>
          <w:tcPr>
            <w:tcW w:w="2818" w:type="dxa"/>
            <w:vAlign w:val="center"/>
          </w:tcPr>
          <w:p w14:paraId="5ECE3BF0" w14:textId="77777777" w:rsidR="00E833A9" w:rsidRPr="00871C59" w:rsidRDefault="00E833A9" w:rsidP="00E833A9">
            <w:pPr>
              <w:rPr>
                <w:rFonts w:asciiTheme="majorBidi" w:hAnsiTheme="majorBidi" w:cstheme="majorBidi"/>
              </w:rPr>
            </w:pPr>
          </w:p>
        </w:tc>
        <w:tc>
          <w:tcPr>
            <w:tcW w:w="2819" w:type="dxa"/>
            <w:vAlign w:val="center"/>
          </w:tcPr>
          <w:p w14:paraId="28DE5D07" w14:textId="77777777" w:rsidR="00E833A9" w:rsidRPr="00871C59" w:rsidRDefault="00E833A9" w:rsidP="00E833A9">
            <w:pPr>
              <w:rPr>
                <w:rFonts w:asciiTheme="majorBidi" w:hAnsiTheme="majorBidi" w:cstheme="majorBidi"/>
              </w:rPr>
            </w:pPr>
          </w:p>
        </w:tc>
      </w:tr>
    </w:tbl>
    <w:p w14:paraId="1B0EF937" w14:textId="3798E7BB" w:rsidR="00E833A9" w:rsidRPr="00871C59" w:rsidRDefault="00E833A9" w:rsidP="00E833A9">
      <w:pPr>
        <w:rPr>
          <w:rFonts w:asciiTheme="majorBidi" w:hAnsiTheme="majorBidi" w:cstheme="majorBidi"/>
        </w:rPr>
      </w:pPr>
      <w:r w:rsidRPr="00871C59">
        <w:rPr>
          <w:rFonts w:asciiTheme="majorBidi" w:hAnsiTheme="majorBidi" w:cstheme="majorBidi"/>
        </w:rPr>
        <w:t>Institute of Education and Humanities</w:t>
      </w:r>
    </w:p>
    <w:p w14:paraId="17B55497" w14:textId="4D685BDC" w:rsidR="00E833A9" w:rsidRPr="00871C59" w:rsidRDefault="00E833A9" w:rsidP="00871C59">
      <w:pPr>
        <w:rPr>
          <w:rFonts w:asciiTheme="majorBidi" w:hAnsiTheme="majorBidi" w:cstheme="majorBidi"/>
        </w:rPr>
      </w:pPr>
      <w:r w:rsidRPr="00871C59">
        <w:rPr>
          <w:rFonts w:asciiTheme="majorBidi" w:hAnsiTheme="majorBidi" w:cstheme="majorBidi"/>
        </w:rPr>
        <w:t>MA Dissertation Approval Form</w:t>
      </w:r>
    </w:p>
    <w:p w14:paraId="227ADC14" w14:textId="77777777" w:rsidR="00E833A9" w:rsidRPr="00871C59" w:rsidRDefault="00E833A9" w:rsidP="00E833A9">
      <w:pPr>
        <w:rPr>
          <w:rFonts w:asciiTheme="majorBidi" w:hAnsiTheme="majorBidi" w:cstheme="majorBid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88"/>
        <w:gridCol w:w="6768"/>
      </w:tblGrid>
      <w:tr w:rsidR="00E833A9" w:rsidRPr="00871C59" w14:paraId="2C332F8B" w14:textId="77777777">
        <w:tc>
          <w:tcPr>
            <w:tcW w:w="2088" w:type="dxa"/>
            <w:tcBorders>
              <w:top w:val="single" w:sz="4" w:space="0" w:color="auto"/>
              <w:left w:val="single" w:sz="4" w:space="0" w:color="auto"/>
              <w:bottom w:val="single" w:sz="4" w:space="0" w:color="auto"/>
              <w:right w:val="single" w:sz="4" w:space="0" w:color="auto"/>
            </w:tcBorders>
            <w:vAlign w:val="center"/>
            <w:hideMark/>
          </w:tcPr>
          <w:p w14:paraId="5E59C015" w14:textId="7FFEBE7B" w:rsidR="00E833A9" w:rsidRPr="00871C59" w:rsidRDefault="00E833A9" w:rsidP="00E833A9">
            <w:pPr>
              <w:rPr>
                <w:rFonts w:asciiTheme="majorBidi" w:hAnsiTheme="majorBidi" w:cstheme="majorBidi"/>
              </w:rPr>
            </w:pPr>
            <w:r w:rsidRPr="00871C59">
              <w:rPr>
                <w:rFonts w:asciiTheme="majorBidi" w:hAnsiTheme="majorBidi" w:cstheme="majorBidi"/>
              </w:rPr>
              <w:t>Student Name</w:t>
            </w:r>
          </w:p>
        </w:tc>
        <w:tc>
          <w:tcPr>
            <w:tcW w:w="6768" w:type="dxa"/>
            <w:tcBorders>
              <w:top w:val="single" w:sz="4" w:space="0" w:color="auto"/>
              <w:left w:val="single" w:sz="4" w:space="0" w:color="auto"/>
              <w:bottom w:val="single" w:sz="4" w:space="0" w:color="auto"/>
              <w:right w:val="single" w:sz="4" w:space="0" w:color="auto"/>
            </w:tcBorders>
          </w:tcPr>
          <w:p w14:paraId="342AD725" w14:textId="1FD19437" w:rsidR="00E833A9" w:rsidRPr="00871C59" w:rsidRDefault="00C1610A" w:rsidP="00E833A9">
            <w:pPr>
              <w:rPr>
                <w:rFonts w:asciiTheme="majorBidi" w:hAnsiTheme="majorBidi" w:cstheme="majorBidi"/>
              </w:rPr>
            </w:pPr>
            <w:r w:rsidRPr="00871C59">
              <w:rPr>
                <w:rFonts w:asciiTheme="majorBidi" w:hAnsiTheme="majorBidi" w:cstheme="majorBidi"/>
              </w:rPr>
              <w:t>Kyle T. Cobb, Jr.</w:t>
            </w:r>
          </w:p>
          <w:p w14:paraId="6A8C8765" w14:textId="77777777" w:rsidR="00E833A9" w:rsidRPr="00871C59" w:rsidRDefault="00E833A9" w:rsidP="00E833A9">
            <w:pPr>
              <w:rPr>
                <w:rFonts w:asciiTheme="majorBidi" w:hAnsiTheme="majorBidi" w:cstheme="majorBidi"/>
              </w:rPr>
            </w:pPr>
          </w:p>
        </w:tc>
      </w:tr>
      <w:tr w:rsidR="00E833A9" w:rsidRPr="00871C59" w14:paraId="06866BC7" w14:textId="77777777">
        <w:tc>
          <w:tcPr>
            <w:tcW w:w="2088" w:type="dxa"/>
            <w:tcBorders>
              <w:top w:val="single" w:sz="4" w:space="0" w:color="auto"/>
              <w:left w:val="single" w:sz="4" w:space="0" w:color="auto"/>
              <w:bottom w:val="single" w:sz="4" w:space="0" w:color="auto"/>
              <w:right w:val="single" w:sz="4" w:space="0" w:color="auto"/>
            </w:tcBorders>
            <w:vAlign w:val="center"/>
            <w:hideMark/>
          </w:tcPr>
          <w:p w14:paraId="42B3B905" w14:textId="6ADE74CF" w:rsidR="00E833A9" w:rsidRPr="00871C59" w:rsidRDefault="00E833A9" w:rsidP="00E833A9">
            <w:pPr>
              <w:rPr>
                <w:rFonts w:asciiTheme="majorBidi" w:hAnsiTheme="majorBidi" w:cstheme="majorBidi"/>
              </w:rPr>
            </w:pPr>
            <w:r w:rsidRPr="00871C59">
              <w:rPr>
                <w:rFonts w:asciiTheme="majorBidi" w:hAnsiTheme="majorBidi" w:cstheme="majorBidi"/>
              </w:rPr>
              <w:t>Degree Scheme</w:t>
            </w:r>
          </w:p>
        </w:tc>
        <w:tc>
          <w:tcPr>
            <w:tcW w:w="6768" w:type="dxa"/>
            <w:tcBorders>
              <w:top w:val="single" w:sz="4" w:space="0" w:color="auto"/>
              <w:left w:val="single" w:sz="4" w:space="0" w:color="auto"/>
              <w:bottom w:val="single" w:sz="4" w:space="0" w:color="auto"/>
              <w:right w:val="single" w:sz="4" w:space="0" w:color="auto"/>
            </w:tcBorders>
          </w:tcPr>
          <w:p w14:paraId="03CDC046" w14:textId="276D890A" w:rsidR="00E833A9" w:rsidRPr="00871C59" w:rsidRDefault="005C4299" w:rsidP="00E833A9">
            <w:pPr>
              <w:rPr>
                <w:rFonts w:asciiTheme="majorBidi" w:hAnsiTheme="majorBidi" w:cstheme="majorBidi"/>
              </w:rPr>
            </w:pPr>
            <w:r w:rsidRPr="00871C59">
              <w:rPr>
                <w:rFonts w:asciiTheme="majorBidi" w:hAnsiTheme="majorBidi" w:cstheme="majorBidi"/>
              </w:rPr>
              <w:t>Masters in Ancient Religions</w:t>
            </w:r>
          </w:p>
          <w:p w14:paraId="0755ED8A" w14:textId="77777777" w:rsidR="00E833A9" w:rsidRPr="00871C59" w:rsidRDefault="00E833A9" w:rsidP="00E833A9">
            <w:pPr>
              <w:rPr>
                <w:rFonts w:asciiTheme="majorBidi" w:hAnsiTheme="majorBidi" w:cstheme="majorBidi"/>
              </w:rPr>
            </w:pPr>
          </w:p>
        </w:tc>
      </w:tr>
      <w:tr w:rsidR="00E833A9" w:rsidRPr="00871C59" w14:paraId="308F78F1" w14:textId="77777777">
        <w:tc>
          <w:tcPr>
            <w:tcW w:w="2088" w:type="dxa"/>
            <w:tcBorders>
              <w:top w:val="single" w:sz="4" w:space="0" w:color="auto"/>
              <w:left w:val="single" w:sz="4" w:space="0" w:color="auto"/>
              <w:bottom w:val="single" w:sz="4" w:space="0" w:color="auto"/>
              <w:right w:val="single" w:sz="4" w:space="0" w:color="auto"/>
            </w:tcBorders>
            <w:vAlign w:val="center"/>
            <w:hideMark/>
          </w:tcPr>
          <w:p w14:paraId="6DE15DF3" w14:textId="73341A6A" w:rsidR="00E833A9" w:rsidRPr="00871C59" w:rsidRDefault="00E833A9" w:rsidP="00E833A9">
            <w:pPr>
              <w:rPr>
                <w:rFonts w:asciiTheme="majorBidi" w:hAnsiTheme="majorBidi" w:cstheme="majorBidi"/>
              </w:rPr>
            </w:pPr>
            <w:r w:rsidRPr="00871C59">
              <w:rPr>
                <w:rFonts w:asciiTheme="majorBidi" w:hAnsiTheme="majorBidi" w:cstheme="majorBidi"/>
              </w:rPr>
              <w:t>Start date</w:t>
            </w:r>
          </w:p>
        </w:tc>
        <w:tc>
          <w:tcPr>
            <w:tcW w:w="6768" w:type="dxa"/>
            <w:tcBorders>
              <w:top w:val="single" w:sz="4" w:space="0" w:color="auto"/>
              <w:left w:val="single" w:sz="4" w:space="0" w:color="auto"/>
              <w:bottom w:val="single" w:sz="4" w:space="0" w:color="auto"/>
              <w:right w:val="single" w:sz="4" w:space="0" w:color="auto"/>
            </w:tcBorders>
          </w:tcPr>
          <w:p w14:paraId="79DE1701" w14:textId="77777777" w:rsidR="00E833A9" w:rsidRPr="00871C59" w:rsidRDefault="00E833A9" w:rsidP="00E833A9">
            <w:pPr>
              <w:rPr>
                <w:rFonts w:asciiTheme="majorBidi" w:hAnsiTheme="majorBidi" w:cstheme="majorBidi"/>
              </w:rPr>
            </w:pPr>
          </w:p>
          <w:p w14:paraId="58257893" w14:textId="77777777" w:rsidR="00E833A9" w:rsidRPr="00871C59" w:rsidRDefault="00E833A9" w:rsidP="00E833A9">
            <w:pPr>
              <w:rPr>
                <w:rFonts w:asciiTheme="majorBidi" w:hAnsiTheme="majorBidi" w:cstheme="majorBidi"/>
              </w:rPr>
            </w:pPr>
          </w:p>
        </w:tc>
      </w:tr>
    </w:tbl>
    <w:p w14:paraId="0B1F91B7" w14:textId="77777777" w:rsidR="00E833A9" w:rsidRPr="00871C59" w:rsidRDefault="00E833A9" w:rsidP="00E833A9">
      <w:pPr>
        <w:rPr>
          <w:rFonts w:asciiTheme="majorBidi" w:hAnsiTheme="majorBidi" w:cstheme="majorBidi"/>
        </w:rPr>
      </w:pPr>
    </w:p>
    <w:p w14:paraId="289BC900" w14:textId="6A566D97" w:rsidR="00E833A9" w:rsidRPr="00871C59" w:rsidRDefault="00E833A9" w:rsidP="00E833A9">
      <w:pPr>
        <w:rPr>
          <w:rFonts w:asciiTheme="majorBidi" w:hAnsiTheme="majorBidi" w:cstheme="majorBidi"/>
        </w:rPr>
      </w:pPr>
      <w:r w:rsidRPr="00871C59">
        <w:rPr>
          <w:rFonts w:asciiTheme="majorBidi" w:hAnsiTheme="majorBidi" w:cstheme="majorBidi"/>
        </w:rPr>
        <w:t>I have completed</w:t>
      </w:r>
      <w:r w:rsidR="004F598A" w:rsidRPr="00871C59">
        <w:rPr>
          <w:rFonts w:asciiTheme="majorBidi" w:hAnsiTheme="majorBidi" w:cstheme="majorBidi"/>
        </w:rPr>
        <w:t xml:space="preserve"> </w:t>
      </w:r>
      <w:r w:rsidRPr="00871C59">
        <w:rPr>
          <w:rFonts w:asciiTheme="majorBidi" w:hAnsiTheme="majorBidi" w:cstheme="majorBidi"/>
        </w:rPr>
        <w:t xml:space="preserve"> Part 1 of my degree.</w:t>
      </w:r>
    </w:p>
    <w:p w14:paraId="2A399128" w14:textId="77777777" w:rsidR="00E833A9" w:rsidRPr="00871C59" w:rsidRDefault="00E833A9" w:rsidP="00E833A9">
      <w:pPr>
        <w:rPr>
          <w:rFonts w:asciiTheme="majorBidi" w:hAnsiTheme="majorBidi" w:cstheme="majorBid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E833A9" w:rsidRPr="00871C59" w14:paraId="0B035678" w14:textId="77777777">
        <w:tc>
          <w:tcPr>
            <w:tcW w:w="8856" w:type="dxa"/>
            <w:tcBorders>
              <w:top w:val="single" w:sz="4" w:space="0" w:color="auto"/>
              <w:left w:val="single" w:sz="4" w:space="0" w:color="auto"/>
              <w:bottom w:val="single" w:sz="4" w:space="0" w:color="auto"/>
              <w:right w:val="single" w:sz="4" w:space="0" w:color="auto"/>
            </w:tcBorders>
          </w:tcPr>
          <w:p w14:paraId="21D38082" w14:textId="77777777" w:rsidR="00C1610A" w:rsidRPr="00871C59" w:rsidRDefault="00E833A9" w:rsidP="00C1610A">
            <w:pPr>
              <w:rPr>
                <w:rFonts w:asciiTheme="majorBidi" w:hAnsiTheme="majorBidi" w:cstheme="majorBidi"/>
              </w:rPr>
            </w:pPr>
            <w:r w:rsidRPr="00871C59">
              <w:rPr>
                <w:rFonts w:asciiTheme="majorBidi" w:hAnsiTheme="majorBidi" w:cstheme="majorBidi"/>
              </w:rPr>
              <w:t>Title of Dissertation:</w:t>
            </w:r>
            <w:r w:rsidR="00C1610A" w:rsidRPr="00871C59">
              <w:rPr>
                <w:rFonts w:asciiTheme="majorBidi" w:hAnsiTheme="majorBidi" w:cstheme="majorBidi"/>
              </w:rPr>
              <w:t xml:space="preserve"> </w:t>
            </w:r>
          </w:p>
          <w:p w14:paraId="61E8DB22" w14:textId="4F2DD7FE" w:rsidR="00C1610A" w:rsidRPr="00871C59" w:rsidRDefault="004F598A" w:rsidP="00C1610A">
            <w:pPr>
              <w:rPr>
                <w:rFonts w:asciiTheme="majorBidi" w:hAnsiTheme="majorBidi" w:cstheme="majorBidi"/>
                <w:b/>
                <w:bCs/>
              </w:rPr>
            </w:pPr>
            <w:bookmarkStart w:id="1" w:name="_Hlk211376047"/>
            <w:r w:rsidRPr="00871C59">
              <w:rPr>
                <w:rFonts w:asciiTheme="majorBidi" w:hAnsiTheme="majorBidi" w:cstheme="majorBidi"/>
                <w:b/>
                <w:bCs/>
              </w:rPr>
              <w:t>Inanna</w:t>
            </w:r>
            <w:r w:rsidR="00B5298F" w:rsidRPr="00871C59">
              <w:rPr>
                <w:rFonts w:asciiTheme="majorBidi" w:hAnsiTheme="majorBidi" w:cstheme="majorBidi"/>
                <w:b/>
                <w:bCs/>
              </w:rPr>
              <w:t xml:space="preserve">, </w:t>
            </w:r>
            <w:r w:rsidRPr="00871C59">
              <w:rPr>
                <w:rFonts w:asciiTheme="majorBidi" w:hAnsiTheme="majorBidi" w:cstheme="majorBidi"/>
                <w:b/>
                <w:bCs/>
              </w:rPr>
              <w:t xml:space="preserve">archetypical goddess of </w:t>
            </w:r>
            <w:r w:rsidR="00C1610A" w:rsidRPr="00871C59">
              <w:rPr>
                <w:rFonts w:asciiTheme="majorBidi" w:hAnsiTheme="majorBidi" w:cstheme="majorBidi"/>
                <w:b/>
                <w:bCs/>
              </w:rPr>
              <w:t xml:space="preserve">Power and </w:t>
            </w:r>
            <w:r w:rsidRPr="00871C59">
              <w:rPr>
                <w:rFonts w:asciiTheme="majorBidi" w:hAnsiTheme="majorBidi" w:cstheme="majorBidi"/>
                <w:b/>
                <w:bCs/>
              </w:rPr>
              <w:t xml:space="preserve">of </w:t>
            </w:r>
            <w:r w:rsidR="00C1610A" w:rsidRPr="00871C59">
              <w:rPr>
                <w:rFonts w:asciiTheme="majorBidi" w:hAnsiTheme="majorBidi" w:cstheme="majorBidi"/>
                <w:b/>
                <w:bCs/>
              </w:rPr>
              <w:t>Renewal</w:t>
            </w:r>
          </w:p>
          <w:bookmarkEnd w:id="1"/>
          <w:p w14:paraId="4AD290A1" w14:textId="49F5B7D8" w:rsidR="00E833A9" w:rsidRPr="00871C59" w:rsidRDefault="00C1610A" w:rsidP="00C1610A">
            <w:pPr>
              <w:rPr>
                <w:rFonts w:asciiTheme="majorBidi" w:hAnsiTheme="majorBidi" w:cstheme="majorBidi"/>
                <w:b/>
                <w:bCs/>
              </w:rPr>
            </w:pPr>
            <w:r w:rsidRPr="00871C59">
              <w:rPr>
                <w:rFonts w:asciiTheme="majorBidi" w:hAnsiTheme="majorBidi" w:cstheme="majorBidi"/>
                <w:b/>
                <w:bCs/>
              </w:rPr>
              <w:t>The Evolution of Inanna into Ishtar, Astarte, Anat, Aphrodite, and the Demeter–Persephone Cycle in Pre-Christian Antiquity</w:t>
            </w:r>
          </w:p>
        </w:tc>
      </w:tr>
      <w:tr w:rsidR="00E833A9" w:rsidRPr="00871C59" w14:paraId="7CE8D648" w14:textId="77777777">
        <w:tc>
          <w:tcPr>
            <w:tcW w:w="8856" w:type="dxa"/>
            <w:tcBorders>
              <w:top w:val="single" w:sz="4" w:space="0" w:color="auto"/>
              <w:left w:val="single" w:sz="4" w:space="0" w:color="auto"/>
              <w:bottom w:val="single" w:sz="4" w:space="0" w:color="auto"/>
              <w:right w:val="single" w:sz="4" w:space="0" w:color="auto"/>
            </w:tcBorders>
          </w:tcPr>
          <w:p w14:paraId="1A18F53D" w14:textId="77777777" w:rsidR="00E833A9" w:rsidRPr="00871C59" w:rsidRDefault="00E833A9" w:rsidP="004F598A">
            <w:pPr>
              <w:pStyle w:val="UWTSDindent"/>
              <w:rPr>
                <w:lang w:val="en-GB"/>
              </w:rPr>
            </w:pPr>
            <w:r w:rsidRPr="00871C59">
              <w:rPr>
                <w:lang w:val="en-GB"/>
              </w:rPr>
              <w:t>Aims and Objectives:</w:t>
            </w:r>
          </w:p>
          <w:p w14:paraId="3C79A2BD" w14:textId="77777777" w:rsidR="00072CA9" w:rsidRPr="00871C59" w:rsidRDefault="00C1610A" w:rsidP="004F598A">
            <w:pPr>
              <w:pStyle w:val="UWTSDindent"/>
              <w:rPr>
                <w:lang w:val="en-GB"/>
              </w:rPr>
            </w:pPr>
            <w:r w:rsidRPr="00871C59">
              <w:rPr>
                <w:lang w:val="en-GB"/>
              </w:rPr>
              <w:t>My goal is to</w:t>
            </w:r>
            <w:r w:rsidR="00072CA9" w:rsidRPr="00871C59">
              <w:rPr>
                <w:lang w:val="en-GB"/>
              </w:rPr>
              <w:t>:</w:t>
            </w:r>
          </w:p>
          <w:p w14:paraId="25B5F65A" w14:textId="6C408B4C" w:rsidR="00C1610A" w:rsidRPr="00871C59" w:rsidRDefault="008F4B21" w:rsidP="004F598A">
            <w:pPr>
              <w:pStyle w:val="UWTSDindent"/>
              <w:numPr>
                <w:ilvl w:val="0"/>
                <w:numId w:val="4"/>
              </w:numPr>
              <w:rPr>
                <w:lang w:val="en-GB"/>
              </w:rPr>
            </w:pPr>
            <w:r>
              <w:rPr>
                <w:lang w:val="en-GB"/>
              </w:rPr>
              <w:t>A</w:t>
            </w:r>
            <w:r w:rsidR="00C1610A" w:rsidRPr="00871C59">
              <w:rPr>
                <w:lang w:val="en-GB"/>
              </w:rPr>
              <w:t>nalyse Inanna’s underworld and agricultural cycles as symbolic of death and rebirth.</w:t>
            </w:r>
          </w:p>
          <w:p w14:paraId="50B895D0" w14:textId="0C333F90" w:rsidR="00C1610A" w:rsidRPr="00871C59" w:rsidRDefault="00C1610A" w:rsidP="004F598A">
            <w:pPr>
              <w:pStyle w:val="UWTSDindent"/>
              <w:numPr>
                <w:ilvl w:val="0"/>
                <w:numId w:val="4"/>
              </w:numPr>
              <w:rPr>
                <w:lang w:val="en-GB"/>
              </w:rPr>
            </w:pPr>
            <w:r w:rsidRPr="00871C59">
              <w:rPr>
                <w:lang w:val="en-GB"/>
              </w:rPr>
              <w:t xml:space="preserve">Examine the sacred-marriage (hieros </w:t>
            </w:r>
            <w:r w:rsidR="00871C59" w:rsidRPr="00871C59">
              <w:rPr>
                <w:lang w:val="en-GB"/>
              </w:rPr>
              <w:t>gamos)</w:t>
            </w:r>
            <w:r w:rsidRPr="00871C59">
              <w:rPr>
                <w:lang w:val="en-GB"/>
              </w:rPr>
              <w:t xml:space="preserve"> ritual and its relation to fertility and kingship.</w:t>
            </w:r>
          </w:p>
          <w:p w14:paraId="54583277" w14:textId="1C4EDB39" w:rsidR="00C1610A" w:rsidRPr="00871C59" w:rsidRDefault="00C1610A" w:rsidP="004F598A">
            <w:pPr>
              <w:pStyle w:val="UWTSDindent"/>
              <w:numPr>
                <w:ilvl w:val="0"/>
                <w:numId w:val="4"/>
              </w:numPr>
              <w:rPr>
                <w:lang w:val="en-GB"/>
              </w:rPr>
            </w:pPr>
            <w:r w:rsidRPr="00871C59">
              <w:rPr>
                <w:lang w:val="en-GB"/>
              </w:rPr>
              <w:t xml:space="preserve">Explore her dual nature as </w:t>
            </w:r>
            <w:r w:rsidR="008F4B21">
              <w:rPr>
                <w:lang w:val="en-GB"/>
              </w:rPr>
              <w:t xml:space="preserve">the </w:t>
            </w:r>
            <w:r w:rsidRPr="00871C59">
              <w:rPr>
                <w:lang w:val="en-GB"/>
              </w:rPr>
              <w:t>goddess of love and war within imperial theology.</w:t>
            </w:r>
          </w:p>
          <w:p w14:paraId="5694DA44" w14:textId="5A8D8044" w:rsidR="00C1610A" w:rsidRPr="00871C59" w:rsidRDefault="00C1610A" w:rsidP="004F598A">
            <w:pPr>
              <w:pStyle w:val="UWTSDindent"/>
              <w:numPr>
                <w:ilvl w:val="0"/>
                <w:numId w:val="4"/>
              </w:numPr>
              <w:rPr>
                <w:lang w:val="en-GB"/>
              </w:rPr>
            </w:pPr>
            <w:r w:rsidRPr="00871C59">
              <w:rPr>
                <w:lang w:val="en-GB"/>
              </w:rPr>
              <w:t xml:space="preserve">Assess </w:t>
            </w:r>
            <w:r w:rsidR="008F4B21">
              <w:rPr>
                <w:lang w:val="en-GB"/>
              </w:rPr>
              <w:t xml:space="preserve">her </w:t>
            </w:r>
            <w:r w:rsidRPr="00871C59">
              <w:rPr>
                <w:lang w:val="en-GB"/>
              </w:rPr>
              <w:t>ritual sacrifice as a metaphor for renewal and cosmic balance.</w:t>
            </w:r>
          </w:p>
          <w:p w14:paraId="468F7808" w14:textId="77777777" w:rsidR="00E833A9" w:rsidRPr="00871C59" w:rsidRDefault="00C1610A" w:rsidP="004F598A">
            <w:pPr>
              <w:pStyle w:val="UWTSDindent"/>
              <w:numPr>
                <w:ilvl w:val="0"/>
                <w:numId w:val="4"/>
              </w:numPr>
              <w:rPr>
                <w:lang w:val="en-GB"/>
              </w:rPr>
            </w:pPr>
            <w:r w:rsidRPr="00871C59">
              <w:rPr>
                <w:lang w:val="en-GB"/>
              </w:rPr>
              <w:t>Compare Inanna’s descent to the Demeter–Persephone cycle to identify shared structures of agricultural mythology.</w:t>
            </w:r>
          </w:p>
          <w:p w14:paraId="2ECDE397" w14:textId="39D1156F" w:rsidR="00072CA9" w:rsidRPr="00871C59" w:rsidRDefault="00072CA9" w:rsidP="004F598A">
            <w:pPr>
              <w:pStyle w:val="UWTSDindent"/>
              <w:rPr>
                <w:lang w:val="en-GB"/>
              </w:rPr>
            </w:pPr>
            <w:r w:rsidRPr="00871C59">
              <w:rPr>
                <w:lang w:val="en-GB"/>
              </w:rPr>
              <w:lastRenderedPageBreak/>
              <w:t xml:space="preserve">This work will attempt to </w:t>
            </w:r>
            <w:r w:rsidR="00840E21" w:rsidRPr="00871C59">
              <w:rPr>
                <w:lang w:val="en-GB"/>
              </w:rPr>
              <w:t>explore:</w:t>
            </w:r>
          </w:p>
          <w:p w14:paraId="5217B191" w14:textId="02B27452" w:rsidR="00072CA9" w:rsidRPr="00871C59" w:rsidRDefault="00072CA9" w:rsidP="004F598A">
            <w:pPr>
              <w:pStyle w:val="UWTSDindent"/>
              <w:numPr>
                <w:ilvl w:val="0"/>
                <w:numId w:val="5"/>
              </w:numPr>
              <w:rPr>
                <w:lang w:val="en-GB"/>
              </w:rPr>
            </w:pPr>
            <w:r w:rsidRPr="00871C59">
              <w:rPr>
                <w:lang w:val="en-GB"/>
              </w:rPr>
              <w:t xml:space="preserve">How Inanna’s </w:t>
            </w:r>
            <w:r w:rsidR="008F4B21">
              <w:rPr>
                <w:lang w:val="en-GB"/>
              </w:rPr>
              <w:t>d</w:t>
            </w:r>
            <w:r w:rsidRPr="00871C59">
              <w:rPr>
                <w:lang w:val="en-GB"/>
              </w:rPr>
              <w:t>escent to the Underworld encode</w:t>
            </w:r>
            <w:r w:rsidR="00840E21" w:rsidRPr="00871C59">
              <w:rPr>
                <w:lang w:val="en-GB"/>
              </w:rPr>
              <w:t>s</w:t>
            </w:r>
            <w:r w:rsidRPr="00871C59">
              <w:rPr>
                <w:lang w:val="en-GB"/>
              </w:rPr>
              <w:t xml:space="preserve"> ancient concepts of agricultural death and renewal</w:t>
            </w:r>
            <w:r w:rsidR="008F4B21">
              <w:rPr>
                <w:lang w:val="en-GB"/>
              </w:rPr>
              <w:t>?</w:t>
            </w:r>
          </w:p>
          <w:p w14:paraId="7203EC01" w14:textId="1818CFA5" w:rsidR="00072CA9" w:rsidRPr="00871C59" w:rsidRDefault="00072CA9" w:rsidP="004F598A">
            <w:pPr>
              <w:pStyle w:val="UWTSDindent"/>
              <w:numPr>
                <w:ilvl w:val="0"/>
                <w:numId w:val="5"/>
              </w:numPr>
              <w:rPr>
                <w:lang w:val="en-GB"/>
              </w:rPr>
            </w:pPr>
            <w:r w:rsidRPr="00871C59">
              <w:rPr>
                <w:lang w:val="en-GB"/>
              </w:rPr>
              <w:t xml:space="preserve">What roles Inanna’s erotic and martial dualities play in legitimising power and ritual </w:t>
            </w:r>
            <w:r w:rsidR="00871C59" w:rsidRPr="00871C59">
              <w:rPr>
                <w:lang w:val="en-GB"/>
              </w:rPr>
              <w:t>authority?</w:t>
            </w:r>
          </w:p>
          <w:p w14:paraId="1B81C486" w14:textId="25B537C2" w:rsidR="00072CA9" w:rsidRPr="00871C59" w:rsidRDefault="00072CA9" w:rsidP="004F598A">
            <w:pPr>
              <w:pStyle w:val="UWTSDindent"/>
              <w:numPr>
                <w:ilvl w:val="0"/>
                <w:numId w:val="5"/>
              </w:numPr>
              <w:rPr>
                <w:lang w:val="en-GB"/>
              </w:rPr>
            </w:pPr>
            <w:r w:rsidRPr="00871C59">
              <w:rPr>
                <w:lang w:val="en-GB"/>
              </w:rPr>
              <w:t xml:space="preserve">How her attributes </w:t>
            </w:r>
            <w:r w:rsidR="008F4B21">
              <w:rPr>
                <w:lang w:val="en-GB"/>
              </w:rPr>
              <w:t xml:space="preserve">are </w:t>
            </w:r>
            <w:r w:rsidRPr="00871C59">
              <w:rPr>
                <w:lang w:val="en-GB"/>
              </w:rPr>
              <w:t>adapted in the personae of Ishtar, Astarte, and Anat?</w:t>
            </w:r>
          </w:p>
          <w:p w14:paraId="5C5CFA5B" w14:textId="7ECBA4D1" w:rsidR="00072CA9" w:rsidRPr="00871C59" w:rsidRDefault="00840E21" w:rsidP="004F598A">
            <w:pPr>
              <w:pStyle w:val="UWTSDindent"/>
              <w:numPr>
                <w:ilvl w:val="0"/>
                <w:numId w:val="5"/>
              </w:numPr>
              <w:rPr>
                <w:lang w:val="en-GB"/>
              </w:rPr>
            </w:pPr>
            <w:r w:rsidRPr="00871C59">
              <w:rPr>
                <w:lang w:val="en-GB"/>
              </w:rPr>
              <w:t>How</w:t>
            </w:r>
            <w:r w:rsidR="00072CA9" w:rsidRPr="00871C59">
              <w:rPr>
                <w:lang w:val="en-GB"/>
              </w:rPr>
              <w:t xml:space="preserve"> fertility, war, and sacrifice converge within goddess cult practice?</w:t>
            </w:r>
          </w:p>
          <w:p w14:paraId="588EE4B5" w14:textId="75FD5F4E" w:rsidR="00072CA9" w:rsidRPr="00871C59" w:rsidRDefault="00072CA9" w:rsidP="004F598A">
            <w:pPr>
              <w:pStyle w:val="UWTSDindent"/>
              <w:numPr>
                <w:ilvl w:val="0"/>
                <w:numId w:val="5"/>
              </w:numPr>
              <w:rPr>
                <w:lang w:val="en-GB"/>
              </w:rPr>
            </w:pPr>
            <w:r w:rsidRPr="00871C59">
              <w:rPr>
                <w:lang w:val="en-GB"/>
              </w:rPr>
              <w:t>What parallels exist between Near Eastern and Greek descent myths, especially Demeter and Persephone?</w:t>
            </w:r>
          </w:p>
        </w:tc>
      </w:tr>
      <w:tr w:rsidR="00E833A9" w:rsidRPr="00871C59" w14:paraId="449827A2" w14:textId="77777777">
        <w:tc>
          <w:tcPr>
            <w:tcW w:w="8856" w:type="dxa"/>
            <w:tcBorders>
              <w:top w:val="single" w:sz="4" w:space="0" w:color="auto"/>
              <w:left w:val="single" w:sz="4" w:space="0" w:color="auto"/>
              <w:bottom w:val="single" w:sz="4" w:space="0" w:color="auto"/>
              <w:right w:val="single" w:sz="4" w:space="0" w:color="auto"/>
            </w:tcBorders>
          </w:tcPr>
          <w:p w14:paraId="0B7182E4" w14:textId="3428CAEB" w:rsidR="00E833A9" w:rsidRPr="00871C59" w:rsidRDefault="00E833A9" w:rsidP="004F598A">
            <w:pPr>
              <w:pStyle w:val="UWTSDindent"/>
              <w:rPr>
                <w:i/>
                <w:lang w:val="en-GB"/>
              </w:rPr>
            </w:pPr>
            <w:bookmarkStart w:id="2" w:name="_Hlk211375437"/>
            <w:r w:rsidRPr="00871C59">
              <w:rPr>
                <w:lang w:val="en-GB"/>
              </w:rPr>
              <w:lastRenderedPageBreak/>
              <w:t xml:space="preserve">Abstract </w:t>
            </w:r>
            <w:r w:rsidRPr="00871C59">
              <w:rPr>
                <w:lang w:val="en-GB"/>
              </w:rPr>
              <w:br/>
            </w:r>
          </w:p>
          <w:p w14:paraId="2D57E4C7" w14:textId="77777777" w:rsidR="00D20687" w:rsidRPr="00871C59" w:rsidRDefault="00D20687" w:rsidP="004F598A">
            <w:pPr>
              <w:pStyle w:val="UWTSDindent"/>
              <w:rPr>
                <w:lang w:val="en-GB"/>
              </w:rPr>
            </w:pPr>
            <w:r w:rsidRPr="00871C59">
              <w:rPr>
                <w:lang w:val="en-GB"/>
              </w:rPr>
              <w:t>Inanna, the Sumerian goddess of love, war, fertility, and the underworld, represents one of the earliest complex portrayals of divine femininity. Her mythology expresses the cycle of life, death, and renewal central to ancient cosmology. Through her descent to the underworld and resurrection, she becomes the archetype for later deities such as Ishtar, Astarte, Anat, Aphrodite, and Demeter–Persephone, each embodying agricultural and spiritual regeneration.</w:t>
            </w:r>
          </w:p>
          <w:p w14:paraId="1FF0842E" w14:textId="77777777" w:rsidR="00D20687" w:rsidRPr="00871C59" w:rsidRDefault="00D20687" w:rsidP="004F598A">
            <w:pPr>
              <w:pStyle w:val="UWTSDindent"/>
              <w:rPr>
                <w:lang w:val="en-GB"/>
              </w:rPr>
            </w:pPr>
            <w:r w:rsidRPr="00871C59">
              <w:rPr>
                <w:lang w:val="en-GB"/>
              </w:rPr>
              <w:t>As the focus of evolving religious systems, Inanna’s narratives reveal the tension between Eros and Thanatos, creation and destruction. Her transformation through successive cultures shows how the feminine divine mediates political authority, fertility, and cosmic order. The study’s rationale lies in tracing these transformations to reveal a continuous thread of mythic symbolism across the pre-Christian world.</w:t>
            </w:r>
          </w:p>
          <w:p w14:paraId="690BA30A" w14:textId="0A8D879C" w:rsidR="00D20687" w:rsidRPr="00871C59" w:rsidRDefault="00D20687" w:rsidP="004F598A">
            <w:pPr>
              <w:pStyle w:val="UWTSDindent"/>
              <w:rPr>
                <w:lang w:val="en-GB"/>
              </w:rPr>
            </w:pPr>
            <w:r w:rsidRPr="00871C59">
              <w:rPr>
                <w:lang w:val="en-GB"/>
              </w:rPr>
              <w:t xml:space="preserve">This dissertation will examine how motifs of underworld descent, of agricultural renewal, of love and marriage, of warfare, and of sacrificial worship shape conceptions of fertility, sovereignty, and cosmic order across the ancient Near East and Mediterranean. Beginning with Inanna’s Sumerian origins, I will investigate her transformation into Ishtar and Astarte as imperial goddesses of war and of fertility, and later into Anat as a Levantine warrior deity. My research will trace how these archetypal features are reinterpreted in Aphrodite’s Hellenic context, culminating in the agricultural and the initiatory theology of Demeter and Persephone. Employing comparative mythology, feminist theology, and archetypal psychology, the project will </w:t>
            </w:r>
            <w:r w:rsidR="00871C59" w:rsidRPr="00871C59">
              <w:rPr>
                <w:lang w:val="en-GB"/>
              </w:rPr>
              <w:t>analyse</w:t>
            </w:r>
            <w:r w:rsidRPr="00871C59">
              <w:rPr>
                <w:lang w:val="en-GB"/>
              </w:rPr>
              <w:t xml:space="preserve"> textual, ritual, and iconographic sources to illuminate continuities between Mesopotamian and Greek conceptions of the goddess. By integrating mythological descent, sacred marriage, and ritual sacrifice, this dissertation argues that the Inanna lineage encapsulates humanity’s enduring effort to understand life’s cycles of death and renewal through divine feminine power. The study seeks to recontextualizes ancient goddess traditions as dynamic symbols of both natural and societal regeneration.</w:t>
            </w:r>
          </w:p>
          <w:p w14:paraId="7E7A97A9" w14:textId="7BDC22A3" w:rsidR="00D20687" w:rsidRPr="00871C59" w:rsidRDefault="005C4299" w:rsidP="004F598A">
            <w:pPr>
              <w:pStyle w:val="UWTSDindent"/>
              <w:rPr>
                <w:lang w:val="en-GB"/>
              </w:rPr>
            </w:pPr>
            <w:r w:rsidRPr="00871C59">
              <w:rPr>
                <w:lang w:val="en-GB"/>
              </w:rPr>
              <w:t>The</w:t>
            </w:r>
            <w:r w:rsidR="00D20687" w:rsidRPr="00871C59">
              <w:rPr>
                <w:lang w:val="en-GB"/>
              </w:rPr>
              <w:t xml:space="preserve"> </w:t>
            </w:r>
            <w:r w:rsidRPr="00871C59">
              <w:rPr>
                <w:lang w:val="en-GB"/>
              </w:rPr>
              <w:t>proposed</w:t>
            </w:r>
            <w:r w:rsidR="00D20687" w:rsidRPr="00871C59">
              <w:rPr>
                <w:lang w:val="en-GB"/>
              </w:rPr>
              <w:t xml:space="preserve"> outline of the paper is as follows:</w:t>
            </w:r>
          </w:p>
          <w:p w14:paraId="40193737" w14:textId="011FF49F" w:rsidR="00D20687" w:rsidRPr="00871C59" w:rsidRDefault="00D20687" w:rsidP="004F598A">
            <w:pPr>
              <w:pStyle w:val="UWTSDindent"/>
              <w:rPr>
                <w:lang w:val="en-GB"/>
              </w:rPr>
            </w:pPr>
            <w:r w:rsidRPr="00871C59">
              <w:rPr>
                <w:lang w:val="en-GB"/>
              </w:rPr>
              <w:t>1.</w:t>
            </w:r>
            <w:r w:rsidRPr="00871C59">
              <w:rPr>
                <w:lang w:val="en-GB"/>
              </w:rPr>
              <w:tab/>
              <w:t xml:space="preserve">The introduction will discuss methodology while outlining the context, the rationale, and the theoretical framework of </w:t>
            </w:r>
            <w:r w:rsidR="008F4B21">
              <w:rPr>
                <w:lang w:val="en-GB"/>
              </w:rPr>
              <w:t xml:space="preserve">the </w:t>
            </w:r>
            <w:r w:rsidRPr="00871C59">
              <w:rPr>
                <w:lang w:val="en-GB"/>
              </w:rPr>
              <w:t>goddess Inanna and her  relationship to the later goddesses Ishtar, Astarte, Anat, and Aphrodite as well as the Demeter–Persephone cycle. (2,000 words)</w:t>
            </w:r>
          </w:p>
          <w:p w14:paraId="22680689" w14:textId="77777777" w:rsidR="00D20687" w:rsidRPr="00871C59" w:rsidRDefault="00D20687" w:rsidP="004F598A">
            <w:pPr>
              <w:pStyle w:val="UWTSDindent"/>
              <w:rPr>
                <w:lang w:val="en-GB"/>
              </w:rPr>
            </w:pPr>
            <w:r w:rsidRPr="00871C59">
              <w:rPr>
                <w:lang w:val="en-GB"/>
              </w:rPr>
              <w:t>2.</w:t>
            </w:r>
            <w:r w:rsidRPr="00871C59">
              <w:rPr>
                <w:lang w:val="en-GB"/>
              </w:rPr>
              <w:tab/>
              <w:t>This section will explore Inanna’s relationship in Sumerian theology to the cycles of death and renewal, as well as the agricultural and underworld motifs. (3,000 words)</w:t>
            </w:r>
          </w:p>
          <w:p w14:paraId="0BCF692D" w14:textId="77777777" w:rsidR="00D20687" w:rsidRPr="00871C59" w:rsidRDefault="00D20687" w:rsidP="004F598A">
            <w:pPr>
              <w:pStyle w:val="UWTSDindent"/>
              <w:rPr>
                <w:lang w:val="en-GB"/>
              </w:rPr>
            </w:pPr>
            <w:r w:rsidRPr="00871C59">
              <w:rPr>
                <w:lang w:val="en-GB"/>
              </w:rPr>
              <w:t>3.</w:t>
            </w:r>
            <w:r w:rsidRPr="00871C59">
              <w:rPr>
                <w:lang w:val="en-GB"/>
              </w:rPr>
              <w:tab/>
              <w:t>This section will investigate Inanna as the Warrior Queen and her Sacred Marriage as it relates to love, kingship, and warfare comparing the Inanna–Ishtar–Anat traditions. (3,000 words)</w:t>
            </w:r>
          </w:p>
          <w:p w14:paraId="2F0287B0" w14:textId="77777777" w:rsidR="00D20687" w:rsidRPr="00871C59" w:rsidRDefault="00D20687" w:rsidP="004F598A">
            <w:pPr>
              <w:pStyle w:val="UWTSDindent"/>
              <w:rPr>
                <w:lang w:val="en-GB"/>
              </w:rPr>
            </w:pPr>
            <w:r w:rsidRPr="00871C59">
              <w:rPr>
                <w:lang w:val="en-GB"/>
              </w:rPr>
              <w:t>4.</w:t>
            </w:r>
            <w:r w:rsidRPr="00871C59">
              <w:rPr>
                <w:lang w:val="en-GB"/>
              </w:rPr>
              <w:tab/>
              <w:t>This section will examine the concept of sovereignty, syncretism, and transformation in the Mediterranean as expressed through Astarte and Aphrodite.  (3,000 words)</w:t>
            </w:r>
          </w:p>
          <w:p w14:paraId="0F1C4874" w14:textId="225089AE" w:rsidR="00D20687" w:rsidRPr="00871C59" w:rsidRDefault="00D20687" w:rsidP="004F598A">
            <w:pPr>
              <w:pStyle w:val="UWTSDindent"/>
              <w:rPr>
                <w:lang w:val="en-GB"/>
              </w:rPr>
            </w:pPr>
            <w:r w:rsidRPr="00871C59">
              <w:rPr>
                <w:lang w:val="en-GB"/>
              </w:rPr>
              <w:t>5.</w:t>
            </w:r>
            <w:r w:rsidRPr="00871C59">
              <w:rPr>
                <w:lang w:val="en-GB"/>
              </w:rPr>
              <w:tab/>
              <w:t xml:space="preserve">This section will </w:t>
            </w:r>
            <w:r w:rsidR="00871C59" w:rsidRPr="00871C59">
              <w:rPr>
                <w:lang w:val="en-GB"/>
              </w:rPr>
              <w:t>research</w:t>
            </w:r>
            <w:r w:rsidRPr="00871C59">
              <w:rPr>
                <w:lang w:val="en-GB"/>
              </w:rPr>
              <w:t xml:space="preserve"> the parallels of Inanna with the Demeter–Persephone cycle in the agricultural mysteries as they relate to the descent and rebirth mythology. (3,000 words) </w:t>
            </w:r>
          </w:p>
          <w:p w14:paraId="2B19B2C6" w14:textId="679160FD" w:rsidR="00E833A9" w:rsidRPr="00871C59" w:rsidRDefault="00D20687" w:rsidP="004F598A">
            <w:pPr>
              <w:pStyle w:val="UWTSDindent"/>
              <w:rPr>
                <w:lang w:val="en-GB"/>
              </w:rPr>
            </w:pPr>
            <w:r w:rsidRPr="00871C59">
              <w:rPr>
                <w:lang w:val="en-GB"/>
              </w:rPr>
              <w:t>6.</w:t>
            </w:r>
            <w:r w:rsidRPr="00871C59">
              <w:rPr>
                <w:lang w:val="en-GB"/>
              </w:rPr>
              <w:tab/>
              <w:t xml:space="preserve">The conclusion focuses on the synthesis of findings and </w:t>
            </w:r>
            <w:r w:rsidR="00871C59" w:rsidRPr="00871C59">
              <w:rPr>
                <w:lang w:val="en-GB"/>
              </w:rPr>
              <w:t>analysing</w:t>
            </w:r>
            <w:r w:rsidRPr="00871C59">
              <w:rPr>
                <w:lang w:val="en-GB"/>
              </w:rPr>
              <w:t xml:space="preserve"> the impacts on comparative religion. (</w:t>
            </w:r>
            <w:r w:rsidR="008F4B21">
              <w:rPr>
                <w:lang w:val="en-GB"/>
              </w:rPr>
              <w:t>1</w:t>
            </w:r>
            <w:r w:rsidRPr="00871C59">
              <w:rPr>
                <w:lang w:val="en-GB"/>
              </w:rPr>
              <w:t>,000 words)</w:t>
            </w:r>
          </w:p>
          <w:p w14:paraId="0A508D00" w14:textId="78E46F68" w:rsidR="00840E21" w:rsidRPr="00871C59" w:rsidRDefault="00840E21" w:rsidP="004F598A">
            <w:pPr>
              <w:pStyle w:val="UWTSDindent"/>
              <w:rPr>
                <w:lang w:val="en-GB"/>
              </w:rPr>
            </w:pPr>
            <w:r w:rsidRPr="00871C59">
              <w:rPr>
                <w:lang w:val="en-GB"/>
              </w:rPr>
              <w:t>Th</w:t>
            </w:r>
            <w:r w:rsidR="00264AD5">
              <w:rPr>
                <w:lang w:val="en-GB"/>
              </w:rPr>
              <w:t>is</w:t>
            </w:r>
            <w:r w:rsidRPr="00871C59">
              <w:rPr>
                <w:lang w:val="en-GB"/>
              </w:rPr>
              <w:t xml:space="preserve"> study </w:t>
            </w:r>
            <w:r w:rsidR="00264AD5" w:rsidRPr="00871C59">
              <w:rPr>
                <w:lang w:val="en-GB"/>
              </w:rPr>
              <w:t>employs</w:t>
            </w:r>
            <w:r w:rsidRPr="00871C59">
              <w:rPr>
                <w:lang w:val="en-GB"/>
              </w:rPr>
              <w:t xml:space="preserve"> qualitative textual, iconographic, and contextual analysis across four cultural spheres. The primary sources, limited to authoritative academic translations, will include :</w:t>
            </w:r>
          </w:p>
          <w:p w14:paraId="4F3DDC84" w14:textId="088FF97C" w:rsidR="00840E21" w:rsidRPr="00871C59" w:rsidRDefault="00840E21" w:rsidP="004F598A">
            <w:pPr>
              <w:pStyle w:val="UWTSDindent"/>
              <w:rPr>
                <w:lang w:val="en-GB"/>
              </w:rPr>
            </w:pPr>
            <w:r w:rsidRPr="00871C59">
              <w:rPr>
                <w:lang w:val="en-GB"/>
              </w:rPr>
              <w:t>•</w:t>
            </w:r>
            <w:r w:rsidRPr="00871C59">
              <w:rPr>
                <w:lang w:val="en-GB"/>
              </w:rPr>
              <w:tab/>
              <w:t xml:space="preserve">Sumerian: Inanna’s Descent to the Underworld, The Exaltation of Inanna, </w:t>
            </w:r>
            <w:r w:rsidR="00264AD5">
              <w:rPr>
                <w:lang w:val="en-GB"/>
              </w:rPr>
              <w:t xml:space="preserve"> and </w:t>
            </w:r>
            <w:r w:rsidRPr="00871C59">
              <w:rPr>
                <w:lang w:val="en-GB"/>
              </w:rPr>
              <w:t>Enheduanna’s Hymns.</w:t>
            </w:r>
          </w:p>
          <w:p w14:paraId="1341918B" w14:textId="5B37D916" w:rsidR="00840E21" w:rsidRPr="00871C59" w:rsidRDefault="00840E21" w:rsidP="004F598A">
            <w:pPr>
              <w:pStyle w:val="UWTSDindent"/>
              <w:rPr>
                <w:lang w:val="en-GB"/>
              </w:rPr>
            </w:pPr>
            <w:r w:rsidRPr="00871C59">
              <w:rPr>
                <w:lang w:val="en-GB"/>
              </w:rPr>
              <w:t>•</w:t>
            </w:r>
            <w:r w:rsidRPr="00871C59">
              <w:rPr>
                <w:lang w:val="en-GB"/>
              </w:rPr>
              <w:tab/>
              <w:t xml:space="preserve">Akkadian / Babylonian: Ishtar’s Descent, Epic of Gilgamesh, </w:t>
            </w:r>
            <w:r w:rsidR="00FD03B8">
              <w:rPr>
                <w:lang w:val="en-GB"/>
              </w:rPr>
              <w:t xml:space="preserve">and </w:t>
            </w:r>
            <w:r w:rsidRPr="00871C59">
              <w:rPr>
                <w:lang w:val="en-GB"/>
              </w:rPr>
              <w:t>Ishtar and the Bull of Heaven.</w:t>
            </w:r>
          </w:p>
          <w:p w14:paraId="55792FF3" w14:textId="519CA4F3" w:rsidR="00840E21" w:rsidRPr="00871C59" w:rsidRDefault="00840E21" w:rsidP="004F598A">
            <w:pPr>
              <w:pStyle w:val="UWTSDindent"/>
              <w:rPr>
                <w:lang w:val="en-GB"/>
              </w:rPr>
            </w:pPr>
            <w:r w:rsidRPr="00871C59">
              <w:rPr>
                <w:lang w:val="en-GB"/>
              </w:rPr>
              <w:t>•</w:t>
            </w:r>
            <w:r w:rsidRPr="00871C59">
              <w:rPr>
                <w:lang w:val="en-GB"/>
              </w:rPr>
              <w:tab/>
              <w:t xml:space="preserve">Levantine / Phoenician: The Baal Cycle, Anat Texts, </w:t>
            </w:r>
            <w:r w:rsidR="00FD03B8">
              <w:rPr>
                <w:lang w:val="en-GB"/>
              </w:rPr>
              <w:t xml:space="preserve">and </w:t>
            </w:r>
            <w:r w:rsidRPr="00871C59">
              <w:rPr>
                <w:lang w:val="en-GB"/>
              </w:rPr>
              <w:t>Astarte Inscriptions.</w:t>
            </w:r>
          </w:p>
          <w:p w14:paraId="25316ECC" w14:textId="77777777" w:rsidR="00840E21" w:rsidRPr="00871C59" w:rsidRDefault="00840E21" w:rsidP="004F598A">
            <w:pPr>
              <w:pStyle w:val="UWTSDindent"/>
              <w:rPr>
                <w:lang w:val="en-GB"/>
              </w:rPr>
            </w:pPr>
            <w:r w:rsidRPr="00871C59">
              <w:rPr>
                <w:lang w:val="en-GB"/>
              </w:rPr>
              <w:t>•</w:t>
            </w:r>
            <w:r w:rsidRPr="00871C59">
              <w:rPr>
                <w:lang w:val="en-GB"/>
              </w:rPr>
              <w:tab/>
              <w:t>Greek / Roman: Homeric Hymn to Demeter, Hymn to Aphrodite, Ovid’s Metamorphoses, temple inscriptions and imagery.</w:t>
            </w:r>
          </w:p>
          <w:p w14:paraId="25298320" w14:textId="747442B3" w:rsidR="00840E21" w:rsidRPr="00871C59" w:rsidRDefault="00840E21" w:rsidP="004F598A">
            <w:pPr>
              <w:pStyle w:val="UWTSDindent"/>
              <w:rPr>
                <w:lang w:val="en-GB"/>
              </w:rPr>
            </w:pPr>
            <w:r w:rsidRPr="00871C59">
              <w:rPr>
                <w:lang w:val="en-GB"/>
              </w:rPr>
              <w:t>Secondary analytical methods will target comparative textual analysis such as the examination of shared vocabulary, structure, and symbolic functions. Iconographic analysis will include the assessment of artefacts, reliefs, and votive figures depicting fertility and warfare. Contextual Interpretation relating myth and ritual to social organisation, kingship ideology, and environmental cycles will be included. This analysis will also be limited strictly to pre-Christian polytheism (c. 3500 BCE – 200 CE).</w:t>
            </w:r>
          </w:p>
        </w:tc>
      </w:tr>
      <w:bookmarkEnd w:id="2"/>
      <w:tr w:rsidR="00E833A9" w:rsidRPr="00871C59" w14:paraId="251ED4CD" w14:textId="77777777">
        <w:tc>
          <w:tcPr>
            <w:tcW w:w="8856" w:type="dxa"/>
            <w:tcBorders>
              <w:top w:val="single" w:sz="4" w:space="0" w:color="auto"/>
              <w:left w:val="single" w:sz="4" w:space="0" w:color="auto"/>
              <w:bottom w:val="single" w:sz="4" w:space="0" w:color="auto"/>
              <w:right w:val="single" w:sz="4" w:space="0" w:color="auto"/>
            </w:tcBorders>
          </w:tcPr>
          <w:p w14:paraId="1C3556DB" w14:textId="77777777" w:rsidR="00E833A9" w:rsidRPr="00871C59" w:rsidRDefault="00E833A9" w:rsidP="00E833A9">
            <w:pPr>
              <w:rPr>
                <w:rFonts w:asciiTheme="majorBidi" w:hAnsiTheme="majorBidi" w:cstheme="majorBidi"/>
              </w:rPr>
            </w:pPr>
            <w:r w:rsidRPr="00871C59">
              <w:rPr>
                <w:rFonts w:asciiTheme="majorBidi" w:hAnsiTheme="majorBidi" w:cstheme="majorBidi"/>
              </w:rPr>
              <w:t>Short Introductory Bibliography:</w:t>
            </w:r>
          </w:p>
          <w:p w14:paraId="37F14B11" w14:textId="7702BB12" w:rsidR="003641F1" w:rsidRPr="00871C59" w:rsidRDefault="003641F1" w:rsidP="004F598A">
            <w:pPr>
              <w:pStyle w:val="UWTSDindent"/>
              <w:rPr>
                <w:lang w:val="en-GB"/>
              </w:rPr>
            </w:pPr>
            <w:r w:rsidRPr="00871C59">
              <w:rPr>
                <w:lang w:val="en-GB"/>
              </w:rPr>
              <w:t>Scholarly engagement with Inanna and her cognate deities spans Assyriology, comparative mythology, feminist theology, and classical studies. My belief is that Mesopotamian Foundations</w:t>
            </w:r>
            <w:r w:rsidR="005C4299" w:rsidRPr="00871C59">
              <w:rPr>
                <w:lang w:val="en-GB"/>
              </w:rPr>
              <w:t xml:space="preserve"> such as</w:t>
            </w:r>
            <w:r w:rsidRPr="00871C59">
              <w:rPr>
                <w:lang w:val="en-GB"/>
              </w:rPr>
              <w:t xml:space="preserve"> Wolkstein &amp; Kramer (1983), Jacobsen (1976), and Katz (1993) provide authoritative translations and analyses of Sumerian hymns and descent myths. Leick (1994) and Harris (1991) contextualise Inanna’s sexuality and kingship within early urban religion.</w:t>
            </w:r>
          </w:p>
          <w:p w14:paraId="3ED9A850" w14:textId="62251C5C" w:rsidR="003641F1" w:rsidRPr="00871C59" w:rsidRDefault="003641F1" w:rsidP="004F598A">
            <w:pPr>
              <w:pStyle w:val="UWTSDindent"/>
              <w:rPr>
                <w:lang w:val="en-GB"/>
              </w:rPr>
            </w:pPr>
            <w:r w:rsidRPr="00871C59">
              <w:rPr>
                <w:lang w:val="en-GB"/>
              </w:rPr>
              <w:t>Comparative Religion and Ritual Cycles</w:t>
            </w:r>
            <w:r w:rsidR="005C4299" w:rsidRPr="00871C59">
              <w:rPr>
                <w:lang w:val="en-GB"/>
              </w:rPr>
              <w:t xml:space="preserve"> are explored  in </w:t>
            </w:r>
            <w:r w:rsidRPr="00871C59">
              <w:rPr>
                <w:lang w:val="en-GB"/>
              </w:rPr>
              <w:t xml:space="preserve"> Eliade (1958) and Frazer (1922) </w:t>
            </w:r>
            <w:r w:rsidR="005C4299" w:rsidRPr="00871C59">
              <w:rPr>
                <w:lang w:val="en-GB"/>
              </w:rPr>
              <w:t xml:space="preserve">which </w:t>
            </w:r>
            <w:r w:rsidRPr="00871C59">
              <w:rPr>
                <w:lang w:val="en-GB"/>
              </w:rPr>
              <w:t xml:space="preserve">situate death–rebirth motifs within agricultural ritual. Burkert (1985) and West (1997) trace </w:t>
            </w:r>
            <w:r w:rsidR="005C4299" w:rsidRPr="00871C59">
              <w:rPr>
                <w:lang w:val="en-GB"/>
              </w:rPr>
              <w:t xml:space="preserve">the </w:t>
            </w:r>
            <w:r w:rsidRPr="00871C59">
              <w:rPr>
                <w:lang w:val="en-GB"/>
              </w:rPr>
              <w:t xml:space="preserve">Mesopotamian influence on Greek religion. Detienne (1989) and Foley (1994) </w:t>
            </w:r>
            <w:r w:rsidR="005C4299" w:rsidRPr="00871C59">
              <w:rPr>
                <w:lang w:val="en-GB"/>
              </w:rPr>
              <w:t>investigate</w:t>
            </w:r>
            <w:r w:rsidRPr="00871C59">
              <w:rPr>
                <w:lang w:val="en-GB"/>
              </w:rPr>
              <w:t xml:space="preserve"> </w:t>
            </w:r>
            <w:r w:rsidR="005C4299" w:rsidRPr="00871C59">
              <w:rPr>
                <w:lang w:val="en-GB"/>
              </w:rPr>
              <w:t>the relationship of</w:t>
            </w:r>
            <w:r w:rsidRPr="00871C59">
              <w:rPr>
                <w:lang w:val="en-GB"/>
              </w:rPr>
              <w:t xml:space="preserve"> Greek fertility myths (e.g., Demeter–Persephone) </w:t>
            </w:r>
            <w:r w:rsidR="005C4299" w:rsidRPr="00871C59">
              <w:rPr>
                <w:lang w:val="en-GB"/>
              </w:rPr>
              <w:t xml:space="preserve">as they are </w:t>
            </w:r>
            <w:r w:rsidRPr="00871C59">
              <w:rPr>
                <w:lang w:val="en-GB"/>
              </w:rPr>
              <w:t>echo</w:t>
            </w:r>
            <w:r w:rsidR="005C4299" w:rsidRPr="00871C59">
              <w:rPr>
                <w:lang w:val="en-GB"/>
              </w:rPr>
              <w:t>ed in</w:t>
            </w:r>
            <w:r w:rsidRPr="00871C59">
              <w:rPr>
                <w:lang w:val="en-GB"/>
              </w:rPr>
              <w:t xml:space="preserve"> Near Eastern structures of descent and renewal.</w:t>
            </w:r>
          </w:p>
          <w:p w14:paraId="3F1AD66F" w14:textId="76BFFF4D" w:rsidR="003641F1" w:rsidRPr="00871C59" w:rsidRDefault="005C4299" w:rsidP="004F598A">
            <w:pPr>
              <w:pStyle w:val="UWTSDindent"/>
              <w:rPr>
                <w:lang w:val="en-GB"/>
              </w:rPr>
            </w:pPr>
            <w:r w:rsidRPr="00871C59">
              <w:rPr>
                <w:lang w:val="en-GB"/>
              </w:rPr>
              <w:t xml:space="preserve">The </w:t>
            </w:r>
            <w:r w:rsidR="003641F1" w:rsidRPr="00871C59">
              <w:rPr>
                <w:lang w:val="en-GB"/>
              </w:rPr>
              <w:t>Warrior and Sovereign Goddess</w:t>
            </w:r>
            <w:r w:rsidRPr="00871C59">
              <w:rPr>
                <w:lang w:val="en-GB"/>
              </w:rPr>
              <w:t xml:space="preserve"> motifs are studied in </w:t>
            </w:r>
            <w:r w:rsidR="003641F1" w:rsidRPr="00871C59">
              <w:rPr>
                <w:lang w:val="en-GB"/>
              </w:rPr>
              <w:t xml:space="preserve">Frymer-Kensky (1992) and Westenholz (1989) </w:t>
            </w:r>
            <w:r w:rsidRPr="00871C59">
              <w:rPr>
                <w:lang w:val="en-GB"/>
              </w:rPr>
              <w:t xml:space="preserve">through the </w:t>
            </w:r>
            <w:r w:rsidR="003641F1" w:rsidRPr="00871C59">
              <w:rPr>
                <w:lang w:val="en-GB"/>
              </w:rPr>
              <w:t>analys</w:t>
            </w:r>
            <w:r w:rsidRPr="00871C59">
              <w:rPr>
                <w:lang w:val="en-GB"/>
              </w:rPr>
              <w:t xml:space="preserve">is of </w:t>
            </w:r>
            <w:r w:rsidR="003641F1" w:rsidRPr="00871C59">
              <w:rPr>
                <w:lang w:val="en-GB"/>
              </w:rPr>
              <w:t xml:space="preserve"> Ishtar’s dual role as goddess of war and </w:t>
            </w:r>
            <w:r w:rsidR="005C2AFA">
              <w:rPr>
                <w:lang w:val="en-GB"/>
              </w:rPr>
              <w:t xml:space="preserve">of </w:t>
            </w:r>
            <w:r w:rsidR="003641F1" w:rsidRPr="00871C59">
              <w:rPr>
                <w:lang w:val="en-GB"/>
              </w:rPr>
              <w:t xml:space="preserve">sexuality, while </w:t>
            </w:r>
            <w:proofErr w:type="spellStart"/>
            <w:r w:rsidR="003641F1" w:rsidRPr="00871C59">
              <w:rPr>
                <w:lang w:val="en-GB"/>
              </w:rPr>
              <w:t>Marinatos</w:t>
            </w:r>
            <w:proofErr w:type="spellEnd"/>
            <w:r w:rsidR="003641F1" w:rsidRPr="00871C59">
              <w:rPr>
                <w:lang w:val="en-GB"/>
              </w:rPr>
              <w:t xml:space="preserve"> (2010) and Patai (1990) extend this analysis to Astarte and Anat. Th</w:t>
            </w:r>
            <w:r w:rsidRPr="00871C59">
              <w:rPr>
                <w:lang w:val="en-GB"/>
              </w:rPr>
              <w:t>is</w:t>
            </w:r>
            <w:r w:rsidR="003641F1" w:rsidRPr="00871C59">
              <w:rPr>
                <w:lang w:val="en-GB"/>
              </w:rPr>
              <w:t xml:space="preserve"> martial feminine power represents cosmic order </w:t>
            </w:r>
            <w:r w:rsidRPr="00871C59">
              <w:rPr>
                <w:lang w:val="en-GB"/>
              </w:rPr>
              <w:t>coupled with</w:t>
            </w:r>
            <w:r w:rsidR="003641F1" w:rsidRPr="00871C59">
              <w:rPr>
                <w:lang w:val="en-GB"/>
              </w:rPr>
              <w:t xml:space="preserve"> imperial legitimacy.</w:t>
            </w:r>
          </w:p>
          <w:p w14:paraId="03A14435" w14:textId="554C9377" w:rsidR="003641F1" w:rsidRPr="00871C59" w:rsidRDefault="005C4299" w:rsidP="004F598A">
            <w:pPr>
              <w:pStyle w:val="UWTSDindent"/>
              <w:rPr>
                <w:lang w:val="en-GB"/>
              </w:rPr>
            </w:pPr>
            <w:r w:rsidRPr="00871C59">
              <w:rPr>
                <w:lang w:val="en-GB"/>
              </w:rPr>
              <w:t xml:space="preserve">The </w:t>
            </w:r>
            <w:r w:rsidR="003641F1" w:rsidRPr="00871C59">
              <w:rPr>
                <w:lang w:val="en-GB"/>
              </w:rPr>
              <w:t xml:space="preserve">Feminine Divinity and </w:t>
            </w:r>
            <w:r w:rsidRPr="00871C59">
              <w:rPr>
                <w:lang w:val="en-GB"/>
              </w:rPr>
              <w:t xml:space="preserve">the </w:t>
            </w:r>
            <w:r w:rsidR="003641F1" w:rsidRPr="00871C59">
              <w:rPr>
                <w:lang w:val="en-GB"/>
              </w:rPr>
              <w:t>Theological Transformation</w:t>
            </w:r>
            <w:r w:rsidRPr="00871C59">
              <w:rPr>
                <w:lang w:val="en-GB"/>
              </w:rPr>
              <w:t xml:space="preserve"> are argued by </w:t>
            </w:r>
            <w:r w:rsidR="003641F1" w:rsidRPr="00871C59">
              <w:rPr>
                <w:lang w:val="en-GB"/>
              </w:rPr>
              <w:t xml:space="preserve">Stone (1976), Spretnak (1991), and Walker (1983) </w:t>
            </w:r>
            <w:r w:rsidRPr="00871C59">
              <w:rPr>
                <w:lang w:val="en-GB"/>
              </w:rPr>
              <w:t xml:space="preserve">where they suggest </w:t>
            </w:r>
            <w:r w:rsidR="003641F1" w:rsidRPr="00871C59">
              <w:rPr>
                <w:lang w:val="en-GB"/>
              </w:rPr>
              <w:t xml:space="preserve">continuity of the Great Goddess archetype </w:t>
            </w:r>
            <w:r w:rsidR="00072CA9" w:rsidRPr="00871C59">
              <w:rPr>
                <w:lang w:val="en-GB"/>
              </w:rPr>
              <w:t xml:space="preserve">covertly under </w:t>
            </w:r>
            <w:r w:rsidR="003641F1" w:rsidRPr="00871C59">
              <w:rPr>
                <w:lang w:val="en-GB"/>
              </w:rPr>
              <w:t xml:space="preserve">patriarchal religions. Peach (2000) and Christ (1980) </w:t>
            </w:r>
            <w:r w:rsidR="00072CA9" w:rsidRPr="00871C59">
              <w:rPr>
                <w:lang w:val="en-GB"/>
              </w:rPr>
              <w:t>assert that these</w:t>
            </w:r>
            <w:r w:rsidR="003641F1" w:rsidRPr="00871C59">
              <w:rPr>
                <w:lang w:val="en-GB"/>
              </w:rPr>
              <w:t xml:space="preserve"> myths express female agency and sacred autonomy.</w:t>
            </w:r>
          </w:p>
          <w:p w14:paraId="5B88AB41" w14:textId="75C221C1" w:rsidR="00E833A9" w:rsidRPr="00871C59" w:rsidRDefault="003641F1" w:rsidP="004F598A">
            <w:pPr>
              <w:pStyle w:val="UWTSDindent"/>
              <w:rPr>
                <w:lang w:val="en-GB"/>
              </w:rPr>
            </w:pPr>
            <w:r w:rsidRPr="00871C59">
              <w:rPr>
                <w:lang w:val="en-GB"/>
              </w:rPr>
              <w:t>Collectively, the literature demonstrates that Inanna’s mythic pattern—descent, death, and rebirth—reverberated across civilisations as a sacred template for the cycles of nature and sovereignty.</w:t>
            </w:r>
          </w:p>
        </w:tc>
      </w:tr>
      <w:tr w:rsidR="00E833A9" w:rsidRPr="00871C59" w14:paraId="6FD996AF" w14:textId="77777777">
        <w:tc>
          <w:tcPr>
            <w:tcW w:w="8856" w:type="dxa"/>
            <w:tcBorders>
              <w:top w:val="single" w:sz="4" w:space="0" w:color="auto"/>
              <w:left w:val="single" w:sz="4" w:space="0" w:color="auto"/>
              <w:bottom w:val="single" w:sz="4" w:space="0" w:color="auto"/>
              <w:right w:val="single" w:sz="4" w:space="0" w:color="auto"/>
            </w:tcBorders>
          </w:tcPr>
          <w:p w14:paraId="2AD67D70" w14:textId="77777777" w:rsidR="00E833A9" w:rsidRPr="00871C59" w:rsidRDefault="00E833A9" w:rsidP="00E833A9">
            <w:pPr>
              <w:rPr>
                <w:rFonts w:asciiTheme="majorBidi" w:hAnsiTheme="majorBidi" w:cstheme="majorBidi"/>
              </w:rPr>
            </w:pPr>
            <w:r w:rsidRPr="00871C59">
              <w:rPr>
                <w:rFonts w:asciiTheme="majorBidi" w:hAnsiTheme="majorBidi" w:cstheme="majorBidi"/>
              </w:rPr>
              <w:t>Proposed Supervisor:</w:t>
            </w:r>
          </w:p>
          <w:p w14:paraId="0196F7AD" w14:textId="77777777" w:rsidR="00E833A9" w:rsidRPr="00871C59" w:rsidRDefault="00E833A9" w:rsidP="00E833A9">
            <w:pPr>
              <w:rPr>
                <w:rFonts w:asciiTheme="majorBidi" w:hAnsiTheme="majorBidi" w:cstheme="majorBidi"/>
                <w:i/>
              </w:rPr>
            </w:pPr>
            <w:r w:rsidRPr="00871C59">
              <w:rPr>
                <w:rFonts w:asciiTheme="majorBidi" w:hAnsiTheme="majorBidi" w:cstheme="majorBidi"/>
                <w:i/>
              </w:rPr>
              <w:t>Goruchwyliwr awgrymedig</w:t>
            </w:r>
          </w:p>
          <w:p w14:paraId="0CC800F6" w14:textId="77777777" w:rsidR="00E833A9" w:rsidRPr="00871C59" w:rsidRDefault="00E833A9" w:rsidP="00E833A9">
            <w:pPr>
              <w:rPr>
                <w:rFonts w:asciiTheme="majorBidi" w:hAnsiTheme="majorBidi" w:cstheme="majorBidi"/>
              </w:rPr>
            </w:pPr>
          </w:p>
        </w:tc>
      </w:tr>
    </w:tbl>
    <w:p w14:paraId="0976B60F" w14:textId="77777777" w:rsidR="00E833A9" w:rsidRPr="00871C59" w:rsidRDefault="00E833A9" w:rsidP="00E833A9">
      <w:pPr>
        <w:rPr>
          <w:rFonts w:asciiTheme="majorBidi" w:hAnsiTheme="majorBidi" w:cstheme="majorBidi"/>
        </w:rPr>
      </w:pPr>
    </w:p>
    <w:p w14:paraId="463C15D3" w14:textId="180C6FB1" w:rsidR="00E833A9" w:rsidRPr="00871C59" w:rsidRDefault="00E833A9" w:rsidP="00E833A9">
      <w:pPr>
        <w:rPr>
          <w:rFonts w:asciiTheme="majorBidi" w:hAnsiTheme="majorBidi" w:cstheme="majorBidi"/>
        </w:rPr>
      </w:pPr>
      <w:r w:rsidRPr="00871C59">
        <w:rPr>
          <w:rFonts w:asciiTheme="majorBidi" w:hAnsiTheme="majorBidi" w:cstheme="majorBidi"/>
        </w:rPr>
        <w:t xml:space="preserve">Please indicate whether ethical approval for project is </w:t>
      </w:r>
      <w:proofErr w:type="gramStart"/>
      <w:r w:rsidR="00871C59" w:rsidRPr="00871C59">
        <w:rPr>
          <w:rFonts w:asciiTheme="majorBidi" w:hAnsiTheme="majorBidi" w:cstheme="majorBidi"/>
        </w:rPr>
        <w:t>needed</w:t>
      </w:r>
      <w:r w:rsidR="00FD03B8" w:rsidRPr="00871C59">
        <w:rPr>
          <w:rFonts w:asciiTheme="majorBidi" w:hAnsiTheme="majorBidi" w:cstheme="majorBidi"/>
        </w:rPr>
        <w:t xml:space="preserve">– </w:t>
      </w:r>
      <w:r w:rsidR="00871C59" w:rsidRPr="00871C59">
        <w:rPr>
          <w:rFonts w:asciiTheme="majorBidi" w:hAnsiTheme="majorBidi" w:cstheme="majorBidi"/>
        </w:rPr>
        <w:t xml:space="preserve">  NO</w:t>
      </w:r>
      <w:proofErr w:type="gramEnd"/>
    </w:p>
    <w:p w14:paraId="3E4C5064" w14:textId="77777777" w:rsidR="00E833A9" w:rsidRPr="00871C59" w:rsidRDefault="00E833A9" w:rsidP="00E833A9">
      <w:pPr>
        <w:rPr>
          <w:rFonts w:asciiTheme="majorBidi" w:hAnsiTheme="majorBidi" w:cstheme="majorBidi"/>
        </w:rPr>
      </w:pPr>
    </w:p>
    <w:p w14:paraId="10B4DF6D" w14:textId="302589B5" w:rsidR="00E833A9" w:rsidRPr="00871C59" w:rsidRDefault="00E833A9" w:rsidP="00E833A9">
      <w:pPr>
        <w:rPr>
          <w:rFonts w:asciiTheme="majorBidi" w:hAnsiTheme="majorBidi" w:cstheme="majorBidi"/>
        </w:rPr>
      </w:pPr>
      <w:r w:rsidRPr="00871C59">
        <w:rPr>
          <w:rFonts w:asciiTheme="majorBidi" w:hAnsiTheme="majorBidi" w:cstheme="majorBidi"/>
        </w:rPr>
        <w:t>Please indicate whether sufficient resources are available for the project– YES</w:t>
      </w:r>
    </w:p>
    <w:p w14:paraId="0E242032" w14:textId="19D4D11B" w:rsidR="00E833A9" w:rsidRPr="00871C59" w:rsidRDefault="00072CA9" w:rsidP="00E833A9">
      <w:pPr>
        <w:rPr>
          <w:rFonts w:asciiTheme="majorBidi" w:hAnsiTheme="majorBidi" w:cstheme="majorBidi"/>
        </w:rPr>
      </w:pPr>
      <w:r w:rsidRPr="00871C59">
        <w:rPr>
          <w:rFonts w:asciiTheme="majorBidi" w:hAnsiTheme="majorBidi" w:cstheme="majorBidi"/>
        </w:rPr>
        <w:t xml:space="preserve"> </w:t>
      </w:r>
    </w:p>
    <w:p w14:paraId="1AF3CD99" w14:textId="77777777" w:rsidR="00E833A9" w:rsidRPr="00871C59" w:rsidRDefault="00E833A9" w:rsidP="00E833A9">
      <w:pPr>
        <w:rPr>
          <w:rFonts w:asciiTheme="majorBidi" w:hAnsiTheme="majorBidi" w:cstheme="majorBidi"/>
        </w:rPr>
      </w:pPr>
      <w:r w:rsidRPr="00871C59">
        <w:rPr>
          <w:rFonts w:asciiTheme="majorBidi" w:hAnsiTheme="majorBidi" w:cstheme="majorBidi"/>
        </w:rPr>
        <w:t xml:space="preserve">The above topic, proposal, and supervisor have been agreed:  </w:t>
      </w:r>
    </w:p>
    <w:p w14:paraId="1623193D" w14:textId="77777777" w:rsidR="00E833A9" w:rsidRPr="00871C59" w:rsidRDefault="00E833A9" w:rsidP="00E833A9">
      <w:pPr>
        <w:rPr>
          <w:rFonts w:asciiTheme="majorBidi" w:hAnsiTheme="majorBidi" w:cstheme="majorBidi"/>
          <w:i/>
        </w:rPr>
      </w:pPr>
      <w:r w:rsidRPr="00871C59">
        <w:rPr>
          <w:rFonts w:asciiTheme="majorBidi" w:hAnsiTheme="majorBidi" w:cstheme="majorBidi"/>
          <w:i/>
        </w:rPr>
        <w:t>Cytunwyd ar y pwnc, y cynnig a'r goruchwyliwr uchod:</w:t>
      </w:r>
    </w:p>
    <w:p w14:paraId="3B4E03AA" w14:textId="77777777" w:rsidR="00E833A9" w:rsidRPr="00871C59" w:rsidRDefault="00E833A9" w:rsidP="00E833A9">
      <w:pPr>
        <w:rPr>
          <w:rFonts w:asciiTheme="majorBidi" w:hAnsiTheme="majorBidi" w:cstheme="majorBidi"/>
        </w:rPr>
      </w:pPr>
    </w:p>
    <w:p w14:paraId="466CEA55" w14:textId="77777777" w:rsidR="00072CA9" w:rsidRPr="00871C59" w:rsidRDefault="00072CA9" w:rsidP="00E833A9">
      <w:pPr>
        <w:rPr>
          <w:rFonts w:asciiTheme="majorBidi" w:hAnsiTheme="majorBidi" w:cstheme="majorBidi"/>
        </w:rPr>
      </w:pPr>
    </w:p>
    <w:p w14:paraId="3AEF5CE3" w14:textId="77777777" w:rsidR="00E833A9" w:rsidRPr="00871C59" w:rsidRDefault="00E833A9" w:rsidP="00E833A9">
      <w:pPr>
        <w:rPr>
          <w:rFonts w:asciiTheme="majorBidi" w:hAnsiTheme="majorBidi" w:cstheme="majorBidi"/>
        </w:rPr>
      </w:pPr>
      <w:r w:rsidRPr="00871C59">
        <w:rPr>
          <w:rFonts w:asciiTheme="majorBidi" w:hAnsiTheme="majorBidi" w:cstheme="majorBidi"/>
        </w:rPr>
        <w:t xml:space="preserve">Signed : ……………………………………………………..Programme Director/ </w:t>
      </w:r>
    </w:p>
    <w:p w14:paraId="0BCB38ED" w14:textId="77777777" w:rsidR="00E833A9" w:rsidRPr="00871C59" w:rsidRDefault="00E833A9" w:rsidP="00E833A9">
      <w:pPr>
        <w:rPr>
          <w:rFonts w:asciiTheme="majorBidi" w:hAnsiTheme="majorBidi" w:cstheme="majorBidi"/>
        </w:rPr>
      </w:pPr>
      <w:r w:rsidRPr="00871C59">
        <w:rPr>
          <w:rFonts w:asciiTheme="majorBidi" w:hAnsiTheme="majorBidi" w:cstheme="majorBidi"/>
        </w:rPr>
        <w:t xml:space="preserve">Llofnod </w:t>
      </w:r>
      <w:r w:rsidRPr="00871C59">
        <w:rPr>
          <w:rFonts w:asciiTheme="majorBidi" w:hAnsiTheme="majorBidi" w:cstheme="majorBidi"/>
        </w:rPr>
        <w:tab/>
      </w:r>
      <w:r w:rsidRPr="00871C59">
        <w:rPr>
          <w:rFonts w:asciiTheme="majorBidi" w:hAnsiTheme="majorBidi" w:cstheme="majorBidi"/>
        </w:rPr>
        <w:tab/>
      </w:r>
      <w:r w:rsidRPr="00871C59">
        <w:rPr>
          <w:rFonts w:asciiTheme="majorBidi" w:hAnsiTheme="majorBidi" w:cstheme="majorBidi"/>
        </w:rPr>
        <w:tab/>
      </w:r>
      <w:r w:rsidRPr="00871C59">
        <w:rPr>
          <w:rFonts w:asciiTheme="majorBidi" w:hAnsiTheme="majorBidi" w:cstheme="majorBidi"/>
        </w:rPr>
        <w:tab/>
      </w:r>
      <w:r w:rsidRPr="00871C59">
        <w:rPr>
          <w:rFonts w:asciiTheme="majorBidi" w:hAnsiTheme="majorBidi" w:cstheme="majorBidi"/>
        </w:rPr>
        <w:tab/>
      </w:r>
      <w:r w:rsidRPr="00871C59">
        <w:rPr>
          <w:rFonts w:asciiTheme="majorBidi" w:hAnsiTheme="majorBidi" w:cstheme="majorBidi"/>
        </w:rPr>
        <w:tab/>
      </w:r>
      <w:r w:rsidRPr="00871C59">
        <w:rPr>
          <w:rFonts w:asciiTheme="majorBidi" w:hAnsiTheme="majorBidi" w:cstheme="majorBidi"/>
        </w:rPr>
        <w:tab/>
        <w:t xml:space="preserve">  Cyfarwyddwr y rhaglen</w:t>
      </w:r>
    </w:p>
    <w:p w14:paraId="0E538204" w14:textId="77777777" w:rsidR="00E833A9" w:rsidRPr="00871C59" w:rsidRDefault="00E833A9" w:rsidP="00E833A9">
      <w:pPr>
        <w:rPr>
          <w:rFonts w:asciiTheme="majorBidi" w:hAnsiTheme="majorBidi" w:cstheme="majorBidi"/>
        </w:rPr>
      </w:pPr>
    </w:p>
    <w:p w14:paraId="34AF837C" w14:textId="77777777" w:rsidR="00E833A9" w:rsidRPr="00871C59" w:rsidRDefault="00E833A9" w:rsidP="00E833A9">
      <w:pPr>
        <w:rPr>
          <w:rFonts w:asciiTheme="majorBidi" w:hAnsiTheme="majorBidi" w:cstheme="majorBidi"/>
        </w:rPr>
      </w:pPr>
    </w:p>
    <w:p w14:paraId="4C53F015" w14:textId="77777777" w:rsidR="00E833A9" w:rsidRPr="00871C59" w:rsidRDefault="00E833A9" w:rsidP="00E833A9">
      <w:pPr>
        <w:rPr>
          <w:rFonts w:asciiTheme="majorBidi" w:hAnsiTheme="majorBidi" w:cstheme="majorBidi"/>
        </w:rPr>
      </w:pPr>
      <w:r w:rsidRPr="00871C59">
        <w:rPr>
          <w:rFonts w:asciiTheme="majorBidi" w:hAnsiTheme="majorBidi" w:cstheme="majorBidi"/>
        </w:rPr>
        <w:t>Date:……………………………………………………</w:t>
      </w:r>
    </w:p>
    <w:p w14:paraId="4B2E2CC5" w14:textId="77777777" w:rsidR="00E833A9" w:rsidRPr="00871C59" w:rsidRDefault="00E833A9" w:rsidP="00E833A9">
      <w:pPr>
        <w:rPr>
          <w:rFonts w:asciiTheme="majorBidi" w:hAnsiTheme="majorBidi" w:cstheme="majorBidi"/>
        </w:rPr>
      </w:pPr>
      <w:r w:rsidRPr="00871C59">
        <w:rPr>
          <w:rFonts w:asciiTheme="majorBidi" w:hAnsiTheme="majorBidi" w:cstheme="majorBidi"/>
        </w:rPr>
        <w:t>Dyddiad</w:t>
      </w:r>
    </w:p>
    <w:p w14:paraId="457864EC" w14:textId="77777777" w:rsidR="00E833A9" w:rsidRPr="00871C59" w:rsidRDefault="00E833A9" w:rsidP="00E833A9">
      <w:pPr>
        <w:rPr>
          <w:rFonts w:asciiTheme="majorBidi" w:hAnsiTheme="majorBidi" w:cstheme="majorBidi"/>
        </w:rPr>
      </w:pPr>
    </w:p>
    <w:p w14:paraId="12840E63" w14:textId="77777777" w:rsidR="00E833A9" w:rsidRPr="00871C59" w:rsidRDefault="00E833A9" w:rsidP="00E833A9">
      <w:pPr>
        <w:rPr>
          <w:rFonts w:asciiTheme="majorBidi" w:hAnsiTheme="majorBidi" w:cstheme="majorBidi"/>
        </w:rPr>
      </w:pPr>
      <w:r w:rsidRPr="00871C59">
        <w:rPr>
          <w:rFonts w:asciiTheme="majorBidi" w:hAnsiTheme="majorBidi" w:cstheme="majorBidi"/>
        </w:rPr>
        <w:t>Please return this form to your Programme Director.</w:t>
      </w:r>
    </w:p>
    <w:p w14:paraId="406FC2DA" w14:textId="0F40D7B3" w:rsidR="002E1C3A" w:rsidRPr="00871C59" w:rsidRDefault="00E833A9" w:rsidP="004F598A">
      <w:pPr>
        <w:rPr>
          <w:rFonts w:asciiTheme="majorBidi" w:eastAsiaTheme="majorEastAsia" w:hAnsiTheme="majorBidi" w:cstheme="majorBidi"/>
          <w:color w:val="0F4761" w:themeColor="accent1" w:themeShade="BF"/>
          <w:sz w:val="40"/>
          <w:szCs w:val="40"/>
        </w:rPr>
      </w:pPr>
      <w:r w:rsidRPr="00871C59">
        <w:rPr>
          <w:rFonts w:asciiTheme="majorBidi" w:hAnsiTheme="majorBidi" w:cstheme="majorBidi"/>
        </w:rPr>
        <w:t>Dychwelwch y ffurflen hon at eich Cyfarwyddwr Rhaglen.</w:t>
      </w:r>
      <w:bookmarkEnd w:id="0"/>
      <w:r w:rsidR="002E1C3A" w:rsidRPr="00871C59">
        <w:rPr>
          <w:rFonts w:asciiTheme="majorBidi" w:eastAsiaTheme="majorEastAsia" w:hAnsiTheme="majorBidi" w:cstheme="majorBidi"/>
          <w:color w:val="0F4761" w:themeColor="accent1" w:themeShade="BF"/>
          <w:sz w:val="40"/>
          <w:szCs w:val="40"/>
        </w:rPr>
        <w:br w:type="page"/>
      </w:r>
    </w:p>
    <w:p w14:paraId="1A930555" w14:textId="4FF03D0A" w:rsidR="00BE6340" w:rsidRPr="00871C59" w:rsidRDefault="00294BEC" w:rsidP="00BE6340">
      <w:pPr>
        <w:pStyle w:val="Heading1"/>
        <w:rPr>
          <w:rFonts w:asciiTheme="majorBidi" w:hAnsiTheme="majorBidi"/>
        </w:rPr>
      </w:pPr>
      <w:r w:rsidRPr="00871C59">
        <w:rPr>
          <w:rFonts w:asciiTheme="majorBidi" w:hAnsiTheme="majorBidi"/>
        </w:rPr>
        <w:t xml:space="preserve">Extended </w:t>
      </w:r>
      <w:r w:rsidR="00BE6340" w:rsidRPr="00871C59">
        <w:rPr>
          <w:rFonts w:asciiTheme="majorBidi" w:hAnsiTheme="majorBidi"/>
        </w:rPr>
        <w:t xml:space="preserve">Preliminary Bibliography </w:t>
      </w:r>
    </w:p>
    <w:p w14:paraId="15404315"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Ackerman, S. (1992) Under Every Green Tree: Popular Religion in Sixth-Century Judah. Scholars Press.</w:t>
      </w:r>
    </w:p>
    <w:p w14:paraId="5D5A2EC1"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Alster, B. (1991) Dumuzi’s Dream: Aspects of Love in Early Sumerian Poetry. Museum Tusculanum Press.</w:t>
      </w:r>
    </w:p>
    <w:p w14:paraId="67C08FCE"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Assante, J. (2002) ‘Sex, Magic and the Liminal Body in the Erotic Art and Texts of the Old Babylonian Period’, Sex and Gender in the Ancient Near East, 1, pp. 27–52.</w:t>
      </w:r>
    </w:p>
    <w:p w14:paraId="6159CF0A"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Bachvarova, M. (2016) From Hittite to Homer: The Anatolian Background of Ancient Greek Epic. Cambridge University Press.</w:t>
      </w:r>
    </w:p>
    <w:p w14:paraId="4D68A07A"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Bahrani, Z. (2001) Women of Babylon: Gender and Representation in Mesopotamia. Routledge.</w:t>
      </w:r>
    </w:p>
    <w:p w14:paraId="41E14D19"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Barber, E. J. W. (1991) Prehistoric Textiles: The Development of Cloth in the Neolithic and Bronze Ages. Princeton University Press.</w:t>
      </w:r>
    </w:p>
    <w:p w14:paraId="7B579DAE"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Bernhardt, R. (2014) The Goddess in the Mirror: Gender and Power in Mesopotamian Religion. Brill.</w:t>
      </w:r>
    </w:p>
    <w:p w14:paraId="6B49281A"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Bonnet, C. (1988) Melqart: Cult and Iconography. Brill.</w:t>
      </w:r>
    </w:p>
    <w:p w14:paraId="70944C14"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Bottero, J. (2001) Religion in Ancient Mesopotamia. University of Chicago Press.</w:t>
      </w:r>
    </w:p>
    <w:p w14:paraId="043784FE"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Burkert, W. (1985) Greek Religion: Archaic and Classical. Harvard University Press.</w:t>
      </w:r>
    </w:p>
    <w:p w14:paraId="60F5C323"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Cameron, A. (2010) The Last Pagans of Rome. Oxford University Press.</w:t>
      </w:r>
    </w:p>
    <w:p w14:paraId="4F4BFEC4"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Campbell, J. (1949) The Hero with a Thousand Faces. Princeton University Press.</w:t>
      </w:r>
    </w:p>
    <w:p w14:paraId="31797201"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Christ, C. P. (1980) ‘Why Women Need the Goddess: Phenomenological, Psychological and Political Reflections’, Heretics and Feminists, 6(1), pp. 273–287.</w:t>
      </w:r>
    </w:p>
    <w:p w14:paraId="1B17712C"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Cooper, J. S. (1993) ‘Sacred Marriage and Popular Cult in Early Mesopotamia’, Civilizations of the Ancient Near East, 3, pp. 107–122.</w:t>
      </w:r>
    </w:p>
    <w:p w14:paraId="6D5D7288"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Detienne, M. (1989) The Gardens of Adonis: Spices in Greek Mythology. Princeton University Press.</w:t>
      </w:r>
    </w:p>
    <w:p w14:paraId="34FFCB89"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Douglas, M. (1966) Purity and Danger: An Analysis of Concepts of Pollution and Taboo. Routledge.</w:t>
      </w:r>
    </w:p>
    <w:p w14:paraId="5430119F"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Eliade, M. (1958) Patterns in Comparative Religion. Sheed &amp; Ward.</w:t>
      </w:r>
    </w:p>
    <w:p w14:paraId="5320EC35"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Eliade, M. (1963) Myth and Reality. Harper &amp; Row.</w:t>
      </w:r>
    </w:p>
    <w:p w14:paraId="3112993A"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Falkenstein, A. (1964) Die Inschriften Gudeas von Lagaš. Verlag Gebr. Mann.</w:t>
      </w:r>
    </w:p>
    <w:p w14:paraId="318D1618"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Foley, H. (1994) The Homeric Hymn to Demeter: Translation, Commentary and Interpretive Essays. Princeton University Press.</w:t>
      </w:r>
    </w:p>
    <w:p w14:paraId="0C957043"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Frazer, J. G. (1922) The Golden Bough: A Study in Magic and Religion. Macmillan.</w:t>
      </w:r>
    </w:p>
    <w:p w14:paraId="5C007023"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Frymer-Kensky, T. (1992) In the Wake of the Goddesses: Women, Culture and the Biblical Transformation of Pagan Myth. Free Press.</w:t>
      </w:r>
    </w:p>
    <w:p w14:paraId="17DAD897"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Gimbutas, M. (1989) The Language of the Goddess. Thames &amp; Hudson.</w:t>
      </w:r>
    </w:p>
    <w:p w14:paraId="41B3E595"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Goff, B. (2004) Citizen Bacchae: Women’s Ritual Practice in Ancient Greece. University of California Press.</w:t>
      </w:r>
    </w:p>
    <w:p w14:paraId="2D7B5EF8"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Graves, R. (1955) The Greek Myths. Penguin Books.</w:t>
      </w:r>
    </w:p>
    <w:p w14:paraId="70F721C3"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Harris, R. (1991) Gender and Aging in Mesopotamia. University of Oklahoma Press.</w:t>
      </w:r>
    </w:p>
    <w:p w14:paraId="53D73597"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Jacobsen, T. (1976) The Treasures of Darkness: A History of Mesopotamian Religion. Yale University Press.</w:t>
      </w:r>
    </w:p>
    <w:p w14:paraId="022FD686"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Jastrow, M. (1898) The Religion of Babylonia and Assyria. Ginn &amp; Co.</w:t>
      </w:r>
    </w:p>
    <w:p w14:paraId="00457F0B"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Jung, C. G. (1959) The Archetypes and the Collective Unconscious. Princeton University Press.</w:t>
      </w:r>
    </w:p>
    <w:p w14:paraId="05276A7F"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Katz, D. (1993) The Image of the Netherworld in the Sumerian Religion. CDL Press.</w:t>
      </w:r>
    </w:p>
    <w:p w14:paraId="542D35AA"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King, L. W. (1902) Babylonian Religion and Mythology. Kegan Paul.</w:t>
      </w:r>
    </w:p>
    <w:p w14:paraId="657098CD"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Kramer, S. N. (1963) The Sumerians: Their History, Culture and Character. University of Chicago Press.</w:t>
      </w:r>
    </w:p>
    <w:p w14:paraId="2BA2D806"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Lambert, W. G. (2013) Babylonian Creation Myths. Eisenbrauns.</w:t>
      </w:r>
    </w:p>
    <w:p w14:paraId="21463912"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Leick, G. (1994) Sex and Eroticism in Mesopotamian Literature. Routledge.</w:t>
      </w:r>
    </w:p>
    <w:p w14:paraId="1E0827AE"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Leick, G. (1998) A Dictionary of Ancient Near Eastern Mythology. Routledge.</w:t>
      </w:r>
    </w:p>
    <w:p w14:paraId="39E70445"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Lévi-Strauss, C. (1963) Structural Anthropology. Basic Books.</w:t>
      </w:r>
    </w:p>
    <w:p w14:paraId="6E9B9E89"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Lloyd, S. (1978) The Archaeology of Mesopotamia. Thames &amp; Hudson.</w:t>
      </w:r>
    </w:p>
    <w:p w14:paraId="631DD4F2"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Marinatos, N. (2010) Goddess and the Warrior. Routledge.</w:t>
      </w:r>
    </w:p>
    <w:p w14:paraId="0A7F2667"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Matthews, R. (2003) The Archaeology of Mesopotamia: Theories and Approaches. Routledge.</w:t>
      </w:r>
    </w:p>
    <w:p w14:paraId="4AF0F2C4"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Meador, B. (2000) Inanna, Lady of Largest Heart. University of Texas Press.</w:t>
      </w:r>
    </w:p>
    <w:p w14:paraId="189E2FA2"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Meskell, L. (1995) ‘Goddesses, Gimbutas and “New Age” Archaeology’, Antiquity, 69(262), pp. 74–86.</w:t>
      </w:r>
    </w:p>
    <w:p w14:paraId="079618F2"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Mettinger, T. N. D. (2001) The Riddle of Resurrection: Dying and Rising Gods in the Ancient Near East. Almqvist &amp; Wiksell.</w:t>
      </w:r>
    </w:p>
    <w:p w14:paraId="2447AD25"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Neumann, E. (1955) The Great Mother: An Analysis of the Archetype. Princeton University Press.</w:t>
      </w:r>
    </w:p>
    <w:p w14:paraId="6CCA24E1"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Nilsson, M. P. (1949) The Minoan–Mycenaean Religion. Lund.</w:t>
      </w:r>
    </w:p>
    <w:p w14:paraId="21F5ADAC"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Oden, R. (1987) The Bible without Theology. Harper &amp; Row.</w:t>
      </w:r>
    </w:p>
    <w:p w14:paraId="6914628B"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Olyan, S. (2010) Asherah and the Cult of Yahweh in Israel. Cambridge University Press.</w:t>
      </w:r>
    </w:p>
    <w:p w14:paraId="4E155E24"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Pagels, E. (1979) The Gnostic Gospels. Random House.</w:t>
      </w:r>
    </w:p>
    <w:p w14:paraId="24C95748"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Patai, R. (1990) The Hebrew Goddess. Wayne State University Press.</w:t>
      </w:r>
    </w:p>
    <w:p w14:paraId="5B263494"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Peach, L. J. (2000) Feminist Philosophy and Religion. Rowman &amp; Littlefield.</w:t>
      </w:r>
    </w:p>
    <w:p w14:paraId="63BC0048"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Perera, S. B. (1981) Descent to the Goddess. Inner City Books.</w:t>
      </w:r>
    </w:p>
    <w:p w14:paraId="3E63C749"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Pettazzoni, R. (1954) The All-Knowing God. Mouton.</w:t>
      </w:r>
    </w:p>
    <w:p w14:paraId="14E12266"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Pritchard, J. B. (ed.) (1969) Ancient Near Eastern Texts Relating to the Old Testament. Princeton University Press.</w:t>
      </w:r>
    </w:p>
    <w:p w14:paraId="1BF16598"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Rice, M. (1998) The Power of the Bull. Routledge.</w:t>
      </w:r>
    </w:p>
    <w:p w14:paraId="16D33716"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Ringgren, H. (1973) Religions of the Ancient Near East. SPCK.</w:t>
      </w:r>
    </w:p>
    <w:p w14:paraId="3FF509AE"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Rivkah, H. (1991) Gender and Aging in Mesopotamia. University of Oklahoma Press.</w:t>
      </w:r>
    </w:p>
    <w:p w14:paraId="36812503"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Rogerson, J. (1984) The Old Testament World. Cambridge University Press.</w:t>
      </w:r>
    </w:p>
    <w:p w14:paraId="1375C4E6"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Seaford, R. (1994) Reciprocity and Ritual. Oxford University Press.</w:t>
      </w:r>
    </w:p>
    <w:p w14:paraId="280F791B"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Selz, G. (1998) Studies in the Cultural History of Early Mesopotamia. Ugarit-Verlag.</w:t>
      </w:r>
    </w:p>
    <w:p w14:paraId="74A5DA92"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Sjoberg, A. W. (1976) ‘In-nin ša-gur-ra: A Hymn to the Goddess Inanna by the en-Priestess Enheduanna’, Zeitschrift für Assyriologie, 65, pp. 161–253.</w:t>
      </w:r>
    </w:p>
    <w:p w14:paraId="19BF041C"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Spretnak, C. (1991) States of Grace. HarperSanFrancisco.</w:t>
      </w:r>
    </w:p>
    <w:p w14:paraId="500D5D65"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Starr, I. (1983) The Rituals of the Diviner. Yale University Press.</w:t>
      </w:r>
    </w:p>
    <w:p w14:paraId="2BC4C083"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Steinkeller, P. (1993) ‘Early Political Development in Mesopotamia’, Civilizations of the Ancient Near East, 1, pp. 107–123.</w:t>
      </w:r>
    </w:p>
    <w:p w14:paraId="361A2CBE"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Stone, M. (1976) When God Was a Woman. Harcourt Brace Jovanovich.</w:t>
      </w:r>
    </w:p>
    <w:p w14:paraId="253355FC"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Tigay, J. H. (1983) The Evolution of the Gilgamesh Epic. University of Pennsylvania Press.</w:t>
      </w:r>
    </w:p>
    <w:p w14:paraId="3D7659AC"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Trémouille, M.-C. (2008) Ishtar, Astarte, Aphrodite: Continuity or Change? Brill.</w:t>
      </w:r>
    </w:p>
    <w:p w14:paraId="005AED03"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Vernant, J.-P. (1988) Myth and Society in Ancient Greece. Zone Books.</w:t>
      </w:r>
    </w:p>
    <w:p w14:paraId="3B43312E"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Vermaseren, M. J. (1977) Cybele and Attis: The Myth and the Cult. Thames &amp; Hudson.</w:t>
      </w:r>
    </w:p>
    <w:p w14:paraId="1BC2882F"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Walker, B. G. (1983) The Woman’s Encyclopedia of Myths and Secrets. Harper &amp; Row.</w:t>
      </w:r>
    </w:p>
    <w:p w14:paraId="10EF261B"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Watkins, C. (1995) How to Kill a Dragon. Oxford University Press.</w:t>
      </w:r>
    </w:p>
    <w:p w14:paraId="419581AC"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Weinfeld, M. (1991) Deuteronomy and the Deuteronomic School. Oxford University Press.</w:t>
      </w:r>
    </w:p>
    <w:p w14:paraId="1F9C6F3D"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West, M. L. (1997) The East Face of Helicon. Oxford University Press.</w:t>
      </w:r>
    </w:p>
    <w:p w14:paraId="4F644323"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Westenholz, J. G. (1989) ‘Ishtar in the Neo-Assyrian Pantheon’, Akkadica, 63, pp. 15–33.</w:t>
      </w:r>
    </w:p>
    <w:p w14:paraId="54707699"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Wiggermann, F. A. M. (1992) Mesopotamian Protective Spirits. STYX Publications.</w:t>
      </w:r>
    </w:p>
    <w:p w14:paraId="7982A019"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Winter, I. (1999) On Art in the Ancient Near East: Of the First Millennium BCE. Brill.</w:t>
      </w:r>
    </w:p>
    <w:p w14:paraId="2344DB17"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Wolkstein, D. and Kramer, S. N. (1983) Inanna: Queen of Heaven and Earth. Harper &amp; Row.</w:t>
      </w:r>
    </w:p>
    <w:p w14:paraId="2395CC83"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Woods, C. (2010) Visible Language: Inventions of Writing in the Ancient Middle East and Beyond. University of Chicago Press.</w:t>
      </w:r>
    </w:p>
    <w:p w14:paraId="44D3782F"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Wright, D. P. (2001) Ritual in Narrative. Eisenbrauns.</w:t>
      </w:r>
    </w:p>
    <w:p w14:paraId="7FB67E8F"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Wyatt, N. (2002) Religious Texts from Ugarit. Sheffield Academic Press.</w:t>
      </w:r>
    </w:p>
    <w:p w14:paraId="17222BD6"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Zernecke, A. E. (2021) Female Figures, Gender and Violence in the Hebrew Bible. Brill.</w:t>
      </w:r>
    </w:p>
    <w:p w14:paraId="14F87C33" w14:textId="77777777"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Zgoll, A. (1997) Der Rechtsfall der Inanna. Ugarit-Verlag.</w:t>
      </w:r>
    </w:p>
    <w:p w14:paraId="3C89EA39" w14:textId="1BC160A2" w:rsidR="00BE6340" w:rsidRPr="00871C59" w:rsidRDefault="00BE6340" w:rsidP="00BE6340">
      <w:pPr>
        <w:pStyle w:val="Bibliography"/>
        <w:rPr>
          <w:rFonts w:asciiTheme="majorBidi" w:hAnsiTheme="majorBidi" w:cstheme="majorBidi"/>
        </w:rPr>
      </w:pPr>
      <w:r w:rsidRPr="00871C59">
        <w:rPr>
          <w:rFonts w:asciiTheme="majorBidi" w:hAnsiTheme="majorBidi" w:cstheme="majorBidi"/>
        </w:rPr>
        <w:t>Zgoll, A. (2013) Inanna, Ištar, Astarte: Eine Gestalt zwischen Mythos und Ritual. Vandenhoeck &amp; Ruprecht.</w:t>
      </w:r>
    </w:p>
    <w:sectPr w:rsidR="00BE6340" w:rsidRPr="00871C59">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43055E" w14:textId="77777777" w:rsidR="00262737" w:rsidRPr="008326DD" w:rsidRDefault="00262737" w:rsidP="00304483">
      <w:pPr>
        <w:spacing w:after="0" w:line="240" w:lineRule="auto"/>
      </w:pPr>
      <w:r w:rsidRPr="008326DD">
        <w:separator/>
      </w:r>
    </w:p>
  </w:endnote>
  <w:endnote w:type="continuationSeparator" w:id="0">
    <w:p w14:paraId="5707C41E" w14:textId="77777777" w:rsidR="00262737" w:rsidRPr="008326DD" w:rsidRDefault="00262737" w:rsidP="00304483">
      <w:pPr>
        <w:spacing w:after="0" w:line="240" w:lineRule="auto"/>
      </w:pPr>
      <w:r w:rsidRPr="008326D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1CCE21" w14:textId="67060D78" w:rsidR="001E4E68" w:rsidRPr="001E4E68" w:rsidRDefault="001E4E68">
    <w:pPr>
      <w:pStyle w:val="Footer"/>
      <w:rPr>
        <w:rFonts w:asciiTheme="majorBidi" w:hAnsiTheme="majorBidi" w:cstheme="majorBidi"/>
      </w:rPr>
    </w:pPr>
    <w:r w:rsidRPr="001E4E68">
      <w:rPr>
        <w:rFonts w:asciiTheme="majorBidi" w:hAnsiTheme="majorBidi" w:cstheme="majorBidi"/>
      </w:rPr>
      <w:t>Kyle T. Cobb, Jr.</w:t>
    </w:r>
    <w:r w:rsidRPr="001E4E68">
      <w:rPr>
        <w:rFonts w:asciiTheme="majorBidi" w:hAnsiTheme="majorBidi" w:cstheme="majorBidi"/>
      </w:rPr>
      <w:ptab w:relativeTo="margin" w:alignment="center" w:leader="none"/>
    </w:r>
    <w:r w:rsidRPr="001E4E68">
      <w:rPr>
        <w:rFonts w:asciiTheme="majorBidi" w:hAnsiTheme="majorBidi" w:cstheme="majorBidi"/>
      </w:rPr>
      <w:fldChar w:fldCharType="begin"/>
    </w:r>
    <w:r w:rsidRPr="001E4E68">
      <w:rPr>
        <w:rFonts w:asciiTheme="majorBidi" w:hAnsiTheme="majorBidi" w:cstheme="majorBidi"/>
      </w:rPr>
      <w:instrText>PAGE   \* MERGEFORMAT</w:instrText>
    </w:r>
    <w:r w:rsidRPr="001E4E68">
      <w:rPr>
        <w:rFonts w:asciiTheme="majorBidi" w:hAnsiTheme="majorBidi" w:cstheme="majorBidi"/>
      </w:rPr>
      <w:fldChar w:fldCharType="separate"/>
    </w:r>
    <w:r w:rsidRPr="001E4E68">
      <w:rPr>
        <w:rFonts w:asciiTheme="majorBidi" w:hAnsiTheme="majorBidi" w:cstheme="majorBidi"/>
        <w:b/>
        <w:bCs/>
      </w:rPr>
      <w:t>1</w:t>
    </w:r>
    <w:r w:rsidRPr="001E4E68">
      <w:rPr>
        <w:rFonts w:asciiTheme="majorBidi" w:hAnsiTheme="majorBidi" w:cstheme="majorBidi"/>
        <w:b/>
        <w:bCs/>
      </w:rPr>
      <w:fldChar w:fldCharType="end"/>
    </w:r>
    <w:r w:rsidRPr="001E4E68">
      <w:rPr>
        <w:rFonts w:asciiTheme="majorBidi" w:hAnsiTheme="majorBidi" w:cstheme="majorBidi"/>
        <w:b/>
        <w:bCs/>
      </w:rPr>
      <w:t xml:space="preserve"> </w:t>
    </w:r>
    <w:r w:rsidRPr="001E4E68">
      <w:rPr>
        <w:rFonts w:asciiTheme="majorBidi" w:hAnsiTheme="majorBidi" w:cstheme="majorBidi"/>
      </w:rPr>
      <w:t>|</w:t>
    </w:r>
    <w:r w:rsidRPr="001E4E68">
      <w:rPr>
        <w:rFonts w:asciiTheme="majorBidi" w:hAnsiTheme="majorBidi" w:cstheme="majorBidi"/>
        <w:b/>
        <w:bCs/>
      </w:rPr>
      <w:t xml:space="preserve"> </w:t>
    </w:r>
    <w:r w:rsidRPr="001E4E68">
      <w:rPr>
        <w:rFonts w:asciiTheme="majorBidi" w:hAnsiTheme="majorBidi" w:cstheme="majorBidi"/>
        <w:color w:val="7F7F7F" w:themeColor="background1" w:themeShade="7F"/>
        <w:spacing w:val="60"/>
      </w:rPr>
      <w:t>Page</w:t>
    </w:r>
    <w:r w:rsidRPr="001E4E68">
      <w:rPr>
        <w:rFonts w:asciiTheme="majorBidi" w:hAnsiTheme="majorBidi" w:cstheme="majorBidi"/>
      </w:rPr>
      <w:ptab w:relativeTo="margin" w:alignment="right" w:leader="none"/>
    </w:r>
    <w:r w:rsidR="00E833A9" w:rsidRPr="00E833A9">
      <w:t xml:space="preserve"> </w:t>
    </w:r>
    <w:r w:rsidR="00E833A9" w:rsidRPr="00E833A9">
      <w:rPr>
        <w:rFonts w:asciiTheme="majorBidi" w:hAnsiTheme="majorBidi" w:cstheme="majorBidi"/>
      </w:rPr>
      <w:t>HPRS7007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3A571A" w14:textId="77777777" w:rsidR="00262737" w:rsidRPr="008326DD" w:rsidRDefault="00262737" w:rsidP="00304483">
      <w:pPr>
        <w:spacing w:after="0" w:line="240" w:lineRule="auto"/>
      </w:pPr>
      <w:r w:rsidRPr="008326DD">
        <w:separator/>
      </w:r>
    </w:p>
  </w:footnote>
  <w:footnote w:type="continuationSeparator" w:id="0">
    <w:p w14:paraId="68B349A8" w14:textId="77777777" w:rsidR="00262737" w:rsidRPr="008326DD" w:rsidRDefault="00262737" w:rsidP="00304483">
      <w:pPr>
        <w:spacing w:after="0" w:line="240" w:lineRule="auto"/>
      </w:pPr>
      <w:r w:rsidRPr="008326DD">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6F8896" w14:textId="0BA3A658" w:rsidR="001E4E68" w:rsidRPr="001E4E68" w:rsidRDefault="001E4E68">
    <w:pPr>
      <w:pStyle w:val="Header"/>
      <w:rPr>
        <w:rFonts w:asciiTheme="majorBidi" w:hAnsiTheme="majorBidi" w:cstheme="majorBidi"/>
      </w:rPr>
    </w:pPr>
    <w:r w:rsidRPr="001E4E68">
      <w:rPr>
        <w:rFonts w:asciiTheme="majorBidi" w:hAnsiTheme="majorBidi" w:cstheme="majorBidi"/>
      </w:rPr>
      <w:t>2317833</w:t>
    </w:r>
    <w:r w:rsidRPr="001E4E68">
      <w:rPr>
        <w:rFonts w:asciiTheme="majorBidi" w:hAnsiTheme="majorBidi" w:cstheme="majorBidi"/>
      </w:rPr>
      <w:ptab w:relativeTo="margin" w:alignment="center" w:leader="none"/>
    </w:r>
    <w:r w:rsidRPr="001E4E68">
      <w:rPr>
        <w:rFonts w:asciiTheme="majorBidi" w:hAnsiTheme="majorBidi" w:cstheme="majorBidi"/>
      </w:rPr>
      <w:t xml:space="preserve"> </w:t>
    </w:r>
    <w:r w:rsidR="004F598A" w:rsidRPr="004F598A">
      <w:rPr>
        <w:rFonts w:asciiTheme="majorBidi" w:hAnsiTheme="majorBidi" w:cstheme="majorBidi"/>
      </w:rPr>
      <w:t>Inanna</w:t>
    </w:r>
    <w:r w:rsidR="00B5298F">
      <w:rPr>
        <w:rFonts w:asciiTheme="majorBidi" w:hAnsiTheme="majorBidi" w:cstheme="majorBidi"/>
      </w:rPr>
      <w:t xml:space="preserve">, </w:t>
    </w:r>
    <w:r w:rsidR="004F598A" w:rsidRPr="004F598A">
      <w:rPr>
        <w:rFonts w:asciiTheme="majorBidi" w:hAnsiTheme="majorBidi" w:cstheme="majorBidi"/>
      </w:rPr>
      <w:t>archetypical goddess of Power and of Renewal</w:t>
    </w:r>
    <w:r w:rsidRPr="001E4E68">
      <w:rPr>
        <w:rFonts w:asciiTheme="majorBidi" w:hAnsiTheme="majorBidi" w:cstheme="majorBidi"/>
      </w:rP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A36AC8"/>
    <w:multiLevelType w:val="hybridMultilevel"/>
    <w:tmpl w:val="E9748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4930FA"/>
    <w:multiLevelType w:val="hybridMultilevel"/>
    <w:tmpl w:val="64A2307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2" w15:restartNumberingAfterBreak="0">
    <w:nsid w:val="347A792B"/>
    <w:multiLevelType w:val="hybridMultilevel"/>
    <w:tmpl w:val="565EEA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5A23C0"/>
    <w:multiLevelType w:val="hybridMultilevel"/>
    <w:tmpl w:val="48F074C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 w15:restartNumberingAfterBreak="0">
    <w:nsid w:val="452438A5"/>
    <w:multiLevelType w:val="hybridMultilevel"/>
    <w:tmpl w:val="C16CF4D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16cid:durableId="867334126">
    <w:abstractNumId w:val="2"/>
  </w:num>
  <w:num w:numId="2" w16cid:durableId="1895462096">
    <w:abstractNumId w:val="0"/>
  </w:num>
  <w:num w:numId="3" w16cid:durableId="1718360960">
    <w:abstractNumId w:val="4"/>
  </w:num>
  <w:num w:numId="4" w16cid:durableId="1658875254">
    <w:abstractNumId w:val="1"/>
  </w:num>
  <w:num w:numId="5" w16cid:durableId="20914639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483"/>
    <w:rsid w:val="00000B12"/>
    <w:rsid w:val="0000120F"/>
    <w:rsid w:val="0000297C"/>
    <w:rsid w:val="000047E2"/>
    <w:rsid w:val="00004D97"/>
    <w:rsid w:val="000052B0"/>
    <w:rsid w:val="00007C36"/>
    <w:rsid w:val="0002566C"/>
    <w:rsid w:val="0004319E"/>
    <w:rsid w:val="00050AFA"/>
    <w:rsid w:val="00055354"/>
    <w:rsid w:val="00056606"/>
    <w:rsid w:val="0006236C"/>
    <w:rsid w:val="000660E8"/>
    <w:rsid w:val="00071893"/>
    <w:rsid w:val="00072CA9"/>
    <w:rsid w:val="00077201"/>
    <w:rsid w:val="000809F8"/>
    <w:rsid w:val="00081C17"/>
    <w:rsid w:val="000864A1"/>
    <w:rsid w:val="000874AC"/>
    <w:rsid w:val="00093A18"/>
    <w:rsid w:val="00093A7E"/>
    <w:rsid w:val="000A0506"/>
    <w:rsid w:val="000B27A9"/>
    <w:rsid w:val="000B2F31"/>
    <w:rsid w:val="000B6626"/>
    <w:rsid w:val="000C156D"/>
    <w:rsid w:val="000C1EA8"/>
    <w:rsid w:val="000D1DF0"/>
    <w:rsid w:val="000D6EEE"/>
    <w:rsid w:val="000E007F"/>
    <w:rsid w:val="000E2D26"/>
    <w:rsid w:val="000F34E3"/>
    <w:rsid w:val="000F7591"/>
    <w:rsid w:val="001029F0"/>
    <w:rsid w:val="0010312A"/>
    <w:rsid w:val="00107088"/>
    <w:rsid w:val="0011595D"/>
    <w:rsid w:val="0013170C"/>
    <w:rsid w:val="00182AEF"/>
    <w:rsid w:val="001962EC"/>
    <w:rsid w:val="001A0106"/>
    <w:rsid w:val="001A2A6B"/>
    <w:rsid w:val="001C4BEB"/>
    <w:rsid w:val="001C53B3"/>
    <w:rsid w:val="001C54FA"/>
    <w:rsid w:val="001C5657"/>
    <w:rsid w:val="001E477F"/>
    <w:rsid w:val="001E4E68"/>
    <w:rsid w:val="001F002C"/>
    <w:rsid w:val="001F14B6"/>
    <w:rsid w:val="001F7ABB"/>
    <w:rsid w:val="00205CA0"/>
    <w:rsid w:val="0020639B"/>
    <w:rsid w:val="002158DA"/>
    <w:rsid w:val="00215EEB"/>
    <w:rsid w:val="0022147E"/>
    <w:rsid w:val="00225B89"/>
    <w:rsid w:val="00230BA8"/>
    <w:rsid w:val="00234AB0"/>
    <w:rsid w:val="00245B7D"/>
    <w:rsid w:val="0024649D"/>
    <w:rsid w:val="00252AD9"/>
    <w:rsid w:val="00255112"/>
    <w:rsid w:val="00262737"/>
    <w:rsid w:val="00264AD5"/>
    <w:rsid w:val="002713AE"/>
    <w:rsid w:val="00280D44"/>
    <w:rsid w:val="00280FBD"/>
    <w:rsid w:val="00291053"/>
    <w:rsid w:val="00294BEC"/>
    <w:rsid w:val="00296CBF"/>
    <w:rsid w:val="002A1F04"/>
    <w:rsid w:val="002A49EB"/>
    <w:rsid w:val="002A4D3E"/>
    <w:rsid w:val="002B5225"/>
    <w:rsid w:val="002C1D96"/>
    <w:rsid w:val="002C3091"/>
    <w:rsid w:val="002E1C3A"/>
    <w:rsid w:val="002E4D35"/>
    <w:rsid w:val="002E5447"/>
    <w:rsid w:val="002E693C"/>
    <w:rsid w:val="002F0B78"/>
    <w:rsid w:val="002F2FD5"/>
    <w:rsid w:val="003040EA"/>
    <w:rsid w:val="00304483"/>
    <w:rsid w:val="0030616A"/>
    <w:rsid w:val="00310023"/>
    <w:rsid w:val="003152B2"/>
    <w:rsid w:val="00315681"/>
    <w:rsid w:val="003165FB"/>
    <w:rsid w:val="003172DB"/>
    <w:rsid w:val="0032430D"/>
    <w:rsid w:val="00327443"/>
    <w:rsid w:val="003342DF"/>
    <w:rsid w:val="003358E4"/>
    <w:rsid w:val="00335914"/>
    <w:rsid w:val="00337715"/>
    <w:rsid w:val="003444B8"/>
    <w:rsid w:val="00347442"/>
    <w:rsid w:val="00363BE7"/>
    <w:rsid w:val="003641F1"/>
    <w:rsid w:val="00371EF3"/>
    <w:rsid w:val="00374A62"/>
    <w:rsid w:val="003755DC"/>
    <w:rsid w:val="00395DAF"/>
    <w:rsid w:val="003963B0"/>
    <w:rsid w:val="0039771F"/>
    <w:rsid w:val="003A2216"/>
    <w:rsid w:val="003A7B20"/>
    <w:rsid w:val="003B0DBD"/>
    <w:rsid w:val="003C6955"/>
    <w:rsid w:val="003D318A"/>
    <w:rsid w:val="003E4EC3"/>
    <w:rsid w:val="003F2F3C"/>
    <w:rsid w:val="003F7FDB"/>
    <w:rsid w:val="00412380"/>
    <w:rsid w:val="004129F6"/>
    <w:rsid w:val="0042394D"/>
    <w:rsid w:val="00423965"/>
    <w:rsid w:val="00427C72"/>
    <w:rsid w:val="00435CFC"/>
    <w:rsid w:val="00441F59"/>
    <w:rsid w:val="00446842"/>
    <w:rsid w:val="00455CDB"/>
    <w:rsid w:val="0045702B"/>
    <w:rsid w:val="004626A0"/>
    <w:rsid w:val="00466FAB"/>
    <w:rsid w:val="00467850"/>
    <w:rsid w:val="00480955"/>
    <w:rsid w:val="00486BFE"/>
    <w:rsid w:val="00493AF9"/>
    <w:rsid w:val="004A6E49"/>
    <w:rsid w:val="004C62DA"/>
    <w:rsid w:val="004D34E5"/>
    <w:rsid w:val="004D7AED"/>
    <w:rsid w:val="004E0899"/>
    <w:rsid w:val="004E1038"/>
    <w:rsid w:val="004F598A"/>
    <w:rsid w:val="004F7083"/>
    <w:rsid w:val="0050252C"/>
    <w:rsid w:val="00507FB1"/>
    <w:rsid w:val="00516238"/>
    <w:rsid w:val="00517607"/>
    <w:rsid w:val="005204A8"/>
    <w:rsid w:val="005344E4"/>
    <w:rsid w:val="00537665"/>
    <w:rsid w:val="00543A36"/>
    <w:rsid w:val="00545407"/>
    <w:rsid w:val="0055380D"/>
    <w:rsid w:val="00557D8C"/>
    <w:rsid w:val="00560A82"/>
    <w:rsid w:val="00571CF2"/>
    <w:rsid w:val="0057560E"/>
    <w:rsid w:val="00580771"/>
    <w:rsid w:val="00585B2D"/>
    <w:rsid w:val="00585E90"/>
    <w:rsid w:val="0058667B"/>
    <w:rsid w:val="005872EE"/>
    <w:rsid w:val="0059650D"/>
    <w:rsid w:val="005A29CC"/>
    <w:rsid w:val="005A30CC"/>
    <w:rsid w:val="005A7B1F"/>
    <w:rsid w:val="005B63A1"/>
    <w:rsid w:val="005C2AFA"/>
    <w:rsid w:val="005C4299"/>
    <w:rsid w:val="005D5DE9"/>
    <w:rsid w:val="005E05ED"/>
    <w:rsid w:val="005E19AA"/>
    <w:rsid w:val="005E4BBC"/>
    <w:rsid w:val="005F1E46"/>
    <w:rsid w:val="00620241"/>
    <w:rsid w:val="006207BF"/>
    <w:rsid w:val="0063721E"/>
    <w:rsid w:val="00640319"/>
    <w:rsid w:val="006442FF"/>
    <w:rsid w:val="00646B16"/>
    <w:rsid w:val="0065056D"/>
    <w:rsid w:val="00666FEB"/>
    <w:rsid w:val="00667096"/>
    <w:rsid w:val="00675397"/>
    <w:rsid w:val="006A369B"/>
    <w:rsid w:val="006A6F07"/>
    <w:rsid w:val="006A7ED4"/>
    <w:rsid w:val="006B7B2B"/>
    <w:rsid w:val="006D0477"/>
    <w:rsid w:val="006E2655"/>
    <w:rsid w:val="006E65E8"/>
    <w:rsid w:val="006F353F"/>
    <w:rsid w:val="00700653"/>
    <w:rsid w:val="0070268F"/>
    <w:rsid w:val="00711201"/>
    <w:rsid w:val="00712D30"/>
    <w:rsid w:val="00720E52"/>
    <w:rsid w:val="00732685"/>
    <w:rsid w:val="00734BCC"/>
    <w:rsid w:val="0074098D"/>
    <w:rsid w:val="00747374"/>
    <w:rsid w:val="00754CDF"/>
    <w:rsid w:val="00757E2C"/>
    <w:rsid w:val="00763897"/>
    <w:rsid w:val="007666A5"/>
    <w:rsid w:val="00771610"/>
    <w:rsid w:val="007750EC"/>
    <w:rsid w:val="00785818"/>
    <w:rsid w:val="00785C66"/>
    <w:rsid w:val="007923D7"/>
    <w:rsid w:val="007955D2"/>
    <w:rsid w:val="007B11B4"/>
    <w:rsid w:val="007B14D3"/>
    <w:rsid w:val="007C154C"/>
    <w:rsid w:val="007C1889"/>
    <w:rsid w:val="007C4FA8"/>
    <w:rsid w:val="007C669E"/>
    <w:rsid w:val="007C7316"/>
    <w:rsid w:val="007F0211"/>
    <w:rsid w:val="007F20BE"/>
    <w:rsid w:val="007F5B7F"/>
    <w:rsid w:val="007F6402"/>
    <w:rsid w:val="008043CC"/>
    <w:rsid w:val="00805E5C"/>
    <w:rsid w:val="0080710A"/>
    <w:rsid w:val="00812E5D"/>
    <w:rsid w:val="008326DD"/>
    <w:rsid w:val="008332AA"/>
    <w:rsid w:val="00834C65"/>
    <w:rsid w:val="00840E21"/>
    <w:rsid w:val="00841A71"/>
    <w:rsid w:val="0084200A"/>
    <w:rsid w:val="008502CD"/>
    <w:rsid w:val="00857FF6"/>
    <w:rsid w:val="008603F4"/>
    <w:rsid w:val="00863EE4"/>
    <w:rsid w:val="00864187"/>
    <w:rsid w:val="008664D2"/>
    <w:rsid w:val="008712CA"/>
    <w:rsid w:val="00871C59"/>
    <w:rsid w:val="008739A1"/>
    <w:rsid w:val="00881FBE"/>
    <w:rsid w:val="008822EF"/>
    <w:rsid w:val="00882833"/>
    <w:rsid w:val="0089305C"/>
    <w:rsid w:val="00894E5C"/>
    <w:rsid w:val="00896B96"/>
    <w:rsid w:val="008B6480"/>
    <w:rsid w:val="008E056C"/>
    <w:rsid w:val="008E7D0C"/>
    <w:rsid w:val="008F4B21"/>
    <w:rsid w:val="0090016B"/>
    <w:rsid w:val="00906C15"/>
    <w:rsid w:val="009164F7"/>
    <w:rsid w:val="00923543"/>
    <w:rsid w:val="00932F2A"/>
    <w:rsid w:val="0094637A"/>
    <w:rsid w:val="0094729B"/>
    <w:rsid w:val="00951F01"/>
    <w:rsid w:val="00952029"/>
    <w:rsid w:val="00973FA4"/>
    <w:rsid w:val="00982C08"/>
    <w:rsid w:val="00985D05"/>
    <w:rsid w:val="009875FA"/>
    <w:rsid w:val="00990E2E"/>
    <w:rsid w:val="00992F68"/>
    <w:rsid w:val="009A42D6"/>
    <w:rsid w:val="009B277F"/>
    <w:rsid w:val="009B6AEE"/>
    <w:rsid w:val="009B6B1F"/>
    <w:rsid w:val="009C1B97"/>
    <w:rsid w:val="009C6172"/>
    <w:rsid w:val="009D126D"/>
    <w:rsid w:val="009D4948"/>
    <w:rsid w:val="009E11FD"/>
    <w:rsid w:val="009E62D8"/>
    <w:rsid w:val="009F061E"/>
    <w:rsid w:val="00A03AB6"/>
    <w:rsid w:val="00A07858"/>
    <w:rsid w:val="00A078C0"/>
    <w:rsid w:val="00A13832"/>
    <w:rsid w:val="00A21F0C"/>
    <w:rsid w:val="00A31D73"/>
    <w:rsid w:val="00A45DBD"/>
    <w:rsid w:val="00A46BFC"/>
    <w:rsid w:val="00A547D0"/>
    <w:rsid w:val="00A61DE4"/>
    <w:rsid w:val="00A657B3"/>
    <w:rsid w:val="00A6786D"/>
    <w:rsid w:val="00A8358F"/>
    <w:rsid w:val="00A839AD"/>
    <w:rsid w:val="00A86C40"/>
    <w:rsid w:val="00A86D71"/>
    <w:rsid w:val="00A86FAE"/>
    <w:rsid w:val="00A87B95"/>
    <w:rsid w:val="00A90105"/>
    <w:rsid w:val="00A95144"/>
    <w:rsid w:val="00AB4878"/>
    <w:rsid w:val="00AB48DA"/>
    <w:rsid w:val="00AF5824"/>
    <w:rsid w:val="00B0604B"/>
    <w:rsid w:val="00B22A91"/>
    <w:rsid w:val="00B2772D"/>
    <w:rsid w:val="00B35470"/>
    <w:rsid w:val="00B433B4"/>
    <w:rsid w:val="00B43D56"/>
    <w:rsid w:val="00B5298F"/>
    <w:rsid w:val="00B56B41"/>
    <w:rsid w:val="00B56DC9"/>
    <w:rsid w:val="00B669DE"/>
    <w:rsid w:val="00B7317E"/>
    <w:rsid w:val="00B80738"/>
    <w:rsid w:val="00B92201"/>
    <w:rsid w:val="00BA4828"/>
    <w:rsid w:val="00BB36A9"/>
    <w:rsid w:val="00BB3FE8"/>
    <w:rsid w:val="00BC02DA"/>
    <w:rsid w:val="00BC4981"/>
    <w:rsid w:val="00BC6E6F"/>
    <w:rsid w:val="00BE49BC"/>
    <w:rsid w:val="00BE49ED"/>
    <w:rsid w:val="00BE6340"/>
    <w:rsid w:val="00BF451F"/>
    <w:rsid w:val="00BF746F"/>
    <w:rsid w:val="00C1096B"/>
    <w:rsid w:val="00C1610A"/>
    <w:rsid w:val="00C21A99"/>
    <w:rsid w:val="00C32B94"/>
    <w:rsid w:val="00C40A10"/>
    <w:rsid w:val="00C41BED"/>
    <w:rsid w:val="00C63DAC"/>
    <w:rsid w:val="00C66E74"/>
    <w:rsid w:val="00C706EE"/>
    <w:rsid w:val="00C801C1"/>
    <w:rsid w:val="00C93BA3"/>
    <w:rsid w:val="00C93C77"/>
    <w:rsid w:val="00C95DA8"/>
    <w:rsid w:val="00CA10AB"/>
    <w:rsid w:val="00CB4BAB"/>
    <w:rsid w:val="00CB5170"/>
    <w:rsid w:val="00CB5753"/>
    <w:rsid w:val="00CD675C"/>
    <w:rsid w:val="00CD6768"/>
    <w:rsid w:val="00CE454A"/>
    <w:rsid w:val="00D01E44"/>
    <w:rsid w:val="00D020C9"/>
    <w:rsid w:val="00D04E53"/>
    <w:rsid w:val="00D20687"/>
    <w:rsid w:val="00D21C38"/>
    <w:rsid w:val="00D251DB"/>
    <w:rsid w:val="00D31CE5"/>
    <w:rsid w:val="00D41AB1"/>
    <w:rsid w:val="00D43FB2"/>
    <w:rsid w:val="00D45C6C"/>
    <w:rsid w:val="00D45CA3"/>
    <w:rsid w:val="00D52B64"/>
    <w:rsid w:val="00D52F6C"/>
    <w:rsid w:val="00D60241"/>
    <w:rsid w:val="00D82514"/>
    <w:rsid w:val="00D93443"/>
    <w:rsid w:val="00DA1AB6"/>
    <w:rsid w:val="00DA3B91"/>
    <w:rsid w:val="00DA7D10"/>
    <w:rsid w:val="00DB7E61"/>
    <w:rsid w:val="00DD2F06"/>
    <w:rsid w:val="00DF3039"/>
    <w:rsid w:val="00DF35C8"/>
    <w:rsid w:val="00DF472A"/>
    <w:rsid w:val="00E05A4A"/>
    <w:rsid w:val="00E1216E"/>
    <w:rsid w:val="00E473E1"/>
    <w:rsid w:val="00E5018D"/>
    <w:rsid w:val="00E55020"/>
    <w:rsid w:val="00E57B32"/>
    <w:rsid w:val="00E83107"/>
    <w:rsid w:val="00E833A9"/>
    <w:rsid w:val="00E87C18"/>
    <w:rsid w:val="00E93072"/>
    <w:rsid w:val="00E9439B"/>
    <w:rsid w:val="00E971FC"/>
    <w:rsid w:val="00EB5388"/>
    <w:rsid w:val="00EB7E0E"/>
    <w:rsid w:val="00ED5B19"/>
    <w:rsid w:val="00EE26FC"/>
    <w:rsid w:val="00EE3C8B"/>
    <w:rsid w:val="00EE6193"/>
    <w:rsid w:val="00EF3DCD"/>
    <w:rsid w:val="00F13B2D"/>
    <w:rsid w:val="00F27B78"/>
    <w:rsid w:val="00F40357"/>
    <w:rsid w:val="00F412B7"/>
    <w:rsid w:val="00F620FC"/>
    <w:rsid w:val="00F679BD"/>
    <w:rsid w:val="00F82AD7"/>
    <w:rsid w:val="00F84BA9"/>
    <w:rsid w:val="00F905DD"/>
    <w:rsid w:val="00F90B57"/>
    <w:rsid w:val="00F93ECF"/>
    <w:rsid w:val="00F95543"/>
    <w:rsid w:val="00FA19A1"/>
    <w:rsid w:val="00FA74CA"/>
    <w:rsid w:val="00FA7C03"/>
    <w:rsid w:val="00FB5D5B"/>
    <w:rsid w:val="00FB7A55"/>
    <w:rsid w:val="00FC0983"/>
    <w:rsid w:val="00FC3E6D"/>
    <w:rsid w:val="00FD03B8"/>
    <w:rsid w:val="00FE3DA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3EF7383"/>
  <w15:chartTrackingRefBased/>
  <w15:docId w15:val="{785B7B08-EA52-4E51-A024-51B9B8893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5DA8"/>
  </w:style>
  <w:style w:type="paragraph" w:styleId="Heading1">
    <w:name w:val="heading 1"/>
    <w:basedOn w:val="Normal"/>
    <w:next w:val="Normal"/>
    <w:link w:val="Heading1Char"/>
    <w:uiPriority w:val="9"/>
    <w:qFormat/>
    <w:rsid w:val="003044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044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044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044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44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44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44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44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44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UWTSDindent">
    <w:name w:val="UWTSD indent"/>
    <w:basedOn w:val="BodyTextFirstIndent"/>
    <w:link w:val="UWTSDindentChar"/>
    <w:qFormat/>
    <w:rsid w:val="00A6786D"/>
    <w:pPr>
      <w:spacing w:line="360" w:lineRule="auto"/>
      <w:ind w:firstLine="357"/>
    </w:pPr>
    <w:rPr>
      <w:rFonts w:ascii="Times New Roman" w:hAnsi="Times New Roman"/>
      <w:sz w:val="24"/>
      <w:lang w:val="en-US"/>
    </w:rPr>
  </w:style>
  <w:style w:type="character" w:customStyle="1" w:styleId="UWTSDindentChar">
    <w:name w:val="UWTSD indent Char"/>
    <w:basedOn w:val="BodyTextFirstIndentChar"/>
    <w:link w:val="UWTSDindent"/>
    <w:rsid w:val="00A6786D"/>
    <w:rPr>
      <w:rFonts w:ascii="Times New Roman" w:hAnsi="Times New Roman"/>
      <w:sz w:val="24"/>
      <w:lang w:val="en-US"/>
    </w:rPr>
  </w:style>
  <w:style w:type="paragraph" w:styleId="BodyText">
    <w:name w:val="Body Text"/>
    <w:basedOn w:val="Normal"/>
    <w:link w:val="BodyTextChar"/>
    <w:uiPriority w:val="99"/>
    <w:semiHidden/>
    <w:unhideWhenUsed/>
    <w:rsid w:val="000D6EEE"/>
    <w:pPr>
      <w:spacing w:after="120"/>
    </w:pPr>
  </w:style>
  <w:style w:type="character" w:customStyle="1" w:styleId="BodyTextChar">
    <w:name w:val="Body Text Char"/>
    <w:basedOn w:val="DefaultParagraphFont"/>
    <w:link w:val="BodyText"/>
    <w:uiPriority w:val="99"/>
    <w:semiHidden/>
    <w:rsid w:val="000D6EEE"/>
  </w:style>
  <w:style w:type="paragraph" w:styleId="BodyTextFirstIndent">
    <w:name w:val="Body Text First Indent"/>
    <w:basedOn w:val="BodyText"/>
    <w:link w:val="BodyTextFirstIndentChar"/>
    <w:uiPriority w:val="99"/>
    <w:semiHidden/>
    <w:unhideWhenUsed/>
    <w:rsid w:val="000D6EEE"/>
    <w:pPr>
      <w:spacing w:after="160"/>
      <w:ind w:firstLine="360"/>
    </w:pPr>
  </w:style>
  <w:style w:type="character" w:customStyle="1" w:styleId="BodyTextFirstIndentChar">
    <w:name w:val="Body Text First Indent Char"/>
    <w:basedOn w:val="BodyTextChar"/>
    <w:link w:val="BodyTextFirstIndent"/>
    <w:uiPriority w:val="99"/>
    <w:semiHidden/>
    <w:rsid w:val="000D6EEE"/>
  </w:style>
  <w:style w:type="character" w:customStyle="1" w:styleId="Heading1Char">
    <w:name w:val="Heading 1 Char"/>
    <w:basedOn w:val="DefaultParagraphFont"/>
    <w:link w:val="Heading1"/>
    <w:uiPriority w:val="9"/>
    <w:rsid w:val="003044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044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044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044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44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44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44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44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4483"/>
    <w:rPr>
      <w:rFonts w:eastAsiaTheme="majorEastAsia" w:cstheme="majorBidi"/>
      <w:color w:val="272727" w:themeColor="text1" w:themeTint="D8"/>
    </w:rPr>
  </w:style>
  <w:style w:type="paragraph" w:styleId="Title">
    <w:name w:val="Title"/>
    <w:basedOn w:val="Normal"/>
    <w:next w:val="Normal"/>
    <w:link w:val="TitleChar"/>
    <w:uiPriority w:val="10"/>
    <w:qFormat/>
    <w:rsid w:val="003044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44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44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44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05DD"/>
    <w:pPr>
      <w:spacing w:before="160"/>
      <w:ind w:left="284" w:right="284"/>
      <w:mirrorIndents/>
    </w:pPr>
    <w:rPr>
      <w:rFonts w:asciiTheme="majorBidi" w:hAnsiTheme="majorBidi"/>
      <w:i/>
      <w:iCs/>
      <w:color w:val="404040" w:themeColor="text1" w:themeTint="BF"/>
    </w:rPr>
  </w:style>
  <w:style w:type="character" w:customStyle="1" w:styleId="QuoteChar">
    <w:name w:val="Quote Char"/>
    <w:basedOn w:val="DefaultParagraphFont"/>
    <w:link w:val="Quote"/>
    <w:uiPriority w:val="29"/>
    <w:rsid w:val="00F905DD"/>
    <w:rPr>
      <w:rFonts w:asciiTheme="majorBidi" w:hAnsiTheme="majorBidi"/>
      <w:i/>
      <w:iCs/>
      <w:color w:val="404040" w:themeColor="text1" w:themeTint="BF"/>
    </w:rPr>
  </w:style>
  <w:style w:type="paragraph" w:styleId="ListParagraph">
    <w:name w:val="List Paragraph"/>
    <w:basedOn w:val="Normal"/>
    <w:uiPriority w:val="34"/>
    <w:qFormat/>
    <w:rsid w:val="00304483"/>
    <w:pPr>
      <w:ind w:left="720"/>
      <w:contextualSpacing/>
    </w:pPr>
  </w:style>
  <w:style w:type="character" w:styleId="IntenseEmphasis">
    <w:name w:val="Intense Emphasis"/>
    <w:basedOn w:val="DefaultParagraphFont"/>
    <w:uiPriority w:val="21"/>
    <w:qFormat/>
    <w:rsid w:val="00304483"/>
    <w:rPr>
      <w:i/>
      <w:iCs/>
      <w:color w:val="0F4761" w:themeColor="accent1" w:themeShade="BF"/>
    </w:rPr>
  </w:style>
  <w:style w:type="paragraph" w:styleId="IntenseQuote">
    <w:name w:val="Intense Quote"/>
    <w:basedOn w:val="Normal"/>
    <w:next w:val="Normal"/>
    <w:link w:val="IntenseQuoteChar"/>
    <w:uiPriority w:val="30"/>
    <w:qFormat/>
    <w:rsid w:val="003044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4483"/>
    <w:rPr>
      <w:i/>
      <w:iCs/>
      <w:color w:val="0F4761" w:themeColor="accent1" w:themeShade="BF"/>
    </w:rPr>
  </w:style>
  <w:style w:type="character" w:styleId="IntenseReference">
    <w:name w:val="Intense Reference"/>
    <w:basedOn w:val="DefaultParagraphFont"/>
    <w:uiPriority w:val="32"/>
    <w:qFormat/>
    <w:rsid w:val="00304483"/>
    <w:rPr>
      <w:b/>
      <w:bCs/>
      <w:smallCaps/>
      <w:color w:val="0F4761" w:themeColor="accent1" w:themeShade="BF"/>
      <w:spacing w:val="5"/>
    </w:rPr>
  </w:style>
  <w:style w:type="paragraph" w:styleId="FootnoteText">
    <w:name w:val="footnote text"/>
    <w:basedOn w:val="Normal"/>
    <w:link w:val="FootnoteTextChar"/>
    <w:uiPriority w:val="99"/>
    <w:unhideWhenUsed/>
    <w:rsid w:val="0022147E"/>
    <w:pPr>
      <w:spacing w:after="0" w:line="240" w:lineRule="auto"/>
    </w:pPr>
    <w:rPr>
      <w:rFonts w:cs="Times New Roman"/>
      <w:sz w:val="20"/>
      <w:szCs w:val="20"/>
    </w:rPr>
  </w:style>
  <w:style w:type="character" w:customStyle="1" w:styleId="FootnoteTextChar">
    <w:name w:val="Footnote Text Char"/>
    <w:basedOn w:val="DefaultParagraphFont"/>
    <w:link w:val="FootnoteText"/>
    <w:uiPriority w:val="99"/>
    <w:rsid w:val="0022147E"/>
    <w:rPr>
      <w:rFonts w:cs="Times New Roman"/>
      <w:sz w:val="20"/>
      <w:szCs w:val="20"/>
    </w:rPr>
  </w:style>
  <w:style w:type="character" w:styleId="FootnoteReference">
    <w:name w:val="footnote reference"/>
    <w:basedOn w:val="DefaultParagraphFont"/>
    <w:uiPriority w:val="99"/>
    <w:semiHidden/>
    <w:unhideWhenUsed/>
    <w:rsid w:val="00304483"/>
    <w:rPr>
      <w:vertAlign w:val="superscript"/>
    </w:rPr>
  </w:style>
  <w:style w:type="paragraph" w:styleId="Caption">
    <w:name w:val="caption"/>
    <w:basedOn w:val="Normal"/>
    <w:next w:val="Normal"/>
    <w:uiPriority w:val="35"/>
    <w:unhideWhenUsed/>
    <w:qFormat/>
    <w:rsid w:val="00F40357"/>
    <w:pPr>
      <w:spacing w:after="200" w:line="240" w:lineRule="auto"/>
    </w:pPr>
    <w:rPr>
      <w:i/>
      <w:iCs/>
      <w:color w:val="0E2841" w:themeColor="text2"/>
      <w:sz w:val="18"/>
      <w:szCs w:val="18"/>
    </w:rPr>
  </w:style>
  <w:style w:type="table" w:styleId="TableGrid">
    <w:name w:val="Table Grid"/>
    <w:basedOn w:val="TableNormal"/>
    <w:uiPriority w:val="39"/>
    <w:rsid w:val="00230B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E4E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E68"/>
  </w:style>
  <w:style w:type="paragraph" w:styleId="Footer">
    <w:name w:val="footer"/>
    <w:basedOn w:val="Normal"/>
    <w:link w:val="FooterChar"/>
    <w:uiPriority w:val="99"/>
    <w:unhideWhenUsed/>
    <w:rsid w:val="001E4E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E68"/>
  </w:style>
  <w:style w:type="paragraph" w:styleId="Bibliography">
    <w:name w:val="Bibliography"/>
    <w:basedOn w:val="Normal"/>
    <w:next w:val="Normal"/>
    <w:uiPriority w:val="37"/>
    <w:unhideWhenUsed/>
    <w:rsid w:val="00C95D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30441">
      <w:bodyDiv w:val="1"/>
      <w:marLeft w:val="0"/>
      <w:marRight w:val="0"/>
      <w:marTop w:val="0"/>
      <w:marBottom w:val="0"/>
      <w:divBdr>
        <w:top w:val="none" w:sz="0" w:space="0" w:color="auto"/>
        <w:left w:val="none" w:sz="0" w:space="0" w:color="auto"/>
        <w:bottom w:val="none" w:sz="0" w:space="0" w:color="auto"/>
        <w:right w:val="none" w:sz="0" w:space="0" w:color="auto"/>
      </w:divBdr>
    </w:div>
    <w:div w:id="750737019">
      <w:bodyDiv w:val="1"/>
      <w:marLeft w:val="0"/>
      <w:marRight w:val="0"/>
      <w:marTop w:val="0"/>
      <w:marBottom w:val="0"/>
      <w:divBdr>
        <w:top w:val="none" w:sz="0" w:space="0" w:color="auto"/>
        <w:left w:val="none" w:sz="0" w:space="0" w:color="auto"/>
        <w:bottom w:val="none" w:sz="0" w:space="0" w:color="auto"/>
        <w:right w:val="none" w:sz="0" w:space="0" w:color="auto"/>
      </w:divBdr>
    </w:div>
    <w:div w:id="785272406">
      <w:bodyDiv w:val="1"/>
      <w:marLeft w:val="0"/>
      <w:marRight w:val="0"/>
      <w:marTop w:val="0"/>
      <w:marBottom w:val="0"/>
      <w:divBdr>
        <w:top w:val="none" w:sz="0" w:space="0" w:color="auto"/>
        <w:left w:val="none" w:sz="0" w:space="0" w:color="auto"/>
        <w:bottom w:val="none" w:sz="0" w:space="0" w:color="auto"/>
        <w:right w:val="none" w:sz="0" w:space="0" w:color="auto"/>
      </w:divBdr>
    </w:div>
    <w:div w:id="1904296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FE6BFB-5088-449E-A9D4-2797F0736C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1</Pages>
  <Words>2239</Words>
  <Characters>12763</Characters>
  <Application>Microsoft Office Word</Application>
  <DocSecurity>0</DocSecurity>
  <Lines>106</Lines>
  <Paragraphs>29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Extended Preliminary Bibliography </vt:lpstr>
    </vt:vector>
  </TitlesOfParts>
  <Company/>
  <LinksUpToDate>false</LinksUpToDate>
  <CharactersWithSpaces>14973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 cobb</dc:creator>
  <cp:keywords/>
  <dc:description/>
  <cp:lastModifiedBy>kyl cobb</cp:lastModifiedBy>
  <cp:revision>10</cp:revision>
  <dcterms:created xsi:type="dcterms:W3CDTF">2025-10-15T02:29:00Z</dcterms:created>
  <dcterms:modified xsi:type="dcterms:W3CDTF">2025-10-16T01:20:00Z</dcterms:modified>
</cp:coreProperties>
</file>