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8DA10" w14:textId="607285CE" w:rsidR="005E1B9D" w:rsidRPr="005E1B9D" w:rsidRDefault="005E1B9D" w:rsidP="005E1B9D">
      <w:pPr>
        <w:jc w:val="center"/>
        <w:rPr>
          <w:b/>
          <w:sz w:val="28"/>
          <w:u w:val="single"/>
        </w:rPr>
      </w:pPr>
      <w:r w:rsidRPr="005E1B9D">
        <w:rPr>
          <w:b/>
          <w:sz w:val="28"/>
          <w:u w:val="single"/>
        </w:rPr>
        <w:t xml:space="preserve">Dissertation Proposal </w:t>
      </w:r>
    </w:p>
    <w:p w14:paraId="6FD06067" w14:textId="6C95733D" w:rsidR="005E1B9D" w:rsidRDefault="003E47F6" w:rsidP="005E1B9D">
      <w:pPr>
        <w:jc w:val="center"/>
        <w:rPr>
          <w:b/>
          <w:u w:val="single"/>
        </w:rPr>
      </w:pPr>
      <w:r>
        <w:rPr>
          <w:b/>
          <w:u w:val="single"/>
        </w:rPr>
        <w:t xml:space="preserve">A Critical analysis of </w:t>
      </w:r>
      <w:r w:rsidR="000B4FE7" w:rsidRPr="005E1B9D">
        <w:rPr>
          <w:b/>
          <w:u w:val="single"/>
        </w:rPr>
        <w:t>corporate</w:t>
      </w:r>
      <w:r w:rsidR="005E1B9D" w:rsidRPr="005E1B9D">
        <w:rPr>
          <w:b/>
          <w:u w:val="single"/>
        </w:rPr>
        <w:t xml:space="preserve"> social responsibility </w:t>
      </w:r>
      <w:r w:rsidR="00A77333">
        <w:rPr>
          <w:b/>
          <w:u w:val="single"/>
        </w:rPr>
        <w:t>communication</w:t>
      </w:r>
      <w:r w:rsidR="005E1B9D" w:rsidRPr="005E1B9D">
        <w:rPr>
          <w:b/>
          <w:u w:val="single"/>
        </w:rPr>
        <w:t xml:space="preserve"> by </w:t>
      </w:r>
      <w:r>
        <w:rPr>
          <w:b/>
          <w:u w:val="single"/>
        </w:rPr>
        <w:t>global</w:t>
      </w:r>
      <w:r w:rsidR="005E1B9D" w:rsidRPr="005E1B9D">
        <w:rPr>
          <w:b/>
          <w:u w:val="single"/>
        </w:rPr>
        <w:t xml:space="preserve"> gambling </w:t>
      </w:r>
      <w:r>
        <w:rPr>
          <w:b/>
          <w:u w:val="single"/>
        </w:rPr>
        <w:t>operators</w:t>
      </w:r>
      <w:r w:rsidR="008C6C9F">
        <w:rPr>
          <w:b/>
          <w:u w:val="single"/>
        </w:rPr>
        <w:t>;</w:t>
      </w:r>
      <w:r w:rsidR="005E1B9D" w:rsidRPr="005E1B9D">
        <w:rPr>
          <w:b/>
          <w:u w:val="single"/>
        </w:rPr>
        <w:t xml:space="preserve"> Commitment, initiatives and performance.  </w:t>
      </w:r>
    </w:p>
    <w:p w14:paraId="7C2E5894" w14:textId="19093269" w:rsidR="005E1B9D" w:rsidRDefault="005E1B9D" w:rsidP="005E1B9D">
      <w:pPr>
        <w:jc w:val="both"/>
        <w:rPr>
          <w:b/>
          <w:u w:val="single"/>
        </w:rPr>
      </w:pPr>
    </w:p>
    <w:p w14:paraId="10DF9760" w14:textId="4DBF3489" w:rsidR="005E1B9D" w:rsidRDefault="005E1B9D" w:rsidP="005E1B9D">
      <w:pPr>
        <w:jc w:val="both"/>
        <w:rPr>
          <w:b/>
          <w:u w:val="single"/>
        </w:rPr>
      </w:pPr>
      <w:r>
        <w:rPr>
          <w:b/>
          <w:u w:val="single"/>
        </w:rPr>
        <w:t xml:space="preserve">Introduction </w:t>
      </w:r>
    </w:p>
    <w:p w14:paraId="095C19CE" w14:textId="0A986A24" w:rsidR="00D932B1" w:rsidRPr="00856173" w:rsidRDefault="00A53AD1" w:rsidP="00D932B1">
      <w:pPr>
        <w:jc w:val="both"/>
      </w:pPr>
      <w:r>
        <w:t>Gambling has always been a prominent factor within society from the earlies</w:t>
      </w:r>
      <w:r w:rsidR="00156DF3">
        <w:t>t forms of ancient civilisation</w:t>
      </w:r>
      <w:r>
        <w:t xml:space="preserve"> </w:t>
      </w:r>
      <w:sdt>
        <w:sdtPr>
          <w:id w:val="1569222432"/>
          <w:citation/>
        </w:sdtPr>
        <w:sdtContent>
          <w:r>
            <w:fldChar w:fldCharType="begin"/>
          </w:r>
          <w:r>
            <w:instrText xml:space="preserve"> CITATION Dun16 \l 2057 </w:instrText>
          </w:r>
          <w:r>
            <w:fldChar w:fldCharType="separate"/>
          </w:r>
          <w:r w:rsidR="005610A8">
            <w:rPr>
              <w:noProof/>
            </w:rPr>
            <w:t>(Dunlop, 2016)</w:t>
          </w:r>
          <w:r>
            <w:fldChar w:fldCharType="end"/>
          </w:r>
        </w:sdtContent>
      </w:sdt>
      <w:r>
        <w:t xml:space="preserve">, and through the advancements of technology within the millennium market, globalisation has been </w:t>
      </w:r>
      <w:r w:rsidR="00935F3A">
        <w:t xml:space="preserve">a catalyst for the exploitation of online gambling. Globalisation has powerful dimensions such as political, cultural, economic and social whereby organisations such as governments or business have significant international influences and operating scale </w:t>
      </w:r>
      <w:r w:rsidR="00935F3A">
        <w:rPr>
          <w:noProof/>
        </w:rPr>
        <w:t xml:space="preserve">(Wells et al., 2001). </w:t>
      </w:r>
      <w:r w:rsidR="00D932B1">
        <w:t xml:space="preserve">Over the last nine years, the growth of the online gambling industry has increased by $31.45 billion with a projection to grow a further $4.6 billion by the end of the financial year in 2019 </w:t>
      </w:r>
      <w:sdt>
        <w:sdtPr>
          <w:id w:val="2069221841"/>
          <w:citation/>
        </w:sdtPr>
        <w:sdtEndPr/>
        <w:sdtContent>
          <w:r w:rsidR="00D932B1">
            <w:fldChar w:fldCharType="begin"/>
          </w:r>
          <w:r w:rsidR="00D932B1">
            <w:instrText xml:space="preserve"> CITATION Sta18 \l 2057 </w:instrText>
          </w:r>
          <w:r w:rsidR="00D932B1">
            <w:fldChar w:fldCharType="separate"/>
          </w:r>
          <w:r w:rsidR="005610A8">
            <w:rPr>
              <w:noProof/>
            </w:rPr>
            <w:t>(Statista, 2018)</w:t>
          </w:r>
          <w:r w:rsidR="00D932B1">
            <w:fldChar w:fldCharType="end"/>
          </w:r>
        </w:sdtContent>
      </w:sdt>
      <w:r w:rsidR="00D932B1">
        <w:t xml:space="preserve">. Online gambling involves activities such as casinos, sports betting, lotteries and bingo whereby every year, online gambling associations have seen an increase in users on online gambling platforms with an even more drastic increase in unregulated and emerging online gambling countries. </w:t>
      </w:r>
      <w:r w:rsidR="00156DF3">
        <w:t xml:space="preserve">Gambling </w:t>
      </w:r>
      <w:r w:rsidR="00D54D7F">
        <w:t>is recognised for growing into being a core part</w:t>
      </w:r>
      <w:r w:rsidR="00156DF3">
        <w:t xml:space="preserve"> f</w:t>
      </w:r>
      <w:r w:rsidR="00D54D7F">
        <w:t>or members within</w:t>
      </w:r>
      <w:r w:rsidR="00156DF3">
        <w:t xml:space="preserve"> society</w:t>
      </w:r>
      <w:r w:rsidR="00D54D7F">
        <w:t xml:space="preserve"> </w:t>
      </w:r>
      <w:sdt>
        <w:sdtPr>
          <w:id w:val="-1740864545"/>
          <w:citation/>
        </w:sdtPr>
        <w:sdtContent>
          <w:r w:rsidR="00D54D7F">
            <w:fldChar w:fldCharType="begin"/>
          </w:r>
          <w:r w:rsidR="00D54D7F">
            <w:instrText xml:space="preserve"> CITATION Rei06 \l 2057 </w:instrText>
          </w:r>
          <w:r w:rsidR="00D54D7F">
            <w:fldChar w:fldCharType="separate"/>
          </w:r>
          <w:r w:rsidR="005610A8">
            <w:rPr>
              <w:noProof/>
            </w:rPr>
            <w:t>(Reith, 2006)</w:t>
          </w:r>
          <w:r w:rsidR="00D54D7F">
            <w:fldChar w:fldCharType="end"/>
          </w:r>
        </w:sdtContent>
      </w:sdt>
      <w:r w:rsidR="00D54D7F">
        <w:t>,</w:t>
      </w:r>
      <w:r w:rsidR="00156DF3">
        <w:t xml:space="preserve"> with </w:t>
      </w:r>
      <w:sdt>
        <w:sdtPr>
          <w:id w:val="-2004887589"/>
          <w:citation/>
        </w:sdtPr>
        <w:sdtContent>
          <w:r w:rsidR="00156DF3">
            <w:fldChar w:fldCharType="begin"/>
          </w:r>
          <w:r w:rsidR="00156DF3">
            <w:instrText xml:space="preserve"> CITATION Cas08 \l 2057 </w:instrText>
          </w:r>
          <w:r w:rsidR="00156DF3">
            <w:fldChar w:fldCharType="separate"/>
          </w:r>
          <w:r w:rsidR="005610A8">
            <w:rPr>
              <w:noProof/>
            </w:rPr>
            <w:t>(Casey, 2008)</w:t>
          </w:r>
          <w:r w:rsidR="00156DF3">
            <w:fldChar w:fldCharType="end"/>
          </w:r>
        </w:sdtContent>
      </w:sdt>
      <w:r w:rsidR="00156DF3">
        <w:t xml:space="preserve"> </w:t>
      </w:r>
      <w:r w:rsidR="00D54D7F">
        <w:t>highlighting that this is driven by</w:t>
      </w:r>
      <w:r w:rsidR="00156DF3">
        <w:t xml:space="preserve"> four different motives for gambling; economic capital, social capital, cultural capital and emotional capital. </w:t>
      </w:r>
      <w:r w:rsidR="00935F3A">
        <w:t>Due to the incremental growth of online gambling, it is ever more prominent for powerful global gambling operators to commit to positive CSR initiatives</w:t>
      </w:r>
      <w:r w:rsidR="005C5D75">
        <w:t xml:space="preserve"> and to demonstrate positive and effective methods of CSR communication to stakeholders</w:t>
      </w:r>
      <w:r w:rsidR="00935F3A">
        <w:t xml:space="preserve">.  </w:t>
      </w:r>
    </w:p>
    <w:p w14:paraId="4723B7DB" w14:textId="0844E8FF" w:rsidR="005E1B9D" w:rsidRDefault="005E1B9D" w:rsidP="005E1B9D">
      <w:pPr>
        <w:jc w:val="both"/>
        <w:rPr>
          <w:b/>
          <w:u w:val="single"/>
        </w:rPr>
      </w:pPr>
      <w:r>
        <w:rPr>
          <w:b/>
          <w:u w:val="single"/>
        </w:rPr>
        <w:t>Research Rationale</w:t>
      </w:r>
      <w:r w:rsidR="008C6C9F">
        <w:rPr>
          <w:b/>
          <w:u w:val="single"/>
        </w:rPr>
        <w:t xml:space="preserve"> </w:t>
      </w:r>
    </w:p>
    <w:p w14:paraId="4A4289FD" w14:textId="04D80C21" w:rsidR="005610A8" w:rsidRDefault="00EC301E" w:rsidP="005E1B9D">
      <w:pPr>
        <w:jc w:val="both"/>
      </w:pPr>
      <w:r>
        <w:t xml:space="preserve">The purpose for this research project is to </w:t>
      </w:r>
      <w:r w:rsidR="00AA38BB">
        <w:t xml:space="preserve">critically </w:t>
      </w:r>
      <w:r>
        <w:t xml:space="preserve">evaluate whether corporate social responsibility </w:t>
      </w:r>
      <w:r w:rsidR="000B4FE7">
        <w:t xml:space="preserve">communication </w:t>
      </w:r>
      <w:r>
        <w:t xml:space="preserve">is being </w:t>
      </w:r>
      <w:r w:rsidR="000B4FE7">
        <w:t>delivered effectively</w:t>
      </w:r>
      <w:r>
        <w:t xml:space="preserve"> by global </w:t>
      </w:r>
      <w:r w:rsidR="00AA38BB">
        <w:t>gambling operators</w:t>
      </w:r>
      <w:r>
        <w:t>.</w:t>
      </w:r>
      <w:r w:rsidR="00AA38BB">
        <w:t xml:space="preserve"> CSR communication forms as a key strategy for organisations to effectively manage and meet stakeholders’ expectation </w:t>
      </w:r>
      <w:sdt>
        <w:sdtPr>
          <w:id w:val="614031940"/>
          <w:citation/>
        </w:sdtPr>
        <w:sdtContent>
          <w:r w:rsidR="00AA38BB">
            <w:fldChar w:fldCharType="begin"/>
          </w:r>
          <w:r w:rsidR="00AA38BB">
            <w:instrText xml:space="preserve"> CITATION Pel16 \l 2057 </w:instrText>
          </w:r>
          <w:r w:rsidR="00AA38BB">
            <w:fldChar w:fldCharType="separate"/>
          </w:r>
          <w:r w:rsidR="005610A8">
            <w:rPr>
              <w:noProof/>
            </w:rPr>
            <w:t>(Pellinen, 2016)</w:t>
          </w:r>
          <w:r w:rsidR="00AA38BB">
            <w:fldChar w:fldCharType="end"/>
          </w:r>
        </w:sdtContent>
      </w:sdt>
      <w:r w:rsidR="00AA38BB">
        <w:t xml:space="preserve">. </w:t>
      </w:r>
      <w:r>
        <w:t xml:space="preserve">Based on </w:t>
      </w:r>
      <w:r w:rsidR="00AA38BB">
        <w:t>carrying out a</w:t>
      </w:r>
      <w:r>
        <w:t xml:space="preserve"> content analysis of annual reports and other published reports, the investigator can identify communication methods used by gambling associations</w:t>
      </w:r>
      <w:r w:rsidR="001C197B">
        <w:t xml:space="preserve"> to report commitment to CSR goals and whether specific initiatives are being undertaken to contribute to current gambling </w:t>
      </w:r>
      <w:r w:rsidR="00AA38BB">
        <w:t>issues within society</w:t>
      </w:r>
      <w:r w:rsidR="001C197B">
        <w:t xml:space="preserve">. The study </w:t>
      </w:r>
      <w:r w:rsidR="00AA38BB">
        <w:t xml:space="preserve">will </w:t>
      </w:r>
      <w:r w:rsidR="001C197B">
        <w:t>also h</w:t>
      </w:r>
      <w:r w:rsidR="00AA38BB">
        <w:t>ighlight challenges global gambling</w:t>
      </w:r>
      <w:r w:rsidR="001C197B">
        <w:t xml:space="preserve"> o</w:t>
      </w:r>
      <w:r w:rsidR="00AA38BB">
        <w:t>perators</w:t>
      </w:r>
      <w:r w:rsidR="001C197B">
        <w:t xml:space="preserve"> </w:t>
      </w:r>
      <w:r w:rsidR="00AA38BB">
        <w:t>face</w:t>
      </w:r>
      <w:r w:rsidR="001C197B">
        <w:t xml:space="preserve"> to </w:t>
      </w:r>
      <w:r w:rsidR="00320FEF">
        <w:t>communicate and practice CSR initiatives</w:t>
      </w:r>
      <w:r w:rsidR="001C197B">
        <w:t xml:space="preserve"> on an international scale. Some </w:t>
      </w:r>
      <w:r w:rsidR="00320FEF">
        <w:t xml:space="preserve">challenges operators may face </w:t>
      </w:r>
      <w:r w:rsidR="001C197B">
        <w:t xml:space="preserve">such as a deregulated system within a country or the legalisation of gambling in emerging countries. </w:t>
      </w:r>
      <w:r w:rsidR="00320FEF">
        <w:t>Furthermore, the</w:t>
      </w:r>
      <w:r w:rsidR="001C197B">
        <w:t xml:space="preserve"> study</w:t>
      </w:r>
      <w:r w:rsidR="00320FEF">
        <w:t xml:space="preserve"> will</w:t>
      </w:r>
      <w:r w:rsidR="001C197B">
        <w:t xml:space="preserve"> also </w:t>
      </w:r>
      <w:r w:rsidR="00320FEF">
        <w:t xml:space="preserve">the issues relating to CSR communication expressed by audiences why may take park in an arisen </w:t>
      </w:r>
      <w:r w:rsidR="001C197B">
        <w:t xml:space="preserve">perspective of audiences </w:t>
      </w:r>
      <w:r w:rsidR="00320FEF">
        <w:t>through conducting a</w:t>
      </w:r>
      <w:r w:rsidR="001C197B">
        <w:t xml:space="preserve"> questionnaire. </w:t>
      </w:r>
    </w:p>
    <w:p w14:paraId="2AD4F514" w14:textId="77777777" w:rsidR="005610A8" w:rsidRDefault="005610A8" w:rsidP="005E1B9D">
      <w:pPr>
        <w:jc w:val="both"/>
      </w:pPr>
    </w:p>
    <w:p w14:paraId="6BA8B74F" w14:textId="77777777" w:rsidR="005610A8" w:rsidRDefault="005610A8" w:rsidP="005E1B9D">
      <w:pPr>
        <w:jc w:val="both"/>
      </w:pPr>
    </w:p>
    <w:p w14:paraId="42F917C0" w14:textId="77777777" w:rsidR="005610A8" w:rsidRDefault="005610A8" w:rsidP="005E1B9D">
      <w:pPr>
        <w:jc w:val="both"/>
      </w:pPr>
    </w:p>
    <w:p w14:paraId="4BEB9EB5" w14:textId="77777777" w:rsidR="005610A8" w:rsidRDefault="005610A8" w:rsidP="005E1B9D">
      <w:pPr>
        <w:jc w:val="both"/>
      </w:pPr>
    </w:p>
    <w:p w14:paraId="5A2731AC" w14:textId="77777777" w:rsidR="005610A8" w:rsidRDefault="005610A8" w:rsidP="005E1B9D">
      <w:pPr>
        <w:jc w:val="both"/>
      </w:pPr>
    </w:p>
    <w:p w14:paraId="7DB69996" w14:textId="77777777" w:rsidR="005610A8" w:rsidRDefault="005610A8" w:rsidP="005E1B9D">
      <w:pPr>
        <w:jc w:val="both"/>
      </w:pPr>
    </w:p>
    <w:p w14:paraId="56AB43B8" w14:textId="2CA98095" w:rsidR="00EC301E" w:rsidRDefault="00EC301E" w:rsidP="005E1B9D">
      <w:pPr>
        <w:jc w:val="both"/>
      </w:pPr>
      <w:r>
        <w:t xml:space="preserve"> </w:t>
      </w:r>
    </w:p>
    <w:p w14:paraId="758482F2" w14:textId="2F736070" w:rsidR="00EC301E" w:rsidRDefault="00EC301E" w:rsidP="005E1B9D">
      <w:pPr>
        <w:jc w:val="both"/>
        <w:rPr>
          <w:b/>
          <w:u w:val="single"/>
        </w:rPr>
      </w:pPr>
      <w:r w:rsidRPr="00E274EE">
        <w:rPr>
          <w:b/>
          <w:u w:val="single"/>
        </w:rPr>
        <w:lastRenderedPageBreak/>
        <w:t>Aims and Objectives</w:t>
      </w:r>
    </w:p>
    <w:p w14:paraId="4846C5A5" w14:textId="76E477E6" w:rsidR="00E274EE" w:rsidRPr="00E274EE" w:rsidRDefault="00E274EE" w:rsidP="005E1B9D">
      <w:pPr>
        <w:jc w:val="both"/>
      </w:pPr>
      <w:r w:rsidRPr="00E274EE">
        <w:t xml:space="preserve">The </w:t>
      </w:r>
      <w:r w:rsidR="007127C3">
        <w:t>aim of this study is to critically evaluate CSR reporting by global operating gambling associations and the commitment, initiatives those organisation have within the industry and how they are performing. Furthermore, an evaluation on an audiences perception on the issues within gambling along with their view on CSR reporting and communications led by these large organisations. The following objectives for this research project are</w:t>
      </w:r>
      <w:r w:rsidRPr="00E274EE">
        <w:t>;</w:t>
      </w:r>
    </w:p>
    <w:p w14:paraId="6DFCA411" w14:textId="010570E2" w:rsidR="005E1B9D" w:rsidRDefault="003D07FC" w:rsidP="00744087">
      <w:pPr>
        <w:pStyle w:val="ListParagraph"/>
        <w:numPr>
          <w:ilvl w:val="0"/>
          <w:numId w:val="5"/>
        </w:numPr>
        <w:jc w:val="both"/>
      </w:pPr>
      <w:r>
        <w:t>To undertake an extensive literature review in CSR communication within the global gambling industry.</w:t>
      </w:r>
    </w:p>
    <w:p w14:paraId="48C82CE6" w14:textId="77777777" w:rsidR="003D07FC" w:rsidRDefault="003D07FC" w:rsidP="003D07FC">
      <w:pPr>
        <w:pStyle w:val="ListParagraph"/>
        <w:jc w:val="both"/>
      </w:pPr>
    </w:p>
    <w:p w14:paraId="641F32ED" w14:textId="426F4022" w:rsidR="00E274EE" w:rsidRDefault="00E274EE" w:rsidP="00744087">
      <w:pPr>
        <w:pStyle w:val="ListParagraph"/>
        <w:numPr>
          <w:ilvl w:val="0"/>
          <w:numId w:val="5"/>
        </w:numPr>
        <w:jc w:val="both"/>
      </w:pPr>
      <w:r>
        <w:t>E</w:t>
      </w:r>
      <w:r w:rsidRPr="001C197B">
        <w:t xml:space="preserve">valuate the </w:t>
      </w:r>
      <w:r>
        <w:t>importance of CSR and CSR communication within the global gambling industry</w:t>
      </w:r>
      <w:r w:rsidR="003D07FC">
        <w:t xml:space="preserve"> through conducting a content analysis</w:t>
      </w:r>
      <w:r>
        <w:t xml:space="preserve">. </w:t>
      </w:r>
    </w:p>
    <w:p w14:paraId="25BF77BE" w14:textId="77777777" w:rsidR="003D07FC" w:rsidRDefault="003D07FC" w:rsidP="003D07FC">
      <w:pPr>
        <w:pStyle w:val="ListParagraph"/>
      </w:pPr>
    </w:p>
    <w:p w14:paraId="40FC2FB8" w14:textId="77777777" w:rsidR="003D07FC" w:rsidRDefault="003D07FC" w:rsidP="003D07FC">
      <w:pPr>
        <w:pStyle w:val="ListParagraph"/>
        <w:jc w:val="both"/>
      </w:pPr>
    </w:p>
    <w:p w14:paraId="50EEC897" w14:textId="27FBB589" w:rsidR="00A6470F" w:rsidRDefault="003D07FC" w:rsidP="007127C3">
      <w:pPr>
        <w:pStyle w:val="ListParagraph"/>
        <w:numPr>
          <w:ilvl w:val="0"/>
          <w:numId w:val="5"/>
        </w:numPr>
        <w:jc w:val="both"/>
      </w:pPr>
      <w:r>
        <w:t xml:space="preserve">Evaluate gamblers opinions of CSR and CSR communication on online platforms. </w:t>
      </w:r>
      <w:r w:rsidR="00E274EE" w:rsidRPr="00E274EE">
        <w:t xml:space="preserve"> </w:t>
      </w:r>
    </w:p>
    <w:p w14:paraId="7E700396" w14:textId="77777777" w:rsidR="003D07FC" w:rsidRPr="003D07FC" w:rsidRDefault="003D07FC" w:rsidP="003D07FC">
      <w:pPr>
        <w:pStyle w:val="ListParagraph"/>
        <w:jc w:val="both"/>
      </w:pPr>
    </w:p>
    <w:p w14:paraId="78481A05" w14:textId="661AE446" w:rsidR="005E1B9D" w:rsidRDefault="005E1B9D" w:rsidP="005E1B9D">
      <w:pPr>
        <w:jc w:val="both"/>
        <w:rPr>
          <w:b/>
          <w:u w:val="single"/>
        </w:rPr>
      </w:pPr>
      <w:r>
        <w:rPr>
          <w:b/>
          <w:u w:val="single"/>
        </w:rPr>
        <w:t>Research Methodology</w:t>
      </w:r>
    </w:p>
    <w:p w14:paraId="3625191A" w14:textId="6617B965" w:rsidR="00995923" w:rsidRDefault="00995923" w:rsidP="00995923">
      <w:pPr>
        <w:jc w:val="both"/>
      </w:pPr>
      <w:r>
        <w:rPr>
          <w:noProof/>
        </w:rPr>
        <w:t xml:space="preserve">Jankowicz (2013) define research as a systematic investigation within a topic by using sources to discover and understand information to increase knowledge of the subject matter. Furthermore, Jankowicz suggests that effective methods for collecting, analysing, and evaluating research are important and should be executed by using an effective methodology. </w:t>
      </w:r>
      <w:r w:rsidRPr="00995923">
        <w:rPr>
          <w:i/>
          <w:noProof/>
        </w:rPr>
        <w:t>‘</w:t>
      </w:r>
      <w:r w:rsidRPr="00995923">
        <w:rPr>
          <w:i/>
        </w:rPr>
        <w:t>The Research Onion’</w:t>
      </w:r>
      <w:r>
        <w:t xml:space="preserve"> demonstrated by (Saunders et al., 2009) highlights a process of research which within the layers represents a different stage of research by which the investigator should consider. </w:t>
      </w:r>
    </w:p>
    <w:p w14:paraId="32A13DF1" w14:textId="68DCFBB3" w:rsidR="005B5510" w:rsidRDefault="005B5510" w:rsidP="00995923">
      <w:pPr>
        <w:jc w:val="both"/>
      </w:pPr>
      <w:r>
        <w:rPr>
          <w:noProof/>
          <w:lang w:eastAsia="en-GB"/>
        </w:rPr>
        <w:drawing>
          <wp:inline distT="0" distB="0" distL="0" distR="0" wp14:anchorId="6B44577B" wp14:editId="6D68CA0D">
            <wp:extent cx="4795520" cy="28575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 Onion.JPG"/>
                    <pic:cNvPicPr/>
                  </pic:nvPicPr>
                  <pic:blipFill>
                    <a:blip r:embed="rId6">
                      <a:extLst>
                        <a:ext uri="{28A0092B-C50C-407E-A947-70E740481C1C}">
                          <a14:useLocalDpi xmlns:a14="http://schemas.microsoft.com/office/drawing/2010/main" val="0"/>
                        </a:ext>
                      </a:extLst>
                    </a:blip>
                    <a:stretch>
                      <a:fillRect/>
                    </a:stretch>
                  </pic:blipFill>
                  <pic:spPr>
                    <a:xfrm>
                      <a:off x="0" y="0"/>
                      <a:ext cx="4795520" cy="2857500"/>
                    </a:xfrm>
                    <a:prstGeom prst="rect">
                      <a:avLst/>
                    </a:prstGeom>
                  </pic:spPr>
                </pic:pic>
              </a:graphicData>
            </a:graphic>
          </wp:inline>
        </w:drawing>
      </w:r>
    </w:p>
    <w:p w14:paraId="0E092FD0" w14:textId="5873FD52" w:rsidR="005B5510" w:rsidRDefault="005B5510" w:rsidP="005B5510">
      <w:pPr>
        <w:jc w:val="center"/>
        <w:rPr>
          <w:i/>
        </w:rPr>
      </w:pPr>
      <w:r w:rsidRPr="005B5510">
        <w:rPr>
          <w:i/>
        </w:rPr>
        <w:t>Saunders et al., 2012 – ‘The Research Onion’</w:t>
      </w:r>
    </w:p>
    <w:p w14:paraId="74CA09A1" w14:textId="77777777" w:rsidR="005B5510" w:rsidRPr="005B5510" w:rsidRDefault="005B5510" w:rsidP="005B5510">
      <w:pPr>
        <w:jc w:val="center"/>
        <w:rPr>
          <w:i/>
        </w:rPr>
      </w:pPr>
    </w:p>
    <w:p w14:paraId="24FFFC24" w14:textId="2C587C17" w:rsidR="00727DE6" w:rsidRDefault="005B5510" w:rsidP="00995923">
      <w:pPr>
        <w:jc w:val="both"/>
      </w:pPr>
      <w:r>
        <w:t xml:space="preserve">This research project will be evaluated through undertaking a pragmatism philosophy whereby </w:t>
      </w:r>
      <w:r w:rsidR="00727DE6">
        <w:t xml:space="preserve">different methods of research will provide an interpretative view on the research field and will provide a reliable system for understanding, analysing and evaluating research </w:t>
      </w:r>
      <w:sdt>
        <w:sdtPr>
          <w:id w:val="-1843540627"/>
          <w:citation/>
        </w:sdtPr>
        <w:sdtEndPr/>
        <w:sdtContent>
          <w:r w:rsidR="00727DE6">
            <w:fldChar w:fldCharType="begin"/>
          </w:r>
          <w:r w:rsidR="00727DE6">
            <w:instrText xml:space="preserve"> CITATION Bur04 \l 2057 </w:instrText>
          </w:r>
          <w:r w:rsidR="00727DE6">
            <w:fldChar w:fldCharType="separate"/>
          </w:r>
          <w:r w:rsidR="005610A8">
            <w:rPr>
              <w:noProof/>
            </w:rPr>
            <w:t>(Burbules, 2004)</w:t>
          </w:r>
          <w:r w:rsidR="00727DE6">
            <w:fldChar w:fldCharType="end"/>
          </w:r>
        </w:sdtContent>
      </w:sdt>
      <w:r w:rsidR="00727DE6">
        <w:t xml:space="preserve">. </w:t>
      </w:r>
    </w:p>
    <w:p w14:paraId="1F08324E" w14:textId="04E70F91" w:rsidR="00727DE6" w:rsidRDefault="00727DE6" w:rsidP="00E274EE">
      <w:pPr>
        <w:jc w:val="both"/>
      </w:pPr>
      <w:r>
        <w:lastRenderedPageBreak/>
        <w:t xml:space="preserve">It is believed that using a mixed method approach </w:t>
      </w:r>
      <w:r w:rsidR="00F02BED">
        <w:t xml:space="preserve">within a </w:t>
      </w:r>
      <w:r>
        <w:t>research project will</w:t>
      </w:r>
      <w:r w:rsidR="00F02BED">
        <w:t xml:space="preserve"> provide benefits such as</w:t>
      </w:r>
      <w:r>
        <w:t xml:space="preserve"> add</w:t>
      </w:r>
      <w:r w:rsidR="00F02BED">
        <w:t>ing</w:t>
      </w:r>
      <w:r>
        <w:t xml:space="preserve"> more value </w:t>
      </w:r>
      <w:r w:rsidR="00F02BED">
        <w:t>and validity to the evaluation process within the project</w:t>
      </w:r>
      <w:r w:rsidR="00AC1196">
        <w:t xml:space="preserve"> </w:t>
      </w:r>
      <w:sdt>
        <w:sdtPr>
          <w:id w:val="1081033576"/>
          <w:citation/>
        </w:sdtPr>
        <w:sdtEndPr/>
        <w:sdtContent>
          <w:r w:rsidR="00AC1196">
            <w:fldChar w:fldCharType="begin"/>
          </w:r>
          <w:r w:rsidR="00AC1196">
            <w:instrText xml:space="preserve"> CITATION Gre97 \l 2057 </w:instrText>
          </w:r>
          <w:r w:rsidR="00AC1196">
            <w:fldChar w:fldCharType="separate"/>
          </w:r>
          <w:r w:rsidR="005610A8">
            <w:rPr>
              <w:noProof/>
            </w:rPr>
            <w:t>(Greene &amp; Caracelli, 1997)</w:t>
          </w:r>
          <w:r w:rsidR="00AC1196">
            <w:fldChar w:fldCharType="end"/>
          </w:r>
        </w:sdtContent>
      </w:sdt>
      <w:r w:rsidR="00F02BED">
        <w:t xml:space="preserve">. This is done by incorporating both quantitative and qualitative research methods within the project as a source to gain a greater understand on interpretive perceptions and facts the subject matter </w:t>
      </w:r>
      <w:sdt>
        <w:sdtPr>
          <w:id w:val="-334768091"/>
          <w:citation/>
        </w:sdtPr>
        <w:sdtEndPr/>
        <w:sdtContent>
          <w:r w:rsidR="00F02BED">
            <w:fldChar w:fldCharType="begin"/>
          </w:r>
          <w:r w:rsidR="00F02BED">
            <w:instrText xml:space="preserve">CITATION The17 \l 2057 </w:instrText>
          </w:r>
          <w:r w:rsidR="00F02BED">
            <w:fldChar w:fldCharType="separate"/>
          </w:r>
          <w:r w:rsidR="005610A8">
            <w:rPr>
              <w:noProof/>
            </w:rPr>
            <w:t>(McKim, 2017)</w:t>
          </w:r>
          <w:r w:rsidR="00F02BED">
            <w:fldChar w:fldCharType="end"/>
          </w:r>
        </w:sdtContent>
      </w:sdt>
      <w:r>
        <w:t xml:space="preserve">. </w:t>
      </w:r>
      <w:r w:rsidR="00F02BED">
        <w:t>By utilising the triangulation method</w:t>
      </w:r>
      <w:r w:rsidR="00423537">
        <w:t xml:space="preserve"> of research</w:t>
      </w:r>
      <w:r w:rsidR="00F02BED">
        <w:t xml:space="preserve"> highlighted by </w:t>
      </w:r>
      <w:sdt>
        <w:sdtPr>
          <w:id w:val="-48149347"/>
          <w:citation/>
        </w:sdtPr>
        <w:sdtEndPr/>
        <w:sdtContent>
          <w:r w:rsidR="00F02BED">
            <w:fldChar w:fldCharType="begin"/>
          </w:r>
          <w:r w:rsidR="00F02BED">
            <w:instrText xml:space="preserve"> CITATION Cre09 \l 2057 </w:instrText>
          </w:r>
          <w:r w:rsidR="00F02BED">
            <w:fldChar w:fldCharType="separate"/>
          </w:r>
          <w:r w:rsidR="005610A8">
            <w:rPr>
              <w:noProof/>
            </w:rPr>
            <w:t>(Creswell &amp; Clark, 2009)</w:t>
          </w:r>
          <w:r w:rsidR="00F02BED">
            <w:fldChar w:fldCharType="end"/>
          </w:r>
        </w:sdtContent>
      </w:sdt>
      <w:r w:rsidR="00423537">
        <w:t xml:space="preserve">, integrating both methods of research will improve insight into understanding the data presented from the results along with providing strong evidence for conclusion. </w:t>
      </w:r>
    </w:p>
    <w:p w14:paraId="6DC8A421" w14:textId="77777777" w:rsidR="00A6470F" w:rsidRDefault="00A6470F" w:rsidP="00E274EE">
      <w:pPr>
        <w:jc w:val="both"/>
      </w:pPr>
    </w:p>
    <w:p w14:paraId="6A7E6560" w14:textId="493C5E70" w:rsidR="00423537" w:rsidRDefault="00423537" w:rsidP="00995923">
      <w:pPr>
        <w:jc w:val="both"/>
      </w:pPr>
      <w:r>
        <w:rPr>
          <w:noProof/>
          <w:lang w:eastAsia="en-GB"/>
        </w:rPr>
        <w:drawing>
          <wp:inline distT="0" distB="0" distL="0" distR="0" wp14:anchorId="00B0F053" wp14:editId="29C289CB">
            <wp:extent cx="5362575" cy="224282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iangulation method.JPG"/>
                    <pic:cNvPicPr/>
                  </pic:nvPicPr>
                  <pic:blipFill>
                    <a:blip r:embed="rId7">
                      <a:extLst>
                        <a:ext uri="{28A0092B-C50C-407E-A947-70E740481C1C}">
                          <a14:useLocalDpi xmlns:a14="http://schemas.microsoft.com/office/drawing/2010/main" val="0"/>
                        </a:ext>
                      </a:extLst>
                    </a:blip>
                    <a:stretch>
                      <a:fillRect/>
                    </a:stretch>
                  </pic:blipFill>
                  <pic:spPr>
                    <a:xfrm>
                      <a:off x="0" y="0"/>
                      <a:ext cx="5362575" cy="2242823"/>
                    </a:xfrm>
                    <a:prstGeom prst="rect">
                      <a:avLst/>
                    </a:prstGeom>
                  </pic:spPr>
                </pic:pic>
              </a:graphicData>
            </a:graphic>
          </wp:inline>
        </w:drawing>
      </w:r>
    </w:p>
    <w:p w14:paraId="5FB8B162" w14:textId="2BFFD56A" w:rsidR="00423537" w:rsidRDefault="00423537" w:rsidP="00423537">
      <w:pPr>
        <w:jc w:val="center"/>
        <w:rPr>
          <w:i/>
        </w:rPr>
      </w:pPr>
      <w:r w:rsidRPr="00423537">
        <w:rPr>
          <w:i/>
        </w:rPr>
        <w:t xml:space="preserve">Creswell &amp; Clark, 2009 – </w:t>
      </w:r>
      <w:r>
        <w:rPr>
          <w:i/>
        </w:rPr>
        <w:t>‘</w:t>
      </w:r>
      <w:r w:rsidRPr="00423537">
        <w:rPr>
          <w:i/>
        </w:rPr>
        <w:t>The Triangulation Mixed Method</w:t>
      </w:r>
      <w:r>
        <w:rPr>
          <w:i/>
        </w:rPr>
        <w:t>’</w:t>
      </w:r>
    </w:p>
    <w:p w14:paraId="10AB1E79" w14:textId="77777777" w:rsidR="00A6470F" w:rsidRDefault="00A6470F" w:rsidP="00423537">
      <w:pPr>
        <w:jc w:val="center"/>
        <w:rPr>
          <w:i/>
        </w:rPr>
      </w:pPr>
    </w:p>
    <w:p w14:paraId="757BD8D0" w14:textId="67061BEA" w:rsidR="004773E2" w:rsidRDefault="00423537" w:rsidP="00A536D9">
      <w:pPr>
        <w:jc w:val="both"/>
      </w:pPr>
      <w:r>
        <w:t xml:space="preserve">The research methodology for this project will </w:t>
      </w:r>
      <w:r w:rsidR="004773E2">
        <w:t>undertake</w:t>
      </w:r>
      <w:r>
        <w:t xml:space="preserve"> cross-sectional </w:t>
      </w:r>
      <w:r w:rsidR="00A536D9">
        <w:t>research</w:t>
      </w:r>
      <w:r>
        <w:t xml:space="preserve"> </w:t>
      </w:r>
      <w:r w:rsidR="004773E2">
        <w:t xml:space="preserve">approach </w:t>
      </w:r>
      <w:r>
        <w:t>whereby the investigator will be utilising both quantit</w:t>
      </w:r>
      <w:r w:rsidR="00FB6E97">
        <w:t>at</w:t>
      </w:r>
      <w:r>
        <w:t>ive and qualit</w:t>
      </w:r>
      <w:r w:rsidR="00FB6E97">
        <w:t>at</w:t>
      </w:r>
      <w:r>
        <w:t xml:space="preserve">ive </w:t>
      </w:r>
      <w:r w:rsidR="00FB6E97">
        <w:t xml:space="preserve">methods of research </w:t>
      </w:r>
      <w:r w:rsidR="003D07FC">
        <w:t xml:space="preserve">as a tool </w:t>
      </w:r>
      <w:r w:rsidR="00FB6E97">
        <w:t xml:space="preserve">to </w:t>
      </w:r>
      <w:r w:rsidR="004773E2">
        <w:t xml:space="preserve">evaluate and </w:t>
      </w:r>
      <w:r w:rsidR="00FB6E97">
        <w:t xml:space="preserve">analyse data from </w:t>
      </w:r>
      <w:r w:rsidR="003D07FC">
        <w:t xml:space="preserve">target audiences and </w:t>
      </w:r>
      <w:r w:rsidR="00FB6E97">
        <w:t>annual reports</w:t>
      </w:r>
      <w:r w:rsidR="004773E2">
        <w:t xml:space="preserve"> within a particular time frame </w:t>
      </w:r>
      <w:sdt>
        <w:sdtPr>
          <w:id w:val="1760563433"/>
          <w:citation/>
        </w:sdtPr>
        <w:sdtContent>
          <w:r w:rsidR="004773E2">
            <w:fldChar w:fldCharType="begin"/>
          </w:r>
          <w:r w:rsidR="004773E2">
            <w:instrText xml:space="preserve"> CITATION Lav08 \l 2057 </w:instrText>
          </w:r>
          <w:r w:rsidR="004773E2">
            <w:fldChar w:fldCharType="separate"/>
          </w:r>
          <w:r w:rsidR="005610A8">
            <w:rPr>
              <w:noProof/>
            </w:rPr>
            <w:t>(Lavrakas, 2008)</w:t>
          </w:r>
          <w:r w:rsidR="004773E2">
            <w:fldChar w:fldCharType="end"/>
          </w:r>
        </w:sdtContent>
      </w:sdt>
      <w:r w:rsidR="00FB6E97">
        <w:t xml:space="preserve">. </w:t>
      </w:r>
    </w:p>
    <w:p w14:paraId="1AA9865F" w14:textId="6E0BE1B3" w:rsidR="00423537" w:rsidRDefault="004773E2" w:rsidP="00A536D9">
      <w:pPr>
        <w:jc w:val="both"/>
      </w:pPr>
      <w:r>
        <w:t xml:space="preserve">The research method will be sequential, </w:t>
      </w:r>
      <w:r w:rsidR="00A1618D">
        <w:t>firstly</w:t>
      </w:r>
      <w:r w:rsidR="00035FE3">
        <w:t>,</w:t>
      </w:r>
      <w:r w:rsidR="00FB6E97">
        <w:t xml:space="preserve"> </w:t>
      </w:r>
      <w:r>
        <w:t xml:space="preserve">a content analysis will be carried out by extracting information from annual reports presented by all organisations within the research project. This methodology is known as an inductive approach whereby data accumulated from annual reports and other reports will provide evidence on whether positive CSR practices are being implemented </w:t>
      </w:r>
      <w:r>
        <w:rPr>
          <w:noProof/>
        </w:rPr>
        <w:t>(Amaratunga et al., 2002)</w:t>
      </w:r>
      <w:r>
        <w:t xml:space="preserve">. </w:t>
      </w:r>
      <w:proofErr w:type="gramStart"/>
      <w:r w:rsidR="00FB6E97">
        <w:t>an</w:t>
      </w:r>
      <w:proofErr w:type="gramEnd"/>
      <w:r w:rsidR="00FB6E97">
        <w:t xml:space="preserve"> online questionnaire will be carried out with the goal to achieve 200 respondents in order to increase the validity and value of the research project. This method</w:t>
      </w:r>
      <w:r w:rsidR="00035FE3">
        <w:t xml:space="preserve"> is known as a deductive approach in which a hypothesis can be formed and theory created based on patterns which may emerge within the evaluation process of analysing questionnaire results. </w:t>
      </w:r>
      <w:r w:rsidR="00FB6E97">
        <w:t xml:space="preserve"> </w:t>
      </w:r>
    </w:p>
    <w:p w14:paraId="0EE9AD9B" w14:textId="67FEA9CA" w:rsidR="005E1B9D" w:rsidRDefault="00035FE3" w:rsidP="005E1B9D">
      <w:pPr>
        <w:jc w:val="both"/>
      </w:pPr>
      <w:r>
        <w:t xml:space="preserve">Furthermore, </w:t>
      </w:r>
      <w:r w:rsidR="004773E2">
        <w:t xml:space="preserve">an online questionnaire will be carried out with the goal to achieve 200 respondents in order to increase the validity and value of the research project. This method is known as a deductive approach in which a hypothesis can be formed and theory created based on patterns which may emerge within the evaluation process of analysing questionnaire results.  </w:t>
      </w:r>
    </w:p>
    <w:p w14:paraId="7AB147D8" w14:textId="20D1B28C" w:rsidR="00377614" w:rsidRDefault="00C912C0" w:rsidP="005E1B9D">
      <w:pPr>
        <w:jc w:val="both"/>
      </w:pPr>
      <w:r w:rsidRPr="00031F36">
        <w:t>The findings from this re</w:t>
      </w:r>
      <w:r w:rsidR="00031F36" w:rsidRPr="00031F36">
        <w:t xml:space="preserve">search will </w:t>
      </w:r>
      <w:r w:rsidR="00031F36">
        <w:t>both incorporate</w:t>
      </w:r>
      <w:r w:rsidR="00031F36" w:rsidRPr="00031F36">
        <w:t xml:space="preserve"> an </w:t>
      </w:r>
      <w:proofErr w:type="spellStart"/>
      <w:r w:rsidR="00031F36" w:rsidRPr="00031F36">
        <w:t>interpretivism</w:t>
      </w:r>
      <w:proofErr w:type="spellEnd"/>
      <w:r w:rsidR="00031F36" w:rsidRPr="00031F36">
        <w:t xml:space="preserve"> </w:t>
      </w:r>
      <w:r w:rsidR="00031F36">
        <w:t xml:space="preserve">and </w:t>
      </w:r>
      <w:r w:rsidR="004773E2">
        <w:t>positivist</w:t>
      </w:r>
      <w:r w:rsidR="00031F36">
        <w:t xml:space="preserve"> </w:t>
      </w:r>
      <w:r w:rsidR="00377614">
        <w:t>approach</w:t>
      </w:r>
      <w:r w:rsidR="00031F36">
        <w:t xml:space="preserve">. The </w:t>
      </w:r>
      <w:proofErr w:type="spellStart"/>
      <w:r w:rsidR="00031F36">
        <w:t>interpretivism</w:t>
      </w:r>
      <w:proofErr w:type="spellEnd"/>
      <w:r w:rsidR="00031F36">
        <w:t xml:space="preserve"> </w:t>
      </w:r>
      <w:r w:rsidR="00377614">
        <w:t xml:space="preserve">approach </w:t>
      </w:r>
      <w:r w:rsidR="00031F36">
        <w:t>will be concluded b</w:t>
      </w:r>
      <w:r w:rsidR="003562F4">
        <w:t xml:space="preserve">y </w:t>
      </w:r>
      <w:r w:rsidR="00377614">
        <w:t>evaluating</w:t>
      </w:r>
      <w:r w:rsidR="00031F36">
        <w:t xml:space="preserve"> annual reports</w:t>
      </w:r>
      <w:r w:rsidR="003562F4">
        <w:t xml:space="preserve"> evaluated </w:t>
      </w:r>
      <w:r w:rsidR="00377614">
        <w:t xml:space="preserve">with the </w:t>
      </w:r>
      <w:r w:rsidR="004773E2">
        <w:t>positivist</w:t>
      </w:r>
      <w:r w:rsidR="003562F4">
        <w:t xml:space="preserve"> </w:t>
      </w:r>
      <w:r w:rsidR="00377614">
        <w:t>approach being</w:t>
      </w:r>
      <w:r w:rsidR="00220CB6">
        <w:t xml:space="preserve"> the exploitation of online questionnaires to willing participants </w:t>
      </w:r>
      <w:sdt>
        <w:sdtPr>
          <w:id w:val="-1027788323"/>
          <w:citation/>
        </w:sdtPr>
        <w:sdtContent>
          <w:r w:rsidR="00A1618D">
            <w:fldChar w:fldCharType="begin"/>
          </w:r>
          <w:r w:rsidR="00A1618D">
            <w:instrText xml:space="preserve"> CITATION How12 \l 2057 </w:instrText>
          </w:r>
          <w:r w:rsidR="00A1618D">
            <w:fldChar w:fldCharType="separate"/>
          </w:r>
          <w:r w:rsidR="005610A8">
            <w:rPr>
              <w:noProof/>
            </w:rPr>
            <w:t>(Howell, 2012)</w:t>
          </w:r>
          <w:r w:rsidR="00A1618D">
            <w:fldChar w:fldCharType="end"/>
          </w:r>
        </w:sdtContent>
      </w:sdt>
      <w:r w:rsidR="00A1618D">
        <w:t xml:space="preserve">. By exploiting these methods of research, the outcome will result in a movement whereby a pragmatism </w:t>
      </w:r>
      <w:r w:rsidR="00220CB6">
        <w:t>philosophy is</w:t>
      </w:r>
      <w:r w:rsidR="00A1618D">
        <w:t xml:space="preserve"> acknowledged as a tool to collate findings, ideology and shape the researches conclusion </w:t>
      </w:r>
      <w:sdt>
        <w:sdtPr>
          <w:id w:val="94289503"/>
          <w:citation/>
        </w:sdtPr>
        <w:sdtContent>
          <w:r w:rsidR="00A1618D">
            <w:fldChar w:fldCharType="begin"/>
          </w:r>
          <w:r w:rsidR="00A1618D">
            <w:instrText xml:space="preserve"> CITATION Bri18 \l 2057 </w:instrText>
          </w:r>
          <w:r w:rsidR="00A1618D">
            <w:fldChar w:fldCharType="separate"/>
          </w:r>
          <w:r w:rsidR="005610A8">
            <w:rPr>
              <w:noProof/>
            </w:rPr>
            <w:t>(Brinkmann, 2018)</w:t>
          </w:r>
          <w:r w:rsidR="00A1618D">
            <w:fldChar w:fldCharType="end"/>
          </w:r>
        </w:sdtContent>
      </w:sdt>
      <w:r w:rsidR="003562F4">
        <w:t xml:space="preserve">. </w:t>
      </w:r>
      <w:r w:rsidR="00220CB6">
        <w:t>Furthermore, by adopting</w:t>
      </w:r>
      <w:r w:rsidR="00377614">
        <w:t xml:space="preserve"> a pragmatism philosophy</w:t>
      </w:r>
      <w:r w:rsidR="00220CB6">
        <w:t>,</w:t>
      </w:r>
      <w:r w:rsidR="00377614">
        <w:t xml:space="preserve"> </w:t>
      </w:r>
      <w:r w:rsidR="00220CB6">
        <w:t>the researcher can identify truth and reality which will shed light through conducting a mixed method research approach</w:t>
      </w:r>
      <w:r w:rsidR="00377614">
        <w:t xml:space="preserve">. Pragmatism gives freedom to </w:t>
      </w:r>
      <w:r w:rsidR="00377614" w:rsidRPr="00377614">
        <w:rPr>
          <w:i/>
        </w:rPr>
        <w:t>“study what interests and is of value to you, study it in the different ways that you deem appropriate and utilised the results in ways that can bring about positive consequences within your value system”</w:t>
      </w:r>
      <w:r w:rsidR="00377614">
        <w:t xml:space="preserve"> (</w:t>
      </w:r>
      <w:proofErr w:type="spellStart"/>
      <w:r w:rsidR="00377614">
        <w:t>Tashakkori</w:t>
      </w:r>
      <w:proofErr w:type="spellEnd"/>
      <w:r w:rsidR="00377614">
        <w:t xml:space="preserve"> and </w:t>
      </w:r>
      <w:proofErr w:type="spellStart"/>
      <w:r w:rsidR="00377614">
        <w:t>Teddlie</w:t>
      </w:r>
      <w:proofErr w:type="spellEnd"/>
      <w:r w:rsidR="00377614">
        <w:t>, 2003, pg. 21).</w:t>
      </w:r>
    </w:p>
    <w:p w14:paraId="18308EDC" w14:textId="73150EA5" w:rsidR="005E1B9D" w:rsidRDefault="00570658" w:rsidP="005E1B9D">
      <w:pPr>
        <w:jc w:val="both"/>
        <w:rPr>
          <w:b/>
          <w:u w:val="single"/>
        </w:rPr>
      </w:pPr>
      <w:r>
        <w:rPr>
          <w:b/>
          <w:u w:val="single"/>
        </w:rPr>
        <w:t>Reliability</w:t>
      </w:r>
    </w:p>
    <w:p w14:paraId="3B4F0F5D" w14:textId="243866AB" w:rsidR="005E1B9D" w:rsidRDefault="001A42A6" w:rsidP="001A42A6">
      <w:pPr>
        <w:jc w:val="both"/>
      </w:pPr>
      <w:r>
        <w:t xml:space="preserve">The </w:t>
      </w:r>
      <w:r w:rsidR="00570658">
        <w:t>reliability</w:t>
      </w:r>
      <w:r>
        <w:t xml:space="preserve"> </w:t>
      </w:r>
      <w:r w:rsidR="00570658">
        <w:t>from the research projects results</w:t>
      </w:r>
      <w:r>
        <w:t xml:space="preserve"> is </w:t>
      </w:r>
      <w:r w:rsidR="006F795F">
        <w:t xml:space="preserve">amplified through using a </w:t>
      </w:r>
      <w:r w:rsidR="00377614">
        <w:t xml:space="preserve">comprehensive </w:t>
      </w:r>
      <w:r w:rsidR="006F795F">
        <w:t>mixed method approach</w:t>
      </w:r>
      <w:r>
        <w:t xml:space="preserve"> </w:t>
      </w:r>
      <w:r w:rsidR="006F795F">
        <w:t>which provides</w:t>
      </w:r>
      <w:r>
        <w:t xml:space="preserve"> a balanced and unbiased view of the study</w:t>
      </w:r>
      <w:r w:rsidR="00377614">
        <w:t xml:space="preserve"> whereby one method may explain or examine findings of another if unexpected results were to occur </w:t>
      </w:r>
      <w:sdt>
        <w:sdtPr>
          <w:id w:val="-1039432756"/>
          <w:citation/>
        </w:sdtPr>
        <w:sdtContent>
          <w:r w:rsidR="00220CB6">
            <w:fldChar w:fldCharType="begin"/>
          </w:r>
          <w:r w:rsidR="00220CB6">
            <w:instrText xml:space="preserve"> CITATION Tas03 \l 2057 </w:instrText>
          </w:r>
          <w:r w:rsidR="00220CB6">
            <w:fldChar w:fldCharType="separate"/>
          </w:r>
          <w:r w:rsidR="005610A8">
            <w:rPr>
              <w:noProof/>
            </w:rPr>
            <w:t>(Tashakkori &amp; Teddlie, 2003)</w:t>
          </w:r>
          <w:r w:rsidR="00220CB6">
            <w:fldChar w:fldCharType="end"/>
          </w:r>
        </w:sdtContent>
      </w:sdt>
      <w:r>
        <w:t xml:space="preserve">. However, it is also important to note that the </w:t>
      </w:r>
      <w:r w:rsidR="006F795F">
        <w:t>researcher will be bearing in mind ethical considerations when designing an online questionnaire will through not</w:t>
      </w:r>
      <w:r>
        <w:t xml:space="preserve"> manipulating the design of the questionnaire to influence a driven ideology and</w:t>
      </w:r>
      <w:r w:rsidR="006F795F">
        <w:t xml:space="preserve"> committing to university guidelines such as the British Psychological Society Code of Conduct, Ethical Practices and Guidelines</w:t>
      </w:r>
      <w:r>
        <w:t xml:space="preserve">. </w:t>
      </w:r>
    </w:p>
    <w:p w14:paraId="20CB7AC1" w14:textId="5D3186D2" w:rsidR="001A42A6" w:rsidRDefault="006F795F" w:rsidP="001A42A6">
      <w:pPr>
        <w:jc w:val="both"/>
      </w:pPr>
      <w:r>
        <w:t>The researcher will be publishing questionnaires</w:t>
      </w:r>
      <w:r w:rsidR="0088348E">
        <w:t xml:space="preserve"> on live forums which discuss</w:t>
      </w:r>
      <w:r w:rsidR="001A42A6">
        <w:t xml:space="preserve"> </w:t>
      </w:r>
      <w:r w:rsidR="0088348E">
        <w:t>a</w:t>
      </w:r>
      <w:r w:rsidR="001A42A6">
        <w:t xml:space="preserve"> topic </w:t>
      </w:r>
      <w:r w:rsidR="0088348E">
        <w:t>around</w:t>
      </w:r>
      <w:r w:rsidR="001A42A6">
        <w:t xml:space="preserve"> CSR practices </w:t>
      </w:r>
      <w:r w:rsidR="0088348E">
        <w:t>and</w:t>
      </w:r>
      <w:r w:rsidR="001A42A6">
        <w:t xml:space="preserve"> the global gambling industry. The </w:t>
      </w:r>
      <w:r>
        <w:t>researcher</w:t>
      </w:r>
      <w:r w:rsidR="001A42A6">
        <w:t xml:space="preserve"> views this as being a highly valuable tool to gain reliable and </w:t>
      </w:r>
      <w:r w:rsidR="00544B39">
        <w:t>honest</w:t>
      </w:r>
      <w:r w:rsidR="001A42A6">
        <w:t xml:space="preserve"> perspectives</w:t>
      </w:r>
      <w:r>
        <w:t xml:space="preserve"> on CSR practices</w:t>
      </w:r>
      <w:r w:rsidR="001A42A6">
        <w:t xml:space="preserve">. </w:t>
      </w:r>
      <w:r>
        <w:t>Furthermore, q</w:t>
      </w:r>
      <w:r w:rsidR="001A42A6">
        <w:t xml:space="preserve">uestionnaires will also be published on </w:t>
      </w:r>
      <w:r w:rsidR="00377614">
        <w:t xml:space="preserve">social media </w:t>
      </w:r>
      <w:r w:rsidR="001A42A6">
        <w:t xml:space="preserve">platforms. </w:t>
      </w:r>
    </w:p>
    <w:p w14:paraId="500E0513" w14:textId="33867527" w:rsidR="00220CB6" w:rsidRPr="00570658" w:rsidRDefault="00570658" w:rsidP="001A42A6">
      <w:pPr>
        <w:jc w:val="both"/>
        <w:rPr>
          <w:b/>
          <w:u w:val="single"/>
        </w:rPr>
      </w:pPr>
      <w:r w:rsidRPr="00570658">
        <w:rPr>
          <w:b/>
          <w:u w:val="single"/>
        </w:rPr>
        <w:t>Validity</w:t>
      </w:r>
    </w:p>
    <w:p w14:paraId="4643463C" w14:textId="612EF7F1" w:rsidR="00220CB6" w:rsidRDefault="00570658" w:rsidP="001A42A6">
      <w:pPr>
        <w:jc w:val="both"/>
      </w:pPr>
      <w:r>
        <w:t xml:space="preserve">Publishing online questionnaires is a suitable method for gaining honest and valid research. The internet can increase the honesty levels of an individual when taking part in a self-case report resulting in greater validity and reduces social judgement and negative exposure </w:t>
      </w:r>
      <w:r>
        <w:rPr>
          <w:noProof/>
        </w:rPr>
        <w:t>(Joinson et al., 2010).</w:t>
      </w:r>
      <w:r w:rsidR="00220CB6">
        <w:t xml:space="preserve"> </w:t>
      </w:r>
      <w:r>
        <w:t xml:space="preserve">The content analysis of the annual reports will be factual and will be published by BET365, </w:t>
      </w:r>
      <w:proofErr w:type="spellStart"/>
      <w:r w:rsidR="00167236">
        <w:t>Bwin</w:t>
      </w:r>
      <w:proofErr w:type="spellEnd"/>
      <w:r w:rsidR="00167236">
        <w:t xml:space="preserve"> and 888 Betting. </w:t>
      </w:r>
    </w:p>
    <w:p w14:paraId="61EABA7B" w14:textId="0500EA09" w:rsidR="005610A8" w:rsidRDefault="005610A8" w:rsidP="001A42A6">
      <w:pPr>
        <w:jc w:val="both"/>
      </w:pPr>
    </w:p>
    <w:p w14:paraId="0F1F1D96" w14:textId="37BEAD74" w:rsidR="005610A8" w:rsidRDefault="005610A8" w:rsidP="001A42A6">
      <w:pPr>
        <w:jc w:val="both"/>
      </w:pPr>
    </w:p>
    <w:p w14:paraId="29110A31" w14:textId="0DC0C57B" w:rsidR="005610A8" w:rsidRDefault="005610A8" w:rsidP="001A42A6">
      <w:pPr>
        <w:jc w:val="both"/>
      </w:pPr>
    </w:p>
    <w:p w14:paraId="3764C4B2" w14:textId="2FDA9F4E" w:rsidR="005610A8" w:rsidRDefault="005610A8" w:rsidP="001A42A6">
      <w:pPr>
        <w:jc w:val="both"/>
      </w:pPr>
    </w:p>
    <w:p w14:paraId="711E477A" w14:textId="31A912D9" w:rsidR="005610A8" w:rsidRDefault="005610A8" w:rsidP="001A42A6">
      <w:pPr>
        <w:jc w:val="both"/>
      </w:pPr>
    </w:p>
    <w:p w14:paraId="3E44EEAA" w14:textId="7584D5CF" w:rsidR="005610A8" w:rsidRDefault="005610A8" w:rsidP="001A42A6">
      <w:pPr>
        <w:jc w:val="both"/>
      </w:pPr>
    </w:p>
    <w:p w14:paraId="040B4F2E" w14:textId="40E93742" w:rsidR="005610A8" w:rsidRDefault="005610A8" w:rsidP="001A42A6">
      <w:pPr>
        <w:jc w:val="both"/>
      </w:pPr>
    </w:p>
    <w:p w14:paraId="4DF9A482" w14:textId="7D28FEA4" w:rsidR="005610A8" w:rsidRDefault="005610A8" w:rsidP="001A42A6">
      <w:pPr>
        <w:jc w:val="both"/>
      </w:pPr>
    </w:p>
    <w:p w14:paraId="28BDDD9B" w14:textId="16EB38E3" w:rsidR="005610A8" w:rsidRDefault="005610A8" w:rsidP="001A42A6">
      <w:pPr>
        <w:jc w:val="both"/>
      </w:pPr>
    </w:p>
    <w:p w14:paraId="58F20B12" w14:textId="589F8AA1" w:rsidR="005610A8" w:rsidRDefault="005610A8" w:rsidP="001A42A6">
      <w:pPr>
        <w:jc w:val="both"/>
      </w:pPr>
    </w:p>
    <w:p w14:paraId="7B961B33" w14:textId="489E7621" w:rsidR="005610A8" w:rsidRDefault="005610A8" w:rsidP="001A42A6">
      <w:pPr>
        <w:jc w:val="both"/>
      </w:pPr>
    </w:p>
    <w:p w14:paraId="02269A8C" w14:textId="1E039613" w:rsidR="005610A8" w:rsidRDefault="005610A8" w:rsidP="001A42A6">
      <w:pPr>
        <w:jc w:val="both"/>
      </w:pPr>
    </w:p>
    <w:p w14:paraId="0AA106A3" w14:textId="5E885A61" w:rsidR="005610A8" w:rsidRDefault="005610A8" w:rsidP="001A42A6">
      <w:pPr>
        <w:jc w:val="both"/>
      </w:pPr>
    </w:p>
    <w:p w14:paraId="300019CD" w14:textId="77777777" w:rsidR="005610A8" w:rsidRDefault="005610A8" w:rsidP="001A42A6">
      <w:pPr>
        <w:jc w:val="both"/>
      </w:pPr>
    </w:p>
    <w:p w14:paraId="0F3A4806" w14:textId="50038938" w:rsidR="005E1B9D" w:rsidRDefault="005E1B9D" w:rsidP="005E1B9D">
      <w:pPr>
        <w:jc w:val="both"/>
        <w:rPr>
          <w:b/>
          <w:u w:val="single"/>
        </w:rPr>
      </w:pPr>
      <w:r>
        <w:rPr>
          <w:b/>
          <w:u w:val="single"/>
        </w:rPr>
        <w:lastRenderedPageBreak/>
        <w:t xml:space="preserve">Resource and Time Management </w:t>
      </w:r>
    </w:p>
    <w:p w14:paraId="3CFF113C" w14:textId="39FE2CEB" w:rsidR="005E1B9D" w:rsidRPr="00C657FC" w:rsidRDefault="00C657FC" w:rsidP="005E1B9D">
      <w:pPr>
        <w:jc w:val="both"/>
      </w:pPr>
      <w:r>
        <w:t xml:space="preserve">Below is a constructed timeframe in which stages of the research proposal will be carried out and completed. The </w:t>
      </w:r>
      <w:proofErr w:type="spellStart"/>
      <w:proofErr w:type="gramStart"/>
      <w:r>
        <w:t>gantt</w:t>
      </w:r>
      <w:proofErr w:type="spellEnd"/>
      <w:proofErr w:type="gramEnd"/>
      <w:r>
        <w:t xml:space="preserve"> chart is also designed for the investigator to monitor progress against the timeframe and project due date on the 21</w:t>
      </w:r>
      <w:r w:rsidRPr="00C657FC">
        <w:rPr>
          <w:vertAlign w:val="superscript"/>
        </w:rPr>
        <w:t>st</w:t>
      </w:r>
      <w:r>
        <w:t xml:space="preserve"> of September 2018.</w:t>
      </w:r>
    </w:p>
    <w:tbl>
      <w:tblPr>
        <w:tblW w:w="8360" w:type="dxa"/>
        <w:tblInd w:w="-10" w:type="dxa"/>
        <w:tblLook w:val="04A0" w:firstRow="1" w:lastRow="0" w:firstColumn="1" w:lastColumn="0" w:noHBand="0" w:noVBand="1"/>
      </w:tblPr>
      <w:tblGrid>
        <w:gridCol w:w="1180"/>
        <w:gridCol w:w="2380"/>
        <w:gridCol w:w="960"/>
        <w:gridCol w:w="960"/>
        <w:gridCol w:w="960"/>
        <w:gridCol w:w="960"/>
        <w:gridCol w:w="1147"/>
      </w:tblGrid>
      <w:tr w:rsidR="00D20CA6" w:rsidRPr="00D20CA6" w14:paraId="188FDE0B" w14:textId="77777777" w:rsidTr="00D20CA6">
        <w:trPr>
          <w:trHeight w:val="465"/>
        </w:trPr>
        <w:tc>
          <w:tcPr>
            <w:tcW w:w="1180"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593C54C3"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Stages</w:t>
            </w:r>
          </w:p>
        </w:tc>
        <w:tc>
          <w:tcPr>
            <w:tcW w:w="2380" w:type="dxa"/>
            <w:tcBorders>
              <w:top w:val="single" w:sz="8" w:space="0" w:color="auto"/>
              <w:left w:val="nil"/>
              <w:bottom w:val="single" w:sz="8" w:space="0" w:color="auto"/>
              <w:right w:val="single" w:sz="8" w:space="0" w:color="auto"/>
            </w:tcBorders>
            <w:shd w:val="clear" w:color="000000" w:fill="BFBFBF"/>
            <w:vAlign w:val="center"/>
            <w:hideMark/>
          </w:tcPr>
          <w:p w14:paraId="7A8CAD4E"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xml:space="preserve">Project Name </w:t>
            </w:r>
          </w:p>
        </w:tc>
        <w:tc>
          <w:tcPr>
            <w:tcW w:w="960" w:type="dxa"/>
            <w:tcBorders>
              <w:top w:val="single" w:sz="8" w:space="0" w:color="auto"/>
              <w:left w:val="nil"/>
              <w:bottom w:val="single" w:sz="8" w:space="0" w:color="auto"/>
              <w:right w:val="single" w:sz="8" w:space="0" w:color="auto"/>
            </w:tcBorders>
            <w:shd w:val="clear" w:color="000000" w:fill="FCE4D6"/>
            <w:noWrap/>
            <w:vAlign w:val="center"/>
            <w:hideMark/>
          </w:tcPr>
          <w:p w14:paraId="01E192D5" w14:textId="77777777" w:rsidR="00D20CA6" w:rsidRPr="00D20CA6" w:rsidRDefault="00D20CA6" w:rsidP="00D20CA6">
            <w:pPr>
              <w:spacing w:after="0" w:line="240" w:lineRule="auto"/>
              <w:jc w:val="center"/>
              <w:rPr>
                <w:rFonts w:ascii="Arial" w:eastAsia="Times New Roman" w:hAnsi="Arial" w:cs="Arial"/>
                <w:b/>
                <w:bCs/>
                <w:color w:val="000000"/>
                <w:sz w:val="20"/>
                <w:szCs w:val="20"/>
                <w:lang w:eastAsia="en-GB"/>
              </w:rPr>
            </w:pPr>
            <w:r w:rsidRPr="00D20CA6">
              <w:rPr>
                <w:rFonts w:ascii="Arial" w:eastAsia="Times New Roman" w:hAnsi="Arial" w:cs="Arial"/>
                <w:b/>
                <w:bCs/>
                <w:color w:val="000000"/>
                <w:sz w:val="20"/>
                <w:szCs w:val="20"/>
                <w:lang w:eastAsia="en-GB"/>
              </w:rPr>
              <w:t>May</w:t>
            </w:r>
          </w:p>
        </w:tc>
        <w:tc>
          <w:tcPr>
            <w:tcW w:w="960" w:type="dxa"/>
            <w:tcBorders>
              <w:top w:val="single" w:sz="8" w:space="0" w:color="auto"/>
              <w:left w:val="nil"/>
              <w:bottom w:val="single" w:sz="8" w:space="0" w:color="auto"/>
              <w:right w:val="single" w:sz="8" w:space="0" w:color="auto"/>
            </w:tcBorders>
            <w:shd w:val="clear" w:color="000000" w:fill="FCE4D6"/>
            <w:noWrap/>
            <w:vAlign w:val="center"/>
            <w:hideMark/>
          </w:tcPr>
          <w:p w14:paraId="45CAB4D8" w14:textId="77777777" w:rsidR="00D20CA6" w:rsidRPr="00D20CA6" w:rsidRDefault="00D20CA6" w:rsidP="00D20CA6">
            <w:pPr>
              <w:spacing w:after="0" w:line="240" w:lineRule="auto"/>
              <w:jc w:val="center"/>
              <w:rPr>
                <w:rFonts w:ascii="Arial" w:eastAsia="Times New Roman" w:hAnsi="Arial" w:cs="Arial"/>
                <w:b/>
                <w:bCs/>
                <w:color w:val="000000"/>
                <w:sz w:val="20"/>
                <w:szCs w:val="20"/>
                <w:lang w:eastAsia="en-GB"/>
              </w:rPr>
            </w:pPr>
            <w:r w:rsidRPr="00D20CA6">
              <w:rPr>
                <w:rFonts w:ascii="Arial" w:eastAsia="Times New Roman" w:hAnsi="Arial" w:cs="Arial"/>
                <w:b/>
                <w:bCs/>
                <w:color w:val="000000"/>
                <w:sz w:val="20"/>
                <w:szCs w:val="20"/>
                <w:lang w:eastAsia="en-GB"/>
              </w:rPr>
              <w:t>June</w:t>
            </w:r>
          </w:p>
        </w:tc>
        <w:tc>
          <w:tcPr>
            <w:tcW w:w="960" w:type="dxa"/>
            <w:tcBorders>
              <w:top w:val="single" w:sz="8" w:space="0" w:color="auto"/>
              <w:left w:val="nil"/>
              <w:bottom w:val="single" w:sz="8" w:space="0" w:color="auto"/>
              <w:right w:val="single" w:sz="8" w:space="0" w:color="auto"/>
            </w:tcBorders>
            <w:shd w:val="clear" w:color="000000" w:fill="FCE4D6"/>
            <w:noWrap/>
            <w:vAlign w:val="center"/>
            <w:hideMark/>
          </w:tcPr>
          <w:p w14:paraId="0C88968B" w14:textId="77777777" w:rsidR="00D20CA6" w:rsidRPr="00D20CA6" w:rsidRDefault="00D20CA6" w:rsidP="00D20CA6">
            <w:pPr>
              <w:spacing w:after="0" w:line="240" w:lineRule="auto"/>
              <w:jc w:val="center"/>
              <w:rPr>
                <w:rFonts w:ascii="Arial" w:eastAsia="Times New Roman" w:hAnsi="Arial" w:cs="Arial"/>
                <w:b/>
                <w:bCs/>
                <w:color w:val="000000"/>
                <w:sz w:val="18"/>
                <w:szCs w:val="18"/>
                <w:lang w:eastAsia="en-GB"/>
              </w:rPr>
            </w:pPr>
            <w:r w:rsidRPr="00D20CA6">
              <w:rPr>
                <w:rFonts w:ascii="Arial" w:eastAsia="Times New Roman" w:hAnsi="Arial" w:cs="Arial"/>
                <w:b/>
                <w:bCs/>
                <w:color w:val="000000"/>
                <w:sz w:val="18"/>
                <w:szCs w:val="18"/>
                <w:lang w:eastAsia="en-GB"/>
              </w:rPr>
              <w:t>July</w:t>
            </w:r>
          </w:p>
        </w:tc>
        <w:tc>
          <w:tcPr>
            <w:tcW w:w="960" w:type="dxa"/>
            <w:tcBorders>
              <w:top w:val="single" w:sz="8" w:space="0" w:color="auto"/>
              <w:left w:val="nil"/>
              <w:bottom w:val="single" w:sz="8" w:space="0" w:color="auto"/>
              <w:right w:val="single" w:sz="8" w:space="0" w:color="auto"/>
            </w:tcBorders>
            <w:shd w:val="clear" w:color="000000" w:fill="FCE4D6"/>
            <w:noWrap/>
            <w:vAlign w:val="center"/>
            <w:hideMark/>
          </w:tcPr>
          <w:p w14:paraId="6F041554" w14:textId="77777777" w:rsidR="00D20CA6" w:rsidRPr="00D20CA6" w:rsidRDefault="00D20CA6" w:rsidP="00D20CA6">
            <w:pPr>
              <w:spacing w:after="0" w:line="240" w:lineRule="auto"/>
              <w:jc w:val="center"/>
              <w:rPr>
                <w:rFonts w:ascii="Arial" w:eastAsia="Times New Roman" w:hAnsi="Arial" w:cs="Arial"/>
                <w:b/>
                <w:bCs/>
                <w:color w:val="000000"/>
                <w:sz w:val="18"/>
                <w:szCs w:val="18"/>
                <w:lang w:eastAsia="en-GB"/>
              </w:rPr>
            </w:pPr>
            <w:r w:rsidRPr="00D20CA6">
              <w:rPr>
                <w:rFonts w:ascii="Arial" w:eastAsia="Times New Roman" w:hAnsi="Arial" w:cs="Arial"/>
                <w:b/>
                <w:bCs/>
                <w:color w:val="000000"/>
                <w:sz w:val="18"/>
                <w:szCs w:val="18"/>
                <w:lang w:eastAsia="en-GB"/>
              </w:rPr>
              <w:t>August</w:t>
            </w:r>
          </w:p>
        </w:tc>
        <w:tc>
          <w:tcPr>
            <w:tcW w:w="960" w:type="dxa"/>
            <w:tcBorders>
              <w:top w:val="single" w:sz="8" w:space="0" w:color="auto"/>
              <w:left w:val="nil"/>
              <w:bottom w:val="single" w:sz="8" w:space="0" w:color="auto"/>
              <w:right w:val="single" w:sz="8" w:space="0" w:color="auto"/>
            </w:tcBorders>
            <w:shd w:val="clear" w:color="000000" w:fill="FCE4D6"/>
            <w:noWrap/>
            <w:vAlign w:val="center"/>
            <w:hideMark/>
          </w:tcPr>
          <w:p w14:paraId="0AB3389F" w14:textId="77777777" w:rsidR="00D20CA6" w:rsidRPr="00D20CA6" w:rsidRDefault="00D20CA6" w:rsidP="00D20CA6">
            <w:pPr>
              <w:spacing w:after="0" w:line="240" w:lineRule="auto"/>
              <w:jc w:val="center"/>
              <w:rPr>
                <w:rFonts w:ascii="Arial" w:eastAsia="Times New Roman" w:hAnsi="Arial" w:cs="Arial"/>
                <w:b/>
                <w:bCs/>
                <w:color w:val="000000"/>
                <w:sz w:val="18"/>
                <w:szCs w:val="18"/>
                <w:lang w:eastAsia="en-GB"/>
              </w:rPr>
            </w:pPr>
            <w:r w:rsidRPr="00D20CA6">
              <w:rPr>
                <w:rFonts w:ascii="Arial" w:eastAsia="Times New Roman" w:hAnsi="Arial" w:cs="Arial"/>
                <w:b/>
                <w:bCs/>
                <w:color w:val="000000"/>
                <w:sz w:val="18"/>
                <w:szCs w:val="18"/>
                <w:lang w:eastAsia="en-GB"/>
              </w:rPr>
              <w:t>September</w:t>
            </w:r>
          </w:p>
        </w:tc>
      </w:tr>
      <w:tr w:rsidR="00D20CA6" w:rsidRPr="00D20CA6" w14:paraId="3E4B24E5" w14:textId="77777777" w:rsidTr="00D20CA6">
        <w:trPr>
          <w:trHeight w:val="46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6245FAE6"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31B73E85"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Dissertation</w:t>
            </w:r>
          </w:p>
        </w:tc>
        <w:tc>
          <w:tcPr>
            <w:tcW w:w="960" w:type="dxa"/>
            <w:tcBorders>
              <w:top w:val="nil"/>
              <w:left w:val="nil"/>
              <w:bottom w:val="single" w:sz="8" w:space="0" w:color="auto"/>
              <w:right w:val="single" w:sz="8" w:space="0" w:color="auto"/>
            </w:tcBorders>
            <w:shd w:val="clear" w:color="000000" w:fill="FFD966"/>
            <w:vAlign w:val="center"/>
            <w:hideMark/>
          </w:tcPr>
          <w:p w14:paraId="5DE63C8C"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64ADA498"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74903DF9"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5CA662BB"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762681B6"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r>
      <w:tr w:rsidR="00D20CA6" w:rsidRPr="00D20CA6" w14:paraId="363FC47E" w14:textId="77777777" w:rsidTr="00D20CA6">
        <w:trPr>
          <w:trHeight w:val="315"/>
        </w:trPr>
        <w:tc>
          <w:tcPr>
            <w:tcW w:w="1180" w:type="dxa"/>
            <w:tcBorders>
              <w:top w:val="nil"/>
              <w:left w:val="single" w:sz="8" w:space="0" w:color="auto"/>
              <w:bottom w:val="single" w:sz="8" w:space="0" w:color="auto"/>
              <w:right w:val="nil"/>
            </w:tcBorders>
            <w:shd w:val="clear" w:color="auto" w:fill="auto"/>
            <w:noWrap/>
            <w:vAlign w:val="center"/>
            <w:hideMark/>
          </w:tcPr>
          <w:p w14:paraId="63D32FBE"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 </w:t>
            </w:r>
          </w:p>
        </w:tc>
        <w:tc>
          <w:tcPr>
            <w:tcW w:w="2380" w:type="dxa"/>
            <w:tcBorders>
              <w:top w:val="nil"/>
              <w:left w:val="nil"/>
              <w:bottom w:val="single" w:sz="8" w:space="0" w:color="auto"/>
              <w:right w:val="nil"/>
            </w:tcBorders>
            <w:shd w:val="clear" w:color="auto" w:fill="auto"/>
            <w:noWrap/>
            <w:vAlign w:val="center"/>
            <w:hideMark/>
          </w:tcPr>
          <w:p w14:paraId="37DB81F6"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 </w:t>
            </w:r>
          </w:p>
        </w:tc>
        <w:tc>
          <w:tcPr>
            <w:tcW w:w="960" w:type="dxa"/>
            <w:tcBorders>
              <w:top w:val="nil"/>
              <w:left w:val="nil"/>
              <w:bottom w:val="single" w:sz="8" w:space="0" w:color="auto"/>
              <w:right w:val="nil"/>
            </w:tcBorders>
            <w:shd w:val="clear" w:color="auto" w:fill="auto"/>
            <w:vAlign w:val="center"/>
            <w:hideMark/>
          </w:tcPr>
          <w:p w14:paraId="7B159075"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nil"/>
            </w:tcBorders>
            <w:shd w:val="clear" w:color="auto" w:fill="auto"/>
            <w:vAlign w:val="center"/>
            <w:hideMark/>
          </w:tcPr>
          <w:p w14:paraId="0553CD65"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nil"/>
            </w:tcBorders>
            <w:shd w:val="clear" w:color="auto" w:fill="auto"/>
            <w:vAlign w:val="center"/>
            <w:hideMark/>
          </w:tcPr>
          <w:p w14:paraId="7AFB5CF3"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nil"/>
            </w:tcBorders>
            <w:shd w:val="clear" w:color="auto" w:fill="auto"/>
            <w:vAlign w:val="center"/>
            <w:hideMark/>
          </w:tcPr>
          <w:p w14:paraId="1829DE80"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c>
          <w:tcPr>
            <w:tcW w:w="960" w:type="dxa"/>
            <w:tcBorders>
              <w:top w:val="nil"/>
              <w:left w:val="nil"/>
              <w:bottom w:val="single" w:sz="8" w:space="0" w:color="auto"/>
              <w:right w:val="nil"/>
            </w:tcBorders>
            <w:shd w:val="clear" w:color="auto" w:fill="auto"/>
            <w:vAlign w:val="center"/>
            <w:hideMark/>
          </w:tcPr>
          <w:p w14:paraId="194990AC" w14:textId="77777777" w:rsidR="00D20CA6" w:rsidRPr="00D20CA6" w:rsidRDefault="00D20CA6" w:rsidP="00D20CA6">
            <w:pPr>
              <w:spacing w:after="0" w:line="240" w:lineRule="auto"/>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 </w:t>
            </w:r>
          </w:p>
        </w:tc>
      </w:tr>
      <w:tr w:rsidR="00D20CA6" w:rsidRPr="00D20CA6" w14:paraId="5ADF3AC8" w14:textId="77777777" w:rsidTr="00D20CA6">
        <w:trPr>
          <w:trHeight w:val="31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4761DD7B" w14:textId="77777777" w:rsidR="00D20CA6" w:rsidRPr="00D20CA6" w:rsidRDefault="00D20CA6" w:rsidP="00D20CA6">
            <w:pPr>
              <w:spacing w:after="0" w:line="240" w:lineRule="auto"/>
              <w:jc w:val="center"/>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1</w:t>
            </w:r>
          </w:p>
        </w:tc>
        <w:tc>
          <w:tcPr>
            <w:tcW w:w="2380" w:type="dxa"/>
            <w:tcBorders>
              <w:top w:val="nil"/>
              <w:left w:val="nil"/>
              <w:bottom w:val="single" w:sz="8" w:space="0" w:color="auto"/>
              <w:right w:val="single" w:sz="8" w:space="0" w:color="auto"/>
            </w:tcBorders>
            <w:shd w:val="clear" w:color="auto" w:fill="auto"/>
            <w:vAlign w:val="center"/>
            <w:hideMark/>
          </w:tcPr>
          <w:p w14:paraId="107A8B02"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Proposal</w:t>
            </w:r>
          </w:p>
        </w:tc>
        <w:tc>
          <w:tcPr>
            <w:tcW w:w="960" w:type="dxa"/>
            <w:tcBorders>
              <w:top w:val="nil"/>
              <w:left w:val="nil"/>
              <w:bottom w:val="single" w:sz="8" w:space="0" w:color="auto"/>
              <w:right w:val="single" w:sz="8" w:space="0" w:color="auto"/>
            </w:tcBorders>
            <w:shd w:val="clear" w:color="000000" w:fill="FFD966"/>
            <w:vAlign w:val="center"/>
            <w:hideMark/>
          </w:tcPr>
          <w:p w14:paraId="48337E9A"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7A8CC098"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04C5819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2808D612"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76093911"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58766924" w14:textId="77777777" w:rsidTr="00D20CA6">
        <w:trPr>
          <w:trHeight w:val="1590"/>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40DF035E"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4690F887"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Define research aims, objectives &amp; methodology</w:t>
            </w:r>
          </w:p>
        </w:tc>
        <w:tc>
          <w:tcPr>
            <w:tcW w:w="960" w:type="dxa"/>
            <w:tcBorders>
              <w:top w:val="nil"/>
              <w:left w:val="nil"/>
              <w:bottom w:val="single" w:sz="8" w:space="0" w:color="auto"/>
              <w:right w:val="single" w:sz="8" w:space="0" w:color="auto"/>
            </w:tcBorders>
            <w:shd w:val="clear" w:color="000000" w:fill="FF0000"/>
            <w:vAlign w:val="center"/>
            <w:hideMark/>
          </w:tcPr>
          <w:p w14:paraId="429B228B"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0000"/>
            <w:vAlign w:val="center"/>
            <w:hideMark/>
          </w:tcPr>
          <w:p w14:paraId="5488FD9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26768F69"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2D687009"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A9EC849"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20A6510B" w14:textId="77777777" w:rsidTr="00D20CA6">
        <w:trPr>
          <w:trHeight w:val="315"/>
        </w:trPr>
        <w:tc>
          <w:tcPr>
            <w:tcW w:w="1180" w:type="dxa"/>
            <w:tcBorders>
              <w:top w:val="nil"/>
              <w:left w:val="single" w:sz="8" w:space="0" w:color="auto"/>
              <w:bottom w:val="single" w:sz="8" w:space="0" w:color="auto"/>
              <w:right w:val="nil"/>
            </w:tcBorders>
            <w:shd w:val="clear" w:color="auto" w:fill="auto"/>
            <w:noWrap/>
            <w:vAlign w:val="center"/>
            <w:hideMark/>
          </w:tcPr>
          <w:p w14:paraId="51AC7500"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nil"/>
            </w:tcBorders>
            <w:shd w:val="clear" w:color="auto" w:fill="auto"/>
            <w:noWrap/>
            <w:vAlign w:val="center"/>
            <w:hideMark/>
          </w:tcPr>
          <w:p w14:paraId="6011628E"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15FECE76"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6B43356B"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0C653EB0"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2322A04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026CBD49"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315B18AB" w14:textId="77777777" w:rsidTr="00D20CA6">
        <w:trPr>
          <w:trHeight w:val="46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277FDD54" w14:textId="77777777" w:rsidR="00D20CA6" w:rsidRPr="00D20CA6" w:rsidRDefault="00D20CA6" w:rsidP="00D20CA6">
            <w:pPr>
              <w:spacing w:after="0" w:line="240" w:lineRule="auto"/>
              <w:jc w:val="center"/>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2</w:t>
            </w:r>
          </w:p>
        </w:tc>
        <w:tc>
          <w:tcPr>
            <w:tcW w:w="2380" w:type="dxa"/>
            <w:tcBorders>
              <w:top w:val="nil"/>
              <w:left w:val="nil"/>
              <w:bottom w:val="single" w:sz="8" w:space="0" w:color="auto"/>
              <w:right w:val="single" w:sz="8" w:space="0" w:color="auto"/>
            </w:tcBorders>
            <w:shd w:val="clear" w:color="auto" w:fill="auto"/>
            <w:vAlign w:val="center"/>
            <w:hideMark/>
          </w:tcPr>
          <w:p w14:paraId="6F5AB12F"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Literature Review</w:t>
            </w:r>
          </w:p>
        </w:tc>
        <w:tc>
          <w:tcPr>
            <w:tcW w:w="960" w:type="dxa"/>
            <w:tcBorders>
              <w:top w:val="nil"/>
              <w:left w:val="nil"/>
              <w:bottom w:val="single" w:sz="8" w:space="0" w:color="auto"/>
              <w:right w:val="single" w:sz="8" w:space="0" w:color="auto"/>
            </w:tcBorders>
            <w:shd w:val="clear" w:color="auto" w:fill="auto"/>
            <w:vAlign w:val="center"/>
            <w:hideMark/>
          </w:tcPr>
          <w:p w14:paraId="054C57D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5CD22E50"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0647AC2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FF"/>
            <w:vAlign w:val="center"/>
            <w:hideMark/>
          </w:tcPr>
          <w:p w14:paraId="06A3F5AA"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B1435A6"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06009B0B" w14:textId="77777777" w:rsidTr="00D20CA6">
        <w:trPr>
          <w:trHeight w:val="690"/>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0ECE192A" w14:textId="77777777" w:rsidR="00D20CA6" w:rsidRPr="00D20CA6" w:rsidRDefault="00D20CA6" w:rsidP="00D20CA6">
            <w:pPr>
              <w:spacing w:after="0" w:line="240" w:lineRule="auto"/>
              <w:jc w:val="center"/>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13A806D9"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Carry out extensive research</w:t>
            </w:r>
          </w:p>
        </w:tc>
        <w:tc>
          <w:tcPr>
            <w:tcW w:w="960" w:type="dxa"/>
            <w:tcBorders>
              <w:top w:val="nil"/>
              <w:left w:val="nil"/>
              <w:bottom w:val="single" w:sz="8" w:space="0" w:color="auto"/>
              <w:right w:val="single" w:sz="8" w:space="0" w:color="auto"/>
            </w:tcBorders>
            <w:shd w:val="clear" w:color="auto" w:fill="auto"/>
            <w:vAlign w:val="center"/>
            <w:hideMark/>
          </w:tcPr>
          <w:p w14:paraId="301B7B3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44546A"/>
            <w:vAlign w:val="center"/>
            <w:hideMark/>
          </w:tcPr>
          <w:p w14:paraId="2952B24A"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FF"/>
            <w:vAlign w:val="center"/>
            <w:hideMark/>
          </w:tcPr>
          <w:p w14:paraId="648E9B6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FF"/>
            <w:vAlign w:val="center"/>
            <w:hideMark/>
          </w:tcPr>
          <w:p w14:paraId="4DEC5BB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7F875624"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13FBC447" w14:textId="77777777" w:rsidTr="00D20CA6">
        <w:trPr>
          <w:trHeight w:val="91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6048A121"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5D5A484D"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Compile &amp; send questionnaire</w:t>
            </w:r>
          </w:p>
        </w:tc>
        <w:tc>
          <w:tcPr>
            <w:tcW w:w="960" w:type="dxa"/>
            <w:tcBorders>
              <w:top w:val="nil"/>
              <w:left w:val="nil"/>
              <w:bottom w:val="single" w:sz="8" w:space="0" w:color="auto"/>
              <w:right w:val="single" w:sz="8" w:space="0" w:color="auto"/>
            </w:tcBorders>
            <w:shd w:val="clear" w:color="auto" w:fill="auto"/>
            <w:vAlign w:val="center"/>
            <w:hideMark/>
          </w:tcPr>
          <w:p w14:paraId="6B949F9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44546A"/>
            <w:vAlign w:val="center"/>
            <w:hideMark/>
          </w:tcPr>
          <w:p w14:paraId="3FBB5A18"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44546A"/>
            <w:vAlign w:val="center"/>
            <w:hideMark/>
          </w:tcPr>
          <w:p w14:paraId="117C1679"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FF"/>
            <w:vAlign w:val="center"/>
            <w:hideMark/>
          </w:tcPr>
          <w:p w14:paraId="6076EBE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4D4610B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2D911173" w14:textId="77777777" w:rsidTr="00D20CA6">
        <w:trPr>
          <w:trHeight w:val="315"/>
        </w:trPr>
        <w:tc>
          <w:tcPr>
            <w:tcW w:w="1180" w:type="dxa"/>
            <w:tcBorders>
              <w:top w:val="nil"/>
              <w:left w:val="single" w:sz="8" w:space="0" w:color="auto"/>
              <w:bottom w:val="single" w:sz="8" w:space="0" w:color="auto"/>
              <w:right w:val="nil"/>
            </w:tcBorders>
            <w:shd w:val="clear" w:color="auto" w:fill="auto"/>
            <w:noWrap/>
            <w:vAlign w:val="center"/>
            <w:hideMark/>
          </w:tcPr>
          <w:p w14:paraId="3CA58713"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nil"/>
            </w:tcBorders>
            <w:shd w:val="clear" w:color="auto" w:fill="auto"/>
            <w:noWrap/>
            <w:vAlign w:val="center"/>
            <w:hideMark/>
          </w:tcPr>
          <w:p w14:paraId="353BAEFB"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4DB4AD2C"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27645098"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4E74A85E"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6C6BED1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nil"/>
              <w:right w:val="nil"/>
            </w:tcBorders>
            <w:shd w:val="clear" w:color="auto" w:fill="auto"/>
            <w:vAlign w:val="center"/>
            <w:hideMark/>
          </w:tcPr>
          <w:p w14:paraId="0374A95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p>
        </w:tc>
      </w:tr>
      <w:tr w:rsidR="00D20CA6" w:rsidRPr="00D20CA6" w14:paraId="5C125340" w14:textId="77777777" w:rsidTr="00D20CA6">
        <w:trPr>
          <w:trHeight w:val="690"/>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31572E03" w14:textId="77777777" w:rsidR="00D20CA6" w:rsidRPr="00D20CA6" w:rsidRDefault="00D20CA6" w:rsidP="00D20CA6">
            <w:pPr>
              <w:spacing w:after="0" w:line="240" w:lineRule="auto"/>
              <w:jc w:val="center"/>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3</w:t>
            </w:r>
          </w:p>
        </w:tc>
        <w:tc>
          <w:tcPr>
            <w:tcW w:w="2380" w:type="dxa"/>
            <w:tcBorders>
              <w:top w:val="nil"/>
              <w:left w:val="nil"/>
              <w:bottom w:val="single" w:sz="8" w:space="0" w:color="auto"/>
              <w:right w:val="single" w:sz="8" w:space="0" w:color="auto"/>
            </w:tcBorders>
            <w:shd w:val="clear" w:color="auto" w:fill="auto"/>
            <w:vAlign w:val="center"/>
            <w:hideMark/>
          </w:tcPr>
          <w:p w14:paraId="788CFCA2"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Findings &amp; Analysis</w:t>
            </w:r>
          </w:p>
        </w:tc>
        <w:tc>
          <w:tcPr>
            <w:tcW w:w="960" w:type="dxa"/>
            <w:tcBorders>
              <w:top w:val="nil"/>
              <w:left w:val="nil"/>
              <w:bottom w:val="single" w:sz="8" w:space="0" w:color="auto"/>
              <w:right w:val="single" w:sz="8" w:space="0" w:color="auto"/>
            </w:tcBorders>
            <w:shd w:val="clear" w:color="auto" w:fill="auto"/>
            <w:vAlign w:val="center"/>
            <w:hideMark/>
          </w:tcPr>
          <w:p w14:paraId="53C4C0F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3E2CD113"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585DA8F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D966"/>
            <w:vAlign w:val="center"/>
            <w:hideMark/>
          </w:tcPr>
          <w:p w14:paraId="1C279DCA"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single" w:sz="8" w:space="0" w:color="auto"/>
              <w:left w:val="nil"/>
              <w:bottom w:val="single" w:sz="8" w:space="0" w:color="auto"/>
              <w:right w:val="single" w:sz="8" w:space="0" w:color="auto"/>
            </w:tcBorders>
            <w:shd w:val="clear" w:color="000000" w:fill="FFFFFF"/>
            <w:vAlign w:val="center"/>
            <w:hideMark/>
          </w:tcPr>
          <w:p w14:paraId="36DD1F9B"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4272F5D6" w14:textId="77777777" w:rsidTr="00D20CA6">
        <w:trPr>
          <w:trHeight w:val="690"/>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4610A534"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079E8566"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Analyse Questionnaire Results</w:t>
            </w:r>
          </w:p>
        </w:tc>
        <w:tc>
          <w:tcPr>
            <w:tcW w:w="960" w:type="dxa"/>
            <w:tcBorders>
              <w:top w:val="nil"/>
              <w:left w:val="nil"/>
              <w:bottom w:val="single" w:sz="8" w:space="0" w:color="auto"/>
              <w:right w:val="single" w:sz="8" w:space="0" w:color="auto"/>
            </w:tcBorders>
            <w:shd w:val="clear" w:color="auto" w:fill="auto"/>
            <w:vAlign w:val="center"/>
            <w:hideMark/>
          </w:tcPr>
          <w:p w14:paraId="677054CC"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B71FF88"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00"/>
            <w:vAlign w:val="center"/>
            <w:hideMark/>
          </w:tcPr>
          <w:p w14:paraId="3F64F40D"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EF362ED"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FF"/>
            <w:vAlign w:val="center"/>
            <w:hideMark/>
          </w:tcPr>
          <w:p w14:paraId="7A26ED8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5B046312" w14:textId="77777777" w:rsidTr="00D20CA6">
        <w:trPr>
          <w:trHeight w:val="690"/>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4F4DE995"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7B06E6F8"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Analyse Annual Reports</w:t>
            </w:r>
          </w:p>
        </w:tc>
        <w:tc>
          <w:tcPr>
            <w:tcW w:w="960" w:type="dxa"/>
            <w:tcBorders>
              <w:top w:val="nil"/>
              <w:left w:val="nil"/>
              <w:bottom w:val="single" w:sz="8" w:space="0" w:color="auto"/>
              <w:right w:val="single" w:sz="8" w:space="0" w:color="auto"/>
            </w:tcBorders>
            <w:shd w:val="clear" w:color="auto" w:fill="auto"/>
            <w:vAlign w:val="center"/>
            <w:hideMark/>
          </w:tcPr>
          <w:p w14:paraId="52D7C33C"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3A69BA7A"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00"/>
            <w:vAlign w:val="center"/>
            <w:hideMark/>
          </w:tcPr>
          <w:p w14:paraId="0523A07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00"/>
            <w:vAlign w:val="center"/>
            <w:hideMark/>
          </w:tcPr>
          <w:p w14:paraId="42CF5C94"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281F7CD3"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1A130A45" w14:textId="77777777" w:rsidTr="00D20CA6">
        <w:trPr>
          <w:trHeight w:val="46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5259A120"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53871E91" w14:textId="77777777" w:rsidR="00D20CA6" w:rsidRPr="00D20CA6" w:rsidRDefault="00D20CA6" w:rsidP="00D20CA6">
            <w:pPr>
              <w:spacing w:after="0" w:line="240" w:lineRule="auto"/>
              <w:jc w:val="center"/>
              <w:rPr>
                <w:rFonts w:ascii="Arial" w:eastAsia="Times New Roman" w:hAnsi="Arial" w:cs="Arial"/>
                <w:sz w:val="16"/>
                <w:szCs w:val="16"/>
                <w:lang w:eastAsia="en-GB"/>
              </w:rPr>
            </w:pPr>
            <w:r w:rsidRPr="00D20CA6">
              <w:rPr>
                <w:rFonts w:ascii="Arial" w:eastAsia="Times New Roman" w:hAnsi="Arial" w:cs="Arial"/>
                <w:sz w:val="16"/>
                <w:szCs w:val="16"/>
                <w:lang w:eastAsia="en-GB"/>
              </w:rPr>
              <w:t xml:space="preserve">Collate &amp; Analyse </w:t>
            </w:r>
          </w:p>
        </w:tc>
        <w:tc>
          <w:tcPr>
            <w:tcW w:w="960" w:type="dxa"/>
            <w:tcBorders>
              <w:top w:val="nil"/>
              <w:left w:val="nil"/>
              <w:bottom w:val="single" w:sz="8" w:space="0" w:color="auto"/>
              <w:right w:val="single" w:sz="8" w:space="0" w:color="auto"/>
            </w:tcBorders>
            <w:shd w:val="clear" w:color="auto" w:fill="auto"/>
            <w:vAlign w:val="center"/>
            <w:hideMark/>
          </w:tcPr>
          <w:p w14:paraId="01AC87A2"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2DBF4FE"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B529562"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00"/>
            <w:vAlign w:val="center"/>
            <w:hideMark/>
          </w:tcPr>
          <w:p w14:paraId="0A39AAAB"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155225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3AC58134" w14:textId="77777777" w:rsidTr="00D20CA6">
        <w:trPr>
          <w:trHeight w:val="31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677DC86A"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5F7E720F"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Conclusion</w:t>
            </w:r>
          </w:p>
        </w:tc>
        <w:tc>
          <w:tcPr>
            <w:tcW w:w="960" w:type="dxa"/>
            <w:tcBorders>
              <w:top w:val="nil"/>
              <w:left w:val="nil"/>
              <w:bottom w:val="single" w:sz="8" w:space="0" w:color="auto"/>
              <w:right w:val="single" w:sz="8" w:space="0" w:color="auto"/>
            </w:tcBorders>
            <w:shd w:val="clear" w:color="auto" w:fill="auto"/>
            <w:vAlign w:val="center"/>
            <w:hideMark/>
          </w:tcPr>
          <w:p w14:paraId="10EA845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0FE3BDB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2EF30E72"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FFFF00"/>
            <w:vAlign w:val="center"/>
            <w:hideMark/>
          </w:tcPr>
          <w:p w14:paraId="3D7DFEE2"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25A80B48"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45DB97FA" w14:textId="77777777" w:rsidTr="00D20CA6">
        <w:trPr>
          <w:trHeight w:val="315"/>
        </w:trPr>
        <w:tc>
          <w:tcPr>
            <w:tcW w:w="1180" w:type="dxa"/>
            <w:tcBorders>
              <w:top w:val="nil"/>
              <w:left w:val="single" w:sz="8" w:space="0" w:color="auto"/>
              <w:bottom w:val="single" w:sz="8" w:space="0" w:color="auto"/>
              <w:right w:val="nil"/>
            </w:tcBorders>
            <w:shd w:val="clear" w:color="auto" w:fill="auto"/>
            <w:noWrap/>
            <w:vAlign w:val="center"/>
            <w:hideMark/>
          </w:tcPr>
          <w:p w14:paraId="45FA7CA2"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nil"/>
            </w:tcBorders>
            <w:shd w:val="clear" w:color="auto" w:fill="auto"/>
            <w:noWrap/>
            <w:vAlign w:val="center"/>
            <w:hideMark/>
          </w:tcPr>
          <w:p w14:paraId="358C3D67"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601C5722"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3A478E7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66314046"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nil"/>
            </w:tcBorders>
            <w:shd w:val="clear" w:color="auto" w:fill="auto"/>
            <w:vAlign w:val="center"/>
            <w:hideMark/>
          </w:tcPr>
          <w:p w14:paraId="0A7B9D7E"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nil"/>
              <w:right w:val="nil"/>
            </w:tcBorders>
            <w:shd w:val="clear" w:color="auto" w:fill="auto"/>
            <w:vAlign w:val="center"/>
            <w:hideMark/>
          </w:tcPr>
          <w:p w14:paraId="43559901"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p>
        </w:tc>
      </w:tr>
      <w:tr w:rsidR="00D20CA6" w:rsidRPr="00D20CA6" w14:paraId="5388B0A5" w14:textId="77777777" w:rsidTr="00D20CA6">
        <w:trPr>
          <w:trHeight w:val="91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146218C8" w14:textId="77777777" w:rsidR="00D20CA6" w:rsidRPr="00D20CA6" w:rsidRDefault="00D20CA6" w:rsidP="00D20CA6">
            <w:pPr>
              <w:spacing w:after="0" w:line="240" w:lineRule="auto"/>
              <w:jc w:val="center"/>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4</w:t>
            </w:r>
          </w:p>
        </w:tc>
        <w:tc>
          <w:tcPr>
            <w:tcW w:w="2380" w:type="dxa"/>
            <w:tcBorders>
              <w:top w:val="nil"/>
              <w:left w:val="nil"/>
              <w:bottom w:val="single" w:sz="8" w:space="0" w:color="auto"/>
              <w:right w:val="single" w:sz="8" w:space="0" w:color="auto"/>
            </w:tcBorders>
            <w:shd w:val="clear" w:color="auto" w:fill="auto"/>
            <w:vAlign w:val="center"/>
            <w:hideMark/>
          </w:tcPr>
          <w:p w14:paraId="125D64A9" w14:textId="77777777" w:rsidR="00D20CA6" w:rsidRPr="00D20CA6" w:rsidRDefault="00D20CA6" w:rsidP="00D20CA6">
            <w:pPr>
              <w:spacing w:after="0" w:line="240" w:lineRule="auto"/>
              <w:jc w:val="center"/>
              <w:rPr>
                <w:rFonts w:ascii="Arial" w:eastAsia="Times New Roman" w:hAnsi="Arial" w:cs="Arial"/>
                <w:b/>
                <w:bCs/>
                <w:color w:val="000000"/>
                <w:sz w:val="16"/>
                <w:szCs w:val="16"/>
                <w:lang w:eastAsia="en-GB"/>
              </w:rPr>
            </w:pPr>
            <w:r w:rsidRPr="00D20CA6">
              <w:rPr>
                <w:rFonts w:ascii="Arial" w:eastAsia="Times New Roman" w:hAnsi="Arial" w:cs="Arial"/>
                <w:b/>
                <w:bCs/>
                <w:color w:val="000000"/>
                <w:sz w:val="16"/>
                <w:szCs w:val="16"/>
                <w:lang w:eastAsia="en-GB"/>
              </w:rPr>
              <w:t>Submission Preparation</w:t>
            </w:r>
          </w:p>
        </w:tc>
        <w:tc>
          <w:tcPr>
            <w:tcW w:w="960" w:type="dxa"/>
            <w:tcBorders>
              <w:top w:val="nil"/>
              <w:left w:val="nil"/>
              <w:bottom w:val="single" w:sz="8" w:space="0" w:color="auto"/>
              <w:right w:val="single" w:sz="8" w:space="0" w:color="auto"/>
            </w:tcBorders>
            <w:shd w:val="clear" w:color="auto" w:fill="auto"/>
            <w:vAlign w:val="center"/>
            <w:hideMark/>
          </w:tcPr>
          <w:p w14:paraId="23EB5D1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7602ACE"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F56F1A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2582A00A"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single" w:sz="8" w:space="0" w:color="auto"/>
              <w:left w:val="nil"/>
              <w:bottom w:val="single" w:sz="8" w:space="0" w:color="auto"/>
              <w:right w:val="single" w:sz="8" w:space="0" w:color="auto"/>
            </w:tcBorders>
            <w:shd w:val="clear" w:color="000000" w:fill="FFD966"/>
            <w:vAlign w:val="center"/>
            <w:hideMark/>
          </w:tcPr>
          <w:p w14:paraId="1F4274D4"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7E70B705" w14:textId="77777777" w:rsidTr="00D20CA6">
        <w:trPr>
          <w:trHeight w:val="690"/>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3DED9CA8"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5F9FB664"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Consultation with Supervisor</w:t>
            </w:r>
          </w:p>
        </w:tc>
        <w:tc>
          <w:tcPr>
            <w:tcW w:w="960" w:type="dxa"/>
            <w:tcBorders>
              <w:top w:val="nil"/>
              <w:left w:val="nil"/>
              <w:bottom w:val="single" w:sz="8" w:space="0" w:color="auto"/>
              <w:right w:val="single" w:sz="8" w:space="0" w:color="auto"/>
            </w:tcBorders>
            <w:shd w:val="clear" w:color="auto" w:fill="auto"/>
            <w:vAlign w:val="center"/>
            <w:hideMark/>
          </w:tcPr>
          <w:p w14:paraId="0D25009C"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F9511D3"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74D9AB7C"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D949A19"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548235"/>
            <w:vAlign w:val="center"/>
            <w:hideMark/>
          </w:tcPr>
          <w:p w14:paraId="28E89A35"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646B33D5" w14:textId="77777777" w:rsidTr="00D20CA6">
        <w:trPr>
          <w:trHeight w:val="46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452A3DDE"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00943BA7"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Proof-read and editing</w:t>
            </w:r>
          </w:p>
        </w:tc>
        <w:tc>
          <w:tcPr>
            <w:tcW w:w="960" w:type="dxa"/>
            <w:tcBorders>
              <w:top w:val="nil"/>
              <w:left w:val="nil"/>
              <w:bottom w:val="single" w:sz="8" w:space="0" w:color="auto"/>
              <w:right w:val="single" w:sz="8" w:space="0" w:color="auto"/>
            </w:tcBorders>
            <w:shd w:val="clear" w:color="auto" w:fill="auto"/>
            <w:vAlign w:val="center"/>
            <w:hideMark/>
          </w:tcPr>
          <w:p w14:paraId="51C12C84"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7AD59C4B"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FD9D47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2B8D6BD"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548235"/>
            <w:vAlign w:val="center"/>
            <w:hideMark/>
          </w:tcPr>
          <w:p w14:paraId="5812CDBA"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14641E9F" w14:textId="77777777" w:rsidTr="00D20CA6">
        <w:trPr>
          <w:trHeight w:val="31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7FB0555B"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2AC7823D"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Binding</w:t>
            </w:r>
          </w:p>
        </w:tc>
        <w:tc>
          <w:tcPr>
            <w:tcW w:w="960" w:type="dxa"/>
            <w:tcBorders>
              <w:top w:val="nil"/>
              <w:left w:val="nil"/>
              <w:bottom w:val="single" w:sz="8" w:space="0" w:color="auto"/>
              <w:right w:val="single" w:sz="8" w:space="0" w:color="auto"/>
            </w:tcBorders>
            <w:shd w:val="clear" w:color="auto" w:fill="auto"/>
            <w:vAlign w:val="center"/>
            <w:hideMark/>
          </w:tcPr>
          <w:p w14:paraId="42DC3381"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4B0B16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5993B36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2578770"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548235"/>
            <w:vAlign w:val="center"/>
            <w:hideMark/>
          </w:tcPr>
          <w:p w14:paraId="42F38C8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r w:rsidR="00D20CA6" w:rsidRPr="00D20CA6" w14:paraId="1567C66B" w14:textId="77777777" w:rsidTr="00D20CA6">
        <w:trPr>
          <w:trHeight w:val="315"/>
        </w:trPr>
        <w:tc>
          <w:tcPr>
            <w:tcW w:w="1180" w:type="dxa"/>
            <w:tcBorders>
              <w:top w:val="nil"/>
              <w:left w:val="single" w:sz="8" w:space="0" w:color="auto"/>
              <w:bottom w:val="single" w:sz="8" w:space="0" w:color="auto"/>
              <w:right w:val="single" w:sz="8" w:space="0" w:color="auto"/>
            </w:tcBorders>
            <w:shd w:val="clear" w:color="auto" w:fill="auto"/>
            <w:noWrap/>
            <w:vAlign w:val="center"/>
            <w:hideMark/>
          </w:tcPr>
          <w:p w14:paraId="5FF776FA" w14:textId="77777777" w:rsidR="00D20CA6" w:rsidRPr="00D20CA6" w:rsidRDefault="00D20CA6" w:rsidP="00D20CA6">
            <w:pPr>
              <w:spacing w:after="0" w:line="240" w:lineRule="auto"/>
              <w:jc w:val="center"/>
              <w:rPr>
                <w:rFonts w:ascii="Arial" w:eastAsia="Times New Roman" w:hAnsi="Arial" w:cs="Arial"/>
                <w:color w:val="000000"/>
                <w:sz w:val="14"/>
                <w:szCs w:val="14"/>
                <w:lang w:eastAsia="en-GB"/>
              </w:rPr>
            </w:pPr>
            <w:r w:rsidRPr="00D20CA6">
              <w:rPr>
                <w:rFonts w:ascii="Arial" w:eastAsia="Times New Roman" w:hAnsi="Arial" w:cs="Arial"/>
                <w:color w:val="000000"/>
                <w:sz w:val="14"/>
                <w:szCs w:val="14"/>
                <w:lang w:eastAsia="en-GB"/>
              </w:rPr>
              <w:t> </w:t>
            </w:r>
          </w:p>
        </w:tc>
        <w:tc>
          <w:tcPr>
            <w:tcW w:w="2380" w:type="dxa"/>
            <w:tcBorders>
              <w:top w:val="nil"/>
              <w:left w:val="nil"/>
              <w:bottom w:val="single" w:sz="8" w:space="0" w:color="auto"/>
              <w:right w:val="single" w:sz="8" w:space="0" w:color="auto"/>
            </w:tcBorders>
            <w:shd w:val="clear" w:color="auto" w:fill="auto"/>
            <w:vAlign w:val="center"/>
            <w:hideMark/>
          </w:tcPr>
          <w:p w14:paraId="339C3E05" w14:textId="77777777" w:rsidR="00D20CA6" w:rsidRPr="00D20CA6" w:rsidRDefault="00D20CA6" w:rsidP="00D20CA6">
            <w:pPr>
              <w:spacing w:after="0" w:line="240" w:lineRule="auto"/>
              <w:jc w:val="center"/>
              <w:rPr>
                <w:rFonts w:ascii="Arial" w:eastAsia="Times New Roman" w:hAnsi="Arial" w:cs="Arial"/>
                <w:color w:val="000000"/>
                <w:sz w:val="16"/>
                <w:szCs w:val="16"/>
                <w:lang w:eastAsia="en-GB"/>
              </w:rPr>
            </w:pPr>
            <w:r w:rsidRPr="00D20CA6">
              <w:rPr>
                <w:rFonts w:ascii="Arial" w:eastAsia="Times New Roman" w:hAnsi="Arial" w:cs="Arial"/>
                <w:color w:val="000000"/>
                <w:sz w:val="16"/>
                <w:szCs w:val="16"/>
                <w:lang w:eastAsia="en-GB"/>
              </w:rPr>
              <w:t>Submission</w:t>
            </w:r>
          </w:p>
        </w:tc>
        <w:tc>
          <w:tcPr>
            <w:tcW w:w="960" w:type="dxa"/>
            <w:tcBorders>
              <w:top w:val="nil"/>
              <w:left w:val="nil"/>
              <w:bottom w:val="single" w:sz="8" w:space="0" w:color="auto"/>
              <w:right w:val="single" w:sz="8" w:space="0" w:color="auto"/>
            </w:tcBorders>
            <w:shd w:val="clear" w:color="auto" w:fill="auto"/>
            <w:vAlign w:val="center"/>
            <w:hideMark/>
          </w:tcPr>
          <w:p w14:paraId="0C04208F"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1561C02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2156677"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A08DC50"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c>
          <w:tcPr>
            <w:tcW w:w="960" w:type="dxa"/>
            <w:tcBorders>
              <w:top w:val="nil"/>
              <w:left w:val="nil"/>
              <w:bottom w:val="single" w:sz="8" w:space="0" w:color="auto"/>
              <w:right w:val="single" w:sz="8" w:space="0" w:color="auto"/>
            </w:tcBorders>
            <w:shd w:val="clear" w:color="000000" w:fill="548235"/>
            <w:vAlign w:val="center"/>
            <w:hideMark/>
          </w:tcPr>
          <w:p w14:paraId="70F8D748" w14:textId="77777777" w:rsidR="00D20CA6" w:rsidRPr="00D20CA6" w:rsidRDefault="00D20CA6" w:rsidP="00D20CA6">
            <w:pPr>
              <w:spacing w:after="0" w:line="240" w:lineRule="auto"/>
              <w:rPr>
                <w:rFonts w:ascii="Arial" w:eastAsia="Times New Roman" w:hAnsi="Arial" w:cs="Arial"/>
                <w:b/>
                <w:bCs/>
                <w:color w:val="000000"/>
                <w:sz w:val="14"/>
                <w:szCs w:val="14"/>
                <w:lang w:eastAsia="en-GB"/>
              </w:rPr>
            </w:pPr>
            <w:r w:rsidRPr="00D20CA6">
              <w:rPr>
                <w:rFonts w:ascii="Arial" w:eastAsia="Times New Roman" w:hAnsi="Arial" w:cs="Arial"/>
                <w:b/>
                <w:bCs/>
                <w:color w:val="000000"/>
                <w:sz w:val="14"/>
                <w:szCs w:val="14"/>
                <w:lang w:eastAsia="en-GB"/>
              </w:rPr>
              <w:t> </w:t>
            </w:r>
          </w:p>
        </w:tc>
      </w:tr>
    </w:tbl>
    <w:p w14:paraId="10295169" w14:textId="3604B41D" w:rsidR="005E1B9D" w:rsidRDefault="005E1B9D" w:rsidP="005E1B9D">
      <w:pPr>
        <w:jc w:val="both"/>
        <w:rPr>
          <w:b/>
          <w:u w:val="single"/>
        </w:rPr>
      </w:pPr>
    </w:p>
    <w:sdt>
      <w:sdtPr>
        <w:rPr>
          <w:rFonts w:asciiTheme="minorHAnsi" w:eastAsiaTheme="minorHAnsi" w:hAnsiTheme="minorHAnsi" w:cstheme="minorBidi"/>
          <w:color w:val="auto"/>
          <w:sz w:val="22"/>
          <w:szCs w:val="22"/>
          <w:lang w:val="en-GB"/>
        </w:rPr>
        <w:id w:val="-1327904844"/>
        <w:docPartObj>
          <w:docPartGallery w:val="Bibliographies"/>
          <w:docPartUnique/>
        </w:docPartObj>
      </w:sdtPr>
      <w:sdtEndPr/>
      <w:sdtContent>
        <w:p w14:paraId="0BDA2C23" w14:textId="1DA83102" w:rsidR="00760A03" w:rsidRDefault="00760A03">
          <w:pPr>
            <w:pStyle w:val="Heading1"/>
          </w:pPr>
          <w:r>
            <w:t>Bibliography</w:t>
          </w:r>
        </w:p>
        <w:sdt>
          <w:sdtPr>
            <w:id w:val="111145805"/>
            <w:bibliography/>
          </w:sdtPr>
          <w:sdtEndPr/>
          <w:sdtContent>
            <w:p w14:paraId="75E901C3" w14:textId="77777777" w:rsidR="005610A8" w:rsidRDefault="00760A03" w:rsidP="005610A8">
              <w:pPr>
                <w:pStyle w:val="Bibliography"/>
                <w:ind w:left="720" w:hanging="720"/>
                <w:rPr>
                  <w:noProof/>
                  <w:sz w:val="24"/>
                  <w:szCs w:val="24"/>
                  <w:lang w:val="en-US"/>
                </w:rPr>
              </w:pPr>
              <w:r>
                <w:fldChar w:fldCharType="begin"/>
              </w:r>
              <w:r>
                <w:instrText xml:space="preserve"> BIBLIOGRAPHY </w:instrText>
              </w:r>
              <w:r>
                <w:fldChar w:fldCharType="separate"/>
              </w:r>
              <w:r w:rsidR="005610A8">
                <w:rPr>
                  <w:noProof/>
                  <w:lang w:val="en-US"/>
                </w:rPr>
                <w:t xml:space="preserve">Amaratunga, D., Baldry, D., Sarshar, M., &amp; Newton, R. (2002). Quantitative and qualitative research in the built environment: application of “mixed” research approach. </w:t>
              </w:r>
              <w:r w:rsidR="005610A8">
                <w:rPr>
                  <w:i/>
                  <w:iCs/>
                  <w:noProof/>
                  <w:lang w:val="en-US"/>
                </w:rPr>
                <w:t>International Journal of Productivity and Performance Management, 51</w:t>
              </w:r>
              <w:r w:rsidR="005610A8">
                <w:rPr>
                  <w:noProof/>
                  <w:lang w:val="en-US"/>
                </w:rPr>
                <w:t>(1), 17-31.</w:t>
              </w:r>
            </w:p>
            <w:p w14:paraId="06F59047" w14:textId="77777777" w:rsidR="005610A8" w:rsidRDefault="005610A8" w:rsidP="005610A8">
              <w:pPr>
                <w:pStyle w:val="Bibliography"/>
                <w:ind w:left="720" w:hanging="720"/>
                <w:rPr>
                  <w:noProof/>
                  <w:lang w:val="en-US"/>
                </w:rPr>
              </w:pPr>
              <w:r>
                <w:rPr>
                  <w:noProof/>
                  <w:lang w:val="en-US"/>
                </w:rPr>
                <w:t xml:space="preserve">Brinkmann, S. (2018). </w:t>
              </w:r>
              <w:r>
                <w:rPr>
                  <w:i/>
                  <w:iCs/>
                  <w:noProof/>
                  <w:lang w:val="en-US"/>
                </w:rPr>
                <w:t>Philosophies of Qualitative Research .</w:t>
              </w:r>
              <w:r>
                <w:rPr>
                  <w:noProof/>
                  <w:lang w:val="en-US"/>
                </w:rPr>
                <w:t xml:space="preserve"> Oxford: Oxford University Press.</w:t>
              </w:r>
            </w:p>
            <w:p w14:paraId="15AC9FC7" w14:textId="77777777" w:rsidR="005610A8" w:rsidRDefault="005610A8" w:rsidP="005610A8">
              <w:pPr>
                <w:pStyle w:val="Bibliography"/>
                <w:ind w:left="720" w:hanging="720"/>
                <w:rPr>
                  <w:noProof/>
                  <w:lang w:val="en-US"/>
                </w:rPr>
              </w:pPr>
              <w:r>
                <w:rPr>
                  <w:noProof/>
                  <w:lang w:val="en-US"/>
                </w:rPr>
                <w:t xml:space="preserve">Burbules, B. (2004). </w:t>
              </w:r>
              <w:r>
                <w:rPr>
                  <w:i/>
                  <w:iCs/>
                  <w:noProof/>
                  <w:lang w:val="en-US"/>
                </w:rPr>
                <w:t>Pragmatism and Educational Research.</w:t>
              </w:r>
              <w:r>
                <w:rPr>
                  <w:noProof/>
                  <w:lang w:val="en-US"/>
                </w:rPr>
                <w:t xml:space="preserve"> Oxford: Rowman and Littlefield Publishers, Inc.</w:t>
              </w:r>
            </w:p>
            <w:p w14:paraId="1A7A60AC" w14:textId="77777777" w:rsidR="005610A8" w:rsidRDefault="005610A8" w:rsidP="005610A8">
              <w:pPr>
                <w:pStyle w:val="Bibliography"/>
                <w:ind w:left="720" w:hanging="720"/>
                <w:rPr>
                  <w:noProof/>
                  <w:lang w:val="en-US"/>
                </w:rPr>
              </w:pPr>
              <w:r>
                <w:rPr>
                  <w:noProof/>
                  <w:lang w:val="en-US"/>
                </w:rPr>
                <w:t xml:space="preserve">Casey, E. (2008). Working Class Women, Gambling and The Dream of Happiness. </w:t>
              </w:r>
              <w:r>
                <w:rPr>
                  <w:i/>
                  <w:iCs/>
                  <w:noProof/>
                  <w:lang w:val="en-US"/>
                </w:rPr>
                <w:t>Feminist Review, 89</w:t>
              </w:r>
              <w:r>
                <w:rPr>
                  <w:noProof/>
                  <w:lang w:val="en-US"/>
                </w:rPr>
                <w:t>(1), 122-137.</w:t>
              </w:r>
            </w:p>
            <w:p w14:paraId="63DB75FB" w14:textId="77777777" w:rsidR="005610A8" w:rsidRDefault="005610A8" w:rsidP="005610A8">
              <w:pPr>
                <w:pStyle w:val="Bibliography"/>
                <w:ind w:left="720" w:hanging="720"/>
                <w:rPr>
                  <w:noProof/>
                  <w:lang w:val="en-US"/>
                </w:rPr>
              </w:pPr>
              <w:r>
                <w:rPr>
                  <w:noProof/>
                  <w:lang w:val="en-US"/>
                </w:rPr>
                <w:t xml:space="preserve">Creswell , J., &amp; Clark, V. P. (2009). Designing and Conducting Mixed Methods Research. </w:t>
              </w:r>
              <w:r>
                <w:rPr>
                  <w:i/>
                  <w:iCs/>
                  <w:noProof/>
                  <w:lang w:val="en-US"/>
                </w:rPr>
                <w:t>Organizational Research Methods, 12</w:t>
              </w:r>
              <w:r>
                <w:rPr>
                  <w:noProof/>
                  <w:lang w:val="en-US"/>
                </w:rPr>
                <w:t>(4), 801-804.</w:t>
              </w:r>
            </w:p>
            <w:p w14:paraId="754A13AB" w14:textId="77777777" w:rsidR="005610A8" w:rsidRDefault="005610A8" w:rsidP="005610A8">
              <w:pPr>
                <w:pStyle w:val="Bibliography"/>
                <w:ind w:left="720" w:hanging="720"/>
                <w:rPr>
                  <w:noProof/>
                  <w:lang w:val="en-US"/>
                </w:rPr>
              </w:pPr>
              <w:r>
                <w:rPr>
                  <w:noProof/>
                  <w:lang w:val="en-US"/>
                </w:rPr>
                <w:t xml:space="preserve">Dunlop, S. (2016). </w:t>
              </w:r>
              <w:r>
                <w:rPr>
                  <w:i/>
                  <w:iCs/>
                  <w:noProof/>
                  <w:lang w:val="en-US"/>
                </w:rPr>
                <w:t>The Earliest Forms of Gambling in Ancient Civilizations</w:t>
              </w:r>
              <w:r>
                <w:rPr>
                  <w:noProof/>
                  <w:lang w:val="en-US"/>
                </w:rPr>
                <w:t>. Retrieved May 31, 2018, from DocumentaryTube.com: http://www.documentarytube.com/articles/the-earliest-forms-of-gambling-in-ancient-civilizations</w:t>
              </w:r>
            </w:p>
            <w:p w14:paraId="35E18022" w14:textId="77777777" w:rsidR="005610A8" w:rsidRDefault="005610A8" w:rsidP="005610A8">
              <w:pPr>
                <w:pStyle w:val="Bibliography"/>
                <w:ind w:left="720" w:hanging="720"/>
                <w:rPr>
                  <w:noProof/>
                  <w:lang w:val="en-US"/>
                </w:rPr>
              </w:pPr>
              <w:r>
                <w:rPr>
                  <w:noProof/>
                  <w:lang w:val="en-US"/>
                </w:rPr>
                <w:t xml:space="preserve">Greene, J. C., &amp; Caracelli, V. J. (1997). </w:t>
              </w:r>
              <w:r>
                <w:rPr>
                  <w:i/>
                  <w:iCs/>
                  <w:noProof/>
                  <w:lang w:val="en-US"/>
                </w:rPr>
                <w:t>Advances in mixed-method evaluation: the challengesm and benefits of intergrating diverse paradigms.</w:t>
              </w:r>
              <w:r>
                <w:rPr>
                  <w:noProof/>
                  <w:lang w:val="en-US"/>
                </w:rPr>
                <w:t xml:space="preserve"> San Fransisco : Jossey-Bass Publishers.</w:t>
              </w:r>
            </w:p>
            <w:p w14:paraId="26FD5951" w14:textId="77777777" w:rsidR="005610A8" w:rsidRDefault="005610A8" w:rsidP="005610A8">
              <w:pPr>
                <w:pStyle w:val="Bibliography"/>
                <w:ind w:left="720" w:hanging="720"/>
                <w:rPr>
                  <w:noProof/>
                  <w:lang w:val="en-US"/>
                </w:rPr>
              </w:pPr>
              <w:r>
                <w:rPr>
                  <w:noProof/>
                  <w:lang w:val="en-US"/>
                </w:rPr>
                <w:t xml:space="preserve">Howell, K. E. (2012). </w:t>
              </w:r>
              <w:r>
                <w:rPr>
                  <w:i/>
                  <w:iCs/>
                  <w:noProof/>
                  <w:lang w:val="en-US"/>
                </w:rPr>
                <w:t>An Introduction to the Philosophy of Methodology .</w:t>
              </w:r>
              <w:r>
                <w:rPr>
                  <w:noProof/>
                  <w:lang w:val="en-US"/>
                </w:rPr>
                <w:t xml:space="preserve"> London : Sage Publication.</w:t>
              </w:r>
            </w:p>
            <w:p w14:paraId="60583E68" w14:textId="77777777" w:rsidR="005610A8" w:rsidRDefault="005610A8" w:rsidP="005610A8">
              <w:pPr>
                <w:pStyle w:val="Bibliography"/>
                <w:ind w:left="720" w:hanging="720"/>
                <w:rPr>
                  <w:noProof/>
                  <w:lang w:val="en-US"/>
                </w:rPr>
              </w:pPr>
              <w:r>
                <w:rPr>
                  <w:noProof/>
                  <w:lang w:val="en-US"/>
                </w:rPr>
                <w:t xml:space="preserve">Jankowicz, A. D. (2013). </w:t>
              </w:r>
              <w:r>
                <w:rPr>
                  <w:i/>
                  <w:iCs/>
                  <w:noProof/>
                  <w:lang w:val="en-US"/>
                </w:rPr>
                <w:t>Business Research Projects</w:t>
              </w:r>
              <w:r>
                <w:rPr>
                  <w:noProof/>
                  <w:lang w:val="en-US"/>
                </w:rPr>
                <w:t xml:space="preserve"> (2nd ed.). Cleveland: Chapman and Hall.</w:t>
              </w:r>
            </w:p>
            <w:p w14:paraId="345F0EA6" w14:textId="77777777" w:rsidR="005610A8" w:rsidRDefault="005610A8" w:rsidP="005610A8">
              <w:pPr>
                <w:pStyle w:val="Bibliography"/>
                <w:ind w:left="720" w:hanging="720"/>
                <w:rPr>
                  <w:noProof/>
                  <w:lang w:val="en-US"/>
                </w:rPr>
              </w:pPr>
              <w:r>
                <w:rPr>
                  <w:noProof/>
                  <w:lang w:val="en-US"/>
                </w:rPr>
                <w:t xml:space="preserve">Joinson, A. N., Reips, U.-D., Buchanan, T., &amp; Schofield, C. B. (2010). Privacy, Trust and Self-Disclosure Online. </w:t>
              </w:r>
              <w:r>
                <w:rPr>
                  <w:i/>
                  <w:iCs/>
                  <w:noProof/>
                  <w:lang w:val="en-US"/>
                </w:rPr>
                <w:t>Human-Computer Interaction, 25</w:t>
              </w:r>
              <w:r>
                <w:rPr>
                  <w:noProof/>
                  <w:lang w:val="en-US"/>
                </w:rPr>
                <w:t>, 1-24.</w:t>
              </w:r>
            </w:p>
            <w:p w14:paraId="3DC1BB3D" w14:textId="77777777" w:rsidR="005610A8" w:rsidRDefault="005610A8" w:rsidP="005610A8">
              <w:pPr>
                <w:pStyle w:val="Bibliography"/>
                <w:ind w:left="720" w:hanging="720"/>
                <w:rPr>
                  <w:noProof/>
                  <w:lang w:val="en-US"/>
                </w:rPr>
              </w:pPr>
              <w:r>
                <w:rPr>
                  <w:noProof/>
                  <w:lang w:val="en-US"/>
                </w:rPr>
                <w:t xml:space="preserve">Lavrakas, P. J. (2008). </w:t>
              </w:r>
              <w:r>
                <w:rPr>
                  <w:i/>
                  <w:iCs/>
                  <w:noProof/>
                  <w:lang w:val="en-US"/>
                </w:rPr>
                <w:t>Encyclopedia of Survey Research Methods.</w:t>
              </w:r>
              <w:r>
                <w:rPr>
                  <w:noProof/>
                  <w:lang w:val="en-US"/>
                </w:rPr>
                <w:t xml:space="preserve"> London : Sage Publication.</w:t>
              </w:r>
            </w:p>
            <w:p w14:paraId="4C38F132" w14:textId="77777777" w:rsidR="005610A8" w:rsidRDefault="005610A8" w:rsidP="005610A8">
              <w:pPr>
                <w:pStyle w:val="Bibliography"/>
                <w:ind w:left="720" w:hanging="720"/>
                <w:rPr>
                  <w:noProof/>
                  <w:lang w:val="en-US"/>
                </w:rPr>
              </w:pPr>
              <w:r>
                <w:rPr>
                  <w:noProof/>
                  <w:lang w:val="en-US"/>
                </w:rPr>
                <w:t xml:space="preserve">McKim, C. A. (2017). The Value of Mixed Methods Research: A Mixed Methods Study. </w:t>
              </w:r>
              <w:r>
                <w:rPr>
                  <w:i/>
                  <w:iCs/>
                  <w:noProof/>
                  <w:lang w:val="en-US"/>
                </w:rPr>
                <w:t>Journal of Mixed Methods Research, 11</w:t>
              </w:r>
              <w:r>
                <w:rPr>
                  <w:noProof/>
                  <w:lang w:val="en-US"/>
                </w:rPr>
                <w:t>(2), 202-222.</w:t>
              </w:r>
            </w:p>
            <w:p w14:paraId="3F89E36E" w14:textId="77777777" w:rsidR="005610A8" w:rsidRDefault="005610A8" w:rsidP="005610A8">
              <w:pPr>
                <w:pStyle w:val="Bibliography"/>
                <w:ind w:left="720" w:hanging="720"/>
                <w:rPr>
                  <w:noProof/>
                  <w:lang w:val="en-US"/>
                </w:rPr>
              </w:pPr>
              <w:r>
                <w:rPr>
                  <w:noProof/>
                  <w:lang w:val="en-US"/>
                </w:rPr>
                <w:t xml:space="preserve">Pellinen, K. (2016). </w:t>
              </w:r>
              <w:r>
                <w:rPr>
                  <w:i/>
                  <w:iCs/>
                  <w:noProof/>
                  <w:lang w:val="en-US"/>
                </w:rPr>
                <w:t>CSR communication challenges: communication channels, sustainability reporting and stakeholder engagement.</w:t>
              </w:r>
              <w:r>
                <w:rPr>
                  <w:noProof/>
                  <w:lang w:val="en-US"/>
                </w:rPr>
                <w:t xml:space="preserve"> Bodo : Nord University .</w:t>
              </w:r>
            </w:p>
            <w:p w14:paraId="27E6CBC1" w14:textId="77777777" w:rsidR="005610A8" w:rsidRDefault="005610A8" w:rsidP="005610A8">
              <w:pPr>
                <w:pStyle w:val="Bibliography"/>
                <w:ind w:left="720" w:hanging="720"/>
                <w:rPr>
                  <w:noProof/>
                  <w:lang w:val="en-US"/>
                </w:rPr>
              </w:pPr>
              <w:r>
                <w:rPr>
                  <w:noProof/>
                  <w:lang w:val="en-US"/>
                </w:rPr>
                <w:t xml:space="preserve">Reith, D. (2006). </w:t>
              </w:r>
              <w:r>
                <w:rPr>
                  <w:i/>
                  <w:iCs/>
                  <w:noProof/>
                  <w:lang w:val="en-US"/>
                </w:rPr>
                <w:t>Research on the Social Impacts of Gambling.</w:t>
              </w:r>
              <w:r>
                <w:rPr>
                  <w:noProof/>
                  <w:lang w:val="en-US"/>
                </w:rPr>
                <w:t xml:space="preserve"> Glasgow: Scottish Executive Social Research .</w:t>
              </w:r>
            </w:p>
            <w:p w14:paraId="5C2367F4" w14:textId="77777777" w:rsidR="005610A8" w:rsidRDefault="005610A8" w:rsidP="005610A8">
              <w:pPr>
                <w:pStyle w:val="Bibliography"/>
                <w:ind w:left="720" w:hanging="720"/>
                <w:rPr>
                  <w:noProof/>
                  <w:lang w:val="en-US"/>
                </w:rPr>
              </w:pPr>
              <w:r>
                <w:rPr>
                  <w:noProof/>
                  <w:lang w:val="en-US"/>
                </w:rPr>
                <w:t xml:space="preserve">Saunders, M., Lewis, P., &amp; Thornhill, A. (2009). </w:t>
              </w:r>
              <w:r>
                <w:rPr>
                  <w:i/>
                  <w:iCs/>
                  <w:noProof/>
                  <w:lang w:val="en-US"/>
                </w:rPr>
                <w:t>Research Methods for Business Students</w:t>
              </w:r>
              <w:r>
                <w:rPr>
                  <w:noProof/>
                  <w:lang w:val="en-US"/>
                </w:rPr>
                <w:t xml:space="preserve"> (5th ed.). Harlow: Pearson Education Limited.</w:t>
              </w:r>
            </w:p>
            <w:p w14:paraId="5557E85C" w14:textId="77777777" w:rsidR="005610A8" w:rsidRDefault="005610A8" w:rsidP="005610A8">
              <w:pPr>
                <w:pStyle w:val="Bibliography"/>
                <w:ind w:left="720" w:hanging="720"/>
                <w:rPr>
                  <w:noProof/>
                  <w:lang w:val="en-US"/>
                </w:rPr>
              </w:pPr>
              <w:r>
                <w:rPr>
                  <w:noProof/>
                  <w:lang w:val="en-US"/>
                </w:rPr>
                <w:t xml:space="preserve">Statista. (2018, May 29). </w:t>
              </w:r>
              <w:r>
                <w:rPr>
                  <w:i/>
                  <w:iCs/>
                  <w:noProof/>
                  <w:lang w:val="en-US"/>
                </w:rPr>
                <w:t>Size of the online gambling market from 2009 to 2020 (in billion U.S. dollars)</w:t>
              </w:r>
              <w:r>
                <w:rPr>
                  <w:noProof/>
                  <w:lang w:val="en-US"/>
                </w:rPr>
                <w:t>. Retrieved from Statista: https://www.statista.com/statistics/270728/market-volume-of-online-gaming-worldwide/</w:t>
              </w:r>
            </w:p>
            <w:p w14:paraId="287A00C4" w14:textId="77777777" w:rsidR="005610A8" w:rsidRDefault="005610A8" w:rsidP="005610A8">
              <w:pPr>
                <w:pStyle w:val="Bibliography"/>
                <w:ind w:left="720" w:hanging="720"/>
                <w:rPr>
                  <w:noProof/>
                  <w:lang w:val="en-US"/>
                </w:rPr>
              </w:pPr>
              <w:r>
                <w:rPr>
                  <w:noProof/>
                  <w:lang w:val="en-US"/>
                </w:rPr>
                <w:t xml:space="preserve">Tashakkori, A., &amp; Teddlie, C. (2003). </w:t>
              </w:r>
              <w:r>
                <w:rPr>
                  <w:i/>
                  <w:iCs/>
                  <w:noProof/>
                  <w:lang w:val="en-US"/>
                </w:rPr>
                <w:t>Handbook of Mixed Methods in Social and Behavioral Research.</w:t>
              </w:r>
              <w:r>
                <w:rPr>
                  <w:noProof/>
                  <w:lang w:val="en-US"/>
                </w:rPr>
                <w:t xml:space="preserve"> London: Sage Publications .</w:t>
              </w:r>
            </w:p>
            <w:p w14:paraId="6B7C35E5" w14:textId="77777777" w:rsidR="005610A8" w:rsidRDefault="005610A8" w:rsidP="005610A8">
              <w:pPr>
                <w:pStyle w:val="Bibliography"/>
                <w:ind w:left="720" w:hanging="720"/>
                <w:rPr>
                  <w:noProof/>
                  <w:lang w:val="en-US"/>
                </w:rPr>
              </w:pPr>
              <w:r>
                <w:rPr>
                  <w:noProof/>
                  <w:lang w:val="en-US"/>
                </w:rPr>
                <w:t xml:space="preserve">Wells, G. J., Shuey, R., &amp; Kiely, R. (2001). </w:t>
              </w:r>
              <w:r>
                <w:rPr>
                  <w:i/>
                  <w:iCs/>
                  <w:noProof/>
                  <w:lang w:val="en-US"/>
                </w:rPr>
                <w:t>Globalization .</w:t>
              </w:r>
              <w:r>
                <w:rPr>
                  <w:noProof/>
                  <w:lang w:val="en-US"/>
                </w:rPr>
                <w:t xml:space="preserve"> New York: Novinka Books.</w:t>
              </w:r>
            </w:p>
            <w:p w14:paraId="4BDBE772" w14:textId="45CE7D42" w:rsidR="00760A03" w:rsidRDefault="00760A03" w:rsidP="005610A8">
              <w:r>
                <w:rPr>
                  <w:b/>
                  <w:bCs/>
                  <w:noProof/>
                </w:rPr>
                <w:fldChar w:fldCharType="end"/>
              </w:r>
            </w:p>
          </w:sdtContent>
        </w:sdt>
      </w:sdtContent>
    </w:sdt>
    <w:p w14:paraId="76091694" w14:textId="142CB010" w:rsidR="005E1B9D" w:rsidRPr="005E1B9D" w:rsidRDefault="005E1B9D" w:rsidP="005E1B9D">
      <w:bookmarkStart w:id="0" w:name="_GoBack"/>
      <w:bookmarkEnd w:id="0"/>
    </w:p>
    <w:sectPr w:rsidR="005E1B9D" w:rsidRPr="005E1B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55DD5"/>
    <w:multiLevelType w:val="hybridMultilevel"/>
    <w:tmpl w:val="17DEF6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44401"/>
    <w:multiLevelType w:val="hybridMultilevel"/>
    <w:tmpl w:val="20445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21047"/>
    <w:multiLevelType w:val="hybridMultilevel"/>
    <w:tmpl w:val="4FD4D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E35C8"/>
    <w:multiLevelType w:val="hybridMultilevel"/>
    <w:tmpl w:val="F118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37455"/>
    <w:multiLevelType w:val="hybridMultilevel"/>
    <w:tmpl w:val="B688EEBC"/>
    <w:lvl w:ilvl="0" w:tplc="51D6FB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B9D"/>
    <w:rsid w:val="00031F36"/>
    <w:rsid w:val="00035FE3"/>
    <w:rsid w:val="000B4FE7"/>
    <w:rsid w:val="00105F7E"/>
    <w:rsid w:val="00156DF3"/>
    <w:rsid w:val="00167236"/>
    <w:rsid w:val="001A42A6"/>
    <w:rsid w:val="001C197B"/>
    <w:rsid w:val="00220CB6"/>
    <w:rsid w:val="002336CB"/>
    <w:rsid w:val="00312E66"/>
    <w:rsid w:val="00320FEF"/>
    <w:rsid w:val="003562F4"/>
    <w:rsid w:val="00377614"/>
    <w:rsid w:val="003D07FC"/>
    <w:rsid w:val="003E47F6"/>
    <w:rsid w:val="00423537"/>
    <w:rsid w:val="00476BB4"/>
    <w:rsid w:val="004773E2"/>
    <w:rsid w:val="00544B39"/>
    <w:rsid w:val="005610A8"/>
    <w:rsid w:val="00570658"/>
    <w:rsid w:val="005B5510"/>
    <w:rsid w:val="005C5D75"/>
    <w:rsid w:val="005E1B9D"/>
    <w:rsid w:val="006F795F"/>
    <w:rsid w:val="007127C3"/>
    <w:rsid w:val="00727DE6"/>
    <w:rsid w:val="00744087"/>
    <w:rsid w:val="00760A03"/>
    <w:rsid w:val="00856173"/>
    <w:rsid w:val="0088348E"/>
    <w:rsid w:val="008C6C9F"/>
    <w:rsid w:val="00935F3A"/>
    <w:rsid w:val="00995923"/>
    <w:rsid w:val="00A1618D"/>
    <w:rsid w:val="00A476E3"/>
    <w:rsid w:val="00A536D9"/>
    <w:rsid w:val="00A53AD1"/>
    <w:rsid w:val="00A6470F"/>
    <w:rsid w:val="00A77333"/>
    <w:rsid w:val="00AA38BB"/>
    <w:rsid w:val="00AC1196"/>
    <w:rsid w:val="00C657FC"/>
    <w:rsid w:val="00C912C0"/>
    <w:rsid w:val="00D20CA6"/>
    <w:rsid w:val="00D54D7F"/>
    <w:rsid w:val="00D705DD"/>
    <w:rsid w:val="00D932B1"/>
    <w:rsid w:val="00E274EE"/>
    <w:rsid w:val="00EC2377"/>
    <w:rsid w:val="00EC301E"/>
    <w:rsid w:val="00F02BED"/>
    <w:rsid w:val="00F25807"/>
    <w:rsid w:val="00FB6E97"/>
    <w:rsid w:val="00FE45E4"/>
    <w:rsid w:val="00FF7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B83E"/>
  <w15:chartTrackingRefBased/>
  <w15:docId w15:val="{8FC74799-07D6-41CB-9372-730F13EEF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0A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F7E"/>
    <w:pPr>
      <w:ind w:left="720"/>
      <w:contextualSpacing/>
    </w:pPr>
  </w:style>
  <w:style w:type="character" w:styleId="Emphasis">
    <w:name w:val="Emphasis"/>
    <w:basedOn w:val="DefaultParagraphFont"/>
    <w:uiPriority w:val="20"/>
    <w:qFormat/>
    <w:rsid w:val="00031F36"/>
    <w:rPr>
      <w:i/>
      <w:iCs/>
    </w:rPr>
  </w:style>
  <w:style w:type="character" w:customStyle="1" w:styleId="Heading1Char">
    <w:name w:val="Heading 1 Char"/>
    <w:basedOn w:val="DefaultParagraphFont"/>
    <w:link w:val="Heading1"/>
    <w:uiPriority w:val="9"/>
    <w:rsid w:val="00760A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60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6586">
      <w:bodyDiv w:val="1"/>
      <w:marLeft w:val="0"/>
      <w:marRight w:val="0"/>
      <w:marTop w:val="0"/>
      <w:marBottom w:val="0"/>
      <w:divBdr>
        <w:top w:val="none" w:sz="0" w:space="0" w:color="auto"/>
        <w:left w:val="none" w:sz="0" w:space="0" w:color="auto"/>
        <w:bottom w:val="none" w:sz="0" w:space="0" w:color="auto"/>
        <w:right w:val="none" w:sz="0" w:space="0" w:color="auto"/>
      </w:divBdr>
    </w:div>
    <w:div w:id="126314346">
      <w:bodyDiv w:val="1"/>
      <w:marLeft w:val="0"/>
      <w:marRight w:val="0"/>
      <w:marTop w:val="0"/>
      <w:marBottom w:val="0"/>
      <w:divBdr>
        <w:top w:val="none" w:sz="0" w:space="0" w:color="auto"/>
        <w:left w:val="none" w:sz="0" w:space="0" w:color="auto"/>
        <w:bottom w:val="none" w:sz="0" w:space="0" w:color="auto"/>
        <w:right w:val="none" w:sz="0" w:space="0" w:color="auto"/>
      </w:divBdr>
    </w:div>
    <w:div w:id="147016908">
      <w:bodyDiv w:val="1"/>
      <w:marLeft w:val="0"/>
      <w:marRight w:val="0"/>
      <w:marTop w:val="0"/>
      <w:marBottom w:val="0"/>
      <w:divBdr>
        <w:top w:val="none" w:sz="0" w:space="0" w:color="auto"/>
        <w:left w:val="none" w:sz="0" w:space="0" w:color="auto"/>
        <w:bottom w:val="none" w:sz="0" w:space="0" w:color="auto"/>
        <w:right w:val="none" w:sz="0" w:space="0" w:color="auto"/>
      </w:divBdr>
    </w:div>
    <w:div w:id="216818616">
      <w:bodyDiv w:val="1"/>
      <w:marLeft w:val="0"/>
      <w:marRight w:val="0"/>
      <w:marTop w:val="0"/>
      <w:marBottom w:val="0"/>
      <w:divBdr>
        <w:top w:val="none" w:sz="0" w:space="0" w:color="auto"/>
        <w:left w:val="none" w:sz="0" w:space="0" w:color="auto"/>
        <w:bottom w:val="none" w:sz="0" w:space="0" w:color="auto"/>
        <w:right w:val="none" w:sz="0" w:space="0" w:color="auto"/>
      </w:divBdr>
    </w:div>
    <w:div w:id="224920457">
      <w:bodyDiv w:val="1"/>
      <w:marLeft w:val="0"/>
      <w:marRight w:val="0"/>
      <w:marTop w:val="0"/>
      <w:marBottom w:val="0"/>
      <w:divBdr>
        <w:top w:val="none" w:sz="0" w:space="0" w:color="auto"/>
        <w:left w:val="none" w:sz="0" w:space="0" w:color="auto"/>
        <w:bottom w:val="none" w:sz="0" w:space="0" w:color="auto"/>
        <w:right w:val="none" w:sz="0" w:space="0" w:color="auto"/>
      </w:divBdr>
    </w:div>
    <w:div w:id="228880316">
      <w:bodyDiv w:val="1"/>
      <w:marLeft w:val="0"/>
      <w:marRight w:val="0"/>
      <w:marTop w:val="0"/>
      <w:marBottom w:val="0"/>
      <w:divBdr>
        <w:top w:val="none" w:sz="0" w:space="0" w:color="auto"/>
        <w:left w:val="none" w:sz="0" w:space="0" w:color="auto"/>
        <w:bottom w:val="none" w:sz="0" w:space="0" w:color="auto"/>
        <w:right w:val="none" w:sz="0" w:space="0" w:color="auto"/>
      </w:divBdr>
    </w:div>
    <w:div w:id="250238645">
      <w:bodyDiv w:val="1"/>
      <w:marLeft w:val="0"/>
      <w:marRight w:val="0"/>
      <w:marTop w:val="0"/>
      <w:marBottom w:val="0"/>
      <w:divBdr>
        <w:top w:val="none" w:sz="0" w:space="0" w:color="auto"/>
        <w:left w:val="none" w:sz="0" w:space="0" w:color="auto"/>
        <w:bottom w:val="none" w:sz="0" w:space="0" w:color="auto"/>
        <w:right w:val="none" w:sz="0" w:space="0" w:color="auto"/>
      </w:divBdr>
    </w:div>
    <w:div w:id="251473165">
      <w:bodyDiv w:val="1"/>
      <w:marLeft w:val="0"/>
      <w:marRight w:val="0"/>
      <w:marTop w:val="0"/>
      <w:marBottom w:val="0"/>
      <w:divBdr>
        <w:top w:val="none" w:sz="0" w:space="0" w:color="auto"/>
        <w:left w:val="none" w:sz="0" w:space="0" w:color="auto"/>
        <w:bottom w:val="none" w:sz="0" w:space="0" w:color="auto"/>
        <w:right w:val="none" w:sz="0" w:space="0" w:color="auto"/>
      </w:divBdr>
    </w:div>
    <w:div w:id="284701137">
      <w:bodyDiv w:val="1"/>
      <w:marLeft w:val="0"/>
      <w:marRight w:val="0"/>
      <w:marTop w:val="0"/>
      <w:marBottom w:val="0"/>
      <w:divBdr>
        <w:top w:val="none" w:sz="0" w:space="0" w:color="auto"/>
        <w:left w:val="none" w:sz="0" w:space="0" w:color="auto"/>
        <w:bottom w:val="none" w:sz="0" w:space="0" w:color="auto"/>
        <w:right w:val="none" w:sz="0" w:space="0" w:color="auto"/>
      </w:divBdr>
    </w:div>
    <w:div w:id="286393871">
      <w:bodyDiv w:val="1"/>
      <w:marLeft w:val="0"/>
      <w:marRight w:val="0"/>
      <w:marTop w:val="0"/>
      <w:marBottom w:val="0"/>
      <w:divBdr>
        <w:top w:val="none" w:sz="0" w:space="0" w:color="auto"/>
        <w:left w:val="none" w:sz="0" w:space="0" w:color="auto"/>
        <w:bottom w:val="none" w:sz="0" w:space="0" w:color="auto"/>
        <w:right w:val="none" w:sz="0" w:space="0" w:color="auto"/>
      </w:divBdr>
    </w:div>
    <w:div w:id="376316566">
      <w:bodyDiv w:val="1"/>
      <w:marLeft w:val="0"/>
      <w:marRight w:val="0"/>
      <w:marTop w:val="0"/>
      <w:marBottom w:val="0"/>
      <w:divBdr>
        <w:top w:val="none" w:sz="0" w:space="0" w:color="auto"/>
        <w:left w:val="none" w:sz="0" w:space="0" w:color="auto"/>
        <w:bottom w:val="none" w:sz="0" w:space="0" w:color="auto"/>
        <w:right w:val="none" w:sz="0" w:space="0" w:color="auto"/>
      </w:divBdr>
    </w:div>
    <w:div w:id="564950762">
      <w:bodyDiv w:val="1"/>
      <w:marLeft w:val="0"/>
      <w:marRight w:val="0"/>
      <w:marTop w:val="0"/>
      <w:marBottom w:val="0"/>
      <w:divBdr>
        <w:top w:val="none" w:sz="0" w:space="0" w:color="auto"/>
        <w:left w:val="none" w:sz="0" w:space="0" w:color="auto"/>
        <w:bottom w:val="none" w:sz="0" w:space="0" w:color="auto"/>
        <w:right w:val="none" w:sz="0" w:space="0" w:color="auto"/>
      </w:divBdr>
    </w:div>
    <w:div w:id="569269310">
      <w:bodyDiv w:val="1"/>
      <w:marLeft w:val="0"/>
      <w:marRight w:val="0"/>
      <w:marTop w:val="0"/>
      <w:marBottom w:val="0"/>
      <w:divBdr>
        <w:top w:val="none" w:sz="0" w:space="0" w:color="auto"/>
        <w:left w:val="none" w:sz="0" w:space="0" w:color="auto"/>
        <w:bottom w:val="none" w:sz="0" w:space="0" w:color="auto"/>
        <w:right w:val="none" w:sz="0" w:space="0" w:color="auto"/>
      </w:divBdr>
    </w:div>
    <w:div w:id="585500144">
      <w:bodyDiv w:val="1"/>
      <w:marLeft w:val="0"/>
      <w:marRight w:val="0"/>
      <w:marTop w:val="0"/>
      <w:marBottom w:val="0"/>
      <w:divBdr>
        <w:top w:val="none" w:sz="0" w:space="0" w:color="auto"/>
        <w:left w:val="none" w:sz="0" w:space="0" w:color="auto"/>
        <w:bottom w:val="none" w:sz="0" w:space="0" w:color="auto"/>
        <w:right w:val="none" w:sz="0" w:space="0" w:color="auto"/>
      </w:divBdr>
    </w:div>
    <w:div w:id="691760658">
      <w:bodyDiv w:val="1"/>
      <w:marLeft w:val="0"/>
      <w:marRight w:val="0"/>
      <w:marTop w:val="0"/>
      <w:marBottom w:val="0"/>
      <w:divBdr>
        <w:top w:val="none" w:sz="0" w:space="0" w:color="auto"/>
        <w:left w:val="none" w:sz="0" w:space="0" w:color="auto"/>
        <w:bottom w:val="none" w:sz="0" w:space="0" w:color="auto"/>
        <w:right w:val="none" w:sz="0" w:space="0" w:color="auto"/>
      </w:divBdr>
    </w:div>
    <w:div w:id="730033203">
      <w:bodyDiv w:val="1"/>
      <w:marLeft w:val="0"/>
      <w:marRight w:val="0"/>
      <w:marTop w:val="0"/>
      <w:marBottom w:val="0"/>
      <w:divBdr>
        <w:top w:val="none" w:sz="0" w:space="0" w:color="auto"/>
        <w:left w:val="none" w:sz="0" w:space="0" w:color="auto"/>
        <w:bottom w:val="none" w:sz="0" w:space="0" w:color="auto"/>
        <w:right w:val="none" w:sz="0" w:space="0" w:color="auto"/>
      </w:divBdr>
    </w:div>
    <w:div w:id="742526193">
      <w:bodyDiv w:val="1"/>
      <w:marLeft w:val="0"/>
      <w:marRight w:val="0"/>
      <w:marTop w:val="0"/>
      <w:marBottom w:val="0"/>
      <w:divBdr>
        <w:top w:val="none" w:sz="0" w:space="0" w:color="auto"/>
        <w:left w:val="none" w:sz="0" w:space="0" w:color="auto"/>
        <w:bottom w:val="none" w:sz="0" w:space="0" w:color="auto"/>
        <w:right w:val="none" w:sz="0" w:space="0" w:color="auto"/>
      </w:divBdr>
    </w:div>
    <w:div w:id="748120225">
      <w:bodyDiv w:val="1"/>
      <w:marLeft w:val="0"/>
      <w:marRight w:val="0"/>
      <w:marTop w:val="0"/>
      <w:marBottom w:val="0"/>
      <w:divBdr>
        <w:top w:val="none" w:sz="0" w:space="0" w:color="auto"/>
        <w:left w:val="none" w:sz="0" w:space="0" w:color="auto"/>
        <w:bottom w:val="none" w:sz="0" w:space="0" w:color="auto"/>
        <w:right w:val="none" w:sz="0" w:space="0" w:color="auto"/>
      </w:divBdr>
    </w:div>
    <w:div w:id="804926676">
      <w:bodyDiv w:val="1"/>
      <w:marLeft w:val="0"/>
      <w:marRight w:val="0"/>
      <w:marTop w:val="0"/>
      <w:marBottom w:val="0"/>
      <w:divBdr>
        <w:top w:val="none" w:sz="0" w:space="0" w:color="auto"/>
        <w:left w:val="none" w:sz="0" w:space="0" w:color="auto"/>
        <w:bottom w:val="none" w:sz="0" w:space="0" w:color="auto"/>
        <w:right w:val="none" w:sz="0" w:space="0" w:color="auto"/>
      </w:divBdr>
    </w:div>
    <w:div w:id="821460584">
      <w:bodyDiv w:val="1"/>
      <w:marLeft w:val="0"/>
      <w:marRight w:val="0"/>
      <w:marTop w:val="0"/>
      <w:marBottom w:val="0"/>
      <w:divBdr>
        <w:top w:val="none" w:sz="0" w:space="0" w:color="auto"/>
        <w:left w:val="none" w:sz="0" w:space="0" w:color="auto"/>
        <w:bottom w:val="none" w:sz="0" w:space="0" w:color="auto"/>
        <w:right w:val="none" w:sz="0" w:space="0" w:color="auto"/>
      </w:divBdr>
    </w:div>
    <w:div w:id="902183265">
      <w:bodyDiv w:val="1"/>
      <w:marLeft w:val="0"/>
      <w:marRight w:val="0"/>
      <w:marTop w:val="0"/>
      <w:marBottom w:val="0"/>
      <w:divBdr>
        <w:top w:val="none" w:sz="0" w:space="0" w:color="auto"/>
        <w:left w:val="none" w:sz="0" w:space="0" w:color="auto"/>
        <w:bottom w:val="none" w:sz="0" w:space="0" w:color="auto"/>
        <w:right w:val="none" w:sz="0" w:space="0" w:color="auto"/>
      </w:divBdr>
    </w:div>
    <w:div w:id="916984655">
      <w:bodyDiv w:val="1"/>
      <w:marLeft w:val="0"/>
      <w:marRight w:val="0"/>
      <w:marTop w:val="0"/>
      <w:marBottom w:val="0"/>
      <w:divBdr>
        <w:top w:val="none" w:sz="0" w:space="0" w:color="auto"/>
        <w:left w:val="none" w:sz="0" w:space="0" w:color="auto"/>
        <w:bottom w:val="none" w:sz="0" w:space="0" w:color="auto"/>
        <w:right w:val="none" w:sz="0" w:space="0" w:color="auto"/>
      </w:divBdr>
    </w:div>
    <w:div w:id="927154048">
      <w:bodyDiv w:val="1"/>
      <w:marLeft w:val="0"/>
      <w:marRight w:val="0"/>
      <w:marTop w:val="0"/>
      <w:marBottom w:val="0"/>
      <w:divBdr>
        <w:top w:val="none" w:sz="0" w:space="0" w:color="auto"/>
        <w:left w:val="none" w:sz="0" w:space="0" w:color="auto"/>
        <w:bottom w:val="none" w:sz="0" w:space="0" w:color="auto"/>
        <w:right w:val="none" w:sz="0" w:space="0" w:color="auto"/>
      </w:divBdr>
    </w:div>
    <w:div w:id="961039374">
      <w:bodyDiv w:val="1"/>
      <w:marLeft w:val="0"/>
      <w:marRight w:val="0"/>
      <w:marTop w:val="0"/>
      <w:marBottom w:val="0"/>
      <w:divBdr>
        <w:top w:val="none" w:sz="0" w:space="0" w:color="auto"/>
        <w:left w:val="none" w:sz="0" w:space="0" w:color="auto"/>
        <w:bottom w:val="none" w:sz="0" w:space="0" w:color="auto"/>
        <w:right w:val="none" w:sz="0" w:space="0" w:color="auto"/>
      </w:divBdr>
    </w:div>
    <w:div w:id="1019896807">
      <w:bodyDiv w:val="1"/>
      <w:marLeft w:val="0"/>
      <w:marRight w:val="0"/>
      <w:marTop w:val="0"/>
      <w:marBottom w:val="0"/>
      <w:divBdr>
        <w:top w:val="none" w:sz="0" w:space="0" w:color="auto"/>
        <w:left w:val="none" w:sz="0" w:space="0" w:color="auto"/>
        <w:bottom w:val="none" w:sz="0" w:space="0" w:color="auto"/>
        <w:right w:val="none" w:sz="0" w:space="0" w:color="auto"/>
      </w:divBdr>
    </w:div>
    <w:div w:id="1066029104">
      <w:bodyDiv w:val="1"/>
      <w:marLeft w:val="0"/>
      <w:marRight w:val="0"/>
      <w:marTop w:val="0"/>
      <w:marBottom w:val="0"/>
      <w:divBdr>
        <w:top w:val="none" w:sz="0" w:space="0" w:color="auto"/>
        <w:left w:val="none" w:sz="0" w:space="0" w:color="auto"/>
        <w:bottom w:val="none" w:sz="0" w:space="0" w:color="auto"/>
        <w:right w:val="none" w:sz="0" w:space="0" w:color="auto"/>
      </w:divBdr>
    </w:div>
    <w:div w:id="1069107915">
      <w:bodyDiv w:val="1"/>
      <w:marLeft w:val="0"/>
      <w:marRight w:val="0"/>
      <w:marTop w:val="0"/>
      <w:marBottom w:val="0"/>
      <w:divBdr>
        <w:top w:val="none" w:sz="0" w:space="0" w:color="auto"/>
        <w:left w:val="none" w:sz="0" w:space="0" w:color="auto"/>
        <w:bottom w:val="none" w:sz="0" w:space="0" w:color="auto"/>
        <w:right w:val="none" w:sz="0" w:space="0" w:color="auto"/>
      </w:divBdr>
    </w:div>
    <w:div w:id="1075934725">
      <w:bodyDiv w:val="1"/>
      <w:marLeft w:val="0"/>
      <w:marRight w:val="0"/>
      <w:marTop w:val="0"/>
      <w:marBottom w:val="0"/>
      <w:divBdr>
        <w:top w:val="none" w:sz="0" w:space="0" w:color="auto"/>
        <w:left w:val="none" w:sz="0" w:space="0" w:color="auto"/>
        <w:bottom w:val="none" w:sz="0" w:space="0" w:color="auto"/>
        <w:right w:val="none" w:sz="0" w:space="0" w:color="auto"/>
      </w:divBdr>
    </w:div>
    <w:div w:id="1091463127">
      <w:bodyDiv w:val="1"/>
      <w:marLeft w:val="0"/>
      <w:marRight w:val="0"/>
      <w:marTop w:val="0"/>
      <w:marBottom w:val="0"/>
      <w:divBdr>
        <w:top w:val="none" w:sz="0" w:space="0" w:color="auto"/>
        <w:left w:val="none" w:sz="0" w:space="0" w:color="auto"/>
        <w:bottom w:val="none" w:sz="0" w:space="0" w:color="auto"/>
        <w:right w:val="none" w:sz="0" w:space="0" w:color="auto"/>
      </w:divBdr>
    </w:div>
    <w:div w:id="1094475030">
      <w:bodyDiv w:val="1"/>
      <w:marLeft w:val="0"/>
      <w:marRight w:val="0"/>
      <w:marTop w:val="0"/>
      <w:marBottom w:val="0"/>
      <w:divBdr>
        <w:top w:val="none" w:sz="0" w:space="0" w:color="auto"/>
        <w:left w:val="none" w:sz="0" w:space="0" w:color="auto"/>
        <w:bottom w:val="none" w:sz="0" w:space="0" w:color="auto"/>
        <w:right w:val="none" w:sz="0" w:space="0" w:color="auto"/>
      </w:divBdr>
    </w:div>
    <w:div w:id="1157040344">
      <w:bodyDiv w:val="1"/>
      <w:marLeft w:val="0"/>
      <w:marRight w:val="0"/>
      <w:marTop w:val="0"/>
      <w:marBottom w:val="0"/>
      <w:divBdr>
        <w:top w:val="none" w:sz="0" w:space="0" w:color="auto"/>
        <w:left w:val="none" w:sz="0" w:space="0" w:color="auto"/>
        <w:bottom w:val="none" w:sz="0" w:space="0" w:color="auto"/>
        <w:right w:val="none" w:sz="0" w:space="0" w:color="auto"/>
      </w:divBdr>
    </w:div>
    <w:div w:id="1162543725">
      <w:bodyDiv w:val="1"/>
      <w:marLeft w:val="0"/>
      <w:marRight w:val="0"/>
      <w:marTop w:val="0"/>
      <w:marBottom w:val="0"/>
      <w:divBdr>
        <w:top w:val="none" w:sz="0" w:space="0" w:color="auto"/>
        <w:left w:val="none" w:sz="0" w:space="0" w:color="auto"/>
        <w:bottom w:val="none" w:sz="0" w:space="0" w:color="auto"/>
        <w:right w:val="none" w:sz="0" w:space="0" w:color="auto"/>
      </w:divBdr>
    </w:div>
    <w:div w:id="1173184509">
      <w:bodyDiv w:val="1"/>
      <w:marLeft w:val="0"/>
      <w:marRight w:val="0"/>
      <w:marTop w:val="0"/>
      <w:marBottom w:val="0"/>
      <w:divBdr>
        <w:top w:val="none" w:sz="0" w:space="0" w:color="auto"/>
        <w:left w:val="none" w:sz="0" w:space="0" w:color="auto"/>
        <w:bottom w:val="none" w:sz="0" w:space="0" w:color="auto"/>
        <w:right w:val="none" w:sz="0" w:space="0" w:color="auto"/>
      </w:divBdr>
    </w:div>
    <w:div w:id="1224297539">
      <w:bodyDiv w:val="1"/>
      <w:marLeft w:val="0"/>
      <w:marRight w:val="0"/>
      <w:marTop w:val="0"/>
      <w:marBottom w:val="0"/>
      <w:divBdr>
        <w:top w:val="none" w:sz="0" w:space="0" w:color="auto"/>
        <w:left w:val="none" w:sz="0" w:space="0" w:color="auto"/>
        <w:bottom w:val="none" w:sz="0" w:space="0" w:color="auto"/>
        <w:right w:val="none" w:sz="0" w:space="0" w:color="auto"/>
      </w:divBdr>
    </w:div>
    <w:div w:id="1237595268">
      <w:bodyDiv w:val="1"/>
      <w:marLeft w:val="0"/>
      <w:marRight w:val="0"/>
      <w:marTop w:val="0"/>
      <w:marBottom w:val="0"/>
      <w:divBdr>
        <w:top w:val="none" w:sz="0" w:space="0" w:color="auto"/>
        <w:left w:val="none" w:sz="0" w:space="0" w:color="auto"/>
        <w:bottom w:val="none" w:sz="0" w:space="0" w:color="auto"/>
        <w:right w:val="none" w:sz="0" w:space="0" w:color="auto"/>
      </w:divBdr>
    </w:div>
    <w:div w:id="1248198916">
      <w:bodyDiv w:val="1"/>
      <w:marLeft w:val="0"/>
      <w:marRight w:val="0"/>
      <w:marTop w:val="0"/>
      <w:marBottom w:val="0"/>
      <w:divBdr>
        <w:top w:val="none" w:sz="0" w:space="0" w:color="auto"/>
        <w:left w:val="none" w:sz="0" w:space="0" w:color="auto"/>
        <w:bottom w:val="none" w:sz="0" w:space="0" w:color="auto"/>
        <w:right w:val="none" w:sz="0" w:space="0" w:color="auto"/>
      </w:divBdr>
    </w:div>
    <w:div w:id="1250197226">
      <w:bodyDiv w:val="1"/>
      <w:marLeft w:val="0"/>
      <w:marRight w:val="0"/>
      <w:marTop w:val="0"/>
      <w:marBottom w:val="0"/>
      <w:divBdr>
        <w:top w:val="none" w:sz="0" w:space="0" w:color="auto"/>
        <w:left w:val="none" w:sz="0" w:space="0" w:color="auto"/>
        <w:bottom w:val="none" w:sz="0" w:space="0" w:color="auto"/>
        <w:right w:val="none" w:sz="0" w:space="0" w:color="auto"/>
      </w:divBdr>
    </w:div>
    <w:div w:id="1254389015">
      <w:bodyDiv w:val="1"/>
      <w:marLeft w:val="0"/>
      <w:marRight w:val="0"/>
      <w:marTop w:val="0"/>
      <w:marBottom w:val="0"/>
      <w:divBdr>
        <w:top w:val="none" w:sz="0" w:space="0" w:color="auto"/>
        <w:left w:val="none" w:sz="0" w:space="0" w:color="auto"/>
        <w:bottom w:val="none" w:sz="0" w:space="0" w:color="auto"/>
        <w:right w:val="none" w:sz="0" w:space="0" w:color="auto"/>
      </w:divBdr>
    </w:div>
    <w:div w:id="1313483563">
      <w:bodyDiv w:val="1"/>
      <w:marLeft w:val="0"/>
      <w:marRight w:val="0"/>
      <w:marTop w:val="0"/>
      <w:marBottom w:val="0"/>
      <w:divBdr>
        <w:top w:val="none" w:sz="0" w:space="0" w:color="auto"/>
        <w:left w:val="none" w:sz="0" w:space="0" w:color="auto"/>
        <w:bottom w:val="none" w:sz="0" w:space="0" w:color="auto"/>
        <w:right w:val="none" w:sz="0" w:space="0" w:color="auto"/>
      </w:divBdr>
    </w:div>
    <w:div w:id="1335954125">
      <w:bodyDiv w:val="1"/>
      <w:marLeft w:val="0"/>
      <w:marRight w:val="0"/>
      <w:marTop w:val="0"/>
      <w:marBottom w:val="0"/>
      <w:divBdr>
        <w:top w:val="none" w:sz="0" w:space="0" w:color="auto"/>
        <w:left w:val="none" w:sz="0" w:space="0" w:color="auto"/>
        <w:bottom w:val="none" w:sz="0" w:space="0" w:color="auto"/>
        <w:right w:val="none" w:sz="0" w:space="0" w:color="auto"/>
      </w:divBdr>
    </w:div>
    <w:div w:id="1346247129">
      <w:bodyDiv w:val="1"/>
      <w:marLeft w:val="0"/>
      <w:marRight w:val="0"/>
      <w:marTop w:val="0"/>
      <w:marBottom w:val="0"/>
      <w:divBdr>
        <w:top w:val="none" w:sz="0" w:space="0" w:color="auto"/>
        <w:left w:val="none" w:sz="0" w:space="0" w:color="auto"/>
        <w:bottom w:val="none" w:sz="0" w:space="0" w:color="auto"/>
        <w:right w:val="none" w:sz="0" w:space="0" w:color="auto"/>
      </w:divBdr>
    </w:div>
    <w:div w:id="1394966350">
      <w:bodyDiv w:val="1"/>
      <w:marLeft w:val="0"/>
      <w:marRight w:val="0"/>
      <w:marTop w:val="0"/>
      <w:marBottom w:val="0"/>
      <w:divBdr>
        <w:top w:val="none" w:sz="0" w:space="0" w:color="auto"/>
        <w:left w:val="none" w:sz="0" w:space="0" w:color="auto"/>
        <w:bottom w:val="none" w:sz="0" w:space="0" w:color="auto"/>
        <w:right w:val="none" w:sz="0" w:space="0" w:color="auto"/>
      </w:divBdr>
    </w:div>
    <w:div w:id="1463184637">
      <w:bodyDiv w:val="1"/>
      <w:marLeft w:val="0"/>
      <w:marRight w:val="0"/>
      <w:marTop w:val="0"/>
      <w:marBottom w:val="0"/>
      <w:divBdr>
        <w:top w:val="none" w:sz="0" w:space="0" w:color="auto"/>
        <w:left w:val="none" w:sz="0" w:space="0" w:color="auto"/>
        <w:bottom w:val="none" w:sz="0" w:space="0" w:color="auto"/>
        <w:right w:val="none" w:sz="0" w:space="0" w:color="auto"/>
      </w:divBdr>
    </w:div>
    <w:div w:id="1515998096">
      <w:bodyDiv w:val="1"/>
      <w:marLeft w:val="0"/>
      <w:marRight w:val="0"/>
      <w:marTop w:val="0"/>
      <w:marBottom w:val="0"/>
      <w:divBdr>
        <w:top w:val="none" w:sz="0" w:space="0" w:color="auto"/>
        <w:left w:val="none" w:sz="0" w:space="0" w:color="auto"/>
        <w:bottom w:val="none" w:sz="0" w:space="0" w:color="auto"/>
        <w:right w:val="none" w:sz="0" w:space="0" w:color="auto"/>
      </w:divBdr>
    </w:div>
    <w:div w:id="1551455628">
      <w:bodyDiv w:val="1"/>
      <w:marLeft w:val="0"/>
      <w:marRight w:val="0"/>
      <w:marTop w:val="0"/>
      <w:marBottom w:val="0"/>
      <w:divBdr>
        <w:top w:val="none" w:sz="0" w:space="0" w:color="auto"/>
        <w:left w:val="none" w:sz="0" w:space="0" w:color="auto"/>
        <w:bottom w:val="none" w:sz="0" w:space="0" w:color="auto"/>
        <w:right w:val="none" w:sz="0" w:space="0" w:color="auto"/>
      </w:divBdr>
    </w:div>
    <w:div w:id="1560438766">
      <w:bodyDiv w:val="1"/>
      <w:marLeft w:val="0"/>
      <w:marRight w:val="0"/>
      <w:marTop w:val="0"/>
      <w:marBottom w:val="0"/>
      <w:divBdr>
        <w:top w:val="none" w:sz="0" w:space="0" w:color="auto"/>
        <w:left w:val="none" w:sz="0" w:space="0" w:color="auto"/>
        <w:bottom w:val="none" w:sz="0" w:space="0" w:color="auto"/>
        <w:right w:val="none" w:sz="0" w:space="0" w:color="auto"/>
      </w:divBdr>
    </w:div>
    <w:div w:id="1569261616">
      <w:bodyDiv w:val="1"/>
      <w:marLeft w:val="0"/>
      <w:marRight w:val="0"/>
      <w:marTop w:val="0"/>
      <w:marBottom w:val="0"/>
      <w:divBdr>
        <w:top w:val="none" w:sz="0" w:space="0" w:color="auto"/>
        <w:left w:val="none" w:sz="0" w:space="0" w:color="auto"/>
        <w:bottom w:val="none" w:sz="0" w:space="0" w:color="auto"/>
        <w:right w:val="none" w:sz="0" w:space="0" w:color="auto"/>
      </w:divBdr>
    </w:div>
    <w:div w:id="1598368593">
      <w:bodyDiv w:val="1"/>
      <w:marLeft w:val="0"/>
      <w:marRight w:val="0"/>
      <w:marTop w:val="0"/>
      <w:marBottom w:val="0"/>
      <w:divBdr>
        <w:top w:val="none" w:sz="0" w:space="0" w:color="auto"/>
        <w:left w:val="none" w:sz="0" w:space="0" w:color="auto"/>
        <w:bottom w:val="none" w:sz="0" w:space="0" w:color="auto"/>
        <w:right w:val="none" w:sz="0" w:space="0" w:color="auto"/>
      </w:divBdr>
    </w:div>
    <w:div w:id="1600527550">
      <w:bodyDiv w:val="1"/>
      <w:marLeft w:val="0"/>
      <w:marRight w:val="0"/>
      <w:marTop w:val="0"/>
      <w:marBottom w:val="0"/>
      <w:divBdr>
        <w:top w:val="none" w:sz="0" w:space="0" w:color="auto"/>
        <w:left w:val="none" w:sz="0" w:space="0" w:color="auto"/>
        <w:bottom w:val="none" w:sz="0" w:space="0" w:color="auto"/>
        <w:right w:val="none" w:sz="0" w:space="0" w:color="auto"/>
      </w:divBdr>
    </w:div>
    <w:div w:id="1620717316">
      <w:bodyDiv w:val="1"/>
      <w:marLeft w:val="0"/>
      <w:marRight w:val="0"/>
      <w:marTop w:val="0"/>
      <w:marBottom w:val="0"/>
      <w:divBdr>
        <w:top w:val="none" w:sz="0" w:space="0" w:color="auto"/>
        <w:left w:val="none" w:sz="0" w:space="0" w:color="auto"/>
        <w:bottom w:val="none" w:sz="0" w:space="0" w:color="auto"/>
        <w:right w:val="none" w:sz="0" w:space="0" w:color="auto"/>
      </w:divBdr>
    </w:div>
    <w:div w:id="1627200852">
      <w:bodyDiv w:val="1"/>
      <w:marLeft w:val="0"/>
      <w:marRight w:val="0"/>
      <w:marTop w:val="0"/>
      <w:marBottom w:val="0"/>
      <w:divBdr>
        <w:top w:val="none" w:sz="0" w:space="0" w:color="auto"/>
        <w:left w:val="none" w:sz="0" w:space="0" w:color="auto"/>
        <w:bottom w:val="none" w:sz="0" w:space="0" w:color="auto"/>
        <w:right w:val="none" w:sz="0" w:space="0" w:color="auto"/>
      </w:divBdr>
    </w:div>
    <w:div w:id="1650668653">
      <w:bodyDiv w:val="1"/>
      <w:marLeft w:val="0"/>
      <w:marRight w:val="0"/>
      <w:marTop w:val="0"/>
      <w:marBottom w:val="0"/>
      <w:divBdr>
        <w:top w:val="none" w:sz="0" w:space="0" w:color="auto"/>
        <w:left w:val="none" w:sz="0" w:space="0" w:color="auto"/>
        <w:bottom w:val="none" w:sz="0" w:space="0" w:color="auto"/>
        <w:right w:val="none" w:sz="0" w:space="0" w:color="auto"/>
      </w:divBdr>
    </w:div>
    <w:div w:id="1651667858">
      <w:bodyDiv w:val="1"/>
      <w:marLeft w:val="0"/>
      <w:marRight w:val="0"/>
      <w:marTop w:val="0"/>
      <w:marBottom w:val="0"/>
      <w:divBdr>
        <w:top w:val="none" w:sz="0" w:space="0" w:color="auto"/>
        <w:left w:val="none" w:sz="0" w:space="0" w:color="auto"/>
        <w:bottom w:val="none" w:sz="0" w:space="0" w:color="auto"/>
        <w:right w:val="none" w:sz="0" w:space="0" w:color="auto"/>
      </w:divBdr>
    </w:div>
    <w:div w:id="1687906708">
      <w:bodyDiv w:val="1"/>
      <w:marLeft w:val="0"/>
      <w:marRight w:val="0"/>
      <w:marTop w:val="0"/>
      <w:marBottom w:val="0"/>
      <w:divBdr>
        <w:top w:val="none" w:sz="0" w:space="0" w:color="auto"/>
        <w:left w:val="none" w:sz="0" w:space="0" w:color="auto"/>
        <w:bottom w:val="none" w:sz="0" w:space="0" w:color="auto"/>
        <w:right w:val="none" w:sz="0" w:space="0" w:color="auto"/>
      </w:divBdr>
    </w:div>
    <w:div w:id="1706178775">
      <w:bodyDiv w:val="1"/>
      <w:marLeft w:val="0"/>
      <w:marRight w:val="0"/>
      <w:marTop w:val="0"/>
      <w:marBottom w:val="0"/>
      <w:divBdr>
        <w:top w:val="none" w:sz="0" w:space="0" w:color="auto"/>
        <w:left w:val="none" w:sz="0" w:space="0" w:color="auto"/>
        <w:bottom w:val="none" w:sz="0" w:space="0" w:color="auto"/>
        <w:right w:val="none" w:sz="0" w:space="0" w:color="auto"/>
      </w:divBdr>
    </w:div>
    <w:div w:id="1706364268">
      <w:bodyDiv w:val="1"/>
      <w:marLeft w:val="0"/>
      <w:marRight w:val="0"/>
      <w:marTop w:val="0"/>
      <w:marBottom w:val="0"/>
      <w:divBdr>
        <w:top w:val="none" w:sz="0" w:space="0" w:color="auto"/>
        <w:left w:val="none" w:sz="0" w:space="0" w:color="auto"/>
        <w:bottom w:val="none" w:sz="0" w:space="0" w:color="auto"/>
        <w:right w:val="none" w:sz="0" w:space="0" w:color="auto"/>
      </w:divBdr>
    </w:div>
    <w:div w:id="1706712029">
      <w:bodyDiv w:val="1"/>
      <w:marLeft w:val="0"/>
      <w:marRight w:val="0"/>
      <w:marTop w:val="0"/>
      <w:marBottom w:val="0"/>
      <w:divBdr>
        <w:top w:val="none" w:sz="0" w:space="0" w:color="auto"/>
        <w:left w:val="none" w:sz="0" w:space="0" w:color="auto"/>
        <w:bottom w:val="none" w:sz="0" w:space="0" w:color="auto"/>
        <w:right w:val="none" w:sz="0" w:space="0" w:color="auto"/>
      </w:divBdr>
    </w:div>
    <w:div w:id="1735618748">
      <w:bodyDiv w:val="1"/>
      <w:marLeft w:val="0"/>
      <w:marRight w:val="0"/>
      <w:marTop w:val="0"/>
      <w:marBottom w:val="0"/>
      <w:divBdr>
        <w:top w:val="none" w:sz="0" w:space="0" w:color="auto"/>
        <w:left w:val="none" w:sz="0" w:space="0" w:color="auto"/>
        <w:bottom w:val="none" w:sz="0" w:space="0" w:color="auto"/>
        <w:right w:val="none" w:sz="0" w:space="0" w:color="auto"/>
      </w:divBdr>
    </w:div>
    <w:div w:id="1852330452">
      <w:bodyDiv w:val="1"/>
      <w:marLeft w:val="0"/>
      <w:marRight w:val="0"/>
      <w:marTop w:val="0"/>
      <w:marBottom w:val="0"/>
      <w:divBdr>
        <w:top w:val="none" w:sz="0" w:space="0" w:color="auto"/>
        <w:left w:val="none" w:sz="0" w:space="0" w:color="auto"/>
        <w:bottom w:val="none" w:sz="0" w:space="0" w:color="auto"/>
        <w:right w:val="none" w:sz="0" w:space="0" w:color="auto"/>
      </w:divBdr>
    </w:div>
    <w:div w:id="1866752449">
      <w:bodyDiv w:val="1"/>
      <w:marLeft w:val="0"/>
      <w:marRight w:val="0"/>
      <w:marTop w:val="0"/>
      <w:marBottom w:val="0"/>
      <w:divBdr>
        <w:top w:val="none" w:sz="0" w:space="0" w:color="auto"/>
        <w:left w:val="none" w:sz="0" w:space="0" w:color="auto"/>
        <w:bottom w:val="none" w:sz="0" w:space="0" w:color="auto"/>
        <w:right w:val="none" w:sz="0" w:space="0" w:color="auto"/>
      </w:divBdr>
    </w:div>
    <w:div w:id="1876036157">
      <w:bodyDiv w:val="1"/>
      <w:marLeft w:val="0"/>
      <w:marRight w:val="0"/>
      <w:marTop w:val="0"/>
      <w:marBottom w:val="0"/>
      <w:divBdr>
        <w:top w:val="none" w:sz="0" w:space="0" w:color="auto"/>
        <w:left w:val="none" w:sz="0" w:space="0" w:color="auto"/>
        <w:bottom w:val="none" w:sz="0" w:space="0" w:color="auto"/>
        <w:right w:val="none" w:sz="0" w:space="0" w:color="auto"/>
      </w:divBdr>
    </w:div>
    <w:div w:id="1908757592">
      <w:bodyDiv w:val="1"/>
      <w:marLeft w:val="0"/>
      <w:marRight w:val="0"/>
      <w:marTop w:val="0"/>
      <w:marBottom w:val="0"/>
      <w:divBdr>
        <w:top w:val="none" w:sz="0" w:space="0" w:color="auto"/>
        <w:left w:val="none" w:sz="0" w:space="0" w:color="auto"/>
        <w:bottom w:val="none" w:sz="0" w:space="0" w:color="auto"/>
        <w:right w:val="none" w:sz="0" w:space="0" w:color="auto"/>
      </w:divBdr>
    </w:div>
    <w:div w:id="1933002032">
      <w:bodyDiv w:val="1"/>
      <w:marLeft w:val="0"/>
      <w:marRight w:val="0"/>
      <w:marTop w:val="0"/>
      <w:marBottom w:val="0"/>
      <w:divBdr>
        <w:top w:val="none" w:sz="0" w:space="0" w:color="auto"/>
        <w:left w:val="none" w:sz="0" w:space="0" w:color="auto"/>
        <w:bottom w:val="none" w:sz="0" w:space="0" w:color="auto"/>
        <w:right w:val="none" w:sz="0" w:space="0" w:color="auto"/>
      </w:divBdr>
    </w:div>
    <w:div w:id="1938176056">
      <w:bodyDiv w:val="1"/>
      <w:marLeft w:val="0"/>
      <w:marRight w:val="0"/>
      <w:marTop w:val="0"/>
      <w:marBottom w:val="0"/>
      <w:divBdr>
        <w:top w:val="none" w:sz="0" w:space="0" w:color="auto"/>
        <w:left w:val="none" w:sz="0" w:space="0" w:color="auto"/>
        <w:bottom w:val="none" w:sz="0" w:space="0" w:color="auto"/>
        <w:right w:val="none" w:sz="0" w:space="0" w:color="auto"/>
      </w:divBdr>
    </w:div>
    <w:div w:id="1978755716">
      <w:bodyDiv w:val="1"/>
      <w:marLeft w:val="0"/>
      <w:marRight w:val="0"/>
      <w:marTop w:val="0"/>
      <w:marBottom w:val="0"/>
      <w:divBdr>
        <w:top w:val="none" w:sz="0" w:space="0" w:color="auto"/>
        <w:left w:val="none" w:sz="0" w:space="0" w:color="auto"/>
        <w:bottom w:val="none" w:sz="0" w:space="0" w:color="auto"/>
        <w:right w:val="none" w:sz="0" w:space="0" w:color="auto"/>
      </w:divBdr>
    </w:div>
    <w:div w:id="1985893749">
      <w:bodyDiv w:val="1"/>
      <w:marLeft w:val="0"/>
      <w:marRight w:val="0"/>
      <w:marTop w:val="0"/>
      <w:marBottom w:val="0"/>
      <w:divBdr>
        <w:top w:val="none" w:sz="0" w:space="0" w:color="auto"/>
        <w:left w:val="none" w:sz="0" w:space="0" w:color="auto"/>
        <w:bottom w:val="none" w:sz="0" w:space="0" w:color="auto"/>
        <w:right w:val="none" w:sz="0" w:space="0" w:color="auto"/>
      </w:divBdr>
    </w:div>
    <w:div w:id="2071538256">
      <w:bodyDiv w:val="1"/>
      <w:marLeft w:val="0"/>
      <w:marRight w:val="0"/>
      <w:marTop w:val="0"/>
      <w:marBottom w:val="0"/>
      <w:divBdr>
        <w:top w:val="none" w:sz="0" w:space="0" w:color="auto"/>
        <w:left w:val="none" w:sz="0" w:space="0" w:color="auto"/>
        <w:bottom w:val="none" w:sz="0" w:space="0" w:color="auto"/>
        <w:right w:val="none" w:sz="0" w:space="0" w:color="auto"/>
      </w:divBdr>
    </w:div>
    <w:div w:id="2072606949">
      <w:bodyDiv w:val="1"/>
      <w:marLeft w:val="0"/>
      <w:marRight w:val="0"/>
      <w:marTop w:val="0"/>
      <w:marBottom w:val="0"/>
      <w:divBdr>
        <w:top w:val="none" w:sz="0" w:space="0" w:color="auto"/>
        <w:left w:val="none" w:sz="0" w:space="0" w:color="auto"/>
        <w:bottom w:val="none" w:sz="0" w:space="0" w:color="auto"/>
        <w:right w:val="none" w:sz="0" w:space="0" w:color="auto"/>
      </w:divBdr>
    </w:div>
    <w:div w:id="208209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Jan13</b:Tag>
    <b:SourceType>Book</b:SourceType>
    <b:Guid>{32BA0FE8-FF7A-4154-AC12-15E1671F2C49}</b:Guid>
    <b:Title>Business Research Projects</b:Title>
    <b:Year>2013</b:Year>
    <b:Publisher>Chapman and Hall</b:Publisher>
    <b:City>Cleveland</b:City>
    <b:Author>
      <b:Author>
        <b:NameList>
          <b:Person>
            <b:Last>Jankowicz</b:Last>
            <b:Middle>D.</b:Middle>
            <b:First>A.</b:First>
          </b:Person>
        </b:NameList>
      </b:Author>
    </b:Author>
    <b:Edition>2nd</b:Edition>
    <b:RefOrder>14</b:RefOrder>
  </b:Source>
  <b:Source>
    <b:Tag>Sau09</b:Tag>
    <b:SourceType>Book</b:SourceType>
    <b:Guid>{135FA4D1-9982-4507-BABD-69F697ED7454}</b:Guid>
    <b:Title>Research Methods for Business Students</b:Title>
    <b:Year>2009</b:Year>
    <b:City>Harlow</b:City>
    <b:Publisher>Pearson Education Limited</b:Publisher>
    <b:Author>
      <b:Author>
        <b:NameList>
          <b:Person>
            <b:Last>Saunders</b:Last>
            <b:First>Mark</b:First>
          </b:Person>
          <b:Person>
            <b:Last>Lewis</b:Last>
            <b:First>Phillip</b:First>
          </b:Person>
          <b:Person>
            <b:Last>Thornhill</b:Last>
            <b:First>Adrian</b:First>
          </b:Person>
        </b:NameList>
      </b:Author>
    </b:Author>
    <b:Edition>5th</b:Edition>
    <b:RefOrder>15</b:RefOrder>
  </b:Source>
  <b:Source>
    <b:Tag>Bur04</b:Tag>
    <b:SourceType>Book</b:SourceType>
    <b:Guid>{4F040DCB-61EA-40D2-B78E-319B7F980C92}</b:Guid>
    <b:Title>Pragmatism and Educational Research</b:Title>
    <b:Year>2004</b:Year>
    <b:City>Oxford</b:City>
    <b:Publisher>Rowman and Littlefield Publishers, Inc.</b:Publisher>
    <b:Author>
      <b:Author>
        <b:NameList>
          <b:Person>
            <b:Last>Burbules</b:Last>
            <b:First>Biesta</b:First>
          </b:Person>
        </b:NameList>
      </b:Author>
    </b:Author>
    <b:RefOrder>6</b:RefOrder>
  </b:Source>
  <b:Source>
    <b:Tag>The17</b:Tag>
    <b:SourceType>JournalArticle</b:SourceType>
    <b:Guid>{83C2C29C-66B4-49D8-82F3-3D78E09312E0}</b:Guid>
    <b:Title>The Value of Mixed Methods Research: A Mixed Methods Study</b:Title>
    <b:Year>2017</b:Year>
    <b:JournalName>Journal of Mixed Methods Research</b:JournalName>
    <b:Pages>202-222</b:Pages>
    <b:Volume>11</b:Volume>
    <b:Issue>2</b:Issue>
    <b:Author>
      <b:Author>
        <b:NameList>
          <b:Person>
            <b:Last>McKim</b:Last>
            <b:Middle>A. </b:Middle>
            <b:First>Courtney</b:First>
          </b:Person>
        </b:NameList>
      </b:Author>
    </b:Author>
    <b:RefOrder>8</b:RefOrder>
  </b:Source>
  <b:Source>
    <b:Tag>Cre09</b:Tag>
    <b:SourceType>JournalArticle</b:SourceType>
    <b:Guid>{3E3C2894-28E3-427F-BF6F-2C4A1487BC6D}</b:Guid>
    <b:Title>Designing and Conducting Mixed Methods Research</b:Title>
    <b:JournalName>Organizational Research Methods</b:JournalName>
    <b:Year>2009</b:Year>
    <b:Pages>801-804</b:Pages>
    <b:Author>
      <b:Author>
        <b:NameList>
          <b:Person>
            <b:Last>Creswell </b:Last>
            <b:First>J.</b:First>
          </b:Person>
          <b:Person>
            <b:Last>Clark</b:Last>
            <b:Middle>Plano</b:Middle>
            <b:First>V</b:First>
          </b:Person>
        </b:NameList>
      </b:Author>
    </b:Author>
    <b:Volume>12</b:Volume>
    <b:Issue>4</b:Issue>
    <b:RefOrder>9</b:RefOrder>
  </b:Source>
  <b:Source>
    <b:Tag>Ama02</b:Tag>
    <b:SourceType>JournalArticle</b:SourceType>
    <b:Guid>{013CB425-3B22-4908-8070-F6B67993DB08}</b:Guid>
    <b:Title>Quantitative and qualitative research in the built environment: application of “mixed” research approach</b:Title>
    <b:JournalName>International Journal of Productivity and Performance Management</b:JournalName>
    <b:Year>2002</b:Year>
    <b:Pages>17-31</b:Pages>
    <b:Author>
      <b:Author>
        <b:NameList>
          <b:Person>
            <b:Last>Amaratunga</b:Last>
            <b:First>Dilanthi</b:First>
          </b:Person>
          <b:Person>
            <b:Last>Baldry</b:Last>
            <b:First>David</b:First>
          </b:Person>
          <b:Person>
            <b:Last>Sarshar</b:Last>
            <b:First>Marjan</b:First>
          </b:Person>
          <b:Person>
            <b:Last>Newton</b:Last>
            <b:First>Rita</b:First>
          </b:Person>
        </b:NameList>
      </b:Author>
    </b:Author>
    <b:Volume>51</b:Volume>
    <b:Issue>1</b:Issue>
    <b:RefOrder>16</b:RefOrder>
  </b:Source>
  <b:Source>
    <b:Tag>Bri18</b:Tag>
    <b:SourceType>Book</b:SourceType>
    <b:Guid>{278CB0A9-E9B1-40A2-992E-34A0ED880E60}</b:Guid>
    <b:Title>Philosophies of Qualitative Research </b:Title>
    <b:Year>2018</b:Year>
    <b:City>Oxford</b:City>
    <b:Publisher>Oxford University Press</b:Publisher>
    <b:Author>
      <b:Author>
        <b:NameList>
          <b:Person>
            <b:Last>Brinkmann</b:Last>
            <b:First>Svend</b:First>
          </b:Person>
        </b:NameList>
      </b:Author>
    </b:Author>
    <b:RefOrder>12</b:RefOrder>
  </b:Source>
  <b:Source>
    <b:Tag>Gre97</b:Tag>
    <b:SourceType>Book</b:SourceType>
    <b:Guid>{9EAC66BD-A669-4251-8E9B-D780624D5491}</b:Guid>
    <b:Title>Advances in mixed-method evaluation: the challengesm and benefits of intergrating diverse paradigms</b:Title>
    <b:Year>1997</b:Year>
    <b:City>San Fransisco </b:City>
    <b:Publisher>Jossey-Bass Publishers</b:Publisher>
    <b:Author>
      <b:Author>
        <b:NameList>
          <b:Person>
            <b:Last>Greene</b:Last>
            <b:Middle>C.</b:Middle>
            <b:First>Jennifer</b:First>
          </b:Person>
          <b:Person>
            <b:Last>Caracelli</b:Last>
            <b:Middle>J.</b:Middle>
            <b:First>Valerie</b:First>
          </b:Person>
        </b:NameList>
      </b:Author>
    </b:Author>
    <b:RefOrder>7</b:RefOrder>
  </b:Source>
  <b:Source>
    <b:Tag>Sta18</b:Tag>
    <b:SourceType>InternetSite</b:SourceType>
    <b:Guid>{7CCC3909-11F2-4454-BC2A-52DB38944936}</b:Guid>
    <b:Title>Size of the online gambling market from 2009 to 2020 (in billion U.S. dollars)</b:Title>
    <b:Year>2018</b:Year>
    <b:Author>
      <b:Author>
        <b:Corporate>Statista</b:Corporate>
      </b:Author>
    </b:Author>
    <b:InternetSiteTitle>Statista</b:InternetSiteTitle>
    <b:Month>May</b:Month>
    <b:Day>29</b:Day>
    <b:URL>https://www.statista.com/statistics/270728/market-volume-of-online-gaming-worldwide/</b:URL>
    <b:RefOrder>2</b:RefOrder>
  </b:Source>
  <b:Source>
    <b:Tag>Pel16</b:Tag>
    <b:SourceType>Report</b:SourceType>
    <b:Guid>{5877E5F8-4F9E-44C4-B1E9-7E247CAB2633}</b:Guid>
    <b:Title>CSR communication challenges: communication channels, sustainability reporting and stakeholder engagement</b:Title>
    <b:Year>2016</b:Year>
    <b:Publisher>Nord University </b:Publisher>
    <b:City>Bodo </b:City>
    <b:Author>
      <b:Author>
        <b:NameList>
          <b:Person>
            <b:Last>Pellinen</b:Last>
            <b:First>Kerttu</b:First>
          </b:Person>
        </b:NameList>
      </b:Author>
    </b:Author>
    <b:RefOrder>5</b:RefOrder>
  </b:Source>
  <b:Source>
    <b:Tag>Lav08</b:Tag>
    <b:SourceType>Book</b:SourceType>
    <b:Guid>{4AF8F1DC-8B2E-4EA6-8CC1-6141801D98EA}</b:Guid>
    <b:Title>Encyclopedia of Survey Research Methods</b:Title>
    <b:Year>2008</b:Year>
    <b:Publisher>Sage Publication</b:Publisher>
    <b:City>London </b:City>
    <b:Author>
      <b:Author>
        <b:NameList>
          <b:Person>
            <b:Last>Lavrakas</b:Last>
            <b:Middle>J.</b:Middle>
            <b:First>Paul</b:First>
          </b:Person>
        </b:NameList>
      </b:Author>
    </b:Author>
    <b:RefOrder>10</b:RefOrder>
  </b:Source>
  <b:Source>
    <b:Tag>How12</b:Tag>
    <b:SourceType>Book</b:SourceType>
    <b:Guid>{E2922404-3967-46A3-A41F-BC1212269FA9}</b:Guid>
    <b:Title>An Introduction to the Philosophy of Methodology </b:Title>
    <b:Year>2012</b:Year>
    <b:City>London </b:City>
    <b:Publisher>Sage Publication</b:Publisher>
    <b:Author>
      <b:Author>
        <b:NameList>
          <b:Person>
            <b:Last>Howell</b:Last>
            <b:Middle>E. </b:Middle>
            <b:First>Kerry</b:First>
          </b:Person>
        </b:NameList>
      </b:Author>
    </b:Author>
    <b:RefOrder>11</b:RefOrder>
  </b:Source>
  <b:Source>
    <b:Tag>Tas03</b:Tag>
    <b:SourceType>Book</b:SourceType>
    <b:Guid>{6BE7A4CB-78F0-4B4C-96BF-D892960082DE}</b:Guid>
    <b:Title>Handbook of Mixed Methods in Social and Behavioral Research</b:Title>
    <b:Year>2003</b:Year>
    <b:City>London</b:City>
    <b:Publisher>Sage Publications </b:Publisher>
    <b:Author>
      <b:Author>
        <b:NameList>
          <b:Person>
            <b:Last>Tashakkori</b:Last>
            <b:First>A</b:First>
          </b:Person>
          <b:Person>
            <b:Last>Teddlie</b:Last>
            <b:First>C</b:First>
          </b:Person>
        </b:NameList>
      </b:Author>
    </b:Author>
    <b:RefOrder>13</b:RefOrder>
  </b:Source>
  <b:Source>
    <b:Tag>Joi10</b:Tag>
    <b:SourceType>JournalArticle</b:SourceType>
    <b:Guid>{E0DE23E7-2236-4783-94E8-58D6A09FCCDF}</b:Guid>
    <b:Title>Privacy, Trust and Self-Disclosure Online</b:Title>
    <b:Year>2010</b:Year>
    <b:Publisher>Taylor and Francis Group</b:Publisher>
    <b:JournalName>Human-Computer Interaction</b:JournalName>
    <b:Pages>1-24</b:Pages>
    <b:Volume>25</b:Volume>
    <b:Author>
      <b:Author>
        <b:NameList>
          <b:Person>
            <b:Last>Joinson</b:Last>
            <b:Middle>N.</b:Middle>
            <b:First>Adam</b:First>
          </b:Person>
          <b:Person>
            <b:Last>Reips</b:Last>
            <b:First>Ulf-Dietrich</b:First>
          </b:Person>
          <b:Person>
            <b:Last>Buchanan</b:Last>
            <b:First>Tom</b:First>
          </b:Person>
          <b:Person>
            <b:Last>Schofield</b:Last>
            <b:Middle>B. Paine</b:Middle>
            <b:First>Carina</b:First>
          </b:Person>
        </b:NameList>
      </b:Author>
    </b:Author>
    <b:RefOrder>17</b:RefOrder>
  </b:Source>
  <b:Source>
    <b:Tag>Dun16</b:Tag>
    <b:SourceType>InternetSite</b:SourceType>
    <b:Guid>{A37767AF-2B90-40BC-9067-A7171612C241}</b:Guid>
    <b:Title>The Earliest Forms of Gambling in Ancient Civilizations</b:Title>
    <b:Year>2016</b:Year>
    <b:InternetSiteTitle>DocumentaryTube.com</b:InternetSiteTitle>
    <b:URL>http://www.documentarytube.com/articles/the-earliest-forms-of-gambling-in-ancient-civilizations</b:URL>
    <b:Author>
      <b:Author>
        <b:NameList>
          <b:Person>
            <b:Last>Dunlop</b:Last>
            <b:First>Stewart</b:First>
          </b:Person>
        </b:NameList>
      </b:Author>
    </b:Author>
    <b:YearAccessed>2018</b:YearAccessed>
    <b:MonthAccessed>May</b:MonthAccessed>
    <b:DayAccessed>31</b:DayAccessed>
    <b:RefOrder>1</b:RefOrder>
  </b:Source>
  <b:Source>
    <b:Tag>Wel01</b:Tag>
    <b:SourceType>Book</b:SourceType>
    <b:Guid>{EB0ECCBC-78C3-4DA7-AC41-B691448E4F59}</b:Guid>
    <b:Title>Globalization </b:Title>
    <b:Year>2001</b:Year>
    <b:City>New York</b:City>
    <b:Publisher>Novinka Books</b:Publisher>
    <b:Author>
      <b:Author>
        <b:NameList>
          <b:Person>
            <b:Last>Wells</b:Last>
            <b:Middle>J.</b:Middle>
            <b:First>Gary</b:First>
          </b:Person>
          <b:Person>
            <b:Last>Shuey</b:Last>
            <b:First>Robert</b:First>
          </b:Person>
          <b:Person>
            <b:Last>Kiely</b:Last>
            <b:First>Ray</b:First>
          </b:Person>
        </b:NameList>
      </b:Author>
    </b:Author>
    <b:RefOrder>18</b:RefOrder>
  </b:Source>
  <b:Source>
    <b:Tag>Cas08</b:Tag>
    <b:SourceType>JournalArticle</b:SourceType>
    <b:Guid>{DE478D18-ED84-4334-95A2-A930D8448A6B}</b:Guid>
    <b:Title>Working Class Women, Gambling and The Dream of Happiness</b:Title>
    <b:Year>2008</b:Year>
    <b:Author>
      <b:Author>
        <b:NameList>
          <b:Person>
            <b:Last>Casey</b:Last>
            <b:First>Emma</b:First>
          </b:Person>
        </b:NameList>
      </b:Author>
    </b:Author>
    <b:JournalName>Feminist Review</b:JournalName>
    <b:Pages>122-137</b:Pages>
    <b:Volume>89</b:Volume>
    <b:Issue>1</b:Issue>
    <b:RefOrder>4</b:RefOrder>
  </b:Source>
  <b:Source>
    <b:Tag>Rei06</b:Tag>
    <b:SourceType>Report</b:SourceType>
    <b:Guid>{857A65A6-7F82-4CED-B82E-FCA4E7617EEA}</b:Guid>
    <b:Title>Research on the Social Impacts of Gambling</b:Title>
    <b:Year>2006</b:Year>
    <b:Publisher>Scottish Executive Social Research </b:Publisher>
    <b:City>Glasgow</b:City>
    <b:Author>
      <b:Author>
        <b:NameList>
          <b:Person>
            <b:Last>Reith</b:Last>
            <b:First>Dr Gerda</b:First>
          </b:Person>
        </b:NameList>
      </b:Author>
    </b:Author>
    <b:RefOrder>3</b:RefOrder>
  </b:Source>
</b:Sources>
</file>

<file path=customXml/itemProps1.xml><?xml version="1.0" encoding="utf-8"?>
<ds:datastoreItem xmlns:ds="http://schemas.openxmlformats.org/officeDocument/2006/customXml" ds:itemID="{892471A9-0F8A-4609-8CC0-3B32E5833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1936</Words>
  <Characters>11038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Millar</dc:creator>
  <cp:keywords/>
  <dc:description/>
  <cp:lastModifiedBy>Matthew Millar (1703768)</cp:lastModifiedBy>
  <cp:revision>2</cp:revision>
  <dcterms:created xsi:type="dcterms:W3CDTF">2018-05-31T12:58:00Z</dcterms:created>
  <dcterms:modified xsi:type="dcterms:W3CDTF">2018-05-31T12:58:00Z</dcterms:modified>
</cp:coreProperties>
</file>