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color w:val="000000" w:themeColor="text1"/>
          <w:sz w:val="40"/>
          <w:szCs w:val="40"/>
          <w14:textFill>
            <w14:solidFill>
              <w14:schemeClr w14:val="tx1"/>
            </w14:solidFill>
          </w14:textFill>
        </w:rPr>
      </w:pPr>
      <w:bookmarkStart w:id="0" w:name="_GoBack"/>
      <w:bookmarkEnd w:id="0"/>
      <w:r>
        <w:rPr>
          <w:rFonts w:ascii="Times New Roman" w:hAnsi="Times New Roman" w:cs="Times New Roman"/>
          <w:color w:val="000000" w:themeColor="text1"/>
          <w:sz w:val="40"/>
          <w:szCs w:val="40"/>
          <w14:textFill>
            <w14:solidFill>
              <w14:schemeClr w14:val="tx1"/>
            </w14:solidFill>
          </w14:textFill>
        </w:rPr>
        <w:t>LCBB6001</w:t>
      </w:r>
    </w:p>
    <w:p>
      <w:pPr>
        <w:spacing w:line="360" w:lineRule="auto"/>
        <w:jc w:val="center"/>
        <w:rPr>
          <w:rFonts w:ascii="Times New Roman" w:hAnsi="Times New Roman" w:cs="Times New Roman"/>
          <w:color w:val="000000" w:themeColor="text1"/>
          <w:sz w:val="40"/>
          <w:szCs w:val="40"/>
          <w14:textFill>
            <w14:solidFill>
              <w14:schemeClr w14:val="tx1"/>
            </w14:solidFill>
          </w14:textFill>
        </w:rPr>
      </w:pPr>
      <w:r>
        <w:rPr>
          <w:rFonts w:ascii="Times New Roman" w:hAnsi="Times New Roman" w:cs="Times New Roman"/>
          <w:color w:val="000000" w:themeColor="text1"/>
          <w:sz w:val="40"/>
          <w:szCs w:val="40"/>
          <w14:textFill>
            <w14:solidFill>
              <w14:schemeClr w14:val="tx1"/>
            </w14:solidFill>
          </w14:textFill>
        </w:rPr>
        <w:t>Assessment 1</w:t>
      </w:r>
    </w:p>
    <w:p>
      <w:pPr>
        <w:spacing w:line="360" w:lineRule="auto"/>
        <w:jc w:val="center"/>
        <w:rPr>
          <w:rFonts w:ascii="Times New Roman" w:hAnsi="Times New Roman" w:cs="Times New Roman"/>
          <w:color w:val="C00000"/>
          <w:sz w:val="40"/>
          <w:szCs w:val="40"/>
        </w:rPr>
      </w:pPr>
      <w:r>
        <w:rPr>
          <w:rFonts w:ascii="Times New Roman" w:hAnsi="Times New Roman" w:cs="Times New Roman"/>
          <w:color w:val="000000"/>
          <w:sz w:val="40"/>
          <w:szCs w:val="40"/>
        </w:rPr>
        <w:t>International Business Communications</w:t>
      </w: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color w:val="C00000"/>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British companies must communicate well to succeed in the ever-changing global business landscape of many markets, cultures, and stakeholders. Success requires strong communication. UK companies expanding abroad confront several communication challenges and opportunities with foreign partners, consumers, and staff. UK organisations must navigate complex communication to achieve strategic goals and develop positive relationships in an increasingly interconnected world. This is crucial to their success. This requires adopting digital technologies, adapting to diverse cultures and languages, and conducting inclusive conversations (Adler and Graham, 2017). UK corporate communications is a perfect example of innovation and history. Although it uses modern technology and globalisation, it draws on centuries-old culture. UK firms pride themselves on their ethics, professionalism, and diplomacy. They exhibit these features when communicating with people from different cultures. UK companies strive for excellent communication while dealing with overseas partners, presenting abroad, or managing multicultural teams. They work hard to gain stakeholder trust, clarity, and confidence. UK business communications promote respect, diversity, and inclusion. UK companies welcome diverse perspectives, experiences, and backgrounds. They think inclusion fosters creativity, innovation, and long-term success. UK firms may promote openness, collaboration, and empathy through inclusive discourse. This culture values all opinions and participation. In this all-encompassing concept, British companies leverage global variance to gain power and competitive advantage in a shifting business climate. With this perspective, British enterprises embrace global diversity. British companies operating worldwide realise the significance of customising their communication strategy to a variety of stakeholders. Because globalisation is complicating. UK firms communicate adaptably with clients in emerging markets, suppliers on different continents, and individuals from varying cultural backgrounds. No matter the context. While maintaining their principles and identity, their words and strategies appeal to a wide audience. This detailed guide on British corporate communications opened our eyes to global communication. This world has tradition, innovation, diversity, and togetherness. This study tries to discover the strategies, ideas, and best practises that have helped British companies prosper in a more linked and diversified global economy. Hope to do this. Welcome to the fascinating world of British corporate communications, where effective communication crosses borders, cultures, and barriers to influence businesses' futures in a fast-changing world (Cantwell, 2017).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London is BP's headquarters. BP leads the world in energy exploration, production, refining, distribution, and marketing. These operations helped BP acquire market share. BP has innovated and expanded strategically since 1909. BP is a leading oil company. Responsible and sustainable business principles underpin BP's expansion ambition. Because the company fosters these behaviours. Every firm project has focused environmental sustainability, community participation, and ethics (Kim and Rim, 2024). BP is always seeking for innovative ways to expand its portfolio and worldwide footprint. Company focuses include technology and efficiency. Denmark is an appealing possibility for various reasons, especially since BP may expand its European management. Denmark's modern infrastructure, skilled workforce, and forward-thinking corporate environment help BP expand. Due to its Northern European location, Denmark can reach key EU and non-EU markets. Its well-established transportation networks, including ports and logistics centres, help multinational corporations like BP manage their supply chains and distribution procedures. Country's excellent infrastructure permits this. Danish politics and legislation are stable and transparent, making it business-friendly. This climate lowers offshore investor risks and uncertainty. Denmark's large renewable energy commitment helps BP's low-carbon future. Both parties may profit. Danish authorities aim to reduce carbon emissions and move to renewable energy. This lets BP use its renewable energy expertise to help Denmark go green. Education and skill are high in Denmark, notably in engineering, technology, and innovation. This expertise may help BP develop, collaborate, and compete globally. BP's diversity, inclusivity, and employee contentment match Denmark's work-life balance and well-being. International firm BP operates in UK. Thus, Denmark is a prospective European expansion destination for BP (Kim and Rim, 2024). Danish foundation helps BP develop management and operations. The nation has a competent workforce, strong economy, strategic location, and sustainability goals. BP can increase its market share and energy leadership in Denmark. Because of this, the company can assist Denmark achieve economic development and sustainability (Martin et al., 2020). BP must study the Danish business landscape and how it fits into its strategic goals and operational needs to determine whether it should expand in Denmark. Analysing corporate expansion opportunities between the two nations requires this. Danish commitment to sustainability and renewable energy allows BP to exploit its expertise. First and most important. Due to its offshore wind farms and renewable energy research, Denmark leads the world in wind energy. Denmark led wind energy. Denmark's green energy plan follows BP's recent shift towards low-carbon and renewable energy, including wind and solar. BP funds wind and solar projects. First, by being in Denmark, BP can work with local partners, use existing infrastructure, and assist Denmark shift to renewable energy and meet environmental goals. Second, Denmark's advanced technology and digital innovation environment will help BP's management. Technological, data analytics, and digital startups are prominent in the country. This culture is famous. Denmark's innovation hubs, research institutes, and skilled workers can help BP change digitally, improve efficiency, and create innovative energy solutions. Partnering with Danish technological businesses and institutions gives BP access to future technologies, talent, and ideas. This keeps the organisation ahead in a changing industry (Martin et al., 2020).  Denmark's values of collaboration, transparency, and CSR complement BP's. BP operates in Denmark. Danish companies value ethics, stakeholder engagement, and sustainability. All of these are vital to BP's long-term success and reputation. BP can show its commitment to responsible business practise, strengthen ties with local stakeholders, and g</w:t>
      </w:r>
      <w:r>
        <w:rPr>
          <w:rFonts w:ascii="Times New Roman" w:hAnsi="Times New Roman" w:cs="Times New Roman"/>
          <w:sz w:val="24"/>
          <w:szCs w:val="24"/>
        </w:rPr>
        <w:t xml:space="preserve">ain trust from Denmark's business community by integrating (Sharma et al., 2020). Denmark's strong financial industry and capital markets allow BP to finance development and investment projects. These help BP. Investor confidence and the nation's stable economy, fiscal policies, and regulatory environment help large commercial firms raise finance. All of this boost’s investor confidence. Danish financial infrastructure helps BP get money, manage risk, and operate well. All while researching Danish and international expansion opportunities. </w:t>
      </w:r>
    </w:p>
    <w:p>
      <w:pPr>
        <w:spacing w:line="360" w:lineRule="auto"/>
        <w:jc w:val="both"/>
        <w:rPr>
          <w:rFonts w:ascii="Times New Roman" w:hAnsi="Times New Roman" w:cs="Times New Roman"/>
          <w:color w:val="FF0000"/>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British Petroleum (BP) expansion in the EU faces stiff competition from Denmark and Finland. These countries have different expansion advantages. About 5.8 million Danes live. Denmark values equality, work-life balance, and environmental sustainability due to its high standard of living and progressive social policies. The progressive social policies of Denmark are also significant. Although Danish is the official language, many Danes speak English professionally (Sharma et al., 2020). Denmark draws foreign investment due to its political and economic stability and low corruption. Denmark attracts investors. Risks include excessive taxes and workplace regulations. Denmark's workforce is distinguished by education, diversity, and inclusivity. Danish culture favours independence and low uncertainty avoidance, suggesting autonomy and ambiguity, according to Hofstede. Denmark also avoids uncertainty poorly. About 5.5 million Finns live. Finland is known for its education, technology, inventiveness, teamwork, and social responsibility. Additionally, Finland is known for its technology. Many young individuals and professionals speak English. Finnish and Swedish are official languages. Finland prioritises R&amp;D, creating a stable corporate climate. Geographic isolation and small residential markets may impact the firm's operations. Gender equality and inclusion have created a highly educated, competent, and diverse workforce in Finland. In addition, the labour is skilled (Shenkar et al., 2021). Helsinki prioritises individualism over uncertainty avoidance like Denmark. These attributes create a culture of liberty, innovation, and open communication. Business benefits from Denmark and Finland's stable workforces and progressive social policies. Two Nordic nations. Denmark's European location helps logistics, while Finland leads technology and education. Both are European. Finland has a tiny market and isolated location, while Denmark has high taxation. The nation faces both concerns. Social structures and profiles differ slightly across the two countries. Despite contrasts, both countries value independence, creativity, and inclusivity in worker diversity and culture. British Petroleum (BP) must comprehend cultural differences, linguistic dynamics, hazards, and labour outlooks before growing into Denmark or Finland. This gives BP more information to make judgements (Shenkar et al.,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Denmark promotes equality, teamwork, and work-life balance. Flat hierarchies and consensus-based decision-making are frequent. Flat hierarchies are common. Professionals promote social connection and use casual language. Finnish culture promotes honesty, freedom, and creativity. Egalitarians downplay hierarchy. The Finnish respect direct communication and corporate honesty and integrity. Also, Finland appreciates direct communication. Finnish society values environmental preservation and sustainable activities due to its intimate relationship with nature. Even though English is the official language, it's spoken and understood in professional contexts. Official language in Denmark is Danish. Language skills may help to integrate into Danish society and create ties with stakeholders. Danish communication skills. Both Finnish and Swedish are official languages in Finland, however Finnish is more common. Many young people and professionals speak English effectively. Despite the popularity of English in business, learning Finnish helps increase communication and cultural understanding. Heavy taxation and worker rights limitations may raise BP's operating costs. Denmark's small market may also hamper growth. Export markets and foreign collaborations must be prioritised. The tiny local market and BP's geographical isolation may hinder its expansion plans. Technology and forestry exports make Finland's economy exposed to global demand shifts and shocks. This weakens Finland. Denmark's workforce is distinguished by education, diversity, and inclusivity. The nation encourages gender equality and provides extensive social welfare to produce a qualified and motivated workforce. Technology, invention, and research are hallmarks of the Finnish workforce. This applies to technology specifically. The nation promotes lifelong learning and vocational training to create a skilled and adaptable workforce. Hofstede's cultural characteristics framework might help to grasp Denmark and Finland's differences. Both nations are individualistic, taking responsibility for their actions and pursuing success. Low uncertainty avoidance ratings show that both countries offer decision-making ambiguity and flexibility. Both nations also avoid ambiguity poorly (Smith et al., 2018). </w:t>
      </w:r>
    </w:p>
    <w:p>
      <w:pPr>
        <w:spacing w:line="360" w:lineRule="auto"/>
        <w:jc w:val="both"/>
        <w:rPr>
          <w:rFonts w:ascii="Times New Roman" w:hAnsi="Times New Roman" w:cs="Times New Roman"/>
          <w:color w:val="FF0000"/>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While considering expansion, British Petroleum (BP) must improve communication in Denmark and Finland. Understanding cultural differences, linguistic dynamics, and communication methods in different nations helps international companies overcome challenges. Effective communication is key to international business success. Danish communication is casual, straightforward, and egalitarian. UK business may prefer hierarchical structures and formal communication. Due to the country's commercial population. Openness, transparency, and business trust are valued in Denmark. To meet these needs, British Petroleum (BP) may need to adapt its communication strategy. Denmark speaks and understands English, but various groups may have differing Danish skills. Danish may be useful or necessary in government or community relations. BP may have trouble communicating because to language issues. Communication may be misconstrued in Denmark because to complex taxation and regulation. This applies mainly to financial and compliance difficulties. To communicate with Denmark's values and expectations, BP may need to address stakeholders' environmental and social responsibility challenges. Danish workers' diversity and inclusion may cause cultural diversity and communication challenges. BP may need to foster an inclusive and consistent culture in Denmark. These methods improve intercultural communication and teamwork. Finland values honesty, directness, efficiency, clarity, and brevity in communication. Finland always prioritises efficiency (Wild and Wild, 2019). Finnish people like straightforward, simple communication without ambiguity or needless formality, therefore BP may need to adapt its approach. English is frequently spoken in Finland, especially among young people and professionals, however a basic comprehension may be needed to enter into specific job or community circumstances. Because Russian is less spoken than English. Some scenarios may need BP's communication strategy to account for language preferences and Finnish stakeholders' language expectations. It's possible. Finland's isolation and small market may hinder networking and resource availability, affecting communication. This could inhibit communication. BP may need digital communication tools and platforms to overcome geographical obstacles and increase stakeholder involvement in Finland, especially remote teams or partners. This is feasible. BP may need to show its innovation and technology leadership to please Finland, which prizes technical innovation and research excellence. BP Finland should promote its digitization, sustainability, and renewable energy capabilities. Finnish stakeholders' priorities and interests can then guide the corporation (Wild and Wild,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recommendation is for BP to enter Denmark. After examining Denmark and Finland's opportunities and problems and reducing communication barriers, this recommendation was made. Strategy, business performance, and cultural fit with BP's values and aims make Denmark attractive. Few Danish advantages. There are several strategies to flourish in Denmark and overcome communication challenges. Cultural sensitivity training for BP expansion project staff is one method. Danish cultural norms, communication styles, and business etiquette should be covered in this training to engage with Danish stakeholders. This instruction leads to productive interactions. Language lessons, especially Danish, should assist BP workers communicate and comprehend culture. Use translation and interpretation services when needed to improve communication across languages. Understanding the local market, negotiating regulatory requirements, and building relationships with key players requires partnerships with local Danish firms, industry associations, and government agencies. These are possible with cooperation. Working with Danish partners to improve communication can boost BP's reputation and visibility in Denmark. Danish culture values open, honest, and collaborative communication, therefore BP should adapt. Open communication, active listening, and mutual respect develop trust and solid relationships with Danish stakeholders. BP personnel in Denmark and throughout the world should use digital communication platforms for remote collaboration, communication, and knowledge exchange. The various digital communication methods and platforms will do this. Digital technology may boost scattered labour productivity, connection, and efficiency. BP organises cross-cultural team-building projects to foster empathy, understanding, and collaboration among its varied workforce (Xing, 2018). Encourage cross-cultural communication, perspective sharing, and cultural diversity awareness to establish a consistent and inclusive business culture. BP should live Danish ideals in sustainability, environmental stewardship, and corporate social responsibility. BP must work with local communities, environmental groups, and government stakeholders to demonstrate its sustainability initiatives and create trust. BP Denmark should foster learning, adaptability, and growth. Employees should be flexible and open to input. Communication strategies can be altered iteratively to match company needs and cultural dynamics (Xing, 2018). BP Denmark needs clear communication channels and conventions to enable transparent, unambiguous, and accountable decision-making. These are necessary for transparency, clarity, and accountability. Team and department cohesion requires constant communication, feedback loops, and information exchange. Sustainability should be included into all BP Denmark operations. Prioritise renewable energy investments, reduce carbon emissions, and assist Denmark's green economy development. Everything is covered. By partnering with Denmark's sustainability efforts, BP can boost its brand, attract eco-conscious customers, and promote cleaner energy and sustainability. Government, local communities, environmental groups, and industry partners in Denmark should build meaningful partnerships. By listening, meeting needs, and involving stakeholders in decision-making, BP develops shared value, mitigates risks, and builds trust. BP must capitalise on Denmark's innovative and technologically advanced culture to advance its Danish projects. Operational efficiency, resource utilisation, and market competitiveness require research and development, partnership with local entrepreneurs and academic institutions, and innovative technology. These goals matter (Adler and Graham, 2017). Staff development, well-being, and career advancement should be priorities at BP Denmark. Provide professional development, work-life balance, and a pleasant workplace. They should all happen. BP can improve employee satisfaction, recruit top talent, </w:t>
      </w:r>
      <w:r>
        <w:rPr>
          <w:rFonts w:ascii="Times New Roman" w:hAnsi="Times New Roman" w:cs="Times New Roman"/>
          <w:sz w:val="24"/>
          <w:szCs w:val="24"/>
        </w:rPr>
        <w:t>and perform well by investing in its people. Danish community investment and social impact projects need funding. These programmes and activities address local goals. Support programmes that reflect BP's principles and benefit its areas. These projects should promote education, environmental protection, and social welfare. Good corporate citizenship can boost BP's Danish brand and social licence. The firm must own its behaviour (Adler and Graham, 2017).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British Petroleum (BP)'s growth into Denmark is a strategic opportunity to create a positive environment for everyone to succeed. Denmark is BP's preferred growth and development destination due to its economy, sustainability, and culture. Due to Denmark's perfect geography. BP creates a culture of shared value and long-term performance in Denmark through sustainable integration, stakeholder involvement, innovation, employee well-being, community investment, risk management, customer-centricity, and continuous improvement. BP's stakeholder satisfaction and financial performance are both important markers of success. Employees, communities, and the environment are stakeholders. Remember that success extends beyond money (Cantwell, 2017).</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bCs/>
          <w:sz w:val="24"/>
          <w:szCs w:val="24"/>
        </w:rPr>
      </w:pP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Reference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Adler, N.J. and Graham, J.L., 2017. Cross-cultural interaction: the international comparison fallacy?. </w:t>
      </w:r>
      <w:r>
        <w:rPr>
          <w:rFonts w:ascii="Times New Roman" w:hAnsi="Times New Roman" w:cs="Times New Roman"/>
          <w:i/>
          <w:iCs/>
          <w:sz w:val="24"/>
          <w:szCs w:val="24"/>
        </w:rPr>
        <w:t>Language in International Business: Developing a Field</w:t>
      </w:r>
      <w:r>
        <w:rPr>
          <w:rFonts w:ascii="Times New Roman" w:hAnsi="Times New Roman" w:cs="Times New Roman"/>
          <w:sz w:val="24"/>
          <w:szCs w:val="24"/>
        </w:rPr>
        <w:t>, pp.33-58.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Cantwell, J., 2017. Innovation and international business. </w:t>
      </w:r>
      <w:r>
        <w:rPr>
          <w:rFonts w:ascii="Times New Roman" w:hAnsi="Times New Roman" w:cs="Times New Roman"/>
          <w:i/>
          <w:iCs/>
          <w:sz w:val="24"/>
          <w:szCs w:val="24"/>
        </w:rPr>
        <w:t>Industry and Innovation</w:t>
      </w:r>
      <w:r>
        <w:rPr>
          <w:rFonts w:ascii="Times New Roman" w:hAnsi="Times New Roman" w:cs="Times New Roman"/>
          <w:sz w:val="24"/>
          <w:szCs w:val="24"/>
        </w:rPr>
        <w:t>, </w:t>
      </w:r>
      <w:r>
        <w:rPr>
          <w:rFonts w:ascii="Times New Roman" w:hAnsi="Times New Roman" w:cs="Times New Roman"/>
          <w:i/>
          <w:iCs/>
          <w:sz w:val="24"/>
          <w:szCs w:val="24"/>
        </w:rPr>
        <w:t>24</w:t>
      </w:r>
      <w:r>
        <w:rPr>
          <w:rFonts w:ascii="Times New Roman" w:hAnsi="Times New Roman" w:cs="Times New Roman"/>
          <w:sz w:val="24"/>
          <w:szCs w:val="24"/>
        </w:rPr>
        <w:t>(1), pp.41-60.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Kim, S. and Rim, H., 2024. The role of public skepticism and distrust in the process of CSR communication. </w:t>
      </w:r>
      <w:r>
        <w:rPr>
          <w:rFonts w:ascii="Times New Roman" w:hAnsi="Times New Roman" w:cs="Times New Roman"/>
          <w:i/>
          <w:iCs/>
          <w:sz w:val="24"/>
          <w:szCs w:val="24"/>
        </w:rPr>
        <w:t>International Journal of Business Communication</w:t>
      </w:r>
      <w:r>
        <w:rPr>
          <w:rFonts w:ascii="Times New Roman" w:hAnsi="Times New Roman" w:cs="Times New Roman"/>
          <w:sz w:val="24"/>
          <w:szCs w:val="24"/>
        </w:rPr>
        <w:t>, </w:t>
      </w:r>
      <w:r>
        <w:rPr>
          <w:rFonts w:ascii="Times New Roman" w:hAnsi="Times New Roman" w:cs="Times New Roman"/>
          <w:i/>
          <w:iCs/>
          <w:sz w:val="24"/>
          <w:szCs w:val="24"/>
        </w:rPr>
        <w:t>61</w:t>
      </w:r>
      <w:r>
        <w:rPr>
          <w:rFonts w:ascii="Times New Roman" w:hAnsi="Times New Roman" w:cs="Times New Roman"/>
          <w:sz w:val="24"/>
          <w:szCs w:val="24"/>
        </w:rPr>
        <w:t>(2), pp.198-218.</w:t>
      </w: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Martin, S.L., Javalgi, R.R.G. and Ciravegna, L., 2020. Marketing capabilities and international new venture performance: The mediation role of marketing communication and the moderation effect of technological turbulence.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107</w:t>
      </w:r>
      <w:r>
        <w:rPr>
          <w:rFonts w:ascii="Times New Roman" w:hAnsi="Times New Roman" w:cs="Times New Roman"/>
          <w:sz w:val="24"/>
          <w:szCs w:val="24"/>
        </w:rPr>
        <w:t>, pp.25-37.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Sharma, P., Leung, T.Y., Kingshott, R.P., Davcik, N.S. and Cardinali, S., 2020. Managing uncertainty during a global pandemic: An international business perspective.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116</w:t>
      </w:r>
      <w:r>
        <w:rPr>
          <w:rFonts w:ascii="Times New Roman" w:hAnsi="Times New Roman" w:cs="Times New Roman"/>
          <w:sz w:val="24"/>
          <w:szCs w:val="24"/>
        </w:rPr>
        <w:t>, pp.188-192.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Shenkar, O., Luo, Y. and Chi, T., 2021. </w:t>
      </w:r>
      <w:r>
        <w:rPr>
          <w:rFonts w:ascii="Times New Roman" w:hAnsi="Times New Roman" w:cs="Times New Roman"/>
          <w:i/>
          <w:iCs/>
          <w:sz w:val="24"/>
          <w:szCs w:val="24"/>
        </w:rPr>
        <w:t>International business</w:t>
      </w:r>
      <w:r>
        <w:rPr>
          <w:rFonts w:ascii="Times New Roman" w:hAnsi="Times New Roman" w:cs="Times New Roman"/>
          <w:sz w:val="24"/>
          <w:szCs w:val="24"/>
        </w:rPr>
        <w:t>. Routledge.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Smith, S.A., Patmos, A. and Pitts, M.J., 2018. Communication and teleworking: A study of communication channel satisfaction, personality, and job satisfaction for teleworking employees. </w:t>
      </w:r>
      <w:r>
        <w:rPr>
          <w:rFonts w:ascii="Times New Roman" w:hAnsi="Times New Roman" w:cs="Times New Roman"/>
          <w:i/>
          <w:iCs/>
          <w:sz w:val="24"/>
          <w:szCs w:val="24"/>
        </w:rPr>
        <w:t>International Journal of Business Communication</w:t>
      </w:r>
      <w:r>
        <w:rPr>
          <w:rFonts w:ascii="Times New Roman" w:hAnsi="Times New Roman" w:cs="Times New Roman"/>
          <w:sz w:val="24"/>
          <w:szCs w:val="24"/>
        </w:rPr>
        <w:t>, </w:t>
      </w:r>
      <w:r>
        <w:rPr>
          <w:rFonts w:ascii="Times New Roman" w:hAnsi="Times New Roman" w:cs="Times New Roman"/>
          <w:i/>
          <w:iCs/>
          <w:sz w:val="24"/>
          <w:szCs w:val="24"/>
        </w:rPr>
        <w:t>55</w:t>
      </w:r>
      <w:r>
        <w:rPr>
          <w:rFonts w:ascii="Times New Roman" w:hAnsi="Times New Roman" w:cs="Times New Roman"/>
          <w:sz w:val="24"/>
          <w:szCs w:val="24"/>
        </w:rPr>
        <w:t>(1), pp.44-68.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Wild, J.J. and Wild, K.L., 2019. </w:t>
      </w:r>
      <w:r>
        <w:rPr>
          <w:rFonts w:ascii="Times New Roman" w:hAnsi="Times New Roman" w:cs="Times New Roman"/>
          <w:i/>
          <w:iCs/>
          <w:sz w:val="24"/>
          <w:szCs w:val="24"/>
        </w:rPr>
        <w:t>International business: The challenges of globalization</w:t>
      </w:r>
      <w:r>
        <w:rPr>
          <w:rFonts w:ascii="Times New Roman" w:hAnsi="Times New Roman" w:cs="Times New Roman"/>
          <w:sz w:val="24"/>
          <w:szCs w:val="24"/>
        </w:rPr>
        <w:t>. Pearson.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Xing, Z., 2018. The impacts of Information and Communications Technology (ICT) and E-commerce on bilateral trade flows. </w:t>
      </w:r>
      <w:r>
        <w:rPr>
          <w:rFonts w:ascii="Times New Roman" w:hAnsi="Times New Roman" w:cs="Times New Roman"/>
          <w:i/>
          <w:iCs/>
          <w:sz w:val="24"/>
          <w:szCs w:val="24"/>
        </w:rPr>
        <w:t>International Economics and Economic Policy</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 pp.565-586.</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Yu, S., Abbas, J., Draghici, A., Negulescu, O.H. and Ain, N.U., 2022. Social media application as a new paradigm for business communication: the role of COVID-19 knowledge, social distancing, and preventive attitudes. </w:t>
      </w:r>
      <w:r>
        <w:rPr>
          <w:rFonts w:ascii="Times New Roman" w:hAnsi="Times New Roman" w:cs="Times New Roman"/>
          <w:i/>
          <w:iCs/>
          <w:sz w:val="24"/>
          <w:szCs w:val="24"/>
        </w:rPr>
        <w:t>Frontiers in Psychology</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 p.903082.</w:t>
      </w: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00656124"/>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DF5"/>
    <w:rsid w:val="0005205D"/>
    <w:rsid w:val="00115190"/>
    <w:rsid w:val="001C6844"/>
    <w:rsid w:val="002B55AB"/>
    <w:rsid w:val="0039779C"/>
    <w:rsid w:val="004B38CA"/>
    <w:rsid w:val="008203D1"/>
    <w:rsid w:val="0082786E"/>
    <w:rsid w:val="008856E9"/>
    <w:rsid w:val="009403A7"/>
    <w:rsid w:val="00C97ECF"/>
    <w:rsid w:val="00D64B0B"/>
    <w:rsid w:val="00DE5DF5"/>
    <w:rsid w:val="00F7259E"/>
    <w:rsid w:val="7AED40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footer"/>
    <w:basedOn w:val="1"/>
    <w:link w:val="7"/>
    <w:unhideWhenUsed/>
    <w:uiPriority w:val="99"/>
    <w:pPr>
      <w:tabs>
        <w:tab w:val="center" w:pos="4513"/>
        <w:tab w:val="right" w:pos="9026"/>
      </w:tabs>
      <w:spacing w:after="0" w:line="240" w:lineRule="auto"/>
    </w:pPr>
  </w:style>
  <w:style w:type="paragraph" w:styleId="5">
    <w:name w:val="header"/>
    <w:basedOn w:val="1"/>
    <w:link w:val="6"/>
    <w:unhideWhenUsed/>
    <w:uiPriority w:val="99"/>
    <w:pPr>
      <w:tabs>
        <w:tab w:val="center" w:pos="4513"/>
        <w:tab w:val="right" w:pos="9026"/>
      </w:tabs>
      <w:spacing w:after="0" w:line="240" w:lineRule="auto"/>
    </w:pPr>
  </w:style>
  <w:style w:type="character" w:customStyle="1" w:styleId="6">
    <w:name w:val="Header Char"/>
    <w:basedOn w:val="2"/>
    <w:link w:val="5"/>
    <w:uiPriority w:val="99"/>
  </w:style>
  <w:style w:type="character" w:customStyle="1" w:styleId="7">
    <w:name w:val="Footer Char"/>
    <w:basedOn w:val="2"/>
    <w:link w:val="4"/>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9</Pages>
  <Words>3282</Words>
  <Characters>18710</Characters>
  <Lines>155</Lines>
  <Paragraphs>43</Paragraphs>
  <TotalTime>27</TotalTime>
  <ScaleCrop>false</ScaleCrop>
  <LinksUpToDate>false</LinksUpToDate>
  <CharactersWithSpaces>21949</CharactersWithSpaces>
  <Application>WPS Office_12.2.0.13489_F1E327BC-269C-435d-A152-05C5408002CA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2024-04-26T17:06:00Z</dcterms:created>
  <dc:creator>Ch11</dc:creator>
  <cp:lastModifiedBy>Ch11</cp:lastModifiedBy>
  <dcterms:modified xsi:type="dcterms:W3CDTF">2024-04-27T06:12:12Z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2057-12.2.0.13489</vt:lpwstr>
  </property>
  <property fmtid="{D5CDD505-2E9C-101B-9397-08002B2CF9AE}" pid="3" name="ICV">
    <vt:lpwstr>36129C1898CC4052A99E3C347C33F9DB_13</vt:lpwstr>
  </property>
</Properties>
</file>