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9FB867" w14:textId="77777777" w:rsidR="00153C7A" w:rsidRDefault="00153C7A" w:rsidP="002F5BC2">
      <w:pPr>
        <w:rPr>
          <w:b/>
        </w:rPr>
      </w:pPr>
    </w:p>
    <w:p w14:paraId="7D1D4EDF" w14:textId="77777777" w:rsidR="00902EC0" w:rsidRPr="00902EC0" w:rsidRDefault="00902EC0" w:rsidP="00902EC0">
      <w:pPr>
        <w:tabs>
          <w:tab w:val="left" w:pos="6540"/>
        </w:tabs>
        <w:spacing w:after="220"/>
        <w:ind w:left="426"/>
        <w:jc w:val="left"/>
        <w:rPr>
          <w:rFonts w:ascii="Arial" w:eastAsia="Century Schoolbook" w:hAnsi="Arial" w:cs="Arial"/>
          <w:sz w:val="28"/>
          <w:szCs w:val="28"/>
          <w:lang w:val="nl-NL"/>
        </w:rPr>
      </w:pPr>
      <w:r w:rsidRPr="00902EC0">
        <w:rPr>
          <w:rFonts w:ascii="Arial" w:eastAsia="Century Schoolbook" w:hAnsi="Arial" w:cs="Arial"/>
          <w:b/>
          <w:bCs/>
          <w:sz w:val="28"/>
          <w:szCs w:val="28"/>
          <w:lang w:val="nl-NL"/>
        </w:rPr>
        <w:t>Student name</w:t>
      </w:r>
      <w:r w:rsidRPr="00902EC0">
        <w:rPr>
          <w:rFonts w:ascii="Arial" w:eastAsia="Century Schoolbook" w:hAnsi="Arial" w:cs="Arial"/>
          <w:sz w:val="28"/>
          <w:szCs w:val="28"/>
          <w:lang w:val="nl-NL"/>
        </w:rPr>
        <w:t xml:space="preserve">:  Julianah Bosede </w:t>
      </w:r>
      <w:proofErr w:type="spellStart"/>
      <w:r w:rsidRPr="00902EC0">
        <w:rPr>
          <w:rFonts w:ascii="Arial" w:eastAsia="Century Schoolbook" w:hAnsi="Arial" w:cs="Arial"/>
          <w:sz w:val="28"/>
          <w:szCs w:val="28"/>
          <w:lang w:val="nl-NL"/>
        </w:rPr>
        <w:t>Iwalaiye</w:t>
      </w:r>
      <w:proofErr w:type="spellEnd"/>
      <w:r w:rsidRPr="00902EC0">
        <w:rPr>
          <w:rFonts w:ascii="Arial" w:eastAsia="Century Schoolbook" w:hAnsi="Arial" w:cs="Arial"/>
          <w:sz w:val="28"/>
          <w:szCs w:val="28"/>
          <w:lang w:val="nl-NL"/>
        </w:rPr>
        <w:t xml:space="preserve"> </w:t>
      </w:r>
    </w:p>
    <w:p w14:paraId="6C10B352" w14:textId="32B484D4" w:rsidR="00902EC0" w:rsidRPr="00902EC0" w:rsidRDefault="00902EC0" w:rsidP="00F2005A">
      <w:pPr>
        <w:tabs>
          <w:tab w:val="left" w:pos="6540"/>
        </w:tabs>
        <w:spacing w:after="220"/>
        <w:ind w:left="426"/>
        <w:jc w:val="left"/>
        <w:rPr>
          <w:rFonts w:ascii="Arial" w:eastAsia="Century Schoolbook" w:hAnsi="Arial" w:cs="Arial"/>
          <w:sz w:val="28"/>
          <w:szCs w:val="28"/>
          <w:lang w:val="nl-NL"/>
        </w:rPr>
      </w:pPr>
      <w:r w:rsidRPr="00902EC0">
        <w:rPr>
          <w:rFonts w:ascii="Arial" w:eastAsia="Century Schoolbook" w:hAnsi="Arial" w:cs="Arial"/>
          <w:b/>
          <w:bCs/>
          <w:sz w:val="28"/>
          <w:szCs w:val="28"/>
          <w:lang w:val="nl-NL"/>
        </w:rPr>
        <w:t>Student ID</w:t>
      </w:r>
      <w:r w:rsidRPr="00902EC0">
        <w:rPr>
          <w:rFonts w:ascii="Arial" w:eastAsia="Century Schoolbook" w:hAnsi="Arial" w:cs="Arial"/>
          <w:sz w:val="28"/>
          <w:szCs w:val="28"/>
          <w:lang w:val="nl-NL"/>
        </w:rPr>
        <w:t>:  2133902</w:t>
      </w:r>
    </w:p>
    <w:p w14:paraId="57BC2EBF" w14:textId="7865E5E8" w:rsidR="00902EC0" w:rsidRPr="00544F79" w:rsidRDefault="00902EC0" w:rsidP="00902EC0">
      <w:pPr>
        <w:tabs>
          <w:tab w:val="left" w:pos="6540"/>
        </w:tabs>
        <w:spacing w:after="220"/>
        <w:ind w:left="426"/>
        <w:jc w:val="left"/>
        <w:rPr>
          <w:rFonts w:ascii="Arial" w:eastAsia="Century Schoolbook" w:hAnsi="Arial" w:cs="Arial"/>
          <w:b/>
          <w:bCs/>
          <w:sz w:val="28"/>
          <w:szCs w:val="28"/>
          <w:lang w:val="nl-NL"/>
        </w:rPr>
      </w:pPr>
      <w:r w:rsidRPr="00902EC0">
        <w:rPr>
          <w:rFonts w:ascii="Arial" w:eastAsia="Century Schoolbook" w:hAnsi="Arial" w:cs="Arial"/>
          <w:b/>
          <w:bCs/>
          <w:sz w:val="28"/>
          <w:szCs w:val="28"/>
          <w:lang w:val="nl-NL"/>
        </w:rPr>
        <w:t>Module name</w:t>
      </w:r>
      <w:r w:rsidRPr="00902EC0">
        <w:rPr>
          <w:rFonts w:ascii="Arial" w:eastAsia="Century Schoolbook" w:hAnsi="Arial" w:cs="Arial"/>
          <w:sz w:val="28"/>
          <w:szCs w:val="28"/>
          <w:lang w:val="nl-NL"/>
        </w:rPr>
        <w:t xml:space="preserve">: </w:t>
      </w:r>
      <w:r w:rsidR="00976AA3" w:rsidRPr="00544F79">
        <w:rPr>
          <w:rStyle w:val="Strong"/>
          <w:rFonts w:ascii="Arial" w:eastAsia="Times New Roman" w:hAnsi="Arial" w:cs="Arial"/>
          <w:b w:val="0"/>
          <w:bCs w:val="0"/>
          <w:color w:val="1D2125"/>
          <w:sz w:val="28"/>
          <w:szCs w:val="28"/>
        </w:rPr>
        <w:t>Health, Wellbeing and Sustainable Development</w:t>
      </w:r>
      <w:r w:rsidR="00976AA3" w:rsidRPr="00544F79">
        <w:rPr>
          <w:rFonts w:ascii="Arial" w:eastAsia="Times New Roman" w:hAnsi="Arial" w:cs="Arial"/>
          <w:b/>
          <w:bCs/>
          <w:color w:val="1D2125"/>
          <w:sz w:val="28"/>
          <w:szCs w:val="28"/>
          <w:shd w:val="clear" w:color="auto" w:fill="FFFFFF"/>
        </w:rPr>
        <w:t>.</w:t>
      </w:r>
    </w:p>
    <w:p w14:paraId="695A4D0C" w14:textId="5734DA8E" w:rsidR="00902EC0" w:rsidRPr="00902EC0" w:rsidRDefault="00902EC0" w:rsidP="00902EC0">
      <w:pPr>
        <w:tabs>
          <w:tab w:val="left" w:pos="6540"/>
        </w:tabs>
        <w:spacing w:after="220"/>
        <w:ind w:left="426"/>
        <w:jc w:val="left"/>
        <w:rPr>
          <w:rFonts w:ascii="Arial" w:eastAsia="Century Schoolbook" w:hAnsi="Arial" w:cs="Arial"/>
          <w:sz w:val="28"/>
          <w:szCs w:val="28"/>
        </w:rPr>
      </w:pPr>
      <w:r w:rsidRPr="00902EC0">
        <w:rPr>
          <w:rFonts w:ascii="Arial" w:eastAsia="Century Schoolbook" w:hAnsi="Arial" w:cs="Arial"/>
          <w:b/>
          <w:bCs/>
          <w:sz w:val="28"/>
          <w:szCs w:val="28"/>
        </w:rPr>
        <w:t>Module code</w:t>
      </w:r>
      <w:r w:rsidRPr="00902EC0">
        <w:rPr>
          <w:rFonts w:ascii="Arial" w:eastAsia="Century Schoolbook" w:hAnsi="Arial" w:cs="Arial"/>
          <w:sz w:val="28"/>
          <w:szCs w:val="28"/>
        </w:rPr>
        <w:t>:  BMHP60</w:t>
      </w:r>
      <w:r w:rsidR="009A1C0B">
        <w:rPr>
          <w:rFonts w:ascii="Arial" w:eastAsia="Century Schoolbook" w:hAnsi="Arial" w:cs="Arial"/>
          <w:sz w:val="28"/>
          <w:szCs w:val="28"/>
        </w:rPr>
        <w:t>30</w:t>
      </w:r>
    </w:p>
    <w:p w14:paraId="484AA245" w14:textId="417F2027" w:rsidR="00902EC0" w:rsidRPr="00180F31" w:rsidRDefault="00902EC0" w:rsidP="00902EC0">
      <w:pPr>
        <w:tabs>
          <w:tab w:val="left" w:pos="6540"/>
        </w:tabs>
        <w:spacing w:after="220"/>
        <w:ind w:left="426"/>
        <w:jc w:val="left"/>
        <w:rPr>
          <w:rFonts w:ascii="Arial" w:eastAsia="Century Schoolbook" w:hAnsi="Arial" w:cs="Arial"/>
          <w:sz w:val="28"/>
          <w:szCs w:val="28"/>
        </w:rPr>
      </w:pPr>
      <w:r w:rsidRPr="00902EC0">
        <w:rPr>
          <w:rFonts w:ascii="Arial" w:eastAsia="Century Schoolbook" w:hAnsi="Arial" w:cs="Arial"/>
          <w:b/>
          <w:bCs/>
          <w:sz w:val="28"/>
          <w:szCs w:val="28"/>
        </w:rPr>
        <w:t>Lecturer’s name</w:t>
      </w:r>
      <w:r w:rsidRPr="00902EC0">
        <w:rPr>
          <w:rFonts w:ascii="Arial" w:eastAsia="Century Schoolbook" w:hAnsi="Arial" w:cs="Arial"/>
          <w:sz w:val="28"/>
          <w:szCs w:val="28"/>
        </w:rPr>
        <w:t xml:space="preserve">:  </w:t>
      </w:r>
      <w:r w:rsidR="00D447DE">
        <w:rPr>
          <w:rFonts w:ascii="Arial" w:eastAsia="Century Schoolbook" w:hAnsi="Arial" w:cs="Arial"/>
          <w:sz w:val="28"/>
          <w:szCs w:val="28"/>
        </w:rPr>
        <w:t>D</w:t>
      </w:r>
      <w:r w:rsidR="00C254D2" w:rsidRPr="00180F31">
        <w:rPr>
          <w:rStyle w:val="Strong"/>
          <w:rFonts w:ascii="Arial" w:eastAsia="Times New Roman" w:hAnsi="Arial" w:cs="Arial"/>
          <w:b w:val="0"/>
          <w:bCs w:val="0"/>
          <w:color w:val="1D2125"/>
          <w:sz w:val="28"/>
          <w:szCs w:val="28"/>
        </w:rPr>
        <w:t xml:space="preserve">r </w:t>
      </w:r>
      <w:proofErr w:type="spellStart"/>
      <w:r w:rsidR="00C254D2" w:rsidRPr="00180F31">
        <w:rPr>
          <w:rStyle w:val="Strong"/>
          <w:rFonts w:ascii="Arial" w:eastAsia="Times New Roman" w:hAnsi="Arial" w:cs="Arial"/>
          <w:b w:val="0"/>
          <w:bCs w:val="0"/>
          <w:color w:val="1D2125"/>
          <w:sz w:val="28"/>
          <w:szCs w:val="28"/>
        </w:rPr>
        <w:t>Itse</w:t>
      </w:r>
      <w:proofErr w:type="spellEnd"/>
      <w:r w:rsidR="00C254D2" w:rsidRPr="00180F31">
        <w:rPr>
          <w:rStyle w:val="Strong"/>
          <w:rFonts w:ascii="Arial" w:eastAsia="Times New Roman" w:hAnsi="Arial" w:cs="Arial"/>
          <w:b w:val="0"/>
          <w:bCs w:val="0"/>
          <w:color w:val="1D2125"/>
          <w:sz w:val="28"/>
          <w:szCs w:val="28"/>
        </w:rPr>
        <w:t xml:space="preserve"> </w:t>
      </w:r>
      <w:proofErr w:type="spellStart"/>
      <w:r w:rsidR="00C254D2" w:rsidRPr="00180F31">
        <w:rPr>
          <w:rStyle w:val="Strong"/>
          <w:rFonts w:ascii="Arial" w:eastAsia="Times New Roman" w:hAnsi="Arial" w:cs="Arial"/>
          <w:b w:val="0"/>
          <w:bCs w:val="0"/>
          <w:color w:val="1D2125"/>
          <w:sz w:val="28"/>
          <w:szCs w:val="28"/>
        </w:rPr>
        <w:t>Olaoye</w:t>
      </w:r>
      <w:proofErr w:type="spellEnd"/>
    </w:p>
    <w:p w14:paraId="724013E5" w14:textId="77777777" w:rsidR="00902EC0" w:rsidRPr="00180F31" w:rsidRDefault="00902EC0" w:rsidP="00902EC0">
      <w:pPr>
        <w:tabs>
          <w:tab w:val="left" w:pos="6540"/>
        </w:tabs>
        <w:spacing w:after="220"/>
        <w:ind w:left="426"/>
        <w:jc w:val="left"/>
        <w:rPr>
          <w:rFonts w:ascii="Arial" w:eastAsia="Century Schoolbook" w:hAnsi="Arial" w:cs="Arial"/>
          <w:sz w:val="28"/>
          <w:szCs w:val="28"/>
        </w:rPr>
      </w:pPr>
    </w:p>
    <w:p w14:paraId="1F482870" w14:textId="6EDB6897" w:rsidR="00902EC0" w:rsidRPr="007061BB" w:rsidRDefault="00902EC0" w:rsidP="00902EC0">
      <w:pPr>
        <w:tabs>
          <w:tab w:val="left" w:pos="6540"/>
        </w:tabs>
        <w:spacing w:after="220"/>
        <w:ind w:left="426"/>
        <w:jc w:val="left"/>
        <w:rPr>
          <w:rFonts w:ascii="Arial" w:eastAsia="Century Schoolbook" w:hAnsi="Arial" w:cs="Arial"/>
          <w:bCs/>
          <w:sz w:val="28"/>
          <w:szCs w:val="28"/>
        </w:rPr>
      </w:pPr>
      <w:r w:rsidRPr="00902EC0">
        <w:rPr>
          <w:rFonts w:ascii="Arial" w:eastAsia="Century Schoolbook" w:hAnsi="Arial" w:cs="Arial"/>
          <w:b/>
          <w:bCs/>
          <w:sz w:val="28"/>
          <w:szCs w:val="28"/>
        </w:rPr>
        <w:t>Topic</w:t>
      </w:r>
      <w:r w:rsidRPr="00902EC0">
        <w:rPr>
          <w:rFonts w:ascii="Arial" w:eastAsia="Century Schoolbook" w:hAnsi="Arial" w:cs="Arial"/>
          <w:sz w:val="28"/>
          <w:szCs w:val="28"/>
        </w:rPr>
        <w:t xml:space="preserve">:  </w:t>
      </w:r>
      <w:r w:rsidR="00072165">
        <w:rPr>
          <w:b/>
        </w:rPr>
        <w:t xml:space="preserve"> </w:t>
      </w:r>
      <w:r w:rsidR="00072165" w:rsidRPr="007061BB">
        <w:rPr>
          <w:rFonts w:ascii="Arial" w:hAnsi="Arial" w:cs="Arial"/>
          <w:bCs/>
          <w:sz w:val="28"/>
          <w:szCs w:val="28"/>
        </w:rPr>
        <w:t xml:space="preserve"> A Critical Analysis of SDG 2 and SDG 3 in the UK Context</w:t>
      </w:r>
    </w:p>
    <w:p w14:paraId="2E4407E9" w14:textId="77777777" w:rsidR="00902EC0" w:rsidRPr="00902EC0" w:rsidRDefault="00902EC0" w:rsidP="00902EC0">
      <w:pPr>
        <w:tabs>
          <w:tab w:val="left" w:pos="6540"/>
        </w:tabs>
        <w:spacing w:after="220"/>
        <w:ind w:left="426"/>
        <w:jc w:val="left"/>
        <w:rPr>
          <w:rFonts w:ascii="Arial" w:eastAsia="Century Schoolbook" w:hAnsi="Arial" w:cs="Arial"/>
          <w:sz w:val="28"/>
          <w:szCs w:val="28"/>
        </w:rPr>
      </w:pPr>
    </w:p>
    <w:p w14:paraId="02F04A78" w14:textId="77777777" w:rsidR="00902EC0" w:rsidRPr="00902EC0" w:rsidRDefault="00902EC0" w:rsidP="00902EC0">
      <w:pPr>
        <w:spacing w:after="220" w:line="240" w:lineRule="auto"/>
        <w:jc w:val="left"/>
        <w:rPr>
          <w:rFonts w:ascii="Arial" w:eastAsia="Century Schoolbook" w:hAnsi="Arial" w:cs="Arial"/>
          <w:sz w:val="22"/>
        </w:rPr>
      </w:pPr>
    </w:p>
    <w:p w14:paraId="1932C271" w14:textId="4F17DF5B" w:rsidR="00902EC0" w:rsidRPr="00F664E0" w:rsidRDefault="00902EC0" w:rsidP="00F664E0">
      <w:pPr>
        <w:spacing w:after="220" w:line="240" w:lineRule="auto"/>
        <w:jc w:val="left"/>
        <w:rPr>
          <w:rFonts w:ascii="Century Schoolbook" w:eastAsia="Century Schoolbook" w:hAnsi="Century Schoolbook" w:cs="Times New Roman"/>
          <w:sz w:val="22"/>
        </w:rPr>
      </w:pPr>
      <w:r w:rsidRPr="00902EC0">
        <w:rPr>
          <w:rFonts w:ascii="Century Schoolbook" w:eastAsia="Century Schoolbook" w:hAnsi="Century Schoolbook" w:cs="Times New Roman"/>
          <w:sz w:val="22"/>
        </w:rPr>
        <w:br w:type="page"/>
      </w:r>
      <w:r w:rsidRPr="00902EC0">
        <w:rPr>
          <w:rFonts w:ascii="Arial" w:eastAsiaTheme="minorEastAsia" w:hAnsi="Arial" w:cs="Arial"/>
          <w:sz w:val="20"/>
          <w:szCs w:val="20"/>
          <w:lang w:val="en-GB" w:eastAsia="en-GB"/>
        </w:rPr>
        <w:lastRenderedPageBreak/>
        <w:t xml:space="preserve"> </w:t>
      </w:r>
    </w:p>
    <w:p w14:paraId="4B5A3182" w14:textId="77777777" w:rsidR="00902EC0" w:rsidRPr="00902EC0" w:rsidRDefault="00902EC0" w:rsidP="00902EC0">
      <w:pPr>
        <w:spacing w:after="0" w:line="240" w:lineRule="auto"/>
        <w:jc w:val="left"/>
        <w:rPr>
          <w:rFonts w:ascii="Arial" w:eastAsiaTheme="minorEastAsia" w:hAnsi="Arial" w:cs="Arial"/>
          <w:sz w:val="20"/>
          <w:szCs w:val="20"/>
          <w:lang w:val="en-GB" w:eastAsia="en-GB"/>
        </w:rPr>
      </w:pPr>
    </w:p>
    <w:p w14:paraId="0C72295A" w14:textId="77777777" w:rsidR="00153C7A" w:rsidRDefault="00153C7A" w:rsidP="00153C7A">
      <w:pPr>
        <w:jc w:val="center"/>
        <w:rPr>
          <w:b/>
        </w:rPr>
      </w:pPr>
    </w:p>
    <w:p w14:paraId="2708231D" w14:textId="77777777" w:rsidR="00D1791F" w:rsidRPr="00BC6556" w:rsidRDefault="00D1791F" w:rsidP="00D1791F">
      <w:pPr>
        <w:spacing w:before="180" w:after="0" w:line="240" w:lineRule="auto"/>
        <w:jc w:val="center"/>
        <w:rPr>
          <w:rFonts w:ascii="Arial" w:eastAsiaTheme="minorEastAsia" w:hAnsi="Arial" w:cs="Arial"/>
          <w:color w:val="000000"/>
          <w:sz w:val="28"/>
          <w:szCs w:val="28"/>
          <w:lang w:val="en-GB" w:eastAsia="en-GB"/>
        </w:rPr>
      </w:pPr>
      <w:r w:rsidRPr="00BC6556">
        <w:rPr>
          <w:rFonts w:ascii="Arial" w:eastAsiaTheme="minorEastAsia" w:hAnsi="Arial" w:cs="Arial"/>
          <w:color w:val="000000"/>
          <w:sz w:val="28"/>
          <w:szCs w:val="28"/>
          <w:lang w:val="en-GB" w:eastAsia="en-GB"/>
        </w:rPr>
        <w:t>Table of Contents</w:t>
      </w:r>
    </w:p>
    <w:p w14:paraId="7E37E3AD" w14:textId="2747BA54"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Introduction</w:t>
      </w:r>
      <w:r w:rsidR="00C8125E" w:rsidRPr="00F14E80">
        <w:rPr>
          <w:rFonts w:ascii="Arial" w:eastAsiaTheme="minorEastAsia" w:hAnsi="Arial" w:cs="Arial"/>
          <w:color w:val="404040" w:themeColor="background1" w:themeShade="40"/>
          <w:szCs w:val="24"/>
          <w:lang w:val="en-GB" w:eastAsia="en-GB"/>
        </w:rPr>
        <w:t>​…………………………</w:t>
      </w:r>
      <w:r w:rsidR="007C2428" w:rsidRPr="00F14E80">
        <w:rPr>
          <w:rFonts w:ascii="Arial" w:eastAsiaTheme="minorEastAsia" w:hAnsi="Arial" w:cs="Arial"/>
          <w:color w:val="404040" w:themeColor="background1" w:themeShade="40"/>
          <w:szCs w:val="24"/>
          <w:lang w:val="en-GB" w:eastAsia="en-GB"/>
        </w:rPr>
        <w:t>………………………………………</w:t>
      </w:r>
      <w:r w:rsidR="00A57710"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3</w:t>
      </w:r>
    </w:p>
    <w:p w14:paraId="05DDC127" w14:textId="77777777" w:rsidR="008C29B2" w:rsidRPr="00F14E80" w:rsidRDefault="008C29B2" w:rsidP="000F1B21">
      <w:pPr>
        <w:pStyle w:val="ListParagraph"/>
        <w:spacing w:after="0" w:line="324" w:lineRule="atLeast"/>
        <w:rPr>
          <w:rFonts w:ascii="Arial" w:eastAsiaTheme="minorEastAsia" w:hAnsi="Arial" w:cs="Arial"/>
          <w:color w:val="404040" w:themeColor="background1" w:themeShade="40"/>
          <w:szCs w:val="24"/>
          <w:lang w:val="en-GB" w:eastAsia="en-GB"/>
        </w:rPr>
      </w:pPr>
    </w:p>
    <w:p w14:paraId="41266360" w14:textId="69920FA6"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Global Context</w:t>
      </w:r>
      <w:r w:rsidR="0058483E" w:rsidRPr="00F14E80">
        <w:rPr>
          <w:rFonts w:ascii="Arial" w:eastAsiaTheme="minorEastAsia" w:hAnsi="Arial" w:cs="Arial"/>
          <w:color w:val="404040" w:themeColor="background1" w:themeShade="40"/>
          <w:szCs w:val="24"/>
          <w:lang w:val="en-GB" w:eastAsia="en-GB"/>
        </w:rPr>
        <w:t>​…………………………………</w:t>
      </w:r>
      <w:r w:rsidR="009243B2" w:rsidRPr="00F14E80">
        <w:rPr>
          <w:rFonts w:ascii="Arial" w:eastAsiaTheme="minorEastAsia" w:hAnsi="Arial" w:cs="Arial"/>
          <w:color w:val="404040" w:themeColor="background1" w:themeShade="40"/>
          <w:szCs w:val="24"/>
          <w:lang w:val="en-GB" w:eastAsia="en-GB"/>
        </w:rPr>
        <w:t>……………………………</w:t>
      </w:r>
      <w:r w:rsidR="003C292E"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3</w:t>
      </w:r>
      <w:r w:rsidR="00A34B7C" w:rsidRPr="00F14E80">
        <w:rPr>
          <w:rFonts w:ascii="Arial" w:eastAsiaTheme="minorEastAsia" w:hAnsi="Arial" w:cs="Arial"/>
          <w:color w:val="404040" w:themeColor="background1" w:themeShade="40"/>
          <w:szCs w:val="24"/>
          <w:lang w:val="en-GB" w:eastAsia="en-GB"/>
        </w:rPr>
        <w:t xml:space="preserve"> </w:t>
      </w:r>
    </w:p>
    <w:p w14:paraId="6EC3D367" w14:textId="77777777" w:rsidR="00A34B7C" w:rsidRPr="00F14E80" w:rsidRDefault="00A34B7C" w:rsidP="000F1B21">
      <w:pPr>
        <w:pStyle w:val="ListParagraph"/>
        <w:spacing w:after="0" w:line="324" w:lineRule="atLeast"/>
        <w:rPr>
          <w:rFonts w:ascii="Arial" w:eastAsiaTheme="minorEastAsia" w:hAnsi="Arial" w:cs="Arial"/>
          <w:color w:val="404040" w:themeColor="background1" w:themeShade="40"/>
          <w:szCs w:val="24"/>
          <w:lang w:val="en-GB" w:eastAsia="en-GB"/>
        </w:rPr>
      </w:pPr>
    </w:p>
    <w:p w14:paraId="78BF398E" w14:textId="7759284E"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National Context</w:t>
      </w:r>
      <w:r w:rsidR="009243B2" w:rsidRPr="00F14E80">
        <w:rPr>
          <w:rFonts w:ascii="Arial" w:eastAsiaTheme="minorEastAsia" w:hAnsi="Arial" w:cs="Arial"/>
          <w:color w:val="404040" w:themeColor="background1" w:themeShade="40"/>
          <w:szCs w:val="24"/>
          <w:lang w:val="en-GB" w:eastAsia="en-GB"/>
        </w:rPr>
        <w:t>​…………………………………………………………………</w:t>
      </w:r>
      <w:r w:rsidR="00BB7D06"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4</w:t>
      </w:r>
    </w:p>
    <w:p w14:paraId="3D300C6B" w14:textId="77777777" w:rsidR="00F17CF0" w:rsidRPr="00F14E80" w:rsidRDefault="00F17CF0" w:rsidP="000F1B21">
      <w:pPr>
        <w:pStyle w:val="ListParagraph"/>
        <w:spacing w:after="0" w:line="324" w:lineRule="atLeast"/>
        <w:rPr>
          <w:rFonts w:ascii="Arial" w:eastAsiaTheme="minorEastAsia" w:hAnsi="Arial" w:cs="Arial"/>
          <w:color w:val="404040" w:themeColor="background1" w:themeShade="40"/>
          <w:szCs w:val="24"/>
          <w:lang w:val="en-GB" w:eastAsia="en-GB"/>
        </w:rPr>
      </w:pPr>
    </w:p>
    <w:p w14:paraId="5B0FFB10" w14:textId="47BE918C"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Local Context</w:t>
      </w:r>
      <w:r w:rsidR="00BB7D06"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5</w:t>
      </w:r>
    </w:p>
    <w:p w14:paraId="7CB85C6C" w14:textId="77777777" w:rsidR="000A4546" w:rsidRPr="00F14E80" w:rsidRDefault="000A4546" w:rsidP="000F1B21">
      <w:pPr>
        <w:pStyle w:val="ListParagraph"/>
        <w:spacing w:after="0" w:line="324" w:lineRule="atLeast"/>
        <w:rPr>
          <w:rFonts w:ascii="Arial" w:eastAsiaTheme="minorEastAsia" w:hAnsi="Arial" w:cs="Arial"/>
          <w:color w:val="404040" w:themeColor="background1" w:themeShade="40"/>
          <w:szCs w:val="24"/>
          <w:lang w:val="en-GB" w:eastAsia="en-GB"/>
        </w:rPr>
      </w:pPr>
    </w:p>
    <w:p w14:paraId="0F1F8608" w14:textId="7039130E"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Recommendations</w:t>
      </w:r>
      <w:r w:rsidR="0058701F"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6</w:t>
      </w:r>
    </w:p>
    <w:p w14:paraId="45CF377E" w14:textId="77777777" w:rsidR="00DE47C1" w:rsidRPr="00F14E80" w:rsidRDefault="00DE47C1" w:rsidP="000F1B21">
      <w:pPr>
        <w:spacing w:after="0" w:line="324" w:lineRule="atLeast"/>
        <w:rPr>
          <w:rFonts w:ascii="Arial" w:eastAsiaTheme="minorEastAsia" w:hAnsi="Arial" w:cs="Arial"/>
          <w:color w:val="404040" w:themeColor="background1" w:themeShade="40"/>
          <w:szCs w:val="24"/>
          <w:lang w:val="en-GB" w:eastAsia="en-GB"/>
        </w:rPr>
      </w:pPr>
    </w:p>
    <w:p w14:paraId="4765A5FD" w14:textId="25DC2C33" w:rsidR="00D1791F" w:rsidRPr="00F14E80"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Conclusion</w:t>
      </w:r>
      <w:r w:rsidR="00B51634" w:rsidRPr="00F14E80">
        <w:rPr>
          <w:rFonts w:ascii="Arial" w:eastAsiaTheme="minorEastAsia" w:hAnsi="Arial" w:cs="Arial"/>
          <w:color w:val="404040" w:themeColor="background1" w:themeShade="40"/>
          <w:szCs w:val="24"/>
          <w:lang w:val="en-GB" w:eastAsia="en-GB"/>
        </w:rPr>
        <w:t>​……………………………………………………………………</w:t>
      </w:r>
      <w:r w:rsidR="001650A7" w:rsidRPr="00F14E80">
        <w:rPr>
          <w:rFonts w:ascii="Arial" w:eastAsiaTheme="minorEastAsia" w:hAnsi="Arial" w:cs="Arial"/>
          <w:color w:val="404040" w:themeColor="background1" w:themeShade="40"/>
          <w:szCs w:val="24"/>
          <w:lang w:val="en-GB" w:eastAsia="en-GB"/>
        </w:rPr>
        <w:t>……</w:t>
      </w:r>
      <w:r w:rsidRPr="00F14E80">
        <w:rPr>
          <w:rFonts w:ascii="Arial" w:eastAsiaTheme="minorEastAsia" w:hAnsi="Arial" w:cs="Arial"/>
          <w:color w:val="404040" w:themeColor="background1" w:themeShade="40"/>
          <w:szCs w:val="24"/>
          <w:lang w:val="en-GB" w:eastAsia="en-GB"/>
        </w:rPr>
        <w:t>7</w:t>
      </w:r>
    </w:p>
    <w:p w14:paraId="7EA6831E" w14:textId="77777777" w:rsidR="00DE47C1" w:rsidRPr="00F14E80" w:rsidRDefault="00DE47C1" w:rsidP="000F1B21">
      <w:pPr>
        <w:pStyle w:val="ListParagraph"/>
        <w:spacing w:after="0" w:line="324" w:lineRule="atLeast"/>
        <w:rPr>
          <w:rFonts w:ascii="Arial" w:eastAsiaTheme="minorEastAsia" w:hAnsi="Arial" w:cs="Arial"/>
          <w:color w:val="404040" w:themeColor="background1" w:themeShade="40"/>
          <w:szCs w:val="24"/>
          <w:lang w:val="en-GB" w:eastAsia="en-GB"/>
        </w:rPr>
      </w:pPr>
    </w:p>
    <w:p w14:paraId="219DC6E2" w14:textId="0E619298" w:rsidR="00D1791F" w:rsidRPr="000F1B21" w:rsidRDefault="00D1791F" w:rsidP="000F1B21">
      <w:pPr>
        <w:spacing w:after="0" w:line="324" w:lineRule="atLeast"/>
        <w:ind w:left="360"/>
        <w:rPr>
          <w:rFonts w:ascii="Arial" w:eastAsiaTheme="minorEastAsia" w:hAnsi="Arial" w:cs="Arial"/>
          <w:color w:val="404040" w:themeColor="background1" w:themeShade="40"/>
          <w:szCs w:val="24"/>
          <w:lang w:val="en-GB" w:eastAsia="en-GB"/>
        </w:rPr>
      </w:pPr>
      <w:r w:rsidRPr="00F14E80">
        <w:rPr>
          <w:rFonts w:ascii="Arial" w:eastAsiaTheme="minorEastAsia" w:hAnsi="Arial" w:cs="Arial"/>
          <w:color w:val="404040" w:themeColor="background1" w:themeShade="40"/>
          <w:szCs w:val="24"/>
          <w:lang w:val="en-GB" w:eastAsia="en-GB"/>
        </w:rPr>
        <w:t>References</w:t>
      </w:r>
      <w:r w:rsidR="00AA797A" w:rsidRPr="00F14E80">
        <w:rPr>
          <w:rFonts w:ascii="Arial" w:eastAsiaTheme="minorEastAsia" w:hAnsi="Arial" w:cs="Arial"/>
          <w:color w:val="404040" w:themeColor="background1" w:themeShade="40"/>
          <w:szCs w:val="24"/>
          <w:lang w:val="en-GB" w:eastAsia="en-GB"/>
        </w:rPr>
        <w:t>​…</w:t>
      </w:r>
      <w:r w:rsidR="00AA797A" w:rsidRPr="000F1B21">
        <w:rPr>
          <w:rFonts w:ascii="Arial" w:eastAsiaTheme="minorEastAsia" w:hAnsi="Arial" w:cs="Arial"/>
          <w:color w:val="404040" w:themeColor="background1" w:themeShade="40"/>
          <w:szCs w:val="24"/>
          <w:lang w:val="en-GB" w:eastAsia="en-GB"/>
        </w:rPr>
        <w:t>………………………………</w:t>
      </w:r>
      <w:r w:rsidR="00FD7876" w:rsidRPr="000F1B21">
        <w:rPr>
          <w:rFonts w:ascii="Arial" w:eastAsiaTheme="minorEastAsia" w:hAnsi="Arial" w:cs="Arial"/>
          <w:color w:val="404040" w:themeColor="background1" w:themeShade="40"/>
          <w:szCs w:val="24"/>
          <w:lang w:val="en-GB" w:eastAsia="en-GB"/>
        </w:rPr>
        <w:t>………………………………………</w:t>
      </w:r>
      <w:r w:rsidRPr="000F1B21">
        <w:rPr>
          <w:rFonts w:ascii="Arial" w:eastAsiaTheme="minorEastAsia" w:hAnsi="Arial" w:cs="Arial"/>
          <w:color w:val="404040" w:themeColor="background1" w:themeShade="40"/>
          <w:szCs w:val="24"/>
          <w:lang w:val="en-GB" w:eastAsia="en-GB"/>
        </w:rPr>
        <w:t>8</w:t>
      </w:r>
    </w:p>
    <w:p w14:paraId="12A924AF" w14:textId="77777777" w:rsidR="00153C7A" w:rsidRDefault="00153C7A" w:rsidP="00153C7A">
      <w:pPr>
        <w:jc w:val="center"/>
        <w:rPr>
          <w:b/>
        </w:rPr>
      </w:pPr>
    </w:p>
    <w:p w14:paraId="7DF10FE2" w14:textId="77777777" w:rsidR="00153C7A" w:rsidRDefault="00153C7A" w:rsidP="00153C7A">
      <w:pPr>
        <w:jc w:val="center"/>
        <w:rPr>
          <w:b/>
        </w:rPr>
      </w:pPr>
    </w:p>
    <w:p w14:paraId="44847D05" w14:textId="77777777" w:rsidR="0014724B" w:rsidRDefault="0014724B" w:rsidP="0014724B">
      <w:pPr>
        <w:rPr>
          <w:b/>
        </w:rPr>
      </w:pPr>
    </w:p>
    <w:p w14:paraId="1B717101" w14:textId="421805E5" w:rsidR="00153C7A" w:rsidRPr="00153C7A" w:rsidRDefault="0061422E" w:rsidP="0014724B">
      <w:pPr>
        <w:rPr>
          <w:b/>
        </w:rPr>
      </w:pPr>
      <w:r>
        <w:rPr>
          <w:b/>
        </w:rPr>
        <w:t xml:space="preserve">                      </w:t>
      </w:r>
      <w:r w:rsidR="00153C7A" w:rsidRPr="00153C7A">
        <w:rPr>
          <w:b/>
        </w:rPr>
        <w:br w:type="page"/>
      </w:r>
    </w:p>
    <w:p w14:paraId="6B015B0E" w14:textId="00E29F3C" w:rsidR="00153C7A" w:rsidRPr="00352A21" w:rsidRDefault="00153C7A" w:rsidP="00352A21">
      <w:pPr>
        <w:pStyle w:val="TOCHeading"/>
        <w:jc w:val="center"/>
        <w:rPr>
          <w:rFonts w:ascii="Times New Roman" w:hAnsi="Times New Roman" w:cs="Times New Roman"/>
          <w:b/>
          <w:color w:val="000000" w:themeColor="text1"/>
          <w:sz w:val="24"/>
        </w:rPr>
      </w:pPr>
    </w:p>
    <w:p w14:paraId="2E0F1675" w14:textId="77777777" w:rsidR="001F189A" w:rsidRPr="001F189A" w:rsidRDefault="00153C7A" w:rsidP="00153C7A">
      <w:pPr>
        <w:pStyle w:val="Heading1"/>
        <w:rPr>
          <w:rFonts w:eastAsia="Times New Roman"/>
        </w:rPr>
      </w:pPr>
      <w:bookmarkStart w:id="0" w:name="_Toc236386942"/>
      <w:r>
        <w:rPr>
          <w:rFonts w:eastAsia="Times New Roman"/>
        </w:rPr>
        <w:t xml:space="preserve">1. </w:t>
      </w:r>
      <w:r w:rsidR="001F189A" w:rsidRPr="001F189A">
        <w:rPr>
          <w:rFonts w:eastAsia="Times New Roman"/>
        </w:rPr>
        <w:t>Introduc</w:t>
      </w:r>
      <w:r>
        <w:rPr>
          <w:rFonts w:eastAsia="Times New Roman"/>
        </w:rPr>
        <w:t>tion</w:t>
      </w:r>
      <w:bookmarkEnd w:id="0"/>
    </w:p>
    <w:p w14:paraId="13DD4F6A" w14:textId="77777777" w:rsidR="001F189A" w:rsidRPr="001F189A" w:rsidRDefault="00410C5F" w:rsidP="00153C7A">
      <w:pPr>
        <w:rPr>
          <w:szCs w:val="24"/>
        </w:rPr>
      </w:pPr>
      <w:r w:rsidRPr="00410C5F">
        <w:rPr>
          <w:szCs w:val="24"/>
        </w:rPr>
        <w:t xml:space="preserve">This report will discuss the impact of SDG 3: Good Health and Wellbeing and SDG 2: Zero Hunger on </w:t>
      </w:r>
      <w:r w:rsidR="00153C7A">
        <w:rPr>
          <w:szCs w:val="24"/>
        </w:rPr>
        <w:t xml:space="preserve">citizens in countries around the world and in </w:t>
      </w:r>
      <w:r w:rsidRPr="00410C5F">
        <w:rPr>
          <w:szCs w:val="24"/>
        </w:rPr>
        <w:t xml:space="preserve">the UK. The two objectives are inextricably linked: without safe access to healthy food, their health will </w:t>
      </w:r>
      <w:r w:rsidR="00153C7A">
        <w:rPr>
          <w:szCs w:val="24"/>
        </w:rPr>
        <w:t xml:space="preserve">worsen; without well-developed health systems, </w:t>
      </w:r>
      <w:r w:rsidRPr="00410C5F">
        <w:rPr>
          <w:szCs w:val="24"/>
        </w:rPr>
        <w:t>hunger an</w:t>
      </w:r>
      <w:r w:rsidR="00153C7A">
        <w:rPr>
          <w:szCs w:val="24"/>
        </w:rPr>
        <w:t xml:space="preserve">d poverty will increase. </w:t>
      </w:r>
      <w:r w:rsidRPr="00410C5F">
        <w:rPr>
          <w:szCs w:val="24"/>
        </w:rPr>
        <w:t>Development is not even around the world. The U</w:t>
      </w:r>
      <w:r w:rsidR="00153C7A">
        <w:rPr>
          <w:szCs w:val="24"/>
        </w:rPr>
        <w:t xml:space="preserve">nited </w:t>
      </w:r>
      <w:r w:rsidRPr="00410C5F">
        <w:rPr>
          <w:szCs w:val="24"/>
        </w:rPr>
        <w:t>N</w:t>
      </w:r>
      <w:r w:rsidR="00153C7A">
        <w:rPr>
          <w:szCs w:val="24"/>
        </w:rPr>
        <w:t>ations</w:t>
      </w:r>
      <w:r w:rsidRPr="00410C5F">
        <w:rPr>
          <w:szCs w:val="24"/>
        </w:rPr>
        <w:t xml:space="preserve"> demonstrates that hunger is still prevalent, and health disparities are growing bigger (United Natio</w:t>
      </w:r>
      <w:r w:rsidR="00153C7A">
        <w:rPr>
          <w:szCs w:val="24"/>
        </w:rPr>
        <w:t>ns, 2025a</w:t>
      </w:r>
      <w:r w:rsidRPr="00410C5F">
        <w:rPr>
          <w:szCs w:val="24"/>
        </w:rPr>
        <w:t xml:space="preserve">). The food insecurity situation in the UK has escalated dramatically, with several </w:t>
      </w:r>
      <w:r w:rsidR="00153C7A">
        <w:rPr>
          <w:szCs w:val="24"/>
        </w:rPr>
        <w:t>million</w:t>
      </w:r>
      <w:r w:rsidRPr="00410C5F">
        <w:rPr>
          <w:szCs w:val="24"/>
        </w:rPr>
        <w:t xml:space="preserve"> households u</w:t>
      </w:r>
      <w:r w:rsidR="00153C7A">
        <w:rPr>
          <w:szCs w:val="24"/>
        </w:rPr>
        <w:t>nable to afford healthy food (</w:t>
      </w:r>
      <w:r w:rsidRPr="00410C5F">
        <w:rPr>
          <w:szCs w:val="24"/>
        </w:rPr>
        <w:t>Loopstra et al., 2019). This has a direct effect on wellbeing</w:t>
      </w:r>
      <w:r w:rsidR="00153C7A">
        <w:rPr>
          <w:szCs w:val="24"/>
        </w:rPr>
        <w:t>,</w:t>
      </w:r>
      <w:r w:rsidRPr="00410C5F">
        <w:rPr>
          <w:szCs w:val="24"/>
        </w:rPr>
        <w:t xml:space="preserve"> causing chronic disease and mental health issu</w:t>
      </w:r>
      <w:r w:rsidR="00153C7A">
        <w:rPr>
          <w:szCs w:val="24"/>
        </w:rPr>
        <w:t xml:space="preserve">es (Pourmotabbed et al., 2020). </w:t>
      </w:r>
      <w:r w:rsidRPr="00410C5F">
        <w:rPr>
          <w:szCs w:val="24"/>
        </w:rPr>
        <w:t>According to the Trussell Trust, a quarter of the population, three million children included, is now hungry (Weekes et al., 2024). Meanwhile, the Health Foundation estimates that nearly one out of five adults will be living with major illness by the year 2040, which will exert a tremendous burden on the NHS (The Health Foundation, 2023). These results demonstrate why SDG 2 and SDG 3 need to be researched as a pair. Addressing hunger enhances health and addressing health disparities lowers hunger.</w:t>
      </w:r>
    </w:p>
    <w:p w14:paraId="2C3C3EDF" w14:textId="0D0A36EF" w:rsidR="001F189A" w:rsidRPr="001F189A" w:rsidRDefault="00153C7A" w:rsidP="00153C7A">
      <w:pPr>
        <w:pStyle w:val="Heading1"/>
        <w:rPr>
          <w:rFonts w:eastAsia="Times New Roman"/>
        </w:rPr>
      </w:pPr>
      <w:bookmarkStart w:id="1" w:name="_Toc236386943"/>
      <w:r>
        <w:rPr>
          <w:rFonts w:eastAsia="Times New Roman"/>
        </w:rPr>
        <w:t>2. Global Contex</w:t>
      </w:r>
      <w:bookmarkEnd w:id="1"/>
      <w:r w:rsidR="00771BC6">
        <w:rPr>
          <w:rFonts w:eastAsia="Times New Roman"/>
        </w:rPr>
        <w:t>t</w:t>
      </w:r>
    </w:p>
    <w:p w14:paraId="1E44AEAE" w14:textId="6F2297AD" w:rsidR="00153C7A" w:rsidRDefault="00410C5F" w:rsidP="00153C7A">
      <w:pPr>
        <w:rPr>
          <w:szCs w:val="24"/>
        </w:rPr>
      </w:pPr>
      <w:r w:rsidRPr="00410C5F">
        <w:rPr>
          <w:szCs w:val="24"/>
        </w:rPr>
        <w:t xml:space="preserve">Hunger and poor health are some of the global issues that are pressing and directly impact SDG 2 and SDG 3. According to the FAO (2026), in 2023, there were 735 million undernourished people, and climate change, conflict, and economic shocks led to food insecurity. As UNICEF (2023) </w:t>
      </w:r>
      <w:r w:rsidR="00153C7A">
        <w:rPr>
          <w:szCs w:val="24"/>
        </w:rPr>
        <w:t>emphasises</w:t>
      </w:r>
      <w:r w:rsidRPr="00410C5F">
        <w:rPr>
          <w:szCs w:val="24"/>
        </w:rPr>
        <w:t>, 45 million children under five are wasted</w:t>
      </w:r>
      <w:r w:rsidR="00153C7A">
        <w:rPr>
          <w:szCs w:val="24"/>
        </w:rPr>
        <w:t>,</w:t>
      </w:r>
      <w:r w:rsidRPr="00410C5F">
        <w:rPr>
          <w:szCs w:val="24"/>
        </w:rPr>
        <w:t xml:space="preserve"> and 148 million are stunted</w:t>
      </w:r>
      <w:r w:rsidR="00153C7A">
        <w:rPr>
          <w:szCs w:val="24"/>
        </w:rPr>
        <w:t>;</w:t>
      </w:r>
      <w:r w:rsidRPr="00410C5F">
        <w:rPr>
          <w:szCs w:val="24"/>
        </w:rPr>
        <w:t xml:space="preserve"> malnutrition is a blow to child development, education, and future health. Such nutrition deficiencies undermine immunity, predispose people to diseases and lower life expectancy, complicating the ac</w:t>
      </w:r>
      <w:r>
        <w:rPr>
          <w:szCs w:val="24"/>
        </w:rPr>
        <w:t xml:space="preserve">hievement of </w:t>
      </w:r>
      <w:r w:rsidR="008D579A">
        <w:rPr>
          <w:szCs w:val="24"/>
        </w:rPr>
        <w:t>healthy</w:t>
      </w:r>
      <w:r>
        <w:rPr>
          <w:szCs w:val="24"/>
        </w:rPr>
        <w:t xml:space="preserve"> objectives.</w:t>
      </w:r>
      <w:r w:rsidR="00153C7A">
        <w:rPr>
          <w:szCs w:val="24"/>
        </w:rPr>
        <w:t xml:space="preserve"> </w:t>
      </w:r>
      <w:r w:rsidRPr="00410C5F">
        <w:rPr>
          <w:szCs w:val="24"/>
        </w:rPr>
        <w:t xml:space="preserve">According to WHO data, child mortality has decreased, but non-communicable diseases (NCDs), including diabetes, cancer, and cardiovascular illness, are on the increase, which is often associated with unhealthy diets and obesity (WHO, 2021; WHO, 2023). This change has placed a twofold burden on health systems as they not only have to deal with infectious diseases but also with diet-related chronic diseases. The 2025 SDG progress report by the UN warns that only 35 </w:t>
      </w:r>
      <w:r w:rsidR="00153C7A">
        <w:rPr>
          <w:szCs w:val="24"/>
        </w:rPr>
        <w:t>per cent</w:t>
      </w:r>
      <w:r w:rsidRPr="00410C5F">
        <w:rPr>
          <w:szCs w:val="24"/>
        </w:rPr>
        <w:t xml:space="preserve"> of the targets are being met and SDG 2 and SDG 3 are some of the ones that are retrogressive </w:t>
      </w:r>
      <w:r>
        <w:rPr>
          <w:szCs w:val="24"/>
        </w:rPr>
        <w:t>(United Nations, 2025b).</w:t>
      </w:r>
      <w:r w:rsidR="00153C7A">
        <w:rPr>
          <w:szCs w:val="24"/>
        </w:rPr>
        <w:t xml:space="preserve"> </w:t>
      </w:r>
    </w:p>
    <w:p w14:paraId="4BEE0F7E" w14:textId="77777777" w:rsidR="001F189A" w:rsidRPr="001F189A" w:rsidRDefault="00410C5F" w:rsidP="00153C7A">
      <w:pPr>
        <w:rPr>
          <w:szCs w:val="24"/>
        </w:rPr>
      </w:pPr>
      <w:r w:rsidRPr="00410C5F">
        <w:rPr>
          <w:szCs w:val="24"/>
        </w:rPr>
        <w:lastRenderedPageBreak/>
        <w:t xml:space="preserve">Mental health is also impacted by food insecurity. One systematic review has discovered that individuals who lack access to food </w:t>
      </w:r>
      <w:r w:rsidR="00153C7A">
        <w:rPr>
          <w:szCs w:val="24"/>
        </w:rPr>
        <w:t>security</w:t>
      </w:r>
      <w:r w:rsidRPr="00410C5F">
        <w:rPr>
          <w:szCs w:val="24"/>
        </w:rPr>
        <w:t xml:space="preserve"> are more vulnerable to depression and stress (Pourmotabbed et al., 2020). This demonstrates the relationship between hunger and health: unhealthy eating makes the body weaker and causes mental stress, decreasing</w:t>
      </w:r>
      <w:r w:rsidR="00153C7A">
        <w:rPr>
          <w:szCs w:val="24"/>
        </w:rPr>
        <w:t xml:space="preserve"> productivity and life quality. </w:t>
      </w:r>
      <w:r w:rsidRPr="00410C5F">
        <w:rPr>
          <w:szCs w:val="24"/>
        </w:rPr>
        <w:t>Policies around the world have attempted to react. Universal Health Coverage is designed to increase coverage and access to healthcare</w:t>
      </w:r>
      <w:r w:rsidR="00153C7A">
        <w:rPr>
          <w:szCs w:val="24"/>
        </w:rPr>
        <w:t>,</w:t>
      </w:r>
      <w:r w:rsidRPr="00410C5F">
        <w:rPr>
          <w:szCs w:val="24"/>
        </w:rPr>
        <w:t xml:space="preserve"> whereas Nutrition for Growth intends to address malnutrition. These efforts have delivered some gains</w:t>
      </w:r>
      <w:r w:rsidR="00153C7A">
        <w:rPr>
          <w:szCs w:val="24"/>
        </w:rPr>
        <w:t>,</w:t>
      </w:r>
      <w:r w:rsidRPr="00410C5F">
        <w:rPr>
          <w:szCs w:val="24"/>
        </w:rPr>
        <w:t xml:space="preserve"> yet deficiencies in funding and disjointed delivery to some extent restrict their effectiveness (WHO, 2021; FAO, 2026). As an example, child mortality has been decreased through vaccination campaigns</w:t>
      </w:r>
      <w:r w:rsidR="00153C7A">
        <w:rPr>
          <w:szCs w:val="24"/>
        </w:rPr>
        <w:t>,</w:t>
      </w:r>
      <w:r w:rsidRPr="00410C5F">
        <w:rPr>
          <w:szCs w:val="24"/>
        </w:rPr>
        <w:t xml:space="preserve"> yet millions of children are not getting basic food,</w:t>
      </w:r>
      <w:r>
        <w:rPr>
          <w:szCs w:val="24"/>
        </w:rPr>
        <w:t xml:space="preserve"> making such achievements null.</w:t>
      </w:r>
      <w:r w:rsidR="00153C7A">
        <w:rPr>
          <w:szCs w:val="24"/>
        </w:rPr>
        <w:t xml:space="preserve"> </w:t>
      </w:r>
      <w:r w:rsidRPr="00410C5F">
        <w:rPr>
          <w:szCs w:val="24"/>
        </w:rPr>
        <w:t>The U</w:t>
      </w:r>
      <w:r>
        <w:rPr>
          <w:szCs w:val="24"/>
        </w:rPr>
        <w:t xml:space="preserve">nited </w:t>
      </w:r>
      <w:r w:rsidR="00153C7A">
        <w:rPr>
          <w:szCs w:val="24"/>
        </w:rPr>
        <w:t>Nations</w:t>
      </w:r>
      <w:r w:rsidRPr="00410C5F">
        <w:rPr>
          <w:szCs w:val="24"/>
        </w:rPr>
        <w:t xml:space="preserve"> (2025a) </w:t>
      </w:r>
      <w:r w:rsidR="00153C7A">
        <w:rPr>
          <w:szCs w:val="24"/>
        </w:rPr>
        <w:t>emphasises</w:t>
      </w:r>
      <w:r w:rsidRPr="00410C5F">
        <w:rPr>
          <w:szCs w:val="24"/>
        </w:rPr>
        <w:t xml:space="preserve"> that health systems and food systems need to collaborate. Addressing hunger needs </w:t>
      </w:r>
      <w:r w:rsidR="00153C7A">
        <w:rPr>
          <w:szCs w:val="24"/>
        </w:rPr>
        <w:t xml:space="preserve">a </w:t>
      </w:r>
      <w:r w:rsidRPr="00410C5F">
        <w:rPr>
          <w:szCs w:val="24"/>
        </w:rPr>
        <w:t xml:space="preserve">strong food chain, climate-sensitive agriculture and social protection. Addressing health inequalities requires better health systems where nutrition is incorporated in prevention and treatment. Unless the two are tackled collectively, </w:t>
      </w:r>
      <w:r>
        <w:rPr>
          <w:szCs w:val="24"/>
        </w:rPr>
        <w:t>there will be no more progress.</w:t>
      </w:r>
      <w:r w:rsidR="00153C7A">
        <w:rPr>
          <w:szCs w:val="24"/>
        </w:rPr>
        <w:t xml:space="preserve"> </w:t>
      </w:r>
      <w:r w:rsidRPr="00410C5F">
        <w:rPr>
          <w:szCs w:val="24"/>
        </w:rPr>
        <w:t>This international data preconditions the analysis of the UK national and local situation, where we can observe the same problems of inequality and austerity and increasing demand.</w:t>
      </w:r>
    </w:p>
    <w:p w14:paraId="06D53D27" w14:textId="77777777" w:rsidR="001F189A" w:rsidRPr="001F189A" w:rsidRDefault="00153C7A" w:rsidP="00153C7A">
      <w:pPr>
        <w:pStyle w:val="Heading1"/>
        <w:rPr>
          <w:rFonts w:eastAsia="Times New Roman"/>
        </w:rPr>
      </w:pPr>
      <w:bookmarkStart w:id="2" w:name="_Toc236386944"/>
      <w:r>
        <w:rPr>
          <w:rFonts w:eastAsia="Times New Roman"/>
        </w:rPr>
        <w:t xml:space="preserve">3. </w:t>
      </w:r>
      <w:r w:rsidR="001F189A" w:rsidRPr="001F189A">
        <w:rPr>
          <w:rFonts w:eastAsia="Times New Roman"/>
        </w:rPr>
        <w:t>Nat</w:t>
      </w:r>
      <w:r>
        <w:rPr>
          <w:rFonts w:eastAsia="Times New Roman"/>
        </w:rPr>
        <w:t>ional Context</w:t>
      </w:r>
      <w:bookmarkEnd w:id="2"/>
    </w:p>
    <w:p w14:paraId="3D97B59E" w14:textId="77777777" w:rsidR="00153C7A" w:rsidRDefault="00410C5F" w:rsidP="00153C7A">
      <w:pPr>
        <w:rPr>
          <w:szCs w:val="24"/>
        </w:rPr>
      </w:pPr>
      <w:r w:rsidRPr="00410C5F">
        <w:rPr>
          <w:szCs w:val="24"/>
        </w:rPr>
        <w:t xml:space="preserve">Food insecurity in the UK has been a critical and increasing issue. In the 2023 Food Security Report of DEFRA, one out of six households reported food insecurity, i.e., they could not afford or access sufficient food. With long-term evidence, Loopstra et al. (2019) state that the most vulnerable group is low-income families, as food insecurity has been increasing since 2004. The Trussell Trust Cost of Hunger and Hardship Interim Report (Weekes et al., 2024) </w:t>
      </w:r>
      <w:r w:rsidR="00153C7A">
        <w:rPr>
          <w:szCs w:val="24"/>
        </w:rPr>
        <w:t>emphasises</w:t>
      </w:r>
      <w:r w:rsidRPr="00410C5F">
        <w:rPr>
          <w:szCs w:val="24"/>
        </w:rPr>
        <w:t xml:space="preserve"> hunger and hardship among 9.3 million people, out of which 3 million are children. This is one out of seven citizens</w:t>
      </w:r>
      <w:r w:rsidR="00153C7A">
        <w:rPr>
          <w:szCs w:val="24"/>
        </w:rPr>
        <w:t>,</w:t>
      </w:r>
      <w:r w:rsidRPr="00410C5F">
        <w:rPr>
          <w:szCs w:val="24"/>
        </w:rPr>
        <w:t xml:space="preserve"> indicati</w:t>
      </w:r>
      <w:r>
        <w:rPr>
          <w:szCs w:val="24"/>
        </w:rPr>
        <w:t>ng the magnitude of the crisis.</w:t>
      </w:r>
      <w:r w:rsidR="00153C7A">
        <w:rPr>
          <w:szCs w:val="24"/>
        </w:rPr>
        <w:t xml:space="preserve"> </w:t>
      </w:r>
      <w:r w:rsidRPr="00410C5F">
        <w:rPr>
          <w:szCs w:val="24"/>
        </w:rPr>
        <w:t>Hunger has a direct negative health impact. Unhealthy eating leads to obesity, diabetes, and heart disease and exacerbates mental health</w:t>
      </w:r>
      <w:r w:rsidR="00153C7A">
        <w:rPr>
          <w:szCs w:val="24"/>
        </w:rPr>
        <w:t xml:space="preserve"> issues</w:t>
      </w:r>
      <w:r w:rsidRPr="00410C5F">
        <w:rPr>
          <w:szCs w:val="24"/>
        </w:rPr>
        <w:t xml:space="preserve">. Pourmotabbed et al. (2020) discovered that food insecurity poses a risk of depression and stress. Marmot (2020) demonstrates that the disparities in health have increased, and life expectancy has not only stopped but started to decrease even in the deprived population. These results show the interconnection between SDG 2 and SDG 3: food insecurity exacerbates health conditions, whereas </w:t>
      </w:r>
      <w:r>
        <w:rPr>
          <w:szCs w:val="24"/>
        </w:rPr>
        <w:t>ill health exacerbates poverty.</w:t>
      </w:r>
      <w:r w:rsidR="00153C7A">
        <w:rPr>
          <w:szCs w:val="24"/>
        </w:rPr>
        <w:t xml:space="preserve"> </w:t>
      </w:r>
    </w:p>
    <w:p w14:paraId="001F4DF0" w14:textId="77777777" w:rsidR="00153C7A" w:rsidRDefault="00410C5F" w:rsidP="00153C7A">
      <w:pPr>
        <w:rPr>
          <w:szCs w:val="24"/>
        </w:rPr>
      </w:pPr>
      <w:r w:rsidRPr="00410C5F">
        <w:rPr>
          <w:szCs w:val="24"/>
        </w:rPr>
        <w:lastRenderedPageBreak/>
        <w:t xml:space="preserve">NHS Long Term Plan (2019) focuses on prevention and community care in an attempt to </w:t>
      </w:r>
      <w:r w:rsidR="00153C7A">
        <w:rPr>
          <w:szCs w:val="24"/>
        </w:rPr>
        <w:t>minimise</w:t>
      </w:r>
      <w:r w:rsidRPr="00410C5F">
        <w:rPr>
          <w:szCs w:val="24"/>
        </w:rPr>
        <w:t xml:space="preserve"> the use of hospitals. But the Health Foundation (2023) estimates that in 2040, </w:t>
      </w:r>
      <w:r w:rsidR="00153C7A">
        <w:rPr>
          <w:szCs w:val="24"/>
        </w:rPr>
        <w:t>there</w:t>
      </w:r>
      <w:r w:rsidRPr="00410C5F">
        <w:rPr>
          <w:szCs w:val="24"/>
        </w:rPr>
        <w:t xml:space="preserve"> will be 9.1 million adults with major illness, a 2.5 million rise </w:t>
      </w:r>
      <w:r w:rsidR="00153C7A">
        <w:rPr>
          <w:szCs w:val="24"/>
        </w:rPr>
        <w:t>from</w:t>
      </w:r>
      <w:r w:rsidRPr="00410C5F">
        <w:rPr>
          <w:szCs w:val="24"/>
        </w:rPr>
        <w:t xml:space="preserve"> 2019. The majority of this increase will be in older adults, although working-age groups are not immune, which decreases productivity and demands more healthcare. Bambra et al. (2020) point out that COVID-19 increased these disparities, forming a so-called syndemic, in which chronic disease, poverty, and infection inter</w:t>
      </w:r>
      <w:r w:rsidR="00153C7A">
        <w:rPr>
          <w:szCs w:val="24"/>
        </w:rPr>
        <w:t xml:space="preserve">act, exacerbating the outcomes. </w:t>
      </w:r>
      <w:r w:rsidRPr="00410C5F">
        <w:rPr>
          <w:szCs w:val="24"/>
        </w:rPr>
        <w:t>In a 2024 inquiry of SDG 2, UK Parliament found that action by the government is still very fragmented, and declines in foreign aid are weakening global leadership (UK Parliament, 2024). Domestically, there is some relief in domestic policies like Healthy Start vouchers and free school meals, but it is only partly covered and leaves a large number of families out. Indicatively, Healthy Start vouchers are limited to specific income levels</w:t>
      </w:r>
      <w:r w:rsidR="00153C7A">
        <w:rPr>
          <w:szCs w:val="24"/>
        </w:rPr>
        <w:t>,</w:t>
      </w:r>
      <w:r w:rsidRPr="00410C5F">
        <w:rPr>
          <w:szCs w:val="24"/>
        </w:rPr>
        <w:t xml:space="preserve"> and this leaves many struggling households without any assistance. Free meal programs are not universal, which means that low-income families that do not qualify still have ch</w:t>
      </w:r>
      <w:r>
        <w:rPr>
          <w:szCs w:val="24"/>
        </w:rPr>
        <w:t>ildren at risk of being hungry.</w:t>
      </w:r>
      <w:r w:rsidR="00153C7A">
        <w:rPr>
          <w:szCs w:val="24"/>
        </w:rPr>
        <w:t xml:space="preserve"> </w:t>
      </w:r>
    </w:p>
    <w:p w14:paraId="4BFD9401" w14:textId="77777777" w:rsidR="001F189A" w:rsidRPr="001F189A" w:rsidRDefault="00410C5F" w:rsidP="00153C7A">
      <w:pPr>
        <w:rPr>
          <w:szCs w:val="24"/>
        </w:rPr>
      </w:pPr>
      <w:r w:rsidRPr="00410C5F">
        <w:rPr>
          <w:szCs w:val="24"/>
        </w:rPr>
        <w:t xml:space="preserve">Essentials Guarantee, the proposal of the Trussell Trust, would make Universal Credit </w:t>
      </w:r>
      <w:r w:rsidR="00153C7A">
        <w:rPr>
          <w:szCs w:val="24"/>
        </w:rPr>
        <w:t>provide</w:t>
      </w:r>
      <w:r w:rsidRPr="00410C5F">
        <w:rPr>
          <w:szCs w:val="24"/>
        </w:rPr>
        <w:t xml:space="preserve"> sufficient income to </w:t>
      </w:r>
      <w:r w:rsidR="00153C7A">
        <w:rPr>
          <w:szCs w:val="24"/>
        </w:rPr>
        <w:t>cover</w:t>
      </w:r>
      <w:r w:rsidRPr="00410C5F">
        <w:rPr>
          <w:szCs w:val="24"/>
        </w:rPr>
        <w:t xml:space="preserve"> basic needs and decrease hunger in 1.9 million individuals (Weekes et al., 2024). This policy would also directly correlate social security to food security</w:t>
      </w:r>
      <w:r w:rsidR="00153C7A">
        <w:rPr>
          <w:szCs w:val="24"/>
        </w:rPr>
        <w:t>,</w:t>
      </w:r>
      <w:r w:rsidRPr="00410C5F">
        <w:rPr>
          <w:szCs w:val="24"/>
        </w:rPr>
        <w:t xml:space="preserve"> and one of the causes of hunger would be addressed. But it takes political will and long-term fi</w:t>
      </w:r>
      <w:r>
        <w:rPr>
          <w:szCs w:val="24"/>
        </w:rPr>
        <w:t>nances.</w:t>
      </w:r>
      <w:r w:rsidR="00153C7A">
        <w:rPr>
          <w:szCs w:val="24"/>
        </w:rPr>
        <w:t xml:space="preserve"> </w:t>
      </w:r>
      <w:r w:rsidRPr="00410C5F">
        <w:rPr>
          <w:szCs w:val="24"/>
        </w:rPr>
        <w:t>On the whole, the national evidence indicates that health and hunger are indivisible issues in the UK. Poor health is caused by food insecurity</w:t>
      </w:r>
      <w:r w:rsidR="00153C7A">
        <w:rPr>
          <w:szCs w:val="24"/>
        </w:rPr>
        <w:t>,</w:t>
      </w:r>
      <w:r w:rsidRPr="00410C5F">
        <w:rPr>
          <w:szCs w:val="24"/>
        </w:rPr>
        <w:t xml:space="preserve"> and ill health lowers employability and increases poverty. The existing policies are partially supportive, but not integrated and broad-based. The UK will find it difficult to achieve SDG 2 and SDG 3 without a more concerted effort that moves beyond nutrition and healthcare, which is joined. Addressing these challenges means not just increasing the size and scope of current programmes, but also making food security a central component of health policy, making nutrition a core component of wellbeing.</w:t>
      </w:r>
    </w:p>
    <w:p w14:paraId="5A23BD75" w14:textId="77777777" w:rsidR="001F189A" w:rsidRPr="001F189A" w:rsidRDefault="00153C7A" w:rsidP="00153C7A">
      <w:pPr>
        <w:pStyle w:val="Heading1"/>
        <w:rPr>
          <w:rFonts w:eastAsia="Times New Roman"/>
        </w:rPr>
      </w:pPr>
      <w:bookmarkStart w:id="3" w:name="_Toc236386945"/>
      <w:r>
        <w:rPr>
          <w:rFonts w:eastAsia="Times New Roman"/>
        </w:rPr>
        <w:t>4. Local Context</w:t>
      </w:r>
      <w:bookmarkEnd w:id="3"/>
    </w:p>
    <w:p w14:paraId="28282A97" w14:textId="77777777" w:rsidR="00153C7A" w:rsidRDefault="00410C5F" w:rsidP="00153C7A">
      <w:pPr>
        <w:rPr>
          <w:szCs w:val="24"/>
        </w:rPr>
      </w:pPr>
      <w:r w:rsidRPr="00410C5F">
        <w:rPr>
          <w:szCs w:val="24"/>
        </w:rPr>
        <w:t xml:space="preserve">Community efforts at the local level play </w:t>
      </w:r>
      <w:r w:rsidR="00153C7A">
        <w:rPr>
          <w:szCs w:val="24"/>
        </w:rPr>
        <w:t>a</w:t>
      </w:r>
      <w:r w:rsidRPr="00410C5F">
        <w:rPr>
          <w:szCs w:val="24"/>
        </w:rPr>
        <w:t xml:space="preserve"> crucial role in combating hunger and health disparities. In 2023/24, the Trussell Trust gave out 3.1 million food parcels compared to 1.86 million in 2018/19 (Weekes et al., 2024). This demonstrates the extent to which communities are now dependent on charitable food provisions. Although food banks are no-fault, short-term solutions to systemic poverty and food insecurity, they are not permanent.</w:t>
      </w:r>
      <w:r w:rsidR="00153C7A">
        <w:rPr>
          <w:szCs w:val="24"/>
        </w:rPr>
        <w:t xml:space="preserve"> </w:t>
      </w:r>
      <w:r w:rsidRPr="00410C5F">
        <w:rPr>
          <w:szCs w:val="24"/>
        </w:rPr>
        <w:t xml:space="preserve">There are also inequalities in </w:t>
      </w:r>
      <w:r w:rsidRPr="00410C5F">
        <w:rPr>
          <w:szCs w:val="24"/>
        </w:rPr>
        <w:lastRenderedPageBreak/>
        <w:t xml:space="preserve">health in the region. Marmot (2020) discovered that </w:t>
      </w:r>
      <w:r w:rsidR="00153C7A">
        <w:rPr>
          <w:szCs w:val="24"/>
        </w:rPr>
        <w:t xml:space="preserve">the </w:t>
      </w:r>
      <w:r w:rsidRPr="00410C5F">
        <w:rPr>
          <w:szCs w:val="24"/>
        </w:rPr>
        <w:t xml:space="preserve">life expectancy of deprived women in the North East was on </w:t>
      </w:r>
      <w:r w:rsidR="00153C7A">
        <w:rPr>
          <w:szCs w:val="24"/>
        </w:rPr>
        <w:t>a</w:t>
      </w:r>
      <w:r w:rsidRPr="00410C5F">
        <w:rPr>
          <w:szCs w:val="24"/>
        </w:rPr>
        <w:t xml:space="preserve"> downward trend, whereas on the other side, it was on a rise in London and the South East. According to the projections of the Health Foundation (2023), the multimorbidity rates will skyrocket in the underprivileged areas, and the patients will live longer but have various chronic illnesses. This will push up the demand </w:t>
      </w:r>
      <w:r w:rsidR="00153C7A">
        <w:rPr>
          <w:szCs w:val="24"/>
        </w:rPr>
        <w:t>for</w:t>
      </w:r>
      <w:r w:rsidRPr="00410C5F">
        <w:rPr>
          <w:szCs w:val="24"/>
        </w:rPr>
        <w:t xml:space="preserve"> local health services</w:t>
      </w:r>
      <w:r w:rsidR="00153C7A">
        <w:rPr>
          <w:szCs w:val="24"/>
        </w:rPr>
        <w:t>,</w:t>
      </w:r>
      <w:r w:rsidRPr="00410C5F">
        <w:rPr>
          <w:szCs w:val="24"/>
        </w:rPr>
        <w:t xml:space="preserve"> primarily communit</w:t>
      </w:r>
      <w:r w:rsidR="00153C7A">
        <w:rPr>
          <w:szCs w:val="24"/>
        </w:rPr>
        <w:t xml:space="preserve">y health hubs and primary care. </w:t>
      </w:r>
      <w:r w:rsidRPr="00410C5F">
        <w:rPr>
          <w:szCs w:val="24"/>
        </w:rPr>
        <w:t xml:space="preserve">Policies have been established by local governments to react. </w:t>
      </w:r>
    </w:p>
    <w:p w14:paraId="27F6AAB7" w14:textId="77777777" w:rsidR="001F189A" w:rsidRPr="001F189A" w:rsidRDefault="00410C5F" w:rsidP="00153C7A">
      <w:pPr>
        <w:rPr>
          <w:szCs w:val="24"/>
        </w:rPr>
      </w:pPr>
      <w:r w:rsidRPr="00410C5F">
        <w:rPr>
          <w:szCs w:val="24"/>
        </w:rPr>
        <w:t xml:space="preserve">Scotland increased the free school lunch to all primary students to enhance child nutrition and lessen the </w:t>
      </w:r>
      <w:r w:rsidR="00153C7A">
        <w:rPr>
          <w:szCs w:val="24"/>
        </w:rPr>
        <w:t>stigmatisation</w:t>
      </w:r>
      <w:r w:rsidRPr="00410C5F">
        <w:rPr>
          <w:szCs w:val="24"/>
        </w:rPr>
        <w:t xml:space="preserve"> of food poverty. Wales invested in community health hubs, which integrate both food support and healthcare to enable families to receive both services under one roof. These instances demonstrate the worth of locally-led strategies, in which assistance is </w:t>
      </w:r>
      <w:r w:rsidR="00153C7A">
        <w:rPr>
          <w:szCs w:val="24"/>
        </w:rPr>
        <w:t>personalised</w:t>
      </w:r>
      <w:r w:rsidRPr="00410C5F">
        <w:rPr>
          <w:szCs w:val="24"/>
        </w:rPr>
        <w:t xml:space="preserve"> to community requirements. But funding is not regular</w:t>
      </w:r>
      <w:r w:rsidR="00153C7A">
        <w:rPr>
          <w:szCs w:val="24"/>
        </w:rPr>
        <w:t>,</w:t>
      </w:r>
      <w:r w:rsidRPr="00410C5F">
        <w:rPr>
          <w:szCs w:val="24"/>
        </w:rPr>
        <w:t xml:space="preserve"> and many local governments find it diffic</w:t>
      </w:r>
      <w:r w:rsidR="00153C7A">
        <w:rPr>
          <w:szCs w:val="24"/>
        </w:rPr>
        <w:t xml:space="preserve">ult to sustain such programmes. </w:t>
      </w:r>
      <w:r w:rsidRPr="00410C5F">
        <w:rPr>
          <w:szCs w:val="24"/>
        </w:rPr>
        <w:t xml:space="preserve">The authors of the article </w:t>
      </w:r>
      <w:r w:rsidR="00153C7A">
        <w:rPr>
          <w:szCs w:val="24"/>
        </w:rPr>
        <w:t>emphasise</w:t>
      </w:r>
      <w:r w:rsidRPr="00410C5F">
        <w:rPr>
          <w:szCs w:val="24"/>
        </w:rPr>
        <w:t xml:space="preserve"> that it is necessary to develop resilient food systems that will be able to withstand climate shocks and financial pressure (DEFRA, 2023). Local programs are usually based on volunteers and </w:t>
      </w:r>
      <w:r w:rsidR="00153C7A">
        <w:rPr>
          <w:szCs w:val="24"/>
        </w:rPr>
        <w:t>short-term</w:t>
      </w:r>
      <w:r w:rsidRPr="00410C5F">
        <w:rPr>
          <w:szCs w:val="24"/>
        </w:rPr>
        <w:t xml:space="preserve"> grants, and this restricts their effectiveness in the long term. Communities will be at risk of failing to </w:t>
      </w:r>
      <w:r w:rsidR="00153C7A">
        <w:rPr>
          <w:szCs w:val="24"/>
        </w:rPr>
        <w:t>fulfil</w:t>
      </w:r>
      <w:r w:rsidRPr="00410C5F">
        <w:rPr>
          <w:szCs w:val="24"/>
        </w:rPr>
        <w:t xml:space="preserve"> the increasing demand wi</w:t>
      </w:r>
      <w:r w:rsidR="00153C7A">
        <w:rPr>
          <w:szCs w:val="24"/>
        </w:rPr>
        <w:t xml:space="preserve">thout safe investment. </w:t>
      </w:r>
      <w:r w:rsidRPr="00410C5F">
        <w:rPr>
          <w:szCs w:val="24"/>
        </w:rPr>
        <w:t xml:space="preserve">All in all, local programs can close the gaps that are created by national policy, yet they cannot substitute systemic reform. The inequality of hunger and health is systemic and needs to be addressed at all levels of government. Local programmes have proven to be innovative and </w:t>
      </w:r>
      <w:r w:rsidR="00153C7A">
        <w:rPr>
          <w:szCs w:val="24"/>
        </w:rPr>
        <w:t>community-based</w:t>
      </w:r>
      <w:r w:rsidRPr="00410C5F">
        <w:rPr>
          <w:szCs w:val="24"/>
        </w:rPr>
        <w:t>, but they require stable funding and need to be incorporated into national strategies to bring about lasting change.</w:t>
      </w:r>
    </w:p>
    <w:p w14:paraId="3CFFE960" w14:textId="77777777" w:rsidR="001F189A" w:rsidRPr="001F189A" w:rsidRDefault="00153C7A" w:rsidP="00153C7A">
      <w:pPr>
        <w:pStyle w:val="Heading1"/>
        <w:rPr>
          <w:rFonts w:eastAsia="Times New Roman"/>
        </w:rPr>
      </w:pPr>
      <w:bookmarkStart w:id="4" w:name="_Toc236386946"/>
      <w:r>
        <w:rPr>
          <w:rFonts w:eastAsia="Times New Roman"/>
        </w:rPr>
        <w:t>5. Recommendations</w:t>
      </w:r>
      <w:bookmarkEnd w:id="4"/>
    </w:p>
    <w:p w14:paraId="40A8D8DF" w14:textId="77777777" w:rsidR="00410C5F" w:rsidRPr="00410C5F" w:rsidRDefault="00410C5F" w:rsidP="00153C7A">
      <w:pPr>
        <w:rPr>
          <w:szCs w:val="24"/>
        </w:rPr>
      </w:pPr>
      <w:r w:rsidRPr="00410C5F">
        <w:rPr>
          <w:szCs w:val="24"/>
        </w:rPr>
        <w:t xml:space="preserve">Policies need to be joined up, practical, and strongly evidence-based to </w:t>
      </w:r>
      <w:r w:rsidR="00153C7A">
        <w:rPr>
          <w:szCs w:val="24"/>
        </w:rPr>
        <w:t>realise</w:t>
      </w:r>
      <w:r w:rsidRPr="00410C5F">
        <w:rPr>
          <w:szCs w:val="24"/>
        </w:rPr>
        <w:t xml:space="preserve"> SDG 2 and SDG 3.</w:t>
      </w:r>
    </w:p>
    <w:p w14:paraId="2894CA6A" w14:textId="77777777" w:rsidR="00410C5F" w:rsidRPr="00153C7A" w:rsidRDefault="00410C5F" w:rsidP="0004284B">
      <w:pPr>
        <w:pStyle w:val="ListParagraph"/>
        <w:numPr>
          <w:ilvl w:val="0"/>
          <w:numId w:val="1"/>
        </w:numPr>
        <w:rPr>
          <w:szCs w:val="24"/>
        </w:rPr>
      </w:pPr>
      <w:r w:rsidRPr="00153C7A">
        <w:rPr>
          <w:b/>
          <w:i/>
          <w:szCs w:val="24"/>
        </w:rPr>
        <w:t>Global level:</w:t>
      </w:r>
      <w:r w:rsidRPr="00153C7A">
        <w:rPr>
          <w:szCs w:val="24"/>
        </w:rPr>
        <w:t xml:space="preserve"> Global food systems need to be enhanced to resist climate shocks and conflict. Integration of nutrition in healthcare must be in such a way that malnutrition is considered a health concern, not a food problem. Universal Health Coverage and Nutrition should be well-funded and coordinated to </w:t>
      </w:r>
      <w:r w:rsidR="00153C7A" w:rsidRPr="00153C7A">
        <w:rPr>
          <w:szCs w:val="24"/>
        </w:rPr>
        <w:t>reach</w:t>
      </w:r>
      <w:r w:rsidRPr="00153C7A">
        <w:rPr>
          <w:szCs w:val="24"/>
        </w:rPr>
        <w:t xml:space="preserve"> at-risk groups (FAO, 2026; WHO, 2021).</w:t>
      </w:r>
    </w:p>
    <w:p w14:paraId="6F261175" w14:textId="77777777" w:rsidR="00410C5F" w:rsidRPr="00153C7A" w:rsidRDefault="00410C5F" w:rsidP="0004284B">
      <w:pPr>
        <w:pStyle w:val="ListParagraph"/>
        <w:numPr>
          <w:ilvl w:val="0"/>
          <w:numId w:val="1"/>
        </w:numPr>
        <w:rPr>
          <w:szCs w:val="24"/>
        </w:rPr>
      </w:pPr>
      <w:r w:rsidRPr="00153C7A">
        <w:rPr>
          <w:b/>
          <w:i/>
          <w:szCs w:val="24"/>
        </w:rPr>
        <w:t>National level (UK):</w:t>
      </w:r>
      <w:r w:rsidRPr="00153C7A">
        <w:rPr>
          <w:szCs w:val="24"/>
        </w:rPr>
        <w:t xml:space="preserve"> Essentials Guarantee should be widened by the government, so that Universal </w:t>
      </w:r>
      <w:r w:rsidR="00153C7A" w:rsidRPr="00153C7A">
        <w:rPr>
          <w:szCs w:val="24"/>
        </w:rPr>
        <w:t>Credit</w:t>
      </w:r>
      <w:r w:rsidRPr="00153C7A">
        <w:rPr>
          <w:szCs w:val="24"/>
        </w:rPr>
        <w:t xml:space="preserve"> gives sufficient income to meet basic needs. This would quell hunger among 1.9 million individuals (Weekes et al., 2024). The Healthy Start vouchers ought to be increased so as to enhance the availability of healthy food to families. Nutrition should also be integrated </w:t>
      </w:r>
      <w:r w:rsidR="00153C7A" w:rsidRPr="00153C7A">
        <w:rPr>
          <w:szCs w:val="24"/>
        </w:rPr>
        <w:lastRenderedPageBreak/>
        <w:t>into</w:t>
      </w:r>
      <w:r w:rsidRPr="00153C7A">
        <w:rPr>
          <w:szCs w:val="24"/>
        </w:rPr>
        <w:t xml:space="preserve"> the NHS prevention measures, with food security directly associated with health outcomes (NHS England, 2019). Funding in the area of public health needs to be reinstated to address the inequalities noted by Marmot (2020) and Bambra et al. (2020).</w:t>
      </w:r>
    </w:p>
    <w:p w14:paraId="2278A440" w14:textId="77777777" w:rsidR="00410C5F" w:rsidRPr="00153C7A" w:rsidRDefault="00410C5F" w:rsidP="0004284B">
      <w:pPr>
        <w:pStyle w:val="ListParagraph"/>
        <w:numPr>
          <w:ilvl w:val="0"/>
          <w:numId w:val="1"/>
        </w:numPr>
        <w:rPr>
          <w:szCs w:val="24"/>
        </w:rPr>
      </w:pPr>
      <w:r w:rsidRPr="00153C7A">
        <w:rPr>
          <w:b/>
          <w:i/>
          <w:szCs w:val="24"/>
        </w:rPr>
        <w:t>Local level:</w:t>
      </w:r>
      <w:r w:rsidRPr="00153C7A">
        <w:rPr>
          <w:szCs w:val="24"/>
        </w:rPr>
        <w:t xml:space="preserve"> Food banks require </w:t>
      </w:r>
      <w:r w:rsidR="00153C7A" w:rsidRPr="00153C7A">
        <w:rPr>
          <w:szCs w:val="24"/>
        </w:rPr>
        <w:t>long-term</w:t>
      </w:r>
      <w:r w:rsidRPr="00153C7A">
        <w:rPr>
          <w:szCs w:val="24"/>
        </w:rPr>
        <w:t xml:space="preserve"> and safe funding to address increased demand. Free school meals need to be extended to all schools to limit child hunger and stigma. Food support should be combined with healthcare in community health hubs, and families should have </w:t>
      </w:r>
      <w:r w:rsidR="00153C7A" w:rsidRPr="00153C7A">
        <w:rPr>
          <w:szCs w:val="24"/>
        </w:rPr>
        <w:t>joined-up</w:t>
      </w:r>
      <w:r w:rsidRPr="00153C7A">
        <w:rPr>
          <w:szCs w:val="24"/>
        </w:rPr>
        <w:t xml:space="preserve"> services </w:t>
      </w:r>
      <w:r w:rsidR="00153C7A" w:rsidRPr="00153C7A">
        <w:rPr>
          <w:szCs w:val="24"/>
        </w:rPr>
        <w:t>(DEFRA</w:t>
      </w:r>
      <w:r w:rsidRPr="00153C7A">
        <w:rPr>
          <w:szCs w:val="24"/>
        </w:rPr>
        <w:t>, 2023; The Health Foundation, 2023).</w:t>
      </w:r>
    </w:p>
    <w:p w14:paraId="0941F090" w14:textId="77777777" w:rsidR="001F189A" w:rsidRPr="001F189A" w:rsidRDefault="00153C7A" w:rsidP="00153C7A">
      <w:pPr>
        <w:rPr>
          <w:szCs w:val="24"/>
        </w:rPr>
      </w:pPr>
      <w:r>
        <w:rPr>
          <w:szCs w:val="24"/>
        </w:rPr>
        <w:t>By</w:t>
      </w:r>
      <w:r w:rsidR="00410C5F" w:rsidRPr="00410C5F">
        <w:rPr>
          <w:szCs w:val="24"/>
        </w:rPr>
        <w:t xml:space="preserve"> addressing hunger</w:t>
      </w:r>
      <w:r>
        <w:rPr>
          <w:szCs w:val="24"/>
        </w:rPr>
        <w:t>,</w:t>
      </w:r>
      <w:r w:rsidR="00410C5F" w:rsidRPr="00410C5F">
        <w:rPr>
          <w:szCs w:val="24"/>
        </w:rPr>
        <w:t xml:space="preserve"> NHS expenditures will reduce and wellbeing will be enhanced. Health systems will be strengthened</w:t>
      </w:r>
      <w:r>
        <w:rPr>
          <w:szCs w:val="24"/>
        </w:rPr>
        <w:t>,</w:t>
      </w:r>
      <w:r w:rsidR="00410C5F" w:rsidRPr="00410C5F">
        <w:rPr>
          <w:szCs w:val="24"/>
        </w:rPr>
        <w:t xml:space="preserve"> and dependency on food banks will be lowered. The UK can fulfil its SDG obligations only as a result of concerted effort.</w:t>
      </w:r>
    </w:p>
    <w:p w14:paraId="41B67876" w14:textId="77777777" w:rsidR="001F189A" w:rsidRPr="001F189A" w:rsidRDefault="00153C7A" w:rsidP="00153C7A">
      <w:pPr>
        <w:pStyle w:val="Heading1"/>
        <w:rPr>
          <w:rFonts w:eastAsia="Times New Roman"/>
        </w:rPr>
      </w:pPr>
      <w:bookmarkStart w:id="5" w:name="_Toc236386947"/>
      <w:r>
        <w:rPr>
          <w:rFonts w:eastAsia="Times New Roman"/>
        </w:rPr>
        <w:t>6. Conclusion</w:t>
      </w:r>
      <w:bookmarkEnd w:id="5"/>
    </w:p>
    <w:p w14:paraId="103830E5" w14:textId="77777777" w:rsidR="00153C7A" w:rsidRDefault="00410C5F" w:rsidP="00153C7A">
      <w:pPr>
        <w:rPr>
          <w:szCs w:val="24"/>
        </w:rPr>
      </w:pPr>
      <w:r w:rsidRPr="00410C5F">
        <w:rPr>
          <w:szCs w:val="24"/>
        </w:rPr>
        <w:t>This report has revealed that SDG 2: Zero Hunger and SDG 3: Good Health and Wellbeing cannot be separated. Millions of people globally are undernourished</w:t>
      </w:r>
      <w:r w:rsidR="00153C7A">
        <w:rPr>
          <w:szCs w:val="24"/>
        </w:rPr>
        <w:t>,</w:t>
      </w:r>
      <w:r w:rsidRPr="00410C5F">
        <w:rPr>
          <w:szCs w:val="24"/>
        </w:rPr>
        <w:t xml:space="preserve"> and non-communicable diseases and health disparities are on the increase. Food insecurity in the UK is one in six households</w:t>
      </w:r>
      <w:r w:rsidR="00153C7A">
        <w:rPr>
          <w:szCs w:val="24"/>
        </w:rPr>
        <w:t>;</w:t>
      </w:r>
      <w:r w:rsidRPr="00410C5F">
        <w:rPr>
          <w:szCs w:val="24"/>
        </w:rPr>
        <w:t xml:space="preserve"> health disparities have reached their widest</w:t>
      </w:r>
      <w:r w:rsidR="00153C7A">
        <w:rPr>
          <w:szCs w:val="24"/>
        </w:rPr>
        <w:t>,</w:t>
      </w:r>
      <w:r w:rsidRPr="00410C5F">
        <w:rPr>
          <w:szCs w:val="24"/>
        </w:rPr>
        <w:t xml:space="preserve"> and the most vulnerable have been left in deprived communities. Local solutions like food banks, free school </w:t>
      </w:r>
      <w:r w:rsidR="00153C7A">
        <w:rPr>
          <w:szCs w:val="24"/>
        </w:rPr>
        <w:t>lunches</w:t>
      </w:r>
      <w:r w:rsidRPr="00410C5F">
        <w:rPr>
          <w:szCs w:val="24"/>
        </w:rPr>
        <w:t xml:space="preserve">, and health </w:t>
      </w:r>
      <w:r w:rsidR="00153C7A">
        <w:rPr>
          <w:szCs w:val="24"/>
        </w:rPr>
        <w:t>centres</w:t>
      </w:r>
      <w:r w:rsidRPr="00410C5F">
        <w:rPr>
          <w:szCs w:val="24"/>
        </w:rPr>
        <w:t xml:space="preserve"> offer essential help but are not enough to address systemic issues. Addressing hunger enhances health outcomes</w:t>
      </w:r>
      <w:r w:rsidR="00153C7A">
        <w:rPr>
          <w:szCs w:val="24"/>
        </w:rPr>
        <w:t>,</w:t>
      </w:r>
      <w:r w:rsidRPr="00410C5F">
        <w:rPr>
          <w:szCs w:val="24"/>
        </w:rPr>
        <w:t xml:space="preserve"> and addressing inequalities in health diminishes hunger. It will take combined effort on a global, national, and local level to bring sustained change.</w:t>
      </w:r>
    </w:p>
    <w:p w14:paraId="56B8757E" w14:textId="77777777" w:rsidR="00153C7A" w:rsidRDefault="00153C7A" w:rsidP="00153C7A">
      <w:r>
        <w:br w:type="page"/>
      </w:r>
    </w:p>
    <w:p w14:paraId="7D80345E" w14:textId="77777777" w:rsidR="001F189A" w:rsidRDefault="00153C7A" w:rsidP="00153C7A">
      <w:pPr>
        <w:pStyle w:val="Heading1"/>
      </w:pPr>
      <w:bookmarkStart w:id="6" w:name="_Toc236386948"/>
      <w:r>
        <w:lastRenderedPageBreak/>
        <w:t>References</w:t>
      </w:r>
      <w:bookmarkEnd w:id="6"/>
    </w:p>
    <w:p w14:paraId="3A65F2EF" w14:textId="77777777" w:rsidR="00153C7A" w:rsidRDefault="00153C7A" w:rsidP="00153C7A">
      <w:pPr>
        <w:ind w:left="720" w:hanging="720"/>
      </w:pPr>
      <w:r>
        <w:t xml:space="preserve">Bambra, C., Riordan, R., Ford, J. and Matthews, F. (2020). The COVID-19 pandemic and health inequalities. </w:t>
      </w:r>
      <w:r>
        <w:rPr>
          <w:i/>
          <w:iCs/>
        </w:rPr>
        <w:t>Journal of Epidemiology and Community Health</w:t>
      </w:r>
      <w:r>
        <w:t xml:space="preserve">, [online] 74(11), pp.964–968. Available at: </w:t>
      </w:r>
      <w:hyperlink r:id="rId8" w:history="1">
        <w:r w:rsidRPr="00CE1D19">
          <w:rPr>
            <w:rStyle w:val="Hyperlink"/>
          </w:rPr>
          <w:t>https://pubmed.ncbi.nlm.nih.gov/32535550/</w:t>
        </w:r>
      </w:hyperlink>
      <w:r>
        <w:t xml:space="preserve">. </w:t>
      </w:r>
    </w:p>
    <w:p w14:paraId="74258D2B" w14:textId="77777777" w:rsidR="00153C7A" w:rsidRDefault="00153C7A" w:rsidP="00153C7A">
      <w:pPr>
        <w:ind w:left="720" w:hanging="720"/>
      </w:pPr>
      <w:r>
        <w:t xml:space="preserve">DEFRA (2023). </w:t>
      </w:r>
      <w:r>
        <w:rPr>
          <w:i/>
          <w:iCs/>
        </w:rPr>
        <w:t>Defra’s Annual Report and Accounts for 2023 to 2024: Annual Report - GOV.UK</w:t>
      </w:r>
      <w:r>
        <w:t xml:space="preserve">. [online] </w:t>
      </w:r>
      <w:r>
        <w:rPr>
          <w:i/>
          <w:iCs/>
        </w:rPr>
        <w:t>Www.gov.uk</w:t>
      </w:r>
      <w:r>
        <w:t xml:space="preserve">. Available at: </w:t>
      </w:r>
      <w:hyperlink r:id="rId9" w:history="1">
        <w:r w:rsidRPr="00CE1D19">
          <w:rPr>
            <w:rStyle w:val="Hyperlink"/>
          </w:rPr>
          <w:t>https://www.gov.uk/government/publications/defras-annual-report-and-accounts-2023-to-2024/defras-annual-report-and-accounts-for-2023-to-2024-annual-report</w:t>
        </w:r>
      </w:hyperlink>
      <w:r>
        <w:t xml:space="preserve">. </w:t>
      </w:r>
    </w:p>
    <w:p w14:paraId="5FA59C5C" w14:textId="77777777" w:rsidR="00153C7A" w:rsidRDefault="00153C7A" w:rsidP="00153C7A">
      <w:pPr>
        <w:ind w:left="720" w:hanging="720"/>
      </w:pPr>
      <w:r>
        <w:t xml:space="preserve">FAO (2026). </w:t>
      </w:r>
      <w:r>
        <w:rPr>
          <w:i/>
          <w:iCs/>
        </w:rPr>
        <w:t>The State of Food Security and Nutrition in the World 2026</w:t>
      </w:r>
      <w:r>
        <w:t xml:space="preserve">. [online] Fao.org. Available at: </w:t>
      </w:r>
      <w:hyperlink r:id="rId10" w:history="1">
        <w:r w:rsidRPr="00CE1D19">
          <w:rPr>
            <w:rStyle w:val="Hyperlink"/>
          </w:rPr>
          <w:t>https://openknowledge.fao.org/items/63b052f9-f2c1-453b-97a3-1d814facea36</w:t>
        </w:r>
      </w:hyperlink>
      <w:r>
        <w:t xml:space="preserve">. </w:t>
      </w:r>
    </w:p>
    <w:p w14:paraId="6F6C6B48" w14:textId="77777777" w:rsidR="00153C7A" w:rsidRDefault="00153C7A" w:rsidP="00153C7A">
      <w:pPr>
        <w:ind w:left="720" w:hanging="720"/>
      </w:pPr>
      <w:r>
        <w:t xml:space="preserve">Loopstra, R., Reeves, A. and </w:t>
      </w:r>
      <w:proofErr w:type="spellStart"/>
      <w:r>
        <w:t>Tarasuk</w:t>
      </w:r>
      <w:proofErr w:type="spellEnd"/>
      <w:r>
        <w:t xml:space="preserve">, V. (2019). The rise of hunger among low-income households: An analysis of the risks of food insecurity between 2004 and 2016 in a population-based study of UK adults. </w:t>
      </w:r>
      <w:r>
        <w:rPr>
          <w:i/>
          <w:iCs/>
        </w:rPr>
        <w:t>Journal of Epidemiology and Community Health</w:t>
      </w:r>
      <w:r>
        <w:t xml:space="preserve">, [online] 73(7), pp.668–673. Available at: </w:t>
      </w:r>
      <w:hyperlink r:id="rId11" w:history="1">
        <w:r w:rsidRPr="00CE1D19">
          <w:rPr>
            <w:rStyle w:val="Hyperlink"/>
          </w:rPr>
          <w:t>https://jech.bmj.com/content/73/7/668</w:t>
        </w:r>
      </w:hyperlink>
      <w:r>
        <w:t xml:space="preserve">. </w:t>
      </w:r>
    </w:p>
    <w:p w14:paraId="2D5C9EA5" w14:textId="77777777" w:rsidR="00153C7A" w:rsidRDefault="00153C7A" w:rsidP="00153C7A">
      <w:pPr>
        <w:ind w:left="720" w:hanging="720"/>
      </w:pPr>
      <w:r>
        <w:t xml:space="preserve">Marmot, M. (2020). Health equity in England: The Marmot Review 10 years on. </w:t>
      </w:r>
      <w:r>
        <w:rPr>
          <w:i/>
          <w:iCs/>
        </w:rPr>
        <w:t>British Medical Journal</w:t>
      </w:r>
      <w:r>
        <w:t xml:space="preserve">, [online] 368(1). Available at: </w:t>
      </w:r>
      <w:hyperlink r:id="rId12" w:history="1">
        <w:r w:rsidRPr="00CE1D19">
          <w:rPr>
            <w:rStyle w:val="Hyperlink"/>
          </w:rPr>
          <w:t>https://www.bmj.com/content/368/bmj.m693</w:t>
        </w:r>
      </w:hyperlink>
      <w:r>
        <w:t xml:space="preserve">. </w:t>
      </w:r>
    </w:p>
    <w:p w14:paraId="553EF296" w14:textId="77777777" w:rsidR="00153C7A" w:rsidRDefault="00153C7A" w:rsidP="00153C7A">
      <w:pPr>
        <w:ind w:left="720" w:hanging="720"/>
      </w:pPr>
      <w:r>
        <w:t xml:space="preserve">NHS England (2019). </w:t>
      </w:r>
      <w:r>
        <w:rPr>
          <w:i/>
          <w:iCs/>
        </w:rPr>
        <w:t>The NHS Long Term Plan.</w:t>
      </w:r>
      <w:r>
        <w:t xml:space="preserve"> [online] Available at: </w:t>
      </w:r>
      <w:hyperlink r:id="rId13" w:history="1">
        <w:r w:rsidRPr="00CE1D19">
          <w:rPr>
            <w:rStyle w:val="Hyperlink"/>
          </w:rPr>
          <w:t>https://extranet.who.int/countryplanningcycles/sites/default/files/public_file_rep/GBR_United-Kingdom_NHS-Long-term-plan_2019.pdf</w:t>
        </w:r>
      </w:hyperlink>
      <w:r>
        <w:t xml:space="preserve">. </w:t>
      </w:r>
    </w:p>
    <w:p w14:paraId="6AED4BBE" w14:textId="77777777" w:rsidR="00153C7A" w:rsidRDefault="00153C7A" w:rsidP="00153C7A">
      <w:pPr>
        <w:ind w:left="720" w:hanging="720"/>
      </w:pPr>
      <w:r>
        <w:t xml:space="preserve">Pourmotabbed, A., </w:t>
      </w:r>
      <w:proofErr w:type="spellStart"/>
      <w:r>
        <w:t>Moradi</w:t>
      </w:r>
      <w:proofErr w:type="spellEnd"/>
      <w:r>
        <w:t xml:space="preserve">, S., Babaei, A., Ghavami, A., </w:t>
      </w:r>
      <w:proofErr w:type="spellStart"/>
      <w:r>
        <w:t>Mohammadi</w:t>
      </w:r>
      <w:proofErr w:type="spellEnd"/>
      <w:r>
        <w:t xml:space="preserve">, H., </w:t>
      </w:r>
      <w:proofErr w:type="spellStart"/>
      <w:r>
        <w:t>Jalili</w:t>
      </w:r>
      <w:proofErr w:type="spellEnd"/>
      <w:r>
        <w:t xml:space="preserve">, C., Symonds, M.E. and </w:t>
      </w:r>
      <w:proofErr w:type="spellStart"/>
      <w:r>
        <w:t>Miraghajani</w:t>
      </w:r>
      <w:proofErr w:type="spellEnd"/>
      <w:r>
        <w:t xml:space="preserve">, M. (2020). Food insecurity and mental health: A systematic review and meta-analysis. </w:t>
      </w:r>
      <w:r>
        <w:rPr>
          <w:i/>
          <w:iCs/>
        </w:rPr>
        <w:t>Public Health Nutrition</w:t>
      </w:r>
      <w:r>
        <w:t xml:space="preserve">, [online] 23(10), pp.1778–1790. Available at: </w:t>
      </w:r>
      <w:hyperlink r:id="rId14" w:history="1">
        <w:r w:rsidRPr="00CE1D19">
          <w:rPr>
            <w:rStyle w:val="Hyperlink"/>
          </w:rPr>
          <w:t>https://www.cambridge.org/core/journals/public-health-nutrition/article/food-insecurity-and-mental-health-a-systematic-review-and-metaanalysis/CB76D90D879907A6050DCAE2AD4F07EE</w:t>
        </w:r>
      </w:hyperlink>
      <w:r>
        <w:t xml:space="preserve">. </w:t>
      </w:r>
    </w:p>
    <w:p w14:paraId="2C7F9D67" w14:textId="77777777" w:rsidR="00153C7A" w:rsidRDefault="00153C7A" w:rsidP="00153C7A">
      <w:pPr>
        <w:ind w:left="720" w:hanging="720"/>
      </w:pPr>
      <w:r>
        <w:lastRenderedPageBreak/>
        <w:t xml:space="preserve">The Health Foundation (2023). </w:t>
      </w:r>
      <w:r>
        <w:rPr>
          <w:i/>
          <w:iCs/>
        </w:rPr>
        <w:t>Health in 2040: Projected Patterns of Illness in England</w:t>
      </w:r>
      <w:r>
        <w:t xml:space="preserve">. [online] </w:t>
      </w:r>
      <w:r>
        <w:rPr>
          <w:i/>
          <w:iCs/>
        </w:rPr>
        <w:t>The Health Foundation</w:t>
      </w:r>
      <w:r>
        <w:t xml:space="preserve">. Available at: </w:t>
      </w:r>
      <w:hyperlink r:id="rId15" w:history="1">
        <w:r w:rsidRPr="00CE1D19">
          <w:rPr>
            <w:rStyle w:val="Hyperlink"/>
          </w:rPr>
          <w:t>https://www.health.org.uk/reports-and-analysis/reports/health-in-2040-projected-patterns-of-illness-in-england</w:t>
        </w:r>
      </w:hyperlink>
      <w:r>
        <w:t xml:space="preserve">. </w:t>
      </w:r>
    </w:p>
    <w:p w14:paraId="36C6491E" w14:textId="77777777" w:rsidR="00153C7A" w:rsidRDefault="00153C7A" w:rsidP="00153C7A">
      <w:pPr>
        <w:ind w:left="720" w:hanging="720"/>
      </w:pPr>
      <w:r>
        <w:t xml:space="preserve">UK Parliament (2024). </w:t>
      </w:r>
      <w:r>
        <w:rPr>
          <w:i/>
          <w:iCs/>
        </w:rPr>
        <w:t>The government’s efforts to achieve SDG2: Zero Hunger</w:t>
      </w:r>
      <w:r>
        <w:t xml:space="preserve">. [online] </w:t>
      </w:r>
      <w:r>
        <w:rPr>
          <w:i/>
          <w:iCs/>
        </w:rPr>
        <w:t>Parliament.uk</w:t>
      </w:r>
      <w:r>
        <w:t xml:space="preserve">. Available at: </w:t>
      </w:r>
      <w:hyperlink r:id="rId16" w:history="1">
        <w:r w:rsidRPr="00CE1D19">
          <w:rPr>
            <w:rStyle w:val="Hyperlink"/>
          </w:rPr>
          <w:t>https://publications.parliament.uk/pa/cm5901/cmselect/cmintdev/515/report.html</w:t>
        </w:r>
      </w:hyperlink>
      <w:r>
        <w:t xml:space="preserve">. </w:t>
      </w:r>
    </w:p>
    <w:p w14:paraId="6FEFCF6C" w14:textId="77777777" w:rsidR="00153C7A" w:rsidRDefault="00153C7A" w:rsidP="00153C7A">
      <w:pPr>
        <w:ind w:left="720" w:hanging="720"/>
      </w:pPr>
      <w:r>
        <w:t xml:space="preserve">UNICEF (2023). </w:t>
      </w:r>
      <w:r>
        <w:rPr>
          <w:i/>
          <w:iCs/>
        </w:rPr>
        <w:t>Malnutrition in children - UNICEF data</w:t>
      </w:r>
      <w:r>
        <w:t xml:space="preserve">. [online] </w:t>
      </w:r>
      <w:r>
        <w:rPr>
          <w:i/>
          <w:iCs/>
        </w:rPr>
        <w:t>UNICEF</w:t>
      </w:r>
      <w:r>
        <w:t xml:space="preserve">. Available at: </w:t>
      </w:r>
      <w:hyperlink r:id="rId17" w:history="1">
        <w:r w:rsidRPr="00CE1D19">
          <w:rPr>
            <w:rStyle w:val="Hyperlink"/>
          </w:rPr>
          <w:t>https://data.unicef.org/topic/nutrition/malnutrition/</w:t>
        </w:r>
      </w:hyperlink>
      <w:r>
        <w:t xml:space="preserve"> </w:t>
      </w:r>
    </w:p>
    <w:p w14:paraId="5DF56608" w14:textId="77777777" w:rsidR="00153C7A" w:rsidRDefault="00153C7A" w:rsidP="00153C7A">
      <w:pPr>
        <w:ind w:left="720" w:hanging="720"/>
      </w:pPr>
      <w:r>
        <w:t xml:space="preserve">United Nations (2025a). </w:t>
      </w:r>
      <w:r>
        <w:rPr>
          <w:i/>
          <w:iCs/>
        </w:rPr>
        <w:t>Goal 2: Zero Hunger</w:t>
      </w:r>
      <w:r>
        <w:t xml:space="preserve">. [online] </w:t>
      </w:r>
      <w:r>
        <w:rPr>
          <w:i/>
          <w:iCs/>
        </w:rPr>
        <w:t>United Nations Sustainable Development</w:t>
      </w:r>
      <w:r>
        <w:t xml:space="preserve">. United Nations. Available at: </w:t>
      </w:r>
      <w:hyperlink r:id="rId18" w:history="1">
        <w:r w:rsidRPr="00CE1D19">
          <w:rPr>
            <w:rStyle w:val="Hyperlink"/>
          </w:rPr>
          <w:t>https://www.un.org/sustainabledevelopment/hunger/</w:t>
        </w:r>
      </w:hyperlink>
      <w:r>
        <w:t xml:space="preserve">. </w:t>
      </w:r>
    </w:p>
    <w:p w14:paraId="2A582E3A" w14:textId="77777777" w:rsidR="00153C7A" w:rsidRDefault="00153C7A" w:rsidP="00153C7A">
      <w:pPr>
        <w:ind w:left="720" w:hanging="720"/>
      </w:pPr>
      <w:r>
        <w:t xml:space="preserve">United Nations (2025b). The Sustainable Development Goals Report 2025. [online] Available at: </w:t>
      </w:r>
      <w:hyperlink r:id="rId19" w:history="1">
        <w:r w:rsidRPr="00CE1D19">
          <w:rPr>
            <w:rStyle w:val="Hyperlink"/>
          </w:rPr>
          <w:t>https://unstats.un.org/sdgs/report/2025/The-Sustainable-Development-Goals-Report-2025.pdf</w:t>
        </w:r>
      </w:hyperlink>
      <w:r>
        <w:t xml:space="preserve">. </w:t>
      </w:r>
    </w:p>
    <w:p w14:paraId="13F24170" w14:textId="77777777" w:rsidR="00153C7A" w:rsidRDefault="00153C7A" w:rsidP="00153C7A">
      <w:pPr>
        <w:ind w:left="720" w:hanging="720"/>
      </w:pPr>
      <w:r>
        <w:t xml:space="preserve">Weekes, T., </w:t>
      </w:r>
      <w:proofErr w:type="spellStart"/>
      <w:r>
        <w:t>Rabindrakumar</w:t>
      </w:r>
      <w:proofErr w:type="spellEnd"/>
      <w:r>
        <w:t xml:space="preserve">, S., Padgett, S. and Ball, E. (2024). The Cost of Hunger and Hardship Interim Report. [online] Available at: </w:t>
      </w:r>
      <w:hyperlink r:id="rId20" w:history="1">
        <w:r w:rsidRPr="00CE1D19">
          <w:rPr>
            <w:rStyle w:val="Hyperlink"/>
          </w:rPr>
          <w:t>https://cms.trussell.org.uk/sites/default/files/2024-10/Cost%20of%20Hunger%20and%20Hardship_Interim%20report.pdf</w:t>
        </w:r>
      </w:hyperlink>
      <w:r>
        <w:t xml:space="preserve">. </w:t>
      </w:r>
    </w:p>
    <w:p w14:paraId="4FC51B69" w14:textId="77777777" w:rsidR="00153C7A" w:rsidRDefault="00153C7A" w:rsidP="00153C7A">
      <w:pPr>
        <w:ind w:left="720" w:hanging="720"/>
      </w:pPr>
      <w:r>
        <w:t xml:space="preserve">WHO (2021). </w:t>
      </w:r>
      <w:r>
        <w:rPr>
          <w:i/>
          <w:iCs/>
        </w:rPr>
        <w:t>Tracking Universal Health Coverage: 2021 Global Monitoring Report</w:t>
      </w:r>
      <w:r>
        <w:t xml:space="preserve">. [online] </w:t>
      </w:r>
      <w:r>
        <w:rPr>
          <w:i/>
          <w:iCs/>
        </w:rPr>
        <w:t>www.who.int</w:t>
      </w:r>
      <w:r>
        <w:t xml:space="preserve">. Available at: </w:t>
      </w:r>
      <w:hyperlink r:id="rId21" w:history="1">
        <w:r w:rsidRPr="00CE1D19">
          <w:rPr>
            <w:rStyle w:val="Hyperlink"/>
          </w:rPr>
          <w:t>https://www.who.int/publications/i/item/9789240040618</w:t>
        </w:r>
      </w:hyperlink>
      <w:r>
        <w:t xml:space="preserve">. </w:t>
      </w:r>
    </w:p>
    <w:p w14:paraId="57B96E0C" w14:textId="77777777" w:rsidR="00153C7A" w:rsidRDefault="00153C7A" w:rsidP="00153C7A">
      <w:pPr>
        <w:ind w:left="720" w:hanging="720"/>
      </w:pPr>
      <w:r>
        <w:t xml:space="preserve">WHO (2023). Monitoring Health for the SDGs Sustainable Development Goals. [online] Available at: </w:t>
      </w:r>
      <w:hyperlink r:id="rId22" w:history="1">
        <w:r w:rsidRPr="00CE1D19">
          <w:rPr>
            <w:rStyle w:val="Hyperlink"/>
          </w:rPr>
          <w:t>https://cdn.who.int/media/docs/default-source/gho-documents/world-health-statistic-reports/2023/world-health-statistics-2023_20230519_.pdf</w:t>
        </w:r>
      </w:hyperlink>
      <w:r>
        <w:t xml:space="preserve">. </w:t>
      </w:r>
    </w:p>
    <w:p w14:paraId="7FBFB991" w14:textId="77777777" w:rsidR="00153C7A" w:rsidRPr="00153C7A" w:rsidRDefault="00153C7A" w:rsidP="00153C7A"/>
    <w:p w14:paraId="793EEF80" w14:textId="77777777" w:rsidR="00740E23" w:rsidRDefault="00740E23" w:rsidP="00153C7A"/>
    <w:sectPr w:rsidR="00740E23" w:rsidSect="00153C7A">
      <w:head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FB5CB8B" w14:textId="77777777" w:rsidR="008E10A7" w:rsidRDefault="008E10A7" w:rsidP="00153C7A">
      <w:pPr>
        <w:spacing w:after="0" w:line="240" w:lineRule="auto"/>
      </w:pPr>
      <w:r>
        <w:separator/>
      </w:r>
    </w:p>
  </w:endnote>
  <w:endnote w:type="continuationSeparator" w:id="0">
    <w:p w14:paraId="278BD081" w14:textId="77777777" w:rsidR="008E10A7" w:rsidRDefault="008E10A7" w:rsidP="00153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84CF03" w14:textId="77777777" w:rsidR="008E10A7" w:rsidRDefault="008E10A7" w:rsidP="00153C7A">
      <w:pPr>
        <w:spacing w:after="0" w:line="240" w:lineRule="auto"/>
      </w:pPr>
      <w:r>
        <w:separator/>
      </w:r>
    </w:p>
  </w:footnote>
  <w:footnote w:type="continuationSeparator" w:id="0">
    <w:p w14:paraId="5819DC2C" w14:textId="77777777" w:rsidR="008E10A7" w:rsidRDefault="008E10A7" w:rsidP="00153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45556454"/>
      <w:docPartObj>
        <w:docPartGallery w:val="Page Numbers (Top of Page)"/>
        <w:docPartUnique/>
      </w:docPartObj>
    </w:sdtPr>
    <w:sdtEndPr>
      <w:rPr>
        <w:noProof/>
      </w:rPr>
    </w:sdtEndPr>
    <w:sdtContent>
      <w:p w14:paraId="392A16D0" w14:textId="77777777" w:rsidR="00153C7A" w:rsidRDefault="00153C7A">
        <w:pPr>
          <w:pStyle w:val="Header"/>
          <w:jc w:val="right"/>
        </w:pPr>
        <w:r>
          <w:fldChar w:fldCharType="begin"/>
        </w:r>
        <w:r>
          <w:instrText xml:space="preserve"> PAGE   \* MERGEFORMAT </w:instrText>
        </w:r>
        <w:r>
          <w:fldChar w:fldCharType="separate"/>
        </w:r>
        <w:r w:rsidR="0004284B">
          <w:rPr>
            <w:noProof/>
          </w:rPr>
          <w:t>9</w:t>
        </w:r>
        <w:r>
          <w:rPr>
            <w:noProof/>
          </w:rPr>
          <w:fldChar w:fldCharType="end"/>
        </w:r>
      </w:p>
    </w:sdtContent>
  </w:sdt>
  <w:p w14:paraId="1EB9FD8F" w14:textId="77777777" w:rsidR="00153C7A" w:rsidRDefault="00153C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F74BB2"/>
    <w:multiLevelType w:val="hybridMultilevel"/>
    <w:tmpl w:val="5A4A55DA"/>
    <w:lvl w:ilvl="0" w:tplc="FFFFFFFF">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A5A9C"/>
    <w:multiLevelType w:val="hybridMultilevel"/>
    <w:tmpl w:val="D99E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D348E3"/>
    <w:multiLevelType w:val="hybridMultilevel"/>
    <w:tmpl w:val="D0F4A39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8745043">
    <w:abstractNumId w:val="2"/>
  </w:num>
  <w:num w:numId="2" w16cid:durableId="567225818">
    <w:abstractNumId w:val="0"/>
  </w:num>
  <w:num w:numId="3" w16cid:durableId="52193740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89A"/>
    <w:rsid w:val="0004284B"/>
    <w:rsid w:val="00072165"/>
    <w:rsid w:val="000953C2"/>
    <w:rsid w:val="000A4546"/>
    <w:rsid w:val="000F1B21"/>
    <w:rsid w:val="0014724B"/>
    <w:rsid w:val="00153C7A"/>
    <w:rsid w:val="001650A7"/>
    <w:rsid w:val="00180F31"/>
    <w:rsid w:val="001F189A"/>
    <w:rsid w:val="00237D8C"/>
    <w:rsid w:val="002E7343"/>
    <w:rsid w:val="002F5BC2"/>
    <w:rsid w:val="00330179"/>
    <w:rsid w:val="003452A9"/>
    <w:rsid w:val="00352A21"/>
    <w:rsid w:val="003617C4"/>
    <w:rsid w:val="00361877"/>
    <w:rsid w:val="0037654F"/>
    <w:rsid w:val="003C292E"/>
    <w:rsid w:val="003D0093"/>
    <w:rsid w:val="00410C5F"/>
    <w:rsid w:val="004840B1"/>
    <w:rsid w:val="0051596B"/>
    <w:rsid w:val="00525090"/>
    <w:rsid w:val="00544F79"/>
    <w:rsid w:val="00545FD3"/>
    <w:rsid w:val="00567F3D"/>
    <w:rsid w:val="00570CA3"/>
    <w:rsid w:val="005714EE"/>
    <w:rsid w:val="00576CD6"/>
    <w:rsid w:val="0058483E"/>
    <w:rsid w:val="0058701F"/>
    <w:rsid w:val="005D7F4C"/>
    <w:rsid w:val="005F6A22"/>
    <w:rsid w:val="0061422E"/>
    <w:rsid w:val="007061BB"/>
    <w:rsid w:val="00710B4C"/>
    <w:rsid w:val="00740E23"/>
    <w:rsid w:val="00771BC6"/>
    <w:rsid w:val="00785371"/>
    <w:rsid w:val="007A5113"/>
    <w:rsid w:val="007C17A9"/>
    <w:rsid w:val="007C2428"/>
    <w:rsid w:val="00895515"/>
    <w:rsid w:val="008C29B2"/>
    <w:rsid w:val="008D579A"/>
    <w:rsid w:val="008E10A7"/>
    <w:rsid w:val="00902EC0"/>
    <w:rsid w:val="00914C65"/>
    <w:rsid w:val="0091573E"/>
    <w:rsid w:val="009243B2"/>
    <w:rsid w:val="00976AA3"/>
    <w:rsid w:val="009A1C0B"/>
    <w:rsid w:val="00A34B7C"/>
    <w:rsid w:val="00A57710"/>
    <w:rsid w:val="00AA797A"/>
    <w:rsid w:val="00AD112F"/>
    <w:rsid w:val="00B51634"/>
    <w:rsid w:val="00B6009C"/>
    <w:rsid w:val="00B94E16"/>
    <w:rsid w:val="00BA0D37"/>
    <w:rsid w:val="00BA1798"/>
    <w:rsid w:val="00BB7D06"/>
    <w:rsid w:val="00BC6556"/>
    <w:rsid w:val="00C254D2"/>
    <w:rsid w:val="00C27854"/>
    <w:rsid w:val="00C4134E"/>
    <w:rsid w:val="00C46EF7"/>
    <w:rsid w:val="00C52D2D"/>
    <w:rsid w:val="00C66C77"/>
    <w:rsid w:val="00C75D56"/>
    <w:rsid w:val="00C8125E"/>
    <w:rsid w:val="00CA3EB6"/>
    <w:rsid w:val="00D1791F"/>
    <w:rsid w:val="00D447DE"/>
    <w:rsid w:val="00D4610F"/>
    <w:rsid w:val="00D653B9"/>
    <w:rsid w:val="00DB39DF"/>
    <w:rsid w:val="00DE4150"/>
    <w:rsid w:val="00DE47C1"/>
    <w:rsid w:val="00E43E0B"/>
    <w:rsid w:val="00E45059"/>
    <w:rsid w:val="00F14E80"/>
    <w:rsid w:val="00F17CF0"/>
    <w:rsid w:val="00F2005A"/>
    <w:rsid w:val="00F233ED"/>
    <w:rsid w:val="00F4781A"/>
    <w:rsid w:val="00F56CC3"/>
    <w:rsid w:val="00F57463"/>
    <w:rsid w:val="00F664E0"/>
    <w:rsid w:val="00FD653E"/>
    <w:rsid w:val="00FD7876"/>
    <w:rsid w:val="00FE0B77"/>
    <w:rsid w:val="00FF1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18142"/>
  <w15:chartTrackingRefBased/>
  <w15:docId w15:val="{A3C74C27-D0CD-4B70-8B95-34F4F51BF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85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7854"/>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C27854"/>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link w:val="Heading3Char"/>
    <w:uiPriority w:val="9"/>
    <w:qFormat/>
    <w:rsid w:val="00C27854"/>
    <w:pPr>
      <w:spacing w:before="100" w:beforeAutospacing="1" w:after="100" w:afterAutospacing="1" w:line="240" w:lineRule="auto"/>
      <w:outlineLvl w:val="2"/>
    </w:pPr>
    <w:rPr>
      <w:rFonts w:eastAsia="Times New Roman" w:cs="Times New Roman"/>
      <w:bCs/>
      <w:i/>
      <w:color w:val="000000" w:themeColor="text1"/>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85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C27854"/>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C27854"/>
    <w:rPr>
      <w:rFonts w:ascii="Times New Roman" w:eastAsia="Times New Roman" w:hAnsi="Times New Roman" w:cs="Times New Roman"/>
      <w:bCs/>
      <w:i/>
      <w:color w:val="000000" w:themeColor="text1"/>
      <w:sz w:val="24"/>
      <w:szCs w:val="27"/>
    </w:rPr>
  </w:style>
  <w:style w:type="character" w:styleId="Strong">
    <w:name w:val="Strong"/>
    <w:basedOn w:val="DefaultParagraphFont"/>
    <w:uiPriority w:val="22"/>
    <w:qFormat/>
    <w:rsid w:val="001F189A"/>
    <w:rPr>
      <w:b/>
      <w:bCs/>
    </w:rPr>
  </w:style>
  <w:style w:type="paragraph" w:styleId="NormalWeb">
    <w:name w:val="Normal (Web)"/>
    <w:basedOn w:val="Normal"/>
    <w:uiPriority w:val="99"/>
    <w:semiHidden/>
    <w:unhideWhenUsed/>
    <w:rsid w:val="001F189A"/>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1F189A"/>
    <w:rPr>
      <w:i/>
      <w:iCs/>
    </w:rPr>
  </w:style>
  <w:style w:type="character" w:styleId="Hyperlink">
    <w:name w:val="Hyperlink"/>
    <w:basedOn w:val="DefaultParagraphFont"/>
    <w:uiPriority w:val="99"/>
    <w:unhideWhenUsed/>
    <w:rsid w:val="00153C7A"/>
    <w:rPr>
      <w:color w:val="0563C1" w:themeColor="hyperlink"/>
      <w:u w:val="single"/>
    </w:rPr>
  </w:style>
  <w:style w:type="paragraph" w:styleId="Header">
    <w:name w:val="header"/>
    <w:basedOn w:val="Normal"/>
    <w:link w:val="HeaderChar"/>
    <w:uiPriority w:val="99"/>
    <w:unhideWhenUsed/>
    <w:rsid w:val="00153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C7A"/>
    <w:rPr>
      <w:rFonts w:ascii="Times New Roman" w:hAnsi="Times New Roman"/>
      <w:sz w:val="24"/>
    </w:rPr>
  </w:style>
  <w:style w:type="paragraph" w:styleId="Footer">
    <w:name w:val="footer"/>
    <w:basedOn w:val="Normal"/>
    <w:link w:val="FooterChar"/>
    <w:uiPriority w:val="99"/>
    <w:unhideWhenUsed/>
    <w:rsid w:val="00153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C7A"/>
    <w:rPr>
      <w:rFonts w:ascii="Times New Roman" w:hAnsi="Times New Roman"/>
      <w:sz w:val="24"/>
    </w:rPr>
  </w:style>
  <w:style w:type="paragraph" w:styleId="TOCHeading">
    <w:name w:val="TOC Heading"/>
    <w:basedOn w:val="Heading1"/>
    <w:next w:val="Normal"/>
    <w:uiPriority w:val="39"/>
    <w:unhideWhenUsed/>
    <w:qFormat/>
    <w:rsid w:val="00153C7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53C7A"/>
    <w:pPr>
      <w:spacing w:after="100"/>
    </w:pPr>
  </w:style>
  <w:style w:type="paragraph" w:styleId="ListParagraph">
    <w:name w:val="List Paragraph"/>
    <w:basedOn w:val="Normal"/>
    <w:uiPriority w:val="34"/>
    <w:qFormat/>
    <w:rsid w:val="00153C7A"/>
    <w:pPr>
      <w:ind w:left="720"/>
      <w:contextualSpacing/>
    </w:pPr>
  </w:style>
  <w:style w:type="paragraph" w:customStyle="1" w:styleId="s5">
    <w:name w:val="s5"/>
    <w:basedOn w:val="Normal"/>
    <w:rsid w:val="00D1791F"/>
    <w:pPr>
      <w:spacing w:before="100" w:beforeAutospacing="1" w:after="100" w:afterAutospacing="1" w:line="240" w:lineRule="auto"/>
      <w:jc w:val="left"/>
    </w:pPr>
    <w:rPr>
      <w:rFonts w:eastAsiaTheme="minorEastAsia" w:cs="Times New Roman"/>
      <w:szCs w:val="24"/>
      <w:lang w:val="en-GB" w:eastAsia="en-GB"/>
    </w:rPr>
  </w:style>
  <w:style w:type="character" w:customStyle="1" w:styleId="s4">
    <w:name w:val="s4"/>
    <w:basedOn w:val="DefaultParagraphFont"/>
    <w:rsid w:val="00D1791F"/>
  </w:style>
  <w:style w:type="character" w:customStyle="1" w:styleId="s6">
    <w:name w:val="s6"/>
    <w:basedOn w:val="DefaultParagraphFont"/>
    <w:rsid w:val="00D1791F"/>
  </w:style>
  <w:style w:type="character" w:customStyle="1" w:styleId="s7">
    <w:name w:val="s7"/>
    <w:basedOn w:val="DefaultParagraphFont"/>
    <w:rsid w:val="00D1791F"/>
  </w:style>
  <w:style w:type="paragraph" w:customStyle="1" w:styleId="p1">
    <w:name w:val="p1"/>
    <w:basedOn w:val="Normal"/>
    <w:rsid w:val="00902EC0"/>
    <w:pPr>
      <w:spacing w:after="0" w:line="240" w:lineRule="auto"/>
      <w:jc w:val="left"/>
    </w:pPr>
    <w:rPr>
      <w:rFonts w:ascii=".AppleSystemUIFont" w:eastAsiaTheme="minorEastAsia" w:hAnsi=".AppleSystemUIFont" w:cs="Times New Roman"/>
      <w:szCs w:val="24"/>
      <w:lang w:val="en-GB" w:eastAsia="en-GB"/>
    </w:rPr>
  </w:style>
  <w:style w:type="paragraph" w:customStyle="1" w:styleId="p2">
    <w:name w:val="p2"/>
    <w:basedOn w:val="Normal"/>
    <w:rsid w:val="00902EC0"/>
    <w:pPr>
      <w:spacing w:after="0" w:line="240" w:lineRule="auto"/>
      <w:jc w:val="left"/>
    </w:pPr>
    <w:rPr>
      <w:rFonts w:ascii=".AppleSystemUIFont" w:eastAsiaTheme="minorEastAsia" w:hAnsi=".AppleSystemUIFont" w:cs="Times New Roman"/>
      <w:szCs w:val="24"/>
      <w:lang w:val="en-GB" w:eastAsia="en-GB"/>
    </w:rPr>
  </w:style>
  <w:style w:type="character" w:customStyle="1" w:styleId="s1">
    <w:name w:val="s1"/>
    <w:basedOn w:val="DefaultParagraphFont"/>
    <w:rsid w:val="00902EC0"/>
    <w:rPr>
      <w:rFonts w:ascii="UICTFontTextStyleBody" w:hAnsi="UICTFontTextStyleBody" w:hint="default"/>
      <w:b w:val="0"/>
      <w:bCs w:val="0"/>
      <w:i w:val="0"/>
      <w:iCs w:val="0"/>
      <w:sz w:val="24"/>
      <w:szCs w:val="24"/>
    </w:rPr>
  </w:style>
  <w:style w:type="character" w:customStyle="1" w:styleId="s2">
    <w:name w:val="s2"/>
    <w:basedOn w:val="DefaultParagraphFont"/>
    <w:rsid w:val="00902EC0"/>
    <w:rPr>
      <w:rFonts w:ascii="UICTFontTextStyleItalicBody" w:hAnsi="UICTFontTextStyleItalicBody" w:hint="default"/>
      <w:b w:val="0"/>
      <w:bCs w:val="0"/>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0854813">
      <w:bodyDiv w:val="1"/>
      <w:marLeft w:val="0"/>
      <w:marRight w:val="0"/>
      <w:marTop w:val="0"/>
      <w:marBottom w:val="0"/>
      <w:divBdr>
        <w:top w:val="none" w:sz="0" w:space="0" w:color="auto"/>
        <w:left w:val="none" w:sz="0" w:space="0" w:color="auto"/>
        <w:bottom w:val="none" w:sz="0" w:space="0" w:color="auto"/>
        <w:right w:val="none" w:sz="0" w:space="0" w:color="auto"/>
      </w:divBdr>
    </w:div>
    <w:div w:id="594358925">
      <w:bodyDiv w:val="1"/>
      <w:marLeft w:val="0"/>
      <w:marRight w:val="0"/>
      <w:marTop w:val="0"/>
      <w:marBottom w:val="0"/>
      <w:divBdr>
        <w:top w:val="none" w:sz="0" w:space="0" w:color="auto"/>
        <w:left w:val="none" w:sz="0" w:space="0" w:color="auto"/>
        <w:bottom w:val="none" w:sz="0" w:space="0" w:color="auto"/>
        <w:right w:val="none" w:sz="0" w:space="0" w:color="auto"/>
      </w:divBdr>
    </w:div>
    <w:div w:id="852301699">
      <w:bodyDiv w:val="1"/>
      <w:marLeft w:val="0"/>
      <w:marRight w:val="0"/>
      <w:marTop w:val="0"/>
      <w:marBottom w:val="0"/>
      <w:divBdr>
        <w:top w:val="none" w:sz="0" w:space="0" w:color="auto"/>
        <w:left w:val="none" w:sz="0" w:space="0" w:color="auto"/>
        <w:bottom w:val="none" w:sz="0" w:space="0" w:color="auto"/>
        <w:right w:val="none" w:sz="0" w:space="0" w:color="auto"/>
      </w:divBdr>
    </w:div>
    <w:div w:id="1158378210">
      <w:bodyDiv w:val="1"/>
      <w:marLeft w:val="0"/>
      <w:marRight w:val="0"/>
      <w:marTop w:val="0"/>
      <w:marBottom w:val="0"/>
      <w:divBdr>
        <w:top w:val="none" w:sz="0" w:space="0" w:color="auto"/>
        <w:left w:val="none" w:sz="0" w:space="0" w:color="auto"/>
        <w:bottom w:val="none" w:sz="0" w:space="0" w:color="auto"/>
        <w:right w:val="none" w:sz="0" w:space="0" w:color="auto"/>
      </w:divBdr>
    </w:div>
    <w:div w:id="1397775342">
      <w:bodyDiv w:val="1"/>
      <w:marLeft w:val="0"/>
      <w:marRight w:val="0"/>
      <w:marTop w:val="0"/>
      <w:marBottom w:val="0"/>
      <w:divBdr>
        <w:top w:val="none" w:sz="0" w:space="0" w:color="auto"/>
        <w:left w:val="none" w:sz="0" w:space="0" w:color="auto"/>
        <w:bottom w:val="none" w:sz="0" w:space="0" w:color="auto"/>
        <w:right w:val="none" w:sz="0" w:space="0" w:color="auto"/>
      </w:divBdr>
    </w:div>
    <w:div w:id="1401293019">
      <w:bodyDiv w:val="1"/>
      <w:marLeft w:val="0"/>
      <w:marRight w:val="0"/>
      <w:marTop w:val="0"/>
      <w:marBottom w:val="0"/>
      <w:divBdr>
        <w:top w:val="none" w:sz="0" w:space="0" w:color="auto"/>
        <w:left w:val="none" w:sz="0" w:space="0" w:color="auto"/>
        <w:bottom w:val="none" w:sz="0" w:space="0" w:color="auto"/>
        <w:right w:val="none" w:sz="0" w:space="0" w:color="auto"/>
      </w:divBdr>
    </w:div>
    <w:div w:id="1605724302">
      <w:bodyDiv w:val="1"/>
      <w:marLeft w:val="0"/>
      <w:marRight w:val="0"/>
      <w:marTop w:val="0"/>
      <w:marBottom w:val="0"/>
      <w:divBdr>
        <w:top w:val="none" w:sz="0" w:space="0" w:color="auto"/>
        <w:left w:val="none" w:sz="0" w:space="0" w:color="auto"/>
        <w:bottom w:val="none" w:sz="0" w:space="0" w:color="auto"/>
        <w:right w:val="none" w:sz="0" w:space="0" w:color="auto"/>
      </w:divBdr>
      <w:divsChild>
        <w:div w:id="371081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2535550/" TargetMode="External"/><Relationship Id="rId13" Type="http://schemas.openxmlformats.org/officeDocument/2006/relationships/hyperlink" Target="https://extranet.who.int/countryplanningcycles/sites/default/files/public_file_rep/GBR_United-Kingdom_NHS-Long-term-plan_2019.pdf" TargetMode="External"/><Relationship Id="rId18" Type="http://schemas.openxmlformats.org/officeDocument/2006/relationships/hyperlink" Target="https://www.un.org/sustainabledevelopment/hunger/" TargetMode="External"/><Relationship Id="rId3" Type="http://schemas.openxmlformats.org/officeDocument/2006/relationships/styles" Target="styles.xml"/><Relationship Id="rId21" Type="http://schemas.openxmlformats.org/officeDocument/2006/relationships/hyperlink" Target="https://www.who.int/publications/i/item/9789240040618" TargetMode="External"/><Relationship Id="rId7" Type="http://schemas.openxmlformats.org/officeDocument/2006/relationships/endnotes" Target="endnotes.xml"/><Relationship Id="rId12" Type="http://schemas.openxmlformats.org/officeDocument/2006/relationships/hyperlink" Target="https://www.bmj.com/content/368/bmj.m693" TargetMode="External"/><Relationship Id="rId17" Type="http://schemas.openxmlformats.org/officeDocument/2006/relationships/hyperlink" Target="https://data.unicef.org/topic/nutrition/malnutri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ublications.parliament.uk/pa/cm5901/cmselect/cmintdev/515/report.html" TargetMode="External"/><Relationship Id="rId20" Type="http://schemas.openxmlformats.org/officeDocument/2006/relationships/hyperlink" Target="https://cms.trussell.org.uk/sites/default/files/2024-10/Cost%20of%20Hunger%20and%20Hardship_Interim%20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ech.bmj.com/content/73/7/66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org.uk/reports-and-analysis/reports/health-in-2040-projected-patterns-of-illness-in-england" TargetMode="External"/><Relationship Id="rId23" Type="http://schemas.openxmlformats.org/officeDocument/2006/relationships/header" Target="header1.xml"/><Relationship Id="rId10" Type="http://schemas.openxmlformats.org/officeDocument/2006/relationships/hyperlink" Target="https://openknowledge.fao.org/items/63b052f9-f2c1-453b-97a3-1d814facea36" TargetMode="External"/><Relationship Id="rId19" Type="http://schemas.openxmlformats.org/officeDocument/2006/relationships/hyperlink" Target="https://unstats.un.org/sdgs/report/2025/The-Sustainable-Development-Goals-Report-2025.pdf" TargetMode="External"/><Relationship Id="rId4" Type="http://schemas.openxmlformats.org/officeDocument/2006/relationships/settings" Target="settings.xml"/><Relationship Id="rId9" Type="http://schemas.openxmlformats.org/officeDocument/2006/relationships/hyperlink" Target="https://www.gov.uk/government/publications/defras-annual-report-and-accounts-2023-to-2024/defras-annual-report-and-accounts-for-2023-to-2024-annual-report" TargetMode="External"/><Relationship Id="rId14" Type="http://schemas.openxmlformats.org/officeDocument/2006/relationships/hyperlink" Target="https://www.cambridge.org/core/journals/public-health-nutrition/article/food-insecurity-and-mental-health-a-systematic-review-and-metaanalysis/CB76D90D879907A6050DCAE2AD4F07EE" TargetMode="External"/><Relationship Id="rId22" Type="http://schemas.openxmlformats.org/officeDocument/2006/relationships/hyperlink" Target="https://cdn.who.int/media/docs/default-source/gho-documents/world-health-statistic-reports/2023/world-health-statistics-2023_20230519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90EF0-2936-4223-819A-302F56B73F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2679</Words>
  <Characters>15274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MOZACK</dc:creator>
  <cp:keywords/>
  <dc:description/>
  <cp:lastModifiedBy>Julianah Bosede Iwalaiye (2133902)</cp:lastModifiedBy>
  <cp:revision>71</cp:revision>
  <dcterms:created xsi:type="dcterms:W3CDTF">2026-08-14T09:50:00Z</dcterms:created>
  <dcterms:modified xsi:type="dcterms:W3CDTF">2026-08-14T12:12:00Z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2fffd740-d468-4b26-8999-11b691ab2624</vt:lpwstr>
  </property>
</Properties>
</file>