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FAE2CE" w14:textId="77777777" w:rsidR="00453BDB" w:rsidRPr="00453BDB" w:rsidRDefault="00453BDB" w:rsidP="00453BDB">
      <w:pPr>
        <w:spacing w:before="120" w:after="120"/>
        <w:jc w:val="center"/>
        <w:rPr>
          <w:rFonts w:ascii="Arial" w:hAnsi="Arial" w:cs="Arial"/>
          <w:b/>
          <w:sz w:val="48"/>
          <w:szCs w:val="48"/>
        </w:rPr>
      </w:pPr>
      <w:r w:rsidRPr="00453BDB">
        <w:rPr>
          <w:rFonts w:ascii="Arial" w:hAnsi="Arial" w:cs="Arial"/>
          <w:b/>
          <w:sz w:val="48"/>
          <w:szCs w:val="48"/>
        </w:rPr>
        <w:t>Gender Race Religion &amp; Crime</w:t>
      </w:r>
    </w:p>
    <w:p w14:paraId="1C70A171" w14:textId="079321F0" w:rsidR="00453BDB" w:rsidRPr="00AA5118" w:rsidRDefault="00453BDB" w:rsidP="00AA5118">
      <w:pPr>
        <w:jc w:val="center"/>
        <w:rPr>
          <w:rFonts w:asciiTheme="majorHAnsi" w:hAnsiTheme="majorHAnsi" w:cstheme="majorHAnsi"/>
          <w:sz w:val="48"/>
          <w:szCs w:val="48"/>
        </w:rPr>
      </w:pPr>
      <w:r w:rsidRPr="00453BDB">
        <w:rPr>
          <w:rFonts w:asciiTheme="majorHAnsi" w:hAnsiTheme="majorHAnsi" w:cstheme="majorHAnsi"/>
          <w:sz w:val="48"/>
          <w:szCs w:val="48"/>
        </w:rPr>
        <w:t>What are the challenges faced by Transgender Individuals within the Criminal Justice System, and how can these be addressed?</w:t>
      </w:r>
    </w:p>
    <w:p w14:paraId="75562E8C" w14:textId="77777777" w:rsidR="00453BDB" w:rsidRDefault="00453BDB" w:rsidP="00453BDB">
      <w:pPr>
        <w:jc w:val="center"/>
        <w:rPr>
          <w:rFonts w:asciiTheme="majorHAnsi" w:hAnsiTheme="majorHAnsi" w:cstheme="majorHAnsi"/>
        </w:rPr>
      </w:pPr>
    </w:p>
    <w:p w14:paraId="14692311" w14:textId="77777777" w:rsidR="00453BDB" w:rsidRDefault="00453BDB" w:rsidP="00453BDB">
      <w:pPr>
        <w:jc w:val="center"/>
        <w:rPr>
          <w:rFonts w:asciiTheme="majorHAnsi" w:hAnsiTheme="majorHAnsi" w:cstheme="majorHAnsi"/>
        </w:rPr>
      </w:pPr>
    </w:p>
    <w:p w14:paraId="7450A324" w14:textId="77777777" w:rsidR="00453BDB" w:rsidRDefault="00453BDB" w:rsidP="00453BDB">
      <w:pPr>
        <w:jc w:val="center"/>
        <w:rPr>
          <w:rFonts w:asciiTheme="majorHAnsi" w:hAnsiTheme="majorHAnsi" w:cstheme="majorHAnsi"/>
        </w:rPr>
      </w:pPr>
    </w:p>
    <w:p w14:paraId="224080CA" w14:textId="77777777" w:rsidR="00453BDB" w:rsidRPr="00453BDB" w:rsidRDefault="00453BDB" w:rsidP="00453BDB">
      <w:pPr>
        <w:jc w:val="center"/>
        <w:rPr>
          <w:rFonts w:asciiTheme="majorHAnsi" w:hAnsiTheme="majorHAnsi" w:cstheme="majorHAnsi"/>
        </w:rPr>
      </w:pPr>
    </w:p>
    <w:p w14:paraId="701B95FB" w14:textId="2DC410D7" w:rsidR="00453BDB" w:rsidRDefault="00453BDB">
      <w:r>
        <w:rPr>
          <w:noProof/>
          <w14:ligatures w14:val="standardContextual"/>
        </w:rPr>
        <w:drawing>
          <wp:inline distT="0" distB="0" distL="0" distR="0" wp14:anchorId="55C6E670" wp14:editId="15A6EBA6">
            <wp:extent cx="5731510" cy="3820795"/>
            <wp:effectExtent l="0" t="0" r="0" b="1905"/>
            <wp:docPr id="1855652721" name="Picture 1" descr="A chalk drawing of gender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652721" name="Picture 1" descr="A chalk drawing of gender symbols&#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1ACC445E" w14:textId="22F3389A" w:rsidR="00453BDB" w:rsidRDefault="00453BDB">
      <w:pPr>
        <w:rPr>
          <w:rFonts w:ascii="Arial" w:hAnsi="Arial" w:cs="Arial"/>
          <w:color w:val="000000"/>
        </w:rPr>
      </w:pPr>
      <w:r w:rsidRPr="00453BDB">
        <w:rPr>
          <w:rFonts w:ascii="Arial" w:hAnsi="Arial" w:cs="Arial"/>
          <w:color w:val="000000"/>
        </w:rPr>
        <w:t>Rood (2020)</w:t>
      </w:r>
    </w:p>
    <w:p w14:paraId="3020D928" w14:textId="77777777" w:rsidR="00453BDB" w:rsidRDefault="00453BDB">
      <w:pPr>
        <w:rPr>
          <w:rFonts w:ascii="Arial" w:hAnsi="Arial" w:cs="Arial"/>
          <w:color w:val="000000"/>
        </w:rPr>
      </w:pPr>
    </w:p>
    <w:p w14:paraId="296B3C14" w14:textId="77777777" w:rsidR="00453BDB" w:rsidRDefault="00453BDB">
      <w:pPr>
        <w:rPr>
          <w:rFonts w:ascii="Arial" w:hAnsi="Arial" w:cs="Arial"/>
          <w:color w:val="000000"/>
        </w:rPr>
      </w:pPr>
    </w:p>
    <w:p w14:paraId="3E199365" w14:textId="77777777" w:rsidR="00453BDB" w:rsidRDefault="00453BDB">
      <w:pPr>
        <w:rPr>
          <w:rFonts w:ascii="Arial" w:hAnsi="Arial" w:cs="Arial"/>
          <w:color w:val="000000"/>
        </w:rPr>
      </w:pPr>
    </w:p>
    <w:p w14:paraId="6CB6A56C" w14:textId="77777777" w:rsidR="00453BDB" w:rsidRPr="00453BDB" w:rsidRDefault="00453BDB">
      <w:pPr>
        <w:rPr>
          <w:rFonts w:ascii="Arial" w:hAnsi="Arial" w:cs="Arial"/>
          <w:color w:val="000000"/>
          <w:sz w:val="48"/>
          <w:szCs w:val="48"/>
        </w:rPr>
      </w:pPr>
    </w:p>
    <w:p w14:paraId="0CA37377" w14:textId="399ABD86" w:rsidR="00453BDB" w:rsidRPr="00453BDB" w:rsidRDefault="00453BDB" w:rsidP="00453BDB">
      <w:pPr>
        <w:jc w:val="center"/>
        <w:rPr>
          <w:rFonts w:ascii="Arial" w:hAnsi="Arial" w:cs="Arial"/>
          <w:color w:val="000000"/>
          <w:sz w:val="48"/>
          <w:szCs w:val="48"/>
        </w:rPr>
      </w:pPr>
      <w:r w:rsidRPr="00453BDB">
        <w:rPr>
          <w:rFonts w:ascii="Arial" w:hAnsi="Arial" w:cs="Arial"/>
          <w:color w:val="000000"/>
          <w:sz w:val="48"/>
          <w:szCs w:val="48"/>
        </w:rPr>
        <w:t xml:space="preserve">Sadie May Mason </w:t>
      </w:r>
    </w:p>
    <w:p w14:paraId="561EE7B8" w14:textId="5C20C681" w:rsidR="00453BDB" w:rsidRDefault="00453BDB" w:rsidP="00453BDB">
      <w:pPr>
        <w:jc w:val="center"/>
        <w:rPr>
          <w:rFonts w:ascii="Arial" w:hAnsi="Arial" w:cs="Arial"/>
          <w:b/>
          <w:sz w:val="48"/>
          <w:szCs w:val="48"/>
        </w:rPr>
      </w:pPr>
      <w:r w:rsidRPr="00453BDB">
        <w:rPr>
          <w:rFonts w:ascii="Arial" w:hAnsi="Arial" w:cs="Arial"/>
          <w:b/>
          <w:sz w:val="48"/>
          <w:szCs w:val="48"/>
        </w:rPr>
        <w:t>BMCP6005</w:t>
      </w:r>
    </w:p>
    <w:p w14:paraId="7286F249" w14:textId="77777777" w:rsidR="00AA5118" w:rsidRPr="00AA5118" w:rsidRDefault="00AA5118" w:rsidP="00AA5118">
      <w:pPr>
        <w:spacing w:line="360" w:lineRule="auto"/>
        <w:rPr>
          <w:rFonts w:ascii="Arial" w:hAnsi="Arial" w:cs="Arial"/>
          <w:color w:val="000000"/>
        </w:rPr>
      </w:pPr>
    </w:p>
    <w:p w14:paraId="19240C6C" w14:textId="77777777" w:rsidR="00AB48A0" w:rsidRDefault="00AB48A0" w:rsidP="00AB48A0">
      <w:pPr>
        <w:pStyle w:val="NormalWeb"/>
        <w:spacing w:line="360" w:lineRule="auto"/>
        <w:rPr>
          <w:rFonts w:ascii="Arial" w:hAnsi="Arial" w:cs="Arial"/>
          <w:color w:val="000000"/>
        </w:rPr>
      </w:pPr>
    </w:p>
    <w:p w14:paraId="2C43647D" w14:textId="501A8FA4"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lastRenderedPageBreak/>
        <w:t xml:space="preserve">King (2025) believes that the </w:t>
      </w:r>
      <w:r w:rsidR="00993171">
        <w:rPr>
          <w:rFonts w:ascii="Arial" w:hAnsi="Arial" w:cs="Arial"/>
          <w:color w:val="000000"/>
        </w:rPr>
        <w:t>C</w:t>
      </w:r>
      <w:r w:rsidRPr="00AB48A0">
        <w:rPr>
          <w:rFonts w:ascii="Arial" w:hAnsi="Arial" w:cs="Arial"/>
          <w:color w:val="000000"/>
        </w:rPr>
        <w:t xml:space="preserve">riminal </w:t>
      </w:r>
      <w:r w:rsidR="00993171">
        <w:rPr>
          <w:rFonts w:ascii="Arial" w:hAnsi="Arial" w:cs="Arial"/>
          <w:color w:val="000000"/>
        </w:rPr>
        <w:t>J</w:t>
      </w:r>
      <w:r w:rsidRPr="00AB48A0">
        <w:rPr>
          <w:rFonts w:ascii="Arial" w:hAnsi="Arial" w:cs="Arial"/>
          <w:color w:val="000000"/>
        </w:rPr>
        <w:t xml:space="preserve">ustice </w:t>
      </w:r>
      <w:r w:rsidR="00993171">
        <w:rPr>
          <w:rFonts w:ascii="Arial" w:hAnsi="Arial" w:cs="Arial"/>
          <w:color w:val="000000"/>
        </w:rPr>
        <w:t>S</w:t>
      </w:r>
      <w:r w:rsidRPr="00AB48A0">
        <w:rPr>
          <w:rFonts w:ascii="Arial" w:hAnsi="Arial" w:cs="Arial"/>
          <w:color w:val="000000"/>
        </w:rPr>
        <w:t xml:space="preserve">ystem (CJS) is intended to uphold justice and safeguard society. According to </w:t>
      </w:r>
      <w:proofErr w:type="spellStart"/>
      <w:r w:rsidRPr="00AB48A0">
        <w:rPr>
          <w:rFonts w:ascii="Arial" w:hAnsi="Arial" w:cs="Arial"/>
          <w:color w:val="000000"/>
        </w:rPr>
        <w:t>Baćak</w:t>
      </w:r>
      <w:proofErr w:type="spellEnd"/>
      <w:r w:rsidRPr="00AB48A0">
        <w:rPr>
          <w:rFonts w:ascii="Arial" w:hAnsi="Arial" w:cs="Arial"/>
          <w:color w:val="000000"/>
        </w:rPr>
        <w:t xml:space="preserve"> (2023), the current system often exacerbates the vulnerabilities of transgender people, rather than protecting their rights. This essay critically investigates the systemic prejudice against transgender people in policing, the judicial system, and penal facilities, illustrating how such marginalisation raises serious human rights problems. According to Avalos (2022), transgender people are routinely subjected to violence, harassment, legal impediments, and inadequate medical care, which exacerbates their social isolation. Furthermore</w:t>
      </w:r>
      <w:r w:rsidR="00993171">
        <w:rPr>
          <w:rFonts w:ascii="Arial" w:hAnsi="Arial" w:cs="Arial"/>
          <w:color w:val="000000"/>
        </w:rPr>
        <w:t xml:space="preserve">, </w:t>
      </w:r>
      <w:proofErr w:type="spellStart"/>
      <w:r w:rsidR="00993171" w:rsidRPr="00993171">
        <w:rPr>
          <w:rFonts w:ascii="Arial" w:hAnsi="Arial" w:cs="Arial"/>
          <w:color w:val="000000"/>
        </w:rPr>
        <w:t>Brömdal</w:t>
      </w:r>
      <w:proofErr w:type="spellEnd"/>
      <w:r w:rsidR="00993171" w:rsidRPr="00993171">
        <w:rPr>
          <w:rFonts w:ascii="Arial" w:hAnsi="Arial" w:cs="Arial"/>
          <w:color w:val="000000"/>
        </w:rPr>
        <w:t xml:space="preserve"> et al (2024)</w:t>
      </w:r>
      <w:r w:rsidR="00993171">
        <w:rPr>
          <w:rFonts w:ascii="-webkit-standard" w:hAnsi="-webkit-standard"/>
          <w:color w:val="000000"/>
          <w:sz w:val="27"/>
          <w:szCs w:val="27"/>
        </w:rPr>
        <w:t xml:space="preserve"> states, </w:t>
      </w:r>
      <w:r w:rsidRPr="00AB48A0">
        <w:rPr>
          <w:rFonts w:ascii="Arial" w:hAnsi="Arial" w:cs="Arial"/>
          <w:color w:val="000000"/>
        </w:rPr>
        <w:t>these systemic challenges result in disproportionate incarceration rates, often worsening the mental and physical suffering experienced by transgender people. By examining the interaction of gender identity and prejudice at several phases of the criminal justice system, this essay emphasises the critical need for reform to ensure that transgender persons are treated with the same decency, respect, and rights as everyone else in the system.</w:t>
      </w:r>
    </w:p>
    <w:p w14:paraId="3072DA91" w14:textId="0DB40597"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t>The experiences of transgender individuals within the Criminal Justice System (CJS) are fraught with systemic biases that obstruct their access to justice. According to Renz (2024), one of the primary issues is the misgendering of transgender individuals through legal documentation, which not only invalidates their gender identity but also creates barriers to receiving appropriate legal representation. The CJS, as Renz (2024) further contends, has been slow to implement policies that address the unique needs of transgender individuals, treating these concerns as secondary in comparison to broader systemic issues</w:t>
      </w:r>
      <w:r w:rsidR="00A14A55">
        <w:rPr>
          <w:rFonts w:ascii="Arial" w:hAnsi="Arial" w:cs="Arial"/>
          <w:color w:val="000000"/>
        </w:rPr>
        <w:t>. Renz (2024) also reiterates that, t</w:t>
      </w:r>
      <w:r w:rsidRPr="00AB48A0">
        <w:rPr>
          <w:rFonts w:ascii="Arial" w:hAnsi="Arial" w:cs="Arial"/>
          <w:color w:val="000000"/>
        </w:rPr>
        <w:t xml:space="preserve">his lack of tailored policies is particularly evident in the failure to create an inclusive environment for transgender people, which directly affects their ability to access justice and fair treatment. In agreement, </w:t>
      </w:r>
      <w:proofErr w:type="spellStart"/>
      <w:r w:rsidRPr="00AB48A0">
        <w:rPr>
          <w:rFonts w:ascii="Arial" w:hAnsi="Arial" w:cs="Arial"/>
          <w:color w:val="000000"/>
        </w:rPr>
        <w:t>Maycock</w:t>
      </w:r>
      <w:proofErr w:type="spellEnd"/>
      <w:r w:rsidRPr="00AB48A0">
        <w:rPr>
          <w:rFonts w:ascii="Arial" w:hAnsi="Arial" w:cs="Arial"/>
          <w:color w:val="000000"/>
        </w:rPr>
        <w:t xml:space="preserve"> et al (2025) suggest that addressing these injustices requires a multifaceted approach involving comprehensive policy reforms, specialized training for law enforcement personnel, and a shift in societal attitudes toward gender identity. </w:t>
      </w:r>
      <w:proofErr w:type="spellStart"/>
      <w:r w:rsidR="00A14A55">
        <w:rPr>
          <w:rFonts w:ascii="Arial" w:hAnsi="Arial" w:cs="Arial"/>
          <w:color w:val="000000"/>
        </w:rPr>
        <w:t>Maycock</w:t>
      </w:r>
      <w:proofErr w:type="spellEnd"/>
      <w:r w:rsidR="00A14A55">
        <w:rPr>
          <w:rFonts w:ascii="Arial" w:hAnsi="Arial" w:cs="Arial"/>
          <w:color w:val="000000"/>
        </w:rPr>
        <w:t xml:space="preserve"> et al (2025</w:t>
      </w:r>
      <w:r w:rsidR="00750A5C">
        <w:rPr>
          <w:rFonts w:ascii="Arial" w:hAnsi="Arial" w:cs="Arial"/>
          <w:color w:val="000000"/>
        </w:rPr>
        <w:t>)</w:t>
      </w:r>
      <w:r w:rsidR="00A14A55">
        <w:rPr>
          <w:rFonts w:ascii="Arial" w:hAnsi="Arial" w:cs="Arial"/>
          <w:color w:val="000000"/>
        </w:rPr>
        <w:t xml:space="preserve"> goes on to say that s</w:t>
      </w:r>
      <w:r w:rsidRPr="00AB48A0">
        <w:rPr>
          <w:rFonts w:ascii="Arial" w:hAnsi="Arial" w:cs="Arial"/>
          <w:color w:val="000000"/>
        </w:rPr>
        <w:t>uch reforms would not only create a more inclusive system but also ensure the equitable treatment of transgender individuals, irrespective of their gender identity.</w:t>
      </w:r>
    </w:p>
    <w:p w14:paraId="4137A745" w14:textId="79FEF914"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lastRenderedPageBreak/>
        <w:t xml:space="preserve">Harassment and discrimination are pervasive issues for transgender individuals in the CJS, particularly within law enforcement and correctional settings. Van </w:t>
      </w:r>
      <w:proofErr w:type="spellStart"/>
      <w:r w:rsidRPr="00AB48A0">
        <w:rPr>
          <w:rFonts w:ascii="Arial" w:hAnsi="Arial" w:cs="Arial"/>
          <w:color w:val="000000"/>
        </w:rPr>
        <w:t>Hout</w:t>
      </w:r>
      <w:proofErr w:type="spellEnd"/>
      <w:r w:rsidRPr="00AB48A0">
        <w:rPr>
          <w:rFonts w:ascii="Arial" w:hAnsi="Arial" w:cs="Arial"/>
          <w:color w:val="000000"/>
        </w:rPr>
        <w:t xml:space="preserve"> and Crowley (2021) argue that transgender individuals frequently face verbal and physical abuse from law enforcement officers, legal representatives, and fellow inmates. This assertion is supported by Jacobs (2024), who notes that transgender people are often subjected to routine mistreatment in various CJS settings. Abreu</w:t>
      </w:r>
      <w:r w:rsidR="0022350E">
        <w:rPr>
          <w:rFonts w:ascii="Arial" w:hAnsi="Arial" w:cs="Arial"/>
          <w:color w:val="000000"/>
        </w:rPr>
        <w:t xml:space="preserve"> (</w:t>
      </w:r>
      <w:r w:rsidRPr="00AB48A0">
        <w:rPr>
          <w:rFonts w:ascii="Arial" w:hAnsi="Arial" w:cs="Arial"/>
          <w:color w:val="000000"/>
        </w:rPr>
        <w:t xml:space="preserve">2021) provide further insight into the dynamics of abuse, emphasizing that law enforcement officers may intentionally demean transgender individuals, which results in a significant erosion of trust between the transgender community and the police. This hostile environment is exemplified in a case study by Taylor (2013), where police officers in central London allegedly mocked a transgender woman during her arrest, calling her "not normal." This case highlights the personal toll of discriminatory practices and the societal stigmas that transgender individuals face within the CJS. Moreover, </w:t>
      </w:r>
      <w:proofErr w:type="spellStart"/>
      <w:r w:rsidRPr="00AB48A0">
        <w:rPr>
          <w:rFonts w:ascii="Arial" w:hAnsi="Arial" w:cs="Arial"/>
          <w:color w:val="000000"/>
        </w:rPr>
        <w:t>Suhomlinova</w:t>
      </w:r>
      <w:proofErr w:type="spellEnd"/>
      <w:r w:rsidRPr="00AB48A0">
        <w:rPr>
          <w:rFonts w:ascii="Arial" w:hAnsi="Arial" w:cs="Arial"/>
          <w:color w:val="000000"/>
        </w:rPr>
        <w:t xml:space="preserve"> and O'Shea (2024) argue that this mistreatment extends into correctional facilities, where transgender inmates often experience discrimination not only from staff but also from fellow detainees. Walters (2024) reinforces this, noting that persistent misgendering and the refusal to acknowledge transgender identities create a toxic and hostile atmosphere that compounds the challenges transgender individuals face within the CJS.</w:t>
      </w:r>
    </w:p>
    <w:p w14:paraId="0F18DD8F" w14:textId="77777777"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t>Freitas et al (2024) outline several manifestations of discrimination, such as the use of inappropriate terminology, denial of essential healthcare, and a failure to protect transgender individuals from physical and sexual violence. Avalos and Carrillo (2024) further argue that law enforcement officers may target transgender individuals for invasive searches, arrests, or questioning based on entrenched stereotypes and prejudices, which are often not addressed due to a lack of training in gender identity issues. Evans et al (2024) emphasize that the systemic failure to provide appropriate housing for transgender individuals in correctional institutions is particularly problematic, as many are placed in facilities that do not align with their gender identity, which significantly heightens their risk of physical and sexual violence. Saenz (2024) supports this view, arguing that such placements foster a climate of fear and isolation, which is compounded by the lack of institutional support to address the unique needs of transgender detainees.</w:t>
      </w:r>
    </w:p>
    <w:p w14:paraId="47F8621C" w14:textId="4DD77BF9"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lastRenderedPageBreak/>
        <w:t xml:space="preserve">To address these concerns, Hester et al (2023) advocate for mandatory sensitivity training for law enforcement and correctional officers, emphasizing the importance of understanding gender identity, using appropriate pronouns, and ensuring that transgender individuals are treated with dignity and respect. Similarly, Herman et al (2022) stress the need for stringent anti-discrimination policies throughout the CJS, with clear penalties for discriminatory conduct. These recommendations align with the </w:t>
      </w:r>
      <w:r w:rsidR="00993171">
        <w:rPr>
          <w:rFonts w:ascii="Arial" w:hAnsi="Arial" w:cs="Arial"/>
          <w:color w:val="000000"/>
        </w:rPr>
        <w:t xml:space="preserve">American Civil Liberties Union </w:t>
      </w:r>
      <w:r w:rsidRPr="00AB48A0">
        <w:rPr>
          <w:rFonts w:ascii="Arial" w:hAnsi="Arial" w:cs="Arial"/>
          <w:color w:val="000000"/>
        </w:rPr>
        <w:t>call for the establishment of independent monitoring bodies to investigate instances of discrimination, which would improve transparency and accountability. James et al</w:t>
      </w:r>
      <w:r w:rsidR="00993171">
        <w:rPr>
          <w:rFonts w:ascii="Arial" w:hAnsi="Arial" w:cs="Arial"/>
          <w:color w:val="000000"/>
        </w:rPr>
        <w:t xml:space="preserve"> </w:t>
      </w:r>
      <w:r w:rsidRPr="00AB48A0">
        <w:rPr>
          <w:rFonts w:ascii="Arial" w:hAnsi="Arial" w:cs="Arial"/>
          <w:color w:val="000000"/>
        </w:rPr>
        <w:t>(2021) and McKinnon (2023) both highlight significant obstacles transgender individuals face in reporting crimes, with many being deterred by the fear of exposure, humiliation, or being disregarded by law enforcement. Ryan and Smith (2023) further argue that the scepticism and hostility often exhibited by law enforcement discourage transgender victims from coming forward.</w:t>
      </w:r>
    </w:p>
    <w:p w14:paraId="1ED897A1" w14:textId="15A57B0E"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t xml:space="preserve">Critically, while </w:t>
      </w:r>
      <w:proofErr w:type="spellStart"/>
      <w:r w:rsidRPr="00AB48A0">
        <w:rPr>
          <w:rFonts w:ascii="Arial" w:hAnsi="Arial" w:cs="Arial"/>
          <w:color w:val="000000"/>
        </w:rPr>
        <w:t>Kosbie</w:t>
      </w:r>
      <w:proofErr w:type="spellEnd"/>
      <w:r w:rsidRPr="00AB48A0">
        <w:rPr>
          <w:rFonts w:ascii="Arial" w:hAnsi="Arial" w:cs="Arial"/>
          <w:color w:val="000000"/>
        </w:rPr>
        <w:t xml:space="preserve"> (2021) suggests that specialized </w:t>
      </w:r>
      <w:r w:rsidR="00993171">
        <w:rPr>
          <w:rFonts w:ascii="Arial" w:hAnsi="Arial" w:cs="Arial"/>
          <w:color w:val="000000"/>
        </w:rPr>
        <w:t>Lesbian, gay, bisexual and transgender (</w:t>
      </w:r>
      <w:r w:rsidRPr="00AB48A0">
        <w:rPr>
          <w:rFonts w:ascii="Arial" w:hAnsi="Arial" w:cs="Arial"/>
          <w:color w:val="000000"/>
        </w:rPr>
        <w:t>LGBTQ+</w:t>
      </w:r>
      <w:r w:rsidR="00993171">
        <w:rPr>
          <w:rFonts w:ascii="Arial" w:hAnsi="Arial" w:cs="Arial"/>
          <w:color w:val="000000"/>
        </w:rPr>
        <w:t>)</w:t>
      </w:r>
      <w:r w:rsidRPr="00AB48A0">
        <w:rPr>
          <w:rFonts w:ascii="Arial" w:hAnsi="Arial" w:cs="Arial"/>
          <w:color w:val="000000"/>
        </w:rPr>
        <w:t xml:space="preserve"> units within law enforcement could improve community relations, Pickles (2019) highlights that these units may have limited effectiveness due to deeply ingrained institutional biases that persist within the system. Chang (2023) suggests that community outreach programs have the potential to foster trust between transgender individuals and law enforcement, but their success is dependent on institutional commitment and adequate funding. While safe and anonymous reporting mechanisms may mitigate some of the barriers to reporting, the ACLU (2022) cautions that such measures alone are insufficient to protect transgender individuals from ongoing discrimination within the legal system. These differing perspectives underscore the complexity of the issue and the need for a comprehensive approach to reform.</w:t>
      </w:r>
    </w:p>
    <w:p w14:paraId="763DAB97" w14:textId="77777777"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t xml:space="preserve">Another significant challenge faced by transgender individuals in the CJS is the issue of misgendering and the denial of gender-appropriate facilities. </w:t>
      </w:r>
      <w:proofErr w:type="spellStart"/>
      <w:r w:rsidRPr="00AB48A0">
        <w:rPr>
          <w:rFonts w:ascii="Arial" w:hAnsi="Arial" w:cs="Arial"/>
          <w:color w:val="000000"/>
        </w:rPr>
        <w:t>Tarzwell</w:t>
      </w:r>
      <w:proofErr w:type="spellEnd"/>
      <w:r w:rsidRPr="00AB48A0">
        <w:rPr>
          <w:rFonts w:ascii="Arial" w:hAnsi="Arial" w:cs="Arial"/>
          <w:color w:val="000000"/>
        </w:rPr>
        <w:t xml:space="preserve"> (2021) identifies these as key obstacles within the system, particularly within correctional institutions where transgender individuals are often placed in detention based on their sex at birth rather than their gender identity. Hernández (2022) supports this, asserting that law enforcement and correctional officers frequently disregard </w:t>
      </w:r>
      <w:r w:rsidRPr="00AB48A0">
        <w:rPr>
          <w:rFonts w:ascii="Arial" w:hAnsi="Arial" w:cs="Arial"/>
          <w:color w:val="000000"/>
        </w:rPr>
        <w:lastRenderedPageBreak/>
        <w:t xml:space="preserve">transgender individuals' preferred pronouns, which exacerbates their psychological distress. Sumner and </w:t>
      </w:r>
      <w:proofErr w:type="spellStart"/>
      <w:r w:rsidRPr="00AB48A0">
        <w:rPr>
          <w:rFonts w:ascii="Arial" w:hAnsi="Arial" w:cs="Arial"/>
          <w:color w:val="000000"/>
        </w:rPr>
        <w:t>Jenness</w:t>
      </w:r>
      <w:proofErr w:type="spellEnd"/>
      <w:r w:rsidRPr="00AB48A0">
        <w:rPr>
          <w:rFonts w:ascii="Arial" w:hAnsi="Arial" w:cs="Arial"/>
          <w:color w:val="000000"/>
        </w:rPr>
        <w:t xml:space="preserve"> (2021) argue that this practice increases the risk of violence and further alienates transgender individuals from the CJS. In contrast, </w:t>
      </w:r>
      <w:proofErr w:type="spellStart"/>
      <w:r w:rsidRPr="00AB48A0">
        <w:rPr>
          <w:rFonts w:ascii="Arial" w:hAnsi="Arial" w:cs="Arial"/>
          <w:color w:val="000000"/>
        </w:rPr>
        <w:t>Stotzer</w:t>
      </w:r>
      <w:proofErr w:type="spellEnd"/>
      <w:r w:rsidRPr="00AB48A0">
        <w:rPr>
          <w:rFonts w:ascii="Arial" w:hAnsi="Arial" w:cs="Arial"/>
          <w:color w:val="000000"/>
        </w:rPr>
        <w:t xml:space="preserve"> (2021) found that jurisdictions that permit transgender detainees to be housed according to their gender identity experience lower rates of violence against them. However, the ACLU (2022) contends that such policies are often inconsistently applied, leaving transgender detainees vulnerable to the discretion of correctional officers who may reinforce existing prejudices. This underscores the need for consistent enforcement of gender identity policies and adequate oversight to ensure the safety and dignity of transgender individuals within the system.</w:t>
      </w:r>
    </w:p>
    <w:p w14:paraId="36ECB139" w14:textId="09C37BBF"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t xml:space="preserve">The case of Isla Bryson, discussed by Cowan (2023), raises further concerns about the suitability of gender self-identification in prison settings, particularly in cases where individuals with a history of violent </w:t>
      </w:r>
      <w:r w:rsidR="00993171">
        <w:rPr>
          <w:rFonts w:ascii="Arial" w:hAnsi="Arial" w:cs="Arial"/>
          <w:color w:val="000000"/>
        </w:rPr>
        <w:t>offences</w:t>
      </w:r>
      <w:r w:rsidRPr="00AB48A0">
        <w:rPr>
          <w:rFonts w:ascii="Arial" w:hAnsi="Arial" w:cs="Arial"/>
          <w:color w:val="000000"/>
        </w:rPr>
        <w:t xml:space="preserve"> are involved. Bryson, initially incarcerated in a female prison under the name Adam Graham before transitioning, was later transferred due to the severity of her </w:t>
      </w:r>
      <w:r w:rsidR="00993171">
        <w:rPr>
          <w:rFonts w:ascii="Arial" w:hAnsi="Arial" w:cs="Arial"/>
          <w:color w:val="000000"/>
        </w:rPr>
        <w:t>offences</w:t>
      </w:r>
      <w:r w:rsidRPr="00AB48A0">
        <w:rPr>
          <w:rFonts w:ascii="Arial" w:hAnsi="Arial" w:cs="Arial"/>
          <w:color w:val="000000"/>
        </w:rPr>
        <w:t xml:space="preserve">. This case has sparked debates about the potential implications of self-identification policies, particularly in the context of crimes such as rape, where the placement of transgender individuals in correctional facilities becomes contentious. Tan (2023) highlights another critical issue for transgender individuals in the </w:t>
      </w:r>
      <w:r w:rsidR="00993171">
        <w:rPr>
          <w:rFonts w:ascii="Arial" w:hAnsi="Arial" w:cs="Arial"/>
          <w:color w:val="000000"/>
        </w:rPr>
        <w:t>United Kingdom</w:t>
      </w:r>
      <w:r w:rsidRPr="00AB48A0">
        <w:rPr>
          <w:rFonts w:ascii="Arial" w:hAnsi="Arial" w:cs="Arial"/>
          <w:color w:val="000000"/>
        </w:rPr>
        <w:t xml:space="preserve"> CJS access to appropriate healthcare. Many correctional facilities lack adequate resources for gender-affirming medical care, including hormone therapy and mental health services. A 2020 investigation by the Equality and Human Rights Commission (EHRC) revealed that transgender prisoners often face significant delays or outright denial of necessary medical treatment. Elliott (2023) suggests that this inadequate healthcare exacerbates existing physical and mental health conditions, further diminishing the well-being of transgender prisoners.</w:t>
      </w:r>
    </w:p>
    <w:p w14:paraId="3157AACE" w14:textId="01173B75" w:rsidR="00AB48A0" w:rsidRPr="00AB48A0" w:rsidRDefault="00AB48A0" w:rsidP="00AB48A0">
      <w:pPr>
        <w:pStyle w:val="NormalWeb"/>
        <w:spacing w:line="360" w:lineRule="auto"/>
        <w:rPr>
          <w:rFonts w:ascii="Arial" w:hAnsi="Arial" w:cs="Arial"/>
          <w:color w:val="000000"/>
        </w:rPr>
      </w:pPr>
      <w:proofErr w:type="spellStart"/>
      <w:r w:rsidRPr="00AB48A0">
        <w:rPr>
          <w:rFonts w:ascii="Arial" w:hAnsi="Arial" w:cs="Arial"/>
          <w:color w:val="000000"/>
        </w:rPr>
        <w:t>Hereth</w:t>
      </w:r>
      <w:proofErr w:type="spellEnd"/>
      <w:r w:rsidRPr="00AB48A0">
        <w:rPr>
          <w:rFonts w:ascii="Arial" w:hAnsi="Arial" w:cs="Arial"/>
          <w:color w:val="000000"/>
        </w:rPr>
        <w:t xml:space="preserve"> (2022) and Ministry of Justice data indicate that transgender individuals, particularly transgender women, are disproportionately represented within the CJS, often due to broader societal marginalization and the criminalization of their identities. </w:t>
      </w:r>
      <w:proofErr w:type="spellStart"/>
      <w:r w:rsidRPr="00AB48A0">
        <w:rPr>
          <w:rFonts w:ascii="Arial" w:hAnsi="Arial" w:cs="Arial"/>
          <w:color w:val="000000"/>
        </w:rPr>
        <w:t>Hereth</w:t>
      </w:r>
      <w:proofErr w:type="spellEnd"/>
      <w:r w:rsidRPr="00AB48A0">
        <w:rPr>
          <w:rFonts w:ascii="Arial" w:hAnsi="Arial" w:cs="Arial"/>
          <w:color w:val="000000"/>
        </w:rPr>
        <w:t xml:space="preserve"> (2024) notes that transgender women of </w:t>
      </w:r>
      <w:r w:rsidR="00993171" w:rsidRPr="00AB48A0">
        <w:rPr>
          <w:rFonts w:ascii="Arial" w:hAnsi="Arial" w:cs="Arial"/>
          <w:color w:val="000000"/>
        </w:rPr>
        <w:t>colour</w:t>
      </w:r>
      <w:r w:rsidRPr="00AB48A0">
        <w:rPr>
          <w:rFonts w:ascii="Arial" w:hAnsi="Arial" w:cs="Arial"/>
          <w:color w:val="000000"/>
        </w:rPr>
        <w:t xml:space="preserve"> are particularly vulnerable to targeted policing and incarceration. A report by the Centre for Crime and Justice Studies (2020) highlighted that factors such as poverty, homelessness, </w:t>
      </w:r>
      <w:r w:rsidRPr="00AB48A0">
        <w:rPr>
          <w:rFonts w:ascii="Arial" w:hAnsi="Arial" w:cs="Arial"/>
          <w:color w:val="000000"/>
        </w:rPr>
        <w:lastRenderedPageBreak/>
        <w:t>and the criminalization of sex work disproportionately drive transgender individuals into the CJS. This highlights the need for systemic reforms that not only address the immediate issues of discrimination and mistreatment but also tackle the root causes of transgender individuals’ overrepresentation in the criminal justice system.</w:t>
      </w:r>
    </w:p>
    <w:p w14:paraId="0B40652D" w14:textId="5D8B5D05" w:rsidR="00AB48A0" w:rsidRPr="00AB48A0" w:rsidRDefault="00AB48A0" w:rsidP="00AB48A0">
      <w:pPr>
        <w:spacing w:line="360" w:lineRule="auto"/>
        <w:rPr>
          <w:rStyle w:val="apple-converted-space"/>
          <w:rFonts w:ascii="Arial" w:eastAsiaTheme="majorEastAsia" w:hAnsi="Arial" w:cs="Arial"/>
          <w:color w:val="000000"/>
        </w:rPr>
      </w:pPr>
      <w:r w:rsidRPr="00AB48A0">
        <w:rPr>
          <w:rFonts w:ascii="Arial" w:hAnsi="Arial" w:cs="Arial"/>
          <w:color w:val="000000"/>
        </w:rPr>
        <w:t xml:space="preserve">While </w:t>
      </w:r>
      <w:proofErr w:type="spellStart"/>
      <w:r w:rsidRPr="00AB48A0">
        <w:rPr>
          <w:rFonts w:ascii="Arial" w:hAnsi="Arial" w:cs="Arial"/>
          <w:color w:val="000000"/>
        </w:rPr>
        <w:t>Suhomlinova</w:t>
      </w:r>
      <w:proofErr w:type="spellEnd"/>
      <w:r w:rsidRPr="00AB48A0">
        <w:rPr>
          <w:rFonts w:ascii="Arial" w:hAnsi="Arial" w:cs="Arial"/>
          <w:color w:val="000000"/>
        </w:rPr>
        <w:t xml:space="preserve"> and O'Shea (2024) note that many transgender women are incarcerated for nonviolent </w:t>
      </w:r>
      <w:r w:rsidR="00993171">
        <w:rPr>
          <w:rFonts w:ascii="Arial" w:hAnsi="Arial" w:cs="Arial"/>
          <w:color w:val="000000"/>
        </w:rPr>
        <w:t>offences</w:t>
      </w:r>
      <w:r w:rsidRPr="00AB48A0">
        <w:rPr>
          <w:rFonts w:ascii="Arial" w:hAnsi="Arial" w:cs="Arial"/>
          <w:color w:val="000000"/>
        </w:rPr>
        <w:t xml:space="preserve">, Rayment (2024) presents contradictory findings, reporting that over 70% of transgender prisoners have been convicted of sex or violent crimes. This has sparked debates on whether transgender women should be housed in female prisons, with women's rights activists like Thomas (2023) arguing against their inclusion. However, Joseph (2023) counters that the systemic discrimination transgender individuals face is exacerbated by inadequate training for criminal justice professionals. According to </w:t>
      </w:r>
      <w:proofErr w:type="gramStart"/>
      <w:r w:rsidRPr="00AB48A0">
        <w:rPr>
          <w:rFonts w:ascii="Arial" w:hAnsi="Arial" w:cs="Arial"/>
          <w:color w:val="000000"/>
        </w:rPr>
        <w:t>a 2021 research</w:t>
      </w:r>
      <w:proofErr w:type="gramEnd"/>
      <w:r w:rsidRPr="00AB48A0">
        <w:rPr>
          <w:rFonts w:ascii="Arial" w:hAnsi="Arial" w:cs="Arial"/>
          <w:color w:val="000000"/>
        </w:rPr>
        <w:t xml:space="preserve"> by the Howard League for Penal Reform, many prison personnel and law enforcement officers lack LGBTQ+ training, which frequently results in the maltreatment of transgender people in jail. In the words of Coppola (2023), transgender prisoners may be asked inappropriate questions about their body, gender identity, and sexual history, aggravating their pain. In the opinion of Parr-Morley (2024), criminal justice workers must be trained to recognise the </w:t>
      </w:r>
      <w:proofErr w:type="gramStart"/>
      <w:r w:rsidRPr="00AB48A0">
        <w:rPr>
          <w:rFonts w:ascii="Arial" w:hAnsi="Arial" w:cs="Arial"/>
          <w:color w:val="000000"/>
        </w:rPr>
        <w:t>particular needs</w:t>
      </w:r>
      <w:proofErr w:type="gramEnd"/>
      <w:r w:rsidRPr="00AB48A0">
        <w:rPr>
          <w:rFonts w:ascii="Arial" w:hAnsi="Arial" w:cs="Arial"/>
          <w:color w:val="000000"/>
        </w:rPr>
        <w:t xml:space="preserve"> of transgender people, respect their gender identities, and foster a supportive and non-discriminatory atmosphere.</w:t>
      </w:r>
      <w:r w:rsidRPr="00AB48A0">
        <w:rPr>
          <w:rStyle w:val="apple-converted-space"/>
          <w:rFonts w:ascii="Arial" w:eastAsiaTheme="majorEastAsia" w:hAnsi="Arial" w:cs="Arial"/>
          <w:color w:val="000000"/>
        </w:rPr>
        <w:t> </w:t>
      </w:r>
    </w:p>
    <w:p w14:paraId="407615A3" w14:textId="77777777" w:rsidR="00AB48A0" w:rsidRPr="00AB48A0" w:rsidRDefault="00AB48A0" w:rsidP="00AB48A0">
      <w:pPr>
        <w:spacing w:line="360" w:lineRule="auto"/>
        <w:rPr>
          <w:rFonts w:ascii="Arial" w:hAnsi="Arial" w:cs="Arial"/>
        </w:rPr>
      </w:pPr>
    </w:p>
    <w:p w14:paraId="0D28E117" w14:textId="6197CE69" w:rsidR="00AB48A0" w:rsidRPr="00AB48A0" w:rsidRDefault="00AB48A0" w:rsidP="00AB48A0">
      <w:pPr>
        <w:spacing w:line="360" w:lineRule="auto"/>
        <w:rPr>
          <w:rFonts w:ascii="Arial" w:hAnsi="Arial" w:cs="Arial"/>
          <w:color w:val="000000"/>
        </w:rPr>
      </w:pPr>
      <w:r w:rsidRPr="00AB48A0">
        <w:rPr>
          <w:rFonts w:ascii="Arial" w:hAnsi="Arial" w:cs="Arial"/>
          <w:color w:val="000000"/>
        </w:rPr>
        <w:t xml:space="preserve">Singh et al (2021) proclaim that </w:t>
      </w:r>
      <w:proofErr w:type="gramStart"/>
      <w:r w:rsidRPr="00AB48A0">
        <w:rPr>
          <w:rFonts w:ascii="Arial" w:hAnsi="Arial" w:cs="Arial"/>
          <w:color w:val="000000"/>
        </w:rPr>
        <w:t>in order to</w:t>
      </w:r>
      <w:proofErr w:type="gramEnd"/>
      <w:r w:rsidRPr="00AB48A0">
        <w:rPr>
          <w:rFonts w:ascii="Arial" w:hAnsi="Arial" w:cs="Arial"/>
          <w:color w:val="000000"/>
        </w:rPr>
        <w:t xml:space="preserve"> address the issues that transgender people experience in the UK criminal justice system, a number of adjustments are required. Singh et al (2021) reiterates that firstly, healthcare rules should be changed to ensure that transgender people have prompt access to gender-affirming care, such as hormone therapies, mental health support, and, if necessary, gender-affirming procedures. </w:t>
      </w:r>
      <w:proofErr w:type="spellStart"/>
      <w:r w:rsidRPr="00AB48A0">
        <w:rPr>
          <w:rFonts w:ascii="Arial" w:hAnsi="Arial" w:cs="Arial"/>
          <w:color w:val="000000"/>
        </w:rPr>
        <w:t>Jenness</w:t>
      </w:r>
      <w:proofErr w:type="spellEnd"/>
      <w:r w:rsidRPr="00AB48A0">
        <w:rPr>
          <w:rFonts w:ascii="Arial" w:hAnsi="Arial" w:cs="Arial"/>
          <w:color w:val="000000"/>
        </w:rPr>
        <w:t xml:space="preserve"> (2021) also calls for change and says that collaboration between the Ministry of Justice and </w:t>
      </w:r>
      <w:r w:rsidR="00993171">
        <w:rPr>
          <w:rFonts w:ascii="Arial" w:hAnsi="Arial" w:cs="Arial"/>
          <w:color w:val="000000"/>
        </w:rPr>
        <w:t>National Health Service (NHS)</w:t>
      </w:r>
      <w:r w:rsidRPr="00AB48A0">
        <w:rPr>
          <w:rFonts w:ascii="Arial" w:hAnsi="Arial" w:cs="Arial"/>
          <w:color w:val="000000"/>
        </w:rPr>
        <w:t xml:space="preserve"> agencies is vital for establishing clear healthcare paths, reducing wait times, and ensuring appropriate treatments. Furthermore, Donohue et al (2021) insist that mental health treatments should be adapted to the specific requirements of transgender prisoners, with required LGBTQ+-related training for mental health professionals to provide culturally competent care.</w:t>
      </w:r>
    </w:p>
    <w:p w14:paraId="744FDEC8" w14:textId="77777777" w:rsidR="00AB48A0" w:rsidRPr="00AB48A0" w:rsidRDefault="00AB48A0" w:rsidP="00AB48A0">
      <w:pPr>
        <w:pStyle w:val="NormalWeb"/>
        <w:spacing w:line="360" w:lineRule="auto"/>
        <w:rPr>
          <w:rFonts w:ascii="Arial" w:hAnsi="Arial" w:cs="Arial"/>
          <w:color w:val="000000"/>
        </w:rPr>
      </w:pPr>
      <w:r w:rsidRPr="00AB48A0">
        <w:rPr>
          <w:rFonts w:ascii="Arial" w:hAnsi="Arial" w:cs="Arial"/>
          <w:color w:val="000000"/>
        </w:rPr>
        <w:lastRenderedPageBreak/>
        <w:t>To summarize, transgender individuals in the UK criminal justice system face significant and often overlooked challenges, including limited access to healthcare, systemic bias, and over-representation. The absence of gender-affirming care, delays in hormone therapy, and obstacles to surgery and mental health services cause both physical and emotional distress for transgender prisoners. Additionally, transgender people are disproportionately represented in the criminal justice system, often due to societal marginalisation, the criminalisation of poverty, and a lack of adequate support systems. Systemic bias within the system worsens their experiences, leaving many vulnerable to harassment and harm. Tackling these issues requires a comprehensive approach that includes changes to healthcare policies, improved mental health support, specialized staff training, and diversion programs that address the root causes of criminal behaviour. Through these reforms, the UK can create a more inclusive and supportive criminal justice system that upholds transgender people's rights, dignity, and well-being, ensuring fair and compassionate treatment in their interactions with the system. Only through these efforts can we dismantle the barriers that prevent transgender people from fully engaging in society and enjoying the same rights and opportunities as everyone else.</w:t>
      </w:r>
    </w:p>
    <w:p w14:paraId="37229E09" w14:textId="77777777" w:rsidR="00AB48A0" w:rsidRPr="00AA5118" w:rsidRDefault="00AB48A0" w:rsidP="00AB48A0">
      <w:pPr>
        <w:pStyle w:val="NormalWeb"/>
        <w:spacing w:line="360" w:lineRule="auto"/>
        <w:rPr>
          <w:rFonts w:ascii="Arial" w:hAnsi="Arial" w:cs="Arial"/>
          <w:color w:val="000000"/>
        </w:rPr>
      </w:pPr>
    </w:p>
    <w:p w14:paraId="46159104" w14:textId="77777777" w:rsidR="00AB48A0" w:rsidRPr="00AA5118" w:rsidRDefault="00AB48A0" w:rsidP="00AB48A0">
      <w:pPr>
        <w:pStyle w:val="NormalWeb"/>
        <w:spacing w:line="360" w:lineRule="auto"/>
        <w:rPr>
          <w:rFonts w:ascii="Arial" w:hAnsi="Arial" w:cs="Arial"/>
          <w:color w:val="000000"/>
        </w:rPr>
      </w:pPr>
    </w:p>
    <w:p w14:paraId="446926D0" w14:textId="77777777" w:rsidR="00AB48A0" w:rsidRPr="00AA5118" w:rsidRDefault="00AB48A0" w:rsidP="00AB48A0">
      <w:pPr>
        <w:pStyle w:val="NormalWeb"/>
        <w:spacing w:line="360" w:lineRule="auto"/>
        <w:rPr>
          <w:rFonts w:ascii="Arial" w:hAnsi="Arial" w:cs="Arial"/>
          <w:color w:val="000000"/>
        </w:rPr>
      </w:pPr>
    </w:p>
    <w:p w14:paraId="1102C3AB" w14:textId="77777777" w:rsidR="00AB48A0" w:rsidRDefault="00AB48A0" w:rsidP="00AB48A0">
      <w:pPr>
        <w:pStyle w:val="NormalWeb"/>
        <w:rPr>
          <w:color w:val="000000"/>
        </w:rPr>
      </w:pPr>
    </w:p>
    <w:p w14:paraId="32194340" w14:textId="77777777" w:rsidR="00AB48A0" w:rsidRDefault="00AB48A0" w:rsidP="00AB48A0">
      <w:pPr>
        <w:pStyle w:val="NormalWeb"/>
        <w:rPr>
          <w:color w:val="000000"/>
        </w:rPr>
      </w:pPr>
    </w:p>
    <w:p w14:paraId="0E35B6B6" w14:textId="77777777" w:rsidR="00AB48A0" w:rsidRDefault="00AB48A0" w:rsidP="00AB48A0">
      <w:pPr>
        <w:pStyle w:val="NormalWeb"/>
        <w:rPr>
          <w:color w:val="000000"/>
        </w:rPr>
      </w:pPr>
    </w:p>
    <w:p w14:paraId="3DAF0A08" w14:textId="77777777" w:rsidR="00AB48A0" w:rsidRDefault="00AB48A0" w:rsidP="00AB48A0">
      <w:pPr>
        <w:pStyle w:val="NormalWeb"/>
        <w:rPr>
          <w:color w:val="000000"/>
        </w:rPr>
      </w:pPr>
    </w:p>
    <w:p w14:paraId="7F20AB4C" w14:textId="77777777" w:rsidR="00AB48A0" w:rsidRDefault="00AB48A0" w:rsidP="00AB48A0">
      <w:pPr>
        <w:pStyle w:val="NormalWeb"/>
        <w:rPr>
          <w:color w:val="000000"/>
        </w:rPr>
      </w:pPr>
    </w:p>
    <w:p w14:paraId="6991FC16" w14:textId="77777777" w:rsidR="00AB48A0" w:rsidRDefault="00AB48A0" w:rsidP="00453BDB">
      <w:pPr>
        <w:rPr>
          <w:rFonts w:ascii="Arial" w:hAnsi="Arial" w:cs="Arial"/>
          <w:color w:val="000000"/>
        </w:rPr>
      </w:pPr>
    </w:p>
    <w:p w14:paraId="205EE934" w14:textId="77777777" w:rsidR="00A14A55" w:rsidRDefault="00A14A55" w:rsidP="00453BDB">
      <w:pPr>
        <w:rPr>
          <w:rFonts w:ascii="Arial" w:hAnsi="Arial" w:cs="Arial"/>
          <w:color w:val="000000"/>
        </w:rPr>
      </w:pPr>
    </w:p>
    <w:p w14:paraId="531D788A" w14:textId="77777777" w:rsidR="00A14A55" w:rsidRDefault="00A14A55" w:rsidP="00453BDB">
      <w:pPr>
        <w:rPr>
          <w:rFonts w:ascii="Arial" w:hAnsi="Arial" w:cs="Arial"/>
          <w:color w:val="000000"/>
        </w:rPr>
      </w:pPr>
    </w:p>
    <w:p w14:paraId="0FC7A852" w14:textId="3B71DC55" w:rsidR="00AB48A0" w:rsidRDefault="00AB48A0" w:rsidP="00AB48A0">
      <w:pPr>
        <w:spacing w:line="360" w:lineRule="auto"/>
        <w:rPr>
          <w:rFonts w:ascii="Arial" w:hAnsi="Arial" w:cs="Arial"/>
        </w:rPr>
      </w:pPr>
      <w:r>
        <w:rPr>
          <w:rFonts w:ascii="Arial" w:hAnsi="Arial" w:cs="Arial"/>
        </w:rPr>
        <w:t>Word count- 1892</w:t>
      </w:r>
    </w:p>
    <w:p w14:paraId="4E04D689" w14:textId="0BDF103B" w:rsidR="00AB48A0" w:rsidRPr="00AB48A0" w:rsidRDefault="00AB48A0" w:rsidP="00AB48A0">
      <w:pPr>
        <w:spacing w:line="360" w:lineRule="auto"/>
        <w:rPr>
          <w:rFonts w:ascii="Arial" w:hAnsi="Arial" w:cs="Arial"/>
          <w:u w:val="single"/>
        </w:rPr>
      </w:pPr>
      <w:r w:rsidRPr="00AB48A0">
        <w:rPr>
          <w:rFonts w:ascii="Arial" w:hAnsi="Arial" w:cs="Arial"/>
          <w:u w:val="single"/>
        </w:rPr>
        <w:lastRenderedPageBreak/>
        <w:t xml:space="preserve">References </w:t>
      </w:r>
    </w:p>
    <w:p w14:paraId="0773A91D" w14:textId="50C609C2" w:rsidR="00AB48A0" w:rsidRPr="00AB48A0" w:rsidRDefault="00AB48A0" w:rsidP="00AB48A0">
      <w:pPr>
        <w:spacing w:line="360" w:lineRule="auto"/>
        <w:rPr>
          <w:rFonts w:ascii="Arial" w:hAnsi="Arial" w:cs="Arial"/>
        </w:rPr>
      </w:pPr>
      <w:r w:rsidRPr="00AB48A0">
        <w:rPr>
          <w:rFonts w:ascii="Arial" w:hAnsi="Arial" w:cs="Arial"/>
        </w:rPr>
        <w:t>Abreu, L (2021) 'Harassment and Discrimination in Law Enforcement: The Experiences of Transgender People', </w:t>
      </w:r>
      <w:r w:rsidRPr="00AB48A0">
        <w:rPr>
          <w:rFonts w:ascii="Arial" w:hAnsi="Arial" w:cs="Arial"/>
          <w:i/>
          <w:iCs/>
        </w:rPr>
        <w:t>Journal of Criminal Justice</w:t>
      </w:r>
      <w:r w:rsidRPr="00AB48A0">
        <w:rPr>
          <w:rFonts w:ascii="Arial" w:hAnsi="Arial" w:cs="Arial"/>
        </w:rPr>
        <w:t>, 58(3), pp. 47-59.</w:t>
      </w:r>
    </w:p>
    <w:p w14:paraId="28704F14" w14:textId="77777777" w:rsidR="00AB48A0" w:rsidRPr="00AB48A0" w:rsidRDefault="00AB48A0" w:rsidP="00AB48A0">
      <w:pPr>
        <w:spacing w:line="360" w:lineRule="auto"/>
        <w:rPr>
          <w:rFonts w:ascii="Arial" w:hAnsi="Arial" w:cs="Arial"/>
        </w:rPr>
      </w:pPr>
    </w:p>
    <w:p w14:paraId="4F27D467" w14:textId="655BBB8C" w:rsidR="00AB48A0" w:rsidRPr="00AB48A0" w:rsidRDefault="00AB48A0" w:rsidP="00AB48A0">
      <w:pPr>
        <w:spacing w:line="360" w:lineRule="auto"/>
        <w:rPr>
          <w:rFonts w:ascii="Arial" w:hAnsi="Arial" w:cs="Arial"/>
        </w:rPr>
      </w:pPr>
      <w:r w:rsidRPr="00AB48A0">
        <w:rPr>
          <w:rFonts w:ascii="Arial" w:hAnsi="Arial" w:cs="Arial"/>
        </w:rPr>
        <w:t>ACLU (2022) </w:t>
      </w:r>
      <w:r w:rsidRPr="00AB48A0">
        <w:rPr>
          <w:rFonts w:ascii="Arial" w:hAnsi="Arial" w:cs="Arial"/>
          <w:i/>
          <w:iCs/>
        </w:rPr>
        <w:t>Anti-discrimination policies and the criminal justice system</w:t>
      </w:r>
      <w:r w:rsidRPr="00AB48A0">
        <w:rPr>
          <w:rFonts w:ascii="Arial" w:hAnsi="Arial" w:cs="Arial"/>
        </w:rPr>
        <w:t>, American Civil Liberties Union.</w:t>
      </w:r>
    </w:p>
    <w:p w14:paraId="4817A469" w14:textId="77777777" w:rsidR="00AB48A0" w:rsidRPr="00AB48A0" w:rsidRDefault="00AB48A0" w:rsidP="00AB48A0">
      <w:pPr>
        <w:spacing w:line="360" w:lineRule="auto"/>
        <w:rPr>
          <w:rFonts w:ascii="Arial" w:hAnsi="Arial" w:cs="Arial"/>
        </w:rPr>
      </w:pPr>
    </w:p>
    <w:p w14:paraId="460C647C" w14:textId="036E17D7" w:rsidR="00AB48A0" w:rsidRPr="00AB48A0" w:rsidRDefault="00AB48A0" w:rsidP="00AB48A0">
      <w:pPr>
        <w:spacing w:line="360" w:lineRule="auto"/>
        <w:rPr>
          <w:rFonts w:ascii="Arial" w:hAnsi="Arial" w:cs="Arial"/>
        </w:rPr>
      </w:pPr>
      <w:r w:rsidRPr="00AB48A0">
        <w:rPr>
          <w:rFonts w:ascii="Arial" w:hAnsi="Arial" w:cs="Arial"/>
        </w:rPr>
        <w:t>ACLU (2022) </w:t>
      </w:r>
      <w:r w:rsidRPr="00AB48A0">
        <w:rPr>
          <w:rFonts w:ascii="Arial" w:hAnsi="Arial" w:cs="Arial"/>
          <w:i/>
          <w:iCs/>
        </w:rPr>
        <w:t>Transgender Rights and the Criminal Justice System: A Call for Reform</w:t>
      </w:r>
      <w:r w:rsidRPr="00AB48A0">
        <w:rPr>
          <w:rFonts w:ascii="Arial" w:hAnsi="Arial" w:cs="Arial"/>
        </w:rPr>
        <w:t>, American Civil Liberties Union.</w:t>
      </w:r>
    </w:p>
    <w:p w14:paraId="6ACE4F2D" w14:textId="77777777" w:rsidR="00AB48A0" w:rsidRPr="00AB48A0" w:rsidRDefault="00AB48A0" w:rsidP="00AB48A0">
      <w:pPr>
        <w:spacing w:line="360" w:lineRule="auto"/>
        <w:rPr>
          <w:rFonts w:ascii="Arial" w:hAnsi="Arial" w:cs="Arial"/>
        </w:rPr>
      </w:pPr>
    </w:p>
    <w:p w14:paraId="6477C68E" w14:textId="1B01A085" w:rsidR="00AB48A0" w:rsidRPr="00AB48A0" w:rsidRDefault="00AB48A0" w:rsidP="00AB48A0">
      <w:pPr>
        <w:spacing w:line="360" w:lineRule="auto"/>
        <w:rPr>
          <w:rFonts w:ascii="Arial" w:hAnsi="Arial" w:cs="Arial"/>
        </w:rPr>
      </w:pPr>
      <w:r w:rsidRPr="00AB48A0">
        <w:rPr>
          <w:rFonts w:ascii="Arial" w:hAnsi="Arial" w:cs="Arial"/>
        </w:rPr>
        <w:t xml:space="preserve">Avalos, L. </w:t>
      </w:r>
      <w:r w:rsidR="0022350E">
        <w:rPr>
          <w:rFonts w:ascii="Arial" w:hAnsi="Arial" w:cs="Arial"/>
        </w:rPr>
        <w:t>and</w:t>
      </w:r>
      <w:r w:rsidRPr="00AB48A0">
        <w:rPr>
          <w:rFonts w:ascii="Arial" w:hAnsi="Arial" w:cs="Arial"/>
        </w:rPr>
        <w:t xml:space="preserve"> Carrillo, P. (2024) 'Stereotyping and Harassment of Transgender Individuals by Law Enforcement', </w:t>
      </w:r>
      <w:r w:rsidRPr="00AB48A0">
        <w:rPr>
          <w:rFonts w:ascii="Arial" w:hAnsi="Arial" w:cs="Arial"/>
          <w:i/>
          <w:iCs/>
        </w:rPr>
        <w:t>Policing and Society</w:t>
      </w:r>
      <w:r w:rsidRPr="00AB48A0">
        <w:rPr>
          <w:rFonts w:ascii="Arial" w:hAnsi="Arial" w:cs="Arial"/>
        </w:rPr>
        <w:t>, 34(2), pp. 230-245.</w:t>
      </w:r>
    </w:p>
    <w:p w14:paraId="09C6A2D9" w14:textId="77777777" w:rsidR="00AB48A0" w:rsidRPr="00AB48A0" w:rsidRDefault="00AB48A0" w:rsidP="00AB48A0">
      <w:pPr>
        <w:spacing w:line="360" w:lineRule="auto"/>
        <w:rPr>
          <w:rFonts w:ascii="Arial" w:hAnsi="Arial" w:cs="Arial"/>
        </w:rPr>
      </w:pPr>
    </w:p>
    <w:p w14:paraId="271B9AC3" w14:textId="77777777" w:rsidR="00AB48A0" w:rsidRPr="00AB48A0" w:rsidRDefault="00AB48A0" w:rsidP="00AB48A0">
      <w:pPr>
        <w:spacing w:line="360" w:lineRule="auto"/>
        <w:rPr>
          <w:rFonts w:ascii="Arial" w:hAnsi="Arial" w:cs="Arial"/>
        </w:rPr>
      </w:pPr>
      <w:r w:rsidRPr="00AB48A0">
        <w:rPr>
          <w:rFonts w:ascii="Arial" w:hAnsi="Arial" w:cs="Arial"/>
        </w:rPr>
        <w:t>Avalos, S. (2022) 'The trans experience with the criminal legal system', </w:t>
      </w:r>
      <w:r w:rsidRPr="00AB48A0">
        <w:rPr>
          <w:rFonts w:ascii="Arial" w:hAnsi="Arial" w:cs="Arial"/>
          <w:i/>
          <w:iCs/>
        </w:rPr>
        <w:t>Crime &amp; Delinquency</w:t>
      </w:r>
      <w:r w:rsidRPr="00AB48A0">
        <w:rPr>
          <w:rFonts w:ascii="Arial" w:hAnsi="Arial" w:cs="Arial"/>
        </w:rPr>
        <w:t>, 70(5), pp. 1505–1515. doi:10.1177/00111287221134914.</w:t>
      </w:r>
    </w:p>
    <w:p w14:paraId="326B250A" w14:textId="77777777" w:rsidR="00AB48A0" w:rsidRPr="00AB48A0" w:rsidRDefault="00AB48A0" w:rsidP="00AB48A0">
      <w:pPr>
        <w:spacing w:line="360" w:lineRule="auto"/>
        <w:rPr>
          <w:rFonts w:ascii="Arial" w:hAnsi="Arial" w:cs="Arial"/>
        </w:rPr>
      </w:pPr>
    </w:p>
    <w:p w14:paraId="14956CC0" w14:textId="45DC6990" w:rsidR="00AB48A0" w:rsidRPr="00AB48A0" w:rsidRDefault="00AB48A0" w:rsidP="00AB48A0">
      <w:pPr>
        <w:spacing w:line="360" w:lineRule="auto"/>
        <w:rPr>
          <w:rFonts w:ascii="Arial" w:hAnsi="Arial" w:cs="Arial"/>
        </w:rPr>
      </w:pPr>
      <w:r w:rsidRPr="00AB48A0">
        <w:rPr>
          <w:rFonts w:ascii="Arial" w:hAnsi="Arial" w:cs="Arial"/>
        </w:rPr>
        <w:t xml:space="preserve">Avalos, S. </w:t>
      </w:r>
      <w:r w:rsidR="0022350E">
        <w:rPr>
          <w:rFonts w:ascii="Arial" w:hAnsi="Arial" w:cs="Arial"/>
        </w:rPr>
        <w:t>and</w:t>
      </w:r>
      <w:r w:rsidRPr="00AB48A0">
        <w:rPr>
          <w:rFonts w:ascii="Arial" w:hAnsi="Arial" w:cs="Arial"/>
        </w:rPr>
        <w:t xml:space="preserve"> Carrillo, A. (2024) '“Took my money, called me a guy, and made me sleep in jail overnight”: Police procedural failings when interacting with trans folx', </w:t>
      </w:r>
      <w:r w:rsidRPr="00AB48A0">
        <w:rPr>
          <w:rFonts w:ascii="Arial" w:hAnsi="Arial" w:cs="Arial"/>
          <w:i/>
          <w:iCs/>
        </w:rPr>
        <w:t>Policing and Society</w:t>
      </w:r>
      <w:r w:rsidRPr="00AB48A0">
        <w:rPr>
          <w:rFonts w:ascii="Arial" w:hAnsi="Arial" w:cs="Arial"/>
        </w:rPr>
        <w:t>, 34(6), pp. 489–504. doi:10.1080/10439463.2024.2304550.</w:t>
      </w:r>
    </w:p>
    <w:p w14:paraId="5C7ACFF0" w14:textId="77777777" w:rsidR="00AB48A0" w:rsidRPr="00AB48A0" w:rsidRDefault="00AB48A0" w:rsidP="00AB48A0">
      <w:pPr>
        <w:spacing w:line="360" w:lineRule="auto"/>
        <w:rPr>
          <w:rFonts w:ascii="Arial" w:hAnsi="Arial" w:cs="Arial"/>
        </w:rPr>
      </w:pPr>
    </w:p>
    <w:p w14:paraId="35904EB8" w14:textId="35A23D3E" w:rsidR="00993171" w:rsidRDefault="00AB48A0" w:rsidP="00AB48A0">
      <w:pPr>
        <w:spacing w:line="360" w:lineRule="auto"/>
        <w:rPr>
          <w:rFonts w:ascii="Arial" w:hAnsi="Arial" w:cs="Arial"/>
        </w:rPr>
      </w:pPr>
      <w:proofErr w:type="spellStart"/>
      <w:r w:rsidRPr="00AB48A0">
        <w:rPr>
          <w:rFonts w:ascii="Arial" w:hAnsi="Arial" w:cs="Arial"/>
        </w:rPr>
        <w:t>Baćak</w:t>
      </w:r>
      <w:proofErr w:type="spellEnd"/>
      <w:r w:rsidRPr="00AB48A0">
        <w:rPr>
          <w:rFonts w:ascii="Arial" w:hAnsi="Arial" w:cs="Arial"/>
        </w:rPr>
        <w:t>, V. (2023) 'Looking back: Victimization of transgender persons and the Criminal Legal System', </w:t>
      </w:r>
      <w:r w:rsidRPr="00AB48A0">
        <w:rPr>
          <w:rFonts w:ascii="Arial" w:hAnsi="Arial" w:cs="Arial"/>
          <w:i/>
          <w:iCs/>
        </w:rPr>
        <w:t>American Journal of Public Health</w:t>
      </w:r>
      <w:r w:rsidRPr="00AB48A0">
        <w:rPr>
          <w:rFonts w:ascii="Arial" w:hAnsi="Arial" w:cs="Arial"/>
        </w:rPr>
        <w:t>, 113(10), pp. 1043–1045. doi:10.2105/ajph.2023.307393.</w:t>
      </w:r>
    </w:p>
    <w:p w14:paraId="414BD60F" w14:textId="485DB951" w:rsidR="00993171" w:rsidRPr="00993171" w:rsidRDefault="00993171" w:rsidP="00993171">
      <w:pPr>
        <w:pStyle w:val="NormalWeb"/>
        <w:ind w:left="567" w:hanging="567"/>
        <w:rPr>
          <w:rFonts w:ascii="Arial" w:hAnsi="Arial" w:cs="Arial"/>
          <w:color w:val="000000"/>
        </w:rPr>
      </w:pPr>
      <w:proofErr w:type="spellStart"/>
      <w:r w:rsidRPr="00993171">
        <w:rPr>
          <w:rFonts w:ascii="Arial" w:hAnsi="Arial" w:cs="Arial"/>
          <w:color w:val="000000"/>
        </w:rPr>
        <w:t>Brömdal</w:t>
      </w:r>
      <w:proofErr w:type="spellEnd"/>
      <w:r w:rsidRPr="00993171">
        <w:rPr>
          <w:rFonts w:ascii="Arial" w:hAnsi="Arial" w:cs="Arial"/>
          <w:color w:val="000000"/>
        </w:rPr>
        <w:t>, A.</w:t>
      </w:r>
      <w:r w:rsidRPr="00993171">
        <w:rPr>
          <w:rStyle w:val="apple-converted-space"/>
          <w:rFonts w:ascii="Arial" w:eastAsiaTheme="majorEastAsia" w:hAnsi="Arial" w:cs="Arial"/>
          <w:color w:val="000000"/>
        </w:rPr>
        <w:t> </w:t>
      </w:r>
      <w:r w:rsidRPr="00993171">
        <w:rPr>
          <w:rFonts w:ascii="Arial" w:hAnsi="Arial" w:cs="Arial"/>
          <w:i/>
          <w:iCs/>
          <w:color w:val="000000"/>
        </w:rPr>
        <w:t>et al.</w:t>
      </w:r>
      <w:r w:rsidRPr="00993171">
        <w:rPr>
          <w:rStyle w:val="apple-converted-space"/>
          <w:rFonts w:ascii="Arial" w:eastAsiaTheme="majorEastAsia" w:hAnsi="Arial" w:cs="Arial"/>
          <w:color w:val="000000"/>
        </w:rPr>
        <w:t> </w:t>
      </w:r>
      <w:r w:rsidRPr="00993171">
        <w:rPr>
          <w:rFonts w:ascii="Arial" w:hAnsi="Arial" w:cs="Arial"/>
          <w:color w:val="000000"/>
        </w:rPr>
        <w:t>(2024) ‘Transformative trans incarceration research: Now and into the future’,</w:t>
      </w:r>
      <w:r w:rsidRPr="00993171">
        <w:rPr>
          <w:rStyle w:val="apple-converted-space"/>
          <w:rFonts w:ascii="Arial" w:eastAsiaTheme="majorEastAsia" w:hAnsi="Arial" w:cs="Arial"/>
          <w:color w:val="000000"/>
        </w:rPr>
        <w:t> </w:t>
      </w:r>
      <w:r w:rsidRPr="00993171">
        <w:rPr>
          <w:rFonts w:ascii="Arial" w:hAnsi="Arial" w:cs="Arial"/>
          <w:i/>
          <w:iCs/>
          <w:color w:val="000000"/>
        </w:rPr>
        <w:t>International Journal of Transgender Health</w:t>
      </w:r>
      <w:r w:rsidRPr="00993171">
        <w:rPr>
          <w:rFonts w:ascii="Arial" w:hAnsi="Arial" w:cs="Arial"/>
          <w:color w:val="000000"/>
        </w:rPr>
        <w:t>, 25(2), pp. 123–129. doi:10.1080/26895269.2024.2334499.</w:t>
      </w:r>
      <w:r w:rsidRPr="00993171">
        <w:rPr>
          <w:rStyle w:val="apple-converted-space"/>
          <w:rFonts w:ascii="Arial" w:eastAsiaTheme="majorEastAsia" w:hAnsi="Arial" w:cs="Arial"/>
          <w:color w:val="000000"/>
        </w:rPr>
        <w:t> </w:t>
      </w:r>
    </w:p>
    <w:p w14:paraId="21B1C2FC" w14:textId="77777777" w:rsidR="00AB48A0" w:rsidRPr="00AB48A0" w:rsidRDefault="00AB48A0" w:rsidP="00AB48A0">
      <w:pPr>
        <w:spacing w:line="360" w:lineRule="auto"/>
        <w:rPr>
          <w:rFonts w:ascii="Arial" w:hAnsi="Arial" w:cs="Arial"/>
        </w:rPr>
      </w:pPr>
    </w:p>
    <w:p w14:paraId="302CF81B" w14:textId="25B86FEB" w:rsidR="00AB48A0" w:rsidRPr="00AB48A0" w:rsidRDefault="00AB48A0" w:rsidP="00AB48A0">
      <w:pPr>
        <w:spacing w:line="360" w:lineRule="auto"/>
        <w:rPr>
          <w:rFonts w:ascii="Arial" w:hAnsi="Arial" w:cs="Arial"/>
        </w:rPr>
      </w:pPr>
      <w:r w:rsidRPr="00AB48A0">
        <w:rPr>
          <w:rFonts w:ascii="Arial" w:hAnsi="Arial" w:cs="Arial"/>
        </w:rPr>
        <w:t>Byrd, J. (2020) </w:t>
      </w:r>
      <w:r w:rsidRPr="00AB48A0">
        <w:rPr>
          <w:rFonts w:ascii="Arial" w:hAnsi="Arial" w:cs="Arial"/>
          <w:i/>
          <w:iCs/>
        </w:rPr>
        <w:t>Transgender Protection and Best Practices in the Prison Setting</w:t>
      </w:r>
      <w:r w:rsidRPr="00AB48A0">
        <w:rPr>
          <w:rFonts w:ascii="Arial" w:hAnsi="Arial" w:cs="Arial"/>
        </w:rPr>
        <w:t>.</w:t>
      </w:r>
    </w:p>
    <w:p w14:paraId="4836E393" w14:textId="3282481B" w:rsidR="00AB48A0" w:rsidRPr="00AB48A0" w:rsidRDefault="00AB48A0" w:rsidP="00AB48A0">
      <w:pPr>
        <w:spacing w:line="360" w:lineRule="auto"/>
        <w:rPr>
          <w:rFonts w:ascii="Arial" w:hAnsi="Arial" w:cs="Arial"/>
        </w:rPr>
      </w:pPr>
      <w:r w:rsidRPr="00AB48A0">
        <w:rPr>
          <w:rFonts w:ascii="Arial" w:hAnsi="Arial" w:cs="Arial"/>
        </w:rPr>
        <w:t xml:space="preserve">  Centre for Crime and Justice Studies (2020) </w:t>
      </w:r>
      <w:r w:rsidRPr="00AB48A0">
        <w:rPr>
          <w:rFonts w:ascii="Arial" w:hAnsi="Arial" w:cs="Arial"/>
          <w:i/>
          <w:iCs/>
        </w:rPr>
        <w:t xml:space="preserve">Search for transgender people are more likely to be involved in the criminal justice system </w:t>
      </w:r>
      <w:proofErr w:type="gramStart"/>
      <w:r w:rsidRPr="00AB48A0">
        <w:rPr>
          <w:rFonts w:ascii="Arial" w:hAnsi="Arial" w:cs="Arial"/>
          <w:i/>
          <w:iCs/>
        </w:rPr>
        <w:t>as a result of</w:t>
      </w:r>
      <w:proofErr w:type="gramEnd"/>
      <w:r w:rsidRPr="00AB48A0">
        <w:rPr>
          <w:rFonts w:ascii="Arial" w:hAnsi="Arial" w:cs="Arial"/>
          <w:i/>
          <w:iCs/>
        </w:rPr>
        <w:t xml:space="preserve"> the criminalisation of poverty</w:t>
      </w:r>
      <w:r w:rsidRPr="00AB48A0">
        <w:rPr>
          <w:rFonts w:ascii="Arial" w:hAnsi="Arial" w:cs="Arial"/>
        </w:rPr>
        <w:t>. Available at: </w:t>
      </w:r>
      <w:hyperlink r:id="rId6" w:tgtFrame="_new" w:history="1">
        <w:r w:rsidRPr="00AB48A0">
          <w:rPr>
            <w:rFonts w:ascii="Arial" w:hAnsi="Arial" w:cs="Arial"/>
            <w:color w:val="0000FF"/>
            <w:u w:val="single"/>
          </w:rPr>
          <w:t>https://www.crimeandjustice.org.uk/search/node?keys=transgender+people+are+</w:t>
        </w:r>
        <w:r w:rsidRPr="00AB48A0">
          <w:rPr>
            <w:rFonts w:ascii="Arial" w:hAnsi="Arial" w:cs="Arial"/>
            <w:color w:val="0000FF"/>
            <w:u w:val="single"/>
          </w:rPr>
          <w:lastRenderedPageBreak/>
          <w:t>more+likely+to+be+involved+in+the+criminal+justice+system+as+a+result+of+the+criminalisation+of+poverty</w:t>
        </w:r>
      </w:hyperlink>
      <w:r w:rsidRPr="00AB48A0">
        <w:rPr>
          <w:rFonts w:ascii="Arial" w:hAnsi="Arial" w:cs="Arial"/>
        </w:rPr>
        <w:t>(Accessed: 15 February 2025).</w:t>
      </w:r>
    </w:p>
    <w:p w14:paraId="7D893B36" w14:textId="77777777" w:rsidR="00AB48A0" w:rsidRPr="00AB48A0" w:rsidRDefault="00AB48A0" w:rsidP="00AB48A0">
      <w:pPr>
        <w:spacing w:line="360" w:lineRule="auto"/>
        <w:rPr>
          <w:rFonts w:ascii="Arial" w:hAnsi="Arial" w:cs="Arial"/>
        </w:rPr>
      </w:pPr>
    </w:p>
    <w:p w14:paraId="7CC547FB" w14:textId="249459BA" w:rsidR="00AB48A0" w:rsidRPr="00AB48A0" w:rsidRDefault="00AB48A0" w:rsidP="00AB48A0">
      <w:pPr>
        <w:spacing w:line="360" w:lineRule="auto"/>
        <w:rPr>
          <w:rFonts w:ascii="Arial" w:hAnsi="Arial" w:cs="Arial"/>
        </w:rPr>
      </w:pPr>
      <w:r w:rsidRPr="00AB48A0">
        <w:rPr>
          <w:rFonts w:ascii="Arial" w:hAnsi="Arial" w:cs="Arial"/>
        </w:rPr>
        <w:t>Chang, J. (2023) 'Community outreach programs and their impact on transgender individuals and law enforcement', </w:t>
      </w:r>
      <w:r w:rsidRPr="00AB48A0">
        <w:rPr>
          <w:rFonts w:ascii="Arial" w:hAnsi="Arial" w:cs="Arial"/>
          <w:i/>
          <w:iCs/>
        </w:rPr>
        <w:t>National Institute of Justice</w:t>
      </w:r>
      <w:r w:rsidRPr="00AB48A0">
        <w:rPr>
          <w:rFonts w:ascii="Arial" w:hAnsi="Arial" w:cs="Arial"/>
        </w:rPr>
        <w:t>.</w:t>
      </w:r>
    </w:p>
    <w:p w14:paraId="79E15435" w14:textId="77777777" w:rsidR="00AB48A0" w:rsidRPr="00AB48A0" w:rsidRDefault="00AB48A0" w:rsidP="00AB48A0">
      <w:pPr>
        <w:spacing w:line="360" w:lineRule="auto"/>
        <w:rPr>
          <w:rFonts w:ascii="Arial" w:hAnsi="Arial" w:cs="Arial"/>
        </w:rPr>
      </w:pPr>
    </w:p>
    <w:p w14:paraId="1F972FB8" w14:textId="72261232" w:rsidR="00AB48A0" w:rsidRPr="00AB48A0" w:rsidRDefault="00AB48A0" w:rsidP="00AB48A0">
      <w:pPr>
        <w:spacing w:line="360" w:lineRule="auto"/>
        <w:rPr>
          <w:rFonts w:ascii="Arial" w:hAnsi="Arial" w:cs="Arial"/>
        </w:rPr>
      </w:pPr>
      <w:r w:rsidRPr="00AB48A0">
        <w:rPr>
          <w:rFonts w:ascii="Arial" w:hAnsi="Arial" w:cs="Arial"/>
        </w:rPr>
        <w:t>Coppola, F. (2023) 'Gender identity in the era of mass incarceration: The cruel and unusual segregation of trans people in the United States', </w:t>
      </w:r>
      <w:r w:rsidRPr="00AB48A0">
        <w:rPr>
          <w:rFonts w:ascii="Arial" w:hAnsi="Arial" w:cs="Arial"/>
          <w:i/>
          <w:iCs/>
        </w:rPr>
        <w:t>International Journal of Constitutional Law</w:t>
      </w:r>
      <w:r w:rsidRPr="00AB48A0">
        <w:rPr>
          <w:rFonts w:ascii="Arial" w:hAnsi="Arial" w:cs="Arial"/>
        </w:rPr>
        <w:t>, 21(2), pp. 649–672. doi:10.1093/icon/moad046.</w:t>
      </w:r>
    </w:p>
    <w:p w14:paraId="45B40395" w14:textId="77777777" w:rsidR="00AB48A0" w:rsidRPr="00AB48A0" w:rsidRDefault="00AB48A0" w:rsidP="00AB48A0">
      <w:pPr>
        <w:spacing w:line="360" w:lineRule="auto"/>
        <w:rPr>
          <w:rFonts w:ascii="Arial" w:hAnsi="Arial" w:cs="Arial"/>
        </w:rPr>
      </w:pPr>
    </w:p>
    <w:p w14:paraId="117ED95C" w14:textId="7B985F91" w:rsidR="00AB48A0" w:rsidRPr="00AB48A0" w:rsidRDefault="00AB48A0" w:rsidP="00AB48A0">
      <w:pPr>
        <w:spacing w:line="360" w:lineRule="auto"/>
        <w:rPr>
          <w:rFonts w:ascii="Arial" w:hAnsi="Arial" w:cs="Arial"/>
        </w:rPr>
      </w:pPr>
      <w:r w:rsidRPr="00AB48A0">
        <w:rPr>
          <w:rFonts w:ascii="Arial" w:hAnsi="Arial" w:cs="Arial"/>
        </w:rPr>
        <w:t>Cowan, D. (2023) 'Rapist guilty of attacking women before gender change', </w:t>
      </w:r>
      <w:r w:rsidRPr="00AB48A0">
        <w:rPr>
          <w:rFonts w:ascii="Arial" w:hAnsi="Arial" w:cs="Arial"/>
          <w:i/>
          <w:iCs/>
        </w:rPr>
        <w:t>BBC News</w:t>
      </w:r>
      <w:r w:rsidRPr="00AB48A0">
        <w:rPr>
          <w:rFonts w:ascii="Arial" w:hAnsi="Arial" w:cs="Arial"/>
        </w:rPr>
        <w:t>. Available at: </w:t>
      </w:r>
      <w:hyperlink r:id="rId7" w:tgtFrame="_new" w:history="1">
        <w:r w:rsidRPr="00AB48A0">
          <w:rPr>
            <w:rFonts w:ascii="Arial" w:hAnsi="Arial" w:cs="Arial"/>
            <w:color w:val="0000FF"/>
            <w:u w:val="single"/>
          </w:rPr>
          <w:t>https://www.bbc.co.uk/news/uk-scotland-64388669</w:t>
        </w:r>
      </w:hyperlink>
      <w:r w:rsidRPr="00AB48A0">
        <w:rPr>
          <w:rFonts w:ascii="Arial" w:hAnsi="Arial" w:cs="Arial"/>
        </w:rPr>
        <w:t> (Accessed: 15 February 2025).</w:t>
      </w:r>
    </w:p>
    <w:p w14:paraId="0D0991B5" w14:textId="77777777" w:rsidR="00AB48A0" w:rsidRPr="00AB48A0" w:rsidRDefault="00AB48A0" w:rsidP="00AB48A0">
      <w:pPr>
        <w:spacing w:line="360" w:lineRule="auto"/>
        <w:rPr>
          <w:rFonts w:ascii="Arial" w:hAnsi="Arial" w:cs="Arial"/>
        </w:rPr>
      </w:pPr>
    </w:p>
    <w:p w14:paraId="4A6548AE" w14:textId="61407097" w:rsidR="00AB48A0" w:rsidRPr="00AB48A0" w:rsidRDefault="00AB48A0" w:rsidP="00AB48A0">
      <w:pPr>
        <w:spacing w:line="360" w:lineRule="auto"/>
        <w:rPr>
          <w:rFonts w:ascii="Arial" w:hAnsi="Arial" w:cs="Arial"/>
        </w:rPr>
      </w:pPr>
      <w:r w:rsidRPr="00AB48A0">
        <w:rPr>
          <w:rFonts w:ascii="Arial" w:hAnsi="Arial" w:cs="Arial"/>
        </w:rPr>
        <w:t>Cowan, J. (2023) 'Isla Bryson and the Debate on Gender Self-Identification in Prison', </w:t>
      </w:r>
      <w:r w:rsidRPr="00AB48A0">
        <w:rPr>
          <w:rFonts w:ascii="Arial" w:hAnsi="Arial" w:cs="Arial"/>
          <w:i/>
          <w:iCs/>
        </w:rPr>
        <w:t>Journal of Criminal Law and Social Justice</w:t>
      </w:r>
      <w:r w:rsidRPr="00AB48A0">
        <w:rPr>
          <w:rFonts w:ascii="Arial" w:hAnsi="Arial" w:cs="Arial"/>
        </w:rPr>
        <w:t>, 45(1), pp. 12-20.</w:t>
      </w:r>
    </w:p>
    <w:p w14:paraId="60E1A167" w14:textId="77777777" w:rsidR="00AB48A0" w:rsidRPr="00AB48A0" w:rsidRDefault="00AB48A0" w:rsidP="00AB48A0">
      <w:pPr>
        <w:spacing w:line="360" w:lineRule="auto"/>
        <w:rPr>
          <w:rFonts w:ascii="Arial" w:hAnsi="Arial" w:cs="Arial"/>
        </w:rPr>
      </w:pPr>
    </w:p>
    <w:p w14:paraId="2AA22623" w14:textId="002C491F" w:rsidR="00AB48A0" w:rsidRPr="00AB48A0" w:rsidRDefault="00AB48A0" w:rsidP="00AB48A0">
      <w:pPr>
        <w:spacing w:line="360" w:lineRule="auto"/>
        <w:rPr>
          <w:rFonts w:ascii="Arial" w:hAnsi="Arial" w:cs="Arial"/>
        </w:rPr>
      </w:pPr>
      <w:r w:rsidRPr="00AB48A0">
        <w:rPr>
          <w:rFonts w:ascii="Arial" w:hAnsi="Arial" w:cs="Arial"/>
        </w:rPr>
        <w:t>Donohue, G., McCann, E. and Brown, M. (2021) 'Views and experiences of LGBTQ+ people in prison regarding their psychosocial needs: A systematic review of the qualitative research evidence', </w:t>
      </w:r>
      <w:r w:rsidRPr="00AB48A0">
        <w:rPr>
          <w:rFonts w:ascii="Arial" w:hAnsi="Arial" w:cs="Arial"/>
          <w:i/>
          <w:iCs/>
        </w:rPr>
        <w:t>International Journal of Environmental Research and Public Health</w:t>
      </w:r>
      <w:r w:rsidRPr="00AB48A0">
        <w:rPr>
          <w:rFonts w:ascii="Arial" w:hAnsi="Arial" w:cs="Arial"/>
        </w:rPr>
        <w:t>, 18(17), p. 9335. doi:10.3390/ijerph18179335.</w:t>
      </w:r>
    </w:p>
    <w:p w14:paraId="6B460300" w14:textId="77777777" w:rsidR="00AB48A0" w:rsidRPr="00AB48A0" w:rsidRDefault="00AB48A0" w:rsidP="00AB48A0">
      <w:pPr>
        <w:spacing w:line="360" w:lineRule="auto"/>
        <w:rPr>
          <w:rFonts w:ascii="Arial" w:hAnsi="Arial" w:cs="Arial"/>
        </w:rPr>
      </w:pPr>
    </w:p>
    <w:p w14:paraId="299DC7E9" w14:textId="1C2261CA" w:rsidR="00AB48A0" w:rsidRPr="00AB48A0" w:rsidRDefault="00AB48A0" w:rsidP="00AB48A0">
      <w:pPr>
        <w:spacing w:line="360" w:lineRule="auto"/>
        <w:rPr>
          <w:rFonts w:ascii="Arial" w:hAnsi="Arial" w:cs="Arial"/>
        </w:rPr>
      </w:pPr>
      <w:r w:rsidRPr="00AB48A0">
        <w:rPr>
          <w:rFonts w:ascii="Arial" w:hAnsi="Arial" w:cs="Arial"/>
        </w:rPr>
        <w:t>Elliot, B.C. (2023) 'Chapter 17. Perinatal Psychiatry and affirming gender identity in the setting of pregnancy', </w:t>
      </w:r>
      <w:r w:rsidRPr="00AB48A0">
        <w:rPr>
          <w:rFonts w:ascii="Arial" w:hAnsi="Arial" w:cs="Arial"/>
          <w:i/>
          <w:iCs/>
        </w:rPr>
        <w:t>Gender-Affirming Psychiatric Care</w:t>
      </w:r>
      <w:r w:rsidRPr="00AB48A0">
        <w:rPr>
          <w:rFonts w:ascii="Arial" w:hAnsi="Arial" w:cs="Arial"/>
        </w:rPr>
        <w:t xml:space="preserve">, pp. 249-260. </w:t>
      </w:r>
      <w:proofErr w:type="gramStart"/>
      <w:r w:rsidRPr="00AB48A0">
        <w:rPr>
          <w:rFonts w:ascii="Arial" w:hAnsi="Arial" w:cs="Arial"/>
        </w:rPr>
        <w:t>doi:10.1176/appi.books</w:t>
      </w:r>
      <w:proofErr w:type="gramEnd"/>
      <w:r w:rsidRPr="00AB48A0">
        <w:rPr>
          <w:rFonts w:ascii="Arial" w:hAnsi="Arial" w:cs="Arial"/>
        </w:rPr>
        <w:t>.9781615379958.lg17.</w:t>
      </w:r>
    </w:p>
    <w:p w14:paraId="00D53BE8" w14:textId="77777777" w:rsidR="00AB48A0" w:rsidRPr="00AB48A0" w:rsidRDefault="00AB48A0" w:rsidP="00AB48A0">
      <w:pPr>
        <w:spacing w:line="360" w:lineRule="auto"/>
        <w:rPr>
          <w:rFonts w:ascii="Arial" w:hAnsi="Arial" w:cs="Arial"/>
        </w:rPr>
      </w:pPr>
    </w:p>
    <w:p w14:paraId="250AFC27" w14:textId="4572B945" w:rsidR="00AB48A0" w:rsidRPr="00AB48A0" w:rsidRDefault="00AB48A0" w:rsidP="00AB48A0">
      <w:pPr>
        <w:spacing w:line="360" w:lineRule="auto"/>
        <w:rPr>
          <w:rFonts w:ascii="Arial" w:hAnsi="Arial" w:cs="Arial"/>
        </w:rPr>
      </w:pPr>
      <w:r w:rsidRPr="00AB48A0">
        <w:rPr>
          <w:rFonts w:ascii="Arial" w:hAnsi="Arial" w:cs="Arial"/>
        </w:rPr>
        <w:t>Elliott, L. (2023) 'Healthcare Inequities in the UK Prison System: Transgender Prisoners' Struggles', </w:t>
      </w:r>
      <w:r w:rsidRPr="00AB48A0">
        <w:rPr>
          <w:rFonts w:ascii="Arial" w:hAnsi="Arial" w:cs="Arial"/>
          <w:i/>
          <w:iCs/>
        </w:rPr>
        <w:t>Health &amp; Justice</w:t>
      </w:r>
      <w:r w:rsidRPr="00AB48A0">
        <w:rPr>
          <w:rFonts w:ascii="Arial" w:hAnsi="Arial" w:cs="Arial"/>
        </w:rPr>
        <w:t>, 21(4), pp. 100-112.</w:t>
      </w:r>
    </w:p>
    <w:p w14:paraId="210F2683" w14:textId="77777777" w:rsidR="00AB48A0" w:rsidRPr="00AB48A0" w:rsidRDefault="00AB48A0" w:rsidP="00AB48A0">
      <w:pPr>
        <w:spacing w:line="360" w:lineRule="auto"/>
        <w:rPr>
          <w:rFonts w:ascii="Arial" w:hAnsi="Arial" w:cs="Arial"/>
        </w:rPr>
      </w:pPr>
    </w:p>
    <w:p w14:paraId="31783B16" w14:textId="28554444" w:rsidR="00AB48A0" w:rsidRPr="00AB48A0" w:rsidRDefault="00AB48A0" w:rsidP="00AB48A0">
      <w:pPr>
        <w:spacing w:line="360" w:lineRule="auto"/>
        <w:rPr>
          <w:rFonts w:ascii="Arial" w:hAnsi="Arial" w:cs="Arial"/>
        </w:rPr>
      </w:pPr>
      <w:r w:rsidRPr="00AB48A0">
        <w:rPr>
          <w:rFonts w:ascii="Arial" w:hAnsi="Arial" w:cs="Arial"/>
        </w:rPr>
        <w:t>Equality and Human Rights Commission (2020) </w:t>
      </w:r>
      <w:r w:rsidRPr="00AB48A0">
        <w:rPr>
          <w:rFonts w:ascii="Arial" w:hAnsi="Arial" w:cs="Arial"/>
          <w:i/>
          <w:iCs/>
        </w:rPr>
        <w:t>Trans Research Review</w:t>
      </w:r>
      <w:r w:rsidRPr="00AB48A0">
        <w:rPr>
          <w:rFonts w:ascii="Arial" w:hAnsi="Arial" w:cs="Arial"/>
        </w:rPr>
        <w:t>, Equality and Human Rights Commission Research report 27. Available at: </w:t>
      </w:r>
      <w:hyperlink r:id="rId8" w:tgtFrame="_new" w:history="1">
        <w:r w:rsidRPr="00AB48A0">
          <w:rPr>
            <w:rFonts w:ascii="Arial" w:hAnsi="Arial" w:cs="Arial"/>
            <w:color w:val="0000FF"/>
            <w:u w:val="single"/>
          </w:rPr>
          <w:t>https://www.equalityhumanrights.com/sites/default/files/research_report_27_trans_research_review.pdf</w:t>
        </w:r>
      </w:hyperlink>
      <w:r w:rsidRPr="00AB48A0">
        <w:rPr>
          <w:rFonts w:ascii="Arial" w:hAnsi="Arial" w:cs="Arial"/>
        </w:rPr>
        <w:t> (Accessed: 15 February 2025).</w:t>
      </w:r>
    </w:p>
    <w:p w14:paraId="43EFBBC9" w14:textId="77777777" w:rsidR="00AB48A0" w:rsidRPr="00AB48A0" w:rsidRDefault="00AB48A0" w:rsidP="00AB48A0">
      <w:pPr>
        <w:spacing w:line="360" w:lineRule="auto"/>
        <w:rPr>
          <w:rFonts w:ascii="Arial" w:hAnsi="Arial" w:cs="Arial"/>
        </w:rPr>
      </w:pPr>
    </w:p>
    <w:p w14:paraId="6C7F8971" w14:textId="1C2DC71F" w:rsidR="00AB48A0" w:rsidRPr="00AB48A0" w:rsidRDefault="00AB48A0" w:rsidP="00AB48A0">
      <w:pPr>
        <w:spacing w:line="360" w:lineRule="auto"/>
        <w:rPr>
          <w:rFonts w:ascii="Arial" w:hAnsi="Arial" w:cs="Arial"/>
        </w:rPr>
      </w:pPr>
      <w:r w:rsidRPr="00AB48A0">
        <w:rPr>
          <w:rFonts w:ascii="Arial" w:hAnsi="Arial" w:cs="Arial"/>
        </w:rPr>
        <w:lastRenderedPageBreak/>
        <w:t>Equal Justice Initiative (2023) </w:t>
      </w:r>
      <w:r w:rsidRPr="00AB48A0">
        <w:rPr>
          <w:rFonts w:ascii="Arial" w:hAnsi="Arial" w:cs="Arial"/>
          <w:i/>
          <w:iCs/>
        </w:rPr>
        <w:t>Criminal justice and systemic discrimination: Strategies for change</w:t>
      </w:r>
      <w:r w:rsidRPr="00AB48A0">
        <w:rPr>
          <w:rFonts w:ascii="Arial" w:hAnsi="Arial" w:cs="Arial"/>
        </w:rPr>
        <w:t>. Equal Justice Initiative.</w:t>
      </w:r>
    </w:p>
    <w:p w14:paraId="36161B3F" w14:textId="77777777" w:rsidR="00AB48A0" w:rsidRPr="00AB48A0" w:rsidRDefault="00AB48A0" w:rsidP="00AB48A0">
      <w:pPr>
        <w:spacing w:line="360" w:lineRule="auto"/>
        <w:rPr>
          <w:rFonts w:ascii="Arial" w:hAnsi="Arial" w:cs="Arial"/>
        </w:rPr>
      </w:pPr>
    </w:p>
    <w:p w14:paraId="73C894B5" w14:textId="6EB970DA" w:rsidR="00AB48A0" w:rsidRPr="00AB48A0" w:rsidRDefault="00AB48A0" w:rsidP="00AB48A0">
      <w:pPr>
        <w:spacing w:line="360" w:lineRule="auto"/>
        <w:rPr>
          <w:rFonts w:ascii="Arial" w:hAnsi="Arial" w:cs="Arial"/>
        </w:rPr>
      </w:pPr>
      <w:r w:rsidRPr="00AB48A0">
        <w:rPr>
          <w:rFonts w:ascii="Arial" w:hAnsi="Arial" w:cs="Arial"/>
        </w:rPr>
        <w:t>Evans, S.M., Jones, B.A. and McDermott, D.T. (2024) 'Trans and gender diverse offenders’ experiences of custody: A systematic review of empirical evidence', </w:t>
      </w:r>
      <w:r w:rsidRPr="00AB48A0">
        <w:rPr>
          <w:rFonts w:ascii="Arial" w:hAnsi="Arial" w:cs="Arial"/>
          <w:i/>
          <w:iCs/>
        </w:rPr>
        <w:t>The Howard Journal of Crime and Justice</w:t>
      </w:r>
      <w:r w:rsidRPr="00AB48A0">
        <w:rPr>
          <w:rFonts w:ascii="Arial" w:hAnsi="Arial" w:cs="Arial"/>
        </w:rPr>
        <w:t>, 63(3), pp. 321–349. doi:10.1111/hojo.12567.</w:t>
      </w:r>
    </w:p>
    <w:p w14:paraId="2F260AA4" w14:textId="77777777" w:rsidR="00AB48A0" w:rsidRPr="00AB48A0" w:rsidRDefault="00AB48A0" w:rsidP="00AB48A0">
      <w:pPr>
        <w:spacing w:line="360" w:lineRule="auto"/>
        <w:rPr>
          <w:rFonts w:ascii="Arial" w:hAnsi="Arial" w:cs="Arial"/>
        </w:rPr>
      </w:pPr>
    </w:p>
    <w:p w14:paraId="70FDC9BB" w14:textId="461ACAAB" w:rsidR="00AB48A0" w:rsidRPr="00AB48A0" w:rsidRDefault="00AB48A0" w:rsidP="00AB48A0">
      <w:pPr>
        <w:spacing w:line="360" w:lineRule="auto"/>
        <w:rPr>
          <w:rFonts w:ascii="Arial" w:hAnsi="Arial" w:cs="Arial"/>
        </w:rPr>
      </w:pPr>
      <w:r w:rsidRPr="00AB48A0">
        <w:rPr>
          <w:rFonts w:ascii="Arial" w:hAnsi="Arial" w:cs="Arial"/>
        </w:rPr>
        <w:t>Freitas, L. et al. (2024) 'Discriminatory experiences among gay, bisexual, and other men who have sex with men, and transgender and non-binary individuals: A cross-sectional analysis', </w:t>
      </w:r>
      <w:r w:rsidRPr="00AB48A0">
        <w:rPr>
          <w:rFonts w:ascii="Arial" w:hAnsi="Arial" w:cs="Arial"/>
          <w:i/>
          <w:iCs/>
        </w:rPr>
        <w:t>The Lancet Regional Health - Americas</w:t>
      </w:r>
      <w:r w:rsidRPr="00AB48A0">
        <w:rPr>
          <w:rFonts w:ascii="Arial" w:hAnsi="Arial" w:cs="Arial"/>
        </w:rPr>
        <w:t xml:space="preserve">, 33, p. 100737. </w:t>
      </w:r>
      <w:proofErr w:type="gramStart"/>
      <w:r w:rsidRPr="00AB48A0">
        <w:rPr>
          <w:rFonts w:ascii="Arial" w:hAnsi="Arial" w:cs="Arial"/>
        </w:rPr>
        <w:t>doi:10.1016/j.lana</w:t>
      </w:r>
      <w:proofErr w:type="gramEnd"/>
      <w:r w:rsidRPr="00AB48A0">
        <w:rPr>
          <w:rFonts w:ascii="Arial" w:hAnsi="Arial" w:cs="Arial"/>
        </w:rPr>
        <w:t>.2024.100737.</w:t>
      </w:r>
    </w:p>
    <w:p w14:paraId="14126558" w14:textId="77777777" w:rsidR="00AB48A0" w:rsidRPr="00AB48A0" w:rsidRDefault="00AB48A0" w:rsidP="00AB48A0">
      <w:pPr>
        <w:spacing w:line="360" w:lineRule="auto"/>
        <w:rPr>
          <w:rFonts w:ascii="Arial" w:hAnsi="Arial" w:cs="Arial"/>
        </w:rPr>
      </w:pPr>
    </w:p>
    <w:p w14:paraId="5330ED04" w14:textId="14DF611B" w:rsidR="00AB48A0" w:rsidRPr="00AB48A0" w:rsidRDefault="00AB48A0" w:rsidP="00AB48A0">
      <w:pPr>
        <w:spacing w:line="360" w:lineRule="auto"/>
        <w:rPr>
          <w:rFonts w:ascii="Arial" w:hAnsi="Arial" w:cs="Arial"/>
        </w:rPr>
      </w:pPr>
      <w:r w:rsidRPr="00AB48A0">
        <w:rPr>
          <w:rFonts w:ascii="Arial" w:hAnsi="Arial" w:cs="Arial"/>
        </w:rPr>
        <w:t>Freitas, M.,</w:t>
      </w:r>
      <w:r w:rsidR="0022350E">
        <w:rPr>
          <w:rFonts w:ascii="Arial" w:hAnsi="Arial" w:cs="Arial"/>
        </w:rPr>
        <w:t xml:space="preserve"> Silva, M. and </w:t>
      </w:r>
      <w:proofErr w:type="spellStart"/>
      <w:proofErr w:type="gramStart"/>
      <w:r w:rsidR="0022350E">
        <w:rPr>
          <w:rFonts w:ascii="Arial" w:hAnsi="Arial" w:cs="Arial"/>
        </w:rPr>
        <w:t>Lima,A</w:t>
      </w:r>
      <w:proofErr w:type="spellEnd"/>
      <w:r w:rsidR="0022350E">
        <w:rPr>
          <w:rFonts w:ascii="Arial" w:hAnsi="Arial" w:cs="Arial"/>
        </w:rPr>
        <w:t>.</w:t>
      </w:r>
      <w:proofErr w:type="gramEnd"/>
      <w:r w:rsidR="0022350E">
        <w:rPr>
          <w:rFonts w:ascii="Arial" w:hAnsi="Arial" w:cs="Arial"/>
        </w:rPr>
        <w:t xml:space="preserve"> </w:t>
      </w:r>
      <w:r w:rsidRPr="00AB48A0">
        <w:rPr>
          <w:rFonts w:ascii="Arial" w:hAnsi="Arial" w:cs="Arial"/>
        </w:rPr>
        <w:t>(2024) 'The Intersection of Gender Identity and Discrimination in the CJS: Challenges and Barriers', </w:t>
      </w:r>
      <w:r w:rsidRPr="00AB48A0">
        <w:rPr>
          <w:rFonts w:ascii="Arial" w:hAnsi="Arial" w:cs="Arial"/>
          <w:i/>
          <w:iCs/>
        </w:rPr>
        <w:t>Criminal Justice Review</w:t>
      </w:r>
      <w:r w:rsidRPr="00AB48A0">
        <w:rPr>
          <w:rFonts w:ascii="Arial" w:hAnsi="Arial" w:cs="Arial"/>
        </w:rPr>
        <w:t>, 39(2), pp. 181-199.</w:t>
      </w:r>
    </w:p>
    <w:p w14:paraId="7BCF7B61" w14:textId="77777777" w:rsidR="00AB48A0" w:rsidRPr="00AB48A0" w:rsidRDefault="00AB48A0" w:rsidP="00AB48A0">
      <w:pPr>
        <w:spacing w:line="360" w:lineRule="auto"/>
        <w:rPr>
          <w:rFonts w:ascii="Arial" w:hAnsi="Arial" w:cs="Arial"/>
        </w:rPr>
      </w:pPr>
    </w:p>
    <w:p w14:paraId="17018374" w14:textId="71FC0E3D" w:rsidR="00AB48A0" w:rsidRPr="00AB48A0" w:rsidRDefault="00AB48A0" w:rsidP="00AB48A0">
      <w:pPr>
        <w:spacing w:line="360" w:lineRule="auto"/>
        <w:rPr>
          <w:rFonts w:ascii="Arial" w:hAnsi="Arial" w:cs="Arial"/>
        </w:rPr>
      </w:pPr>
      <w:r w:rsidRPr="00AB48A0">
        <w:rPr>
          <w:rFonts w:ascii="Arial" w:hAnsi="Arial" w:cs="Arial"/>
        </w:rPr>
        <w:t xml:space="preserve">Garcia, R. </w:t>
      </w:r>
      <w:r w:rsidR="0022350E">
        <w:rPr>
          <w:rFonts w:ascii="Arial" w:hAnsi="Arial" w:cs="Arial"/>
        </w:rPr>
        <w:t>and</w:t>
      </w:r>
      <w:r w:rsidRPr="00AB48A0">
        <w:rPr>
          <w:rFonts w:ascii="Arial" w:hAnsi="Arial" w:cs="Arial"/>
        </w:rPr>
        <w:t xml:space="preserve"> Lee, S. (2023). </w:t>
      </w:r>
      <w:r w:rsidRPr="00AB48A0">
        <w:rPr>
          <w:rFonts w:ascii="Arial" w:hAnsi="Arial" w:cs="Arial"/>
          <w:i/>
          <w:iCs/>
        </w:rPr>
        <w:t>Misgendering and denial of gender-affirming facilities: The intersection of gender identity and law enforcement</w:t>
      </w:r>
      <w:r w:rsidRPr="00AB48A0">
        <w:rPr>
          <w:rFonts w:ascii="Arial" w:hAnsi="Arial" w:cs="Arial"/>
        </w:rPr>
        <w:t>. Garcia &amp; Lee Publishing.</w:t>
      </w:r>
    </w:p>
    <w:p w14:paraId="306DB85B" w14:textId="77777777" w:rsidR="00AB48A0" w:rsidRPr="00AB48A0" w:rsidRDefault="00AB48A0" w:rsidP="00AB48A0">
      <w:pPr>
        <w:spacing w:line="360" w:lineRule="auto"/>
        <w:rPr>
          <w:rFonts w:ascii="Arial" w:hAnsi="Arial" w:cs="Arial"/>
        </w:rPr>
      </w:pPr>
    </w:p>
    <w:p w14:paraId="301CBA2E" w14:textId="29A7293E" w:rsidR="00AB48A0" w:rsidRPr="00AB48A0" w:rsidRDefault="00AB48A0" w:rsidP="00AB48A0">
      <w:pPr>
        <w:spacing w:line="360" w:lineRule="auto"/>
        <w:rPr>
          <w:rFonts w:ascii="Arial" w:hAnsi="Arial" w:cs="Arial"/>
        </w:rPr>
      </w:pPr>
      <w:proofErr w:type="spellStart"/>
      <w:r w:rsidRPr="00AB48A0">
        <w:rPr>
          <w:rFonts w:ascii="Arial" w:hAnsi="Arial" w:cs="Arial"/>
        </w:rPr>
        <w:t>Hereth</w:t>
      </w:r>
      <w:proofErr w:type="spellEnd"/>
      <w:r w:rsidRPr="00AB48A0">
        <w:rPr>
          <w:rFonts w:ascii="Arial" w:hAnsi="Arial" w:cs="Arial"/>
        </w:rPr>
        <w:t>, J. (2022) 'OVERREPRESENTATION OF PEOPLE WHO IDENTIFY AS LGBTQ+ IN THE CRIMINAL LEGAL SYSTEM', </w:t>
      </w:r>
      <w:r w:rsidRPr="00AB48A0">
        <w:rPr>
          <w:rFonts w:ascii="Arial" w:hAnsi="Arial" w:cs="Arial"/>
          <w:i/>
          <w:iCs/>
        </w:rPr>
        <w:t>Safety and Justice Challenge</w:t>
      </w:r>
      <w:r w:rsidRPr="00AB48A0">
        <w:rPr>
          <w:rFonts w:ascii="Arial" w:hAnsi="Arial" w:cs="Arial"/>
        </w:rPr>
        <w:t>.</w:t>
      </w:r>
    </w:p>
    <w:p w14:paraId="2DA49639" w14:textId="77777777" w:rsidR="00AB48A0" w:rsidRPr="00AB48A0" w:rsidRDefault="00AB48A0" w:rsidP="00AB48A0">
      <w:pPr>
        <w:spacing w:line="360" w:lineRule="auto"/>
        <w:rPr>
          <w:rFonts w:ascii="Arial" w:hAnsi="Arial" w:cs="Arial"/>
        </w:rPr>
      </w:pPr>
    </w:p>
    <w:p w14:paraId="591F43A9" w14:textId="604079DD" w:rsidR="00AB48A0" w:rsidRPr="00AB48A0" w:rsidRDefault="00AB48A0" w:rsidP="00AB48A0">
      <w:pPr>
        <w:spacing w:line="360" w:lineRule="auto"/>
        <w:rPr>
          <w:rFonts w:ascii="Arial" w:hAnsi="Arial" w:cs="Arial"/>
        </w:rPr>
      </w:pPr>
      <w:proofErr w:type="spellStart"/>
      <w:r w:rsidRPr="00AB48A0">
        <w:rPr>
          <w:rFonts w:ascii="Arial" w:hAnsi="Arial" w:cs="Arial"/>
        </w:rPr>
        <w:t>Hereth</w:t>
      </w:r>
      <w:proofErr w:type="spellEnd"/>
      <w:r w:rsidRPr="00AB48A0">
        <w:rPr>
          <w:rFonts w:ascii="Arial" w:hAnsi="Arial" w:cs="Arial"/>
        </w:rPr>
        <w:t>, J.E. (2024) 'Pathways leading to arrest for transgender women', </w:t>
      </w:r>
      <w:r w:rsidRPr="00AB48A0">
        <w:rPr>
          <w:rFonts w:ascii="Arial" w:hAnsi="Arial" w:cs="Arial"/>
          <w:i/>
          <w:iCs/>
        </w:rPr>
        <w:t>Feminist Criminology</w:t>
      </w:r>
      <w:r w:rsidRPr="00AB48A0">
        <w:rPr>
          <w:rFonts w:ascii="Arial" w:hAnsi="Arial" w:cs="Arial"/>
        </w:rPr>
        <w:t>. doi:10.1177/15570851241250126.</w:t>
      </w:r>
    </w:p>
    <w:p w14:paraId="61F623AF" w14:textId="77777777" w:rsidR="00AB48A0" w:rsidRPr="00AB48A0" w:rsidRDefault="00AB48A0" w:rsidP="00AB48A0">
      <w:pPr>
        <w:spacing w:line="360" w:lineRule="auto"/>
        <w:rPr>
          <w:rFonts w:ascii="Arial" w:hAnsi="Arial" w:cs="Arial"/>
        </w:rPr>
      </w:pPr>
    </w:p>
    <w:p w14:paraId="1F739924" w14:textId="0F19F26F" w:rsidR="00AB48A0" w:rsidRPr="00AB48A0" w:rsidRDefault="00AB48A0" w:rsidP="00AB48A0">
      <w:pPr>
        <w:spacing w:line="360" w:lineRule="auto"/>
        <w:rPr>
          <w:rFonts w:ascii="Arial" w:hAnsi="Arial" w:cs="Arial"/>
        </w:rPr>
      </w:pPr>
      <w:r w:rsidRPr="00AB48A0">
        <w:rPr>
          <w:rFonts w:ascii="Arial" w:hAnsi="Arial" w:cs="Arial"/>
        </w:rPr>
        <w:t>Hester, M.</w:t>
      </w:r>
      <w:r w:rsidR="0022350E">
        <w:rPr>
          <w:rFonts w:ascii="Arial" w:hAnsi="Arial" w:cs="Arial"/>
        </w:rPr>
        <w:t xml:space="preserve">, Williamson, E., Eisenstein, N., Abrahams, H., </w:t>
      </w:r>
      <w:proofErr w:type="spellStart"/>
      <w:r w:rsidR="0022350E">
        <w:rPr>
          <w:rFonts w:ascii="Arial" w:hAnsi="Arial" w:cs="Arial"/>
        </w:rPr>
        <w:t>Aghtaie</w:t>
      </w:r>
      <w:proofErr w:type="spellEnd"/>
      <w:r w:rsidR="0022350E">
        <w:rPr>
          <w:rFonts w:ascii="Arial" w:hAnsi="Arial" w:cs="Arial"/>
        </w:rPr>
        <w:t xml:space="preserve">, N., Bates, L., </w:t>
      </w:r>
      <w:proofErr w:type="spellStart"/>
      <w:r w:rsidR="0022350E">
        <w:rPr>
          <w:rFonts w:ascii="Arial" w:hAnsi="Arial" w:cs="Arial"/>
        </w:rPr>
        <w:t>Gangoli</w:t>
      </w:r>
      <w:proofErr w:type="spellEnd"/>
      <w:r w:rsidR="0022350E">
        <w:rPr>
          <w:rFonts w:ascii="Arial" w:hAnsi="Arial" w:cs="Arial"/>
        </w:rPr>
        <w:t xml:space="preserve">, G., Robinson, A., Walker, S., McCarthy, E. and </w:t>
      </w:r>
      <w:proofErr w:type="spellStart"/>
      <w:r w:rsidR="0022350E">
        <w:rPr>
          <w:rFonts w:ascii="Arial" w:hAnsi="Arial" w:cs="Arial"/>
        </w:rPr>
        <w:t>Matolcsi</w:t>
      </w:r>
      <w:proofErr w:type="spellEnd"/>
      <w:r w:rsidR="0022350E">
        <w:rPr>
          <w:rFonts w:ascii="Arial" w:hAnsi="Arial" w:cs="Arial"/>
        </w:rPr>
        <w:t xml:space="preserve">, A. </w:t>
      </w:r>
      <w:r w:rsidRPr="00AB48A0">
        <w:rPr>
          <w:rFonts w:ascii="Arial" w:hAnsi="Arial" w:cs="Arial"/>
        </w:rPr>
        <w:t>(2023) 'What is Justice? perspectives of victims-survivors of gender-based violence', </w:t>
      </w:r>
      <w:r w:rsidRPr="00AB48A0">
        <w:rPr>
          <w:rFonts w:ascii="Arial" w:hAnsi="Arial" w:cs="Arial"/>
          <w:i/>
          <w:iCs/>
        </w:rPr>
        <w:t>Violence Against Women</w:t>
      </w:r>
      <w:r w:rsidRPr="00AB48A0">
        <w:rPr>
          <w:rFonts w:ascii="Arial" w:hAnsi="Arial" w:cs="Arial"/>
        </w:rPr>
        <w:t>, 31(2), pp. 570–597. doi:10.1177/10778012231214772.</w:t>
      </w:r>
    </w:p>
    <w:p w14:paraId="07D0ECCD" w14:textId="77777777" w:rsidR="00AB48A0" w:rsidRPr="00AB48A0" w:rsidRDefault="00AB48A0" w:rsidP="00AB48A0">
      <w:pPr>
        <w:spacing w:line="360" w:lineRule="auto"/>
        <w:rPr>
          <w:rFonts w:ascii="Arial" w:hAnsi="Arial" w:cs="Arial"/>
        </w:rPr>
      </w:pPr>
    </w:p>
    <w:p w14:paraId="30C6BF63" w14:textId="057B3328" w:rsidR="00AB48A0" w:rsidRPr="00AB48A0" w:rsidRDefault="00AB48A0" w:rsidP="00AB48A0">
      <w:pPr>
        <w:spacing w:line="360" w:lineRule="auto"/>
        <w:rPr>
          <w:rFonts w:ascii="Arial" w:hAnsi="Arial" w:cs="Arial"/>
        </w:rPr>
      </w:pPr>
      <w:r w:rsidRPr="00AB48A0">
        <w:rPr>
          <w:rFonts w:ascii="Arial" w:hAnsi="Arial" w:cs="Arial"/>
        </w:rPr>
        <w:t xml:space="preserve">Herman, J. L., Brown, T. N., </w:t>
      </w:r>
      <w:r w:rsidR="0022350E">
        <w:rPr>
          <w:rFonts w:ascii="Arial" w:hAnsi="Arial" w:cs="Arial"/>
        </w:rPr>
        <w:t xml:space="preserve">and </w:t>
      </w:r>
      <w:r w:rsidRPr="00AB48A0">
        <w:rPr>
          <w:rFonts w:ascii="Arial" w:hAnsi="Arial" w:cs="Arial"/>
        </w:rPr>
        <w:t>Marks, A. L. (2022) 'Transgender justice and discrimination: A comprehensive report', </w:t>
      </w:r>
      <w:r w:rsidRPr="00AB48A0">
        <w:rPr>
          <w:rFonts w:ascii="Arial" w:hAnsi="Arial" w:cs="Arial"/>
          <w:i/>
          <w:iCs/>
        </w:rPr>
        <w:t xml:space="preserve">National </w:t>
      </w:r>
      <w:proofErr w:type="spellStart"/>
      <w:r w:rsidRPr="00AB48A0">
        <w:rPr>
          <w:rFonts w:ascii="Arial" w:hAnsi="Arial" w:cs="Arial"/>
          <w:i/>
          <w:iCs/>
        </w:rPr>
        <w:t>Center</w:t>
      </w:r>
      <w:proofErr w:type="spellEnd"/>
      <w:r w:rsidRPr="00AB48A0">
        <w:rPr>
          <w:rFonts w:ascii="Arial" w:hAnsi="Arial" w:cs="Arial"/>
          <w:i/>
          <w:iCs/>
        </w:rPr>
        <w:t xml:space="preserve"> for Transgender Equality</w:t>
      </w:r>
      <w:r w:rsidRPr="00AB48A0">
        <w:rPr>
          <w:rFonts w:ascii="Arial" w:hAnsi="Arial" w:cs="Arial"/>
        </w:rPr>
        <w:t>.</w:t>
      </w:r>
    </w:p>
    <w:p w14:paraId="5EE5408E" w14:textId="77777777" w:rsidR="00AB48A0" w:rsidRPr="00AB48A0" w:rsidRDefault="00AB48A0" w:rsidP="00AB48A0">
      <w:pPr>
        <w:spacing w:line="360" w:lineRule="auto"/>
        <w:rPr>
          <w:rFonts w:ascii="Arial" w:hAnsi="Arial" w:cs="Arial"/>
        </w:rPr>
      </w:pPr>
    </w:p>
    <w:p w14:paraId="53A9137A" w14:textId="2D9810EF" w:rsidR="00AB48A0" w:rsidRPr="00AB48A0" w:rsidRDefault="00AB48A0" w:rsidP="00AB48A0">
      <w:pPr>
        <w:spacing w:line="360" w:lineRule="auto"/>
        <w:rPr>
          <w:rFonts w:ascii="Arial" w:hAnsi="Arial" w:cs="Arial"/>
        </w:rPr>
      </w:pPr>
      <w:r w:rsidRPr="00AB48A0">
        <w:rPr>
          <w:rFonts w:ascii="Arial" w:hAnsi="Arial" w:cs="Arial"/>
        </w:rPr>
        <w:lastRenderedPageBreak/>
        <w:t>Hernández, A. (2022) </w:t>
      </w:r>
      <w:r w:rsidRPr="00AB48A0">
        <w:rPr>
          <w:rFonts w:ascii="Arial" w:hAnsi="Arial" w:cs="Arial"/>
          <w:i/>
          <w:iCs/>
        </w:rPr>
        <w:t>The treatment of transgender inmates: A legal and ethical perspective</w:t>
      </w:r>
      <w:r w:rsidRPr="00AB48A0">
        <w:rPr>
          <w:rFonts w:ascii="Arial" w:hAnsi="Arial" w:cs="Arial"/>
        </w:rPr>
        <w:t>. Gender Justice Press.</w:t>
      </w:r>
    </w:p>
    <w:p w14:paraId="185D1959" w14:textId="6364EC51" w:rsidR="00AB48A0" w:rsidRPr="00AB48A0" w:rsidRDefault="00AB48A0" w:rsidP="00AB48A0">
      <w:pPr>
        <w:spacing w:line="360" w:lineRule="auto"/>
        <w:rPr>
          <w:rFonts w:ascii="Arial" w:hAnsi="Arial" w:cs="Arial"/>
        </w:rPr>
      </w:pPr>
      <w:r w:rsidRPr="00AB48A0">
        <w:rPr>
          <w:rFonts w:ascii="Arial" w:hAnsi="Arial" w:cs="Arial"/>
        </w:rPr>
        <w:t>Howard League for Penal Reform (2021) </w:t>
      </w:r>
      <w:r w:rsidRPr="00AB48A0">
        <w:rPr>
          <w:rFonts w:ascii="Arial" w:hAnsi="Arial" w:cs="Arial"/>
          <w:i/>
          <w:iCs/>
        </w:rPr>
        <w:t>Annual report 2021</w:t>
      </w:r>
      <w:r w:rsidRPr="00AB48A0">
        <w:rPr>
          <w:rFonts w:ascii="Arial" w:hAnsi="Arial" w:cs="Arial"/>
        </w:rPr>
        <w:t>, Howard League. Available at: </w:t>
      </w:r>
      <w:hyperlink r:id="rId9" w:tgtFrame="_new" w:history="1">
        <w:r w:rsidRPr="00AB48A0">
          <w:rPr>
            <w:rFonts w:ascii="Arial" w:hAnsi="Arial" w:cs="Arial"/>
            <w:color w:val="0000FF"/>
            <w:u w:val="single"/>
          </w:rPr>
          <w:t>https://howardleague.org/wp-content/uploads/2021/11/Annual-Report-2021.pdf</w:t>
        </w:r>
      </w:hyperlink>
      <w:r w:rsidRPr="00AB48A0">
        <w:rPr>
          <w:rFonts w:ascii="Arial" w:hAnsi="Arial" w:cs="Arial"/>
        </w:rPr>
        <w:t> (Accessed: 15 February 2025).</w:t>
      </w:r>
    </w:p>
    <w:p w14:paraId="0B23D334" w14:textId="77777777" w:rsidR="00AB48A0" w:rsidRPr="00AB48A0" w:rsidRDefault="00AB48A0" w:rsidP="00AB48A0">
      <w:pPr>
        <w:spacing w:line="360" w:lineRule="auto"/>
        <w:rPr>
          <w:rFonts w:ascii="Arial" w:hAnsi="Arial" w:cs="Arial"/>
        </w:rPr>
      </w:pPr>
    </w:p>
    <w:p w14:paraId="46A21FA2" w14:textId="29F3A813" w:rsidR="00AB48A0" w:rsidRPr="00AB48A0" w:rsidRDefault="00AB48A0" w:rsidP="00AB48A0">
      <w:pPr>
        <w:spacing w:line="360" w:lineRule="auto"/>
        <w:rPr>
          <w:rFonts w:ascii="Arial" w:hAnsi="Arial" w:cs="Arial"/>
        </w:rPr>
      </w:pPr>
      <w:r w:rsidRPr="00AB48A0">
        <w:rPr>
          <w:rFonts w:ascii="Arial" w:hAnsi="Arial" w:cs="Arial"/>
        </w:rPr>
        <w:t>Human Rights Campaign (2023) </w:t>
      </w:r>
      <w:r w:rsidRPr="00AB48A0">
        <w:rPr>
          <w:rFonts w:ascii="Arial" w:hAnsi="Arial" w:cs="Arial"/>
          <w:i/>
          <w:iCs/>
        </w:rPr>
        <w:t>Transgender inmates' access to gender-affirming facilities</w:t>
      </w:r>
      <w:r w:rsidRPr="00AB48A0">
        <w:rPr>
          <w:rFonts w:ascii="Arial" w:hAnsi="Arial" w:cs="Arial"/>
        </w:rPr>
        <w:t>. Human Rights Campaign.</w:t>
      </w:r>
    </w:p>
    <w:p w14:paraId="1A0EA57F" w14:textId="77777777" w:rsidR="00AB48A0" w:rsidRPr="00AB48A0" w:rsidRDefault="00AB48A0" w:rsidP="00AB48A0">
      <w:pPr>
        <w:spacing w:line="360" w:lineRule="auto"/>
        <w:rPr>
          <w:rFonts w:ascii="Arial" w:hAnsi="Arial" w:cs="Arial"/>
        </w:rPr>
      </w:pPr>
    </w:p>
    <w:p w14:paraId="54A45B73" w14:textId="08F730FB" w:rsidR="00AB48A0" w:rsidRPr="00AB48A0" w:rsidRDefault="00AB48A0" w:rsidP="00AB48A0">
      <w:pPr>
        <w:spacing w:line="360" w:lineRule="auto"/>
        <w:rPr>
          <w:rFonts w:ascii="Arial" w:hAnsi="Arial" w:cs="Arial"/>
        </w:rPr>
      </w:pPr>
      <w:r w:rsidRPr="00AB48A0">
        <w:rPr>
          <w:rFonts w:ascii="Arial" w:hAnsi="Arial" w:cs="Arial"/>
        </w:rPr>
        <w:t>Human Rights Watch (2023) </w:t>
      </w:r>
      <w:r w:rsidRPr="00AB48A0">
        <w:rPr>
          <w:rFonts w:ascii="Arial" w:hAnsi="Arial" w:cs="Arial"/>
          <w:i/>
          <w:iCs/>
        </w:rPr>
        <w:t>Transgender rights in the criminal justice system: Challenges and reforms</w:t>
      </w:r>
      <w:r w:rsidRPr="00AB48A0">
        <w:rPr>
          <w:rFonts w:ascii="Arial" w:hAnsi="Arial" w:cs="Arial"/>
        </w:rPr>
        <w:t>. Human Rights Watch.</w:t>
      </w:r>
    </w:p>
    <w:p w14:paraId="0EB4B291" w14:textId="77777777" w:rsidR="00AB48A0" w:rsidRPr="00AB48A0" w:rsidRDefault="00AB48A0" w:rsidP="00AB48A0">
      <w:pPr>
        <w:spacing w:line="360" w:lineRule="auto"/>
        <w:rPr>
          <w:rFonts w:ascii="Arial" w:hAnsi="Arial" w:cs="Arial"/>
        </w:rPr>
      </w:pPr>
    </w:p>
    <w:p w14:paraId="40551D33" w14:textId="46A8BE1A" w:rsidR="00AB48A0" w:rsidRPr="00AB48A0" w:rsidRDefault="00AB48A0" w:rsidP="00AB48A0">
      <w:pPr>
        <w:spacing w:line="360" w:lineRule="auto"/>
        <w:rPr>
          <w:rFonts w:ascii="Arial" w:hAnsi="Arial" w:cs="Arial"/>
        </w:rPr>
      </w:pPr>
      <w:r w:rsidRPr="00AB48A0">
        <w:rPr>
          <w:rFonts w:ascii="Arial" w:hAnsi="Arial" w:cs="Arial"/>
        </w:rPr>
        <w:t>Jacobs, P. (2024) 'Transgender behind bars. The transgender pains of imprisonment in the light of the emerging and advancement of Human Rights Protection for transgender prisoners within the Council of Europe Context', </w:t>
      </w:r>
      <w:r w:rsidRPr="00AB48A0">
        <w:rPr>
          <w:rFonts w:ascii="Arial" w:hAnsi="Arial" w:cs="Arial"/>
          <w:i/>
          <w:iCs/>
        </w:rPr>
        <w:t>New Journal of European Criminal Law</w:t>
      </w:r>
      <w:r w:rsidRPr="00AB48A0">
        <w:rPr>
          <w:rFonts w:ascii="Arial" w:hAnsi="Arial" w:cs="Arial"/>
        </w:rPr>
        <w:t>, 15(2), pp. 225–240. doi:10.1177/20322844241250222.</w:t>
      </w:r>
    </w:p>
    <w:p w14:paraId="57CFF832" w14:textId="77777777" w:rsidR="00AB48A0" w:rsidRPr="00AB48A0" w:rsidRDefault="00AB48A0" w:rsidP="00AB48A0">
      <w:pPr>
        <w:spacing w:line="360" w:lineRule="auto"/>
        <w:rPr>
          <w:rFonts w:ascii="Arial" w:hAnsi="Arial" w:cs="Arial"/>
        </w:rPr>
      </w:pPr>
    </w:p>
    <w:p w14:paraId="1C4DFFE0" w14:textId="55977A7B" w:rsidR="00AB48A0" w:rsidRPr="00AB48A0" w:rsidRDefault="00AB48A0" w:rsidP="00AB48A0">
      <w:pPr>
        <w:spacing w:line="360" w:lineRule="auto"/>
        <w:rPr>
          <w:rFonts w:ascii="Arial" w:hAnsi="Arial" w:cs="Arial"/>
        </w:rPr>
      </w:pPr>
      <w:r w:rsidRPr="00AB48A0">
        <w:rPr>
          <w:rFonts w:ascii="Arial" w:hAnsi="Arial" w:cs="Arial"/>
        </w:rPr>
        <w:t xml:space="preserve">James, S. E., Herman, J. L., </w:t>
      </w:r>
      <w:r w:rsidR="0022350E">
        <w:rPr>
          <w:rFonts w:ascii="Arial" w:hAnsi="Arial" w:cs="Arial"/>
        </w:rPr>
        <w:t>and</w:t>
      </w:r>
      <w:r w:rsidRPr="00AB48A0">
        <w:rPr>
          <w:rFonts w:ascii="Arial" w:hAnsi="Arial" w:cs="Arial"/>
        </w:rPr>
        <w:t xml:space="preserve"> </w:t>
      </w:r>
      <w:proofErr w:type="spellStart"/>
      <w:r w:rsidRPr="00AB48A0">
        <w:rPr>
          <w:rFonts w:ascii="Arial" w:hAnsi="Arial" w:cs="Arial"/>
        </w:rPr>
        <w:t>Keisling</w:t>
      </w:r>
      <w:proofErr w:type="spellEnd"/>
      <w:r w:rsidRPr="00AB48A0">
        <w:rPr>
          <w:rFonts w:ascii="Arial" w:hAnsi="Arial" w:cs="Arial"/>
        </w:rPr>
        <w:t>, M. (2021) 'Barriers to reporting crimes: Transgender individuals' experiences with law enforcement', </w:t>
      </w:r>
      <w:r w:rsidRPr="00AB48A0">
        <w:rPr>
          <w:rFonts w:ascii="Arial" w:hAnsi="Arial" w:cs="Arial"/>
          <w:i/>
          <w:iCs/>
        </w:rPr>
        <w:t>LGBTQ+ Justice Report</w:t>
      </w:r>
      <w:r w:rsidRPr="00AB48A0">
        <w:rPr>
          <w:rFonts w:ascii="Arial" w:hAnsi="Arial" w:cs="Arial"/>
        </w:rPr>
        <w:t>.</w:t>
      </w:r>
    </w:p>
    <w:p w14:paraId="7D2D0DA6" w14:textId="77777777" w:rsidR="00AB48A0" w:rsidRPr="00AB48A0" w:rsidRDefault="00AB48A0" w:rsidP="00AB48A0">
      <w:pPr>
        <w:spacing w:line="360" w:lineRule="auto"/>
        <w:rPr>
          <w:rFonts w:ascii="Arial" w:hAnsi="Arial" w:cs="Arial"/>
        </w:rPr>
      </w:pPr>
    </w:p>
    <w:p w14:paraId="775DFFC0" w14:textId="0D0FDBAA" w:rsidR="00AB48A0" w:rsidRPr="00AB48A0" w:rsidRDefault="00AB48A0" w:rsidP="00AB48A0">
      <w:pPr>
        <w:spacing w:line="360" w:lineRule="auto"/>
        <w:rPr>
          <w:rFonts w:ascii="Arial" w:hAnsi="Arial" w:cs="Arial"/>
        </w:rPr>
      </w:pPr>
      <w:proofErr w:type="spellStart"/>
      <w:r w:rsidRPr="00AB48A0">
        <w:rPr>
          <w:rFonts w:ascii="Arial" w:hAnsi="Arial" w:cs="Arial"/>
        </w:rPr>
        <w:t>Jenness</w:t>
      </w:r>
      <w:proofErr w:type="spellEnd"/>
      <w:r w:rsidRPr="00AB48A0">
        <w:rPr>
          <w:rFonts w:ascii="Arial" w:hAnsi="Arial" w:cs="Arial"/>
        </w:rPr>
        <w:t>, V. (2021) 'The social ecology of sexual victimization against transgender women who are incarcerated: A call for (more) research on modalities of Housing and Prison Violence', </w:t>
      </w:r>
      <w:r w:rsidRPr="00AB48A0">
        <w:rPr>
          <w:rFonts w:ascii="Arial" w:hAnsi="Arial" w:cs="Arial"/>
          <w:i/>
          <w:iCs/>
        </w:rPr>
        <w:t>Criminology &amp; Public Policy</w:t>
      </w:r>
      <w:r w:rsidRPr="00AB48A0">
        <w:rPr>
          <w:rFonts w:ascii="Arial" w:hAnsi="Arial" w:cs="Arial"/>
        </w:rPr>
        <w:t>, 20(1), pp. 3–18. doi:10.1111/1745-9133.12540.</w:t>
      </w:r>
    </w:p>
    <w:p w14:paraId="55881D0F" w14:textId="77777777" w:rsidR="00AB48A0" w:rsidRPr="00AB48A0" w:rsidRDefault="00AB48A0" w:rsidP="00AB48A0">
      <w:pPr>
        <w:spacing w:line="360" w:lineRule="auto"/>
        <w:rPr>
          <w:rFonts w:ascii="Arial" w:hAnsi="Arial" w:cs="Arial"/>
        </w:rPr>
      </w:pPr>
    </w:p>
    <w:p w14:paraId="6C295E9C" w14:textId="0C5B5CF3" w:rsidR="00AB48A0" w:rsidRPr="00AB48A0" w:rsidRDefault="00AB48A0" w:rsidP="00AB48A0">
      <w:pPr>
        <w:spacing w:line="360" w:lineRule="auto"/>
        <w:rPr>
          <w:rFonts w:ascii="Arial" w:hAnsi="Arial" w:cs="Arial"/>
        </w:rPr>
      </w:pPr>
      <w:r w:rsidRPr="00AB48A0">
        <w:rPr>
          <w:rFonts w:ascii="Arial" w:hAnsi="Arial" w:cs="Arial"/>
        </w:rPr>
        <w:t>Joseph, R. (2023) </w:t>
      </w:r>
      <w:r w:rsidRPr="00AB48A0">
        <w:rPr>
          <w:rFonts w:ascii="Arial" w:hAnsi="Arial" w:cs="Arial"/>
          <w:i/>
          <w:iCs/>
        </w:rPr>
        <w:t>Knowledge, Attitudes, Beliefs, and Training Experiences of Correctional, and Non-Correctional Healthcare Professionals About the LGBTQ+ Community</w:t>
      </w:r>
      <w:r w:rsidRPr="00AB48A0">
        <w:rPr>
          <w:rFonts w:ascii="Arial" w:hAnsi="Arial" w:cs="Arial"/>
        </w:rPr>
        <w:t>.</w:t>
      </w:r>
    </w:p>
    <w:p w14:paraId="76131CBB" w14:textId="77777777" w:rsidR="00AB48A0" w:rsidRPr="00AB48A0" w:rsidRDefault="00AB48A0" w:rsidP="00AB48A0">
      <w:pPr>
        <w:spacing w:line="360" w:lineRule="auto"/>
        <w:rPr>
          <w:rFonts w:ascii="Arial" w:hAnsi="Arial" w:cs="Arial"/>
        </w:rPr>
      </w:pPr>
    </w:p>
    <w:p w14:paraId="0A1F7C3D" w14:textId="38D1AD52" w:rsidR="00AB48A0" w:rsidRPr="00AB48A0" w:rsidRDefault="00AB48A0" w:rsidP="00AB48A0">
      <w:pPr>
        <w:spacing w:line="360" w:lineRule="auto"/>
        <w:rPr>
          <w:rFonts w:ascii="Arial" w:hAnsi="Arial" w:cs="Arial"/>
        </w:rPr>
      </w:pPr>
      <w:r w:rsidRPr="00AB48A0">
        <w:rPr>
          <w:rFonts w:ascii="Arial" w:hAnsi="Arial" w:cs="Arial"/>
        </w:rPr>
        <w:t>Justice, M. of (2024) </w:t>
      </w:r>
      <w:r w:rsidRPr="00AB48A0">
        <w:rPr>
          <w:rFonts w:ascii="Arial" w:hAnsi="Arial" w:cs="Arial"/>
          <w:i/>
          <w:iCs/>
        </w:rPr>
        <w:t>The care and management of individuals who are transgender</w:t>
      </w:r>
      <w:r w:rsidRPr="00AB48A0">
        <w:rPr>
          <w:rFonts w:ascii="Arial" w:hAnsi="Arial" w:cs="Arial"/>
        </w:rPr>
        <w:t>, GOV.UK. Available at: </w:t>
      </w:r>
      <w:hyperlink r:id="rId10" w:tgtFrame="_new" w:history="1">
        <w:r w:rsidRPr="00AB48A0">
          <w:rPr>
            <w:rFonts w:ascii="Arial" w:hAnsi="Arial" w:cs="Arial"/>
            <w:color w:val="0000FF"/>
            <w:u w:val="single"/>
          </w:rPr>
          <w:t>https://www.gov.uk/government/publications/the-care-and-management-of-individuals-who-are-transgender</w:t>
        </w:r>
      </w:hyperlink>
      <w:r w:rsidRPr="00AB48A0">
        <w:rPr>
          <w:rFonts w:ascii="Arial" w:hAnsi="Arial" w:cs="Arial"/>
        </w:rPr>
        <w:t> (Accessed: 15 February 2025).</w:t>
      </w:r>
    </w:p>
    <w:p w14:paraId="456D502C" w14:textId="77777777" w:rsidR="00AB48A0" w:rsidRPr="00AB48A0" w:rsidRDefault="00AB48A0" w:rsidP="00AB48A0">
      <w:pPr>
        <w:spacing w:line="360" w:lineRule="auto"/>
        <w:rPr>
          <w:rFonts w:ascii="Arial" w:hAnsi="Arial" w:cs="Arial"/>
        </w:rPr>
      </w:pPr>
    </w:p>
    <w:p w14:paraId="74EDE37C" w14:textId="5C2BBBBF" w:rsidR="00AB48A0" w:rsidRPr="00AB48A0" w:rsidRDefault="00AB48A0" w:rsidP="00AB48A0">
      <w:pPr>
        <w:spacing w:line="360" w:lineRule="auto"/>
        <w:rPr>
          <w:rFonts w:ascii="Arial" w:hAnsi="Arial" w:cs="Arial"/>
        </w:rPr>
      </w:pPr>
      <w:r w:rsidRPr="00AB48A0">
        <w:rPr>
          <w:rFonts w:ascii="Arial" w:hAnsi="Arial" w:cs="Arial"/>
        </w:rPr>
        <w:lastRenderedPageBreak/>
        <w:t>King, M. (2025) </w:t>
      </w:r>
      <w:r w:rsidRPr="00AB48A0">
        <w:rPr>
          <w:rFonts w:ascii="Arial" w:hAnsi="Arial" w:cs="Arial"/>
          <w:i/>
          <w:iCs/>
        </w:rPr>
        <w:t>Framework of Criminal Justice</w:t>
      </w:r>
      <w:r w:rsidRPr="00AB48A0">
        <w:rPr>
          <w:rFonts w:ascii="Arial" w:hAnsi="Arial" w:cs="Arial"/>
        </w:rPr>
        <w:t xml:space="preserve">. 1st </w:t>
      </w:r>
      <w:proofErr w:type="spellStart"/>
      <w:r w:rsidRPr="00AB48A0">
        <w:rPr>
          <w:rFonts w:ascii="Arial" w:hAnsi="Arial" w:cs="Arial"/>
        </w:rPr>
        <w:t>edn</w:t>
      </w:r>
      <w:proofErr w:type="spellEnd"/>
      <w:r w:rsidRPr="00AB48A0">
        <w:rPr>
          <w:rFonts w:ascii="Arial" w:hAnsi="Arial" w:cs="Arial"/>
        </w:rPr>
        <w:t xml:space="preserve">. </w:t>
      </w:r>
      <w:proofErr w:type="spellStart"/>
      <w:r w:rsidRPr="00AB48A0">
        <w:rPr>
          <w:rFonts w:ascii="Arial" w:hAnsi="Arial" w:cs="Arial"/>
        </w:rPr>
        <w:t>S.l.</w:t>
      </w:r>
      <w:proofErr w:type="spellEnd"/>
      <w:r w:rsidRPr="00AB48A0">
        <w:rPr>
          <w:rFonts w:ascii="Arial" w:hAnsi="Arial" w:cs="Arial"/>
        </w:rPr>
        <w:t>, London: ROUTLEDGE.</w:t>
      </w:r>
    </w:p>
    <w:p w14:paraId="38094E4E" w14:textId="77777777" w:rsidR="00AB48A0" w:rsidRPr="00AB48A0" w:rsidRDefault="00AB48A0" w:rsidP="00AB48A0">
      <w:pPr>
        <w:spacing w:line="360" w:lineRule="auto"/>
        <w:rPr>
          <w:rFonts w:ascii="Arial" w:hAnsi="Arial" w:cs="Arial"/>
        </w:rPr>
      </w:pPr>
    </w:p>
    <w:p w14:paraId="653CF625" w14:textId="541A7900" w:rsidR="00AB48A0" w:rsidRPr="00AB48A0" w:rsidRDefault="00AB48A0" w:rsidP="00AB48A0">
      <w:pPr>
        <w:spacing w:line="360" w:lineRule="auto"/>
        <w:rPr>
          <w:rFonts w:ascii="Arial" w:hAnsi="Arial" w:cs="Arial"/>
        </w:rPr>
      </w:pPr>
      <w:proofErr w:type="spellStart"/>
      <w:r w:rsidRPr="00AB48A0">
        <w:rPr>
          <w:rFonts w:ascii="Arial" w:hAnsi="Arial" w:cs="Arial"/>
        </w:rPr>
        <w:t>Kosbie</w:t>
      </w:r>
      <w:proofErr w:type="spellEnd"/>
      <w:r w:rsidRPr="00AB48A0">
        <w:rPr>
          <w:rFonts w:ascii="Arial" w:hAnsi="Arial" w:cs="Arial"/>
        </w:rPr>
        <w:t>, D. (2021) 'The effectiveness of LGBTQ+ units within police forces: A review of current practices', </w:t>
      </w:r>
      <w:r w:rsidRPr="00AB48A0">
        <w:rPr>
          <w:rFonts w:ascii="Arial" w:hAnsi="Arial" w:cs="Arial"/>
          <w:i/>
          <w:iCs/>
        </w:rPr>
        <w:t>Police Reform Initiative</w:t>
      </w:r>
      <w:r w:rsidRPr="00AB48A0">
        <w:rPr>
          <w:rFonts w:ascii="Arial" w:hAnsi="Arial" w:cs="Arial"/>
        </w:rPr>
        <w:t>.</w:t>
      </w:r>
    </w:p>
    <w:p w14:paraId="23CEB905" w14:textId="77777777" w:rsidR="00AB48A0" w:rsidRPr="00AB48A0" w:rsidRDefault="00AB48A0" w:rsidP="00AB48A0">
      <w:pPr>
        <w:spacing w:line="360" w:lineRule="auto"/>
        <w:rPr>
          <w:rFonts w:ascii="Arial" w:hAnsi="Arial" w:cs="Arial"/>
        </w:rPr>
      </w:pPr>
    </w:p>
    <w:p w14:paraId="6EBBCB12" w14:textId="59DD5888" w:rsidR="00AB48A0" w:rsidRPr="00AB48A0" w:rsidRDefault="00AB48A0" w:rsidP="00AB48A0">
      <w:pPr>
        <w:spacing w:line="360" w:lineRule="auto"/>
        <w:rPr>
          <w:rFonts w:ascii="Arial" w:hAnsi="Arial" w:cs="Arial"/>
        </w:rPr>
      </w:pPr>
      <w:r w:rsidRPr="00AB48A0">
        <w:rPr>
          <w:rFonts w:ascii="Arial" w:hAnsi="Arial" w:cs="Arial"/>
        </w:rPr>
        <w:t>Lambda Legal (2021) 'Barriers to justice for transgender victims: How law enforcement interacts with the community', </w:t>
      </w:r>
      <w:r w:rsidRPr="00AB48A0">
        <w:rPr>
          <w:rFonts w:ascii="Arial" w:hAnsi="Arial" w:cs="Arial"/>
          <w:i/>
          <w:iCs/>
        </w:rPr>
        <w:t>Lambda Legal Press</w:t>
      </w:r>
      <w:r w:rsidRPr="00AB48A0">
        <w:rPr>
          <w:rFonts w:ascii="Arial" w:hAnsi="Arial" w:cs="Arial"/>
        </w:rPr>
        <w:t>.</w:t>
      </w:r>
    </w:p>
    <w:p w14:paraId="312D7434" w14:textId="77777777" w:rsidR="00AB48A0" w:rsidRPr="00AB48A0" w:rsidRDefault="00AB48A0" w:rsidP="00AB48A0">
      <w:pPr>
        <w:spacing w:line="360" w:lineRule="auto"/>
        <w:rPr>
          <w:rFonts w:ascii="Arial" w:hAnsi="Arial" w:cs="Arial"/>
        </w:rPr>
      </w:pPr>
    </w:p>
    <w:p w14:paraId="356A6561" w14:textId="0792B885" w:rsidR="00AB48A0" w:rsidRPr="00AB48A0" w:rsidRDefault="00AB48A0" w:rsidP="00AB48A0">
      <w:pPr>
        <w:spacing w:line="360" w:lineRule="auto"/>
        <w:rPr>
          <w:rFonts w:ascii="Arial" w:hAnsi="Arial" w:cs="Arial"/>
        </w:rPr>
      </w:pPr>
      <w:proofErr w:type="spellStart"/>
      <w:r w:rsidRPr="00AB48A0">
        <w:rPr>
          <w:rFonts w:ascii="Arial" w:hAnsi="Arial" w:cs="Arial"/>
        </w:rPr>
        <w:t>Maycock</w:t>
      </w:r>
      <w:proofErr w:type="spellEnd"/>
      <w:r w:rsidRPr="00AB48A0">
        <w:rPr>
          <w:rFonts w:ascii="Arial" w:hAnsi="Arial" w:cs="Arial"/>
        </w:rPr>
        <w:t xml:space="preserve">, M., O’Shea, S. and </w:t>
      </w:r>
      <w:proofErr w:type="spellStart"/>
      <w:r w:rsidRPr="00AB48A0">
        <w:rPr>
          <w:rFonts w:ascii="Arial" w:hAnsi="Arial" w:cs="Arial"/>
        </w:rPr>
        <w:t>Jenness</w:t>
      </w:r>
      <w:proofErr w:type="spellEnd"/>
      <w:r w:rsidRPr="00AB48A0">
        <w:rPr>
          <w:rFonts w:ascii="Arial" w:hAnsi="Arial" w:cs="Arial"/>
        </w:rPr>
        <w:t>, V. (2025) </w:t>
      </w:r>
      <w:r w:rsidRPr="00AB48A0">
        <w:rPr>
          <w:rFonts w:ascii="Arial" w:hAnsi="Arial" w:cs="Arial"/>
          <w:i/>
          <w:iCs/>
        </w:rPr>
        <w:t>Transgender people involved with Carceral Systems</w:t>
      </w:r>
      <w:r w:rsidRPr="00AB48A0">
        <w:rPr>
          <w:rFonts w:ascii="Arial" w:hAnsi="Arial" w:cs="Arial"/>
        </w:rPr>
        <w:t>. Abingdon, Oxon, United Kingdom: Routledge.</w:t>
      </w:r>
    </w:p>
    <w:p w14:paraId="37CAB153" w14:textId="77777777" w:rsidR="00AB48A0" w:rsidRPr="00AB48A0" w:rsidRDefault="00AB48A0" w:rsidP="00AB48A0">
      <w:pPr>
        <w:spacing w:line="360" w:lineRule="auto"/>
        <w:rPr>
          <w:rFonts w:ascii="Arial" w:hAnsi="Arial" w:cs="Arial"/>
        </w:rPr>
      </w:pPr>
    </w:p>
    <w:p w14:paraId="4DC00D09" w14:textId="15AE4415" w:rsidR="00AB48A0" w:rsidRPr="00AB48A0" w:rsidRDefault="00AB48A0" w:rsidP="00AB48A0">
      <w:pPr>
        <w:spacing w:line="360" w:lineRule="auto"/>
        <w:rPr>
          <w:rFonts w:ascii="Arial" w:hAnsi="Arial" w:cs="Arial"/>
        </w:rPr>
      </w:pPr>
      <w:r w:rsidRPr="00AB48A0">
        <w:rPr>
          <w:rFonts w:ascii="Arial" w:hAnsi="Arial" w:cs="Arial"/>
        </w:rPr>
        <w:t>McKinnon, M. (2023) 'Transgender survivors of violence: Police discrimination and fear of reporting', </w:t>
      </w:r>
      <w:r w:rsidRPr="00AB48A0">
        <w:rPr>
          <w:rFonts w:ascii="Arial" w:hAnsi="Arial" w:cs="Arial"/>
          <w:i/>
          <w:iCs/>
        </w:rPr>
        <w:t>McKinnon Law Review</w:t>
      </w:r>
      <w:r w:rsidRPr="00AB48A0">
        <w:rPr>
          <w:rFonts w:ascii="Arial" w:hAnsi="Arial" w:cs="Arial"/>
        </w:rPr>
        <w:t>.</w:t>
      </w:r>
    </w:p>
    <w:p w14:paraId="34585379" w14:textId="77777777" w:rsidR="00AB48A0" w:rsidRPr="00AB48A0" w:rsidRDefault="00AB48A0" w:rsidP="00AB48A0">
      <w:pPr>
        <w:spacing w:line="360" w:lineRule="auto"/>
        <w:rPr>
          <w:rFonts w:ascii="Arial" w:hAnsi="Arial" w:cs="Arial"/>
        </w:rPr>
      </w:pPr>
    </w:p>
    <w:p w14:paraId="5BC0E118" w14:textId="27FC7270" w:rsidR="00AB48A0" w:rsidRPr="00AB48A0" w:rsidRDefault="00AB48A0" w:rsidP="00AB48A0">
      <w:pPr>
        <w:spacing w:line="360" w:lineRule="auto"/>
        <w:rPr>
          <w:rFonts w:ascii="Arial" w:hAnsi="Arial" w:cs="Arial"/>
        </w:rPr>
      </w:pPr>
      <w:proofErr w:type="spellStart"/>
      <w:r w:rsidRPr="00AB48A0">
        <w:rPr>
          <w:rFonts w:ascii="Arial" w:hAnsi="Arial" w:cs="Arial"/>
        </w:rPr>
        <w:t>Mutatayi</w:t>
      </w:r>
      <w:proofErr w:type="spellEnd"/>
      <w:r w:rsidRPr="00AB48A0">
        <w:rPr>
          <w:rFonts w:ascii="Arial" w:hAnsi="Arial" w:cs="Arial"/>
        </w:rPr>
        <w:t>, C.</w:t>
      </w:r>
      <w:r w:rsidR="0022350E">
        <w:rPr>
          <w:rFonts w:ascii="Arial" w:hAnsi="Arial" w:cs="Arial"/>
        </w:rPr>
        <w:t xml:space="preserve">, Morton, S., Soto, N., </w:t>
      </w:r>
      <w:proofErr w:type="spellStart"/>
      <w:r w:rsidR="0022350E">
        <w:rPr>
          <w:rFonts w:ascii="Arial" w:hAnsi="Arial" w:cs="Arial"/>
        </w:rPr>
        <w:t>Palsdottir</w:t>
      </w:r>
      <w:proofErr w:type="spellEnd"/>
      <w:r w:rsidR="0022350E">
        <w:rPr>
          <w:rFonts w:ascii="Arial" w:hAnsi="Arial" w:cs="Arial"/>
        </w:rPr>
        <w:t xml:space="preserve">, K. and Pires, C. </w:t>
      </w:r>
      <w:r w:rsidRPr="00AB48A0">
        <w:rPr>
          <w:rFonts w:ascii="Arial" w:hAnsi="Arial" w:cs="Arial"/>
        </w:rPr>
        <w:t>(2022) </w:t>
      </w:r>
      <w:r w:rsidRPr="00AB48A0">
        <w:rPr>
          <w:rFonts w:ascii="Arial" w:hAnsi="Arial" w:cs="Arial"/>
          <w:i/>
          <w:iCs/>
        </w:rPr>
        <w:t>Implementing a gender approach in drug policies: Prevention, treatment and criminal justice: A handbook for practitioners and decision makers</w:t>
      </w:r>
      <w:r w:rsidRPr="00AB48A0">
        <w:rPr>
          <w:rFonts w:ascii="Arial" w:hAnsi="Arial" w:cs="Arial"/>
        </w:rPr>
        <w:t>. Strasbourg: Council of Europe.</w:t>
      </w:r>
    </w:p>
    <w:p w14:paraId="4B852FD0" w14:textId="77777777" w:rsidR="00AB48A0" w:rsidRPr="00AB48A0" w:rsidRDefault="00AB48A0" w:rsidP="00AB48A0">
      <w:pPr>
        <w:spacing w:line="360" w:lineRule="auto"/>
        <w:rPr>
          <w:rFonts w:ascii="Arial" w:hAnsi="Arial" w:cs="Arial"/>
        </w:rPr>
      </w:pPr>
    </w:p>
    <w:p w14:paraId="118832DC" w14:textId="283F7F2C" w:rsidR="00AB48A0" w:rsidRPr="00AB48A0" w:rsidRDefault="00AB48A0" w:rsidP="00AB48A0">
      <w:pPr>
        <w:spacing w:line="360" w:lineRule="auto"/>
        <w:rPr>
          <w:rFonts w:ascii="Arial" w:hAnsi="Arial" w:cs="Arial"/>
        </w:rPr>
      </w:pPr>
      <w:r w:rsidRPr="00AB48A0">
        <w:rPr>
          <w:rFonts w:ascii="Arial" w:hAnsi="Arial" w:cs="Arial"/>
        </w:rPr>
        <w:t xml:space="preserve">National </w:t>
      </w:r>
      <w:proofErr w:type="spellStart"/>
      <w:r w:rsidRPr="00AB48A0">
        <w:rPr>
          <w:rFonts w:ascii="Arial" w:hAnsi="Arial" w:cs="Arial"/>
        </w:rPr>
        <w:t>Center</w:t>
      </w:r>
      <w:proofErr w:type="spellEnd"/>
      <w:r w:rsidRPr="00AB48A0">
        <w:rPr>
          <w:rFonts w:ascii="Arial" w:hAnsi="Arial" w:cs="Arial"/>
        </w:rPr>
        <w:t xml:space="preserve"> for Transgender Equality (2022) 'Fear of discrimination: Transgender individuals’ reluctance to report crimes', </w:t>
      </w:r>
      <w:r w:rsidRPr="00AB48A0">
        <w:rPr>
          <w:rFonts w:ascii="Arial" w:hAnsi="Arial" w:cs="Arial"/>
          <w:i/>
          <w:iCs/>
        </w:rPr>
        <w:t xml:space="preserve">National </w:t>
      </w:r>
      <w:proofErr w:type="spellStart"/>
      <w:r w:rsidRPr="00AB48A0">
        <w:rPr>
          <w:rFonts w:ascii="Arial" w:hAnsi="Arial" w:cs="Arial"/>
          <w:i/>
          <w:iCs/>
        </w:rPr>
        <w:t>Center</w:t>
      </w:r>
      <w:proofErr w:type="spellEnd"/>
      <w:r w:rsidRPr="00AB48A0">
        <w:rPr>
          <w:rFonts w:ascii="Arial" w:hAnsi="Arial" w:cs="Arial"/>
          <w:i/>
          <w:iCs/>
        </w:rPr>
        <w:t xml:space="preserve"> for Transgender Equality</w:t>
      </w:r>
      <w:r w:rsidRPr="00AB48A0">
        <w:rPr>
          <w:rFonts w:ascii="Arial" w:hAnsi="Arial" w:cs="Arial"/>
        </w:rPr>
        <w:t>.</w:t>
      </w:r>
    </w:p>
    <w:p w14:paraId="3113CCEF" w14:textId="6CCF3B89" w:rsidR="00AB48A0" w:rsidRPr="00AB48A0" w:rsidRDefault="00AB48A0" w:rsidP="00AB48A0">
      <w:pPr>
        <w:spacing w:line="360" w:lineRule="auto"/>
        <w:rPr>
          <w:rFonts w:ascii="Arial" w:hAnsi="Arial" w:cs="Arial"/>
        </w:rPr>
      </w:pPr>
      <w:r w:rsidRPr="00AB48A0">
        <w:rPr>
          <w:rFonts w:ascii="Arial" w:hAnsi="Arial" w:cs="Arial"/>
        </w:rPr>
        <w:t>National Institute of Justice (2022) 'Community outreach and trust-building programs in law enforcement', </w:t>
      </w:r>
      <w:r w:rsidRPr="00AB48A0">
        <w:rPr>
          <w:rFonts w:ascii="Arial" w:hAnsi="Arial" w:cs="Arial"/>
          <w:i/>
          <w:iCs/>
        </w:rPr>
        <w:t>National Institute of Justice</w:t>
      </w:r>
      <w:r w:rsidRPr="00AB48A0">
        <w:rPr>
          <w:rFonts w:ascii="Arial" w:hAnsi="Arial" w:cs="Arial"/>
        </w:rPr>
        <w:t>.</w:t>
      </w:r>
    </w:p>
    <w:p w14:paraId="35561F7C" w14:textId="77777777" w:rsidR="00AB48A0" w:rsidRPr="00AB48A0" w:rsidRDefault="00AB48A0" w:rsidP="00AB48A0">
      <w:pPr>
        <w:spacing w:line="360" w:lineRule="auto"/>
        <w:rPr>
          <w:rFonts w:ascii="Arial" w:hAnsi="Arial" w:cs="Arial"/>
        </w:rPr>
      </w:pPr>
    </w:p>
    <w:p w14:paraId="5FA9AA57" w14:textId="739F3C51" w:rsidR="00AB48A0" w:rsidRPr="00AB48A0" w:rsidRDefault="00AB48A0" w:rsidP="00AB48A0">
      <w:pPr>
        <w:spacing w:line="360" w:lineRule="auto"/>
        <w:rPr>
          <w:rFonts w:ascii="Arial" w:hAnsi="Arial" w:cs="Arial"/>
        </w:rPr>
      </w:pPr>
      <w:r w:rsidRPr="00AB48A0">
        <w:rPr>
          <w:rFonts w:ascii="Arial" w:hAnsi="Arial" w:cs="Arial"/>
        </w:rPr>
        <w:t>Parr-Morley, B. (2024) </w:t>
      </w:r>
      <w:r w:rsidRPr="00AB48A0">
        <w:rPr>
          <w:rFonts w:ascii="Arial" w:hAnsi="Arial" w:cs="Arial"/>
          <w:i/>
          <w:iCs/>
        </w:rPr>
        <w:t>The challenges of being transgender in prison</w:t>
      </w:r>
      <w:r w:rsidRPr="00AB48A0">
        <w:rPr>
          <w:rFonts w:ascii="Arial" w:hAnsi="Arial" w:cs="Arial"/>
        </w:rPr>
        <w:t>, Catch22. Available at: </w:t>
      </w:r>
      <w:hyperlink r:id="rId11" w:tgtFrame="_new" w:history="1">
        <w:r w:rsidRPr="00AB48A0">
          <w:rPr>
            <w:rFonts w:ascii="Arial" w:hAnsi="Arial" w:cs="Arial"/>
            <w:color w:val="0000FF"/>
            <w:u w:val="single"/>
          </w:rPr>
          <w:t>https://www.catch-22.org.uk/resources/the-challenges-of-being-transgender-in-prison/</w:t>
        </w:r>
      </w:hyperlink>
      <w:r w:rsidRPr="00AB48A0">
        <w:rPr>
          <w:rFonts w:ascii="Arial" w:hAnsi="Arial" w:cs="Arial"/>
        </w:rPr>
        <w:t> (Accessed: 15 February 2025).</w:t>
      </w:r>
    </w:p>
    <w:p w14:paraId="34D135C3" w14:textId="77777777" w:rsidR="00AB48A0" w:rsidRPr="00AB48A0" w:rsidRDefault="00AB48A0" w:rsidP="00AB48A0">
      <w:pPr>
        <w:spacing w:line="360" w:lineRule="auto"/>
        <w:rPr>
          <w:rFonts w:ascii="Arial" w:hAnsi="Arial" w:cs="Arial"/>
        </w:rPr>
      </w:pPr>
    </w:p>
    <w:p w14:paraId="0AF8AA52" w14:textId="5DA35EDF" w:rsidR="00AB48A0" w:rsidRPr="00AB48A0" w:rsidRDefault="00AB48A0" w:rsidP="00AB48A0">
      <w:pPr>
        <w:spacing w:line="360" w:lineRule="auto"/>
        <w:rPr>
          <w:rFonts w:ascii="Arial" w:hAnsi="Arial" w:cs="Arial"/>
        </w:rPr>
      </w:pPr>
      <w:r w:rsidRPr="00AB48A0">
        <w:rPr>
          <w:rFonts w:ascii="Arial" w:hAnsi="Arial" w:cs="Arial"/>
        </w:rPr>
        <w:t xml:space="preserve">Pickles, J. (2019) 'Policing hate and bridging communities: A qualitative evaluation of relations between LGBT+ people and the police within the </w:t>
      </w:r>
      <w:proofErr w:type="gramStart"/>
      <w:r w:rsidRPr="00AB48A0">
        <w:rPr>
          <w:rFonts w:ascii="Arial" w:hAnsi="Arial" w:cs="Arial"/>
        </w:rPr>
        <w:t>North East</w:t>
      </w:r>
      <w:proofErr w:type="gramEnd"/>
      <w:r w:rsidRPr="00AB48A0">
        <w:rPr>
          <w:rFonts w:ascii="Arial" w:hAnsi="Arial" w:cs="Arial"/>
        </w:rPr>
        <w:t xml:space="preserve"> of England', </w:t>
      </w:r>
      <w:r w:rsidRPr="00AB48A0">
        <w:rPr>
          <w:rFonts w:ascii="Arial" w:hAnsi="Arial" w:cs="Arial"/>
          <w:i/>
          <w:iCs/>
        </w:rPr>
        <w:t>Policing and Society</w:t>
      </w:r>
      <w:r w:rsidRPr="00AB48A0">
        <w:rPr>
          <w:rFonts w:ascii="Arial" w:hAnsi="Arial" w:cs="Arial"/>
        </w:rPr>
        <w:t>, 30(7), pp. 741–759. doi:10.1080/10439463.2019.1588269.</w:t>
      </w:r>
    </w:p>
    <w:p w14:paraId="2C5FEFD6" w14:textId="77777777" w:rsidR="00AB48A0" w:rsidRPr="00AB48A0" w:rsidRDefault="00AB48A0" w:rsidP="00AB48A0">
      <w:pPr>
        <w:spacing w:line="360" w:lineRule="auto"/>
        <w:rPr>
          <w:rFonts w:ascii="Arial" w:hAnsi="Arial" w:cs="Arial"/>
        </w:rPr>
      </w:pPr>
    </w:p>
    <w:p w14:paraId="00AAAFAF" w14:textId="4292FD9B" w:rsidR="00AB48A0" w:rsidRPr="00AB48A0" w:rsidRDefault="00AB48A0" w:rsidP="00AB48A0">
      <w:pPr>
        <w:spacing w:line="360" w:lineRule="auto"/>
        <w:rPr>
          <w:rFonts w:ascii="Arial" w:hAnsi="Arial" w:cs="Arial"/>
        </w:rPr>
      </w:pPr>
      <w:r w:rsidRPr="00AB48A0">
        <w:rPr>
          <w:rFonts w:ascii="Arial" w:hAnsi="Arial" w:cs="Arial"/>
        </w:rPr>
        <w:t>Police Reform Initiative (2023) 'Exploring LGBTQ+ units within law enforcement: Perspectives and limitations', </w:t>
      </w:r>
      <w:r w:rsidRPr="00AB48A0">
        <w:rPr>
          <w:rFonts w:ascii="Arial" w:hAnsi="Arial" w:cs="Arial"/>
          <w:i/>
          <w:iCs/>
        </w:rPr>
        <w:t>Police Reform Initiative</w:t>
      </w:r>
      <w:r w:rsidRPr="00AB48A0">
        <w:rPr>
          <w:rFonts w:ascii="Arial" w:hAnsi="Arial" w:cs="Arial"/>
        </w:rPr>
        <w:t>.</w:t>
      </w:r>
    </w:p>
    <w:p w14:paraId="2041B5A2" w14:textId="77777777" w:rsidR="00AB48A0" w:rsidRPr="00AB48A0" w:rsidRDefault="00AB48A0" w:rsidP="00AB48A0">
      <w:pPr>
        <w:spacing w:line="360" w:lineRule="auto"/>
        <w:rPr>
          <w:rFonts w:ascii="Arial" w:hAnsi="Arial" w:cs="Arial"/>
        </w:rPr>
      </w:pPr>
    </w:p>
    <w:p w14:paraId="2F228047" w14:textId="33FC787A" w:rsidR="00AB48A0" w:rsidRPr="00AB48A0" w:rsidRDefault="00AB48A0" w:rsidP="00AB48A0">
      <w:pPr>
        <w:spacing w:line="360" w:lineRule="auto"/>
        <w:rPr>
          <w:rFonts w:ascii="Arial" w:hAnsi="Arial" w:cs="Arial"/>
        </w:rPr>
      </w:pPr>
      <w:r w:rsidRPr="00AB48A0">
        <w:rPr>
          <w:rFonts w:ascii="Arial" w:hAnsi="Arial" w:cs="Arial"/>
        </w:rPr>
        <w:t>Prison Policy Initiative (2023) 'Correctional facilities and transgender rights: Challenges in gender identity recognition', </w:t>
      </w:r>
      <w:r w:rsidRPr="00AB48A0">
        <w:rPr>
          <w:rFonts w:ascii="Arial" w:hAnsi="Arial" w:cs="Arial"/>
          <w:i/>
          <w:iCs/>
        </w:rPr>
        <w:t>Prison Policy Initiative</w:t>
      </w:r>
      <w:r w:rsidRPr="00AB48A0">
        <w:rPr>
          <w:rFonts w:ascii="Arial" w:hAnsi="Arial" w:cs="Arial"/>
        </w:rPr>
        <w:t>.</w:t>
      </w:r>
    </w:p>
    <w:p w14:paraId="56BC8D19" w14:textId="77777777" w:rsidR="00AB48A0" w:rsidRPr="00AB48A0" w:rsidRDefault="00AB48A0" w:rsidP="00AB48A0">
      <w:pPr>
        <w:spacing w:line="360" w:lineRule="auto"/>
        <w:rPr>
          <w:rFonts w:ascii="Arial" w:hAnsi="Arial" w:cs="Arial"/>
        </w:rPr>
      </w:pPr>
    </w:p>
    <w:p w14:paraId="599FE402" w14:textId="388164D7" w:rsidR="00AB48A0" w:rsidRPr="00AB48A0" w:rsidRDefault="00AB48A0" w:rsidP="00AB48A0">
      <w:pPr>
        <w:spacing w:line="360" w:lineRule="auto"/>
        <w:rPr>
          <w:rFonts w:ascii="Arial" w:hAnsi="Arial" w:cs="Arial"/>
        </w:rPr>
      </w:pPr>
      <w:r w:rsidRPr="00AB48A0">
        <w:rPr>
          <w:rFonts w:ascii="Arial" w:hAnsi="Arial" w:cs="Arial"/>
        </w:rPr>
        <w:t>Rayment, S. (2024) 'More than 70 per cent of transgender prisoners are in for sex offences or violent crimes', </w:t>
      </w:r>
      <w:r w:rsidRPr="00AB48A0">
        <w:rPr>
          <w:rFonts w:ascii="Arial" w:hAnsi="Arial" w:cs="Arial"/>
          <w:i/>
          <w:iCs/>
        </w:rPr>
        <w:t>The Telegraph</w:t>
      </w:r>
      <w:r w:rsidRPr="00AB48A0">
        <w:rPr>
          <w:rFonts w:ascii="Arial" w:hAnsi="Arial" w:cs="Arial"/>
        </w:rPr>
        <w:t>. Available at: </w:t>
      </w:r>
      <w:hyperlink r:id="rId12" w:tgtFrame="_new" w:history="1">
        <w:r w:rsidRPr="00AB48A0">
          <w:rPr>
            <w:rFonts w:ascii="Arial" w:hAnsi="Arial" w:cs="Arial"/>
            <w:color w:val="0000FF"/>
            <w:u w:val="single"/>
          </w:rPr>
          <w:t>https://www.telegraph.co.uk/news/2024/02/24/government-figures-70-per-cent-of-transgender-prisoners-are/</w:t>
        </w:r>
      </w:hyperlink>
      <w:r w:rsidRPr="00AB48A0">
        <w:rPr>
          <w:rFonts w:ascii="Arial" w:hAnsi="Arial" w:cs="Arial"/>
        </w:rPr>
        <w:t> (Accessed: 15 February 2025).</w:t>
      </w:r>
    </w:p>
    <w:p w14:paraId="6B6BF40E" w14:textId="77777777" w:rsidR="00AB48A0" w:rsidRPr="00AB48A0" w:rsidRDefault="00AB48A0" w:rsidP="00AB48A0">
      <w:pPr>
        <w:spacing w:line="360" w:lineRule="auto"/>
        <w:rPr>
          <w:rFonts w:ascii="Arial" w:hAnsi="Arial" w:cs="Arial"/>
        </w:rPr>
      </w:pPr>
    </w:p>
    <w:p w14:paraId="65FAF941" w14:textId="4864C0BD" w:rsidR="00AB48A0" w:rsidRPr="00AB48A0" w:rsidRDefault="00AB48A0" w:rsidP="00AB48A0">
      <w:pPr>
        <w:spacing w:line="360" w:lineRule="auto"/>
        <w:rPr>
          <w:rFonts w:ascii="Arial" w:hAnsi="Arial" w:cs="Arial"/>
        </w:rPr>
      </w:pPr>
      <w:r w:rsidRPr="00AB48A0">
        <w:rPr>
          <w:rFonts w:ascii="Arial" w:hAnsi="Arial" w:cs="Arial"/>
        </w:rPr>
        <w:t>Renz, F. (2024) </w:t>
      </w:r>
      <w:r w:rsidRPr="00AB48A0">
        <w:rPr>
          <w:rFonts w:ascii="Arial" w:hAnsi="Arial" w:cs="Arial"/>
          <w:i/>
          <w:iCs/>
        </w:rPr>
        <w:t>Gender recognition and the law: Troubling transgender peoples’ engagement with legal regulation</w:t>
      </w:r>
      <w:r w:rsidRPr="00AB48A0">
        <w:rPr>
          <w:rFonts w:ascii="Arial" w:hAnsi="Arial" w:cs="Arial"/>
        </w:rPr>
        <w:t xml:space="preserve">. Abingdon, Oxon, United </w:t>
      </w:r>
      <w:proofErr w:type="gramStart"/>
      <w:r w:rsidRPr="00AB48A0">
        <w:rPr>
          <w:rFonts w:ascii="Arial" w:hAnsi="Arial" w:cs="Arial"/>
        </w:rPr>
        <w:t>Kingdom :</w:t>
      </w:r>
      <w:proofErr w:type="gramEnd"/>
      <w:r w:rsidRPr="00AB48A0">
        <w:rPr>
          <w:rFonts w:ascii="Arial" w:hAnsi="Arial" w:cs="Arial"/>
        </w:rPr>
        <w:t xml:space="preserve"> Routledge.</w:t>
      </w:r>
    </w:p>
    <w:p w14:paraId="4128748C" w14:textId="77777777" w:rsidR="00AB48A0" w:rsidRPr="00AB48A0" w:rsidRDefault="00AB48A0" w:rsidP="00AB48A0">
      <w:pPr>
        <w:spacing w:line="360" w:lineRule="auto"/>
        <w:rPr>
          <w:rFonts w:ascii="Arial" w:hAnsi="Arial" w:cs="Arial"/>
        </w:rPr>
      </w:pPr>
    </w:p>
    <w:p w14:paraId="683910A5" w14:textId="7546E29E" w:rsidR="00AB48A0" w:rsidRPr="00AB48A0" w:rsidRDefault="00AB48A0" w:rsidP="00AB48A0">
      <w:pPr>
        <w:spacing w:line="360" w:lineRule="auto"/>
        <w:rPr>
          <w:rFonts w:ascii="Arial" w:hAnsi="Arial" w:cs="Arial"/>
        </w:rPr>
      </w:pPr>
      <w:r w:rsidRPr="00AB48A0">
        <w:rPr>
          <w:rFonts w:ascii="Arial" w:hAnsi="Arial" w:cs="Arial"/>
        </w:rPr>
        <w:t>Rood, R. (2020) 'Experiences of transgender people who navigate the criminal justice system', </w:t>
      </w:r>
      <w:r w:rsidRPr="00AB48A0">
        <w:rPr>
          <w:rFonts w:ascii="Arial" w:hAnsi="Arial" w:cs="Arial"/>
          <w:i/>
          <w:iCs/>
        </w:rPr>
        <w:t>Idea Stream Public media</w:t>
      </w:r>
      <w:r w:rsidRPr="00AB48A0">
        <w:rPr>
          <w:rFonts w:ascii="Arial" w:hAnsi="Arial" w:cs="Arial"/>
        </w:rPr>
        <w:t xml:space="preserve">. </w:t>
      </w:r>
      <w:proofErr w:type="gramStart"/>
      <w:r w:rsidRPr="00AB48A0">
        <w:rPr>
          <w:rFonts w:ascii="Arial" w:hAnsi="Arial" w:cs="Arial"/>
        </w:rPr>
        <w:t>doi:10.31979/etd.35y6-qmv9</w:t>
      </w:r>
      <w:proofErr w:type="gramEnd"/>
      <w:r w:rsidRPr="00AB48A0">
        <w:rPr>
          <w:rFonts w:ascii="Arial" w:hAnsi="Arial" w:cs="Arial"/>
        </w:rPr>
        <w:t>.</w:t>
      </w:r>
    </w:p>
    <w:p w14:paraId="0F509131" w14:textId="77777777" w:rsidR="00AB48A0" w:rsidRPr="00AB48A0" w:rsidRDefault="00AB48A0" w:rsidP="00AB48A0">
      <w:pPr>
        <w:spacing w:line="360" w:lineRule="auto"/>
        <w:rPr>
          <w:rFonts w:ascii="Arial" w:hAnsi="Arial" w:cs="Arial"/>
        </w:rPr>
      </w:pPr>
    </w:p>
    <w:p w14:paraId="70408891" w14:textId="6FD704DF" w:rsidR="00AB48A0" w:rsidRPr="00AB48A0" w:rsidRDefault="00AB48A0" w:rsidP="00AB48A0">
      <w:pPr>
        <w:spacing w:line="360" w:lineRule="auto"/>
        <w:rPr>
          <w:rFonts w:ascii="Arial" w:hAnsi="Arial" w:cs="Arial"/>
        </w:rPr>
      </w:pPr>
      <w:r w:rsidRPr="00AB48A0">
        <w:rPr>
          <w:rFonts w:ascii="Arial" w:hAnsi="Arial" w:cs="Arial"/>
        </w:rPr>
        <w:t xml:space="preserve">Ryan, M., </w:t>
      </w:r>
      <w:r w:rsidR="0022350E">
        <w:rPr>
          <w:rFonts w:ascii="Arial" w:hAnsi="Arial" w:cs="Arial"/>
        </w:rPr>
        <w:t>and</w:t>
      </w:r>
      <w:r w:rsidRPr="00AB48A0">
        <w:rPr>
          <w:rFonts w:ascii="Arial" w:hAnsi="Arial" w:cs="Arial"/>
        </w:rPr>
        <w:t xml:space="preserve"> Smith, R. (2023) 'Law enforcement's </w:t>
      </w:r>
      <w:proofErr w:type="spellStart"/>
      <w:r w:rsidRPr="00AB48A0">
        <w:rPr>
          <w:rFonts w:ascii="Arial" w:hAnsi="Arial" w:cs="Arial"/>
        </w:rPr>
        <w:t>skepticism</w:t>
      </w:r>
      <w:proofErr w:type="spellEnd"/>
      <w:r w:rsidRPr="00AB48A0">
        <w:rPr>
          <w:rFonts w:ascii="Arial" w:hAnsi="Arial" w:cs="Arial"/>
        </w:rPr>
        <w:t xml:space="preserve"> toward transgender crime victims: A review', </w:t>
      </w:r>
      <w:r w:rsidRPr="00AB48A0">
        <w:rPr>
          <w:rFonts w:ascii="Arial" w:hAnsi="Arial" w:cs="Arial"/>
          <w:i/>
          <w:iCs/>
        </w:rPr>
        <w:t>Ryan &amp; Smith Legal Journal</w:t>
      </w:r>
      <w:r w:rsidRPr="00AB48A0">
        <w:rPr>
          <w:rFonts w:ascii="Arial" w:hAnsi="Arial" w:cs="Arial"/>
        </w:rPr>
        <w:t>.</w:t>
      </w:r>
    </w:p>
    <w:p w14:paraId="1DC5D125" w14:textId="77777777" w:rsidR="00AB48A0" w:rsidRPr="00AB48A0" w:rsidRDefault="00AB48A0" w:rsidP="00AB48A0">
      <w:pPr>
        <w:spacing w:line="360" w:lineRule="auto"/>
        <w:rPr>
          <w:rFonts w:ascii="Arial" w:hAnsi="Arial" w:cs="Arial"/>
        </w:rPr>
      </w:pPr>
    </w:p>
    <w:p w14:paraId="76C421D3" w14:textId="12C26AA2" w:rsidR="00AB48A0" w:rsidRPr="00AB48A0" w:rsidRDefault="00AB48A0" w:rsidP="00AB48A0">
      <w:pPr>
        <w:spacing w:line="360" w:lineRule="auto"/>
        <w:rPr>
          <w:rFonts w:ascii="Arial" w:hAnsi="Arial" w:cs="Arial"/>
        </w:rPr>
      </w:pPr>
      <w:r w:rsidRPr="00AB48A0">
        <w:rPr>
          <w:rFonts w:ascii="Arial" w:hAnsi="Arial" w:cs="Arial"/>
        </w:rPr>
        <w:t>Saenz, R. (2024) 'A Crisis Behind Bars: Legal Issues Impacting Transgender People in Prisons', </w:t>
      </w:r>
      <w:r w:rsidRPr="00AB48A0">
        <w:rPr>
          <w:rFonts w:ascii="Arial" w:hAnsi="Arial" w:cs="Arial"/>
          <w:i/>
          <w:iCs/>
        </w:rPr>
        <w:t>Feature</w:t>
      </w:r>
      <w:r w:rsidRPr="00AB48A0">
        <w:rPr>
          <w:rFonts w:ascii="Arial" w:hAnsi="Arial" w:cs="Arial"/>
        </w:rPr>
        <w:t>.</w:t>
      </w:r>
    </w:p>
    <w:p w14:paraId="034BE966" w14:textId="77777777" w:rsidR="00AB48A0" w:rsidRPr="00AB48A0" w:rsidRDefault="00AB48A0" w:rsidP="00AB48A0">
      <w:pPr>
        <w:spacing w:line="360" w:lineRule="auto"/>
        <w:rPr>
          <w:rFonts w:ascii="Arial" w:hAnsi="Arial" w:cs="Arial"/>
        </w:rPr>
      </w:pPr>
    </w:p>
    <w:p w14:paraId="5D52A54B" w14:textId="6A2070EE" w:rsidR="00AB48A0" w:rsidRPr="00AB48A0" w:rsidRDefault="00AB48A0" w:rsidP="00AB48A0">
      <w:pPr>
        <w:spacing w:line="360" w:lineRule="auto"/>
        <w:rPr>
          <w:rFonts w:ascii="Arial" w:hAnsi="Arial" w:cs="Arial"/>
        </w:rPr>
      </w:pPr>
      <w:r w:rsidRPr="00AB48A0">
        <w:rPr>
          <w:rFonts w:ascii="Arial" w:hAnsi="Arial" w:cs="Arial"/>
        </w:rPr>
        <w:t>Singh, R.S.</w:t>
      </w:r>
      <w:r w:rsidR="0022350E">
        <w:rPr>
          <w:rFonts w:ascii="Arial" w:hAnsi="Arial" w:cs="Arial"/>
        </w:rPr>
        <w:t xml:space="preserve">, </w:t>
      </w:r>
      <w:proofErr w:type="spellStart"/>
      <w:r w:rsidR="0022350E">
        <w:rPr>
          <w:rFonts w:ascii="Arial" w:hAnsi="Arial" w:cs="Arial"/>
        </w:rPr>
        <w:t>Bhambhani</w:t>
      </w:r>
      <w:proofErr w:type="spellEnd"/>
      <w:r w:rsidR="0022350E">
        <w:rPr>
          <w:rFonts w:ascii="Arial" w:hAnsi="Arial" w:cs="Arial"/>
        </w:rPr>
        <w:t xml:space="preserve">, Y., </w:t>
      </w:r>
      <w:proofErr w:type="spellStart"/>
      <w:r w:rsidR="0022350E">
        <w:rPr>
          <w:rFonts w:ascii="Arial" w:hAnsi="Arial" w:cs="Arial"/>
        </w:rPr>
        <w:t>Skinta</w:t>
      </w:r>
      <w:proofErr w:type="spellEnd"/>
      <w:r w:rsidR="0022350E">
        <w:rPr>
          <w:rFonts w:ascii="Arial" w:hAnsi="Arial" w:cs="Arial"/>
        </w:rPr>
        <w:t xml:space="preserve">, M. and Torres-Harding, S. </w:t>
      </w:r>
      <w:r w:rsidRPr="00AB48A0">
        <w:rPr>
          <w:rFonts w:ascii="Arial" w:hAnsi="Arial" w:cs="Arial"/>
        </w:rPr>
        <w:t>(2021) 'Measurement of intersectional microaggressions: Conceptual barriers and recommendations', </w:t>
      </w:r>
      <w:r w:rsidRPr="00AB48A0">
        <w:rPr>
          <w:rFonts w:ascii="Arial" w:hAnsi="Arial" w:cs="Arial"/>
          <w:i/>
          <w:iCs/>
        </w:rPr>
        <w:t>Perspectives on Psychological Science</w:t>
      </w:r>
      <w:r w:rsidRPr="00AB48A0">
        <w:rPr>
          <w:rFonts w:ascii="Arial" w:hAnsi="Arial" w:cs="Arial"/>
        </w:rPr>
        <w:t>, 16(5), pp. 956–971. doi:10.1177/1745691621991855.</w:t>
      </w:r>
    </w:p>
    <w:p w14:paraId="119DEF40" w14:textId="77777777" w:rsidR="00AB48A0" w:rsidRPr="00AB48A0" w:rsidRDefault="00AB48A0" w:rsidP="00AB48A0">
      <w:pPr>
        <w:spacing w:line="360" w:lineRule="auto"/>
        <w:rPr>
          <w:rFonts w:ascii="Arial" w:hAnsi="Arial" w:cs="Arial"/>
        </w:rPr>
      </w:pPr>
    </w:p>
    <w:p w14:paraId="469C2203" w14:textId="7F75E4BA" w:rsidR="00AB48A0" w:rsidRPr="00AB48A0" w:rsidRDefault="00AB48A0" w:rsidP="00AB48A0">
      <w:pPr>
        <w:spacing w:line="360" w:lineRule="auto"/>
        <w:rPr>
          <w:rFonts w:ascii="Arial" w:hAnsi="Arial" w:cs="Arial"/>
        </w:rPr>
      </w:pPr>
      <w:proofErr w:type="spellStart"/>
      <w:r w:rsidRPr="00AB48A0">
        <w:rPr>
          <w:rFonts w:ascii="Arial" w:hAnsi="Arial" w:cs="Arial"/>
        </w:rPr>
        <w:t>Stotzer</w:t>
      </w:r>
      <w:proofErr w:type="spellEnd"/>
      <w:r w:rsidRPr="00AB48A0">
        <w:rPr>
          <w:rFonts w:ascii="Arial" w:hAnsi="Arial" w:cs="Arial"/>
        </w:rPr>
        <w:t>, R. L. (2021) 'Reducing violence against transgender inmates through gender identity recognition', </w:t>
      </w:r>
      <w:r w:rsidRPr="00AB48A0">
        <w:rPr>
          <w:rFonts w:ascii="Arial" w:hAnsi="Arial" w:cs="Arial"/>
          <w:i/>
          <w:iCs/>
        </w:rPr>
        <w:t>Prison Studies Journal</w:t>
      </w:r>
      <w:r w:rsidRPr="00AB48A0">
        <w:rPr>
          <w:rFonts w:ascii="Arial" w:hAnsi="Arial" w:cs="Arial"/>
        </w:rPr>
        <w:t>.</w:t>
      </w:r>
    </w:p>
    <w:p w14:paraId="036E9AB1" w14:textId="77777777" w:rsidR="00AB48A0" w:rsidRPr="00AB48A0" w:rsidRDefault="00AB48A0" w:rsidP="00AB48A0">
      <w:pPr>
        <w:spacing w:line="360" w:lineRule="auto"/>
        <w:rPr>
          <w:rFonts w:ascii="Arial" w:hAnsi="Arial" w:cs="Arial"/>
        </w:rPr>
      </w:pPr>
    </w:p>
    <w:p w14:paraId="6ED198EA" w14:textId="015941F9" w:rsidR="00AB48A0" w:rsidRPr="00AB48A0" w:rsidRDefault="00AB48A0" w:rsidP="00AB48A0">
      <w:pPr>
        <w:spacing w:line="360" w:lineRule="auto"/>
        <w:rPr>
          <w:rFonts w:ascii="Arial" w:hAnsi="Arial" w:cs="Arial"/>
        </w:rPr>
      </w:pPr>
      <w:proofErr w:type="spellStart"/>
      <w:r w:rsidRPr="00AB48A0">
        <w:rPr>
          <w:rFonts w:ascii="Arial" w:hAnsi="Arial" w:cs="Arial"/>
        </w:rPr>
        <w:t>Suhomlinova</w:t>
      </w:r>
      <w:proofErr w:type="spellEnd"/>
      <w:r w:rsidRPr="00AB48A0">
        <w:rPr>
          <w:rFonts w:ascii="Arial" w:hAnsi="Arial" w:cs="Arial"/>
        </w:rPr>
        <w:t>, O. and O’Shea, S.C. (2024a) '</w:t>
      </w:r>
      <w:proofErr w:type="gramStart"/>
      <w:r w:rsidRPr="00AB48A0">
        <w:rPr>
          <w:rFonts w:ascii="Arial" w:hAnsi="Arial" w:cs="Arial"/>
        </w:rPr>
        <w:t>Non-binary</w:t>
      </w:r>
      <w:proofErr w:type="gramEnd"/>
      <w:r w:rsidRPr="00AB48A0">
        <w:rPr>
          <w:rFonts w:ascii="Arial" w:hAnsi="Arial" w:cs="Arial"/>
        </w:rPr>
        <w:t xml:space="preserve"> prisoners', </w:t>
      </w:r>
      <w:r w:rsidRPr="00AB48A0">
        <w:rPr>
          <w:rFonts w:ascii="Arial" w:hAnsi="Arial" w:cs="Arial"/>
          <w:i/>
          <w:iCs/>
        </w:rPr>
        <w:t>Transgender and Non-binary Prisoners’ Experiences in England and Wales</w:t>
      </w:r>
      <w:r w:rsidRPr="00AB48A0">
        <w:rPr>
          <w:rFonts w:ascii="Arial" w:hAnsi="Arial" w:cs="Arial"/>
        </w:rPr>
        <w:t>, pp. 347–367. doi:10.1108/978-1-80071-044-320241009.</w:t>
      </w:r>
    </w:p>
    <w:p w14:paraId="092191B6" w14:textId="77777777" w:rsidR="00AB48A0" w:rsidRPr="00AB48A0" w:rsidRDefault="00AB48A0" w:rsidP="00AB48A0">
      <w:pPr>
        <w:spacing w:line="360" w:lineRule="auto"/>
        <w:rPr>
          <w:rFonts w:ascii="Arial" w:hAnsi="Arial" w:cs="Arial"/>
        </w:rPr>
      </w:pPr>
    </w:p>
    <w:p w14:paraId="79E44250" w14:textId="0A2FBD25" w:rsidR="00AB48A0" w:rsidRPr="00AB48A0" w:rsidRDefault="00AB48A0" w:rsidP="00AB48A0">
      <w:pPr>
        <w:spacing w:line="360" w:lineRule="auto"/>
        <w:rPr>
          <w:rFonts w:ascii="Arial" w:hAnsi="Arial" w:cs="Arial"/>
        </w:rPr>
      </w:pPr>
      <w:proofErr w:type="spellStart"/>
      <w:r w:rsidRPr="00AB48A0">
        <w:rPr>
          <w:rFonts w:ascii="Arial" w:hAnsi="Arial" w:cs="Arial"/>
        </w:rPr>
        <w:lastRenderedPageBreak/>
        <w:t>Suhomlinova</w:t>
      </w:r>
      <w:proofErr w:type="spellEnd"/>
      <w:r w:rsidRPr="00AB48A0">
        <w:rPr>
          <w:rFonts w:ascii="Arial" w:hAnsi="Arial" w:cs="Arial"/>
        </w:rPr>
        <w:t>, O. and O’Shea, S.C. (2024b) 'Trans prisoners in England and Wales: The past and the present', </w:t>
      </w:r>
      <w:r w:rsidRPr="00AB48A0">
        <w:rPr>
          <w:rFonts w:ascii="Arial" w:hAnsi="Arial" w:cs="Arial"/>
          <w:i/>
          <w:iCs/>
        </w:rPr>
        <w:t>Transgender and Non-binary Prisoners’ Experiences in England and Wales</w:t>
      </w:r>
      <w:r w:rsidRPr="00AB48A0">
        <w:rPr>
          <w:rFonts w:ascii="Arial" w:hAnsi="Arial" w:cs="Arial"/>
        </w:rPr>
        <w:t>, pp. 51–118. doi:10.1108/978-1-80071-044-320241003.</w:t>
      </w:r>
    </w:p>
    <w:p w14:paraId="0B5FD760" w14:textId="77777777" w:rsidR="00AB48A0" w:rsidRPr="00AB48A0" w:rsidRDefault="00AB48A0" w:rsidP="00AB48A0">
      <w:pPr>
        <w:spacing w:line="360" w:lineRule="auto"/>
        <w:rPr>
          <w:rFonts w:ascii="Arial" w:hAnsi="Arial" w:cs="Arial"/>
        </w:rPr>
      </w:pPr>
    </w:p>
    <w:p w14:paraId="44D0FA43" w14:textId="6ACE9D03" w:rsidR="00AB48A0" w:rsidRPr="00AB48A0" w:rsidRDefault="00AB48A0" w:rsidP="00AB48A0">
      <w:pPr>
        <w:spacing w:line="360" w:lineRule="auto"/>
        <w:rPr>
          <w:rFonts w:ascii="Arial" w:hAnsi="Arial" w:cs="Arial"/>
        </w:rPr>
      </w:pPr>
      <w:r w:rsidRPr="00AB48A0">
        <w:rPr>
          <w:rFonts w:ascii="Arial" w:hAnsi="Arial" w:cs="Arial"/>
        </w:rPr>
        <w:t xml:space="preserve">Sumner, J., </w:t>
      </w:r>
      <w:r w:rsidR="0022350E">
        <w:rPr>
          <w:rFonts w:ascii="Arial" w:hAnsi="Arial" w:cs="Arial"/>
        </w:rPr>
        <w:t>and</w:t>
      </w:r>
      <w:r w:rsidRPr="00AB48A0">
        <w:rPr>
          <w:rFonts w:ascii="Arial" w:hAnsi="Arial" w:cs="Arial"/>
        </w:rPr>
        <w:t xml:space="preserve"> </w:t>
      </w:r>
      <w:proofErr w:type="spellStart"/>
      <w:r w:rsidRPr="00AB48A0">
        <w:rPr>
          <w:rFonts w:ascii="Arial" w:hAnsi="Arial" w:cs="Arial"/>
        </w:rPr>
        <w:t>Jenness</w:t>
      </w:r>
      <w:proofErr w:type="spellEnd"/>
      <w:r w:rsidRPr="00AB48A0">
        <w:rPr>
          <w:rFonts w:ascii="Arial" w:hAnsi="Arial" w:cs="Arial"/>
        </w:rPr>
        <w:t>, V. (2021) 'Misgendering in the correctional system: Impact on transgender individuals', </w:t>
      </w:r>
      <w:r w:rsidRPr="00AB48A0">
        <w:rPr>
          <w:rFonts w:ascii="Arial" w:hAnsi="Arial" w:cs="Arial"/>
          <w:i/>
          <w:iCs/>
        </w:rPr>
        <w:t>LGBTQ+ Legal Advocacy Group</w:t>
      </w:r>
      <w:r w:rsidRPr="00AB48A0">
        <w:rPr>
          <w:rFonts w:ascii="Arial" w:hAnsi="Arial" w:cs="Arial"/>
        </w:rPr>
        <w:t>.</w:t>
      </w:r>
    </w:p>
    <w:p w14:paraId="12BFD4E7" w14:textId="77777777" w:rsidR="00AB48A0" w:rsidRPr="00AB48A0" w:rsidRDefault="00AB48A0" w:rsidP="00AB48A0">
      <w:pPr>
        <w:spacing w:line="360" w:lineRule="auto"/>
        <w:rPr>
          <w:rFonts w:ascii="Arial" w:hAnsi="Arial" w:cs="Arial"/>
        </w:rPr>
      </w:pPr>
    </w:p>
    <w:p w14:paraId="201DB847" w14:textId="003E77EE" w:rsidR="00AB48A0" w:rsidRPr="00AB48A0" w:rsidRDefault="00AB48A0" w:rsidP="00AB48A0">
      <w:pPr>
        <w:spacing w:line="360" w:lineRule="auto"/>
        <w:rPr>
          <w:rFonts w:ascii="Arial" w:hAnsi="Arial" w:cs="Arial"/>
        </w:rPr>
      </w:pPr>
      <w:r w:rsidRPr="00AB48A0">
        <w:rPr>
          <w:rFonts w:ascii="Arial" w:hAnsi="Arial" w:cs="Arial"/>
        </w:rPr>
        <w:t>Tan, J. (2023) 'Exploring the experiences of transgender women in the criminal justice system', </w:t>
      </w:r>
      <w:proofErr w:type="spellStart"/>
      <w:r w:rsidRPr="00AB48A0">
        <w:rPr>
          <w:rFonts w:ascii="Arial" w:hAnsi="Arial" w:cs="Arial"/>
          <w:i/>
          <w:iCs/>
        </w:rPr>
        <w:t>Ubira</w:t>
      </w:r>
      <w:proofErr w:type="spellEnd"/>
      <w:r w:rsidRPr="00AB48A0">
        <w:rPr>
          <w:rFonts w:ascii="Arial" w:hAnsi="Arial" w:cs="Arial"/>
          <w:i/>
          <w:iCs/>
        </w:rPr>
        <w:t xml:space="preserve"> Theses</w:t>
      </w:r>
      <w:r w:rsidRPr="00AB48A0">
        <w:rPr>
          <w:rFonts w:ascii="Arial" w:hAnsi="Arial" w:cs="Arial"/>
        </w:rPr>
        <w:t>.</w:t>
      </w:r>
    </w:p>
    <w:p w14:paraId="09002C80" w14:textId="77777777" w:rsidR="00AB48A0" w:rsidRPr="00AB48A0" w:rsidRDefault="00AB48A0" w:rsidP="00AB48A0">
      <w:pPr>
        <w:spacing w:line="360" w:lineRule="auto"/>
        <w:rPr>
          <w:rFonts w:ascii="Arial" w:hAnsi="Arial" w:cs="Arial"/>
        </w:rPr>
      </w:pPr>
    </w:p>
    <w:p w14:paraId="2F3350C3" w14:textId="6627EB59" w:rsidR="00AB48A0" w:rsidRPr="00AB48A0" w:rsidRDefault="00AB48A0" w:rsidP="00AB48A0">
      <w:pPr>
        <w:spacing w:line="360" w:lineRule="auto"/>
        <w:rPr>
          <w:rFonts w:ascii="Arial" w:hAnsi="Arial" w:cs="Arial"/>
        </w:rPr>
      </w:pPr>
      <w:r w:rsidRPr="00AB48A0">
        <w:rPr>
          <w:rFonts w:ascii="Arial" w:hAnsi="Arial" w:cs="Arial"/>
        </w:rPr>
        <w:t>Taylor, J. (2013) 'Police accused of mocking transgender woman during arrest', </w:t>
      </w:r>
      <w:r w:rsidRPr="00AB48A0">
        <w:rPr>
          <w:rFonts w:ascii="Arial" w:hAnsi="Arial" w:cs="Arial"/>
          <w:i/>
          <w:iCs/>
        </w:rPr>
        <w:t>The Independent</w:t>
      </w:r>
      <w:r w:rsidRPr="00AB48A0">
        <w:rPr>
          <w:rFonts w:ascii="Arial" w:hAnsi="Arial" w:cs="Arial"/>
        </w:rPr>
        <w:t>. Available at: </w:t>
      </w:r>
      <w:hyperlink r:id="rId13" w:tgtFrame="_new" w:history="1">
        <w:r w:rsidRPr="00AB48A0">
          <w:rPr>
            <w:rFonts w:ascii="Arial" w:hAnsi="Arial" w:cs="Arial"/>
            <w:color w:val="0000FF"/>
            <w:u w:val="single"/>
          </w:rPr>
          <w:t>https://www.independent.co.uk/news/uk/crime/police-accused-of-mocking-transgender-woman-during-arrest-8505650.html</w:t>
        </w:r>
      </w:hyperlink>
      <w:r w:rsidRPr="00AB48A0">
        <w:rPr>
          <w:rFonts w:ascii="Arial" w:hAnsi="Arial" w:cs="Arial"/>
        </w:rPr>
        <w:t> (Accessed: 15 February 2025).</w:t>
      </w:r>
    </w:p>
    <w:p w14:paraId="370ACEA6" w14:textId="77777777" w:rsidR="00AB48A0" w:rsidRPr="00AB48A0" w:rsidRDefault="00AB48A0" w:rsidP="00AB48A0">
      <w:pPr>
        <w:spacing w:line="360" w:lineRule="auto"/>
        <w:rPr>
          <w:rFonts w:ascii="Arial" w:hAnsi="Arial" w:cs="Arial"/>
        </w:rPr>
      </w:pPr>
    </w:p>
    <w:p w14:paraId="5EAE21EE" w14:textId="1E4EA6AD" w:rsidR="00AB48A0" w:rsidRPr="00AB48A0" w:rsidRDefault="00AB48A0" w:rsidP="00AB48A0">
      <w:pPr>
        <w:spacing w:line="360" w:lineRule="auto"/>
        <w:rPr>
          <w:rFonts w:ascii="Arial" w:hAnsi="Arial" w:cs="Arial"/>
        </w:rPr>
      </w:pPr>
      <w:proofErr w:type="spellStart"/>
      <w:r w:rsidRPr="00AB48A0">
        <w:rPr>
          <w:rFonts w:ascii="Arial" w:hAnsi="Arial" w:cs="Arial"/>
        </w:rPr>
        <w:t>Tarzwell</w:t>
      </w:r>
      <w:proofErr w:type="spellEnd"/>
      <w:r w:rsidRPr="00AB48A0">
        <w:rPr>
          <w:rFonts w:ascii="Arial" w:hAnsi="Arial" w:cs="Arial"/>
        </w:rPr>
        <w:t>, J. (2021) 'Denial of gender-affirming facilities in police and prison systems: Legal and psychological implications', </w:t>
      </w:r>
      <w:proofErr w:type="spellStart"/>
      <w:r w:rsidRPr="00AB48A0">
        <w:rPr>
          <w:rFonts w:ascii="Arial" w:hAnsi="Arial" w:cs="Arial"/>
          <w:i/>
          <w:iCs/>
        </w:rPr>
        <w:t>Tarzwell</w:t>
      </w:r>
      <w:proofErr w:type="spellEnd"/>
      <w:r w:rsidRPr="00AB48A0">
        <w:rPr>
          <w:rFonts w:ascii="Arial" w:hAnsi="Arial" w:cs="Arial"/>
          <w:i/>
          <w:iCs/>
        </w:rPr>
        <w:t xml:space="preserve"> Publishing</w:t>
      </w:r>
      <w:r w:rsidRPr="00AB48A0">
        <w:rPr>
          <w:rFonts w:ascii="Arial" w:hAnsi="Arial" w:cs="Arial"/>
        </w:rPr>
        <w:t>.</w:t>
      </w:r>
    </w:p>
    <w:p w14:paraId="72CCC5F1" w14:textId="77777777" w:rsidR="00AB48A0" w:rsidRPr="00AB48A0" w:rsidRDefault="00AB48A0" w:rsidP="00AB48A0">
      <w:pPr>
        <w:spacing w:line="360" w:lineRule="auto"/>
        <w:rPr>
          <w:rFonts w:ascii="Arial" w:hAnsi="Arial" w:cs="Arial"/>
        </w:rPr>
      </w:pPr>
    </w:p>
    <w:p w14:paraId="5958802D" w14:textId="4779BB2B" w:rsidR="00AB48A0" w:rsidRPr="00AB48A0" w:rsidRDefault="00AB48A0" w:rsidP="00AB48A0">
      <w:pPr>
        <w:spacing w:line="360" w:lineRule="auto"/>
        <w:rPr>
          <w:rFonts w:ascii="Arial" w:hAnsi="Arial" w:cs="Arial"/>
        </w:rPr>
      </w:pPr>
      <w:r w:rsidRPr="00AB48A0">
        <w:rPr>
          <w:rFonts w:ascii="Arial" w:hAnsi="Arial" w:cs="Arial"/>
        </w:rPr>
        <w:t>Thomas, K. (2023) 'Men have no place in women’s prisons', </w:t>
      </w:r>
      <w:r w:rsidRPr="00AB48A0">
        <w:rPr>
          <w:rFonts w:ascii="Arial" w:hAnsi="Arial" w:cs="Arial"/>
          <w:i/>
          <w:iCs/>
        </w:rPr>
        <w:t>Centre for Crime and Justice Studies</w:t>
      </w:r>
      <w:r w:rsidRPr="00AB48A0">
        <w:rPr>
          <w:rFonts w:ascii="Arial" w:hAnsi="Arial" w:cs="Arial"/>
        </w:rPr>
        <w:t>. Available at: </w:t>
      </w:r>
      <w:hyperlink r:id="rId14" w:tgtFrame="_new" w:history="1">
        <w:r w:rsidRPr="00AB48A0">
          <w:rPr>
            <w:rFonts w:ascii="Arial" w:hAnsi="Arial" w:cs="Arial"/>
            <w:color w:val="0000FF"/>
            <w:u w:val="single"/>
          </w:rPr>
          <w:t>https://www.crimeandjustice.org.uk/men-have-no-place-women%E2%80%99s-prisons</w:t>
        </w:r>
      </w:hyperlink>
      <w:r w:rsidRPr="00AB48A0">
        <w:rPr>
          <w:rFonts w:ascii="Arial" w:hAnsi="Arial" w:cs="Arial"/>
        </w:rPr>
        <w:t> (Accessed: 16 February 2025).</w:t>
      </w:r>
    </w:p>
    <w:p w14:paraId="0F4DCD78" w14:textId="77777777" w:rsidR="00AB48A0" w:rsidRPr="00AB48A0" w:rsidRDefault="00AB48A0" w:rsidP="00AB48A0">
      <w:pPr>
        <w:spacing w:line="360" w:lineRule="auto"/>
        <w:rPr>
          <w:rFonts w:ascii="Arial" w:hAnsi="Arial" w:cs="Arial"/>
        </w:rPr>
      </w:pPr>
    </w:p>
    <w:p w14:paraId="333A1A96" w14:textId="4EDCC700" w:rsidR="00AB48A0" w:rsidRPr="00AB48A0" w:rsidRDefault="00AB48A0" w:rsidP="00AB48A0">
      <w:pPr>
        <w:spacing w:line="360" w:lineRule="auto"/>
        <w:rPr>
          <w:rFonts w:ascii="Arial" w:hAnsi="Arial" w:cs="Arial"/>
        </w:rPr>
      </w:pPr>
      <w:r w:rsidRPr="00AB48A0">
        <w:rPr>
          <w:rFonts w:ascii="Arial" w:hAnsi="Arial" w:cs="Arial"/>
        </w:rPr>
        <w:t>The Trevor Project (2023) 'Transgender individuals and their experiences with the justice system: Barriers to reporting', </w:t>
      </w:r>
      <w:r w:rsidRPr="00AB48A0">
        <w:rPr>
          <w:rFonts w:ascii="Arial" w:hAnsi="Arial" w:cs="Arial"/>
          <w:i/>
          <w:iCs/>
        </w:rPr>
        <w:t>The Trevor Project</w:t>
      </w:r>
      <w:r w:rsidRPr="00AB48A0">
        <w:rPr>
          <w:rFonts w:ascii="Arial" w:hAnsi="Arial" w:cs="Arial"/>
        </w:rPr>
        <w:t>.</w:t>
      </w:r>
    </w:p>
    <w:p w14:paraId="5C348D42" w14:textId="77777777" w:rsidR="00AB48A0" w:rsidRPr="00AB48A0" w:rsidRDefault="00AB48A0" w:rsidP="00AB48A0">
      <w:pPr>
        <w:pStyle w:val="NormalWeb"/>
        <w:spacing w:line="360" w:lineRule="auto"/>
        <w:ind w:left="567" w:hanging="567"/>
        <w:rPr>
          <w:rFonts w:ascii="Arial" w:hAnsi="Arial" w:cs="Arial"/>
          <w:color w:val="000000"/>
        </w:rPr>
      </w:pPr>
      <w:r w:rsidRPr="00AB48A0">
        <w:rPr>
          <w:rFonts w:ascii="Arial" w:hAnsi="Arial" w:cs="Arial"/>
          <w:color w:val="000000"/>
        </w:rPr>
        <w:t xml:space="preserve">Van </w:t>
      </w:r>
      <w:proofErr w:type="spellStart"/>
      <w:r w:rsidRPr="00AB48A0">
        <w:rPr>
          <w:rFonts w:ascii="Arial" w:hAnsi="Arial" w:cs="Arial"/>
          <w:color w:val="000000"/>
        </w:rPr>
        <w:t>Hout</w:t>
      </w:r>
      <w:proofErr w:type="spellEnd"/>
      <w:r w:rsidRPr="00AB48A0">
        <w:rPr>
          <w:rFonts w:ascii="Arial" w:hAnsi="Arial" w:cs="Arial"/>
          <w:color w:val="000000"/>
        </w:rPr>
        <w:t>, M.-C. and Crowley, D. (2021) ‘The “double punishment” of transgender prisoners: A human rights-based commentary on placement and conditions of detention’,</w:t>
      </w:r>
      <w:r w:rsidRPr="00AB48A0">
        <w:rPr>
          <w:rStyle w:val="apple-converted-space"/>
          <w:rFonts w:ascii="Arial" w:eastAsiaTheme="majorEastAsia" w:hAnsi="Arial" w:cs="Arial"/>
          <w:color w:val="000000"/>
        </w:rPr>
        <w:t> </w:t>
      </w:r>
      <w:r w:rsidRPr="00AB48A0">
        <w:rPr>
          <w:rFonts w:ascii="Arial" w:hAnsi="Arial" w:cs="Arial"/>
          <w:i/>
          <w:iCs/>
          <w:color w:val="000000"/>
        </w:rPr>
        <w:t>International Journal of Prisoner Health</w:t>
      </w:r>
      <w:r w:rsidRPr="00AB48A0">
        <w:rPr>
          <w:rFonts w:ascii="Arial" w:hAnsi="Arial" w:cs="Arial"/>
          <w:color w:val="000000"/>
        </w:rPr>
        <w:t>, 17(4), pp. 439–451. doi:10.1108/ijph-10-2020-0083.</w:t>
      </w:r>
      <w:r w:rsidRPr="00AB48A0">
        <w:rPr>
          <w:rStyle w:val="apple-converted-space"/>
          <w:rFonts w:ascii="Arial" w:eastAsiaTheme="majorEastAsia" w:hAnsi="Arial" w:cs="Arial"/>
          <w:color w:val="000000"/>
        </w:rPr>
        <w:t> </w:t>
      </w:r>
    </w:p>
    <w:p w14:paraId="671C043A" w14:textId="77777777" w:rsidR="00AB48A0" w:rsidRPr="00AB48A0" w:rsidRDefault="00AB48A0" w:rsidP="00AB48A0">
      <w:pPr>
        <w:pStyle w:val="NormalWeb"/>
        <w:spacing w:line="360" w:lineRule="auto"/>
        <w:ind w:left="567" w:hanging="567"/>
        <w:rPr>
          <w:rFonts w:ascii="Arial" w:hAnsi="Arial" w:cs="Arial"/>
          <w:color w:val="000000"/>
        </w:rPr>
      </w:pPr>
      <w:r w:rsidRPr="00AB48A0">
        <w:rPr>
          <w:rFonts w:ascii="Arial" w:hAnsi="Arial" w:cs="Arial"/>
          <w:color w:val="000000"/>
        </w:rPr>
        <w:t xml:space="preserve">Van </w:t>
      </w:r>
      <w:proofErr w:type="spellStart"/>
      <w:r w:rsidRPr="00AB48A0">
        <w:rPr>
          <w:rFonts w:ascii="Arial" w:hAnsi="Arial" w:cs="Arial"/>
          <w:color w:val="000000"/>
        </w:rPr>
        <w:t>Hout</w:t>
      </w:r>
      <w:proofErr w:type="spellEnd"/>
      <w:r w:rsidRPr="00AB48A0">
        <w:rPr>
          <w:rFonts w:ascii="Arial" w:hAnsi="Arial" w:cs="Arial"/>
          <w:color w:val="000000"/>
        </w:rPr>
        <w:t xml:space="preserve">, M.C., </w:t>
      </w:r>
      <w:proofErr w:type="spellStart"/>
      <w:r w:rsidRPr="00AB48A0">
        <w:rPr>
          <w:rFonts w:ascii="Arial" w:hAnsi="Arial" w:cs="Arial"/>
          <w:color w:val="000000"/>
        </w:rPr>
        <w:t>Kewley</w:t>
      </w:r>
      <w:proofErr w:type="spellEnd"/>
      <w:r w:rsidRPr="00AB48A0">
        <w:rPr>
          <w:rFonts w:ascii="Arial" w:hAnsi="Arial" w:cs="Arial"/>
          <w:color w:val="000000"/>
        </w:rPr>
        <w:t>, S. and Hillis, A. (2020) ‘Contemporary Transgender Health Experience and health situation in prisons: A scoping review of extant published literature (2000–2019)’,</w:t>
      </w:r>
      <w:r w:rsidRPr="00AB48A0">
        <w:rPr>
          <w:rStyle w:val="apple-converted-space"/>
          <w:rFonts w:ascii="Arial" w:eastAsiaTheme="majorEastAsia" w:hAnsi="Arial" w:cs="Arial"/>
          <w:color w:val="000000"/>
        </w:rPr>
        <w:t> </w:t>
      </w:r>
      <w:r w:rsidRPr="00AB48A0">
        <w:rPr>
          <w:rFonts w:ascii="Arial" w:hAnsi="Arial" w:cs="Arial"/>
          <w:i/>
          <w:iCs/>
          <w:color w:val="000000"/>
        </w:rPr>
        <w:t>International Journal of Transgender Health</w:t>
      </w:r>
      <w:r w:rsidRPr="00AB48A0">
        <w:rPr>
          <w:rFonts w:ascii="Arial" w:hAnsi="Arial" w:cs="Arial"/>
          <w:color w:val="000000"/>
        </w:rPr>
        <w:t>, 21(3), pp. 258–306. doi:10.1080/26895269.2020.1772937.</w:t>
      </w:r>
      <w:r w:rsidRPr="00AB48A0">
        <w:rPr>
          <w:rStyle w:val="apple-converted-space"/>
          <w:rFonts w:ascii="Arial" w:eastAsiaTheme="majorEastAsia" w:hAnsi="Arial" w:cs="Arial"/>
          <w:color w:val="000000"/>
        </w:rPr>
        <w:t> </w:t>
      </w:r>
    </w:p>
    <w:p w14:paraId="571AB6F8" w14:textId="25F492FA" w:rsidR="00AB48A0" w:rsidRPr="00AB48A0" w:rsidRDefault="00AB48A0" w:rsidP="00AB48A0">
      <w:pPr>
        <w:spacing w:line="360" w:lineRule="auto"/>
        <w:rPr>
          <w:rFonts w:ascii="Arial" w:hAnsi="Arial" w:cs="Arial"/>
        </w:rPr>
      </w:pPr>
      <w:r w:rsidRPr="00AB48A0">
        <w:rPr>
          <w:rFonts w:ascii="Arial" w:hAnsi="Arial" w:cs="Arial"/>
        </w:rPr>
        <w:lastRenderedPageBreak/>
        <w:t>Walters, M.A. (2024) ‘Legalizing transphobia: From courtroom to legislature, how gender</w:t>
      </w:r>
      <w:r w:rsidRPr="00AB48A0">
        <w:rPr>
          <w:rFonts w:ascii="Cambria Math" w:hAnsi="Cambria Math" w:cs="Cambria Math"/>
        </w:rPr>
        <w:t>‐</w:t>
      </w:r>
      <w:r w:rsidRPr="00AB48A0">
        <w:rPr>
          <w:rFonts w:ascii="Arial" w:hAnsi="Arial" w:cs="Arial"/>
        </w:rPr>
        <w:t>critical activism is hurting us all’, </w:t>
      </w:r>
      <w:r w:rsidRPr="00AB48A0">
        <w:rPr>
          <w:rFonts w:ascii="Arial" w:hAnsi="Arial" w:cs="Arial"/>
          <w:i/>
          <w:iCs/>
        </w:rPr>
        <w:t>Journal of Law and Society</w:t>
      </w:r>
      <w:r w:rsidRPr="00AB48A0">
        <w:rPr>
          <w:rFonts w:ascii="Arial" w:hAnsi="Arial" w:cs="Arial"/>
        </w:rPr>
        <w:t>, 51(3), pp. 343–366. doi:10.1111/jols.12491.</w:t>
      </w:r>
    </w:p>
    <w:p w14:paraId="6D24CF1C" w14:textId="77777777" w:rsidR="00AB48A0" w:rsidRPr="00AB48A0" w:rsidRDefault="00AB48A0" w:rsidP="00AB48A0">
      <w:pPr>
        <w:spacing w:line="360" w:lineRule="auto"/>
        <w:rPr>
          <w:rFonts w:ascii="Arial" w:hAnsi="Arial" w:cs="Arial"/>
        </w:rPr>
      </w:pPr>
    </w:p>
    <w:p w14:paraId="36EA3710" w14:textId="53BDF6D2" w:rsidR="00AB48A0" w:rsidRPr="00AB48A0" w:rsidRDefault="00AB48A0" w:rsidP="00AB48A0">
      <w:pPr>
        <w:spacing w:line="360" w:lineRule="auto"/>
        <w:rPr>
          <w:rFonts w:ascii="Arial" w:hAnsi="Arial" w:cs="Arial"/>
        </w:rPr>
      </w:pPr>
      <w:r w:rsidRPr="00AB48A0">
        <w:rPr>
          <w:rFonts w:ascii="Arial" w:hAnsi="Arial" w:cs="Arial"/>
        </w:rPr>
        <w:t>Wilson, A. (2023) </w:t>
      </w:r>
      <w:r w:rsidRPr="00AB48A0">
        <w:rPr>
          <w:rFonts w:ascii="Arial" w:hAnsi="Arial" w:cs="Arial"/>
          <w:i/>
          <w:iCs/>
        </w:rPr>
        <w:t>Gender identity in prison systems: Rights and challenges for transgender inmates</w:t>
      </w:r>
      <w:r w:rsidRPr="00AB48A0">
        <w:rPr>
          <w:rFonts w:ascii="Arial" w:hAnsi="Arial" w:cs="Arial"/>
        </w:rPr>
        <w:t>. Wilson Publishing.</w:t>
      </w:r>
    </w:p>
    <w:p w14:paraId="4C749193" w14:textId="77777777" w:rsidR="00AB48A0" w:rsidRPr="00AB48A0" w:rsidRDefault="00AB48A0" w:rsidP="00AB48A0">
      <w:pPr>
        <w:spacing w:line="360" w:lineRule="auto"/>
        <w:rPr>
          <w:rFonts w:ascii="Arial" w:hAnsi="Arial" w:cs="Arial"/>
        </w:rPr>
      </w:pPr>
    </w:p>
    <w:p w14:paraId="783484C7" w14:textId="7B5B08BC" w:rsidR="00AB48A0" w:rsidRPr="00AB48A0" w:rsidRDefault="00AB48A0" w:rsidP="00AB48A0">
      <w:pPr>
        <w:spacing w:line="360" w:lineRule="auto"/>
        <w:rPr>
          <w:rFonts w:ascii="Arial" w:hAnsi="Arial" w:cs="Arial"/>
          <w:color w:val="000000"/>
        </w:rPr>
      </w:pPr>
      <w:r w:rsidRPr="00AB48A0">
        <w:rPr>
          <w:rFonts w:ascii="Arial" w:hAnsi="Arial" w:cs="Arial"/>
        </w:rPr>
        <w:t>Williams Institute (2023) </w:t>
      </w:r>
      <w:r w:rsidRPr="00AB48A0">
        <w:rPr>
          <w:rFonts w:ascii="Arial" w:hAnsi="Arial" w:cs="Arial"/>
          <w:i/>
          <w:iCs/>
        </w:rPr>
        <w:t>Safe and anonymous crime reporting for transgender individuals: A critical review</w:t>
      </w:r>
      <w:r w:rsidRPr="00AB48A0">
        <w:rPr>
          <w:rFonts w:ascii="Arial" w:hAnsi="Arial" w:cs="Arial"/>
        </w:rPr>
        <w:t>. Williams Institute.</w:t>
      </w:r>
    </w:p>
    <w:sectPr w:rsidR="00AB48A0" w:rsidRPr="00AB48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942B1"/>
    <w:multiLevelType w:val="hybridMultilevel"/>
    <w:tmpl w:val="9A426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F81D71"/>
    <w:multiLevelType w:val="multilevel"/>
    <w:tmpl w:val="391EB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0975317">
    <w:abstractNumId w:val="0"/>
  </w:num>
  <w:num w:numId="2" w16cid:durableId="13274373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BDB"/>
    <w:rsid w:val="0022350E"/>
    <w:rsid w:val="003B4364"/>
    <w:rsid w:val="00453BDB"/>
    <w:rsid w:val="006A06D6"/>
    <w:rsid w:val="00750A5C"/>
    <w:rsid w:val="00993171"/>
    <w:rsid w:val="00A01C36"/>
    <w:rsid w:val="00A14A55"/>
    <w:rsid w:val="00AA5118"/>
    <w:rsid w:val="00AB48A0"/>
    <w:rsid w:val="00B53232"/>
    <w:rsid w:val="00E16D10"/>
    <w:rsid w:val="00F451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740292"/>
  <w15:chartTrackingRefBased/>
  <w15:docId w15:val="{D7A43411-25AB-AA41-B829-BB0170A2E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8A0"/>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53B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B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53B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B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B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BD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BD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BD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BD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B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B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53B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B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B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B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B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B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BDB"/>
    <w:rPr>
      <w:rFonts w:eastAsiaTheme="majorEastAsia" w:cstheme="majorBidi"/>
      <w:color w:val="272727" w:themeColor="text1" w:themeTint="D8"/>
    </w:rPr>
  </w:style>
  <w:style w:type="paragraph" w:styleId="Title">
    <w:name w:val="Title"/>
    <w:basedOn w:val="Normal"/>
    <w:next w:val="Normal"/>
    <w:link w:val="TitleChar"/>
    <w:uiPriority w:val="10"/>
    <w:qFormat/>
    <w:rsid w:val="00453BD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B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B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B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BDB"/>
    <w:pPr>
      <w:spacing w:before="160"/>
      <w:jc w:val="center"/>
    </w:pPr>
    <w:rPr>
      <w:i/>
      <w:iCs/>
      <w:color w:val="404040" w:themeColor="text1" w:themeTint="BF"/>
    </w:rPr>
  </w:style>
  <w:style w:type="character" w:customStyle="1" w:styleId="QuoteChar">
    <w:name w:val="Quote Char"/>
    <w:basedOn w:val="DefaultParagraphFont"/>
    <w:link w:val="Quote"/>
    <w:uiPriority w:val="29"/>
    <w:rsid w:val="00453BDB"/>
    <w:rPr>
      <w:i/>
      <w:iCs/>
      <w:color w:val="404040" w:themeColor="text1" w:themeTint="BF"/>
    </w:rPr>
  </w:style>
  <w:style w:type="paragraph" w:styleId="ListParagraph">
    <w:name w:val="List Paragraph"/>
    <w:basedOn w:val="Normal"/>
    <w:uiPriority w:val="34"/>
    <w:qFormat/>
    <w:rsid w:val="00453BDB"/>
    <w:pPr>
      <w:ind w:left="720"/>
      <w:contextualSpacing/>
    </w:pPr>
  </w:style>
  <w:style w:type="character" w:styleId="IntenseEmphasis">
    <w:name w:val="Intense Emphasis"/>
    <w:basedOn w:val="DefaultParagraphFont"/>
    <w:uiPriority w:val="21"/>
    <w:qFormat/>
    <w:rsid w:val="00453BDB"/>
    <w:rPr>
      <w:i/>
      <w:iCs/>
      <w:color w:val="0F4761" w:themeColor="accent1" w:themeShade="BF"/>
    </w:rPr>
  </w:style>
  <w:style w:type="paragraph" w:styleId="IntenseQuote">
    <w:name w:val="Intense Quote"/>
    <w:basedOn w:val="Normal"/>
    <w:next w:val="Normal"/>
    <w:link w:val="IntenseQuoteChar"/>
    <w:uiPriority w:val="30"/>
    <w:qFormat/>
    <w:rsid w:val="00453B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BDB"/>
    <w:rPr>
      <w:i/>
      <w:iCs/>
      <w:color w:val="0F4761" w:themeColor="accent1" w:themeShade="BF"/>
    </w:rPr>
  </w:style>
  <w:style w:type="character" w:styleId="IntenseReference">
    <w:name w:val="Intense Reference"/>
    <w:basedOn w:val="DefaultParagraphFont"/>
    <w:uiPriority w:val="32"/>
    <w:qFormat/>
    <w:rsid w:val="00453BDB"/>
    <w:rPr>
      <w:b/>
      <w:bCs/>
      <w:smallCaps/>
      <w:color w:val="0F4761" w:themeColor="accent1" w:themeShade="BF"/>
      <w:spacing w:val="5"/>
    </w:rPr>
  </w:style>
  <w:style w:type="paragraph" w:styleId="NormalWeb">
    <w:name w:val="Normal (Web)"/>
    <w:basedOn w:val="Normal"/>
    <w:uiPriority w:val="99"/>
    <w:unhideWhenUsed/>
    <w:rsid w:val="00453BDB"/>
    <w:pPr>
      <w:spacing w:before="100" w:beforeAutospacing="1" w:after="100" w:afterAutospacing="1"/>
    </w:pPr>
  </w:style>
  <w:style w:type="character" w:customStyle="1" w:styleId="apple-converted-space">
    <w:name w:val="apple-converted-space"/>
    <w:basedOn w:val="DefaultParagraphFont"/>
    <w:rsid w:val="003B4364"/>
  </w:style>
  <w:style w:type="character" w:styleId="Emphasis">
    <w:name w:val="Emphasis"/>
    <w:basedOn w:val="DefaultParagraphFont"/>
    <w:uiPriority w:val="20"/>
    <w:qFormat/>
    <w:rsid w:val="00AA5118"/>
    <w:rPr>
      <w:i/>
      <w:iCs/>
    </w:rPr>
  </w:style>
  <w:style w:type="character" w:styleId="Strong">
    <w:name w:val="Strong"/>
    <w:basedOn w:val="DefaultParagraphFont"/>
    <w:uiPriority w:val="22"/>
    <w:qFormat/>
    <w:rsid w:val="00AA5118"/>
    <w:rPr>
      <w:b/>
      <w:bCs/>
    </w:rPr>
  </w:style>
  <w:style w:type="character" w:styleId="Hyperlink">
    <w:name w:val="Hyperlink"/>
    <w:basedOn w:val="DefaultParagraphFont"/>
    <w:uiPriority w:val="99"/>
    <w:unhideWhenUsed/>
    <w:rsid w:val="00AA5118"/>
    <w:rPr>
      <w:color w:val="467886" w:themeColor="hyperlink"/>
      <w:u w:val="single"/>
    </w:rPr>
  </w:style>
  <w:style w:type="character" w:styleId="UnresolvedMention">
    <w:name w:val="Unresolved Mention"/>
    <w:basedOn w:val="DefaultParagraphFont"/>
    <w:uiPriority w:val="99"/>
    <w:semiHidden/>
    <w:unhideWhenUsed/>
    <w:rsid w:val="00AA51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776552">
      <w:bodyDiv w:val="1"/>
      <w:marLeft w:val="0"/>
      <w:marRight w:val="0"/>
      <w:marTop w:val="0"/>
      <w:marBottom w:val="0"/>
      <w:divBdr>
        <w:top w:val="none" w:sz="0" w:space="0" w:color="auto"/>
        <w:left w:val="none" w:sz="0" w:space="0" w:color="auto"/>
        <w:bottom w:val="none" w:sz="0" w:space="0" w:color="auto"/>
        <w:right w:val="none" w:sz="0" w:space="0" w:color="auto"/>
      </w:divBdr>
    </w:div>
    <w:div w:id="36467947">
      <w:bodyDiv w:val="1"/>
      <w:marLeft w:val="0"/>
      <w:marRight w:val="0"/>
      <w:marTop w:val="0"/>
      <w:marBottom w:val="0"/>
      <w:divBdr>
        <w:top w:val="none" w:sz="0" w:space="0" w:color="auto"/>
        <w:left w:val="none" w:sz="0" w:space="0" w:color="auto"/>
        <w:bottom w:val="none" w:sz="0" w:space="0" w:color="auto"/>
        <w:right w:val="none" w:sz="0" w:space="0" w:color="auto"/>
      </w:divBdr>
    </w:div>
    <w:div w:id="130365405">
      <w:bodyDiv w:val="1"/>
      <w:marLeft w:val="0"/>
      <w:marRight w:val="0"/>
      <w:marTop w:val="0"/>
      <w:marBottom w:val="0"/>
      <w:divBdr>
        <w:top w:val="none" w:sz="0" w:space="0" w:color="auto"/>
        <w:left w:val="none" w:sz="0" w:space="0" w:color="auto"/>
        <w:bottom w:val="none" w:sz="0" w:space="0" w:color="auto"/>
        <w:right w:val="none" w:sz="0" w:space="0" w:color="auto"/>
      </w:divBdr>
    </w:div>
    <w:div w:id="159586190">
      <w:bodyDiv w:val="1"/>
      <w:marLeft w:val="0"/>
      <w:marRight w:val="0"/>
      <w:marTop w:val="0"/>
      <w:marBottom w:val="0"/>
      <w:divBdr>
        <w:top w:val="none" w:sz="0" w:space="0" w:color="auto"/>
        <w:left w:val="none" w:sz="0" w:space="0" w:color="auto"/>
        <w:bottom w:val="none" w:sz="0" w:space="0" w:color="auto"/>
        <w:right w:val="none" w:sz="0" w:space="0" w:color="auto"/>
      </w:divBdr>
    </w:div>
    <w:div w:id="262962003">
      <w:bodyDiv w:val="1"/>
      <w:marLeft w:val="0"/>
      <w:marRight w:val="0"/>
      <w:marTop w:val="0"/>
      <w:marBottom w:val="0"/>
      <w:divBdr>
        <w:top w:val="none" w:sz="0" w:space="0" w:color="auto"/>
        <w:left w:val="none" w:sz="0" w:space="0" w:color="auto"/>
        <w:bottom w:val="none" w:sz="0" w:space="0" w:color="auto"/>
        <w:right w:val="none" w:sz="0" w:space="0" w:color="auto"/>
      </w:divBdr>
    </w:div>
    <w:div w:id="440078061">
      <w:bodyDiv w:val="1"/>
      <w:marLeft w:val="0"/>
      <w:marRight w:val="0"/>
      <w:marTop w:val="0"/>
      <w:marBottom w:val="0"/>
      <w:divBdr>
        <w:top w:val="none" w:sz="0" w:space="0" w:color="auto"/>
        <w:left w:val="none" w:sz="0" w:space="0" w:color="auto"/>
        <w:bottom w:val="none" w:sz="0" w:space="0" w:color="auto"/>
        <w:right w:val="none" w:sz="0" w:space="0" w:color="auto"/>
      </w:divBdr>
    </w:div>
    <w:div w:id="463617045">
      <w:bodyDiv w:val="1"/>
      <w:marLeft w:val="0"/>
      <w:marRight w:val="0"/>
      <w:marTop w:val="0"/>
      <w:marBottom w:val="0"/>
      <w:divBdr>
        <w:top w:val="none" w:sz="0" w:space="0" w:color="auto"/>
        <w:left w:val="none" w:sz="0" w:space="0" w:color="auto"/>
        <w:bottom w:val="none" w:sz="0" w:space="0" w:color="auto"/>
        <w:right w:val="none" w:sz="0" w:space="0" w:color="auto"/>
      </w:divBdr>
    </w:div>
    <w:div w:id="476649884">
      <w:bodyDiv w:val="1"/>
      <w:marLeft w:val="0"/>
      <w:marRight w:val="0"/>
      <w:marTop w:val="0"/>
      <w:marBottom w:val="0"/>
      <w:divBdr>
        <w:top w:val="none" w:sz="0" w:space="0" w:color="auto"/>
        <w:left w:val="none" w:sz="0" w:space="0" w:color="auto"/>
        <w:bottom w:val="none" w:sz="0" w:space="0" w:color="auto"/>
        <w:right w:val="none" w:sz="0" w:space="0" w:color="auto"/>
      </w:divBdr>
    </w:div>
    <w:div w:id="562255969">
      <w:bodyDiv w:val="1"/>
      <w:marLeft w:val="0"/>
      <w:marRight w:val="0"/>
      <w:marTop w:val="0"/>
      <w:marBottom w:val="0"/>
      <w:divBdr>
        <w:top w:val="none" w:sz="0" w:space="0" w:color="auto"/>
        <w:left w:val="none" w:sz="0" w:space="0" w:color="auto"/>
        <w:bottom w:val="none" w:sz="0" w:space="0" w:color="auto"/>
        <w:right w:val="none" w:sz="0" w:space="0" w:color="auto"/>
      </w:divBdr>
    </w:div>
    <w:div w:id="575743765">
      <w:bodyDiv w:val="1"/>
      <w:marLeft w:val="0"/>
      <w:marRight w:val="0"/>
      <w:marTop w:val="0"/>
      <w:marBottom w:val="0"/>
      <w:divBdr>
        <w:top w:val="none" w:sz="0" w:space="0" w:color="auto"/>
        <w:left w:val="none" w:sz="0" w:space="0" w:color="auto"/>
        <w:bottom w:val="none" w:sz="0" w:space="0" w:color="auto"/>
        <w:right w:val="none" w:sz="0" w:space="0" w:color="auto"/>
      </w:divBdr>
    </w:div>
    <w:div w:id="626158930">
      <w:bodyDiv w:val="1"/>
      <w:marLeft w:val="0"/>
      <w:marRight w:val="0"/>
      <w:marTop w:val="0"/>
      <w:marBottom w:val="0"/>
      <w:divBdr>
        <w:top w:val="none" w:sz="0" w:space="0" w:color="auto"/>
        <w:left w:val="none" w:sz="0" w:space="0" w:color="auto"/>
        <w:bottom w:val="none" w:sz="0" w:space="0" w:color="auto"/>
        <w:right w:val="none" w:sz="0" w:space="0" w:color="auto"/>
      </w:divBdr>
    </w:div>
    <w:div w:id="660888956">
      <w:bodyDiv w:val="1"/>
      <w:marLeft w:val="0"/>
      <w:marRight w:val="0"/>
      <w:marTop w:val="0"/>
      <w:marBottom w:val="0"/>
      <w:divBdr>
        <w:top w:val="none" w:sz="0" w:space="0" w:color="auto"/>
        <w:left w:val="none" w:sz="0" w:space="0" w:color="auto"/>
        <w:bottom w:val="none" w:sz="0" w:space="0" w:color="auto"/>
        <w:right w:val="none" w:sz="0" w:space="0" w:color="auto"/>
      </w:divBdr>
    </w:div>
    <w:div w:id="730229634">
      <w:bodyDiv w:val="1"/>
      <w:marLeft w:val="0"/>
      <w:marRight w:val="0"/>
      <w:marTop w:val="0"/>
      <w:marBottom w:val="0"/>
      <w:divBdr>
        <w:top w:val="none" w:sz="0" w:space="0" w:color="auto"/>
        <w:left w:val="none" w:sz="0" w:space="0" w:color="auto"/>
        <w:bottom w:val="none" w:sz="0" w:space="0" w:color="auto"/>
        <w:right w:val="none" w:sz="0" w:space="0" w:color="auto"/>
      </w:divBdr>
    </w:div>
    <w:div w:id="778528501">
      <w:bodyDiv w:val="1"/>
      <w:marLeft w:val="0"/>
      <w:marRight w:val="0"/>
      <w:marTop w:val="0"/>
      <w:marBottom w:val="0"/>
      <w:divBdr>
        <w:top w:val="none" w:sz="0" w:space="0" w:color="auto"/>
        <w:left w:val="none" w:sz="0" w:space="0" w:color="auto"/>
        <w:bottom w:val="none" w:sz="0" w:space="0" w:color="auto"/>
        <w:right w:val="none" w:sz="0" w:space="0" w:color="auto"/>
      </w:divBdr>
    </w:div>
    <w:div w:id="794567567">
      <w:bodyDiv w:val="1"/>
      <w:marLeft w:val="0"/>
      <w:marRight w:val="0"/>
      <w:marTop w:val="0"/>
      <w:marBottom w:val="0"/>
      <w:divBdr>
        <w:top w:val="none" w:sz="0" w:space="0" w:color="auto"/>
        <w:left w:val="none" w:sz="0" w:space="0" w:color="auto"/>
        <w:bottom w:val="none" w:sz="0" w:space="0" w:color="auto"/>
        <w:right w:val="none" w:sz="0" w:space="0" w:color="auto"/>
      </w:divBdr>
    </w:div>
    <w:div w:id="1050421404">
      <w:bodyDiv w:val="1"/>
      <w:marLeft w:val="0"/>
      <w:marRight w:val="0"/>
      <w:marTop w:val="0"/>
      <w:marBottom w:val="0"/>
      <w:divBdr>
        <w:top w:val="none" w:sz="0" w:space="0" w:color="auto"/>
        <w:left w:val="none" w:sz="0" w:space="0" w:color="auto"/>
        <w:bottom w:val="none" w:sz="0" w:space="0" w:color="auto"/>
        <w:right w:val="none" w:sz="0" w:space="0" w:color="auto"/>
      </w:divBdr>
    </w:div>
    <w:div w:id="1081371338">
      <w:bodyDiv w:val="1"/>
      <w:marLeft w:val="0"/>
      <w:marRight w:val="0"/>
      <w:marTop w:val="0"/>
      <w:marBottom w:val="0"/>
      <w:divBdr>
        <w:top w:val="none" w:sz="0" w:space="0" w:color="auto"/>
        <w:left w:val="none" w:sz="0" w:space="0" w:color="auto"/>
        <w:bottom w:val="none" w:sz="0" w:space="0" w:color="auto"/>
        <w:right w:val="none" w:sz="0" w:space="0" w:color="auto"/>
      </w:divBdr>
    </w:div>
    <w:div w:id="1092319787">
      <w:bodyDiv w:val="1"/>
      <w:marLeft w:val="0"/>
      <w:marRight w:val="0"/>
      <w:marTop w:val="0"/>
      <w:marBottom w:val="0"/>
      <w:divBdr>
        <w:top w:val="none" w:sz="0" w:space="0" w:color="auto"/>
        <w:left w:val="none" w:sz="0" w:space="0" w:color="auto"/>
        <w:bottom w:val="none" w:sz="0" w:space="0" w:color="auto"/>
        <w:right w:val="none" w:sz="0" w:space="0" w:color="auto"/>
      </w:divBdr>
    </w:div>
    <w:div w:id="1278609139">
      <w:bodyDiv w:val="1"/>
      <w:marLeft w:val="0"/>
      <w:marRight w:val="0"/>
      <w:marTop w:val="0"/>
      <w:marBottom w:val="0"/>
      <w:divBdr>
        <w:top w:val="none" w:sz="0" w:space="0" w:color="auto"/>
        <w:left w:val="none" w:sz="0" w:space="0" w:color="auto"/>
        <w:bottom w:val="none" w:sz="0" w:space="0" w:color="auto"/>
        <w:right w:val="none" w:sz="0" w:space="0" w:color="auto"/>
      </w:divBdr>
    </w:div>
    <w:div w:id="1366716132">
      <w:bodyDiv w:val="1"/>
      <w:marLeft w:val="0"/>
      <w:marRight w:val="0"/>
      <w:marTop w:val="0"/>
      <w:marBottom w:val="0"/>
      <w:divBdr>
        <w:top w:val="none" w:sz="0" w:space="0" w:color="auto"/>
        <w:left w:val="none" w:sz="0" w:space="0" w:color="auto"/>
        <w:bottom w:val="none" w:sz="0" w:space="0" w:color="auto"/>
        <w:right w:val="none" w:sz="0" w:space="0" w:color="auto"/>
      </w:divBdr>
      <w:divsChild>
        <w:div w:id="1971521285">
          <w:marLeft w:val="0"/>
          <w:marRight w:val="0"/>
          <w:marTop w:val="0"/>
          <w:marBottom w:val="0"/>
          <w:divBdr>
            <w:top w:val="none" w:sz="0" w:space="0" w:color="auto"/>
            <w:left w:val="none" w:sz="0" w:space="0" w:color="auto"/>
            <w:bottom w:val="none" w:sz="0" w:space="0" w:color="auto"/>
            <w:right w:val="none" w:sz="0" w:space="0" w:color="auto"/>
          </w:divBdr>
          <w:divsChild>
            <w:div w:id="446237032">
              <w:marLeft w:val="0"/>
              <w:marRight w:val="0"/>
              <w:marTop w:val="0"/>
              <w:marBottom w:val="0"/>
              <w:divBdr>
                <w:top w:val="none" w:sz="0" w:space="0" w:color="auto"/>
                <w:left w:val="none" w:sz="0" w:space="0" w:color="auto"/>
                <w:bottom w:val="none" w:sz="0" w:space="0" w:color="auto"/>
                <w:right w:val="none" w:sz="0" w:space="0" w:color="auto"/>
              </w:divBdr>
              <w:divsChild>
                <w:div w:id="967904091">
                  <w:marLeft w:val="0"/>
                  <w:marRight w:val="0"/>
                  <w:marTop w:val="0"/>
                  <w:marBottom w:val="0"/>
                  <w:divBdr>
                    <w:top w:val="none" w:sz="0" w:space="0" w:color="auto"/>
                    <w:left w:val="none" w:sz="0" w:space="0" w:color="auto"/>
                    <w:bottom w:val="none" w:sz="0" w:space="0" w:color="auto"/>
                    <w:right w:val="none" w:sz="0" w:space="0" w:color="auto"/>
                  </w:divBdr>
                  <w:divsChild>
                    <w:div w:id="64181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879049">
      <w:bodyDiv w:val="1"/>
      <w:marLeft w:val="0"/>
      <w:marRight w:val="0"/>
      <w:marTop w:val="0"/>
      <w:marBottom w:val="0"/>
      <w:divBdr>
        <w:top w:val="none" w:sz="0" w:space="0" w:color="auto"/>
        <w:left w:val="none" w:sz="0" w:space="0" w:color="auto"/>
        <w:bottom w:val="none" w:sz="0" w:space="0" w:color="auto"/>
        <w:right w:val="none" w:sz="0" w:space="0" w:color="auto"/>
      </w:divBdr>
    </w:div>
    <w:div w:id="1516581129">
      <w:bodyDiv w:val="1"/>
      <w:marLeft w:val="0"/>
      <w:marRight w:val="0"/>
      <w:marTop w:val="0"/>
      <w:marBottom w:val="0"/>
      <w:divBdr>
        <w:top w:val="none" w:sz="0" w:space="0" w:color="auto"/>
        <w:left w:val="none" w:sz="0" w:space="0" w:color="auto"/>
        <w:bottom w:val="none" w:sz="0" w:space="0" w:color="auto"/>
        <w:right w:val="none" w:sz="0" w:space="0" w:color="auto"/>
      </w:divBdr>
    </w:div>
    <w:div w:id="1811480761">
      <w:bodyDiv w:val="1"/>
      <w:marLeft w:val="0"/>
      <w:marRight w:val="0"/>
      <w:marTop w:val="0"/>
      <w:marBottom w:val="0"/>
      <w:divBdr>
        <w:top w:val="none" w:sz="0" w:space="0" w:color="auto"/>
        <w:left w:val="none" w:sz="0" w:space="0" w:color="auto"/>
        <w:bottom w:val="none" w:sz="0" w:space="0" w:color="auto"/>
        <w:right w:val="none" w:sz="0" w:space="0" w:color="auto"/>
      </w:divBdr>
    </w:div>
    <w:div w:id="1853300915">
      <w:bodyDiv w:val="1"/>
      <w:marLeft w:val="0"/>
      <w:marRight w:val="0"/>
      <w:marTop w:val="0"/>
      <w:marBottom w:val="0"/>
      <w:divBdr>
        <w:top w:val="none" w:sz="0" w:space="0" w:color="auto"/>
        <w:left w:val="none" w:sz="0" w:space="0" w:color="auto"/>
        <w:bottom w:val="none" w:sz="0" w:space="0" w:color="auto"/>
        <w:right w:val="none" w:sz="0" w:space="0" w:color="auto"/>
      </w:divBdr>
    </w:div>
    <w:div w:id="1855680711">
      <w:bodyDiv w:val="1"/>
      <w:marLeft w:val="0"/>
      <w:marRight w:val="0"/>
      <w:marTop w:val="0"/>
      <w:marBottom w:val="0"/>
      <w:divBdr>
        <w:top w:val="none" w:sz="0" w:space="0" w:color="auto"/>
        <w:left w:val="none" w:sz="0" w:space="0" w:color="auto"/>
        <w:bottom w:val="none" w:sz="0" w:space="0" w:color="auto"/>
        <w:right w:val="none" w:sz="0" w:space="0" w:color="auto"/>
      </w:divBdr>
    </w:div>
    <w:div w:id="2002855560">
      <w:bodyDiv w:val="1"/>
      <w:marLeft w:val="0"/>
      <w:marRight w:val="0"/>
      <w:marTop w:val="0"/>
      <w:marBottom w:val="0"/>
      <w:divBdr>
        <w:top w:val="none" w:sz="0" w:space="0" w:color="auto"/>
        <w:left w:val="none" w:sz="0" w:space="0" w:color="auto"/>
        <w:bottom w:val="none" w:sz="0" w:space="0" w:color="auto"/>
        <w:right w:val="none" w:sz="0" w:space="0" w:color="auto"/>
      </w:divBdr>
    </w:div>
    <w:div w:id="2057311380">
      <w:bodyDiv w:val="1"/>
      <w:marLeft w:val="0"/>
      <w:marRight w:val="0"/>
      <w:marTop w:val="0"/>
      <w:marBottom w:val="0"/>
      <w:divBdr>
        <w:top w:val="none" w:sz="0" w:space="0" w:color="auto"/>
        <w:left w:val="none" w:sz="0" w:space="0" w:color="auto"/>
        <w:bottom w:val="none" w:sz="0" w:space="0" w:color="auto"/>
        <w:right w:val="none" w:sz="0" w:space="0" w:color="auto"/>
      </w:divBdr>
    </w:div>
    <w:div w:id="206892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sites/default/files/research_report_27_trans_research_review.pdf" TargetMode="External"/><Relationship Id="rId13" Type="http://schemas.openxmlformats.org/officeDocument/2006/relationships/hyperlink" Target="https://www.independent.co.uk/news/uk/crime/police-accused-of-mocking-transgender-woman-during-arrest-8505650.html" TargetMode="External"/><Relationship Id="rId3" Type="http://schemas.openxmlformats.org/officeDocument/2006/relationships/settings" Target="settings.xml"/><Relationship Id="rId7" Type="http://schemas.openxmlformats.org/officeDocument/2006/relationships/hyperlink" Target="https://www.bbc.co.uk/news/uk-scotland-64388669" TargetMode="External"/><Relationship Id="rId12" Type="http://schemas.openxmlformats.org/officeDocument/2006/relationships/hyperlink" Target="https://www.telegraph.co.uk/news/2024/02/24/government-figures-70-per-cent-of-transgender-prisoners-a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crimeandjustice.org.uk/search/node?keys=transgender+people+are+more+likely+to+be+involved+in+the+criminal+justice+system+as+a+result+of+the+criminalisation+of+poverty" TargetMode="External"/><Relationship Id="rId11" Type="http://schemas.openxmlformats.org/officeDocument/2006/relationships/hyperlink" Target="https://www.catch-22.org.uk/resources/the-challenges-of-being-transgender-in-prison/"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s://www.gov.uk/government/publications/the-care-and-management-of-individuals-who-are-transgender" TargetMode="External"/><Relationship Id="rId4" Type="http://schemas.openxmlformats.org/officeDocument/2006/relationships/webSettings" Target="webSettings.xml"/><Relationship Id="rId9" Type="http://schemas.openxmlformats.org/officeDocument/2006/relationships/hyperlink" Target="https://howardleague.org/wp-content/uploads/2021/11/Annual-Report-2021.pdf" TargetMode="External"/><Relationship Id="rId14" Type="http://schemas.openxmlformats.org/officeDocument/2006/relationships/hyperlink" Target="https://www.crimeandjustice.org.uk/men-have-no-place-women%E2%80%99s-pris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126</TotalTime>
  <Pages>15</Pages>
  <Words>3980</Words>
  <Characters>23761</Characters>
  <Application>Microsoft Office Word</Application>
  <DocSecurity>0</DocSecurity>
  <Lines>484</Lines>
  <Paragraphs>82</Paragraphs>
  <ScaleCrop>false</ScaleCrop>
  <Company/>
  <LinksUpToDate>false</LinksUpToDate>
  <CharactersWithSpaces>27659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Sadie Mason (2204171)</dc:creator>
  <cp:keywords/>
  <dc:description/>
  <cp:lastModifiedBy>Sadie Mason (2204171)</cp:lastModifiedBy>
  <cp:revision>12</cp:revision>
  <dcterms:created xsi:type="dcterms:W3CDTF">2025-02-07T21:01:00Z</dcterms:created>
  <dcterms:modified xsi:type="dcterms:W3CDTF">2025-02-27T13:43:00Z</dcterms:modified>
</cp:coreProperties>
</file>