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340D5" w:rsidRDefault="004340D5" w:rsidP="004340D5">
      <w:pPr>
        <w:pStyle w:val="NormalWeb"/>
        <w:spacing w:before="0" w:beforeAutospacing="0"/>
        <w:rPr>
          <w:rFonts w:ascii="Segoe UI" w:hAnsi="Segoe UI" w:cs="Segoe UI"/>
          <w:color w:val="1D2125"/>
          <w:sz w:val="23"/>
          <w:szCs w:val="23"/>
        </w:rPr>
      </w:pPr>
      <w:r>
        <w:rPr>
          <w:rStyle w:val="Strong"/>
          <w:rFonts w:ascii="Segoe UI" w:eastAsiaTheme="majorEastAsia" w:hAnsi="Segoe UI" w:cs="Segoe UI"/>
          <w:color w:val="1D2125"/>
          <w:sz w:val="23"/>
          <w:szCs w:val="23"/>
        </w:rPr>
        <w:t>Basic Acknowledgement format of AI tool use:</w:t>
      </w:r>
    </w:p>
    <w:p w:rsidR="004340D5" w:rsidRDefault="004340D5" w:rsidP="004340D5">
      <w:pPr>
        <w:pStyle w:val="NormalWeb"/>
        <w:spacing w:before="0" w:beforeAutospacing="0"/>
        <w:rPr>
          <w:rFonts w:ascii="Segoe UI" w:hAnsi="Segoe UI" w:cs="Segoe UI"/>
          <w:color w:val="1D2125"/>
          <w:sz w:val="23"/>
          <w:szCs w:val="23"/>
        </w:rPr>
      </w:pPr>
      <w:r>
        <w:rPr>
          <w:rFonts w:ascii="Segoe UI" w:hAnsi="Segoe UI" w:cs="Segoe UI"/>
          <w:color w:val="1D2125"/>
          <w:sz w:val="23"/>
          <w:szCs w:val="23"/>
        </w:rPr>
        <w:br/>
        <w:t>I acknowledge the use of Grammarly [</w:t>
      </w:r>
      <w:r w:rsidRPr="006F217E">
        <w:rPr>
          <w:rFonts w:ascii="Segoe UI" w:hAnsi="Segoe UI" w:cs="Segoe UI"/>
          <w:color w:val="1D2125"/>
          <w:sz w:val="23"/>
          <w:szCs w:val="23"/>
        </w:rPr>
        <w:t>https://www.grammarly.com/citations</w:t>
      </w:r>
      <w:r>
        <w:rPr>
          <w:rFonts w:ascii="Segoe UI" w:hAnsi="Segoe UI" w:cs="Segoe UI"/>
          <w:color w:val="1D2125"/>
          <w:sz w:val="23"/>
          <w:szCs w:val="23"/>
        </w:rPr>
        <w:t>] on [0</w:t>
      </w:r>
      <w:r>
        <w:rPr>
          <w:rFonts w:ascii="Segoe UI" w:hAnsi="Segoe UI" w:cs="Segoe UI"/>
          <w:color w:val="1D2125"/>
          <w:sz w:val="23"/>
          <w:szCs w:val="23"/>
        </w:rPr>
        <w:t>5</w:t>
      </w:r>
      <w:r>
        <w:rPr>
          <w:rFonts w:ascii="Segoe UI" w:hAnsi="Segoe UI" w:cs="Segoe UI"/>
          <w:color w:val="1D2125"/>
          <w:sz w:val="23"/>
          <w:szCs w:val="23"/>
        </w:rPr>
        <w:t>/0</w:t>
      </w:r>
      <w:r>
        <w:rPr>
          <w:rFonts w:ascii="Segoe UI" w:hAnsi="Segoe UI" w:cs="Segoe UI"/>
          <w:color w:val="1D2125"/>
          <w:sz w:val="23"/>
          <w:szCs w:val="23"/>
        </w:rPr>
        <w:t>6</w:t>
      </w:r>
      <w:r>
        <w:rPr>
          <w:rFonts w:ascii="Segoe UI" w:hAnsi="Segoe UI" w:cs="Segoe UI"/>
          <w:color w:val="1D2125"/>
          <w:sz w:val="23"/>
          <w:szCs w:val="23"/>
        </w:rPr>
        <w:t>/2026] to [Purpose my work]. </w:t>
      </w:r>
    </w:p>
    <w:p w:rsidR="004340D5" w:rsidRDefault="004340D5" w:rsidP="004340D5">
      <w:pPr>
        <w:pStyle w:val="NormalWeb"/>
        <w:spacing w:before="0" w:beforeAutospacing="0"/>
        <w:rPr>
          <w:rFonts w:ascii="Segoe UI" w:hAnsi="Segoe UI" w:cs="Segoe UI"/>
          <w:color w:val="1D2125"/>
          <w:sz w:val="23"/>
          <w:szCs w:val="23"/>
        </w:rPr>
      </w:pPr>
      <w:r>
        <w:rPr>
          <w:rFonts w:ascii="Segoe UI" w:hAnsi="Segoe UI" w:cs="Segoe UI"/>
          <w:color w:val="1D2125"/>
          <w:sz w:val="23"/>
          <w:szCs w:val="23"/>
        </w:rPr>
        <w:t>I used the prompt(s): </w:t>
      </w:r>
    </w:p>
    <w:p w:rsidR="004340D5" w:rsidRDefault="004340D5" w:rsidP="004340D5">
      <w:pPr>
        <w:pStyle w:val="NormalWeb"/>
        <w:spacing w:before="0" w:beforeAutospacing="0"/>
        <w:rPr>
          <w:rFonts w:ascii="Segoe UI" w:hAnsi="Segoe UI" w:cs="Segoe UI"/>
          <w:color w:val="1D2125"/>
          <w:sz w:val="23"/>
          <w:szCs w:val="23"/>
        </w:rPr>
      </w:pPr>
      <w:r>
        <w:rPr>
          <w:rFonts w:ascii="Segoe UI" w:hAnsi="Segoe UI" w:cs="Segoe UI"/>
          <w:color w:val="1D2125"/>
          <w:sz w:val="23"/>
          <w:szCs w:val="23"/>
        </w:rPr>
        <w:br/>
        <w:t> 1. [Improve my text] </w:t>
      </w:r>
      <w:r>
        <w:rPr>
          <w:rFonts w:ascii="Segoe UI" w:hAnsi="Segoe UI" w:cs="Segoe UI"/>
          <w:color w:val="1D2125"/>
          <w:sz w:val="23"/>
          <w:szCs w:val="23"/>
        </w:rPr>
        <w:br/>
        <w:t>2. [Academic] </w:t>
      </w:r>
      <w:r>
        <w:rPr>
          <w:rFonts w:ascii="Segoe UI" w:hAnsi="Segoe UI" w:cs="Segoe UI"/>
          <w:color w:val="1D2125"/>
          <w:sz w:val="23"/>
          <w:szCs w:val="23"/>
        </w:rPr>
        <w:br/>
        <w:t>3. [Clarity, Correctness and Engagement of text]</w:t>
      </w:r>
    </w:p>
    <w:p w:rsidR="004340D5" w:rsidRDefault="004340D5" w:rsidP="004340D5">
      <w:pPr>
        <w:pStyle w:val="NormalWeb"/>
        <w:spacing w:before="0" w:beforeAutospacing="0"/>
        <w:rPr>
          <w:rFonts w:ascii="Segoe UI" w:hAnsi="Segoe UI" w:cs="Segoe UI"/>
          <w:color w:val="1D2125"/>
          <w:sz w:val="23"/>
          <w:szCs w:val="23"/>
        </w:rPr>
      </w:pPr>
      <w:r>
        <w:rPr>
          <w:rFonts w:ascii="Segoe UI" w:hAnsi="Segoe UI" w:cs="Segoe UI"/>
          <w:color w:val="1D2125"/>
          <w:sz w:val="23"/>
          <w:szCs w:val="23"/>
        </w:rPr>
        <w:br/>
        <w:t>I confirm that I have not presented any AI generated text as my own work</w:t>
      </w:r>
    </w:p>
    <w:p w:rsidR="004340D5" w:rsidRDefault="004340D5" w:rsidP="004340D5">
      <w:pPr>
        <w:pStyle w:val="NormalWeb"/>
        <w:spacing w:before="0" w:beforeAutospacing="0"/>
        <w:rPr>
          <w:rFonts w:ascii="Segoe UI" w:hAnsi="Segoe UI" w:cs="Segoe UI"/>
          <w:color w:val="1D2125"/>
          <w:sz w:val="23"/>
          <w:szCs w:val="23"/>
        </w:rPr>
      </w:pPr>
      <w:r>
        <w:rPr>
          <w:rFonts w:ascii="Segoe UI" w:hAnsi="Segoe UI" w:cs="Segoe UI"/>
          <w:color w:val="1D2125"/>
          <w:sz w:val="23"/>
          <w:szCs w:val="23"/>
        </w:rPr>
        <w:br/>
        <w:t>I confirm I have copies of my drafts, notes, and other resources I used before, and after the use of AI tools which I may be asked to provide in evidence</w:t>
      </w: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after="0" w:afterAutospacing="0"/>
        <w:rPr>
          <w:color w:val="0E101A"/>
          <w:u w:val="single"/>
        </w:rPr>
      </w:pPr>
    </w:p>
    <w:p w:rsidR="004340D5" w:rsidRDefault="004340D5" w:rsidP="004340D5">
      <w:pPr>
        <w:pStyle w:val="NormalWeb"/>
        <w:spacing w:before="0" w:beforeAutospacing="0"/>
        <w:rPr>
          <w:rFonts w:ascii="Segoe UI" w:hAnsi="Segoe UI" w:cs="Segoe UI"/>
          <w:color w:val="1D2125"/>
          <w:sz w:val="23"/>
          <w:szCs w:val="23"/>
        </w:rPr>
      </w:pPr>
      <w:r>
        <w:rPr>
          <w:rStyle w:val="Strong"/>
          <w:rFonts w:ascii="Segoe UI" w:eastAsiaTheme="majorEastAsia" w:hAnsi="Segoe UI" w:cs="Segoe UI"/>
          <w:color w:val="1D2125"/>
          <w:sz w:val="23"/>
          <w:szCs w:val="23"/>
        </w:rPr>
        <w:lastRenderedPageBreak/>
        <w:t>Basic Acknowledgement format of AI tool use:</w:t>
      </w:r>
    </w:p>
    <w:p w:rsidR="004340D5" w:rsidRDefault="004340D5" w:rsidP="004340D5">
      <w:pPr>
        <w:pStyle w:val="NormalWeb"/>
        <w:spacing w:before="0" w:beforeAutospacing="0"/>
        <w:rPr>
          <w:rFonts w:ascii="Segoe UI" w:hAnsi="Segoe UI" w:cs="Segoe UI"/>
          <w:color w:val="1D2125"/>
          <w:sz w:val="23"/>
          <w:szCs w:val="23"/>
        </w:rPr>
      </w:pPr>
      <w:r>
        <w:rPr>
          <w:rFonts w:ascii="Segoe UI" w:hAnsi="Segoe UI" w:cs="Segoe UI"/>
          <w:color w:val="1D2125"/>
          <w:sz w:val="23"/>
          <w:szCs w:val="23"/>
        </w:rPr>
        <w:br/>
        <w:t>I acknowledge the use of ChatGPT [</w:t>
      </w:r>
      <w:r w:rsidRPr="006F217E">
        <w:rPr>
          <w:rFonts w:ascii="Segoe UI" w:hAnsi="Segoe UI" w:cs="Segoe UI"/>
          <w:color w:val="1D2125"/>
          <w:sz w:val="23"/>
          <w:szCs w:val="23"/>
        </w:rPr>
        <w:t>https://chatgpt.com</w:t>
      </w:r>
      <w:r>
        <w:rPr>
          <w:rFonts w:ascii="Segoe UI" w:hAnsi="Segoe UI" w:cs="Segoe UI"/>
          <w:color w:val="1D2125"/>
          <w:sz w:val="23"/>
          <w:szCs w:val="23"/>
        </w:rPr>
        <w:t>]. </w:t>
      </w:r>
    </w:p>
    <w:p w:rsidR="004340D5" w:rsidRDefault="004340D5" w:rsidP="004340D5">
      <w:pPr>
        <w:pStyle w:val="NormalWeb"/>
        <w:spacing w:before="0" w:beforeAutospacing="0"/>
        <w:rPr>
          <w:rFonts w:ascii="Segoe UI" w:hAnsi="Segoe UI" w:cs="Segoe UI"/>
          <w:color w:val="1D2125"/>
          <w:sz w:val="23"/>
          <w:szCs w:val="23"/>
        </w:rPr>
      </w:pPr>
      <w:r>
        <w:rPr>
          <w:rFonts w:ascii="Segoe UI" w:hAnsi="Segoe UI" w:cs="Segoe UI"/>
          <w:color w:val="1D2125"/>
          <w:sz w:val="23"/>
          <w:szCs w:val="23"/>
        </w:rPr>
        <w:t>I used the prompt(s): </w:t>
      </w:r>
    </w:p>
    <w:p w:rsidR="004340D5" w:rsidRDefault="004340D5" w:rsidP="004340D5">
      <w:pPr>
        <w:pStyle w:val="NormalWeb"/>
        <w:spacing w:before="0" w:beforeAutospacing="0"/>
        <w:rPr>
          <w:rFonts w:ascii="Segoe UI" w:hAnsi="Segoe UI" w:cs="Segoe UI"/>
          <w:color w:val="1D2125"/>
          <w:sz w:val="23"/>
          <w:szCs w:val="23"/>
        </w:rPr>
      </w:pPr>
      <w:r>
        <w:rPr>
          <w:rFonts w:ascii="Segoe UI" w:hAnsi="Segoe UI" w:cs="Segoe UI"/>
          <w:color w:val="1D2125"/>
          <w:sz w:val="23"/>
          <w:szCs w:val="23"/>
        </w:rPr>
        <w:br/>
        <w:t> 1. [Help me</w:t>
      </w:r>
      <w:r>
        <w:rPr>
          <w:rFonts w:ascii="Segoe UI" w:hAnsi="Segoe UI" w:cs="Segoe UI"/>
          <w:color w:val="1D2125"/>
          <w:sz w:val="23"/>
          <w:szCs w:val="23"/>
        </w:rPr>
        <w:t xml:space="preserve"> understand the timeline of the curriculum for Wales</w:t>
      </w:r>
      <w:r>
        <w:rPr>
          <w:rFonts w:ascii="Segoe UI" w:hAnsi="Segoe UI" w:cs="Segoe UI"/>
          <w:color w:val="1D2125"/>
          <w:sz w:val="23"/>
          <w:szCs w:val="23"/>
        </w:rPr>
        <w:t>] </w:t>
      </w:r>
      <w:r>
        <w:rPr>
          <w:rFonts w:ascii="Segoe UI" w:hAnsi="Segoe UI" w:cs="Segoe UI"/>
          <w:color w:val="1D2125"/>
          <w:sz w:val="23"/>
          <w:szCs w:val="23"/>
        </w:rPr>
        <w:br/>
        <w:t>2. [</w:t>
      </w:r>
      <w:r>
        <w:rPr>
          <w:rFonts w:ascii="Segoe UI" w:hAnsi="Segoe UI" w:cs="Segoe UI"/>
          <w:color w:val="1D2125"/>
          <w:sz w:val="23"/>
          <w:szCs w:val="23"/>
        </w:rPr>
        <w:t>Questions regarding the curriculum for Wales</w:t>
      </w:r>
      <w:r>
        <w:rPr>
          <w:rFonts w:ascii="Segoe UI" w:hAnsi="Segoe UI" w:cs="Segoe UI"/>
          <w:color w:val="1D2125"/>
          <w:sz w:val="23"/>
          <w:szCs w:val="23"/>
        </w:rPr>
        <w:br/>
        <w:t>3. [</w:t>
      </w:r>
      <w:r>
        <w:rPr>
          <w:rFonts w:ascii="Segoe UI" w:hAnsi="Segoe UI" w:cs="Segoe UI"/>
          <w:color w:val="1D2125"/>
          <w:sz w:val="23"/>
          <w:szCs w:val="23"/>
        </w:rPr>
        <w:t>Timeline for foundation curriculum</w:t>
      </w:r>
      <w:r>
        <w:rPr>
          <w:rFonts w:ascii="Segoe UI" w:hAnsi="Segoe UI" w:cs="Segoe UI"/>
          <w:color w:val="1D2125"/>
          <w:sz w:val="23"/>
          <w:szCs w:val="23"/>
        </w:rPr>
        <w:t>]</w:t>
      </w:r>
    </w:p>
    <w:p w:rsidR="004340D5" w:rsidRDefault="004340D5" w:rsidP="004340D5">
      <w:pPr>
        <w:pStyle w:val="NormalWeb"/>
        <w:spacing w:before="0" w:beforeAutospacing="0"/>
        <w:rPr>
          <w:rFonts w:ascii="Segoe UI" w:hAnsi="Segoe UI" w:cs="Segoe UI"/>
          <w:color w:val="1D2125"/>
          <w:sz w:val="23"/>
          <w:szCs w:val="23"/>
        </w:rPr>
      </w:pPr>
      <w:r>
        <w:rPr>
          <w:rFonts w:ascii="Segoe UI" w:hAnsi="Segoe UI" w:cs="Segoe UI"/>
          <w:color w:val="1D2125"/>
          <w:sz w:val="23"/>
          <w:szCs w:val="23"/>
        </w:rPr>
        <w:br/>
        <w:t>I confirm that I have not presented any AI generated text as my own work</w:t>
      </w:r>
    </w:p>
    <w:p w:rsidR="004340D5" w:rsidRDefault="004340D5" w:rsidP="004340D5">
      <w:pPr>
        <w:pStyle w:val="NormalWeb"/>
        <w:spacing w:before="0" w:beforeAutospacing="0"/>
        <w:rPr>
          <w:rFonts w:ascii="Segoe UI" w:hAnsi="Segoe UI" w:cs="Segoe UI"/>
          <w:color w:val="1D2125"/>
          <w:sz w:val="23"/>
          <w:szCs w:val="23"/>
        </w:rPr>
      </w:pPr>
      <w:r>
        <w:rPr>
          <w:rFonts w:ascii="Segoe UI" w:hAnsi="Segoe UI" w:cs="Segoe UI"/>
          <w:color w:val="1D2125"/>
          <w:sz w:val="23"/>
          <w:szCs w:val="23"/>
        </w:rPr>
        <w:br/>
        <w:t>I confirm I have copies of my drafts, notes, and other resources I used before, and after the use of AI tools which I may be asked to provide in evidence</w:t>
      </w:r>
    </w:p>
    <w:p w:rsidR="004340D5" w:rsidRDefault="004340D5" w:rsidP="004340D5">
      <w:pPr>
        <w:pStyle w:val="NormalWeb"/>
        <w:spacing w:before="0" w:beforeAutospacing="0" w:after="0" w:afterAutospacing="0"/>
        <w:rPr>
          <w:color w:val="0E101A"/>
          <w:u w:val="single"/>
        </w:rPr>
      </w:pPr>
    </w:p>
    <w:p w:rsidR="004340D5" w:rsidRDefault="004340D5" w:rsidP="00C06946">
      <w:pPr>
        <w:pStyle w:val="NormalWeb"/>
        <w:spacing w:line="360" w:lineRule="auto"/>
        <w:rPr>
          <w:color w:val="000000"/>
        </w:rPr>
      </w:pPr>
    </w:p>
    <w:p w:rsidR="004340D5" w:rsidRDefault="004340D5" w:rsidP="00C06946">
      <w:pPr>
        <w:pStyle w:val="NormalWeb"/>
        <w:spacing w:line="360" w:lineRule="auto"/>
        <w:rPr>
          <w:color w:val="000000"/>
        </w:rPr>
      </w:pPr>
    </w:p>
    <w:p w:rsidR="004340D5" w:rsidRDefault="004340D5" w:rsidP="00C06946">
      <w:pPr>
        <w:pStyle w:val="NormalWeb"/>
        <w:spacing w:line="360" w:lineRule="auto"/>
        <w:rPr>
          <w:color w:val="000000"/>
        </w:rPr>
      </w:pPr>
    </w:p>
    <w:p w:rsidR="004340D5" w:rsidRDefault="004340D5" w:rsidP="00C06946">
      <w:pPr>
        <w:pStyle w:val="NormalWeb"/>
        <w:spacing w:line="360" w:lineRule="auto"/>
        <w:rPr>
          <w:color w:val="000000"/>
        </w:rPr>
      </w:pPr>
    </w:p>
    <w:p w:rsidR="004340D5" w:rsidRDefault="004340D5" w:rsidP="00C06946">
      <w:pPr>
        <w:pStyle w:val="NormalWeb"/>
        <w:spacing w:line="360" w:lineRule="auto"/>
        <w:rPr>
          <w:color w:val="000000"/>
        </w:rPr>
      </w:pPr>
    </w:p>
    <w:p w:rsidR="004340D5" w:rsidRDefault="004340D5" w:rsidP="00C06946">
      <w:pPr>
        <w:pStyle w:val="NormalWeb"/>
        <w:spacing w:line="360" w:lineRule="auto"/>
        <w:rPr>
          <w:color w:val="000000"/>
        </w:rPr>
      </w:pPr>
    </w:p>
    <w:p w:rsidR="004340D5" w:rsidRDefault="004340D5" w:rsidP="00C06946">
      <w:pPr>
        <w:pStyle w:val="NormalWeb"/>
        <w:spacing w:line="360" w:lineRule="auto"/>
        <w:rPr>
          <w:color w:val="000000"/>
        </w:rPr>
      </w:pPr>
    </w:p>
    <w:p w:rsidR="004340D5" w:rsidRDefault="004340D5" w:rsidP="00C06946">
      <w:pPr>
        <w:pStyle w:val="NormalWeb"/>
        <w:spacing w:line="360" w:lineRule="auto"/>
        <w:rPr>
          <w:color w:val="000000"/>
        </w:rPr>
      </w:pPr>
    </w:p>
    <w:p w:rsidR="004340D5" w:rsidRDefault="004340D5" w:rsidP="00C06946">
      <w:pPr>
        <w:pStyle w:val="NormalWeb"/>
        <w:spacing w:line="360" w:lineRule="auto"/>
        <w:rPr>
          <w:color w:val="000000"/>
        </w:rPr>
      </w:pPr>
    </w:p>
    <w:p w:rsidR="004340D5" w:rsidRDefault="004340D5" w:rsidP="00C06946">
      <w:pPr>
        <w:pStyle w:val="NormalWeb"/>
        <w:spacing w:line="360" w:lineRule="auto"/>
        <w:rPr>
          <w:color w:val="000000"/>
        </w:rPr>
      </w:pPr>
    </w:p>
    <w:p w:rsidR="004340D5" w:rsidRDefault="004340D5"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lastRenderedPageBreak/>
        <w:t>Section One </w:t>
      </w:r>
    </w:p>
    <w:p w:rsidR="00B62217" w:rsidRPr="00C06946" w:rsidRDefault="00B62217" w:rsidP="00C06946">
      <w:pPr>
        <w:pStyle w:val="NormalWeb"/>
        <w:spacing w:line="360" w:lineRule="auto"/>
        <w:rPr>
          <w:color w:val="000000"/>
        </w:rPr>
      </w:pPr>
      <w:r w:rsidRPr="00C06946">
        <w:rPr>
          <w:color w:val="000000"/>
        </w:rPr>
        <w:t>Play-based pedagogy has been integral to early years education in Wales for over a decade, serving as the cornerstone for both the previous cornerstone Phase and the current Curriculum for Wales. The policy stances of the Welsh Government serve as a fundamental right and a crucial mechanism for fostering holistic development, well-being, and advancement, underscoring that children learn most effectively through rich, relevant, and developmentally suitable activities (Welsh Government, 2021). This aligns with well-established developmental theories, such as child-centred education and sociocultural perspectives, which regard learning as socially mediated and profoundly shaped by circumstances (Wood, 2013). Despite the clarity of the policy's purpose, the implementation of a high-quality play-based curriculum across Wales has been complex, inconsistent, and hindered by structural, cultural, and practical obstacles. National evaluations, curriculum guidance, and practitioner research reveal ongoing discrepancies between policy objectives and practical implementation, indicating that although the vision for play-based learning is ambitious, its execution differs markedly across various settings (Welsh Government, 2015; Estyn, 2023).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 xml:space="preserve">The Welsh Government's strategy for early years education prioritises experiential, developmentally appropriate learning, with the Curriculum for Wales underscoring play as a fundamental pedagogical approach that supports the four objectives and facilitates holistic child development (Welsh Government, 2020). This vision is significantly shaped by developmentally appropriate practices and research indicating that young children learn most successfully through active involvement with their surroundings (Whitebread, 2019). Nonetheless, national evaluative data indicate that actualising this idea into uniform practice has proven challenging. The Evaluating the Foundation Phase Final Report identified "significant variation in the quality and consistency of implementation across Wales" (Welsh Government, 2015, p. 7). Certain settings exhibited robust, principled play-based practices, whilst others struggled to transition from more formal, adult-led methodologies. This mismatch signifies underlying systemic problems, encompassing disparities in leadership, practitioner confidence, training opportunities, and resource availability. The transition to the </w:t>
      </w:r>
      <w:r w:rsidRPr="00C06946">
        <w:rPr>
          <w:color w:val="000000"/>
        </w:rPr>
        <w:lastRenderedPageBreak/>
        <w:t>Curriculum for Wales provides enhanced freedom but simultaneously imposes additional responsibility on institutions to develop their own play-based provisions, thereby exacerbating disparities in support (Estyn, 2023).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 xml:space="preserve">A primary obstacle to implementing play-based learning is the extent of practitioners' understanding of play pedagogy. Effective play-based practice necessitates a profound understanding of child development, proficiency in observing and enhancing learning, the capacity to balance child-led and adult-led experiences, and assurance in planning through play. Research conducted by Siraj Blatchford et al. (2015) emphasises that exemplary early </w:t>
      </w:r>
      <w:proofErr w:type="gramStart"/>
      <w:r w:rsidRPr="00C06946">
        <w:rPr>
          <w:color w:val="000000"/>
        </w:rPr>
        <w:t>years</w:t>
      </w:r>
      <w:proofErr w:type="gramEnd"/>
      <w:r w:rsidRPr="00C06946">
        <w:rPr>
          <w:color w:val="000000"/>
        </w:rPr>
        <w:t xml:space="preserve"> practice relies on persistent shared thinking, sensitive relationships, and intentionality from practitioners. The Foundation Phase evaluation revealed that numerous practitioners lacked confidence in utilising play as a means of progression, particularly in literacy and numeracy. Additionally, some environments relied excessively on free play with inadequate adult engagement, while others resorted to formal tasks due to uncertainty about demonstrating learning through play (Welsh Government, 2015). The Curriculum for Wales guidance underscores the necessity for practitioners to "comprehend how children learn through play and how to scaffold this effectively (Welsh Government, 2021, p. 12). Nonetheless, professional development opportunities vary significantly among local authorities, and numerous early years personnel, especially in non-maintained settings, have restricted access to high-quality training (Estyn, 2022). This engenders systemic inequity: the curriculum requires advanced pedagogical decision-making, yet the workforce often lacks the support needed to cultivate these competencies.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 xml:space="preserve">High-quality play-based learning relies on enriched, thoughtfully planned environments, both interior and exterior. The Welsh Government asserts that "the learning environment is central to children's authentic experiences" (Welsh Government, 2021, p. 18). This illustrates the impact of the environment as the third teacher, underscoring the significance of space, </w:t>
      </w:r>
      <w:r w:rsidRPr="00C06946">
        <w:rPr>
          <w:color w:val="000000"/>
        </w:rPr>
        <w:lastRenderedPageBreak/>
        <w:t>materials, and atmosphere in shaping education. Nonetheless, conditions throughout Wales differ markedly in access to outdoor areas, the quality of indoor facilities, the availability of open-ended materials, staff-to-child ratios, and funding. The Foundation Phase review revealed significant disparities in the quality of learning environments and observed that resource constraints disproportionately impacted settings in deprived communities (Welsh Government, 2015, p. 9). Unmaintained settings may face additional obstacles due to limited funds and reliance on fundraising. Outdoor learning is a mandated requirement in the Curriculum for Wales, yet numerous settings lack safe, accessible outdoor spaces or the necessary staffing to oversee outdoor play (Estyn, 2023) adequately. This engenders disparities in children's experiences and runs counter to the curriculum's focus on experiential learning.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 xml:space="preserve">Assessment demands pose a substantial obstacle to implementing play-based teaching in Wales. The review of the Foundation Phase revealed that assessment mandates frequently compelled practitioners to adopt more formal, adult-directed activities to produce "evidence" of learning (Welsh Government, 2015). Despite the Curriculum for </w:t>
      </w:r>
      <w:proofErr w:type="spellStart"/>
      <w:r w:rsidRPr="00C06946">
        <w:rPr>
          <w:color w:val="000000"/>
        </w:rPr>
        <w:t>Wales'</w:t>
      </w:r>
      <w:proofErr w:type="spellEnd"/>
      <w:r w:rsidRPr="00C06946">
        <w:rPr>
          <w:color w:val="000000"/>
        </w:rPr>
        <w:t xml:space="preserve"> objective of alleviating this tension by eliminating levels and prioritising advancement through observation, the Assessment Arrangements for Wales nevertheless require practitioners to demonstrate progress across the Areas of Learning and Experience (Welsh Government, 2022). This may result in excessive documentation, pressure to provide written proof, diminished time for meaningful conversations, and worry about demonstrating progress. Estyn (2023) indicates that certain settings persist in utilising worksheets or planned assignments due to uncertainty about demonstrating learning through play alone. This contradicts the child-centred ethos of the curriculum and generates a discrepancy between policy and practice. Roberts Holmes (2014) similarly found that accountability constraints might lead to the "</w:t>
      </w:r>
      <w:proofErr w:type="spellStart"/>
      <w:r w:rsidRPr="00C06946">
        <w:rPr>
          <w:color w:val="000000"/>
        </w:rPr>
        <w:t>schoolification</w:t>
      </w:r>
      <w:proofErr w:type="spellEnd"/>
      <w:r w:rsidRPr="00C06946">
        <w:rPr>
          <w:color w:val="000000"/>
        </w:rPr>
        <w:t>" of early years practice, in which formal teaching methods supplant play-based alternatives.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lastRenderedPageBreak/>
        <w:t>Play-based learning aims to facilitate inclusion by allowing children to engage with learning in adaptable, developmentally suitable ways. The Welsh Government guidance underscores the need to adapt play to meet the needs of all learners, including those with Additional Learning Needs (Welsh Government, 2021). Practitioners encounter difficulties in distinguishing play-based experiences, assisting children with sensory or communication requirements, reconciling child-led play with structured interventions, and regulating behaviour in open-ended situations. The Additional Learning Needs Code mandates early identification and tailored support; yet, accomplishing this in bustling play-based settings can be challenging without adequate staffing or specialised training (Welsh Government, 2021b). Research indicates that high-quality play can assist children with Additional Learning Needs (ALN), provided that practitioners possess the requisite knowledge and skills to scaffold learning successfully (Carpenter et al., 2015). In environments characterised by restricted training or elevated turnover, this is a considerable obstacle. Research, including Papatheodorou (2010), emphasises that inclusive play requires practitioners to understand children's emotional landscapes and provide empathetic, responsive support.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 xml:space="preserve">Cultural and linguistic diversity introduces an additional layer of complication. Wales is a bilingual nation, and the Curriculum for Wales underscores the need to foster Welsh language proficiency in children as integral to their identity and sense of belonging. Children from multilingual or minority ethnic backgrounds may possess distinct linguistic repertoires, cultural experiences, and communication styles, which might affect their engagement in play and the interpretation of their learning. </w:t>
      </w:r>
      <w:proofErr w:type="spellStart"/>
      <w:r w:rsidRPr="00C06946">
        <w:rPr>
          <w:color w:val="000000"/>
        </w:rPr>
        <w:t>Alsubaie</w:t>
      </w:r>
      <w:proofErr w:type="spellEnd"/>
      <w:r w:rsidRPr="00C06946">
        <w:rPr>
          <w:color w:val="000000"/>
        </w:rPr>
        <w:t xml:space="preserve"> (2015) contends that cultural bias in assessment may lead to misinterpretations or the devaluation of children's capabilities, especially when practitioners lack familiarity with the child's cultural context. In Wales, this is especially pertinent in multicultural urban regions where children may utilise several languages at home. Practitioners must be attuned to cultural differences and ensure that evaluation methods acknowledge and appreciate the full range of children's experiences. This necessitates training, reflective practice, and a dedication to anti-bias methodologies, which may not be uniformly integrated across different environments.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Leadership is crucial in determining the quality of play-based practice. The study of the Foundation Phase found that robust leadership was associated with more consistent and principled implementation (Welsh Government, 2015). Leaders who comprehended play pedagogy were more adept at supporting workers, allocating resources, designing workplaces, prioritising professional development, and resisting calls for formalisation. Nonetheless, leadership proficiency in early childhood education varies significantly across Wales. Certain headteachers come from Key Stage 2 backgrounds and may have little familiarity with play-based methodologies, potentially affecting the overall school culture (Estyn, 2022). Systemic pressures also influence practice. Estyn inspections, parental expectations, and the transition to Year 1 can all compel educational facilities to adopt more formal instruction, especially in literacy and numeracy. This establishes a structural contradiction between the curriculum's child-centred ethos and broader accountability frameworks. Brooker's (2011) research also underscores that parental aspirations for early academic success may collide with play-based pedagogies.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Implementing a high-quality play-based curriculum in Wales is a multifaceted undertaking influenced by pedagogical, environmental, institutional, and cultural issues. Although Welsh Government policy robustly endorses play as a fundamental educational strategy, national research indicates ongoing disparities in practice, influenced by variations in practitioners' confidence, access to resources, assessment demands, and leadership. Confronting these problems necessitates continuous investment in professional development, enhanced support for non-maintained settings, clearer evaluation directives, and a comprehensive commitment to child-centred practices. In the absence of this, the aspiration of the Curriculum for Wales to deliver comprehensive, significant, play-based learning for all children is at risk of being inconsistently achieved. </w:t>
      </w:r>
    </w:p>
    <w:p w:rsidR="00B62217" w:rsidRPr="00C06946" w:rsidRDefault="00B62217" w:rsidP="00C06946">
      <w:pPr>
        <w:pStyle w:val="NormalWeb"/>
        <w:spacing w:line="360" w:lineRule="auto"/>
        <w:rPr>
          <w:color w:val="000000"/>
        </w:rPr>
      </w:pPr>
      <w:r w:rsidRPr="00C06946">
        <w:rPr>
          <w:color w:val="000000"/>
        </w:rPr>
        <w:t>Section Two- </w:t>
      </w:r>
    </w:p>
    <w:p w:rsidR="00B62217" w:rsidRPr="00C06946" w:rsidRDefault="00B62217" w:rsidP="00C06946">
      <w:pPr>
        <w:pStyle w:val="NormalWeb"/>
        <w:spacing w:line="360" w:lineRule="auto"/>
        <w:rPr>
          <w:color w:val="000000"/>
        </w:rPr>
      </w:pPr>
      <w:r w:rsidRPr="00C06946">
        <w:rPr>
          <w:color w:val="000000"/>
        </w:rPr>
        <w:lastRenderedPageBreak/>
        <w:t xml:space="preserve">The principle of the unique child is fundamentally integrated into early years practice in Wales. It is a central tenet of the Curriculum for Wales, which emphasises that each learner progresses along a distinct continuum shaped by their experiences, relationships, culture, and environment (Welsh Government, 2020). This viewpoint is consistent with well-established developmental theories, such as Bronfenbrenner's ecological systems theory, which emphasises the interrelated impacts on a child's growth, and Vygotsky's sociocultural theory, which frames learning as a socially mediated process. The Welsh Government guidance emphasises that children's development cannot be assessed through rigid stages or standardised benchmarks; rather, it should be acknowledged through meticulous observation, adaptive interactions, and an appreciation of each child's distinct developmental trajectory (Welsh Government, 2021). This methodology signifies a significant shift from universalist development models to a more relational, contextual, and holistic understanding of learning, aligning with contemporary research in early childhood education (Brooker, 2011; Pascal and Bertram, 2012). Although the concept of the individual </w:t>
      </w:r>
      <w:r w:rsidR="00377FDD">
        <w:rPr>
          <w:color w:val="000000"/>
        </w:rPr>
        <w:t>child</w:t>
      </w:r>
      <w:r w:rsidRPr="00C06946">
        <w:rPr>
          <w:color w:val="000000"/>
        </w:rPr>
        <w:t xml:space="preserve"> is widely acknowledged, its practical use within assessment frameworks in Wales presents several obstacles that warrant careful examination. These problems pertain to practitioner judgement, consistency, inclusivity, cultural diversity, and the conflict between individualisation and accountability, all of which influence the understanding of the unique child in practice.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 xml:space="preserve">The Curriculum for Wales conceptualises progression as a continuum rather than a sequence of age-related standards, highlighting that children develop at varying rates and in diverse ways. The assessment arrangements indicate that "the purpose of assessment is to facilitate progression for every learner along the continuum of learning" (Welsh Government, 2022, p. 4). This indicates a purposeful transition from the former system of levels and outcomes, which frequently fostered comparisons among children and imposed pressure for uniformity. The new method emphasises formative evaluation, practitioner judgement, and narrative accounts of learning. This aligns with the notion of the unique child by acknowledging that learning is non-linear, shaped by multiple factors, and best understood through comprehensive, contextualised knowledge. Research substantiates this methodology, indicating that early infant development is highly variable and influenced by individual characteristics, familial circumstances, and cultural experiences (Roberts, 2010; Nutbrown, </w:t>
      </w:r>
      <w:r w:rsidRPr="00C06946">
        <w:rPr>
          <w:color w:val="000000"/>
        </w:rPr>
        <w:lastRenderedPageBreak/>
        <w:t>2011). Although the policy objective is evident, the practical execution of such a personalised strategy is intricate. Practitioners must reconcile the necessity of understanding each child's distinct developmental path with the obligation to demonstrate progress across the Areas of Learning and Experience, thereby creating tensions between individualisation and accountability.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A primary problem in evaluating the individual child is the dependence on practitioner observation and professional assessment. Observation is widely acknowledged as a legitimate and crucial approach for comprehending young children's learning, especially in play-based settings. The Welsh Government guidance underscores that evaluation must be "an integral part of day-to-day practice" and should incorporate interactions, talks, and observations across many contexts (Welsh Government, 2022, p. 7). This method facilitates a comprehensive understanding of the child and enables practitioners to discern strengths, interests, and next steps organically. Observational evaluation is inherently subjective, and studies indicate that practitioners' perceptions may be influenced by unconscious bias, cultural expectations, and varying levels of experience (Siraj Blatchford et al., 2015). This prompts enquiries on the reliability and consistency of evaluations across different contexts, especially when practitioners possess differing degrees of expertise in child development and assessment. Research, including Drummond (2018), underscores the significance of reflective practice and collaborative professional discourse in enhancing the quality of observational assessment; yet, such opportunities are not routinely accessible throughout Wales.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 xml:space="preserve">The Welsh Government has sought to alleviate concerns about consistency through moderation processes designed to foster a collective understanding of progress among practitioners. The assessment guidelines indicate that practitioners must collaborate to cultivate a shared, knowledgeable, reliable, and consistent understanding of learner progress (Welsh Government, 2022, p. 11). Moderation aims to facilitate professional discourse, </w:t>
      </w:r>
      <w:r w:rsidRPr="00C06946">
        <w:rPr>
          <w:color w:val="000000"/>
        </w:rPr>
        <w:lastRenderedPageBreak/>
        <w:t>minimise discrepancies, and enhance the reliability of practitioner assessment. Nonetheless, implementing moderation effectively in early years settings can be difficult, especially in non-maintained provisions, where staff may have limited time or access to professional networks. Estyn (2023) indicates that although certain settings engage in rigorous moderation, others have difficulty establishing joint evaluation opportunities, resulting in discrepancies in the interpretation and documentation of growth. Cowie and Cooper's (2017) research underscores that moderation is most efficacious when practitioners possess shared training, opportunities for dialogue, and a robust comprehension of developmental progression—conditions that are frequently absent in early years settings.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A notable problem pertains to the evaluation of children with Additional Learning Needs. The ALN Code underscores the significance of early identification and individualised support, asserting that assessment must be continuous, comprehensive, and attuned to each child's requirements (Welsh Government, 2021b). This is closely aligned with the notion of the unique child, acknowledging that children with ALN may pursue distinct developmental trajectories and necessitate customised strategies. Practitioners frequently encounter challenges reconciling the requirements of play-based assessment with the need to collect precise data for ALN processes. Children with communicative, sensory, or social issues may not consistently demonstrate their learning in conventional ways, necessitating that practitioners receive specialised training to evaluate their behaviours and interactions appropriately. Research indicates that insufficient support may lead to misunderstandings or neglect of the requirements of children with Additional Learning Needs (ALN) in play-based settings (Carpenter et al., 2015). Research by Papatheodorou and Moyles (2009) underscores that inclusive evaluation requires practitioners to understand children's emotional experiences and provide sensitive, responsive support. However, this level of skill is not consistently available across contexts.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lastRenderedPageBreak/>
        <w:t xml:space="preserve">Cultural and linguistic diversity significantly influences the comprehension and evaluation of the unique child. Wales is a bilingual nation, and the Curriculum for Wales underscores the need to foster Welsh language proficiency in children as integral to their identity and sense of belonging. Children from multilingual or minority ethnic backgrounds may possess distinct linguistic repertoires, cultural experiences, and communication styles, which might affect their engagement in play and the interpretation of their learning. </w:t>
      </w:r>
      <w:proofErr w:type="spellStart"/>
      <w:r w:rsidRPr="00C06946">
        <w:rPr>
          <w:color w:val="000000"/>
        </w:rPr>
        <w:t>Alsubaie</w:t>
      </w:r>
      <w:proofErr w:type="spellEnd"/>
      <w:r w:rsidRPr="00C06946">
        <w:rPr>
          <w:color w:val="000000"/>
        </w:rPr>
        <w:t xml:space="preserve"> (2015) contends that cultural bias in assessment may lead to misinterpretations or the devaluation of children's capabilities, especially when practitioners lack familiarity with the child's cultural context. Brooker's (2002) research underscores that children's cultural experiences significantly alter their learning practices, communication styles, and expectations of adults, hence influencing their assessment outcomes. In Wales, this is especially pertinent in multicultural urban regions where children may converse in several languages at home. Practitioners must be attuned to cultural differences and ensure that evaluation techniques acknowledge and appreciate the entirety of children's experiences. This necessitates training, reflective practice, and a dedication to anti-bias methodologies, which may not be uniformly integrated across different environments.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The implementation of progression phases in the Curriculum for Wales aimed to establish a common framework for comprehending learning while avoiding strict age-related expectations. Progression milestones are characterised as "reference points" instead of rigid criteria, and practitioners are urged to apply them flexibly to facilitate planning and assessment (Welsh Government, 2020). Nonetheless, there is a chance that progression steps may be misconstrued as benchmarks, especially in environments where practitioners face pressure to demonstrate advancement. Estyn (2023) observes that certain practitioners remain unclear about the application of progression steps within a play-based framework and may default to more formal assessment techniques to provide evidence. This may compromise the notion of the unique child by promoting comparisons and standardisation instead of individualised comprehension. Bradbury's (2019) research indicates that even well-intentioned evaluation frameworks may lead to unexpected consequences when practitioners face pressure to produce measurable outcomes, a finding particularly pertinent to the Welsh context.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The implementation of online tailored exams in Wales introduces an additional layer of complexity. These evaluations, concentrating on literacy and numeracy, aim to be formative and assist practitioners in determining subsequent actions (Welsh Government, 2022). Nonetheless, their significance in early years practice is contested. Although they may offer valuable insights for older learners, they are inadequate for encompassing the comprehensive, play-based learning of younger children. The existence of standardised tests poses a risk of influencing practice, causing practitioners to favour quantifiable outcomes above more comprehensive developmental objectives. Research conducted by Roberts Holmes and Bradbury (2016) indicates that digital evaluations may foster a culture of datafication, in which children's learning is reduced to measurable metrics, potentially eclipsing the nuanced, contextual understanding necessary to appreciate each child's individuality.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Narrative reporting is a crucial aspect of the Welsh assessment system, designed to offer a comprehensive overview of each child's learning. The evaluation protocols indicate that reporting should rely on narrative descriptions rather than numerical metrics to capture the complexity of children's growth (Welsh Government, 2022). This methodology closely adheres to the notion of the individua</w:t>
      </w:r>
      <w:r w:rsidR="00377FDD">
        <w:rPr>
          <w:color w:val="000000"/>
        </w:rPr>
        <w:t>l child</w:t>
      </w:r>
      <w:r w:rsidRPr="00C06946">
        <w:rPr>
          <w:color w:val="000000"/>
        </w:rPr>
        <w:t>, enabling practitioners to discern the subtleties of learning that may not be apparent through conventional assessments. Narrative reporting is labour-intensive and necessitates proficiency in observation, interpretation, and communication. In environments characterised by elevated workloads or insufficient staffing, practitioners may find it challenging to produce comprehensive, meaningful narratives, leading to inconsistencies in quality. Drummond's (2018) research underscores that high-quality narrative assessment necessitates time, contemplation, and professional dialogue, all of which are difficult to maintain in bustling early years settings.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lastRenderedPageBreak/>
        <w:t xml:space="preserve">Transitions between environments pose an additional challenge for evaluating the </w:t>
      </w:r>
      <w:r w:rsidR="00377FDD">
        <w:rPr>
          <w:color w:val="000000"/>
        </w:rPr>
        <w:t>child</w:t>
      </w:r>
      <w:r w:rsidRPr="00C06946">
        <w:rPr>
          <w:color w:val="000000"/>
        </w:rPr>
        <w:t>. A successful transition requires the dissemination of comprehensive, integrated information about each child's learning, well-being, and needs. The evaluation protocols underscore that transition must be facilitated by narrative data that illustrates the child's unique development (Welsh Government, 2022). Estyn (2023) indicates that transition methods differ significantly across Wales, with some settings offering comprehensive information while others rely on scant paperwork. This inconsistency can create gaps in comprehension and may cause children's needs to be neglected during critical transition periods. Dunlop and Fabian (2007) assert that transitions are most effective when practitioners provide comprehensive, contextualised information and when receiving environments invest time in comprehending each child's distinct experiences and developmental trajectory.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Although the notion of the individual child is firmly integrated into Welsh policy, its execution within evaluation systems poses considerable obstacles. The dependence on practitioner judgement, the necessity for uniform moderation, the intricacies of evaluating children with Additional Learning Needs (ALN), the impact of cultural and linguistic diversity, the interpretation of progression metrics, and the requirements of narrative reporting collectively create a convoluted environment. To actualise the vision of the unique child, Wales requires continuous investment in professional development, enhanced support for non-maintained settings, explicit guidance on assessment methodologies, and a commitment to maintaining assessment systems that are adaptable, inclusive, and responsive. In the absence of this, there is a danger that the notion of the individual child would remain only aspirational rather than thoroughly integrated into practice.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Section 3- </w:t>
      </w:r>
    </w:p>
    <w:p w:rsidR="00B62217" w:rsidRPr="00C06946" w:rsidRDefault="00B62217" w:rsidP="00C06946">
      <w:pPr>
        <w:pStyle w:val="NormalWeb"/>
        <w:spacing w:line="360" w:lineRule="auto"/>
        <w:rPr>
          <w:color w:val="000000"/>
        </w:rPr>
      </w:pPr>
      <w:r w:rsidRPr="00C06946">
        <w:rPr>
          <w:color w:val="000000"/>
        </w:rPr>
        <w:t xml:space="preserve">Outdoor learning has emerged as a fundamental component of early years practice in Wales, not only because it is endorsed in national policy but also because it aligns with our </w:t>
      </w:r>
      <w:r w:rsidRPr="00C06946">
        <w:rPr>
          <w:color w:val="000000"/>
        </w:rPr>
        <w:lastRenderedPageBreak/>
        <w:t>understanding of optimal learning methods for young children. The Curriculum for Wales prioritises experiential, play-based learning, with the outdoors providing a distinctive setting for children to explore, take risks, cultivate resilience, and forge a profound connection with the natural environment. The Welsh Government's advice emphasises that outdoor learning must be a consistent and essential component of children's experiences, facilitating their physical, emotional, and cognitive development in ways that indoor settings may not fully achieve (Welsh Government, 2021). This corresponds with research indicating that children's learning is enhanced when they have the opportunity to interact with natural materials, open environments, and sensory experiences (</w:t>
      </w:r>
      <w:proofErr w:type="spellStart"/>
      <w:r w:rsidRPr="00C06946">
        <w:rPr>
          <w:color w:val="000000"/>
        </w:rPr>
        <w:t>Bilton</w:t>
      </w:r>
      <w:proofErr w:type="spellEnd"/>
      <w:r w:rsidRPr="00C06946">
        <w:rPr>
          <w:color w:val="000000"/>
        </w:rPr>
        <w:t>, 2010). For practitioners, this entails transcending the conventional notion of "playtime" and perceiving the outdoors as a vibrant, dynamic learning environment that possesses equal significance to the classroom. This transition signifies a broader trend in early childhood education that recognises the importance of experiential learning and the environment's influence on children's development.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A significant advantage of outdoor learning is the autonomy it provides children to navigate, investigate, and pursue their individual interests. Studies consistently demonstrate that children engage in more physical activity outdoors, which enhances their health, well-being, and emotional regulation (Whitebread, 2019). In Wales, where well-being is a fundamental aspect of the four purposes, the relationship between movement, discovery, and emotional resilience is especially significant. The outdoor world provides sensory experiences that are unattainable indoors: the sensation of mud, the sound of birds, the variability of weather, and the textures of organic materials. These encounters improve children's sensory development and help them understand their surroundings. Research by Maynard and Waters (2007) indicates that outdoor spaces foster enhanced engagement, prolonged play, and elevated creativity. The Welsh Government guidance underscores that outdoor learning must be "purposeful, child-led, and grounded in authentic experiences" (Welsh Government, 2021, p. 22), which is precisely what the outdoors offers.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 xml:space="preserve">Outdoor education enhances problem-solving abilities, creativity, and critical thinking skills. When </w:t>
      </w:r>
      <w:r w:rsidR="00377FDD">
        <w:rPr>
          <w:color w:val="000000"/>
        </w:rPr>
        <w:t>children</w:t>
      </w:r>
      <w:r w:rsidRPr="00C06946">
        <w:rPr>
          <w:color w:val="000000"/>
        </w:rPr>
        <w:t xml:space="preserve"> encounter irregular terrain, loose surfaces, puddles, inclines, or natural obstacles, they instinctively assess risks, make judgments, and test their ideas. These abilities are crucial for achieving the four aims, especially in fostering children's development as ambitious, capable learners and enterprising, creative contributors (Welsh Government, 2020). Waite's (2011) research indicates that outdoor surroundings foster children's ownership of their learning, promote collaboration with peers, and facilitate imaginative play that frequently surpasses the complexity of indoor play. Practitioners frequently note that </w:t>
      </w:r>
      <w:r w:rsidR="00377FDD">
        <w:rPr>
          <w:color w:val="000000"/>
        </w:rPr>
        <w:t>children</w:t>
      </w:r>
      <w:r w:rsidRPr="00C06946">
        <w:rPr>
          <w:color w:val="000000"/>
        </w:rPr>
        <w:t xml:space="preserve"> who exhibit reticence or diminished confidence indoors become more communicative and interested in outside settings. The expansive space, reduced noise levels, and opportunities for creative play might help children discover their voice and cultivate confidence in their abilities. This corresponds to studies indicating that outdoor settings can be especially advantageous for children with Additional Learning Needs, as they may benefit more from sensory diversity and greater mobility than in confined indoor contexts (Carpenter et al., 2015).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 xml:space="preserve">In Wales, outdoor learning is closely associated with the concept of </w:t>
      </w:r>
      <w:proofErr w:type="spellStart"/>
      <w:r w:rsidRPr="00C06946">
        <w:rPr>
          <w:color w:val="000000"/>
        </w:rPr>
        <w:t>cynefin</w:t>
      </w:r>
      <w:proofErr w:type="spellEnd"/>
      <w:r w:rsidRPr="00C06946">
        <w:rPr>
          <w:color w:val="000000"/>
        </w:rPr>
        <w:t>, which denotes a sense of place, belonging, and identity. The Curriculum for Wales encourages practitioners to help children establish connections with their local environment, community, and culture. Outdoor learning offers a natural environment for this, encompassing the exploration of local green places, observation of seasonal transformations, study of indigenous fauna, and participation in community initiatives. These encounters foster a sense of belonging and appreciation for their environment, aiding their growth as ethical, knowledgeable citizens of Wales and the global community (Welsh Government, 2020). Gruffudd's (2018) research indicates that outdoor learning can enhance children's feelings of identification and belonging, especially when it integrates local culture, language, and heritage. For</w:t>
      </w:r>
      <w:r w:rsidR="00377FDD">
        <w:rPr>
          <w:color w:val="000000"/>
        </w:rPr>
        <w:t xml:space="preserve"> many children</w:t>
      </w:r>
      <w:r w:rsidRPr="00C06946">
        <w:rPr>
          <w:color w:val="000000"/>
        </w:rPr>
        <w:t>, particularly those living in urban environments or facing adversity, outdoor learning may offer limited opportunities to engage with nature, underscoring the need for settings that prioritise consistent access to outdoor spaces.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 xml:space="preserve">Despite its numerous advantages, outdoor education may pose challenges for educators. A prevalent obstacle is the belief that outdoor education necessitates substantial resources or specialised equipment. In truth, some of the most enriching outdoor experiences derive from basic, unstructured materials like twigs, stones, leaves, water, and dirt. The Welsh Government guidance asserts that outdoor learning need not be complex or costly; instead, it necessitates practitioners to be deliberate, attentive, and responsive to children's interests (Welsh Government, 2021). </w:t>
      </w:r>
      <w:proofErr w:type="spellStart"/>
      <w:r w:rsidRPr="00C06946">
        <w:rPr>
          <w:color w:val="000000"/>
        </w:rPr>
        <w:t>Bilton's</w:t>
      </w:r>
      <w:proofErr w:type="spellEnd"/>
      <w:r w:rsidRPr="00C06946">
        <w:rPr>
          <w:color w:val="000000"/>
        </w:rPr>
        <w:t xml:space="preserve"> (2010) research corroborates this, indicating that high-quality outdoor learning is influenced more by pedagogy than by resources.</w:t>
      </w:r>
    </w:p>
    <w:p w:rsidR="00B62217" w:rsidRPr="00C06946" w:rsidRDefault="00B62217" w:rsidP="00C06946">
      <w:pPr>
        <w:pStyle w:val="NormalWeb"/>
        <w:spacing w:line="360" w:lineRule="auto"/>
        <w:rPr>
          <w:color w:val="000000"/>
        </w:rPr>
      </w:pPr>
      <w:r w:rsidRPr="00C06946">
        <w:rPr>
          <w:color w:val="000000"/>
        </w:rPr>
        <w:t xml:space="preserve">Another problem is the capricious Welsh weather, which can be unpredictable and occasionally disheartening. Nonetheless, with suitable attire, established habits, and an optimistic outlook, outdoor learning may occur in nearly any conditions. Numerous environments embrace the adage that "there is no adverse weather, only inappropriate attire," and this philosophy fosters resilience and adaptation </w:t>
      </w:r>
      <w:r w:rsidR="00377FDD">
        <w:rPr>
          <w:color w:val="000000"/>
        </w:rPr>
        <w:t>in children</w:t>
      </w:r>
      <w:r w:rsidRPr="00C06946">
        <w:rPr>
          <w:color w:val="000000"/>
        </w:rPr>
        <w:t>. Research, including Knight (2013), indicates that outdoor learning in diverse weather situations enhances children's problem-solving abilities, independence, and emotional regulation.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 xml:space="preserve">Staff confidence can affect the quality of outdoor learning. Certain practitioners may be uncertain about facilitating outdoor learning or have concerns about safety and risk management. Professional learning opportunities can enhance confidence; however, their availability is not uniform across Wales, particularly in non-maintained settings (Estyn, 2022). Risk-benefit assessments, rather than risk-avoidance strategies, can enhance practitioners' confidence in endorsing outdoor adventure. The Welsh Government advises practitioners to regard risk as an inherent and beneficial aspect of learning, asserting that children ought to be assisted in "developing their own risk management skills through meaningful experiences" (Welsh Government, 2021, p. 24). </w:t>
      </w:r>
      <w:proofErr w:type="spellStart"/>
      <w:r w:rsidRPr="00C06946">
        <w:rPr>
          <w:color w:val="000000"/>
        </w:rPr>
        <w:t>Sandseter</w:t>
      </w:r>
      <w:proofErr w:type="spellEnd"/>
      <w:r w:rsidRPr="00C06946">
        <w:rPr>
          <w:color w:val="000000"/>
        </w:rPr>
        <w:t xml:space="preserve"> (2010) asserts that children benefit from participating in "risky play," which enhances their confidence, </w:t>
      </w:r>
      <w:r w:rsidRPr="00C06946">
        <w:rPr>
          <w:color w:val="000000"/>
        </w:rPr>
        <w:lastRenderedPageBreak/>
        <w:t>resilience, and capacity to assess danger. When practitioners possess confidence in risk management, they are more adept at facilitating enriching and challenging outdoor activities.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Outdoor education significantly contributes to the advancement of language acquisition. The expansive environment and sensory abundance of the outdoors inherently stimulate dialogue, inquiry, and narrative sharing. Children frequently use more sophisticated language outdoors when articulating their observations, negotiating roles in imaginative play, or collaborating on shared chores. The outdoors provides a less pressurised atmosphere for children acquiring Welsh or English as a second language, facilitating more natural and spontaneous conversation. This corresponds with the Languages, Literacy, and Communication Area of Learning and Experience, which underscores the significance of authentic, real-world contexts for language development (Welsh Government, 2020). McInnes et al. (2013) demonstrate that children's language use becomes increasingly diverse and expressive during outdoor play, especially when educators model sophisticated vocabulary and pose open-ended questions. Outdoor learning enhances communication skills, confidence, social engagement, and emotional expression.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 xml:space="preserve">Outdoor learning not only fosters individual growth but also enhances interactions between children and practitioners. Outdoor shared experiences frequently foster a more relaxed and collaborative atmosphere, enabling practitioners to observe children more genuinely and cultivate deeper connections. These relationships are fundamental to the unique child concept, which underscores that children learn most effectively when they feel secure, comprehended, and esteemed (Welsh Government, 2021). Outdoor learning offers practitioners the chance to attune to children's interests, respond to their signals, and enhance their emotional well-being. Research by Pascal and Bertram (2012) indicates that relational pedagogy is enhanced when practitioners interact with children in open, adaptable contexts that allow for spontaneous interactions. The connection aspect is especially significant for </w:t>
      </w:r>
      <w:r w:rsidR="00377FDD">
        <w:rPr>
          <w:color w:val="000000"/>
        </w:rPr>
        <w:lastRenderedPageBreak/>
        <w:t>children</w:t>
      </w:r>
      <w:r w:rsidRPr="00C06946">
        <w:rPr>
          <w:color w:val="000000"/>
        </w:rPr>
        <w:t xml:space="preserve"> who may face challenges inside or who gain from movement and sensory stimulation.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 xml:space="preserve">Outdoor education enhances children's comprehension of sustainability and environmental stewardship. The Curriculum for Wales advocates that practitioners assist children in cultivating an understanding of the natural environment and their responsibility for its preservation. Outdoor activities such as gardening, recycling, composting, and wildlife observation foster empathy, curiosity, and environmental responsibility in </w:t>
      </w:r>
      <w:r w:rsidR="00377FDD">
        <w:rPr>
          <w:color w:val="000000"/>
        </w:rPr>
        <w:t>children</w:t>
      </w:r>
      <w:r w:rsidRPr="00C06946">
        <w:rPr>
          <w:color w:val="000000"/>
        </w:rPr>
        <w:t>. Research conducted by Elliott and Davis (2009) indicates that early exposure to nature cultivates pro-environmental attitudes and practices, yielding long-term advantages for children and society. In Wales, where sustainability is a paramount national concern, outdoor learning provides a valuable context for helping children understand their impact on the world and cultivate the values necessary to become ethical, educated citizens. </w:t>
      </w: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p>
    <w:p w:rsidR="00B62217" w:rsidRPr="00C06946" w:rsidRDefault="00B62217" w:rsidP="00C06946">
      <w:pPr>
        <w:pStyle w:val="NormalWeb"/>
        <w:spacing w:line="360" w:lineRule="auto"/>
        <w:rPr>
          <w:color w:val="000000"/>
        </w:rPr>
      </w:pPr>
      <w:r w:rsidRPr="00C06946">
        <w:rPr>
          <w:color w:val="000000"/>
        </w:rPr>
        <w:t xml:space="preserve">Ultimately, outdoor learning is an essential component of high-quality early years practice in Wales. It endorses the four objectives, conforms to the tenets of child-centred education, and embodies our understanding of children's learning processes. Despite existing challenges, they can be surmounted by ingenuity, confidence, and a dedication to appreciating the outdoors as a significant learning environment. When educators adopt outdoor learning, they facilitate enhanced experiences, stronger connections, and more significant learning for each child. In doing so, they cultivate in </w:t>
      </w:r>
      <w:r w:rsidR="00377FDD">
        <w:rPr>
          <w:color w:val="000000"/>
        </w:rPr>
        <w:t>children</w:t>
      </w:r>
      <w:r w:rsidRPr="00C06946">
        <w:rPr>
          <w:color w:val="000000"/>
        </w:rPr>
        <w:t xml:space="preserve"> a lasting appreciation for nature, a profound sense of belonging, and the necessary skills to prosper in a constantly evolving environment.</w:t>
      </w:r>
    </w:p>
    <w:p w:rsidR="00B62217" w:rsidRDefault="00B62217" w:rsidP="0030460F">
      <w:pPr>
        <w:pStyle w:val="NormalWeb"/>
        <w:rPr>
          <w:color w:val="000000"/>
        </w:rPr>
      </w:pPr>
    </w:p>
    <w:p w:rsidR="00C06946" w:rsidRDefault="00C06946" w:rsidP="0030460F">
      <w:pPr>
        <w:pStyle w:val="NormalWeb"/>
        <w:rPr>
          <w:color w:val="000000"/>
        </w:rPr>
      </w:pPr>
    </w:p>
    <w:p w:rsidR="0030460F" w:rsidRDefault="0030460F" w:rsidP="0030460F">
      <w:pPr>
        <w:pStyle w:val="NormalWeb"/>
        <w:rPr>
          <w:color w:val="000000"/>
        </w:rPr>
      </w:pPr>
      <w:r>
        <w:rPr>
          <w:color w:val="000000"/>
        </w:rPr>
        <w:t>Reference list.</w:t>
      </w:r>
    </w:p>
    <w:p w:rsidR="0030460F" w:rsidRDefault="0030460F" w:rsidP="0030460F">
      <w:pPr>
        <w:pStyle w:val="NormalWeb"/>
        <w:rPr>
          <w:color w:val="000000"/>
        </w:rPr>
      </w:pPr>
      <w:proofErr w:type="spellStart"/>
      <w:r>
        <w:rPr>
          <w:color w:val="000000"/>
        </w:rPr>
        <w:lastRenderedPageBreak/>
        <w:t>Alsubaie</w:t>
      </w:r>
      <w:proofErr w:type="spellEnd"/>
      <w:r>
        <w:rPr>
          <w:color w:val="000000"/>
        </w:rPr>
        <w:t xml:space="preserve">, M. (2015) ‘Examples of current issues in the multicultural classroom’, </w:t>
      </w:r>
      <w:r>
        <w:rPr>
          <w:rStyle w:val="Emphasis"/>
          <w:rFonts w:eastAsiaTheme="majorEastAsia"/>
          <w:color w:val="000000"/>
        </w:rPr>
        <w:t>Journal of Education and Practice</w:t>
      </w:r>
      <w:r>
        <w:rPr>
          <w:color w:val="000000"/>
        </w:rPr>
        <w:t xml:space="preserve">, 6(10), pp. 86–89. </w:t>
      </w:r>
      <w:r w:rsidR="00EB1E47">
        <w:rPr>
          <w:color w:val="000000" w:themeColor="text1"/>
        </w:rPr>
        <w:t>(Accessed: 9 June 2026).</w:t>
      </w:r>
    </w:p>
    <w:p w:rsidR="0030460F" w:rsidRDefault="0030460F" w:rsidP="0030460F">
      <w:pPr>
        <w:pStyle w:val="NormalWeb"/>
        <w:rPr>
          <w:color w:val="000000"/>
        </w:rPr>
      </w:pPr>
      <w:r>
        <w:rPr>
          <w:color w:val="000000"/>
        </w:rPr>
        <w:t xml:space="preserve">Bennett, N. and Kell, J. (2019) </w:t>
      </w:r>
      <w:r>
        <w:rPr>
          <w:rStyle w:val="Emphasis"/>
          <w:rFonts w:eastAsiaTheme="majorEastAsia"/>
          <w:color w:val="000000"/>
        </w:rPr>
        <w:t>Early Childhood Education: Theory, Research and Practice</w:t>
      </w:r>
      <w:r>
        <w:rPr>
          <w:color w:val="000000"/>
        </w:rPr>
        <w:t xml:space="preserve">. London: Sage. </w:t>
      </w:r>
      <w:r w:rsidR="00EB1E47">
        <w:rPr>
          <w:color w:val="000000" w:themeColor="text1"/>
        </w:rPr>
        <w:t>(Accessed: 9 June 2026).</w:t>
      </w:r>
    </w:p>
    <w:p w:rsidR="0030460F" w:rsidRDefault="0030460F" w:rsidP="0030460F">
      <w:pPr>
        <w:pStyle w:val="NormalWeb"/>
        <w:rPr>
          <w:color w:val="000000"/>
        </w:rPr>
      </w:pPr>
      <w:proofErr w:type="spellStart"/>
      <w:r>
        <w:rPr>
          <w:color w:val="000000"/>
        </w:rPr>
        <w:t>Bilton</w:t>
      </w:r>
      <w:proofErr w:type="spellEnd"/>
      <w:r>
        <w:rPr>
          <w:color w:val="000000"/>
        </w:rPr>
        <w:t xml:space="preserve">, H. (2010) </w:t>
      </w:r>
      <w:r>
        <w:rPr>
          <w:rStyle w:val="Emphasis"/>
          <w:rFonts w:eastAsiaTheme="majorEastAsia"/>
          <w:color w:val="000000"/>
        </w:rPr>
        <w:t>Outdoor Learning in the Early Years: Management and Innovation</w:t>
      </w:r>
      <w:r>
        <w:rPr>
          <w:color w:val="000000"/>
        </w:rPr>
        <w:t xml:space="preserve">. London: Routledge. </w:t>
      </w:r>
      <w:r w:rsidR="00EB1E47">
        <w:rPr>
          <w:color w:val="000000" w:themeColor="text1"/>
        </w:rPr>
        <w:t>(Accessed: 9 June 2026).</w:t>
      </w:r>
    </w:p>
    <w:p w:rsidR="0030460F" w:rsidRDefault="0030460F" w:rsidP="0030460F">
      <w:pPr>
        <w:pStyle w:val="NormalWeb"/>
        <w:rPr>
          <w:color w:val="000000"/>
        </w:rPr>
      </w:pPr>
      <w:r>
        <w:rPr>
          <w:color w:val="000000"/>
        </w:rPr>
        <w:t xml:space="preserve">Bradbury, A. (2019) </w:t>
      </w:r>
      <w:r>
        <w:rPr>
          <w:rStyle w:val="Emphasis"/>
          <w:rFonts w:eastAsiaTheme="majorEastAsia"/>
          <w:color w:val="000000"/>
        </w:rPr>
        <w:t>Understanding Early Years Assessment: Critical Perspectives and Debates</w:t>
      </w:r>
      <w:r>
        <w:rPr>
          <w:color w:val="000000"/>
        </w:rPr>
        <w:t xml:space="preserve">. London: Routledge. </w:t>
      </w:r>
      <w:r w:rsidR="00EB1E47">
        <w:rPr>
          <w:color w:val="000000" w:themeColor="text1"/>
        </w:rPr>
        <w:t>(Accessed: 9 June 2026).</w:t>
      </w:r>
    </w:p>
    <w:p w:rsidR="0030460F" w:rsidRDefault="0030460F" w:rsidP="0030460F">
      <w:pPr>
        <w:pStyle w:val="NormalWeb"/>
        <w:rPr>
          <w:color w:val="000000"/>
        </w:rPr>
      </w:pPr>
      <w:r>
        <w:rPr>
          <w:color w:val="000000"/>
        </w:rPr>
        <w:t xml:space="preserve">Brooker, L. (2002) </w:t>
      </w:r>
      <w:r>
        <w:rPr>
          <w:rStyle w:val="Emphasis"/>
          <w:rFonts w:eastAsiaTheme="majorEastAsia"/>
          <w:color w:val="000000"/>
        </w:rPr>
        <w:t>Starting School: Young Children Learning Cultures</w:t>
      </w:r>
      <w:r>
        <w:rPr>
          <w:color w:val="000000"/>
        </w:rPr>
        <w:t>. Buckingham: Open University Press.</w:t>
      </w:r>
      <w:r w:rsidR="00EB1E47" w:rsidRPr="00EB1E47">
        <w:rPr>
          <w:color w:val="000000" w:themeColor="text1"/>
        </w:rPr>
        <w:t xml:space="preserve"> </w:t>
      </w:r>
      <w:r w:rsidR="00EB1E47">
        <w:rPr>
          <w:color w:val="000000" w:themeColor="text1"/>
        </w:rPr>
        <w:t>(Accessed: 9 June 2026).</w:t>
      </w:r>
    </w:p>
    <w:p w:rsidR="0030460F" w:rsidRDefault="0030460F" w:rsidP="0030460F">
      <w:pPr>
        <w:pStyle w:val="NormalWeb"/>
        <w:rPr>
          <w:color w:val="000000"/>
        </w:rPr>
      </w:pPr>
      <w:r>
        <w:rPr>
          <w:color w:val="000000"/>
        </w:rPr>
        <w:t xml:space="preserve">Brooker, L. (2011) ‘Taking children seriously: An alternative agenda for research?’, </w:t>
      </w:r>
      <w:r>
        <w:rPr>
          <w:rStyle w:val="Emphasis"/>
          <w:rFonts w:eastAsiaTheme="majorEastAsia"/>
          <w:color w:val="000000"/>
        </w:rPr>
        <w:t>Journal of Early Childhood Research</w:t>
      </w:r>
      <w:r>
        <w:rPr>
          <w:color w:val="000000"/>
        </w:rPr>
        <w:t>, 9(2), pp. 137–149.</w:t>
      </w:r>
      <w:r w:rsidR="00EB1E47" w:rsidRPr="00EB1E47">
        <w:rPr>
          <w:color w:val="000000" w:themeColor="text1"/>
        </w:rPr>
        <w:t xml:space="preserve"> </w:t>
      </w:r>
      <w:r w:rsidR="00EB1E47">
        <w:rPr>
          <w:color w:val="000000" w:themeColor="text1"/>
        </w:rPr>
        <w:t>(Accessed: 9 June 2026).</w:t>
      </w:r>
    </w:p>
    <w:p w:rsidR="0030460F" w:rsidRDefault="0030460F" w:rsidP="0030460F">
      <w:pPr>
        <w:pStyle w:val="NormalWeb"/>
        <w:rPr>
          <w:color w:val="000000"/>
        </w:rPr>
      </w:pPr>
      <w:r>
        <w:rPr>
          <w:color w:val="000000"/>
        </w:rPr>
        <w:t xml:space="preserve">Bruce, T. (2015) </w:t>
      </w:r>
      <w:r>
        <w:rPr>
          <w:rStyle w:val="Emphasis"/>
          <w:rFonts w:eastAsiaTheme="majorEastAsia"/>
          <w:color w:val="000000"/>
        </w:rPr>
        <w:t>Early Childhood Education</w:t>
      </w:r>
      <w:r>
        <w:rPr>
          <w:color w:val="000000"/>
        </w:rPr>
        <w:t>. London: Hodder Education.</w:t>
      </w:r>
      <w:r w:rsidR="00EB1E47" w:rsidRPr="00EB1E47">
        <w:rPr>
          <w:color w:val="000000" w:themeColor="text1"/>
        </w:rPr>
        <w:t xml:space="preserve"> </w:t>
      </w:r>
      <w:r w:rsidR="00EB1E47">
        <w:rPr>
          <w:color w:val="000000" w:themeColor="text1"/>
        </w:rPr>
        <w:t>(Accessed: 9 June 2026).</w:t>
      </w:r>
    </w:p>
    <w:p w:rsidR="0030460F" w:rsidRDefault="0030460F" w:rsidP="0030460F">
      <w:pPr>
        <w:pStyle w:val="NormalWeb"/>
        <w:rPr>
          <w:color w:val="000000"/>
        </w:rPr>
      </w:pPr>
      <w:r>
        <w:rPr>
          <w:color w:val="000000"/>
        </w:rPr>
        <w:t xml:space="preserve">Carpenter, B., Egerton, J. and Cockbill, B. (2015) </w:t>
      </w:r>
      <w:r>
        <w:rPr>
          <w:rStyle w:val="Emphasis"/>
          <w:rFonts w:eastAsiaTheme="majorEastAsia"/>
          <w:color w:val="000000"/>
        </w:rPr>
        <w:t>Engaging Learners with Complex Needs</w:t>
      </w:r>
      <w:r>
        <w:rPr>
          <w:color w:val="000000"/>
        </w:rPr>
        <w:t>. London: Routledge.</w:t>
      </w:r>
      <w:r w:rsidR="00EB1E47" w:rsidRPr="00EB1E47">
        <w:rPr>
          <w:color w:val="000000" w:themeColor="text1"/>
        </w:rPr>
        <w:t xml:space="preserve"> </w:t>
      </w:r>
      <w:r w:rsidR="00EB1E47">
        <w:rPr>
          <w:color w:val="000000" w:themeColor="text1"/>
        </w:rPr>
        <w:t xml:space="preserve">(Accessed: </w:t>
      </w:r>
      <w:r w:rsidR="00EB1E47">
        <w:rPr>
          <w:color w:val="000000" w:themeColor="text1"/>
        </w:rPr>
        <w:t xml:space="preserve">6 </w:t>
      </w:r>
      <w:r w:rsidR="00EB1E47">
        <w:rPr>
          <w:color w:val="000000" w:themeColor="text1"/>
        </w:rPr>
        <w:t>June 2026).</w:t>
      </w:r>
    </w:p>
    <w:p w:rsidR="0030460F" w:rsidRDefault="0030460F" w:rsidP="0030460F">
      <w:pPr>
        <w:pStyle w:val="NormalWeb"/>
        <w:rPr>
          <w:color w:val="000000"/>
        </w:rPr>
      </w:pPr>
      <w:r>
        <w:rPr>
          <w:color w:val="000000"/>
        </w:rPr>
        <w:t xml:space="preserve">Cowie, B. and Cooper, B. (2017) ‘Exploring teacher judgement in assessment’, </w:t>
      </w:r>
      <w:r>
        <w:rPr>
          <w:rStyle w:val="Emphasis"/>
          <w:rFonts w:eastAsiaTheme="majorEastAsia"/>
          <w:color w:val="000000"/>
        </w:rPr>
        <w:t>Assessment in Education</w:t>
      </w:r>
      <w:r>
        <w:rPr>
          <w:color w:val="000000"/>
        </w:rPr>
        <w:t>, 24(2), pp. 123–140.</w:t>
      </w:r>
      <w:r w:rsidR="00EB1E47" w:rsidRPr="00EB1E47">
        <w:rPr>
          <w:color w:val="000000" w:themeColor="text1"/>
        </w:rPr>
        <w:t xml:space="preserve"> </w:t>
      </w:r>
      <w:r w:rsidR="00EB1E47">
        <w:rPr>
          <w:color w:val="000000" w:themeColor="text1"/>
        </w:rPr>
        <w:t>(Accessed: 6 June 2026).</w:t>
      </w:r>
    </w:p>
    <w:p w:rsidR="0030460F" w:rsidRDefault="0030460F" w:rsidP="0030460F">
      <w:pPr>
        <w:pStyle w:val="NormalWeb"/>
        <w:rPr>
          <w:color w:val="000000"/>
        </w:rPr>
      </w:pPr>
      <w:r>
        <w:rPr>
          <w:color w:val="000000"/>
        </w:rPr>
        <w:t xml:space="preserve">Department for Education (2017) </w:t>
      </w:r>
      <w:r>
        <w:rPr>
          <w:rStyle w:val="Emphasis"/>
          <w:rFonts w:eastAsiaTheme="majorEastAsia"/>
          <w:color w:val="000000"/>
        </w:rPr>
        <w:t>Statutory Framework for the Early Years Foundation Stage</w:t>
      </w:r>
      <w:r>
        <w:rPr>
          <w:color w:val="000000"/>
        </w:rPr>
        <w:t>. London</w:t>
      </w:r>
      <w:r w:rsidR="00C06946">
        <w:rPr>
          <w:color w:val="000000"/>
        </w:rPr>
        <w:t>.</w:t>
      </w:r>
    </w:p>
    <w:p w:rsidR="0030460F" w:rsidRDefault="0030460F" w:rsidP="0030460F">
      <w:pPr>
        <w:pStyle w:val="NormalWeb"/>
        <w:rPr>
          <w:color w:val="000000"/>
        </w:rPr>
      </w:pPr>
      <w:r>
        <w:rPr>
          <w:color w:val="000000"/>
        </w:rPr>
        <w:t xml:space="preserve">Drummond, M.J. (2018) </w:t>
      </w:r>
      <w:r>
        <w:rPr>
          <w:rStyle w:val="Emphasis"/>
          <w:rFonts w:eastAsiaTheme="majorEastAsia"/>
          <w:color w:val="000000"/>
        </w:rPr>
        <w:t>Assessing Children’s Learning</w:t>
      </w:r>
      <w:r>
        <w:rPr>
          <w:color w:val="000000"/>
        </w:rPr>
        <w:t xml:space="preserve">. London: David Fulton. </w:t>
      </w:r>
    </w:p>
    <w:p w:rsidR="0030460F" w:rsidRDefault="0030460F" w:rsidP="0030460F">
      <w:pPr>
        <w:pStyle w:val="NormalWeb"/>
        <w:rPr>
          <w:color w:val="000000"/>
        </w:rPr>
      </w:pPr>
      <w:r>
        <w:rPr>
          <w:color w:val="000000"/>
        </w:rPr>
        <w:t xml:space="preserve">Dunlop, A. and Fabian, H. (2007) </w:t>
      </w:r>
      <w:r>
        <w:rPr>
          <w:rStyle w:val="Emphasis"/>
          <w:rFonts w:eastAsiaTheme="majorEastAsia"/>
          <w:color w:val="000000"/>
        </w:rPr>
        <w:t>Informing Transitions in the Early Years</w:t>
      </w:r>
      <w:r>
        <w:rPr>
          <w:color w:val="000000"/>
        </w:rPr>
        <w:t>. Maidenhead: Open University Press.</w:t>
      </w:r>
    </w:p>
    <w:p w:rsidR="0030460F" w:rsidRDefault="0030460F" w:rsidP="0030460F">
      <w:pPr>
        <w:pStyle w:val="NormalWeb"/>
        <w:rPr>
          <w:color w:val="000000"/>
        </w:rPr>
      </w:pPr>
      <w:r>
        <w:rPr>
          <w:color w:val="000000"/>
        </w:rPr>
        <w:t xml:space="preserve">Elliott, S. and Davis, J. (2009) ‘Exploring the resistance: An Australian perspective on educating for sustainability in early childhood’, </w:t>
      </w:r>
      <w:r>
        <w:rPr>
          <w:rStyle w:val="Emphasis"/>
          <w:rFonts w:eastAsiaTheme="majorEastAsia"/>
          <w:color w:val="000000"/>
        </w:rPr>
        <w:t>International Journal of Early Childhood</w:t>
      </w:r>
      <w:r>
        <w:rPr>
          <w:color w:val="000000"/>
        </w:rPr>
        <w:t>, 41(2), pp. 65–77</w:t>
      </w:r>
      <w:r w:rsidR="00EB1E47">
        <w:rPr>
          <w:color w:val="000000"/>
        </w:rPr>
        <w:t xml:space="preserve"> </w:t>
      </w:r>
      <w:r w:rsidR="00EB1E47">
        <w:rPr>
          <w:color w:val="000000" w:themeColor="text1"/>
        </w:rPr>
        <w:t>(Accessed: 6 June 2026).</w:t>
      </w:r>
    </w:p>
    <w:p w:rsidR="00C06946" w:rsidRDefault="0030460F" w:rsidP="0030460F">
      <w:pPr>
        <w:pStyle w:val="NormalWeb"/>
        <w:rPr>
          <w:color w:val="000000"/>
        </w:rPr>
      </w:pPr>
      <w:r>
        <w:rPr>
          <w:color w:val="000000"/>
        </w:rPr>
        <w:t xml:space="preserve">Estyn (2022) </w:t>
      </w:r>
      <w:r>
        <w:rPr>
          <w:rStyle w:val="Emphasis"/>
          <w:rFonts w:eastAsiaTheme="majorEastAsia"/>
          <w:color w:val="000000"/>
        </w:rPr>
        <w:t>Curriculum for Wales: How schools are developing their approaches</w:t>
      </w:r>
      <w:r>
        <w:rPr>
          <w:color w:val="000000"/>
        </w:rPr>
        <w:t xml:space="preserve">. Cardiff: Estyn. </w:t>
      </w:r>
      <w:r w:rsidR="00377FDD" w:rsidRPr="00377FDD">
        <w:rPr>
          <w:color w:val="000000"/>
        </w:rPr>
        <w:t>https://hwb.gov.wales/curriculum-for-wales/designing-your-curriculum/introduction</w:t>
      </w:r>
    </w:p>
    <w:p w:rsidR="0030460F" w:rsidRDefault="0030460F" w:rsidP="0030460F">
      <w:pPr>
        <w:pStyle w:val="NormalWeb"/>
        <w:rPr>
          <w:color w:val="000000"/>
        </w:rPr>
      </w:pPr>
      <w:r>
        <w:rPr>
          <w:color w:val="000000"/>
        </w:rPr>
        <w:t xml:space="preserve">Estyn (2023) </w:t>
      </w:r>
      <w:r>
        <w:rPr>
          <w:rStyle w:val="Emphasis"/>
          <w:rFonts w:eastAsiaTheme="majorEastAsia"/>
          <w:color w:val="000000"/>
        </w:rPr>
        <w:t>Annual Report 2022–2023</w:t>
      </w:r>
      <w:r>
        <w:rPr>
          <w:color w:val="000000"/>
        </w:rPr>
        <w:t xml:space="preserve">. Cardiff: Estyn. </w:t>
      </w:r>
    </w:p>
    <w:p w:rsidR="0030460F" w:rsidRDefault="0030460F" w:rsidP="0030460F">
      <w:pPr>
        <w:pStyle w:val="NormalWeb"/>
        <w:rPr>
          <w:color w:val="000000"/>
        </w:rPr>
      </w:pPr>
      <w:r>
        <w:rPr>
          <w:color w:val="000000"/>
        </w:rPr>
        <w:t xml:space="preserve">Fabian, H. and Dunlop, A. (2006) </w:t>
      </w:r>
      <w:r>
        <w:rPr>
          <w:rStyle w:val="Emphasis"/>
          <w:rFonts w:eastAsiaTheme="majorEastAsia"/>
          <w:color w:val="000000"/>
        </w:rPr>
        <w:t>Transitions in the Early Years</w:t>
      </w:r>
      <w:r>
        <w:rPr>
          <w:color w:val="000000"/>
        </w:rPr>
        <w:t>. London: Routledge.</w:t>
      </w:r>
    </w:p>
    <w:p w:rsidR="0030460F" w:rsidRDefault="0030460F" w:rsidP="0030460F">
      <w:pPr>
        <w:pStyle w:val="NormalWeb"/>
        <w:rPr>
          <w:color w:val="000000"/>
        </w:rPr>
      </w:pPr>
      <w:r>
        <w:rPr>
          <w:color w:val="000000"/>
        </w:rPr>
        <w:t>Gruffudd, G. (2018) ‘</w:t>
      </w:r>
      <w:proofErr w:type="spellStart"/>
      <w:r>
        <w:rPr>
          <w:color w:val="000000"/>
        </w:rPr>
        <w:t>Cynefin</w:t>
      </w:r>
      <w:proofErr w:type="spellEnd"/>
      <w:r>
        <w:rPr>
          <w:color w:val="000000"/>
        </w:rPr>
        <w:t xml:space="preserve"> and belonging in Welsh education’, </w:t>
      </w:r>
      <w:r>
        <w:rPr>
          <w:rStyle w:val="Emphasis"/>
          <w:rFonts w:eastAsiaTheme="majorEastAsia"/>
          <w:color w:val="000000"/>
        </w:rPr>
        <w:t>Wales Journal of Education</w:t>
      </w:r>
      <w:r>
        <w:rPr>
          <w:color w:val="000000"/>
        </w:rPr>
        <w:t>, 20(1), pp. 45–60.</w:t>
      </w:r>
    </w:p>
    <w:p w:rsidR="00C06946" w:rsidRDefault="0030460F" w:rsidP="0030460F">
      <w:pPr>
        <w:pStyle w:val="NormalWeb"/>
        <w:rPr>
          <w:color w:val="000000"/>
        </w:rPr>
      </w:pPr>
      <w:r>
        <w:rPr>
          <w:color w:val="000000"/>
        </w:rPr>
        <w:t xml:space="preserve">Knight, S. (2013) </w:t>
      </w:r>
      <w:r>
        <w:rPr>
          <w:rStyle w:val="Emphasis"/>
          <w:rFonts w:eastAsiaTheme="majorEastAsia"/>
          <w:color w:val="000000"/>
        </w:rPr>
        <w:t>Forest School and Outdoor Learning in the Early Years</w:t>
      </w:r>
      <w:r>
        <w:rPr>
          <w:color w:val="000000"/>
        </w:rPr>
        <w:t xml:space="preserve">. London: Sage. </w:t>
      </w:r>
    </w:p>
    <w:p w:rsidR="0030460F" w:rsidRDefault="0030460F" w:rsidP="0030460F">
      <w:pPr>
        <w:pStyle w:val="NormalWeb"/>
        <w:rPr>
          <w:color w:val="000000"/>
        </w:rPr>
      </w:pPr>
      <w:r>
        <w:rPr>
          <w:color w:val="000000"/>
        </w:rPr>
        <w:lastRenderedPageBreak/>
        <w:t xml:space="preserve">Maynard, T. and Waters, J. (2007) ‘Learning in the outdoor environment: A missed opportunity?’, </w:t>
      </w:r>
      <w:r>
        <w:rPr>
          <w:rStyle w:val="Emphasis"/>
          <w:rFonts w:eastAsiaTheme="majorEastAsia"/>
          <w:color w:val="000000"/>
        </w:rPr>
        <w:t>Early Years</w:t>
      </w:r>
      <w:r>
        <w:rPr>
          <w:color w:val="000000"/>
        </w:rPr>
        <w:t>, 27(3), pp. 255–265</w:t>
      </w:r>
      <w:r w:rsidR="00377FDD">
        <w:rPr>
          <w:color w:val="000000"/>
        </w:rPr>
        <w:t>.</w:t>
      </w:r>
    </w:p>
    <w:p w:rsidR="0030460F" w:rsidRDefault="0030460F" w:rsidP="0030460F">
      <w:pPr>
        <w:pStyle w:val="NormalWeb"/>
        <w:rPr>
          <w:color w:val="000000"/>
        </w:rPr>
      </w:pPr>
      <w:r>
        <w:rPr>
          <w:color w:val="000000"/>
        </w:rPr>
        <w:t xml:space="preserve">McInnes, K., Howard, J., Crowley, K. and Miles, G. (2013) ‘The nature of adult–child interaction in the early years classroom’, </w:t>
      </w:r>
      <w:r>
        <w:rPr>
          <w:rStyle w:val="Emphasis"/>
          <w:rFonts w:eastAsiaTheme="majorEastAsia"/>
          <w:color w:val="000000"/>
        </w:rPr>
        <w:t>British Journal of Educational Psychology</w:t>
      </w:r>
      <w:r>
        <w:rPr>
          <w:color w:val="000000"/>
        </w:rPr>
        <w:t>, 83(1), pp. 103–119.</w:t>
      </w:r>
    </w:p>
    <w:p w:rsidR="0030460F" w:rsidRDefault="0030460F" w:rsidP="0030460F">
      <w:pPr>
        <w:pStyle w:val="NormalWeb"/>
        <w:rPr>
          <w:color w:val="000000"/>
        </w:rPr>
      </w:pPr>
      <w:r>
        <w:rPr>
          <w:color w:val="000000"/>
        </w:rPr>
        <w:t xml:space="preserve">Nutbrown, C. (2011) </w:t>
      </w:r>
      <w:r>
        <w:rPr>
          <w:rStyle w:val="Emphasis"/>
          <w:rFonts w:eastAsiaTheme="majorEastAsia"/>
          <w:color w:val="000000"/>
        </w:rPr>
        <w:t>Threads of Thinking: Schemas and Young Children’s Learning</w:t>
      </w:r>
      <w:r>
        <w:rPr>
          <w:color w:val="000000"/>
        </w:rPr>
        <w:t>. London: Sage.</w:t>
      </w:r>
    </w:p>
    <w:p w:rsidR="0030460F" w:rsidRDefault="0030460F" w:rsidP="0030460F">
      <w:pPr>
        <w:pStyle w:val="NormalWeb"/>
        <w:rPr>
          <w:color w:val="000000"/>
        </w:rPr>
      </w:pPr>
      <w:r>
        <w:rPr>
          <w:color w:val="000000"/>
        </w:rPr>
        <w:t xml:space="preserve">Papatheodorou, T. (2010) </w:t>
      </w:r>
      <w:r>
        <w:rPr>
          <w:rStyle w:val="Emphasis"/>
          <w:rFonts w:eastAsiaTheme="majorEastAsia"/>
          <w:color w:val="000000"/>
        </w:rPr>
        <w:t>Supporting Emotional and Social Development in Early Childhood</w:t>
      </w:r>
      <w:r>
        <w:rPr>
          <w:color w:val="000000"/>
        </w:rPr>
        <w:t>. Maidenhead: Open University Press.</w:t>
      </w:r>
    </w:p>
    <w:p w:rsidR="0030460F" w:rsidRDefault="0030460F" w:rsidP="0030460F">
      <w:pPr>
        <w:pStyle w:val="NormalWeb"/>
        <w:rPr>
          <w:color w:val="000000"/>
        </w:rPr>
      </w:pPr>
      <w:r>
        <w:rPr>
          <w:color w:val="000000"/>
        </w:rPr>
        <w:t xml:space="preserve">Papatheodorou, T. and Moyles, J. (2009) </w:t>
      </w:r>
      <w:r>
        <w:rPr>
          <w:rStyle w:val="Emphasis"/>
          <w:rFonts w:eastAsiaTheme="majorEastAsia"/>
          <w:color w:val="000000"/>
        </w:rPr>
        <w:t>Learning Together in the Early Years</w:t>
      </w:r>
      <w:r>
        <w:rPr>
          <w:color w:val="000000"/>
        </w:rPr>
        <w:t>. London: Routledge.</w:t>
      </w:r>
    </w:p>
    <w:p w:rsidR="0030460F" w:rsidRDefault="0030460F" w:rsidP="0030460F">
      <w:pPr>
        <w:pStyle w:val="NormalWeb"/>
        <w:rPr>
          <w:color w:val="000000"/>
        </w:rPr>
      </w:pPr>
      <w:r>
        <w:rPr>
          <w:color w:val="000000"/>
        </w:rPr>
        <w:t xml:space="preserve">Pascal, C. and Bertram, T. (2012) </w:t>
      </w:r>
      <w:r>
        <w:rPr>
          <w:rStyle w:val="Emphasis"/>
          <w:rFonts w:eastAsiaTheme="majorEastAsia"/>
          <w:color w:val="000000"/>
        </w:rPr>
        <w:t>The Effective Early Learning Project</w:t>
      </w:r>
      <w:r>
        <w:rPr>
          <w:color w:val="000000"/>
        </w:rPr>
        <w:t xml:space="preserve">. Birmingham: Centre for Research in Early Childhood. </w:t>
      </w:r>
      <w:r w:rsidR="00C06946">
        <w:rPr>
          <w:color w:val="000000"/>
        </w:rPr>
        <w:t xml:space="preserve">Available at: </w:t>
      </w:r>
      <w:r>
        <w:rPr>
          <w:color w:val="000000"/>
        </w:rPr>
        <w:t xml:space="preserve"> </w:t>
      </w:r>
      <w:hyperlink r:id="rId4" w:history="1">
        <w:r>
          <w:rPr>
            <w:rStyle w:val="Hyperlink"/>
            <w:rFonts w:eastAsiaTheme="majorEastAsia"/>
          </w:rPr>
          <w:t>https://www.crec.co.uk/</w:t>
        </w:r>
      </w:hyperlink>
      <w:r w:rsidR="00377FDD">
        <w:rPr>
          <w:color w:val="000000" w:themeColor="text1"/>
        </w:rPr>
        <w:t>(Accessed: 6 June 2026).</w:t>
      </w:r>
    </w:p>
    <w:p w:rsidR="0030460F" w:rsidRDefault="0030460F" w:rsidP="0030460F">
      <w:pPr>
        <w:pStyle w:val="NormalWeb"/>
        <w:rPr>
          <w:color w:val="000000"/>
        </w:rPr>
      </w:pPr>
      <w:r>
        <w:rPr>
          <w:color w:val="000000"/>
        </w:rPr>
        <w:t xml:space="preserve">Roberts, H. (2010) ‘Children’s development in context’, </w:t>
      </w:r>
      <w:r>
        <w:rPr>
          <w:rStyle w:val="Emphasis"/>
          <w:rFonts w:eastAsiaTheme="majorEastAsia"/>
          <w:color w:val="000000"/>
        </w:rPr>
        <w:t>Early Years Journal</w:t>
      </w:r>
      <w:r>
        <w:rPr>
          <w:color w:val="000000"/>
        </w:rPr>
        <w:t>, 30(2), pp. 95–108.</w:t>
      </w:r>
    </w:p>
    <w:p w:rsidR="0030460F" w:rsidRDefault="0030460F" w:rsidP="0030460F">
      <w:pPr>
        <w:pStyle w:val="NormalWeb"/>
        <w:rPr>
          <w:color w:val="000000"/>
        </w:rPr>
      </w:pPr>
      <w:r>
        <w:rPr>
          <w:color w:val="000000"/>
        </w:rPr>
        <w:t xml:space="preserve">Roberts-Holmes, G. (2014) </w:t>
      </w:r>
      <w:r>
        <w:rPr>
          <w:rStyle w:val="Emphasis"/>
          <w:rFonts w:eastAsiaTheme="majorEastAsia"/>
          <w:color w:val="000000"/>
        </w:rPr>
        <w:t>The Datafication of Early Years Education</w:t>
      </w:r>
      <w:r>
        <w:rPr>
          <w:color w:val="000000"/>
        </w:rPr>
        <w:t>. London: Institute of Education Press.</w:t>
      </w:r>
    </w:p>
    <w:p w:rsidR="0030460F" w:rsidRDefault="0030460F" w:rsidP="0030460F">
      <w:pPr>
        <w:pStyle w:val="NormalWeb"/>
        <w:rPr>
          <w:color w:val="000000"/>
        </w:rPr>
      </w:pPr>
      <w:r>
        <w:rPr>
          <w:color w:val="000000"/>
        </w:rPr>
        <w:t xml:space="preserve">Roberts-Holmes, G. and Bradbury, A. (2016) ‘The rise of data in early childhood education’, </w:t>
      </w:r>
      <w:r>
        <w:rPr>
          <w:rStyle w:val="Emphasis"/>
          <w:rFonts w:eastAsiaTheme="majorEastAsia"/>
          <w:color w:val="000000"/>
        </w:rPr>
        <w:t>British Educational Research Journal</w:t>
      </w:r>
      <w:r>
        <w:rPr>
          <w:color w:val="000000"/>
        </w:rPr>
        <w:t>, 42(5), pp. 767–781.</w:t>
      </w:r>
    </w:p>
    <w:p w:rsidR="0030460F" w:rsidRDefault="0030460F" w:rsidP="0030460F">
      <w:pPr>
        <w:pStyle w:val="NormalWeb"/>
        <w:rPr>
          <w:color w:val="000000"/>
        </w:rPr>
      </w:pPr>
      <w:proofErr w:type="spellStart"/>
      <w:r>
        <w:rPr>
          <w:color w:val="000000"/>
        </w:rPr>
        <w:t>Sandseter</w:t>
      </w:r>
      <w:proofErr w:type="spellEnd"/>
      <w:r>
        <w:rPr>
          <w:color w:val="000000"/>
        </w:rPr>
        <w:t xml:space="preserve">, E.B.H. (2010) </w:t>
      </w:r>
      <w:r w:rsidRPr="00C06946">
        <w:rPr>
          <w:i/>
          <w:iCs/>
          <w:color w:val="000000"/>
        </w:rPr>
        <w:t>‘</w:t>
      </w:r>
      <w:proofErr w:type="spellStart"/>
      <w:r w:rsidRPr="00C06946">
        <w:rPr>
          <w:i/>
          <w:iCs/>
          <w:color w:val="000000"/>
        </w:rPr>
        <w:t>Scaryfunny</w:t>
      </w:r>
      <w:proofErr w:type="spellEnd"/>
      <w:r w:rsidRPr="00C06946">
        <w:rPr>
          <w:i/>
          <w:iCs/>
          <w:color w:val="000000"/>
        </w:rPr>
        <w:t>: A qualitative study of risky play’</w:t>
      </w:r>
      <w:r>
        <w:rPr>
          <w:color w:val="000000"/>
        </w:rPr>
        <w:t xml:space="preserve">, </w:t>
      </w:r>
      <w:r>
        <w:rPr>
          <w:rStyle w:val="Emphasis"/>
          <w:rFonts w:eastAsiaTheme="majorEastAsia"/>
          <w:color w:val="000000"/>
        </w:rPr>
        <w:t>Childhood</w:t>
      </w:r>
      <w:r>
        <w:rPr>
          <w:color w:val="000000"/>
        </w:rPr>
        <w:t>, 17(1), pp. 97–113.</w:t>
      </w:r>
    </w:p>
    <w:p w:rsidR="0030460F" w:rsidRDefault="0030460F" w:rsidP="0030460F">
      <w:pPr>
        <w:pStyle w:val="NormalWeb"/>
        <w:rPr>
          <w:color w:val="000000"/>
        </w:rPr>
      </w:pPr>
      <w:r>
        <w:rPr>
          <w:color w:val="000000"/>
        </w:rPr>
        <w:t xml:space="preserve">Siraj-Blatchford, I., Sylva, K., </w:t>
      </w:r>
      <w:proofErr w:type="spellStart"/>
      <w:r>
        <w:rPr>
          <w:color w:val="000000"/>
        </w:rPr>
        <w:t>Muttock</w:t>
      </w:r>
      <w:proofErr w:type="spellEnd"/>
      <w:r>
        <w:rPr>
          <w:color w:val="000000"/>
        </w:rPr>
        <w:t xml:space="preserve">, S., Gilden, R. and Bell, D. (2015) </w:t>
      </w:r>
      <w:r>
        <w:rPr>
          <w:rStyle w:val="Emphasis"/>
          <w:rFonts w:eastAsiaTheme="majorEastAsia"/>
          <w:color w:val="000000"/>
        </w:rPr>
        <w:t>Researching Effective Pedagogy in the Early Years</w:t>
      </w:r>
      <w:r>
        <w:rPr>
          <w:color w:val="000000"/>
        </w:rPr>
        <w:t>. London</w:t>
      </w:r>
      <w:r w:rsidR="00C06946">
        <w:rPr>
          <w:color w:val="000000"/>
        </w:rPr>
        <w:t>.</w:t>
      </w:r>
    </w:p>
    <w:p w:rsidR="0030460F" w:rsidRDefault="0030460F" w:rsidP="0030460F">
      <w:pPr>
        <w:pStyle w:val="NormalWeb"/>
        <w:rPr>
          <w:color w:val="000000"/>
        </w:rPr>
      </w:pPr>
      <w:r>
        <w:rPr>
          <w:color w:val="000000"/>
        </w:rPr>
        <w:t xml:space="preserve">Smith, P.K. (2010) </w:t>
      </w:r>
      <w:r>
        <w:rPr>
          <w:rStyle w:val="Emphasis"/>
          <w:rFonts w:eastAsiaTheme="majorEastAsia"/>
          <w:color w:val="000000"/>
        </w:rPr>
        <w:t>Children and Play</w:t>
      </w:r>
      <w:r>
        <w:rPr>
          <w:color w:val="000000"/>
        </w:rPr>
        <w:t>. Oxford: Wiley-Blackwell.</w:t>
      </w:r>
    </w:p>
    <w:p w:rsidR="0030460F" w:rsidRDefault="0030460F" w:rsidP="0030460F">
      <w:pPr>
        <w:pStyle w:val="NormalWeb"/>
        <w:rPr>
          <w:color w:val="000000"/>
        </w:rPr>
      </w:pPr>
      <w:r>
        <w:rPr>
          <w:color w:val="000000"/>
        </w:rPr>
        <w:t xml:space="preserve">Thomas, N. and O’Kane, C. (2000) </w:t>
      </w:r>
      <w:r w:rsidRPr="00C06946">
        <w:rPr>
          <w:i/>
          <w:iCs/>
          <w:color w:val="000000"/>
        </w:rPr>
        <w:t>‘Discovering what children think’</w:t>
      </w:r>
      <w:r>
        <w:rPr>
          <w:color w:val="000000"/>
        </w:rPr>
        <w:t xml:space="preserve">, </w:t>
      </w:r>
      <w:r>
        <w:rPr>
          <w:rStyle w:val="Emphasis"/>
          <w:rFonts w:eastAsiaTheme="majorEastAsia"/>
          <w:color w:val="000000"/>
        </w:rPr>
        <w:t>British Journal of Social Work</w:t>
      </w:r>
      <w:r>
        <w:rPr>
          <w:color w:val="000000"/>
        </w:rPr>
        <w:t>, 30(6), pp. 819–835.</w:t>
      </w:r>
    </w:p>
    <w:p w:rsidR="0030460F" w:rsidRDefault="0030460F" w:rsidP="0030460F">
      <w:pPr>
        <w:pStyle w:val="NormalWeb"/>
        <w:rPr>
          <w:color w:val="000000"/>
        </w:rPr>
      </w:pPr>
      <w:r>
        <w:rPr>
          <w:color w:val="000000"/>
        </w:rPr>
        <w:t xml:space="preserve">Waite, S. (2011) ‘Children learning outdoors’, </w:t>
      </w:r>
      <w:r>
        <w:rPr>
          <w:rStyle w:val="Emphasis"/>
          <w:rFonts w:eastAsiaTheme="majorEastAsia"/>
          <w:color w:val="000000"/>
        </w:rPr>
        <w:t>Education 3–13</w:t>
      </w:r>
      <w:r>
        <w:rPr>
          <w:color w:val="000000"/>
        </w:rPr>
        <w:t xml:space="preserve">, 39(1), pp. 65–77. </w:t>
      </w:r>
    </w:p>
    <w:p w:rsidR="0030460F" w:rsidRDefault="0030460F" w:rsidP="0030460F">
      <w:pPr>
        <w:pStyle w:val="NormalWeb"/>
        <w:rPr>
          <w:color w:val="000000"/>
        </w:rPr>
      </w:pPr>
      <w:r>
        <w:rPr>
          <w:color w:val="000000"/>
        </w:rPr>
        <w:t xml:space="preserve">Waite, S. and Pratt, N. (2015) ‘Theoretical perspectives on outdoor learning’, </w:t>
      </w:r>
      <w:r>
        <w:rPr>
          <w:rStyle w:val="Emphasis"/>
          <w:rFonts w:eastAsiaTheme="majorEastAsia"/>
          <w:color w:val="000000"/>
        </w:rPr>
        <w:t>Journal of Adventure Education</w:t>
      </w:r>
      <w:r>
        <w:rPr>
          <w:color w:val="000000"/>
        </w:rPr>
        <w:t>, 12(3), pp. 123–138.</w:t>
      </w:r>
    </w:p>
    <w:p w:rsidR="0030460F" w:rsidRDefault="0030460F" w:rsidP="0030460F">
      <w:pPr>
        <w:pStyle w:val="NormalWeb"/>
        <w:rPr>
          <w:color w:val="000000"/>
        </w:rPr>
      </w:pPr>
      <w:r>
        <w:rPr>
          <w:color w:val="000000"/>
        </w:rPr>
        <w:t xml:space="preserve">Wales Centre for Public Policy (2020) </w:t>
      </w:r>
      <w:r>
        <w:rPr>
          <w:rStyle w:val="Emphasis"/>
          <w:rFonts w:eastAsiaTheme="majorEastAsia"/>
          <w:color w:val="000000"/>
        </w:rPr>
        <w:t>Early Childhood Education in Wales: Evidence Review</w:t>
      </w:r>
      <w:r>
        <w:rPr>
          <w:color w:val="000000"/>
        </w:rPr>
        <w:t>. Cardiff: WCPP.</w:t>
      </w:r>
      <w:r w:rsidR="00C06946">
        <w:rPr>
          <w:color w:val="000000"/>
        </w:rPr>
        <w:t xml:space="preserve"> </w:t>
      </w:r>
    </w:p>
    <w:p w:rsidR="0030460F" w:rsidRDefault="0030460F" w:rsidP="0030460F">
      <w:pPr>
        <w:pStyle w:val="NormalWeb"/>
        <w:rPr>
          <w:color w:val="000000"/>
        </w:rPr>
      </w:pPr>
      <w:r>
        <w:rPr>
          <w:color w:val="000000"/>
        </w:rPr>
        <w:t xml:space="preserve">Welsh Government (2015) </w:t>
      </w:r>
      <w:r>
        <w:rPr>
          <w:rStyle w:val="Emphasis"/>
          <w:rFonts w:eastAsiaTheme="majorEastAsia"/>
          <w:color w:val="000000"/>
        </w:rPr>
        <w:t>Evaluating the Foundation Phase: Final Report</w:t>
      </w:r>
      <w:r>
        <w:rPr>
          <w:color w:val="000000"/>
        </w:rPr>
        <w:t xml:space="preserve">. Cardiff: Welsh Government. </w:t>
      </w:r>
    </w:p>
    <w:p w:rsidR="0030460F" w:rsidRPr="00EB1E47" w:rsidRDefault="0030460F" w:rsidP="0030460F">
      <w:pPr>
        <w:pStyle w:val="NormalWeb"/>
        <w:rPr>
          <w:color w:val="000000" w:themeColor="text1"/>
        </w:rPr>
      </w:pPr>
      <w:r w:rsidRPr="00EB1E47">
        <w:rPr>
          <w:color w:val="000000" w:themeColor="text1"/>
        </w:rPr>
        <w:lastRenderedPageBreak/>
        <w:t xml:space="preserve">Welsh Government (2020) </w:t>
      </w:r>
      <w:r w:rsidRPr="00EB1E47">
        <w:rPr>
          <w:rStyle w:val="Emphasis"/>
          <w:rFonts w:eastAsiaTheme="majorEastAsia"/>
          <w:color w:val="000000" w:themeColor="text1"/>
        </w:rPr>
        <w:t>Curriculum for Wales: Guidance</w:t>
      </w:r>
      <w:r w:rsidRPr="00EB1E47">
        <w:rPr>
          <w:color w:val="000000" w:themeColor="text1"/>
        </w:rPr>
        <w:t>.</w:t>
      </w:r>
      <w:r w:rsidR="00EB1E47" w:rsidRPr="00EB1E47">
        <w:rPr>
          <w:color w:val="000000" w:themeColor="text1"/>
        </w:rPr>
        <w:t xml:space="preserve"> Available at: </w:t>
      </w:r>
      <w:hyperlink r:id="rId5" w:history="1">
        <w:r w:rsidR="00EB1E47" w:rsidRPr="00932715">
          <w:rPr>
            <w:rStyle w:val="Hyperlink"/>
          </w:rPr>
          <w:t>https://hwb.gov.wales/curriculum-for-wales</w:t>
        </w:r>
      </w:hyperlink>
      <w:r w:rsidR="00EB1E47">
        <w:rPr>
          <w:color w:val="000000" w:themeColor="text1"/>
        </w:rPr>
        <w:t xml:space="preserve"> (Accessed: 9 June 2026).</w:t>
      </w:r>
    </w:p>
    <w:p w:rsidR="0030460F" w:rsidRPr="00EB1E47" w:rsidRDefault="0030460F" w:rsidP="0030460F">
      <w:pPr>
        <w:pStyle w:val="NormalWeb"/>
        <w:rPr>
          <w:color w:val="000000" w:themeColor="text1"/>
        </w:rPr>
      </w:pPr>
      <w:r w:rsidRPr="00EB1E47">
        <w:rPr>
          <w:color w:val="000000" w:themeColor="text1"/>
        </w:rPr>
        <w:t xml:space="preserve">Welsh Government (2021) </w:t>
      </w:r>
      <w:r w:rsidRPr="00EB1E47">
        <w:rPr>
          <w:rStyle w:val="Emphasis"/>
          <w:rFonts w:eastAsiaTheme="majorEastAsia"/>
          <w:color w:val="000000" w:themeColor="text1"/>
        </w:rPr>
        <w:t>Curriculum for Funded Non</w:t>
      </w:r>
      <w:r w:rsidRPr="00EB1E47">
        <w:rPr>
          <w:rStyle w:val="Emphasis"/>
          <w:rFonts w:eastAsiaTheme="majorEastAsia"/>
          <w:color w:val="000000" w:themeColor="text1"/>
        </w:rPr>
        <w:noBreakHyphen/>
        <w:t>Maintained Nursery Settings</w:t>
      </w:r>
      <w:r w:rsidRPr="00EB1E47">
        <w:rPr>
          <w:color w:val="000000" w:themeColor="text1"/>
        </w:rPr>
        <w:t xml:space="preserve">. Cardiff: Welsh Government. </w:t>
      </w:r>
      <w:r w:rsidR="00EB1E47" w:rsidRPr="00EB1E47">
        <w:rPr>
          <w:color w:val="000000" w:themeColor="text1"/>
        </w:rPr>
        <w:t xml:space="preserve">Available at: </w:t>
      </w:r>
      <w:hyperlink r:id="rId6" w:history="1">
        <w:r w:rsidR="00EB1E47" w:rsidRPr="00932715">
          <w:rPr>
            <w:rStyle w:val="Hyperlink"/>
          </w:rPr>
          <w:t>https://hwb.gov.wales/curriculum-for-wales/curriculum-for-funded-non-maintained-nursery-settings/</w:t>
        </w:r>
      </w:hyperlink>
      <w:r w:rsidR="00EB1E47">
        <w:rPr>
          <w:color w:val="000000" w:themeColor="text1"/>
        </w:rPr>
        <w:t xml:space="preserve"> (Accessed: 9 June 2026).</w:t>
      </w:r>
    </w:p>
    <w:p w:rsidR="0030460F" w:rsidRPr="00EB1E47" w:rsidRDefault="0030460F" w:rsidP="0030460F">
      <w:pPr>
        <w:pStyle w:val="NormalWeb"/>
        <w:rPr>
          <w:color w:val="000000" w:themeColor="text1"/>
        </w:rPr>
      </w:pPr>
      <w:r w:rsidRPr="00EB1E47">
        <w:rPr>
          <w:color w:val="000000" w:themeColor="text1"/>
        </w:rPr>
        <w:t xml:space="preserve">Welsh Government (2021) </w:t>
      </w:r>
      <w:r w:rsidRPr="00EB1E47">
        <w:rPr>
          <w:rStyle w:val="Emphasis"/>
          <w:rFonts w:eastAsiaTheme="majorEastAsia"/>
          <w:color w:val="000000" w:themeColor="text1"/>
        </w:rPr>
        <w:t>Additional Learning Needs Code for Wales 2021</w:t>
      </w:r>
      <w:r w:rsidRPr="00EB1E47">
        <w:rPr>
          <w:color w:val="000000" w:themeColor="text1"/>
        </w:rPr>
        <w:t xml:space="preserve">. Cardiff: Welsh Government. </w:t>
      </w:r>
      <w:r w:rsidR="00EB1E47" w:rsidRPr="00EB1E47">
        <w:rPr>
          <w:color w:val="000000" w:themeColor="text1"/>
        </w:rPr>
        <w:t xml:space="preserve">Available at: </w:t>
      </w:r>
      <w:hyperlink r:id="rId7" w:history="1">
        <w:r w:rsidR="00EB1E47" w:rsidRPr="00932715">
          <w:rPr>
            <w:rStyle w:val="Hyperlink"/>
          </w:rPr>
          <w:t>https://www.gov.wales/sites/default/files/publications/2024-04/220622-the-additional-learning-needs-code-for-wales-2021%20%282%29.pdf</w:t>
        </w:r>
      </w:hyperlink>
      <w:r w:rsidR="00EB1E47">
        <w:rPr>
          <w:color w:val="000000" w:themeColor="text1"/>
        </w:rPr>
        <w:t xml:space="preserve"> (</w:t>
      </w:r>
      <w:proofErr w:type="spellStart"/>
      <w:r w:rsidR="00EB1E47">
        <w:rPr>
          <w:color w:val="000000" w:themeColor="text1"/>
        </w:rPr>
        <w:t>Accesed</w:t>
      </w:r>
      <w:proofErr w:type="spellEnd"/>
      <w:r w:rsidR="00EB1E47">
        <w:rPr>
          <w:color w:val="000000" w:themeColor="text1"/>
        </w:rPr>
        <w:t>: 9 June 2026).</w:t>
      </w:r>
    </w:p>
    <w:p w:rsidR="0030460F" w:rsidRPr="00EB1E47" w:rsidRDefault="0030460F" w:rsidP="0030460F">
      <w:pPr>
        <w:pStyle w:val="NormalWeb"/>
        <w:rPr>
          <w:color w:val="000000" w:themeColor="text1"/>
        </w:rPr>
      </w:pPr>
      <w:r w:rsidRPr="00EB1E47">
        <w:rPr>
          <w:color w:val="000000" w:themeColor="text1"/>
        </w:rPr>
        <w:t xml:space="preserve">Welsh Government (2022) </w:t>
      </w:r>
      <w:r w:rsidRPr="00EB1E47">
        <w:rPr>
          <w:rStyle w:val="Emphasis"/>
          <w:rFonts w:eastAsiaTheme="majorEastAsia"/>
          <w:color w:val="000000" w:themeColor="text1"/>
        </w:rPr>
        <w:t>Assessment Arrangements for the Curriculum for Wales</w:t>
      </w:r>
      <w:r w:rsidRPr="00EB1E47">
        <w:rPr>
          <w:color w:val="000000" w:themeColor="text1"/>
        </w:rPr>
        <w:t xml:space="preserve">. Cardiff: Welsh Government. </w:t>
      </w:r>
      <w:r w:rsidR="00EB1E47" w:rsidRPr="00EB1E47">
        <w:rPr>
          <w:color w:val="000000" w:themeColor="text1"/>
        </w:rPr>
        <w:t xml:space="preserve">Available at: </w:t>
      </w:r>
      <w:hyperlink r:id="rId8" w:history="1">
        <w:r w:rsidR="00377FDD" w:rsidRPr="00932715">
          <w:rPr>
            <w:rStyle w:val="Hyperlink"/>
          </w:rPr>
          <w:t>https://hwb.gov.wales/curriculum-for-wales/assessment-arrangements</w:t>
        </w:r>
      </w:hyperlink>
      <w:r w:rsidR="00EB1E47" w:rsidRPr="00EB1E47">
        <w:rPr>
          <w:color w:val="000000" w:themeColor="text1"/>
        </w:rPr>
        <w:t xml:space="preserve"> (Accessed: 9 June</w:t>
      </w:r>
      <w:r w:rsidR="00EB1E47">
        <w:rPr>
          <w:color w:val="000000" w:themeColor="text1"/>
        </w:rPr>
        <w:t xml:space="preserve"> 2026</w:t>
      </w:r>
      <w:r w:rsidR="00EB1E47" w:rsidRPr="00EB1E47">
        <w:rPr>
          <w:color w:val="000000" w:themeColor="text1"/>
        </w:rPr>
        <w:t>).</w:t>
      </w:r>
    </w:p>
    <w:p w:rsidR="0030460F" w:rsidRPr="00EB1E47" w:rsidRDefault="0030460F" w:rsidP="0030460F">
      <w:pPr>
        <w:pStyle w:val="NormalWeb"/>
        <w:rPr>
          <w:color w:val="000000" w:themeColor="text1"/>
        </w:rPr>
      </w:pPr>
      <w:r w:rsidRPr="00EB1E47">
        <w:rPr>
          <w:color w:val="000000" w:themeColor="text1"/>
        </w:rPr>
        <w:t xml:space="preserve">Whitebread, D. (2019) </w:t>
      </w:r>
      <w:r w:rsidRPr="00EB1E47">
        <w:rPr>
          <w:rStyle w:val="Emphasis"/>
          <w:rFonts w:eastAsiaTheme="majorEastAsia"/>
          <w:color w:val="000000" w:themeColor="text1"/>
        </w:rPr>
        <w:t>The Importance of Play</w:t>
      </w:r>
      <w:r w:rsidRPr="00EB1E47">
        <w:rPr>
          <w:color w:val="000000" w:themeColor="text1"/>
        </w:rPr>
        <w:t xml:space="preserve">. London: TIE. </w:t>
      </w:r>
      <w:r w:rsidR="00EB1E47" w:rsidRPr="00EB1E47">
        <w:rPr>
          <w:color w:val="000000" w:themeColor="text1"/>
        </w:rPr>
        <w:t xml:space="preserve">Available at: </w:t>
      </w:r>
      <w:r w:rsidR="00EB1E47" w:rsidRPr="00EB1E47">
        <w:rPr>
          <w:color w:val="000000" w:themeColor="text1"/>
        </w:rPr>
        <w:fldChar w:fldCharType="begin"/>
      </w:r>
      <w:r w:rsidR="00EB1E47" w:rsidRPr="00EB1E47">
        <w:rPr>
          <w:color w:val="000000" w:themeColor="text1"/>
        </w:rPr>
        <w:instrText>HYPERLINK "</w:instrText>
      </w:r>
      <w:r w:rsidR="00EB1E47" w:rsidRPr="00EB1E47">
        <w:rPr>
          <w:color w:val="000000" w:themeColor="text1"/>
        </w:rPr>
        <w:instrText>https://www.tieonline.com/article/3371/the-importance-of-play</w:instrText>
      </w:r>
      <w:r w:rsidR="00EB1E47" w:rsidRPr="00EB1E47">
        <w:rPr>
          <w:color w:val="000000" w:themeColor="text1"/>
        </w:rPr>
        <w:instrText>"</w:instrText>
      </w:r>
      <w:r w:rsidR="00EB1E47" w:rsidRPr="00EB1E47">
        <w:rPr>
          <w:color w:val="000000" w:themeColor="text1"/>
        </w:rPr>
        <w:fldChar w:fldCharType="separate"/>
      </w:r>
      <w:r w:rsidR="00EB1E47" w:rsidRPr="00EB1E47">
        <w:rPr>
          <w:rStyle w:val="Hyperlink"/>
          <w:color w:val="000000" w:themeColor="text1"/>
        </w:rPr>
        <w:t>https://www.tieonline.com/article/3371/the-importance-of-play</w:t>
      </w:r>
      <w:r w:rsidR="00EB1E47" w:rsidRPr="00EB1E47">
        <w:rPr>
          <w:color w:val="000000" w:themeColor="text1"/>
        </w:rPr>
        <w:fldChar w:fldCharType="end"/>
      </w:r>
      <w:r w:rsidR="00EB1E47" w:rsidRPr="00EB1E47">
        <w:rPr>
          <w:color w:val="000000" w:themeColor="text1"/>
        </w:rPr>
        <w:t xml:space="preserve"> (Accessed: 9 June 2026).</w:t>
      </w:r>
    </w:p>
    <w:p w:rsidR="0030460F" w:rsidRDefault="0030460F" w:rsidP="0030460F">
      <w:pPr>
        <w:pStyle w:val="NormalWeb"/>
        <w:rPr>
          <w:color w:val="000000"/>
        </w:rPr>
      </w:pPr>
      <w:r>
        <w:rPr>
          <w:color w:val="000000"/>
        </w:rPr>
        <w:t xml:space="preserve">Wood, E. (2013) </w:t>
      </w:r>
      <w:r>
        <w:rPr>
          <w:rStyle w:val="Emphasis"/>
          <w:rFonts w:eastAsiaTheme="majorEastAsia"/>
          <w:color w:val="000000"/>
        </w:rPr>
        <w:t>Play, Learning and the Early Childhood Curriculum</w:t>
      </w:r>
      <w:r>
        <w:rPr>
          <w:color w:val="000000"/>
        </w:rPr>
        <w:t>. London: Sage.</w:t>
      </w:r>
    </w:p>
    <w:p w:rsidR="0030460F" w:rsidRDefault="0030460F" w:rsidP="0030460F">
      <w:pPr>
        <w:pStyle w:val="NormalWeb"/>
        <w:rPr>
          <w:color w:val="000000"/>
        </w:rPr>
      </w:pPr>
      <w:r>
        <w:rPr>
          <w:color w:val="000000"/>
        </w:rPr>
        <w:t xml:space="preserve">Woods, A. (2017) ‘Children’s agency in outdoor learning’, </w:t>
      </w:r>
      <w:r>
        <w:rPr>
          <w:rStyle w:val="Emphasis"/>
          <w:rFonts w:eastAsiaTheme="majorEastAsia"/>
          <w:color w:val="000000"/>
        </w:rPr>
        <w:t>Early Years</w:t>
      </w:r>
      <w:r>
        <w:rPr>
          <w:color w:val="000000"/>
        </w:rPr>
        <w:t>, 37(3), pp. 286–301.</w:t>
      </w:r>
    </w:p>
    <w:p w:rsidR="0030460F" w:rsidRDefault="0030460F" w:rsidP="0030460F">
      <w:pPr>
        <w:pStyle w:val="NormalWeb"/>
        <w:rPr>
          <w:color w:val="000000"/>
        </w:rPr>
      </w:pPr>
      <w:r>
        <w:rPr>
          <w:color w:val="000000"/>
        </w:rPr>
        <w:t xml:space="preserve">Yeo, L. and Goh, H. (2018) ‘Risk and resilience in outdoor play’, </w:t>
      </w:r>
      <w:r>
        <w:rPr>
          <w:rStyle w:val="Emphasis"/>
          <w:rFonts w:eastAsiaTheme="majorEastAsia"/>
          <w:color w:val="000000"/>
        </w:rPr>
        <w:t>Early Child Development and Care</w:t>
      </w:r>
      <w:r>
        <w:rPr>
          <w:color w:val="000000"/>
        </w:rPr>
        <w:t>, 188(2), pp. 185–198.</w:t>
      </w:r>
    </w:p>
    <w:p w:rsidR="0030460F" w:rsidRDefault="0030460F" w:rsidP="0030460F">
      <w:pPr>
        <w:pStyle w:val="NormalWeb"/>
        <w:rPr>
          <w:color w:val="000000"/>
        </w:rPr>
      </w:pPr>
      <w:r>
        <w:rPr>
          <w:color w:val="000000"/>
        </w:rPr>
        <w:t xml:space="preserve">Young, T. and Ashton, J. (2012) </w:t>
      </w:r>
      <w:r>
        <w:rPr>
          <w:rStyle w:val="Emphasis"/>
          <w:rFonts w:eastAsiaTheme="majorEastAsia"/>
          <w:color w:val="000000"/>
        </w:rPr>
        <w:t>Supporting Outdoor Play</w:t>
      </w:r>
      <w:r>
        <w:rPr>
          <w:color w:val="000000"/>
        </w:rPr>
        <w:t>. London: Practical Pre</w:t>
      </w:r>
      <w:r>
        <w:rPr>
          <w:color w:val="000000"/>
        </w:rPr>
        <w:noBreakHyphen/>
        <w:t>School Books.</w:t>
      </w:r>
    </w:p>
    <w:p w:rsidR="0030460F" w:rsidRDefault="0030460F" w:rsidP="0030460F">
      <w:pPr>
        <w:pStyle w:val="NormalWeb"/>
        <w:rPr>
          <w:color w:val="000000"/>
        </w:rPr>
      </w:pPr>
      <w:proofErr w:type="spellStart"/>
      <w:r>
        <w:rPr>
          <w:color w:val="000000"/>
        </w:rPr>
        <w:t>Zosh</w:t>
      </w:r>
      <w:proofErr w:type="spellEnd"/>
      <w:r>
        <w:rPr>
          <w:color w:val="000000"/>
        </w:rPr>
        <w:t xml:space="preserve">, J. et al. (2017) ‘Learning through play: A review of the evidence’, </w:t>
      </w:r>
      <w:r>
        <w:rPr>
          <w:rStyle w:val="Emphasis"/>
          <w:rFonts w:eastAsiaTheme="majorEastAsia"/>
          <w:color w:val="000000"/>
        </w:rPr>
        <w:t>Lego Foundation Research Series</w:t>
      </w:r>
      <w:r>
        <w:rPr>
          <w:color w:val="000000"/>
        </w:rPr>
        <w:t>. London: Lego Foundation.</w:t>
      </w:r>
    </w:p>
    <w:p w:rsidR="0030460F" w:rsidRDefault="0030460F" w:rsidP="0030460F">
      <w:pPr>
        <w:pStyle w:val="NormalWeb"/>
        <w:rPr>
          <w:color w:val="000000"/>
        </w:rPr>
      </w:pPr>
    </w:p>
    <w:p w:rsidR="00494481" w:rsidRPr="000C2CAD" w:rsidRDefault="00494481" w:rsidP="000C2CAD">
      <w:pPr>
        <w:rPr>
          <w:rFonts w:ascii="-webkit-standard" w:hAnsi="-webkit-standard"/>
          <w:color w:val="000000"/>
          <w:sz w:val="27"/>
          <w:szCs w:val="27"/>
        </w:rPr>
      </w:pPr>
    </w:p>
    <w:sectPr w:rsidR="00494481" w:rsidRPr="000C2C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CAD"/>
    <w:rsid w:val="000C2CAD"/>
    <w:rsid w:val="0030460F"/>
    <w:rsid w:val="00377FDD"/>
    <w:rsid w:val="004340D5"/>
    <w:rsid w:val="00494481"/>
    <w:rsid w:val="0076518B"/>
    <w:rsid w:val="008D2B8B"/>
    <w:rsid w:val="00AF6544"/>
    <w:rsid w:val="00B62217"/>
    <w:rsid w:val="00C06946"/>
    <w:rsid w:val="00EB1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3C6BBA"/>
  <w15:chartTrackingRefBased/>
  <w15:docId w15:val="{5C223293-A2C8-6C4C-BB88-96E3A897C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2C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C2C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C2CA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C2CA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C2CA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C2C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2C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2C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2C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CA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C2CA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C2CA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C2CA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C2CA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C2C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2C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2C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2CAD"/>
    <w:rPr>
      <w:rFonts w:eastAsiaTheme="majorEastAsia" w:cstheme="majorBidi"/>
      <w:color w:val="272727" w:themeColor="text1" w:themeTint="D8"/>
    </w:rPr>
  </w:style>
  <w:style w:type="paragraph" w:styleId="Title">
    <w:name w:val="Title"/>
    <w:basedOn w:val="Normal"/>
    <w:next w:val="Normal"/>
    <w:link w:val="TitleChar"/>
    <w:uiPriority w:val="10"/>
    <w:qFormat/>
    <w:rsid w:val="000C2C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2C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2C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2C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2CAD"/>
    <w:pPr>
      <w:spacing w:before="160"/>
      <w:jc w:val="center"/>
    </w:pPr>
    <w:rPr>
      <w:i/>
      <w:iCs/>
      <w:color w:val="404040" w:themeColor="text1" w:themeTint="BF"/>
    </w:rPr>
  </w:style>
  <w:style w:type="character" w:customStyle="1" w:styleId="QuoteChar">
    <w:name w:val="Quote Char"/>
    <w:basedOn w:val="DefaultParagraphFont"/>
    <w:link w:val="Quote"/>
    <w:uiPriority w:val="29"/>
    <w:rsid w:val="000C2CAD"/>
    <w:rPr>
      <w:i/>
      <w:iCs/>
      <w:color w:val="404040" w:themeColor="text1" w:themeTint="BF"/>
    </w:rPr>
  </w:style>
  <w:style w:type="paragraph" w:styleId="ListParagraph">
    <w:name w:val="List Paragraph"/>
    <w:basedOn w:val="Normal"/>
    <w:uiPriority w:val="34"/>
    <w:qFormat/>
    <w:rsid w:val="000C2CAD"/>
    <w:pPr>
      <w:ind w:left="720"/>
      <w:contextualSpacing/>
    </w:pPr>
  </w:style>
  <w:style w:type="character" w:styleId="IntenseEmphasis">
    <w:name w:val="Intense Emphasis"/>
    <w:basedOn w:val="DefaultParagraphFont"/>
    <w:uiPriority w:val="21"/>
    <w:qFormat/>
    <w:rsid w:val="000C2CAD"/>
    <w:rPr>
      <w:i/>
      <w:iCs/>
      <w:color w:val="2F5496" w:themeColor="accent1" w:themeShade="BF"/>
    </w:rPr>
  </w:style>
  <w:style w:type="paragraph" w:styleId="IntenseQuote">
    <w:name w:val="Intense Quote"/>
    <w:basedOn w:val="Normal"/>
    <w:next w:val="Normal"/>
    <w:link w:val="IntenseQuoteChar"/>
    <w:uiPriority w:val="30"/>
    <w:qFormat/>
    <w:rsid w:val="000C2C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C2CAD"/>
    <w:rPr>
      <w:i/>
      <w:iCs/>
      <w:color w:val="2F5496" w:themeColor="accent1" w:themeShade="BF"/>
    </w:rPr>
  </w:style>
  <w:style w:type="character" w:styleId="IntenseReference">
    <w:name w:val="Intense Reference"/>
    <w:basedOn w:val="DefaultParagraphFont"/>
    <w:uiPriority w:val="32"/>
    <w:qFormat/>
    <w:rsid w:val="000C2CAD"/>
    <w:rPr>
      <w:b/>
      <w:bCs/>
      <w:smallCaps/>
      <w:color w:val="2F5496" w:themeColor="accent1" w:themeShade="BF"/>
      <w:spacing w:val="5"/>
    </w:rPr>
  </w:style>
  <w:style w:type="paragraph" w:styleId="NormalWeb">
    <w:name w:val="Normal (Web)"/>
    <w:basedOn w:val="Normal"/>
    <w:uiPriority w:val="99"/>
    <w:semiHidden/>
    <w:unhideWhenUsed/>
    <w:rsid w:val="00AF654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F6544"/>
    <w:rPr>
      <w:b/>
      <w:bCs/>
    </w:rPr>
  </w:style>
  <w:style w:type="character" w:styleId="Emphasis">
    <w:name w:val="Emphasis"/>
    <w:basedOn w:val="DefaultParagraphFont"/>
    <w:uiPriority w:val="20"/>
    <w:qFormat/>
    <w:rsid w:val="0030460F"/>
    <w:rPr>
      <w:i/>
      <w:iCs/>
    </w:rPr>
  </w:style>
  <w:style w:type="character" w:styleId="HTMLCode">
    <w:name w:val="HTML Code"/>
    <w:basedOn w:val="DefaultParagraphFont"/>
    <w:uiPriority w:val="99"/>
    <w:semiHidden/>
    <w:unhideWhenUsed/>
    <w:rsid w:val="0030460F"/>
    <w:rPr>
      <w:rFonts w:ascii="Courier New" w:eastAsia="Times New Roman" w:hAnsi="Courier New" w:cs="Courier New"/>
      <w:sz w:val="20"/>
      <w:szCs w:val="20"/>
    </w:rPr>
  </w:style>
  <w:style w:type="character" w:styleId="Hyperlink">
    <w:name w:val="Hyperlink"/>
    <w:basedOn w:val="DefaultParagraphFont"/>
    <w:uiPriority w:val="99"/>
    <w:unhideWhenUsed/>
    <w:rsid w:val="0030460F"/>
    <w:rPr>
      <w:color w:val="0000FF"/>
      <w:u w:val="single"/>
    </w:rPr>
  </w:style>
  <w:style w:type="character" w:styleId="FollowedHyperlink">
    <w:name w:val="FollowedHyperlink"/>
    <w:basedOn w:val="DefaultParagraphFont"/>
    <w:uiPriority w:val="99"/>
    <w:semiHidden/>
    <w:unhideWhenUsed/>
    <w:rsid w:val="00EB1E47"/>
    <w:rPr>
      <w:color w:val="954F72" w:themeColor="followedHyperlink"/>
      <w:u w:val="single"/>
    </w:rPr>
  </w:style>
  <w:style w:type="character" w:styleId="UnresolvedMention">
    <w:name w:val="Unresolved Mention"/>
    <w:basedOn w:val="DefaultParagraphFont"/>
    <w:uiPriority w:val="99"/>
    <w:semiHidden/>
    <w:unhideWhenUsed/>
    <w:rsid w:val="00EB1E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assessment-arrangements" TargetMode="External"/><Relationship Id="rId3" Type="http://schemas.openxmlformats.org/officeDocument/2006/relationships/webSettings" Target="webSettings.xml"/><Relationship Id="rId7" Type="http://schemas.openxmlformats.org/officeDocument/2006/relationships/hyperlink" Target="https://www.gov.wales/sites/default/files/publications/2024-04/220622-the-additional-learning-needs-code-for-wales-2021%20%282%29.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wb.gov.wales/curriculum-for-wales/curriculum-for-funded-non-maintained-nursery-settings/" TargetMode="External"/><Relationship Id="rId5" Type="http://schemas.openxmlformats.org/officeDocument/2006/relationships/hyperlink" Target="https://hwb.gov.wales/curriculum-for-wales" TargetMode="External"/><Relationship Id="rId10" Type="http://schemas.openxmlformats.org/officeDocument/2006/relationships/theme" Target="theme/theme1.xml"/><Relationship Id="rId4" Type="http://schemas.openxmlformats.org/officeDocument/2006/relationships/hyperlink" Target="https://www.crec.co.uk/"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21</Pages>
  <Words>6461</Words>
  <Characters>36830</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JEF17835292 (Casey Elise Jeffs)</dc:creator>
  <cp:keywords/>
  <dc:description/>
  <cp:lastModifiedBy>JEF17835292 (Casey Elise Jeffs)</cp:lastModifiedBy>
  <cp:revision>5</cp:revision>
  <dcterms:created xsi:type="dcterms:W3CDTF">2026-06-14T12:19:00Z</dcterms:created>
  <dcterms:modified xsi:type="dcterms:W3CDTF">2026-06-15T17:00:00Z</dcterms:modified>
</cp:coreProperties>
</file>