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396" w:rsidRPr="00ED2DDD" w:rsidRDefault="00122396" w:rsidP="005F3674">
      <w:pPr>
        <w:spacing w:line="360" w:lineRule="auto"/>
        <w:jc w:val="both"/>
        <w:rPr>
          <w:rFonts w:ascii="Times New Roman" w:hAnsi="Times New Roman" w:cs="Times New Roman"/>
          <w:sz w:val="24"/>
          <w:szCs w:val="24"/>
        </w:rPr>
      </w:pPr>
    </w:p>
    <w:p w:rsidR="00122396" w:rsidRPr="00ED2DDD" w:rsidRDefault="00122396" w:rsidP="005F3674">
      <w:pPr>
        <w:spacing w:line="360" w:lineRule="auto"/>
        <w:jc w:val="both"/>
        <w:rPr>
          <w:rFonts w:ascii="Times New Roman" w:hAnsi="Times New Roman" w:cs="Times New Roman"/>
          <w:sz w:val="24"/>
          <w:szCs w:val="24"/>
        </w:rPr>
      </w:pPr>
    </w:p>
    <w:p w:rsidR="00CF59F1" w:rsidRPr="00ED2DDD" w:rsidRDefault="00CF59F1" w:rsidP="005F3674">
      <w:pPr>
        <w:spacing w:line="360" w:lineRule="auto"/>
        <w:jc w:val="center"/>
        <w:rPr>
          <w:rFonts w:ascii="Times New Roman" w:hAnsi="Times New Roman" w:cs="Times New Roman"/>
          <w:b/>
          <w:bCs/>
          <w:sz w:val="50"/>
          <w:szCs w:val="50"/>
        </w:rPr>
      </w:pPr>
      <w:r w:rsidRPr="00ED2DDD">
        <w:rPr>
          <w:rFonts w:ascii="Times New Roman" w:hAnsi="Times New Roman" w:cs="Times New Roman"/>
          <w:b/>
          <w:bCs/>
          <w:sz w:val="50"/>
          <w:szCs w:val="50"/>
        </w:rPr>
        <w:t>UNIVERSITY OF WALES TRINITY SAINT DAVID School of Business</w:t>
      </w:r>
    </w:p>
    <w:p w:rsidR="00122396" w:rsidRPr="00ED2DDD" w:rsidRDefault="00122396" w:rsidP="005F3674">
      <w:pPr>
        <w:spacing w:line="360" w:lineRule="auto"/>
        <w:jc w:val="both"/>
        <w:rPr>
          <w:rFonts w:ascii="Times New Roman" w:hAnsi="Times New Roman" w:cs="Times New Roman"/>
          <w:sz w:val="24"/>
          <w:szCs w:val="24"/>
        </w:rPr>
      </w:pPr>
    </w:p>
    <w:p w:rsidR="00122396" w:rsidRPr="00FB5013" w:rsidRDefault="00ED2DDD" w:rsidP="005F3674">
      <w:pPr>
        <w:spacing w:line="360" w:lineRule="auto"/>
        <w:jc w:val="center"/>
        <w:rPr>
          <w:rFonts w:ascii="Times New Roman" w:hAnsi="Times New Roman" w:cs="Times New Roman"/>
          <w:i/>
          <w:iCs/>
          <w:sz w:val="50"/>
          <w:szCs w:val="50"/>
        </w:rPr>
      </w:pPr>
      <w:r w:rsidRPr="00FB5013">
        <w:rPr>
          <w:rFonts w:ascii="Times New Roman" w:hAnsi="Times New Roman" w:cs="Times New Roman"/>
          <w:b/>
          <w:i/>
          <w:iCs/>
          <w:sz w:val="50"/>
          <w:szCs w:val="50"/>
        </w:rPr>
        <w:t>“Systemic Risk and Artificial Intelligence:</w:t>
      </w:r>
    </w:p>
    <w:p w:rsidR="00122396" w:rsidRPr="00FB5013" w:rsidRDefault="005C058B" w:rsidP="005F3674">
      <w:pPr>
        <w:spacing w:line="360" w:lineRule="auto"/>
        <w:jc w:val="center"/>
        <w:rPr>
          <w:rFonts w:ascii="Times New Roman" w:hAnsi="Times New Roman" w:cs="Times New Roman"/>
          <w:i/>
          <w:iCs/>
          <w:sz w:val="50"/>
          <w:szCs w:val="50"/>
        </w:rPr>
      </w:pPr>
      <w:r w:rsidRPr="00FB5013">
        <w:rPr>
          <w:rFonts w:ascii="Times New Roman" w:hAnsi="Times New Roman" w:cs="Times New Roman"/>
          <w:b/>
          <w:i/>
          <w:iCs/>
          <w:sz w:val="50"/>
          <w:szCs w:val="50"/>
        </w:rPr>
        <w:t>A Global Strategy Framework for HSBC Holdings plc</w:t>
      </w:r>
      <w:r w:rsidR="00ED2DDD" w:rsidRPr="00FB5013">
        <w:rPr>
          <w:rFonts w:ascii="Times New Roman" w:hAnsi="Times New Roman" w:cs="Times New Roman"/>
          <w:b/>
          <w:i/>
          <w:iCs/>
          <w:sz w:val="50"/>
          <w:szCs w:val="50"/>
        </w:rPr>
        <w:t>”</w:t>
      </w:r>
    </w:p>
    <w:p w:rsidR="00122396" w:rsidRPr="00ED2DDD" w:rsidRDefault="00122396" w:rsidP="005F3674">
      <w:pPr>
        <w:spacing w:line="360" w:lineRule="auto"/>
        <w:jc w:val="both"/>
        <w:rPr>
          <w:rFonts w:ascii="Times New Roman" w:hAnsi="Times New Roman" w:cs="Times New Roman"/>
          <w:sz w:val="24"/>
          <w:szCs w:val="24"/>
        </w:rPr>
      </w:pPr>
    </w:p>
    <w:p w:rsidR="009B733F" w:rsidRPr="00ED2DDD" w:rsidRDefault="009B733F" w:rsidP="005F3674">
      <w:pPr>
        <w:spacing w:line="360" w:lineRule="auto"/>
        <w:jc w:val="both"/>
        <w:rPr>
          <w:rFonts w:ascii="Times New Roman" w:hAnsi="Times New Roman" w:cs="Times New Roman"/>
          <w:sz w:val="30"/>
          <w:szCs w:val="30"/>
        </w:rPr>
      </w:pPr>
    </w:p>
    <w:p w:rsidR="00122396" w:rsidRPr="00FB5013" w:rsidRDefault="005C058B" w:rsidP="005F3674">
      <w:pPr>
        <w:spacing w:line="360" w:lineRule="auto"/>
        <w:jc w:val="both"/>
        <w:rPr>
          <w:rFonts w:ascii="Times New Roman" w:hAnsi="Times New Roman" w:cs="Times New Roman"/>
          <w:sz w:val="36"/>
          <w:szCs w:val="36"/>
        </w:rPr>
      </w:pPr>
      <w:r w:rsidRPr="00FB5013">
        <w:rPr>
          <w:rFonts w:ascii="Times New Roman" w:hAnsi="Times New Roman" w:cs="Times New Roman"/>
          <w:b/>
          <w:sz w:val="36"/>
          <w:szCs w:val="36"/>
        </w:rPr>
        <w:t>Prepared by:</w:t>
      </w:r>
      <w:r w:rsidR="00177C9C">
        <w:rPr>
          <w:rFonts w:ascii="Times New Roman" w:hAnsi="Times New Roman" w:cs="Times New Roman"/>
          <w:b/>
          <w:sz w:val="36"/>
          <w:szCs w:val="36"/>
        </w:rPr>
        <w:t xml:space="preserve"> MD.HASIBUL ISLAM</w:t>
      </w:r>
    </w:p>
    <w:p w:rsidR="00122396" w:rsidRPr="00FB5013" w:rsidRDefault="00694BF4" w:rsidP="005F3674">
      <w:pPr>
        <w:spacing w:line="360" w:lineRule="auto"/>
        <w:jc w:val="both"/>
        <w:rPr>
          <w:rFonts w:ascii="Times New Roman" w:hAnsi="Times New Roman" w:cs="Times New Roman"/>
          <w:sz w:val="36"/>
          <w:szCs w:val="36"/>
        </w:rPr>
      </w:pPr>
      <w:r w:rsidRPr="00FB5013">
        <w:rPr>
          <w:rFonts w:ascii="Times New Roman" w:hAnsi="Times New Roman" w:cs="Times New Roman"/>
          <w:sz w:val="36"/>
          <w:szCs w:val="36"/>
        </w:rPr>
        <w:t>Stude</w:t>
      </w:r>
      <w:r w:rsidR="00ED2DDD" w:rsidRPr="00FB5013">
        <w:rPr>
          <w:rFonts w:ascii="Times New Roman" w:hAnsi="Times New Roman" w:cs="Times New Roman"/>
          <w:sz w:val="36"/>
          <w:szCs w:val="36"/>
        </w:rPr>
        <w:t>n</w:t>
      </w:r>
      <w:r w:rsidRPr="00FB5013">
        <w:rPr>
          <w:rFonts w:ascii="Times New Roman" w:hAnsi="Times New Roman" w:cs="Times New Roman"/>
          <w:sz w:val="36"/>
          <w:szCs w:val="36"/>
        </w:rPr>
        <w:t xml:space="preserve">t ID: </w:t>
      </w:r>
      <w:r w:rsidR="00177C9C">
        <w:rPr>
          <w:rFonts w:ascii="Times New Roman" w:hAnsi="Times New Roman" w:cs="Times New Roman"/>
          <w:sz w:val="36"/>
          <w:szCs w:val="36"/>
        </w:rPr>
        <w:t>2516351</w:t>
      </w:r>
    </w:p>
    <w:p w:rsidR="00122396" w:rsidRPr="00FB5013" w:rsidRDefault="009D647C" w:rsidP="005F3674">
      <w:pPr>
        <w:spacing w:line="360" w:lineRule="auto"/>
        <w:jc w:val="both"/>
        <w:rPr>
          <w:rFonts w:ascii="Times New Roman" w:hAnsi="Times New Roman" w:cs="Times New Roman"/>
          <w:sz w:val="36"/>
          <w:szCs w:val="36"/>
        </w:rPr>
      </w:pPr>
      <w:r>
        <w:rPr>
          <w:rFonts w:ascii="Times New Roman" w:hAnsi="Times New Roman" w:cs="Times New Roman"/>
          <w:sz w:val="36"/>
          <w:szCs w:val="36"/>
        </w:rPr>
        <w:t>Program</w:t>
      </w:r>
      <w:r w:rsidR="005C058B" w:rsidRPr="00FB5013">
        <w:rPr>
          <w:rFonts w:ascii="Times New Roman" w:hAnsi="Times New Roman" w:cs="Times New Roman"/>
          <w:sz w:val="36"/>
          <w:szCs w:val="36"/>
        </w:rPr>
        <w:t>me: Master of Business Administration (MBA)</w:t>
      </w:r>
    </w:p>
    <w:p w:rsidR="00122396" w:rsidRDefault="005C058B" w:rsidP="005F3674">
      <w:pPr>
        <w:spacing w:line="360" w:lineRule="auto"/>
        <w:jc w:val="both"/>
        <w:rPr>
          <w:rFonts w:ascii="Times New Roman" w:hAnsi="Times New Roman" w:cs="Times New Roman"/>
          <w:sz w:val="36"/>
          <w:szCs w:val="36"/>
        </w:rPr>
      </w:pPr>
      <w:r w:rsidRPr="00FB5013">
        <w:rPr>
          <w:rFonts w:ascii="Times New Roman" w:hAnsi="Times New Roman" w:cs="Times New Roman"/>
          <w:sz w:val="36"/>
          <w:szCs w:val="36"/>
        </w:rPr>
        <w:t>Module: Global Business Challenges (BMMB7006)</w:t>
      </w:r>
    </w:p>
    <w:p w:rsidR="00FC6EA8" w:rsidRPr="00FC6EA8" w:rsidRDefault="00FC6EA8" w:rsidP="00FC6EA8">
      <w:pPr>
        <w:jc w:val="both"/>
        <w:rPr>
          <w:rFonts w:ascii="Times New Roman" w:hAnsi="Times New Roman" w:cs="Times New Roman"/>
          <w:sz w:val="32"/>
          <w:szCs w:val="32"/>
        </w:rPr>
      </w:pPr>
      <w:r w:rsidRPr="00FC6EA8">
        <w:rPr>
          <w:rFonts w:ascii="Times New Roman" w:hAnsi="Times New Roman" w:cs="Times New Roman"/>
          <w:b/>
          <w:bCs/>
          <w:sz w:val="32"/>
          <w:szCs w:val="32"/>
        </w:rPr>
        <w:t>Lecturer:</w:t>
      </w:r>
      <w:r w:rsidRPr="00FC6EA8">
        <w:rPr>
          <w:rFonts w:ascii="Times New Roman" w:hAnsi="Times New Roman" w:cs="Times New Roman"/>
          <w:sz w:val="32"/>
          <w:szCs w:val="32"/>
        </w:rPr>
        <w:t xml:space="preserve"> </w:t>
      </w:r>
      <w:r w:rsidRPr="00FC6EA8">
        <w:rPr>
          <w:rStyle w:val="Strong"/>
          <w:rFonts w:ascii="Times New Roman" w:hAnsi="Times New Roman" w:cs="Times New Roman"/>
          <w:sz w:val="32"/>
          <w:szCs w:val="32"/>
          <w:shd w:val="clear" w:color="auto" w:fill="FFFFFF"/>
        </w:rPr>
        <w:t>Rebecca Francis-Davies</w:t>
      </w:r>
    </w:p>
    <w:p w:rsidR="00CE5591" w:rsidRDefault="00E42DF9" w:rsidP="005F3674">
      <w:pPr>
        <w:spacing w:line="360" w:lineRule="auto"/>
        <w:jc w:val="both"/>
        <w:rPr>
          <w:rFonts w:ascii="Times New Roman" w:hAnsi="Times New Roman" w:cs="Times New Roman"/>
          <w:sz w:val="36"/>
          <w:szCs w:val="36"/>
        </w:rPr>
      </w:pPr>
      <w:r>
        <w:rPr>
          <w:rFonts w:ascii="Times New Roman" w:hAnsi="Times New Roman" w:cs="Times New Roman"/>
          <w:sz w:val="36"/>
          <w:szCs w:val="36"/>
        </w:rPr>
        <w:t>Submission Date: 15</w:t>
      </w:r>
      <w:r w:rsidR="009D1D54">
        <w:rPr>
          <w:rFonts w:ascii="Times New Roman" w:hAnsi="Times New Roman" w:cs="Times New Roman"/>
          <w:sz w:val="36"/>
          <w:szCs w:val="36"/>
        </w:rPr>
        <w:t>-04</w:t>
      </w:r>
      <w:r w:rsidR="00177C9C">
        <w:rPr>
          <w:rFonts w:ascii="Times New Roman" w:hAnsi="Times New Roman" w:cs="Times New Roman"/>
          <w:sz w:val="36"/>
          <w:szCs w:val="36"/>
        </w:rPr>
        <w:t>-2026</w:t>
      </w:r>
    </w:p>
    <w:p w:rsidR="00CE5591" w:rsidRPr="00FB5013" w:rsidRDefault="00CE5591" w:rsidP="005F3674">
      <w:pPr>
        <w:spacing w:line="360" w:lineRule="auto"/>
        <w:jc w:val="both"/>
        <w:rPr>
          <w:rFonts w:ascii="Times New Roman" w:hAnsi="Times New Roman" w:cs="Times New Roman"/>
          <w:sz w:val="36"/>
          <w:szCs w:val="36"/>
        </w:rPr>
      </w:pPr>
      <w:r>
        <w:rPr>
          <w:rFonts w:ascii="Times New Roman" w:hAnsi="Times New Roman" w:cs="Times New Roman"/>
          <w:sz w:val="36"/>
          <w:szCs w:val="36"/>
        </w:rPr>
        <w:t>Word Count: 6010</w:t>
      </w:r>
    </w:p>
    <w:p w:rsidR="00122396" w:rsidRPr="00ED2DDD" w:rsidRDefault="00122396" w:rsidP="005F3674">
      <w:pPr>
        <w:spacing w:line="360" w:lineRule="auto"/>
        <w:jc w:val="both"/>
        <w:rPr>
          <w:rFonts w:ascii="Times New Roman" w:hAnsi="Times New Roman" w:cs="Times New Roman"/>
          <w:sz w:val="24"/>
          <w:szCs w:val="24"/>
        </w:rPr>
        <w:sectPr w:rsidR="00122396" w:rsidRPr="00ED2DDD">
          <w:footerReference w:type="default" r:id="rId8"/>
          <w:pgSz w:w="12240" w:h="15840"/>
          <w:pgMar w:top="1152" w:right="1296" w:bottom="1008" w:left="1296" w:header="720" w:footer="720" w:gutter="0"/>
          <w:cols w:space="720"/>
          <w:titlePg/>
          <w:docGrid w:linePitch="360"/>
        </w:sectPr>
      </w:pPr>
    </w:p>
    <w:sdt>
      <w:sdtPr>
        <w:rPr>
          <w:rFonts w:ascii="Cambria" w:eastAsia="Cambria" w:hAnsi="Cambria" w:cstheme="minorBidi"/>
          <w:b w:val="0"/>
          <w:bCs w:val="0"/>
          <w:color w:val="auto"/>
          <w:sz w:val="21"/>
          <w:szCs w:val="22"/>
        </w:rPr>
        <w:id w:val="1778749330"/>
        <w:docPartObj>
          <w:docPartGallery w:val="Table of Contents"/>
          <w:docPartUnique/>
        </w:docPartObj>
      </w:sdtPr>
      <w:sdtEndPr>
        <w:rPr>
          <w:noProof/>
        </w:rPr>
      </w:sdtEndPr>
      <w:sdtContent>
        <w:p w:rsidR="00223734" w:rsidRDefault="00223734">
          <w:pPr>
            <w:pStyle w:val="TOCHeading"/>
            <w:rPr>
              <w:rFonts w:ascii="Times New Roman" w:hAnsi="Times New Roman" w:cs="Times New Roman"/>
              <w:color w:val="auto"/>
            </w:rPr>
          </w:pPr>
          <w:r w:rsidRPr="00207CA5">
            <w:rPr>
              <w:rFonts w:ascii="Times New Roman" w:hAnsi="Times New Roman" w:cs="Times New Roman"/>
              <w:color w:val="auto"/>
            </w:rPr>
            <w:t>Table of Contents</w:t>
          </w:r>
        </w:p>
        <w:p w:rsidR="000C171C" w:rsidRPr="000C171C" w:rsidRDefault="000C171C" w:rsidP="000C171C"/>
        <w:p w:rsidR="00223734" w:rsidRPr="00ED2DDD" w:rsidRDefault="009B6ACD">
          <w:pPr>
            <w:pStyle w:val="TOC1"/>
            <w:tabs>
              <w:tab w:val="right" w:leader="dot" w:pos="9638"/>
            </w:tabs>
            <w:rPr>
              <w:noProof/>
            </w:rPr>
          </w:pPr>
          <w:r w:rsidRPr="009B6ACD">
            <w:fldChar w:fldCharType="begin"/>
          </w:r>
          <w:r w:rsidR="00223734" w:rsidRPr="00ED2DDD">
            <w:instrText xml:space="preserve"> TOC \o "1-3" \h \z \u </w:instrText>
          </w:r>
          <w:r w:rsidRPr="009B6ACD">
            <w:fldChar w:fldCharType="separate"/>
          </w:r>
          <w:hyperlink w:anchor="_Toc225218176" w:history="1">
            <w:r w:rsidR="00223734" w:rsidRPr="00ED2DDD">
              <w:rPr>
                <w:rStyle w:val="Hyperlink"/>
                <w:rFonts w:ascii="Times New Roman" w:hAnsi="Times New Roman" w:cs="Times New Roman"/>
                <w:noProof/>
                <w:color w:val="auto"/>
              </w:rPr>
              <w:t>I. Executive Summary</w:t>
            </w:r>
            <w:r w:rsidR="00223734" w:rsidRPr="00ED2DDD">
              <w:rPr>
                <w:noProof/>
                <w:webHidden/>
              </w:rPr>
              <w:tab/>
            </w:r>
            <w:r w:rsidRPr="00ED2DDD">
              <w:rPr>
                <w:noProof/>
                <w:webHidden/>
              </w:rPr>
              <w:fldChar w:fldCharType="begin"/>
            </w:r>
            <w:r w:rsidR="00223734" w:rsidRPr="00ED2DDD">
              <w:rPr>
                <w:noProof/>
                <w:webHidden/>
              </w:rPr>
              <w:instrText xml:space="preserve"> PAGEREF _Toc225218176 \h </w:instrText>
            </w:r>
            <w:r w:rsidRPr="00ED2DDD">
              <w:rPr>
                <w:noProof/>
                <w:webHidden/>
              </w:rPr>
            </w:r>
            <w:r w:rsidRPr="00ED2DDD">
              <w:rPr>
                <w:noProof/>
                <w:webHidden/>
              </w:rPr>
              <w:fldChar w:fldCharType="separate"/>
            </w:r>
            <w:r w:rsidR="00223734" w:rsidRPr="00ED2DDD">
              <w:rPr>
                <w:noProof/>
                <w:webHidden/>
              </w:rPr>
              <w:t>3</w:t>
            </w:r>
            <w:r w:rsidRPr="00ED2DDD">
              <w:rPr>
                <w:noProof/>
                <w:webHidden/>
              </w:rPr>
              <w:fldChar w:fldCharType="end"/>
            </w:r>
          </w:hyperlink>
        </w:p>
        <w:p w:rsidR="00223734" w:rsidRPr="00ED2DDD" w:rsidRDefault="009B6ACD">
          <w:pPr>
            <w:pStyle w:val="TOC1"/>
            <w:tabs>
              <w:tab w:val="right" w:leader="dot" w:pos="9638"/>
            </w:tabs>
            <w:rPr>
              <w:noProof/>
            </w:rPr>
          </w:pPr>
          <w:hyperlink w:anchor="_Toc225218177" w:history="1">
            <w:r w:rsidR="00223734" w:rsidRPr="00ED2DDD">
              <w:rPr>
                <w:rStyle w:val="Hyperlink"/>
                <w:rFonts w:ascii="Times New Roman" w:hAnsi="Times New Roman" w:cs="Times New Roman"/>
                <w:noProof/>
                <w:color w:val="auto"/>
              </w:rPr>
              <w:t>II. Introduction</w:t>
            </w:r>
            <w:r w:rsidR="00223734" w:rsidRPr="00ED2DDD">
              <w:rPr>
                <w:noProof/>
                <w:webHidden/>
              </w:rPr>
              <w:tab/>
            </w:r>
            <w:r w:rsidRPr="00ED2DDD">
              <w:rPr>
                <w:noProof/>
                <w:webHidden/>
              </w:rPr>
              <w:fldChar w:fldCharType="begin"/>
            </w:r>
            <w:r w:rsidR="00223734" w:rsidRPr="00ED2DDD">
              <w:rPr>
                <w:noProof/>
                <w:webHidden/>
              </w:rPr>
              <w:instrText xml:space="preserve"> PAGEREF _Toc225218177 \h </w:instrText>
            </w:r>
            <w:r w:rsidRPr="00ED2DDD">
              <w:rPr>
                <w:noProof/>
                <w:webHidden/>
              </w:rPr>
            </w:r>
            <w:r w:rsidRPr="00ED2DDD">
              <w:rPr>
                <w:noProof/>
                <w:webHidden/>
              </w:rPr>
              <w:fldChar w:fldCharType="separate"/>
            </w:r>
            <w:r w:rsidR="00223734" w:rsidRPr="00ED2DDD">
              <w:rPr>
                <w:noProof/>
                <w:webHidden/>
              </w:rPr>
              <w:t>3</w:t>
            </w:r>
            <w:r w:rsidRPr="00ED2DDD">
              <w:rPr>
                <w:noProof/>
                <w:webHidden/>
              </w:rPr>
              <w:fldChar w:fldCharType="end"/>
            </w:r>
          </w:hyperlink>
        </w:p>
        <w:p w:rsidR="00223734" w:rsidRPr="00ED2DDD" w:rsidRDefault="009B6ACD">
          <w:pPr>
            <w:pStyle w:val="TOC1"/>
            <w:tabs>
              <w:tab w:val="right" w:leader="dot" w:pos="9638"/>
            </w:tabs>
            <w:rPr>
              <w:noProof/>
            </w:rPr>
          </w:pPr>
          <w:hyperlink w:anchor="_Toc225218178" w:history="1">
            <w:r w:rsidR="00223734" w:rsidRPr="00ED2DDD">
              <w:rPr>
                <w:rStyle w:val="Hyperlink"/>
                <w:rFonts w:ascii="Times New Roman" w:hAnsi="Times New Roman" w:cs="Times New Roman"/>
                <w:noProof/>
                <w:color w:val="auto"/>
              </w:rPr>
              <w:t>III. Macro-Environmental Pressures (PESTLE Framework).</w:t>
            </w:r>
            <w:r w:rsidR="00223734" w:rsidRPr="00ED2DDD">
              <w:rPr>
                <w:noProof/>
                <w:webHidden/>
              </w:rPr>
              <w:tab/>
            </w:r>
            <w:r w:rsidRPr="00ED2DDD">
              <w:rPr>
                <w:noProof/>
                <w:webHidden/>
              </w:rPr>
              <w:fldChar w:fldCharType="begin"/>
            </w:r>
            <w:r w:rsidR="00223734" w:rsidRPr="00ED2DDD">
              <w:rPr>
                <w:noProof/>
                <w:webHidden/>
              </w:rPr>
              <w:instrText xml:space="preserve"> PAGEREF _Toc225218178 \h </w:instrText>
            </w:r>
            <w:r w:rsidRPr="00ED2DDD">
              <w:rPr>
                <w:noProof/>
                <w:webHidden/>
              </w:rPr>
            </w:r>
            <w:r w:rsidRPr="00ED2DDD">
              <w:rPr>
                <w:noProof/>
                <w:webHidden/>
              </w:rPr>
              <w:fldChar w:fldCharType="separate"/>
            </w:r>
            <w:r w:rsidR="00223734" w:rsidRPr="00ED2DDD">
              <w:rPr>
                <w:noProof/>
                <w:webHidden/>
              </w:rPr>
              <w:t>4</w:t>
            </w:r>
            <w:r w:rsidRPr="00ED2DDD">
              <w:rPr>
                <w:noProof/>
                <w:webHidden/>
              </w:rPr>
              <w:fldChar w:fldCharType="end"/>
            </w:r>
          </w:hyperlink>
        </w:p>
        <w:p w:rsidR="00223734" w:rsidRPr="00ED2DDD" w:rsidRDefault="009B6ACD">
          <w:pPr>
            <w:pStyle w:val="TOC2"/>
            <w:tabs>
              <w:tab w:val="right" w:leader="dot" w:pos="9638"/>
            </w:tabs>
            <w:rPr>
              <w:noProof/>
            </w:rPr>
          </w:pPr>
          <w:hyperlink w:anchor="_Toc225218179" w:history="1">
            <w:r w:rsidR="00223734" w:rsidRPr="00ED2DDD">
              <w:rPr>
                <w:rStyle w:val="Hyperlink"/>
                <w:noProof/>
                <w:color w:val="auto"/>
              </w:rPr>
              <w:t>A. The Politics: Geopolitics and Compliance with Sanctions.</w:t>
            </w:r>
            <w:r w:rsidR="00223734" w:rsidRPr="00ED2DDD">
              <w:rPr>
                <w:noProof/>
                <w:webHidden/>
              </w:rPr>
              <w:tab/>
            </w:r>
            <w:r w:rsidRPr="00ED2DDD">
              <w:rPr>
                <w:noProof/>
                <w:webHidden/>
              </w:rPr>
              <w:fldChar w:fldCharType="begin"/>
            </w:r>
            <w:r w:rsidR="00223734" w:rsidRPr="00ED2DDD">
              <w:rPr>
                <w:noProof/>
                <w:webHidden/>
              </w:rPr>
              <w:instrText xml:space="preserve"> PAGEREF _Toc225218179 \h </w:instrText>
            </w:r>
            <w:r w:rsidRPr="00ED2DDD">
              <w:rPr>
                <w:noProof/>
                <w:webHidden/>
              </w:rPr>
            </w:r>
            <w:r w:rsidRPr="00ED2DDD">
              <w:rPr>
                <w:noProof/>
                <w:webHidden/>
              </w:rPr>
              <w:fldChar w:fldCharType="separate"/>
            </w:r>
            <w:r w:rsidR="00223734" w:rsidRPr="00ED2DDD">
              <w:rPr>
                <w:noProof/>
                <w:webHidden/>
              </w:rPr>
              <w:t>4</w:t>
            </w:r>
            <w:r w:rsidRPr="00ED2DDD">
              <w:rPr>
                <w:noProof/>
                <w:webHidden/>
              </w:rPr>
              <w:fldChar w:fldCharType="end"/>
            </w:r>
          </w:hyperlink>
        </w:p>
        <w:p w:rsidR="00223734" w:rsidRPr="00ED2DDD" w:rsidRDefault="009B6ACD">
          <w:pPr>
            <w:pStyle w:val="TOC2"/>
            <w:tabs>
              <w:tab w:val="right" w:leader="dot" w:pos="9638"/>
            </w:tabs>
            <w:rPr>
              <w:noProof/>
            </w:rPr>
          </w:pPr>
          <w:hyperlink w:anchor="_Toc225218180" w:history="1">
            <w:r w:rsidR="00223734" w:rsidRPr="00ED2DDD">
              <w:rPr>
                <w:rStyle w:val="Hyperlink"/>
                <w:noProof/>
                <w:color w:val="auto"/>
              </w:rPr>
              <w:t>B. Economic Realities: Systems Shocks and Algorithmic Trading.</w:t>
            </w:r>
            <w:r w:rsidR="00223734" w:rsidRPr="00ED2DDD">
              <w:rPr>
                <w:noProof/>
                <w:webHidden/>
              </w:rPr>
              <w:tab/>
            </w:r>
            <w:r w:rsidRPr="00ED2DDD">
              <w:rPr>
                <w:noProof/>
                <w:webHidden/>
              </w:rPr>
              <w:fldChar w:fldCharType="begin"/>
            </w:r>
            <w:r w:rsidR="00223734" w:rsidRPr="00ED2DDD">
              <w:rPr>
                <w:noProof/>
                <w:webHidden/>
              </w:rPr>
              <w:instrText xml:space="preserve"> PAGEREF _Toc225218180 \h </w:instrText>
            </w:r>
            <w:r w:rsidRPr="00ED2DDD">
              <w:rPr>
                <w:noProof/>
                <w:webHidden/>
              </w:rPr>
            </w:r>
            <w:r w:rsidRPr="00ED2DDD">
              <w:rPr>
                <w:noProof/>
                <w:webHidden/>
              </w:rPr>
              <w:fldChar w:fldCharType="separate"/>
            </w:r>
            <w:r w:rsidR="00223734" w:rsidRPr="00ED2DDD">
              <w:rPr>
                <w:noProof/>
                <w:webHidden/>
              </w:rPr>
              <w:t>5</w:t>
            </w:r>
            <w:r w:rsidRPr="00ED2DDD">
              <w:rPr>
                <w:noProof/>
                <w:webHidden/>
              </w:rPr>
              <w:fldChar w:fldCharType="end"/>
            </w:r>
          </w:hyperlink>
        </w:p>
        <w:p w:rsidR="00223734" w:rsidRPr="00ED2DDD" w:rsidRDefault="009B6ACD">
          <w:pPr>
            <w:pStyle w:val="TOC2"/>
            <w:tabs>
              <w:tab w:val="right" w:leader="dot" w:pos="9638"/>
            </w:tabs>
            <w:rPr>
              <w:noProof/>
            </w:rPr>
          </w:pPr>
          <w:hyperlink w:anchor="_Toc225218181" w:history="1">
            <w:r w:rsidR="00223734" w:rsidRPr="00ED2DDD">
              <w:rPr>
                <w:rStyle w:val="Hyperlink"/>
                <w:noProof/>
                <w:color w:val="auto"/>
              </w:rPr>
              <w:t>C. Social Changes: Algo Redlining and Financial Inclusion.</w:t>
            </w:r>
            <w:r w:rsidR="00223734" w:rsidRPr="00ED2DDD">
              <w:rPr>
                <w:noProof/>
                <w:webHidden/>
              </w:rPr>
              <w:tab/>
            </w:r>
            <w:r w:rsidRPr="00ED2DDD">
              <w:rPr>
                <w:noProof/>
                <w:webHidden/>
              </w:rPr>
              <w:fldChar w:fldCharType="begin"/>
            </w:r>
            <w:r w:rsidR="00223734" w:rsidRPr="00ED2DDD">
              <w:rPr>
                <w:noProof/>
                <w:webHidden/>
              </w:rPr>
              <w:instrText xml:space="preserve"> PAGEREF _Toc225218181 \h </w:instrText>
            </w:r>
            <w:r w:rsidRPr="00ED2DDD">
              <w:rPr>
                <w:noProof/>
                <w:webHidden/>
              </w:rPr>
            </w:r>
            <w:r w:rsidRPr="00ED2DDD">
              <w:rPr>
                <w:noProof/>
                <w:webHidden/>
              </w:rPr>
              <w:fldChar w:fldCharType="separate"/>
            </w:r>
            <w:r w:rsidR="00223734" w:rsidRPr="00ED2DDD">
              <w:rPr>
                <w:noProof/>
                <w:webHidden/>
              </w:rPr>
              <w:t>5</w:t>
            </w:r>
            <w:r w:rsidRPr="00ED2DDD">
              <w:rPr>
                <w:noProof/>
                <w:webHidden/>
              </w:rPr>
              <w:fldChar w:fldCharType="end"/>
            </w:r>
          </w:hyperlink>
        </w:p>
        <w:p w:rsidR="00223734" w:rsidRPr="00ED2DDD" w:rsidRDefault="009B6ACD">
          <w:pPr>
            <w:pStyle w:val="TOC2"/>
            <w:tabs>
              <w:tab w:val="right" w:leader="dot" w:pos="9638"/>
            </w:tabs>
            <w:rPr>
              <w:noProof/>
            </w:rPr>
          </w:pPr>
          <w:hyperlink w:anchor="_Toc225218182" w:history="1">
            <w:r w:rsidR="00223734" w:rsidRPr="00ED2DDD">
              <w:rPr>
                <w:rStyle w:val="Hyperlink"/>
                <w:noProof/>
                <w:color w:val="auto"/>
              </w:rPr>
              <w:t>D. Technological Disruption: Generative Fraud and Legacy Systems.</w:t>
            </w:r>
            <w:r w:rsidR="00223734" w:rsidRPr="00ED2DDD">
              <w:rPr>
                <w:noProof/>
                <w:webHidden/>
              </w:rPr>
              <w:tab/>
            </w:r>
            <w:r w:rsidRPr="00ED2DDD">
              <w:rPr>
                <w:noProof/>
                <w:webHidden/>
              </w:rPr>
              <w:fldChar w:fldCharType="begin"/>
            </w:r>
            <w:r w:rsidR="00223734" w:rsidRPr="00ED2DDD">
              <w:rPr>
                <w:noProof/>
                <w:webHidden/>
              </w:rPr>
              <w:instrText xml:space="preserve"> PAGEREF _Toc225218182 \h </w:instrText>
            </w:r>
            <w:r w:rsidRPr="00ED2DDD">
              <w:rPr>
                <w:noProof/>
                <w:webHidden/>
              </w:rPr>
            </w:r>
            <w:r w:rsidRPr="00ED2DDD">
              <w:rPr>
                <w:noProof/>
                <w:webHidden/>
              </w:rPr>
              <w:fldChar w:fldCharType="separate"/>
            </w:r>
            <w:r w:rsidR="00223734" w:rsidRPr="00ED2DDD">
              <w:rPr>
                <w:noProof/>
                <w:webHidden/>
              </w:rPr>
              <w:t>6</w:t>
            </w:r>
            <w:r w:rsidRPr="00ED2DDD">
              <w:rPr>
                <w:noProof/>
                <w:webHidden/>
              </w:rPr>
              <w:fldChar w:fldCharType="end"/>
            </w:r>
          </w:hyperlink>
        </w:p>
        <w:p w:rsidR="00223734" w:rsidRPr="00ED2DDD" w:rsidRDefault="009B6ACD">
          <w:pPr>
            <w:pStyle w:val="TOC2"/>
            <w:tabs>
              <w:tab w:val="right" w:leader="dot" w:pos="9638"/>
            </w:tabs>
            <w:rPr>
              <w:noProof/>
            </w:rPr>
          </w:pPr>
          <w:hyperlink w:anchor="_Toc225218183" w:history="1">
            <w:r w:rsidR="00223734" w:rsidRPr="00ED2DDD">
              <w:rPr>
                <w:rStyle w:val="Hyperlink"/>
                <w:noProof/>
                <w:color w:val="auto"/>
              </w:rPr>
              <w:t>E. Legal Complexity: GDPR and Algorithmic Accountability.</w:t>
            </w:r>
            <w:r w:rsidR="00223734" w:rsidRPr="00ED2DDD">
              <w:rPr>
                <w:noProof/>
                <w:webHidden/>
              </w:rPr>
              <w:tab/>
            </w:r>
            <w:r w:rsidRPr="00ED2DDD">
              <w:rPr>
                <w:noProof/>
                <w:webHidden/>
              </w:rPr>
              <w:fldChar w:fldCharType="begin"/>
            </w:r>
            <w:r w:rsidR="00223734" w:rsidRPr="00ED2DDD">
              <w:rPr>
                <w:noProof/>
                <w:webHidden/>
              </w:rPr>
              <w:instrText xml:space="preserve"> PAGEREF _Toc225218183 \h </w:instrText>
            </w:r>
            <w:r w:rsidRPr="00ED2DDD">
              <w:rPr>
                <w:noProof/>
                <w:webHidden/>
              </w:rPr>
            </w:r>
            <w:r w:rsidRPr="00ED2DDD">
              <w:rPr>
                <w:noProof/>
                <w:webHidden/>
              </w:rPr>
              <w:fldChar w:fldCharType="separate"/>
            </w:r>
            <w:r w:rsidR="00223734" w:rsidRPr="00ED2DDD">
              <w:rPr>
                <w:noProof/>
                <w:webHidden/>
              </w:rPr>
              <w:t>6</w:t>
            </w:r>
            <w:r w:rsidRPr="00ED2DDD">
              <w:rPr>
                <w:noProof/>
                <w:webHidden/>
              </w:rPr>
              <w:fldChar w:fldCharType="end"/>
            </w:r>
          </w:hyperlink>
        </w:p>
        <w:p w:rsidR="00223734" w:rsidRPr="00ED2DDD" w:rsidRDefault="009B6ACD">
          <w:pPr>
            <w:pStyle w:val="TOC2"/>
            <w:tabs>
              <w:tab w:val="right" w:leader="dot" w:pos="9638"/>
            </w:tabs>
            <w:rPr>
              <w:noProof/>
            </w:rPr>
          </w:pPr>
          <w:hyperlink w:anchor="_Toc225218184" w:history="1">
            <w:r w:rsidR="00223734" w:rsidRPr="00ED2DDD">
              <w:rPr>
                <w:rStyle w:val="Hyperlink"/>
                <w:noProof/>
                <w:color w:val="auto"/>
              </w:rPr>
              <w:t>F. Environmental Scrutiny: Following Financed Emissions.</w:t>
            </w:r>
            <w:r w:rsidR="00223734" w:rsidRPr="00ED2DDD">
              <w:rPr>
                <w:noProof/>
                <w:webHidden/>
              </w:rPr>
              <w:tab/>
            </w:r>
            <w:r w:rsidRPr="00ED2DDD">
              <w:rPr>
                <w:noProof/>
                <w:webHidden/>
              </w:rPr>
              <w:fldChar w:fldCharType="begin"/>
            </w:r>
            <w:r w:rsidR="00223734" w:rsidRPr="00ED2DDD">
              <w:rPr>
                <w:noProof/>
                <w:webHidden/>
              </w:rPr>
              <w:instrText xml:space="preserve"> PAGEREF _Toc225218184 \h </w:instrText>
            </w:r>
            <w:r w:rsidRPr="00ED2DDD">
              <w:rPr>
                <w:noProof/>
                <w:webHidden/>
              </w:rPr>
            </w:r>
            <w:r w:rsidRPr="00ED2DDD">
              <w:rPr>
                <w:noProof/>
                <w:webHidden/>
              </w:rPr>
              <w:fldChar w:fldCharType="separate"/>
            </w:r>
            <w:r w:rsidR="00223734" w:rsidRPr="00ED2DDD">
              <w:rPr>
                <w:noProof/>
                <w:webHidden/>
              </w:rPr>
              <w:t>7</w:t>
            </w:r>
            <w:r w:rsidRPr="00ED2DDD">
              <w:rPr>
                <w:noProof/>
                <w:webHidden/>
              </w:rPr>
              <w:fldChar w:fldCharType="end"/>
            </w:r>
          </w:hyperlink>
        </w:p>
        <w:p w:rsidR="00223734" w:rsidRPr="00ED2DDD" w:rsidRDefault="009B6ACD">
          <w:pPr>
            <w:pStyle w:val="TOC1"/>
            <w:tabs>
              <w:tab w:val="right" w:leader="dot" w:pos="9638"/>
            </w:tabs>
            <w:rPr>
              <w:noProof/>
            </w:rPr>
          </w:pPr>
          <w:hyperlink w:anchor="_Toc225218185" w:history="1">
            <w:r w:rsidR="00223734" w:rsidRPr="00ED2DDD">
              <w:rPr>
                <w:rStyle w:val="Hyperlink"/>
                <w:noProof/>
                <w:color w:val="auto"/>
              </w:rPr>
              <w:t>IV. Micro-Economic Structures and the International Trade Theory</w:t>
            </w:r>
            <w:r w:rsidR="00223734" w:rsidRPr="00ED2DDD">
              <w:rPr>
                <w:noProof/>
                <w:webHidden/>
              </w:rPr>
              <w:tab/>
            </w:r>
            <w:r w:rsidRPr="00ED2DDD">
              <w:rPr>
                <w:noProof/>
                <w:webHidden/>
              </w:rPr>
              <w:fldChar w:fldCharType="begin"/>
            </w:r>
            <w:r w:rsidR="00223734" w:rsidRPr="00ED2DDD">
              <w:rPr>
                <w:noProof/>
                <w:webHidden/>
              </w:rPr>
              <w:instrText xml:space="preserve"> PAGEREF _Toc225218185 \h </w:instrText>
            </w:r>
            <w:r w:rsidRPr="00ED2DDD">
              <w:rPr>
                <w:noProof/>
                <w:webHidden/>
              </w:rPr>
            </w:r>
            <w:r w:rsidRPr="00ED2DDD">
              <w:rPr>
                <w:noProof/>
                <w:webHidden/>
              </w:rPr>
              <w:fldChar w:fldCharType="separate"/>
            </w:r>
            <w:r w:rsidR="00223734" w:rsidRPr="00ED2DDD">
              <w:rPr>
                <w:noProof/>
                <w:webHidden/>
              </w:rPr>
              <w:t>7</w:t>
            </w:r>
            <w:r w:rsidRPr="00ED2DDD">
              <w:rPr>
                <w:noProof/>
                <w:webHidden/>
              </w:rPr>
              <w:fldChar w:fldCharType="end"/>
            </w:r>
          </w:hyperlink>
        </w:p>
        <w:p w:rsidR="00223734" w:rsidRPr="00ED2DDD" w:rsidRDefault="009B6ACD">
          <w:pPr>
            <w:pStyle w:val="TOC2"/>
            <w:tabs>
              <w:tab w:val="right" w:leader="dot" w:pos="9638"/>
            </w:tabs>
            <w:rPr>
              <w:noProof/>
            </w:rPr>
          </w:pPr>
          <w:hyperlink w:anchor="_Toc225218186" w:history="1">
            <w:r w:rsidR="00223734" w:rsidRPr="00ED2DDD">
              <w:rPr>
                <w:rStyle w:val="Hyperlink"/>
                <w:noProof/>
                <w:color w:val="auto"/>
              </w:rPr>
              <w:t>A. Models of Trade and Digital Capital Flows.</w:t>
            </w:r>
            <w:r w:rsidR="00223734" w:rsidRPr="00ED2DDD">
              <w:rPr>
                <w:noProof/>
                <w:webHidden/>
              </w:rPr>
              <w:tab/>
            </w:r>
            <w:r w:rsidRPr="00ED2DDD">
              <w:rPr>
                <w:noProof/>
                <w:webHidden/>
              </w:rPr>
              <w:fldChar w:fldCharType="begin"/>
            </w:r>
            <w:r w:rsidR="00223734" w:rsidRPr="00ED2DDD">
              <w:rPr>
                <w:noProof/>
                <w:webHidden/>
              </w:rPr>
              <w:instrText xml:space="preserve"> PAGEREF _Toc225218186 \h </w:instrText>
            </w:r>
            <w:r w:rsidRPr="00ED2DDD">
              <w:rPr>
                <w:noProof/>
                <w:webHidden/>
              </w:rPr>
            </w:r>
            <w:r w:rsidRPr="00ED2DDD">
              <w:rPr>
                <w:noProof/>
                <w:webHidden/>
              </w:rPr>
              <w:fldChar w:fldCharType="separate"/>
            </w:r>
            <w:r w:rsidR="00223734" w:rsidRPr="00ED2DDD">
              <w:rPr>
                <w:noProof/>
                <w:webHidden/>
              </w:rPr>
              <w:t>7</w:t>
            </w:r>
            <w:r w:rsidRPr="00ED2DDD">
              <w:rPr>
                <w:noProof/>
                <w:webHidden/>
              </w:rPr>
              <w:fldChar w:fldCharType="end"/>
            </w:r>
          </w:hyperlink>
        </w:p>
        <w:p w:rsidR="00223734" w:rsidRPr="00ED2DDD" w:rsidRDefault="009B6ACD">
          <w:pPr>
            <w:pStyle w:val="TOC2"/>
            <w:tabs>
              <w:tab w:val="right" w:leader="dot" w:pos="9638"/>
            </w:tabs>
            <w:rPr>
              <w:noProof/>
            </w:rPr>
          </w:pPr>
          <w:hyperlink w:anchor="_Toc225218187" w:history="1">
            <w:r w:rsidR="00223734" w:rsidRPr="00ED2DDD">
              <w:rPr>
                <w:rStyle w:val="Hyperlink"/>
                <w:noProof/>
                <w:color w:val="auto"/>
              </w:rPr>
              <w:t>B. Digital Foreign Direct Investment in Financial services.</w:t>
            </w:r>
            <w:r w:rsidR="00223734" w:rsidRPr="00ED2DDD">
              <w:rPr>
                <w:noProof/>
                <w:webHidden/>
              </w:rPr>
              <w:tab/>
            </w:r>
            <w:r w:rsidRPr="00ED2DDD">
              <w:rPr>
                <w:noProof/>
                <w:webHidden/>
              </w:rPr>
              <w:fldChar w:fldCharType="begin"/>
            </w:r>
            <w:r w:rsidR="00223734" w:rsidRPr="00ED2DDD">
              <w:rPr>
                <w:noProof/>
                <w:webHidden/>
              </w:rPr>
              <w:instrText xml:space="preserve"> PAGEREF _Toc225218187 \h </w:instrText>
            </w:r>
            <w:r w:rsidRPr="00ED2DDD">
              <w:rPr>
                <w:noProof/>
                <w:webHidden/>
              </w:rPr>
            </w:r>
            <w:r w:rsidRPr="00ED2DDD">
              <w:rPr>
                <w:noProof/>
                <w:webHidden/>
              </w:rPr>
              <w:fldChar w:fldCharType="separate"/>
            </w:r>
            <w:r w:rsidR="00223734" w:rsidRPr="00ED2DDD">
              <w:rPr>
                <w:noProof/>
                <w:webHidden/>
              </w:rPr>
              <w:t>8</w:t>
            </w:r>
            <w:r w:rsidRPr="00ED2DDD">
              <w:rPr>
                <w:noProof/>
                <w:webHidden/>
              </w:rPr>
              <w:fldChar w:fldCharType="end"/>
            </w:r>
          </w:hyperlink>
        </w:p>
        <w:p w:rsidR="00223734" w:rsidRPr="00ED2DDD" w:rsidRDefault="009B6ACD">
          <w:pPr>
            <w:pStyle w:val="TOC2"/>
            <w:tabs>
              <w:tab w:val="right" w:leader="dot" w:pos="9638"/>
            </w:tabs>
            <w:rPr>
              <w:noProof/>
            </w:rPr>
          </w:pPr>
          <w:hyperlink w:anchor="_Toc225218188" w:history="1">
            <w:r w:rsidR="00223734" w:rsidRPr="00ED2DDD">
              <w:rPr>
                <w:rStyle w:val="Hyperlink"/>
                <w:noProof/>
                <w:color w:val="auto"/>
              </w:rPr>
              <w:t>C. Micro-Economic Structures: Algorithms of pricing risk.</w:t>
            </w:r>
            <w:r w:rsidR="00223734" w:rsidRPr="00ED2DDD">
              <w:rPr>
                <w:noProof/>
                <w:webHidden/>
              </w:rPr>
              <w:tab/>
            </w:r>
            <w:r w:rsidRPr="00ED2DDD">
              <w:rPr>
                <w:noProof/>
                <w:webHidden/>
              </w:rPr>
              <w:fldChar w:fldCharType="begin"/>
            </w:r>
            <w:r w:rsidR="00223734" w:rsidRPr="00ED2DDD">
              <w:rPr>
                <w:noProof/>
                <w:webHidden/>
              </w:rPr>
              <w:instrText xml:space="preserve"> PAGEREF _Toc225218188 \h </w:instrText>
            </w:r>
            <w:r w:rsidRPr="00ED2DDD">
              <w:rPr>
                <w:noProof/>
                <w:webHidden/>
              </w:rPr>
            </w:r>
            <w:r w:rsidRPr="00ED2DDD">
              <w:rPr>
                <w:noProof/>
                <w:webHidden/>
              </w:rPr>
              <w:fldChar w:fldCharType="separate"/>
            </w:r>
            <w:r w:rsidR="00223734" w:rsidRPr="00ED2DDD">
              <w:rPr>
                <w:noProof/>
                <w:webHidden/>
              </w:rPr>
              <w:t>9</w:t>
            </w:r>
            <w:r w:rsidRPr="00ED2DDD">
              <w:rPr>
                <w:noProof/>
                <w:webHidden/>
              </w:rPr>
              <w:fldChar w:fldCharType="end"/>
            </w:r>
          </w:hyperlink>
        </w:p>
        <w:p w:rsidR="00223734" w:rsidRPr="00ED2DDD" w:rsidRDefault="009B6ACD">
          <w:pPr>
            <w:pStyle w:val="TOC1"/>
            <w:tabs>
              <w:tab w:val="right" w:leader="dot" w:pos="9638"/>
            </w:tabs>
            <w:rPr>
              <w:noProof/>
            </w:rPr>
          </w:pPr>
          <w:hyperlink w:anchor="_Toc225218189" w:history="1">
            <w:r w:rsidR="00223734" w:rsidRPr="00ED2DDD">
              <w:rPr>
                <w:rStyle w:val="Hyperlink"/>
                <w:noProof/>
                <w:color w:val="auto"/>
              </w:rPr>
              <w:t>V. Key Risk Dimensions: Governance, Ethics, and Trust</w:t>
            </w:r>
            <w:r w:rsidR="00223734" w:rsidRPr="00ED2DDD">
              <w:rPr>
                <w:noProof/>
                <w:webHidden/>
              </w:rPr>
              <w:tab/>
            </w:r>
            <w:r w:rsidRPr="00ED2DDD">
              <w:rPr>
                <w:noProof/>
                <w:webHidden/>
              </w:rPr>
              <w:fldChar w:fldCharType="begin"/>
            </w:r>
            <w:r w:rsidR="00223734" w:rsidRPr="00ED2DDD">
              <w:rPr>
                <w:noProof/>
                <w:webHidden/>
              </w:rPr>
              <w:instrText xml:space="preserve"> PAGEREF _Toc225218189 \h </w:instrText>
            </w:r>
            <w:r w:rsidRPr="00ED2DDD">
              <w:rPr>
                <w:noProof/>
                <w:webHidden/>
              </w:rPr>
            </w:r>
            <w:r w:rsidRPr="00ED2DDD">
              <w:rPr>
                <w:noProof/>
                <w:webHidden/>
              </w:rPr>
              <w:fldChar w:fldCharType="separate"/>
            </w:r>
            <w:r w:rsidR="00223734" w:rsidRPr="00ED2DDD">
              <w:rPr>
                <w:noProof/>
                <w:webHidden/>
              </w:rPr>
              <w:t>10</w:t>
            </w:r>
            <w:r w:rsidRPr="00ED2DDD">
              <w:rPr>
                <w:noProof/>
                <w:webHidden/>
              </w:rPr>
              <w:fldChar w:fldCharType="end"/>
            </w:r>
          </w:hyperlink>
        </w:p>
        <w:p w:rsidR="00223734" w:rsidRPr="00ED2DDD" w:rsidRDefault="009B6ACD">
          <w:pPr>
            <w:pStyle w:val="TOC2"/>
            <w:tabs>
              <w:tab w:val="right" w:leader="dot" w:pos="9638"/>
            </w:tabs>
            <w:rPr>
              <w:noProof/>
            </w:rPr>
          </w:pPr>
          <w:hyperlink w:anchor="_Toc225218190" w:history="1">
            <w:r w:rsidR="00223734" w:rsidRPr="00ED2DDD">
              <w:rPr>
                <w:rStyle w:val="Hyperlink"/>
                <w:noProof/>
                <w:color w:val="auto"/>
              </w:rPr>
              <w:t>A. Data Governance Within a Highly Interconnected Global Network</w:t>
            </w:r>
            <w:r w:rsidR="00223734" w:rsidRPr="00ED2DDD">
              <w:rPr>
                <w:noProof/>
                <w:webHidden/>
              </w:rPr>
              <w:tab/>
            </w:r>
            <w:r w:rsidRPr="00ED2DDD">
              <w:rPr>
                <w:noProof/>
                <w:webHidden/>
              </w:rPr>
              <w:fldChar w:fldCharType="begin"/>
            </w:r>
            <w:r w:rsidR="00223734" w:rsidRPr="00ED2DDD">
              <w:rPr>
                <w:noProof/>
                <w:webHidden/>
              </w:rPr>
              <w:instrText xml:space="preserve"> PAGEREF _Toc225218190 \h </w:instrText>
            </w:r>
            <w:r w:rsidRPr="00ED2DDD">
              <w:rPr>
                <w:noProof/>
                <w:webHidden/>
              </w:rPr>
            </w:r>
            <w:r w:rsidRPr="00ED2DDD">
              <w:rPr>
                <w:noProof/>
                <w:webHidden/>
              </w:rPr>
              <w:fldChar w:fldCharType="separate"/>
            </w:r>
            <w:r w:rsidR="00223734" w:rsidRPr="00ED2DDD">
              <w:rPr>
                <w:noProof/>
                <w:webHidden/>
              </w:rPr>
              <w:t>10</w:t>
            </w:r>
            <w:r w:rsidRPr="00ED2DDD">
              <w:rPr>
                <w:noProof/>
                <w:webHidden/>
              </w:rPr>
              <w:fldChar w:fldCharType="end"/>
            </w:r>
          </w:hyperlink>
        </w:p>
        <w:p w:rsidR="00223734" w:rsidRPr="00ED2DDD" w:rsidRDefault="009B6ACD">
          <w:pPr>
            <w:pStyle w:val="TOC2"/>
            <w:tabs>
              <w:tab w:val="right" w:leader="dot" w:pos="9638"/>
            </w:tabs>
            <w:rPr>
              <w:noProof/>
            </w:rPr>
          </w:pPr>
          <w:hyperlink w:anchor="_Toc225218191" w:history="1">
            <w:r w:rsidR="00223734" w:rsidRPr="00ED2DDD">
              <w:rPr>
                <w:rStyle w:val="Hyperlink"/>
                <w:noProof/>
                <w:color w:val="auto"/>
              </w:rPr>
              <w:t>B. Algorithmic Bias and Ethical Credit Scoring</w:t>
            </w:r>
            <w:r w:rsidR="00223734" w:rsidRPr="00ED2DDD">
              <w:rPr>
                <w:noProof/>
                <w:webHidden/>
              </w:rPr>
              <w:tab/>
            </w:r>
            <w:r w:rsidRPr="00ED2DDD">
              <w:rPr>
                <w:noProof/>
                <w:webHidden/>
              </w:rPr>
              <w:fldChar w:fldCharType="begin"/>
            </w:r>
            <w:r w:rsidR="00223734" w:rsidRPr="00ED2DDD">
              <w:rPr>
                <w:noProof/>
                <w:webHidden/>
              </w:rPr>
              <w:instrText xml:space="preserve"> PAGEREF _Toc225218191 \h </w:instrText>
            </w:r>
            <w:r w:rsidRPr="00ED2DDD">
              <w:rPr>
                <w:noProof/>
                <w:webHidden/>
              </w:rPr>
            </w:r>
            <w:r w:rsidRPr="00ED2DDD">
              <w:rPr>
                <w:noProof/>
                <w:webHidden/>
              </w:rPr>
              <w:fldChar w:fldCharType="separate"/>
            </w:r>
            <w:r w:rsidR="00223734" w:rsidRPr="00ED2DDD">
              <w:rPr>
                <w:noProof/>
                <w:webHidden/>
              </w:rPr>
              <w:t>10</w:t>
            </w:r>
            <w:r w:rsidRPr="00ED2DDD">
              <w:rPr>
                <w:noProof/>
                <w:webHidden/>
              </w:rPr>
              <w:fldChar w:fldCharType="end"/>
            </w:r>
          </w:hyperlink>
        </w:p>
        <w:p w:rsidR="00223734" w:rsidRPr="00ED2DDD" w:rsidRDefault="009B6ACD">
          <w:pPr>
            <w:pStyle w:val="TOC2"/>
            <w:tabs>
              <w:tab w:val="right" w:leader="dot" w:pos="9638"/>
            </w:tabs>
            <w:rPr>
              <w:noProof/>
            </w:rPr>
          </w:pPr>
          <w:hyperlink w:anchor="_Toc225218192" w:history="1">
            <w:r w:rsidR="00223734" w:rsidRPr="00ED2DDD">
              <w:rPr>
                <w:rStyle w:val="Hyperlink"/>
                <w:noProof/>
                <w:color w:val="auto"/>
              </w:rPr>
              <w:t>C. Consumer Trust and the Black Box Paradox</w:t>
            </w:r>
            <w:r w:rsidR="00223734" w:rsidRPr="00ED2DDD">
              <w:rPr>
                <w:noProof/>
                <w:webHidden/>
              </w:rPr>
              <w:tab/>
            </w:r>
            <w:r w:rsidRPr="00ED2DDD">
              <w:rPr>
                <w:noProof/>
                <w:webHidden/>
              </w:rPr>
              <w:fldChar w:fldCharType="begin"/>
            </w:r>
            <w:r w:rsidR="00223734" w:rsidRPr="00ED2DDD">
              <w:rPr>
                <w:noProof/>
                <w:webHidden/>
              </w:rPr>
              <w:instrText xml:space="preserve"> PAGEREF _Toc225218192 \h </w:instrText>
            </w:r>
            <w:r w:rsidRPr="00ED2DDD">
              <w:rPr>
                <w:noProof/>
                <w:webHidden/>
              </w:rPr>
            </w:r>
            <w:r w:rsidRPr="00ED2DDD">
              <w:rPr>
                <w:noProof/>
                <w:webHidden/>
              </w:rPr>
              <w:fldChar w:fldCharType="separate"/>
            </w:r>
            <w:r w:rsidR="00223734" w:rsidRPr="00ED2DDD">
              <w:rPr>
                <w:noProof/>
                <w:webHidden/>
              </w:rPr>
              <w:t>11</w:t>
            </w:r>
            <w:r w:rsidRPr="00ED2DDD">
              <w:rPr>
                <w:noProof/>
                <w:webHidden/>
              </w:rPr>
              <w:fldChar w:fldCharType="end"/>
            </w:r>
          </w:hyperlink>
        </w:p>
        <w:p w:rsidR="00223734" w:rsidRPr="00ED2DDD" w:rsidRDefault="009B6ACD">
          <w:pPr>
            <w:pStyle w:val="TOC1"/>
            <w:tabs>
              <w:tab w:val="right" w:leader="dot" w:pos="9638"/>
            </w:tabs>
            <w:rPr>
              <w:noProof/>
            </w:rPr>
          </w:pPr>
          <w:hyperlink w:anchor="_Toc225218193" w:history="1">
            <w:r w:rsidR="00223734" w:rsidRPr="00ED2DDD">
              <w:rPr>
                <w:rStyle w:val="Hyperlink"/>
                <w:noProof/>
                <w:color w:val="auto"/>
              </w:rPr>
              <w:t>VI. Avoiding the Regulatory Schism United Kingdom vs. Hong Kong and China.</w:t>
            </w:r>
            <w:r w:rsidR="00223734" w:rsidRPr="00ED2DDD">
              <w:rPr>
                <w:noProof/>
                <w:webHidden/>
              </w:rPr>
              <w:tab/>
            </w:r>
            <w:r w:rsidRPr="00ED2DDD">
              <w:rPr>
                <w:noProof/>
                <w:webHidden/>
              </w:rPr>
              <w:fldChar w:fldCharType="begin"/>
            </w:r>
            <w:r w:rsidR="00223734" w:rsidRPr="00ED2DDD">
              <w:rPr>
                <w:noProof/>
                <w:webHidden/>
              </w:rPr>
              <w:instrText xml:space="preserve"> PAGEREF _Toc225218193 \h </w:instrText>
            </w:r>
            <w:r w:rsidRPr="00ED2DDD">
              <w:rPr>
                <w:noProof/>
                <w:webHidden/>
              </w:rPr>
            </w:r>
            <w:r w:rsidRPr="00ED2DDD">
              <w:rPr>
                <w:noProof/>
                <w:webHidden/>
              </w:rPr>
              <w:fldChar w:fldCharType="separate"/>
            </w:r>
            <w:r w:rsidR="00223734" w:rsidRPr="00ED2DDD">
              <w:rPr>
                <w:noProof/>
                <w:webHidden/>
              </w:rPr>
              <w:t>12</w:t>
            </w:r>
            <w:r w:rsidRPr="00ED2DDD">
              <w:rPr>
                <w:noProof/>
                <w:webHidden/>
              </w:rPr>
              <w:fldChar w:fldCharType="end"/>
            </w:r>
          </w:hyperlink>
        </w:p>
        <w:p w:rsidR="00223734" w:rsidRPr="00ED2DDD" w:rsidRDefault="009B6ACD">
          <w:pPr>
            <w:pStyle w:val="TOC2"/>
            <w:tabs>
              <w:tab w:val="right" w:leader="dot" w:pos="9638"/>
            </w:tabs>
            <w:rPr>
              <w:noProof/>
            </w:rPr>
          </w:pPr>
          <w:hyperlink w:anchor="_Toc225218194" w:history="1">
            <w:r w:rsidR="00223734" w:rsidRPr="00ED2DDD">
              <w:rPr>
                <w:rStyle w:val="Hyperlink"/>
                <w:noProof/>
                <w:color w:val="auto"/>
              </w:rPr>
              <w:t>A. The United Kingdom: Consumer Duty and Principle-Based Regulation</w:t>
            </w:r>
            <w:r w:rsidR="00223734" w:rsidRPr="00ED2DDD">
              <w:rPr>
                <w:noProof/>
                <w:webHidden/>
              </w:rPr>
              <w:tab/>
            </w:r>
            <w:r w:rsidRPr="00ED2DDD">
              <w:rPr>
                <w:noProof/>
                <w:webHidden/>
              </w:rPr>
              <w:fldChar w:fldCharType="begin"/>
            </w:r>
            <w:r w:rsidR="00223734" w:rsidRPr="00ED2DDD">
              <w:rPr>
                <w:noProof/>
                <w:webHidden/>
              </w:rPr>
              <w:instrText xml:space="preserve"> PAGEREF _Toc225218194 \h </w:instrText>
            </w:r>
            <w:r w:rsidRPr="00ED2DDD">
              <w:rPr>
                <w:noProof/>
                <w:webHidden/>
              </w:rPr>
            </w:r>
            <w:r w:rsidRPr="00ED2DDD">
              <w:rPr>
                <w:noProof/>
                <w:webHidden/>
              </w:rPr>
              <w:fldChar w:fldCharType="separate"/>
            </w:r>
            <w:r w:rsidR="00223734" w:rsidRPr="00ED2DDD">
              <w:rPr>
                <w:noProof/>
                <w:webHidden/>
              </w:rPr>
              <w:t>12</w:t>
            </w:r>
            <w:r w:rsidRPr="00ED2DDD">
              <w:rPr>
                <w:noProof/>
                <w:webHidden/>
              </w:rPr>
              <w:fldChar w:fldCharType="end"/>
            </w:r>
          </w:hyperlink>
        </w:p>
        <w:p w:rsidR="00223734" w:rsidRPr="00ED2DDD" w:rsidRDefault="009B6ACD">
          <w:pPr>
            <w:pStyle w:val="TOC2"/>
            <w:tabs>
              <w:tab w:val="right" w:leader="dot" w:pos="9638"/>
            </w:tabs>
            <w:rPr>
              <w:noProof/>
            </w:rPr>
          </w:pPr>
          <w:hyperlink w:anchor="_Toc225218195" w:history="1">
            <w:r w:rsidR="00223734" w:rsidRPr="00ED2DDD">
              <w:rPr>
                <w:rStyle w:val="Hyperlink"/>
                <w:noProof/>
                <w:color w:val="auto"/>
              </w:rPr>
              <w:t>B. China and Hong Kong: State-Owned Data Sovereignty and Unswerving Obedience.</w:t>
            </w:r>
            <w:r w:rsidR="00223734" w:rsidRPr="00ED2DDD">
              <w:rPr>
                <w:noProof/>
                <w:webHidden/>
              </w:rPr>
              <w:tab/>
            </w:r>
            <w:r w:rsidRPr="00ED2DDD">
              <w:rPr>
                <w:noProof/>
                <w:webHidden/>
              </w:rPr>
              <w:fldChar w:fldCharType="begin"/>
            </w:r>
            <w:r w:rsidR="00223734" w:rsidRPr="00ED2DDD">
              <w:rPr>
                <w:noProof/>
                <w:webHidden/>
              </w:rPr>
              <w:instrText xml:space="preserve"> PAGEREF _Toc225218195 \h </w:instrText>
            </w:r>
            <w:r w:rsidRPr="00ED2DDD">
              <w:rPr>
                <w:noProof/>
                <w:webHidden/>
              </w:rPr>
            </w:r>
            <w:r w:rsidRPr="00ED2DDD">
              <w:rPr>
                <w:noProof/>
                <w:webHidden/>
              </w:rPr>
              <w:fldChar w:fldCharType="separate"/>
            </w:r>
            <w:r w:rsidR="00223734" w:rsidRPr="00ED2DDD">
              <w:rPr>
                <w:noProof/>
                <w:webHidden/>
              </w:rPr>
              <w:t>13</w:t>
            </w:r>
            <w:r w:rsidRPr="00ED2DDD">
              <w:rPr>
                <w:noProof/>
                <w:webHidden/>
              </w:rPr>
              <w:fldChar w:fldCharType="end"/>
            </w:r>
          </w:hyperlink>
        </w:p>
        <w:p w:rsidR="00223734" w:rsidRPr="00ED2DDD" w:rsidRDefault="009B6ACD">
          <w:pPr>
            <w:pStyle w:val="TOC2"/>
            <w:tabs>
              <w:tab w:val="right" w:leader="dot" w:pos="9638"/>
            </w:tabs>
            <w:rPr>
              <w:noProof/>
            </w:rPr>
          </w:pPr>
          <w:hyperlink w:anchor="_Toc225218196" w:history="1">
            <w:r w:rsidR="00223734" w:rsidRPr="00ED2DDD">
              <w:rPr>
                <w:rStyle w:val="Hyperlink"/>
                <w:noProof/>
                <w:color w:val="auto"/>
              </w:rPr>
              <w:t>C. HSBC Strategic Compliance Dilemma.</w:t>
            </w:r>
            <w:r w:rsidR="00223734" w:rsidRPr="00ED2DDD">
              <w:rPr>
                <w:noProof/>
                <w:webHidden/>
              </w:rPr>
              <w:tab/>
            </w:r>
            <w:r w:rsidRPr="00ED2DDD">
              <w:rPr>
                <w:noProof/>
                <w:webHidden/>
              </w:rPr>
              <w:fldChar w:fldCharType="begin"/>
            </w:r>
            <w:r w:rsidR="00223734" w:rsidRPr="00ED2DDD">
              <w:rPr>
                <w:noProof/>
                <w:webHidden/>
              </w:rPr>
              <w:instrText xml:space="preserve"> PAGEREF _Toc225218196 \h </w:instrText>
            </w:r>
            <w:r w:rsidRPr="00ED2DDD">
              <w:rPr>
                <w:noProof/>
                <w:webHidden/>
              </w:rPr>
            </w:r>
            <w:r w:rsidRPr="00ED2DDD">
              <w:rPr>
                <w:noProof/>
                <w:webHidden/>
              </w:rPr>
              <w:fldChar w:fldCharType="separate"/>
            </w:r>
            <w:r w:rsidR="00223734" w:rsidRPr="00ED2DDD">
              <w:rPr>
                <w:noProof/>
                <w:webHidden/>
              </w:rPr>
              <w:t>13</w:t>
            </w:r>
            <w:r w:rsidRPr="00ED2DDD">
              <w:rPr>
                <w:noProof/>
                <w:webHidden/>
              </w:rPr>
              <w:fldChar w:fldCharType="end"/>
            </w:r>
          </w:hyperlink>
        </w:p>
        <w:p w:rsidR="00223734" w:rsidRPr="00ED2DDD" w:rsidRDefault="009B6ACD">
          <w:pPr>
            <w:pStyle w:val="TOC1"/>
            <w:tabs>
              <w:tab w:val="right" w:leader="dot" w:pos="9638"/>
            </w:tabs>
            <w:rPr>
              <w:noProof/>
            </w:rPr>
          </w:pPr>
          <w:hyperlink w:anchor="_Toc225218197" w:history="1">
            <w:r w:rsidR="00223734" w:rsidRPr="00ED2DDD">
              <w:rPr>
                <w:rStyle w:val="Hyperlink"/>
                <w:noProof/>
                <w:color w:val="auto"/>
              </w:rPr>
              <w:t>VII. Strategic Implementation Plan.</w:t>
            </w:r>
            <w:r w:rsidR="00223734" w:rsidRPr="00ED2DDD">
              <w:rPr>
                <w:noProof/>
                <w:webHidden/>
              </w:rPr>
              <w:tab/>
            </w:r>
            <w:r w:rsidRPr="00ED2DDD">
              <w:rPr>
                <w:noProof/>
                <w:webHidden/>
              </w:rPr>
              <w:fldChar w:fldCharType="begin"/>
            </w:r>
            <w:r w:rsidR="00223734" w:rsidRPr="00ED2DDD">
              <w:rPr>
                <w:noProof/>
                <w:webHidden/>
              </w:rPr>
              <w:instrText xml:space="preserve"> PAGEREF _Toc225218197 \h </w:instrText>
            </w:r>
            <w:r w:rsidRPr="00ED2DDD">
              <w:rPr>
                <w:noProof/>
                <w:webHidden/>
              </w:rPr>
            </w:r>
            <w:r w:rsidRPr="00ED2DDD">
              <w:rPr>
                <w:noProof/>
                <w:webHidden/>
              </w:rPr>
              <w:fldChar w:fldCharType="separate"/>
            </w:r>
            <w:r w:rsidR="00223734" w:rsidRPr="00ED2DDD">
              <w:rPr>
                <w:noProof/>
                <w:webHidden/>
              </w:rPr>
              <w:t>14</w:t>
            </w:r>
            <w:r w:rsidRPr="00ED2DDD">
              <w:rPr>
                <w:noProof/>
                <w:webHidden/>
              </w:rPr>
              <w:fldChar w:fldCharType="end"/>
            </w:r>
          </w:hyperlink>
        </w:p>
        <w:p w:rsidR="00223734" w:rsidRPr="00ED2DDD" w:rsidRDefault="009B6ACD">
          <w:pPr>
            <w:pStyle w:val="TOC1"/>
            <w:tabs>
              <w:tab w:val="right" w:leader="dot" w:pos="9638"/>
            </w:tabs>
            <w:rPr>
              <w:noProof/>
            </w:rPr>
          </w:pPr>
          <w:hyperlink w:anchor="_Toc225218198" w:history="1">
            <w:r w:rsidR="00223734" w:rsidRPr="00ED2DDD">
              <w:rPr>
                <w:rStyle w:val="Hyperlink"/>
                <w:noProof/>
                <w:color w:val="auto"/>
              </w:rPr>
              <w:t>VIII. Conclusion</w:t>
            </w:r>
            <w:r w:rsidR="00223734" w:rsidRPr="00ED2DDD">
              <w:rPr>
                <w:noProof/>
                <w:webHidden/>
              </w:rPr>
              <w:tab/>
            </w:r>
            <w:r w:rsidRPr="00ED2DDD">
              <w:rPr>
                <w:noProof/>
                <w:webHidden/>
              </w:rPr>
              <w:fldChar w:fldCharType="begin"/>
            </w:r>
            <w:r w:rsidR="00223734" w:rsidRPr="00ED2DDD">
              <w:rPr>
                <w:noProof/>
                <w:webHidden/>
              </w:rPr>
              <w:instrText xml:space="preserve"> PAGEREF _Toc225218198 \h </w:instrText>
            </w:r>
            <w:r w:rsidRPr="00ED2DDD">
              <w:rPr>
                <w:noProof/>
                <w:webHidden/>
              </w:rPr>
            </w:r>
            <w:r w:rsidRPr="00ED2DDD">
              <w:rPr>
                <w:noProof/>
                <w:webHidden/>
              </w:rPr>
              <w:fldChar w:fldCharType="separate"/>
            </w:r>
            <w:r w:rsidR="00223734" w:rsidRPr="00ED2DDD">
              <w:rPr>
                <w:noProof/>
                <w:webHidden/>
              </w:rPr>
              <w:t>16</w:t>
            </w:r>
            <w:r w:rsidRPr="00ED2DDD">
              <w:rPr>
                <w:noProof/>
                <w:webHidden/>
              </w:rPr>
              <w:fldChar w:fldCharType="end"/>
            </w:r>
          </w:hyperlink>
        </w:p>
        <w:p w:rsidR="00223734" w:rsidRPr="00ED2DDD" w:rsidRDefault="009B6ACD">
          <w:pPr>
            <w:pStyle w:val="TOC1"/>
            <w:tabs>
              <w:tab w:val="right" w:leader="dot" w:pos="9638"/>
            </w:tabs>
            <w:rPr>
              <w:noProof/>
            </w:rPr>
          </w:pPr>
          <w:hyperlink w:anchor="_Toc225218199" w:history="1">
            <w:r w:rsidR="00223734" w:rsidRPr="00ED2DDD">
              <w:rPr>
                <w:rStyle w:val="Hyperlink"/>
                <w:noProof/>
                <w:color w:val="auto"/>
              </w:rPr>
              <w:t>IX. Reference</w:t>
            </w:r>
            <w:r w:rsidR="00223734" w:rsidRPr="00ED2DDD">
              <w:rPr>
                <w:noProof/>
                <w:webHidden/>
              </w:rPr>
              <w:tab/>
            </w:r>
            <w:r w:rsidRPr="00ED2DDD">
              <w:rPr>
                <w:noProof/>
                <w:webHidden/>
              </w:rPr>
              <w:fldChar w:fldCharType="begin"/>
            </w:r>
            <w:r w:rsidR="00223734" w:rsidRPr="00ED2DDD">
              <w:rPr>
                <w:noProof/>
                <w:webHidden/>
              </w:rPr>
              <w:instrText xml:space="preserve"> PAGEREF _Toc225218199 \h </w:instrText>
            </w:r>
            <w:r w:rsidRPr="00ED2DDD">
              <w:rPr>
                <w:noProof/>
                <w:webHidden/>
              </w:rPr>
            </w:r>
            <w:r w:rsidRPr="00ED2DDD">
              <w:rPr>
                <w:noProof/>
                <w:webHidden/>
              </w:rPr>
              <w:fldChar w:fldCharType="separate"/>
            </w:r>
            <w:r w:rsidR="00223734" w:rsidRPr="00ED2DDD">
              <w:rPr>
                <w:noProof/>
                <w:webHidden/>
              </w:rPr>
              <w:t>17</w:t>
            </w:r>
            <w:r w:rsidRPr="00ED2DDD">
              <w:rPr>
                <w:noProof/>
                <w:webHidden/>
              </w:rPr>
              <w:fldChar w:fldCharType="end"/>
            </w:r>
          </w:hyperlink>
        </w:p>
        <w:p w:rsidR="00223734" w:rsidRPr="00ED2DDD" w:rsidRDefault="009B6ACD">
          <w:r w:rsidRPr="00ED2DDD">
            <w:rPr>
              <w:b/>
              <w:bCs/>
              <w:noProof/>
            </w:rPr>
            <w:fldChar w:fldCharType="end"/>
          </w:r>
        </w:p>
      </w:sdtContent>
    </w:sdt>
    <w:p w:rsidR="00122396" w:rsidRPr="00ED2DDD" w:rsidRDefault="005C058B"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br w:type="page"/>
      </w:r>
    </w:p>
    <w:p w:rsidR="00122396" w:rsidRPr="00ED2DDD" w:rsidRDefault="005C058B" w:rsidP="005F3674">
      <w:pPr>
        <w:pStyle w:val="Heading1"/>
        <w:spacing w:line="360" w:lineRule="auto"/>
        <w:rPr>
          <w:rFonts w:ascii="Times New Roman" w:hAnsi="Times New Roman" w:cs="Times New Roman"/>
          <w:color w:val="auto"/>
        </w:rPr>
      </w:pPr>
      <w:bookmarkStart w:id="0" w:name="_Toc225218176"/>
      <w:r w:rsidRPr="00ED2DDD">
        <w:rPr>
          <w:rFonts w:ascii="Times New Roman" w:hAnsi="Times New Roman" w:cs="Times New Roman"/>
          <w:color w:val="auto"/>
        </w:rPr>
        <w:lastRenderedPageBreak/>
        <w:t>I. Executive Summary</w:t>
      </w:r>
      <w:bookmarkEnd w:id="0"/>
    </w:p>
    <w:p w:rsidR="00325324" w:rsidRPr="00325324" w:rsidRDefault="00325324" w:rsidP="00325324">
      <w:pPr>
        <w:spacing w:line="360" w:lineRule="auto"/>
        <w:jc w:val="both"/>
        <w:rPr>
          <w:rFonts w:ascii="Times New Roman" w:hAnsi="Times New Roman" w:cs="Times New Roman"/>
          <w:sz w:val="24"/>
          <w:szCs w:val="24"/>
        </w:rPr>
      </w:pPr>
      <w:bookmarkStart w:id="1" w:name="_Toc225218177"/>
      <w:r w:rsidRPr="00325324">
        <w:rPr>
          <w:rFonts w:ascii="Times New Roman" w:hAnsi="Times New Roman" w:cs="Times New Roman"/>
          <w:sz w:val="24"/>
          <w:szCs w:val="24"/>
        </w:rPr>
        <w:t>This dossier discusses why such a rapid advancement in artificial intelligence is changing the management of business risks within the HSBC Holdings plc. The report dwells on five inter related data governance concerns, ethical uses of AI, regulatory compliance, customer trust, and the global nature of operations. It discusses these issues through the prism of internationally systemic bank whose operations involve large jurisdictions, products and regulatory traditions.</w:t>
      </w:r>
    </w:p>
    <w:p w:rsidR="00325324" w:rsidRPr="00325324" w:rsidRDefault="00325324" w:rsidP="00325324">
      <w:pPr>
        <w:spacing w:line="360" w:lineRule="auto"/>
        <w:jc w:val="both"/>
        <w:rPr>
          <w:rFonts w:ascii="Times New Roman" w:hAnsi="Times New Roman" w:cs="Times New Roman"/>
          <w:sz w:val="24"/>
          <w:szCs w:val="24"/>
        </w:rPr>
      </w:pPr>
      <w:r w:rsidRPr="00325324">
        <w:rPr>
          <w:rFonts w:ascii="Times New Roman" w:hAnsi="Times New Roman" w:cs="Times New Roman"/>
          <w:sz w:val="24"/>
          <w:szCs w:val="24"/>
        </w:rPr>
        <w:t>The pressures are a unique combination in HSBC as it is being analyzed. The geographical location of the bank is placed between the banking rules in West and Hong Kong/China territory. On the economic front, AI will be able to decrease the cost and improve the detection but will increase the concentration and model-based shock. The social and legal aspects of fair play, transparency and consumer redress have implications of automation. These pressures suggest that the AI risk is not a minor IT issue, it is a board strategic concern.</w:t>
      </w:r>
    </w:p>
    <w:p w:rsidR="00325324" w:rsidRPr="00325324" w:rsidRDefault="00325324" w:rsidP="00325324">
      <w:pPr>
        <w:spacing w:line="360" w:lineRule="auto"/>
        <w:jc w:val="both"/>
        <w:rPr>
          <w:rFonts w:ascii="Times New Roman" w:hAnsi="Times New Roman" w:cs="Times New Roman"/>
          <w:b/>
          <w:bCs/>
          <w:sz w:val="24"/>
          <w:szCs w:val="24"/>
        </w:rPr>
      </w:pPr>
      <w:r w:rsidRPr="00325324">
        <w:rPr>
          <w:rFonts w:ascii="Times New Roman" w:hAnsi="Times New Roman" w:cs="Times New Roman"/>
          <w:sz w:val="24"/>
          <w:szCs w:val="24"/>
        </w:rPr>
        <w:t>The key finding is that a layered control model is the one that is to be applied at HSBC. The group-wide standards should control model inventory, model validation, model logging, security and oversight, and local controls and must be modified to jurisdictional rules to deploy and manage data and offer services to the customers. A 24-month plan is proposed to be employed in phases where the first phase is the governance and the second is the inventory, then follow the infrastructure and bias control, then the regional localisation, and then finally assurance and optimisation.</w:t>
      </w:r>
    </w:p>
    <w:p w:rsidR="00122396" w:rsidRPr="00ED2DDD" w:rsidRDefault="005C058B" w:rsidP="00325324">
      <w:pPr>
        <w:pStyle w:val="Heading1"/>
        <w:spacing w:line="360" w:lineRule="auto"/>
        <w:rPr>
          <w:rFonts w:ascii="Times New Roman" w:hAnsi="Times New Roman" w:cs="Times New Roman"/>
          <w:color w:val="auto"/>
        </w:rPr>
      </w:pPr>
      <w:r w:rsidRPr="00ED2DDD">
        <w:rPr>
          <w:rFonts w:ascii="Times New Roman" w:hAnsi="Times New Roman" w:cs="Times New Roman"/>
          <w:color w:val="auto"/>
        </w:rPr>
        <w:t>II. Introduction</w:t>
      </w:r>
      <w:bookmarkEnd w:id="1"/>
    </w:p>
    <w:p w:rsidR="00513779" w:rsidRPr="00513779" w:rsidRDefault="00513779" w:rsidP="00513779">
      <w:pPr>
        <w:spacing w:line="360" w:lineRule="auto"/>
        <w:jc w:val="both"/>
        <w:rPr>
          <w:rFonts w:ascii="Times New Roman" w:hAnsi="Times New Roman" w:cs="Times New Roman"/>
          <w:sz w:val="24"/>
          <w:szCs w:val="24"/>
        </w:rPr>
      </w:pPr>
      <w:r w:rsidRPr="00513779">
        <w:rPr>
          <w:rFonts w:ascii="Times New Roman" w:hAnsi="Times New Roman" w:cs="Times New Roman"/>
          <w:sz w:val="24"/>
          <w:szCs w:val="24"/>
        </w:rPr>
        <w:t>Pilot activity has become operational infrastructure in banking with the assistance of artificial intelligence. It is now being used to prevent fraud, track anti-money laundering, in customer servicing and to protect against cyber attacks, forecast liquidity requirements and increasingly to price and risk manage. Due to this acceleration, the question of large banks is no longer whether AI should be used, but how it should be controlled as systems grow and become more complex, more interdependent and less comprehensible.</w:t>
      </w:r>
    </w:p>
    <w:p w:rsidR="00513779" w:rsidRDefault="00513779" w:rsidP="00513779">
      <w:pPr>
        <w:spacing w:line="360" w:lineRule="auto"/>
        <w:jc w:val="both"/>
        <w:rPr>
          <w:rFonts w:ascii="Times New Roman" w:hAnsi="Times New Roman" w:cs="Times New Roman"/>
          <w:sz w:val="24"/>
          <w:szCs w:val="24"/>
        </w:rPr>
      </w:pPr>
      <w:r w:rsidRPr="00513779">
        <w:rPr>
          <w:rFonts w:ascii="Times New Roman" w:hAnsi="Times New Roman" w:cs="Times New Roman"/>
          <w:sz w:val="24"/>
          <w:szCs w:val="24"/>
        </w:rPr>
        <w:t>With this transition, the case of HSBC is a good case to analyze. It is a very applicable bank within the UK, and across Asia, in general, and has a substantial cross-border data flows data, and its business model is founded on regulatory credibility. This position will provide HSBC with the opportunity to scale AI on a large net-work but will present the bank with a conflict of efficiency, local law, operational resilience and popular trust.</w:t>
      </w:r>
    </w:p>
    <w:p w:rsidR="00DC3909" w:rsidRPr="00ED2DDD" w:rsidRDefault="00DC3909" w:rsidP="00513779">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lastRenderedPageBreak/>
        <w:t>This report aims to evaluate the impact of AI rapid expansion on the business risk management structure of HSBC with specific regard to data governance, ethical use, regulatory compliance and customer trust. The comparison of the UK with Hong Kong and mainland China is also made in order to demonstrate how the regulatory divergence redefines the operating model and control requirements of the bank.</w:t>
      </w:r>
    </w:p>
    <w:p w:rsidR="00DC3909" w:rsidRPr="00ED2DDD" w:rsidRDefault="00DC3909"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The report goes through five steps. Section III employs PESTLE to determine the key external forces on the agenda of AI in HSBC. Section IV applies international trade theory and micro-economic arguments to the patterns of explaining AI risk on the premise of the cross-border structure and pricing logic. Section V looks into governance, morale and trust. Section VI is a comparison between UK and Hong Kong and China. Section VII outlines a progressive implementation process, after which, there is an end.</w:t>
      </w:r>
    </w:p>
    <w:p w:rsidR="009369C9" w:rsidRPr="00ED2DDD" w:rsidRDefault="009369C9" w:rsidP="005F3674">
      <w:pPr>
        <w:pStyle w:val="Heading1"/>
        <w:spacing w:line="360" w:lineRule="auto"/>
        <w:rPr>
          <w:rFonts w:ascii="Times New Roman" w:hAnsi="Times New Roman" w:cs="Times New Roman"/>
          <w:color w:val="auto"/>
        </w:rPr>
      </w:pPr>
      <w:bookmarkStart w:id="2" w:name="_Toc225218178"/>
      <w:r w:rsidRPr="00ED2DDD">
        <w:rPr>
          <w:rFonts w:ascii="Times New Roman" w:hAnsi="Times New Roman" w:cs="Times New Roman"/>
          <w:color w:val="auto"/>
        </w:rPr>
        <w:t>III. Macro-Environmental Pressures (PESTLE Framework).</w:t>
      </w:r>
      <w:bookmarkEnd w:id="2"/>
    </w:p>
    <w:p w:rsidR="009369C9" w:rsidRPr="00ED2DDD" w:rsidRDefault="009369C9"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PESTLE can be employed to discover AI risk within the larger context of the environment where HSBC operates in. Geopolitics, economical risks and uncertainty, social acceptability, responsibilities and financial sustainability are not just influencing factors in technology decision making but an internal capacity as well in the case of a cross-border bank. Both the forces contribute to either the advantage or the introduction of new vulnerability of AI.</w:t>
      </w:r>
    </w:p>
    <w:p w:rsidR="009369C9" w:rsidRPr="00177C9C" w:rsidRDefault="009369C9" w:rsidP="004C421E">
      <w:pPr>
        <w:pStyle w:val="Heading2"/>
        <w:rPr>
          <w:rFonts w:ascii="Times New Roman" w:hAnsi="Times New Roman" w:cs="Times New Roman"/>
          <w:color w:val="auto"/>
        </w:rPr>
      </w:pPr>
      <w:bookmarkStart w:id="3" w:name="_Toc225218179"/>
      <w:r w:rsidRPr="00177C9C">
        <w:rPr>
          <w:rFonts w:ascii="Times New Roman" w:hAnsi="Times New Roman" w:cs="Times New Roman"/>
          <w:color w:val="auto"/>
        </w:rPr>
        <w:t>A. The Politics: Geopolitics and Compliance with Sanctions.</w:t>
      </w:r>
      <w:bookmarkEnd w:id="3"/>
    </w:p>
    <w:p w:rsidR="009369C9" w:rsidRPr="00ED2DDD" w:rsidRDefault="009369C9"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 xml:space="preserve">In its turn, HSBC politics is not the background sound, but it is a working constraint. The bank must have to contend with sanctions, national security, cross border payment control and its mounting tension amid the major economies. This is harder in the case of AI because automated screening, where the clients are classified and the transactions are monitored, can include the assumptions, which are allowed in a single jurisdiction and blasphemous in another. The political risk is therefore also a factor that is also incorporated in the model architecture and not only the policy environment of the model architecture itself. In </w:t>
      </w:r>
      <w:r w:rsidR="00177C9C" w:rsidRPr="00ED2DDD">
        <w:rPr>
          <w:rFonts w:ascii="Times New Roman" w:hAnsi="Times New Roman" w:cs="Times New Roman"/>
          <w:sz w:val="24"/>
          <w:szCs w:val="24"/>
        </w:rPr>
        <w:t>practice</w:t>
      </w:r>
      <w:r w:rsidRPr="00ED2DDD">
        <w:rPr>
          <w:rFonts w:ascii="Times New Roman" w:hAnsi="Times New Roman" w:cs="Times New Roman"/>
          <w:sz w:val="24"/>
          <w:szCs w:val="24"/>
        </w:rPr>
        <w:t>, the sanctions screening and the client-risk classification with the assistance of AI should be monitored in the category of false positives, hidden geographic discrimination and the quality of escalation since the errors related to politics might damage the relationship and the confidence of the supervisors.</w:t>
      </w:r>
    </w:p>
    <w:p w:rsidR="009369C9" w:rsidRPr="00ED2DDD" w:rsidRDefault="009369C9"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 xml:space="preserve">This is significant because there is a distributive and diplomatic implication of decision making in the banking arena. A client being bumped by an AI-assisted control wrongly can lead to one of the </w:t>
      </w:r>
      <w:r w:rsidRPr="00ED2DDD">
        <w:rPr>
          <w:rFonts w:ascii="Times New Roman" w:hAnsi="Times New Roman" w:cs="Times New Roman"/>
          <w:sz w:val="24"/>
          <w:szCs w:val="24"/>
        </w:rPr>
        <w:lastRenderedPageBreak/>
        <w:t>transfers being slackened down or a false alert being overblown, which can become a conduct problem, a reputation problem or a regulatory one. HSBC should therefore have strong human escalation privileges on the politically sensitive cases and clear responsibility of the high impact automated controls.</w:t>
      </w:r>
    </w:p>
    <w:p w:rsidR="009369C9" w:rsidRPr="00177C9C" w:rsidRDefault="009369C9" w:rsidP="004C421E">
      <w:pPr>
        <w:pStyle w:val="Heading2"/>
        <w:rPr>
          <w:rFonts w:ascii="Times New Roman" w:hAnsi="Times New Roman" w:cs="Times New Roman"/>
          <w:color w:val="auto"/>
        </w:rPr>
      </w:pPr>
      <w:bookmarkStart w:id="4" w:name="_Toc225218180"/>
      <w:r w:rsidRPr="00177C9C">
        <w:rPr>
          <w:rFonts w:ascii="Times New Roman" w:hAnsi="Times New Roman" w:cs="Times New Roman"/>
          <w:color w:val="auto"/>
        </w:rPr>
        <w:t>B. Economic Realities: Systems Shocks and Algorithmic Trading.</w:t>
      </w:r>
      <w:bookmarkEnd w:id="4"/>
    </w:p>
    <w:p w:rsidR="009369C9" w:rsidRPr="00ED2DDD" w:rsidRDefault="009369C9"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Economically, AI may be less expensive, fast in data processing and more accurate in pattern recognition. It is capable of increasing the fraud detection, can reduce the review of the manuals, and supports capital allocation. The feedback effects can also be applied in the banking, however. Correlated behaviour can increase market stress, mispricing and concentration of operation when many firms utilise related information, vendors or model logic. These efficiency gains are real but not comparable to systemic safety. The concentration it introduces due to the use of common cloud provider and other similar vendors utility is also most likely to be underestimated by individual firms in assessing isolated business cases.</w:t>
      </w:r>
    </w:p>
    <w:p w:rsidR="009369C9" w:rsidRPr="00ED2DDD" w:rsidRDefault="009369C9"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With HSBC, the key question is not whether the addition of AI is a realistic possibility, but other conditions under which the value will be upheld. Economic, but not necessarily technical issues that the bank has to deal with should be the concentration risk, third-party dependency and model drift. The validation, testing of scenarios, and monitoring of vendors ought to be powerful except in situations where the short-term improvements in productivity are going to lead to longer-term instability. The model output should also be considered by economic governance but also the correlation of portfolios, reliance on vendors and the spread rate of automated decisions in the organisation.</w:t>
      </w:r>
    </w:p>
    <w:p w:rsidR="009369C9" w:rsidRPr="00177C9C" w:rsidRDefault="009369C9" w:rsidP="004C421E">
      <w:pPr>
        <w:pStyle w:val="Heading2"/>
        <w:rPr>
          <w:rFonts w:ascii="Times New Roman" w:hAnsi="Times New Roman" w:cs="Times New Roman"/>
          <w:color w:val="auto"/>
        </w:rPr>
      </w:pPr>
      <w:bookmarkStart w:id="5" w:name="_Toc225218181"/>
      <w:r w:rsidRPr="00177C9C">
        <w:rPr>
          <w:rFonts w:ascii="Times New Roman" w:hAnsi="Times New Roman" w:cs="Times New Roman"/>
          <w:color w:val="auto"/>
        </w:rPr>
        <w:t>C. Social Changes: Algo Redlining and Financial Inclusion.</w:t>
      </w:r>
      <w:bookmarkEnd w:id="5"/>
    </w:p>
    <w:p w:rsidR="009369C9" w:rsidRPr="00ED2DDD" w:rsidRDefault="009369C9"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Banking is dependent on fairness, access and perceived fairness. Whenever it increases the coverage of services, makes decisions quicker and more effectively reveals fraud, AI can increase comfort and accessibility. It may also eradicate legitimacy in which the customers believe that they are being profiled unreasonably, or not explained or coerced into taking the products because of opaque systems. The socially acceptable aspect of automation is therefore in the view of fairness and responsibility of automation in the day to day use. This is especially important in small-business banking with retail that prioritises the everyday decision fairness over rhetoric statements about innovation.</w:t>
      </w:r>
    </w:p>
    <w:p w:rsidR="009369C9" w:rsidRPr="00ED2DDD" w:rsidRDefault="009369C9"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lastRenderedPageBreak/>
        <w:t>This is an issue in the case of HSBC, which touches retail customer, SMEs, migrants and vulnerable consumers with noisy and incomplete financial history. As the decisions taken in ways that damage such groups through proxy effects, or because of biassed training data, the bank can expect to receive complaints, political scrutiny and diminished reputation in the long-term. Social legitimacy therefore needs to be treated as a component of risk management and not a follow-up of PR. The local issue can be extensively propagated to group-wide credibility problems within a multinational bank as this perceived injustice in one market can be readily glossed across the borders through media, regulators and activists.</w:t>
      </w:r>
    </w:p>
    <w:p w:rsidR="009369C9" w:rsidRPr="00177C9C" w:rsidRDefault="009369C9" w:rsidP="004C421E">
      <w:pPr>
        <w:pStyle w:val="Heading2"/>
        <w:rPr>
          <w:rFonts w:ascii="Times New Roman" w:hAnsi="Times New Roman" w:cs="Times New Roman"/>
          <w:color w:val="auto"/>
        </w:rPr>
      </w:pPr>
      <w:bookmarkStart w:id="6" w:name="_Toc225218182"/>
      <w:r w:rsidRPr="00177C9C">
        <w:rPr>
          <w:rFonts w:ascii="Times New Roman" w:hAnsi="Times New Roman" w:cs="Times New Roman"/>
          <w:color w:val="auto"/>
        </w:rPr>
        <w:t>D. Technological Disruption: Generative Fraud and Legacy Systems.</w:t>
      </w:r>
      <w:bookmarkEnd w:id="6"/>
    </w:p>
    <w:p w:rsidR="009369C9" w:rsidRPr="00ED2DDD" w:rsidRDefault="009369C9"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The threat environment is high, as well as the technological rationale on AI in banking. Generative fraud, synthetic identities, prompt-injection attacks and data poisoning all cause additional strain on the systems of customer-facing banks, vendors and older infrastructure. The scope of attack today is expanding because the institutions are beginning to connect newer AI tools with older estates, which complicates operations. The more the AI systems are deployed to communicate with the live payments and communicate with the customers and other data feeds, the greater it demands the controlled implementation and the open safe measures.</w:t>
      </w:r>
    </w:p>
    <w:p w:rsidR="009369C9" w:rsidRPr="00ED2DDD" w:rsidRDefault="009369C9"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Technological disruption is also resilience challenge that HSBC should take care of. It is not directed to achievement of the most sophisticated model in a large scale, but to ensure that architecture, access control, monitoring and fallback processes are robust during periods of stress. The banking innovation which is unrecoverable is not a good strategy.</w:t>
      </w:r>
    </w:p>
    <w:p w:rsidR="007B230A" w:rsidRPr="00177C9C" w:rsidRDefault="007B230A" w:rsidP="004C421E">
      <w:pPr>
        <w:pStyle w:val="Heading2"/>
        <w:rPr>
          <w:rFonts w:ascii="Times New Roman" w:hAnsi="Times New Roman" w:cs="Times New Roman"/>
          <w:color w:val="auto"/>
        </w:rPr>
      </w:pPr>
      <w:bookmarkStart w:id="7" w:name="_Toc225218183"/>
      <w:r w:rsidRPr="00177C9C">
        <w:rPr>
          <w:rFonts w:ascii="Times New Roman" w:hAnsi="Times New Roman" w:cs="Times New Roman"/>
          <w:color w:val="auto"/>
        </w:rPr>
        <w:t>E. Legal Complexity: GDPR and Algorithmic Accountability.</w:t>
      </w:r>
      <w:bookmarkEnd w:id="7"/>
    </w:p>
    <w:p w:rsidR="007B230A" w:rsidRPr="00ED2DDD" w:rsidRDefault="007B230A"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The legal matter is complex since AI intersects with data protection, consumer law, operational resilience, model governance and outsourcing. One is that a bank may be adherent in a narrow reference, yet still fail to satisfy larger demands on accountability of explanation, equity or accountability at the top management. The matter becomes more challenging when decisions, data and vendors are cross-border. In other words, AI should be regulated not only on the legal interpretation, but also on the prudential regulation on the banks.</w:t>
      </w:r>
    </w:p>
    <w:p w:rsidR="007B230A" w:rsidRPr="00ED2DDD" w:rsidRDefault="007B230A"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 xml:space="preserve">Evidence in the case of HSBC is relevant when it comes to legal defensibility. The data lineage, purpose of the model, validation, human management and control of incidences should have records at the bank. Without such an audit trail, then there is a problem of satisfying supervisors or </w:t>
      </w:r>
      <w:r w:rsidRPr="00ED2DDD">
        <w:rPr>
          <w:rFonts w:ascii="Times New Roman" w:hAnsi="Times New Roman" w:cs="Times New Roman"/>
          <w:sz w:val="24"/>
          <w:szCs w:val="24"/>
        </w:rPr>
        <w:lastRenderedPageBreak/>
        <w:t>justifying disputed automated findings. Regularly speaking, legal compliance has to do with punitive and not post-hoc justification.</w:t>
      </w:r>
    </w:p>
    <w:p w:rsidR="007B230A" w:rsidRPr="00ED2DDD" w:rsidRDefault="007B230A"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This legal burden is increasing since regulators are placing more pressure on companies to demonstrate responsible design not just to defend results once an injury has taken place. This places HSBC in need of an audit trail to document approval logic, excluded variables, challenge notes and post-deployment monitoring to each high-impact use case. Practically, good documentation is not evidence base administrative surplus; it is evidence base that helps to challenge internally on a basis of internal challenge and externally assure and repair a model when model drifts or fails (FCA, 2025b; OECD, 2026a).</w:t>
      </w:r>
    </w:p>
    <w:p w:rsidR="007B230A" w:rsidRPr="00177C9C" w:rsidRDefault="007B230A" w:rsidP="004C421E">
      <w:pPr>
        <w:pStyle w:val="Heading2"/>
        <w:rPr>
          <w:rFonts w:ascii="Times New Roman" w:hAnsi="Times New Roman" w:cs="Times New Roman"/>
          <w:color w:val="auto"/>
        </w:rPr>
      </w:pPr>
      <w:bookmarkStart w:id="8" w:name="_Toc225218184"/>
      <w:r w:rsidRPr="00177C9C">
        <w:rPr>
          <w:rFonts w:ascii="Times New Roman" w:hAnsi="Times New Roman" w:cs="Times New Roman"/>
          <w:color w:val="auto"/>
        </w:rPr>
        <w:t>F. Environmental Scrutiny: Following Financed Emissions.</w:t>
      </w:r>
      <w:bookmarkEnd w:id="8"/>
    </w:p>
    <w:p w:rsidR="007B230A" w:rsidRPr="00ED2DDD" w:rsidRDefault="007B230A"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The environmental pressure is directed to AI debate in two aspects. To start with, better analytics would help the banks to track climate related exposures and funded emissions. Second, large scale AI also consumes energy and is dependent on infrastructure that is intensive with regard to computing capabilities. This is not the risk that is in the banking prudential but is increasingly coming into focus, as digital estates continue to expand.</w:t>
      </w:r>
    </w:p>
    <w:p w:rsidR="007B230A" w:rsidRPr="00ED2DDD" w:rsidRDefault="007B230A"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In the instance of HSBC, the issue of the environment is of uniformity. The bank is not able to promote the sustainability analysis driven by AI, and so the decisions of the bank concerning the deployment consider not the energy intensity, transparency or proportionality of the vendors. Selective investment to use cases where the prudence and social value is discernible through the aid of supplier due diligence and reporting discipline is the reasonable solution.</w:t>
      </w:r>
    </w:p>
    <w:p w:rsidR="00D37A3F" w:rsidRPr="00177C9C" w:rsidRDefault="00D37A3F" w:rsidP="005F3674">
      <w:pPr>
        <w:spacing w:line="360" w:lineRule="auto"/>
        <w:jc w:val="both"/>
        <w:rPr>
          <w:rFonts w:ascii="Times New Roman" w:hAnsi="Times New Roman" w:cs="Times New Roman"/>
          <w:sz w:val="24"/>
          <w:szCs w:val="24"/>
        </w:rPr>
      </w:pPr>
      <w:bookmarkStart w:id="9" w:name="_Toc225218185"/>
      <w:r w:rsidRPr="00177C9C">
        <w:rPr>
          <w:rStyle w:val="Heading1Char"/>
          <w:rFonts w:ascii="Times New Roman" w:hAnsi="Times New Roman" w:cs="Times New Roman"/>
          <w:color w:val="auto"/>
        </w:rPr>
        <w:t>IV. Micro-Economic Structures and the International Trade Theory</w:t>
      </w:r>
      <w:bookmarkEnd w:id="9"/>
      <w:r w:rsidRPr="00177C9C">
        <w:rPr>
          <w:rFonts w:ascii="Times New Roman" w:hAnsi="Times New Roman" w:cs="Times New Roman"/>
          <w:sz w:val="24"/>
          <w:szCs w:val="24"/>
        </w:rPr>
        <w:t>.</w:t>
      </w:r>
    </w:p>
    <w:p w:rsidR="00D37A3F" w:rsidRPr="00ED2DDD" w:rsidRDefault="00D37A3F"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In order to abandon the environmental scanning field, this section would apply the international trade theory and micro-economic rationality to the AI strategy of HSBC. This is to explain why AI risk is influenced by cross-border organisation, data location and pricing behaviour, as opposed to them being good or effective models.</w:t>
      </w:r>
    </w:p>
    <w:p w:rsidR="00D37A3F" w:rsidRPr="00177C9C" w:rsidRDefault="00D37A3F" w:rsidP="004C421E">
      <w:pPr>
        <w:pStyle w:val="Heading2"/>
        <w:rPr>
          <w:rFonts w:ascii="Times New Roman" w:hAnsi="Times New Roman" w:cs="Times New Roman"/>
          <w:color w:val="auto"/>
        </w:rPr>
      </w:pPr>
      <w:bookmarkStart w:id="10" w:name="_Toc225218186"/>
      <w:r w:rsidRPr="00177C9C">
        <w:rPr>
          <w:rFonts w:ascii="Times New Roman" w:hAnsi="Times New Roman" w:cs="Times New Roman"/>
          <w:color w:val="auto"/>
        </w:rPr>
        <w:t>A. Models of Trade and Digital Capital Flows.</w:t>
      </w:r>
      <w:bookmarkEnd w:id="10"/>
    </w:p>
    <w:p w:rsidR="00D37A3F" w:rsidRPr="00ED2DDD" w:rsidRDefault="00D37A3F"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 xml:space="preserve">The international trade theory aids in gaining a clear understanding of why the cross-border friction is the mode of organising AI risk in banking. The exchange according to the gravity model, is based on or depends on the economic size and distance, but distance is redefined in digital finance by the access of data, regulation compatibility, connectivity and latency of payment. The main obstacles of </w:t>
      </w:r>
      <w:r w:rsidRPr="00ED2DDD">
        <w:rPr>
          <w:rFonts w:ascii="Times New Roman" w:hAnsi="Times New Roman" w:cs="Times New Roman"/>
          <w:sz w:val="24"/>
          <w:szCs w:val="24"/>
        </w:rPr>
        <w:lastRenderedPageBreak/>
        <w:t>digital banking processes are institutionalising in the case of HSBC: localisation laws, cyber requirements, sanctions laws and unequal treatment of bans on forbearance. This is the new trade cost in financial services (Head and Mayer, 2014). In this instance, HSBC, in addition to the direction data can be moved, the direction models can be trained, how they can be approved and how quickly they can be customised in different markets.</w:t>
      </w:r>
    </w:p>
    <w:p w:rsidR="00D37A3F" w:rsidRPr="00ED2DDD" w:rsidRDefault="00D37A3F"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AI facilitates this argument because scale encourages centralisation. The rationale of a global bank wanting to have pooled data, shared infrastructure and reusable models is that it cuts the expenses per unit and is able to improve prediction. Nonetheless, the same design might not be compatible with local data movement limitations or explainability limitations. The issue that the HSBC is grappling with is therefore the efficiency of the analysis without breaking the new regulatory geography of digital trade. It means that the strategy in AI is impossible to develop without the intervention of jurisdictional mapping, data architecture, and oversight.</w:t>
      </w:r>
    </w:p>
    <w:p w:rsidR="00D37A3F" w:rsidRPr="00ED2DDD" w:rsidRDefault="00D37A3F"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Another way that the use of the gravity perspective can explain the growing importance of regulatory distance nearly equalizing the significance of geographic distance is its role in the development of regulatory distance. A model constructed in London can be technically portable, but the tradability of a model can only be useful in being allowed to cross-border transfer data, be accepted in a target market, or tolerate remote validation of a model and group-level decision logic. In case of weak conditions, the cost of trading digitally soars. The current form of market-fragmentation risk is that encountered by the HSBC: it is not tariffs or shipping delays that it has to face, but approval delays, duplication controls, and localisation costs (Head and Mayer, 2014; OECD, 2026b).</w:t>
      </w:r>
    </w:p>
    <w:p w:rsidR="00D37A3F" w:rsidRPr="00177C9C" w:rsidRDefault="00D37A3F" w:rsidP="004C421E">
      <w:pPr>
        <w:pStyle w:val="Heading2"/>
        <w:rPr>
          <w:rFonts w:ascii="Times New Roman" w:hAnsi="Times New Roman" w:cs="Times New Roman"/>
          <w:color w:val="auto"/>
        </w:rPr>
      </w:pPr>
      <w:bookmarkStart w:id="11" w:name="_Toc225218187"/>
      <w:r w:rsidRPr="00177C9C">
        <w:rPr>
          <w:rFonts w:ascii="Times New Roman" w:hAnsi="Times New Roman" w:cs="Times New Roman"/>
          <w:color w:val="auto"/>
        </w:rPr>
        <w:t>B. Digital Foreign Direct Investment in Financial services.</w:t>
      </w:r>
      <w:bookmarkEnd w:id="11"/>
    </w:p>
    <w:p w:rsidR="00D37A3F" w:rsidRPr="00ED2DDD" w:rsidRDefault="00D37A3F"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Another concept that changes during the era of AI is the concept of foreign direct investment. Development of cloud architecture, data infrastructure, ability to work with cybercrime, model development and specialised talent and branches or subsidiaries have become strategic investments to the banking industry. The significance of the internalisation logic by Dunning lies in the fact that, banks have a valid reason to keep in the company the necessary risk capabilities other than to delegate them to an external company in wholesale (Dunning, 1993). This is why such investment in internal data platforms, control tooling, and specialist model-risk people must be seen as being strategic, and not discretionary digital investment.</w:t>
      </w:r>
    </w:p>
    <w:p w:rsidR="00D37A3F" w:rsidRPr="00ED2DDD" w:rsidRDefault="00D37A3F"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lastRenderedPageBreak/>
        <w:t>Digital FDI however creates an issue of localisation. Without exporting group-level models to other markets untouched by HSBC, the company will import the bad assumptions into new local situations. In case it renders all things regional, it is stripped of scale and consistency. The workaround solution is selective standardisation: group-wide validation baselines, cyber controls and logging and customer-facing feature local calibration. Strategic asset of the modern international banking is controlled access to data, models, infrastructure and expertise in governance, and thus more than physical presence.</w:t>
      </w:r>
    </w:p>
    <w:p w:rsidR="00D37A3F" w:rsidRPr="00177C9C" w:rsidRDefault="00D37A3F" w:rsidP="004C421E">
      <w:pPr>
        <w:pStyle w:val="Heading2"/>
        <w:rPr>
          <w:rFonts w:ascii="Times New Roman" w:hAnsi="Times New Roman" w:cs="Times New Roman"/>
          <w:color w:val="auto"/>
        </w:rPr>
      </w:pPr>
      <w:bookmarkStart w:id="12" w:name="_Toc225218188"/>
      <w:r w:rsidRPr="00177C9C">
        <w:rPr>
          <w:rFonts w:ascii="Times New Roman" w:hAnsi="Times New Roman" w:cs="Times New Roman"/>
          <w:color w:val="auto"/>
        </w:rPr>
        <w:t>C. Micro-Economic Structures: Algorithms of pricing risk.</w:t>
      </w:r>
      <w:bookmarkEnd w:id="12"/>
    </w:p>
    <w:p w:rsidR="00D37A3F" w:rsidRPr="00ED2DDD" w:rsidRDefault="00D37A3F"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This is only worsened by the micro economic theory because an AI will change how the information asymmetry is resolved and how the risk is priced. Preferably, additional information can zero-down on unfavorable selection and improve screening. In practice the hyper-personalised pricing may put the bank on the way towards forms of price discrimination that are efficient in a small-scale model but which are difficult to justify socially or regulations. In the case in which risk scores are determined using volatile proxies, an information advantage is conduct risk. The bank must regard predictive accuracy relative to explainability in lending, pricing, fraud review and customer targeting, fairness and the long term relation value of being treated consistently in the same way.</w:t>
      </w:r>
    </w:p>
    <w:p w:rsidR="00D37A3F" w:rsidRPr="00ED2DDD" w:rsidRDefault="00D37A3F"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Internal micro-economics is also an issue with it. Centralisation can reduce duplication and improvement of performance, but excessive centralisation may negatively affect local judgement and correction where failure of models occurs. The HSBC variant that is economically rational one is therefore the one, which centralises the standards, validation and infrastructure and leaves the local escalation rights and senior human review on high-impact cases. The rationale of that balance is that local managers tend to see behavioural trends and customer environment which might go unnoticed by central systems.</w:t>
      </w:r>
    </w:p>
    <w:p w:rsidR="00D37A3F" w:rsidRPr="00ED2DDD" w:rsidRDefault="00D37A3F"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On the micro-economic level, AI, as well, alters the equilibrium between efficiency and equity in the retail banking markets. Improved prediction can mitigate the information asymmetry, however, it may also allow some forms of segmentation that undermine transparency and contestability. As prices, offers, or fraud interventions become very personalised, it becomes difficult to compare the results or even to see why the customers were treated in a different way. HSBC must also consider costs of the algorithmic pricing in margin uplift, as well as complaint risk, switching behaviour, customer lifetime value and cost of reputational perceived unfairness (O'Neil, 2016; Kearns and Roth, 2019).</w:t>
      </w:r>
    </w:p>
    <w:p w:rsidR="00122396" w:rsidRPr="00177C9C" w:rsidRDefault="005C058B" w:rsidP="005F3674">
      <w:pPr>
        <w:pStyle w:val="Heading1"/>
        <w:rPr>
          <w:rFonts w:ascii="Times New Roman" w:hAnsi="Times New Roman" w:cs="Times New Roman"/>
          <w:color w:val="auto"/>
          <w:sz w:val="26"/>
          <w:szCs w:val="26"/>
        </w:rPr>
      </w:pPr>
      <w:bookmarkStart w:id="13" w:name="_Toc225218189"/>
      <w:r w:rsidRPr="00177C9C">
        <w:rPr>
          <w:rFonts w:ascii="Times New Roman" w:hAnsi="Times New Roman" w:cs="Times New Roman"/>
          <w:color w:val="auto"/>
          <w:sz w:val="26"/>
          <w:szCs w:val="26"/>
        </w:rPr>
        <w:lastRenderedPageBreak/>
        <w:t>V. Key Risk Dimensions: Governance, Ethics, and Trust</w:t>
      </w:r>
      <w:bookmarkEnd w:id="13"/>
    </w:p>
    <w:p w:rsidR="00DC3909" w:rsidRPr="00ED2DDD" w:rsidRDefault="00DC3909"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The prior sections demonstrated the reasons why AI is exposing in the political, economic and regulation arena. The three risk dimensions which are deemed the most direct determinants of whether AI is scalable in a global bank are covered in this section, namely, governance, ethics and trust. These are mutually supporting. Lack of good governance leads to heightened levels of transparency and favouritism. favouritism and transparency lead to loss of trust; loss of trust then turns into legal, conduct and strategy issue.</w:t>
      </w:r>
    </w:p>
    <w:p w:rsidR="00122396" w:rsidRPr="00177C9C" w:rsidRDefault="005C058B" w:rsidP="004C421E">
      <w:pPr>
        <w:pStyle w:val="Heading2"/>
        <w:rPr>
          <w:rFonts w:ascii="Times New Roman" w:hAnsi="Times New Roman" w:cs="Times New Roman"/>
          <w:color w:val="auto"/>
        </w:rPr>
      </w:pPr>
      <w:bookmarkStart w:id="14" w:name="_Toc225218190"/>
      <w:r w:rsidRPr="00177C9C">
        <w:rPr>
          <w:rFonts w:ascii="Times New Roman" w:hAnsi="Times New Roman" w:cs="Times New Roman"/>
          <w:color w:val="auto"/>
        </w:rPr>
        <w:t>A. Data Governance Within a Highly Interconnected Global Network</w:t>
      </w:r>
      <w:bookmarkEnd w:id="14"/>
    </w:p>
    <w:p w:rsidR="00DC3909" w:rsidRPr="00ED2DDD" w:rsidRDefault="00DC3909"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The foundational block of plausible AI in banking is data governance. All subsequent controls are based on quality, legality and traceability of the underlying data. The global network of HSBC poses an inherent tension: the bank must be integrated to an extent that it can identify fraud, trace risk and serve clients all day and all night, but not so integrated to an extent that it becomes impossible to trace ownership, violates transfer regulations or the blow-up area of a failure. Weak model behaviour at scale in an AI setting is a result of weak governance. It also raises operational issues regarding stewardship: who retains ownership of a dataset, who agrees to its usage, who can dispute model inputs and what does cross-entity transfer prove.</w:t>
      </w:r>
    </w:p>
    <w:p w:rsidR="00DC3909" w:rsidRPr="00ED2DDD" w:rsidRDefault="00DC3909"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An operational framework must have a minimum of five components: group-wide maps of material models and data sources; lineage along the entire decision process; role based controls on sensitive data sets; retention policies and minimisation policies; and effective third party governance with audit privileges, resilience expectations and contingency plans. In the absence of these, HSBC would be ill-advised to boast that it is well versed in the systems that its controls rely on. Combined, these controls form the traceability required of internal challenge and external assurance.</w:t>
      </w:r>
    </w:p>
    <w:p w:rsidR="00122396" w:rsidRPr="00177C9C" w:rsidRDefault="005C058B" w:rsidP="004C421E">
      <w:pPr>
        <w:pStyle w:val="Heading2"/>
        <w:rPr>
          <w:rFonts w:ascii="Times New Roman" w:hAnsi="Times New Roman" w:cs="Times New Roman"/>
          <w:color w:val="auto"/>
        </w:rPr>
      </w:pPr>
      <w:bookmarkStart w:id="15" w:name="_Toc225218191"/>
      <w:r w:rsidRPr="00177C9C">
        <w:rPr>
          <w:rFonts w:ascii="Times New Roman" w:hAnsi="Times New Roman" w:cs="Times New Roman"/>
          <w:color w:val="auto"/>
        </w:rPr>
        <w:t>B. Algorithmic Bias and Ethical Credit Scoring</w:t>
      </w:r>
      <w:bookmarkEnd w:id="15"/>
    </w:p>
    <w:p w:rsidR="00DC3909" w:rsidRPr="00ED2DDD" w:rsidRDefault="00DC3909"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Algorithms bias is particularly critical in the banking sector as it influences a person in terms of credit, housing, and business opportunities. Bias may come in via historical information, feature selection, target design, patterns of missing data or operational feedback loops. A model can be neutral but will reproduce disadvantage in proxies. Ethical credit scoring thus cannot be done by just eliminating the characteristics that are covered in the input set. The danger is escalated when models are re-trained on live results since biassed business decisions can propagate through the data and, as a result, inequalities may become statistically ordinary.</w:t>
      </w:r>
    </w:p>
    <w:p w:rsidR="00DC3909" w:rsidRPr="00ED2DDD" w:rsidRDefault="00DC3909"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lastRenderedPageBreak/>
        <w:t>HSBC must also regard fairness as an ongoing governance process and not a test. It implies pre-deployment and after deployment bias cheques, explicit thresholds of disparity, challenger models, recorded overrides and escalation in case of performance drifts. It is not a mere ethical obligation. A bank which demonstrates fairness is more in a position to justify automation, keep up trust and scale digital services with reduced conduct risk. Consistent reporting to the senior management should point out the areas that fairness tensions are being negotiated against business goals, in order that they are explicitly made as opposed to being hidden within technical design.</w:t>
      </w:r>
    </w:p>
    <w:p w:rsidR="00122396" w:rsidRPr="00177C9C" w:rsidRDefault="005C058B" w:rsidP="004C421E">
      <w:pPr>
        <w:pStyle w:val="Heading2"/>
        <w:rPr>
          <w:rFonts w:ascii="Times New Roman" w:hAnsi="Times New Roman" w:cs="Times New Roman"/>
          <w:color w:val="auto"/>
        </w:rPr>
      </w:pPr>
      <w:bookmarkStart w:id="16" w:name="_Toc225218192"/>
      <w:r w:rsidRPr="00177C9C">
        <w:rPr>
          <w:rFonts w:ascii="Times New Roman" w:hAnsi="Times New Roman" w:cs="Times New Roman"/>
          <w:color w:val="auto"/>
        </w:rPr>
        <w:t>C. Consumer Trust and the Black Box Paradox</w:t>
      </w:r>
      <w:bookmarkEnd w:id="16"/>
    </w:p>
    <w:p w:rsidR="00DC3909" w:rsidRPr="00ED2DDD" w:rsidRDefault="00DC3909"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Banking trust is progressive but weak. Automated systems can be embraced by the customers when they prove to be fast and dependable, but once a few failures happen with no explanations, trust will be shattered. This generates a black box paradox: the very complex models can be effective predictors but their opaque nature can be used to undercut legitimacy in a sector where critical choices have to be made by customers, employees and managers. Accuracy is not a sufficient condition of trust in financial services since it must also extend to whether individuals can observe that results are debatable and reasonable.</w:t>
      </w:r>
    </w:p>
    <w:p w:rsidR="00DC3909" w:rsidRPr="00ED2DDD" w:rsidRDefault="00DC3909"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In the case of HSBC, there are three practical commitments of trust, namely, contestability, intelligibility and proportionality. Automated results should be meaningfully reviewed to customers when they have a significant impact on them. Employees require the explanations that they can explain and justify. The more significant the decision, the better the argument in favour of human intervention, or an open by-pass. The quality of model complexity to customer impact is the main linkage of the policy between trust and durability. This kind of commitment is without, so even technically correct systems can be considered unjust or dodgers.</w:t>
      </w:r>
    </w:p>
    <w:p w:rsidR="006769B1" w:rsidRPr="00ED2DDD" w:rsidRDefault="009B6ACD" w:rsidP="005F3674">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pict>
          <v:shapetype id="_x0000_t202" coordsize="21600,21600" o:spt="202" path="m,l,21600r21600,l21600,xe">
            <v:stroke joinstyle="miter"/>
            <v:path gradientshapeok="t" o:connecttype="rect"/>
          </v:shapetype>
          <v:shape id="Text Box 8" o:spid="_x0000_s2054" type="#_x0000_t202" style="position:absolute;left:0;text-align:left;margin-left:376pt;margin-top:59.95pt;width:76.8pt;height:1in;z-index:25167616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" fillcolor="white [3201]" strokeweight=".5pt">
            <v:textbox>
              <w:txbxContent>
                <w:p w:rsidR="006769B1" w:rsidRPr="006769B1" w:rsidRDefault="006769B1" w:rsidP="006769B1">
                  <w:pPr>
                    <w:rPr>
                      <w:rFonts w:ascii="Times New Roman" w:hAnsi="Times New Roman" w:cs="Times New Roman"/>
                      <w:b/>
                      <w:bCs/>
                      <w:sz w:val="24"/>
                      <w:szCs w:val="24"/>
                    </w:rPr>
                  </w:pPr>
                  <w:r w:rsidRPr="006769B1">
                    <w:rPr>
                      <w:rFonts w:ascii="Times New Roman" w:hAnsi="Times New Roman" w:cs="Times New Roman"/>
                      <w:b/>
                      <w:bCs/>
                      <w:sz w:val="24"/>
                      <w:szCs w:val="24"/>
                    </w:rPr>
                    <w:t>Restored Trust &amp; Compliance</w:t>
                  </w:r>
                </w:p>
              </w:txbxContent>
            </v:textbox>
          </v:shape>
        </w:pict>
      </w:r>
      <w:r>
        <w:rPr>
          <w:rFonts w:ascii="Times New Roman" w:hAnsi="Times New Roman" w:cs="Times New Roman"/>
          <w:noProof/>
          <w:sz w:val="24"/>
          <w:szCs w:val="24"/>
        </w:rPr>
        <w:pict>
          <v:shape id="Text Box 7" o:spid="_x0000_s2053" type="#_x0000_t202" style="position:absolute;left:0;text-align:left;margin-left:275.2pt;margin-top:80.75pt;width:84.8pt;height:84pt;z-index:2516689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" fillcolor="white [3201]" strokeweight=".5pt">
            <v:textbox>
              <w:txbxContent>
                <w:p w:rsidR="006769B1" w:rsidRPr="006769B1" w:rsidRDefault="006769B1" w:rsidP="006769B1">
                  <w:pPr>
                    <w:rPr>
                      <w:rFonts w:ascii="Times New Roman" w:hAnsi="Times New Roman" w:cs="Times New Roman"/>
                      <w:b/>
                      <w:bCs/>
                      <w:sz w:val="24"/>
                      <w:szCs w:val="24"/>
                    </w:rPr>
                  </w:pPr>
                  <w:r w:rsidRPr="006769B1">
                    <w:rPr>
                      <w:rFonts w:ascii="Times New Roman" w:hAnsi="Times New Roman" w:cs="Times New Roman"/>
                      <w:b/>
                      <w:bCs/>
                      <w:sz w:val="24"/>
                      <w:szCs w:val="24"/>
                    </w:rPr>
                    <w:t>Intelligibility &amp; Proportionality (Solution)</w:t>
                  </w:r>
                </w:p>
              </w:txbxContent>
            </v:textbox>
          </v:shape>
        </w:pict>
      </w:r>
      <w:r>
        <w:rPr>
          <w:rFonts w:ascii="Times New Roman" w:hAnsi="Times New Roman" w:cs="Times New Roman"/>
          <w:noProof/>
          <w:sz w:val="24"/>
          <w:szCs w:val="24"/>
        </w:rPr>
        <w:pict>
          <v:shape id="Text Box 6" o:spid="_x0000_s2052" type="#_x0000_t202" style="position:absolute;left:0;text-align:left;margin-left:188.8pt;margin-top:103.15pt;width:71.2pt;height:60.8pt;z-index:2516618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" fillcolor="white [3201]" strokeweight=".5pt">
            <v:textbox>
              <w:txbxContent>
                <w:p w:rsidR="006769B1" w:rsidRPr="00037BE4" w:rsidRDefault="006769B1" w:rsidP="006769B1">
                  <w:pPr>
                    <w:rPr>
                      <w:rFonts w:ascii="Times New Roman" w:hAnsi="Times New Roman" w:cs="Times New Roman"/>
                      <w:b/>
                      <w:bCs/>
                      <w:sz w:val="24"/>
                      <w:szCs w:val="24"/>
                    </w:rPr>
                  </w:pPr>
                  <w:r w:rsidRPr="00037BE4">
                    <w:rPr>
                      <w:rFonts w:ascii="Times New Roman" w:hAnsi="Times New Roman" w:cs="Times New Roman"/>
                      <w:b/>
                      <w:bCs/>
                      <w:sz w:val="24"/>
                      <w:szCs w:val="24"/>
                    </w:rPr>
                    <w:t>Consumer Trust Deficit</w:t>
                  </w:r>
                </w:p>
              </w:txbxContent>
            </v:textbox>
          </v:shape>
        </w:pict>
      </w:r>
      <w:r>
        <w:rPr>
          <w:rFonts w:ascii="Times New Roman" w:hAnsi="Times New Roman" w:cs="Times New Roman"/>
          <w:noProof/>
          <w:sz w:val="24"/>
          <w:szCs w:val="24"/>
        </w:rPr>
        <w:pict>
          <v:shape id="Text Box 4" o:spid="_x0000_s2051" type="#_x0000_t202" style="position:absolute;left:0;text-align:left;margin-left:98.4pt;margin-top:123.95pt;width:76pt;height:56.8pt;z-index:2516474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" fillcolor="white [3201]" strokeweight=".5pt">
            <v:textbox>
              <w:txbxContent>
                <w:p w:rsidR="006769B1" w:rsidRPr="00037BE4" w:rsidRDefault="006769B1" w:rsidP="006769B1">
                  <w:pPr>
                    <w:rPr>
                      <w:rFonts w:ascii="Times New Roman" w:hAnsi="Times New Roman" w:cs="Times New Roman"/>
                      <w:b/>
                      <w:bCs/>
                      <w:sz w:val="24"/>
                      <w:szCs w:val="24"/>
                    </w:rPr>
                  </w:pPr>
                  <w:r w:rsidRPr="00037BE4">
                    <w:rPr>
                      <w:rFonts w:ascii="Times New Roman" w:hAnsi="Times New Roman" w:cs="Times New Roman"/>
                      <w:b/>
                      <w:bCs/>
                      <w:sz w:val="24"/>
                      <w:szCs w:val="24"/>
                    </w:rPr>
                    <w:t>Opaque Decisions (Black Box)</w:t>
                  </w:r>
                </w:p>
              </w:txbxContent>
            </v:textbox>
          </v:shape>
        </w:pict>
      </w:r>
      <w:r>
        <w:rPr>
          <w:rFonts w:ascii="Times New Roman" w:hAnsi="Times New Roman" w:cs="Times New Roman"/>
          <w:noProof/>
          <w:sz w:val="24"/>
          <w:szCs w:val="24"/>
        </w:rPr>
        <w:pict>
          <v:shape id="Text Box 5" o:spid="_x0000_s2050" type="#_x0000_t202" style="position:absolute;left:0;text-align:left;margin-left:11.2pt;margin-top:146.35pt;width:69.6pt;height:37.6pt;z-index:2516546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" fillcolor="white [3201]" strokeweight=".5pt">
            <v:textbox>
              <w:txbxContent>
                <w:p w:rsidR="006769B1" w:rsidRPr="00037BE4" w:rsidRDefault="006769B1" w:rsidP="006769B1">
                  <w:pPr>
                    <w:rPr>
                      <w:rFonts w:ascii="Times New Roman" w:hAnsi="Times New Roman" w:cs="Times New Roman"/>
                      <w:b/>
                      <w:bCs/>
                      <w:sz w:val="24"/>
                      <w:szCs w:val="24"/>
                    </w:rPr>
                  </w:pPr>
                  <w:r w:rsidRPr="00037BE4">
                    <w:rPr>
                      <w:rFonts w:ascii="Times New Roman" w:hAnsi="Times New Roman" w:cs="Times New Roman"/>
                      <w:b/>
                      <w:bCs/>
                      <w:sz w:val="24"/>
                      <w:szCs w:val="24"/>
                    </w:rPr>
                    <w:t>Complex AI Models</w:t>
                  </w:r>
                </w:p>
              </w:txbxContent>
            </v:textbox>
          </v:shape>
        </w:pict>
      </w:r>
      <w:r w:rsidR="006769B1" w:rsidRPr="00ED2DDD">
        <w:rPr>
          <w:rFonts w:ascii="Times New Roman" w:hAnsi="Times New Roman" w:cs="Times New Roman"/>
          <w:noProof/>
          <w:sz w:val="24"/>
          <w:szCs w:val="24"/>
        </w:rPr>
        <w:drawing>
          <wp:inline distT="0" distB="0" distL="0" distR="0">
            <wp:extent cx="5486400" cy="3200400"/>
            <wp:effectExtent l="19050" t="0" r="152400" b="0"/>
            <wp:docPr id="89599881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855920" w:rsidRPr="00ED2DDD" w:rsidRDefault="00855920" w:rsidP="005F3674">
      <w:pPr>
        <w:spacing w:line="360" w:lineRule="auto"/>
        <w:jc w:val="both"/>
        <w:rPr>
          <w:rFonts w:ascii="Times New Roman" w:hAnsi="Times New Roman" w:cs="Times New Roman"/>
          <w:noProof/>
          <w:sz w:val="24"/>
          <w:szCs w:val="24"/>
        </w:rPr>
      </w:pPr>
      <w:r w:rsidRPr="00ED2DDD">
        <w:rPr>
          <w:rFonts w:ascii="Times New Roman" w:hAnsi="Times New Roman" w:cs="Times New Roman"/>
          <w:noProof/>
          <w:sz w:val="24"/>
          <w:szCs w:val="24"/>
        </w:rPr>
        <w:t>Figure 2: The Algorithmic Black Box &amp; Trust Deficit.</w:t>
      </w:r>
    </w:p>
    <w:p w:rsidR="00855920" w:rsidRPr="00ED2DDD" w:rsidRDefault="00855920" w:rsidP="005F3674">
      <w:pPr>
        <w:spacing w:line="360" w:lineRule="auto"/>
        <w:jc w:val="both"/>
        <w:rPr>
          <w:rFonts w:ascii="Times New Roman" w:hAnsi="Times New Roman" w:cs="Times New Roman"/>
          <w:noProof/>
          <w:sz w:val="24"/>
          <w:szCs w:val="24"/>
        </w:rPr>
      </w:pPr>
      <w:r w:rsidRPr="00ED2DDD">
        <w:rPr>
          <w:rFonts w:ascii="Times New Roman" w:hAnsi="Times New Roman" w:cs="Times New Roman"/>
          <w:noProof/>
          <w:sz w:val="24"/>
          <w:szCs w:val="24"/>
        </w:rPr>
        <w:t>Source: Author's own creation.</w:t>
      </w:r>
    </w:p>
    <w:p w:rsidR="006769B1" w:rsidRPr="006769B1" w:rsidRDefault="006769B1" w:rsidP="005F3674">
      <w:pPr>
        <w:spacing w:line="360" w:lineRule="auto"/>
        <w:jc w:val="both"/>
        <w:rPr>
          <w:rFonts w:ascii="Times New Roman" w:hAnsi="Times New Roman" w:cs="Times New Roman"/>
          <w:sz w:val="24"/>
          <w:szCs w:val="24"/>
        </w:rPr>
      </w:pPr>
      <w:r w:rsidRPr="006769B1">
        <w:rPr>
          <w:rFonts w:ascii="Times New Roman" w:hAnsi="Times New Roman" w:cs="Times New Roman"/>
          <w:sz w:val="24"/>
          <w:szCs w:val="24"/>
        </w:rPr>
        <w:t>As shown above, the path of reputational damage to a black box model is not inescapable. HSBC can short-circuit this risk pathway by integrating an intelligibility and proportionality framework, in which high impact automated decisions are combined with articulate communication and easy access to human redress. It will guarantee the AI adoption by the bank is not only technically accurate but socially and legally resilient in the eyes of both FCA and HKMA.</w:t>
      </w:r>
    </w:p>
    <w:p w:rsidR="00E50E14" w:rsidRPr="00177C9C" w:rsidRDefault="00E50E14" w:rsidP="005F3674">
      <w:pPr>
        <w:pStyle w:val="Heading1"/>
        <w:rPr>
          <w:rFonts w:ascii="Times New Roman" w:hAnsi="Times New Roman" w:cs="Times New Roman"/>
          <w:color w:val="auto"/>
          <w:sz w:val="26"/>
          <w:szCs w:val="26"/>
        </w:rPr>
      </w:pPr>
      <w:bookmarkStart w:id="17" w:name="_Toc225218193"/>
      <w:r w:rsidRPr="00177C9C">
        <w:rPr>
          <w:rFonts w:ascii="Times New Roman" w:hAnsi="Times New Roman" w:cs="Times New Roman"/>
          <w:color w:val="auto"/>
          <w:sz w:val="26"/>
          <w:szCs w:val="26"/>
        </w:rPr>
        <w:t>VI. Avoiding the Regulatory Schism United Kingdom vs. Hong Kong and China.</w:t>
      </w:r>
      <w:bookmarkEnd w:id="17"/>
    </w:p>
    <w:p w:rsidR="00E50E14" w:rsidRPr="00ED2DDD" w:rsidRDefault="00E50E14"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This is where the jurisdictional comparison will be crucial as HSBC will be required to operate with over one philosophy of supervising. Its AI development should address a principle-based regime in the UK as well as navigate around the more stringent data-sovereignty and supervisory anxieties that characterize Hong Kong and mainland China. There will also be no single law interpretation that will remain viable with an increased use of AI.</w:t>
      </w:r>
    </w:p>
    <w:p w:rsidR="00E50E14" w:rsidRPr="00177C9C" w:rsidRDefault="00E50E14" w:rsidP="005F3674">
      <w:pPr>
        <w:spacing w:line="360" w:lineRule="auto"/>
        <w:jc w:val="both"/>
        <w:rPr>
          <w:rFonts w:ascii="Times New Roman" w:hAnsi="Times New Roman" w:cs="Times New Roman"/>
          <w:sz w:val="26"/>
          <w:szCs w:val="26"/>
        </w:rPr>
      </w:pPr>
      <w:bookmarkStart w:id="18" w:name="_Toc225218194"/>
      <w:r w:rsidRPr="00177C9C">
        <w:rPr>
          <w:rStyle w:val="Heading2Char"/>
          <w:rFonts w:ascii="Times New Roman" w:hAnsi="Times New Roman" w:cs="Times New Roman"/>
          <w:color w:val="auto"/>
        </w:rPr>
        <w:t>A. The United Kingdom: Consumer Duty and Principle-Based Regulation</w:t>
      </w:r>
      <w:bookmarkEnd w:id="18"/>
      <w:r w:rsidRPr="00177C9C">
        <w:rPr>
          <w:rFonts w:ascii="Times New Roman" w:hAnsi="Times New Roman" w:cs="Times New Roman"/>
          <w:sz w:val="26"/>
          <w:szCs w:val="26"/>
        </w:rPr>
        <w:t>.</w:t>
      </w:r>
    </w:p>
    <w:p w:rsidR="00E50E14" w:rsidRPr="00ED2DDD" w:rsidRDefault="00E50E14"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 xml:space="preserve">The UK is now being offered by AI in finance a flexible, but difficult environment. FCA has made it clear that businesses may be innovative but they must comply with the existing rules to govern, be robust, and customer outcomes and market integrity (FCA, 2025b). Consumer Duty is especially </w:t>
      </w:r>
      <w:r w:rsidRPr="00ED2DDD">
        <w:rPr>
          <w:rFonts w:ascii="Times New Roman" w:hAnsi="Times New Roman" w:cs="Times New Roman"/>
          <w:sz w:val="24"/>
          <w:szCs w:val="24"/>
        </w:rPr>
        <w:lastRenderedPageBreak/>
        <w:t>important as it does not require a formal compliance but positive outcomes (FCA, 2025d). This would imply that in the case of HSBC the UK AI systems must be explainable, controllable and visible in respect to the interests of the customers. The firms would then be in a position to show that systems are performing in line with the fact that governance, accountability of senior and protection of customers are within proportion to impact.</w:t>
      </w:r>
    </w:p>
    <w:p w:rsidR="00E50E14" w:rsidRPr="00ED2DDD" w:rsidRDefault="00E50E14"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This is one of the advantages of this regime as it enables the firms to tailor the controls to specific situations and force the top management to communicate. The reason is that it is hard as it involves interpretation. More but not less judgement is typically needed with principle-based regulation. This involves superior documentations, internal challenge and management information in the UK based HSBC. The absence of a single AI law does not make the process of governance easier. In its effect, the UK model recompenses those companies that can associate innovation with rigorous management and reasonable security of customers.</w:t>
      </w:r>
    </w:p>
    <w:p w:rsidR="00E50E14" w:rsidRDefault="00E50E14" w:rsidP="004C421E">
      <w:pPr>
        <w:pStyle w:val="Heading2"/>
        <w:rPr>
          <w:rFonts w:ascii="Times New Roman" w:hAnsi="Times New Roman" w:cs="Times New Roman"/>
          <w:color w:val="auto"/>
        </w:rPr>
      </w:pPr>
      <w:bookmarkStart w:id="19" w:name="_Toc225218195"/>
      <w:r w:rsidRPr="00177C9C">
        <w:rPr>
          <w:rFonts w:ascii="Times New Roman" w:hAnsi="Times New Roman" w:cs="Times New Roman"/>
          <w:color w:val="auto"/>
        </w:rPr>
        <w:t>B. China and Hong Kong: State-Owned Data Sovereignty and Unswerving Obedience.</w:t>
      </w:r>
      <w:bookmarkEnd w:id="19"/>
    </w:p>
    <w:p w:rsidR="00177C9C" w:rsidRPr="00177C9C" w:rsidRDefault="00177C9C" w:rsidP="00177C9C"/>
    <w:p w:rsidR="00E50E14" w:rsidRPr="00ED2DDD" w:rsidRDefault="00E50E14"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Mainland China and Hong Kong share different logic of regulation. Security, legality and the ability of overseers to observe are the issues that are closely related to AI and data governance in mainland China. The Interim Measures of Generative AI and the regulations suggest a more prescriptive perspective on the data quality, the security and control of sensitive operations (State Council of the PRC, 2023). When dealing with a cross-border bank, not all of the data or model applications can be readily migrated to a global platform. This causes even greater anticipation of locally sensitive information and effective systems being visible to domestic control and that they be controlled within clear parameters.</w:t>
      </w:r>
    </w:p>
    <w:p w:rsidR="00E50E14" w:rsidRPr="00ED2DDD" w:rsidRDefault="00E50E14"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Hong Kong has not been made more internationally market-oriented but the supervisory requirements are narrowing. Generative AI policy, consumer protection and sandbox activity of HKMA are conducive to innovation on the basis of transparency, accountability and security (HKMA, 2024a; HKMA, 2024b; HKMA, 2026). Hong Kong/China corridor is not another extension of the UK model to HSBC. The assumption that a single documentation package can be applicable even in other regions should not, therefore, be made by HSBC.</w:t>
      </w:r>
    </w:p>
    <w:p w:rsidR="00177C9C" w:rsidRPr="00177C9C" w:rsidRDefault="00E50E14" w:rsidP="00177C9C">
      <w:pPr>
        <w:pStyle w:val="Heading2"/>
        <w:rPr>
          <w:rFonts w:ascii="Times New Roman" w:hAnsi="Times New Roman" w:cs="Times New Roman"/>
          <w:color w:val="auto"/>
        </w:rPr>
      </w:pPr>
      <w:bookmarkStart w:id="20" w:name="_Toc225218196"/>
      <w:r w:rsidRPr="00177C9C">
        <w:rPr>
          <w:rFonts w:ascii="Times New Roman" w:hAnsi="Times New Roman" w:cs="Times New Roman"/>
          <w:color w:val="auto"/>
        </w:rPr>
        <w:t>C. HSBC Strategic Compliance Dilemma.</w:t>
      </w:r>
      <w:bookmarkEnd w:id="20"/>
    </w:p>
    <w:p w:rsidR="00E50E14" w:rsidRPr="00ED2DDD" w:rsidRDefault="00E50E14"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 xml:space="preserve">Neither total globalisation nor total regional fragmentation can be workable, which is the strategic dilemma of HSBC. A single world wide model stack may be effective, but have poor local fit and </w:t>
      </w:r>
      <w:r w:rsidRPr="00ED2DDD">
        <w:rPr>
          <w:rFonts w:ascii="Times New Roman" w:hAnsi="Times New Roman" w:cs="Times New Roman"/>
          <w:sz w:val="24"/>
          <w:szCs w:val="24"/>
        </w:rPr>
        <w:lastRenderedPageBreak/>
        <w:t>non-adherence. An entirely disaggregated solution can be appealing to the local authorities, but, again, it will increase cost, redundancy and inconsistency. A stratified compliance model is the rational alternative. This is both a strategic and a legal dilemma because the wrong operating model can lead to more compliance expenses that should be avoided or even directly undermine the scale benefits that the very existence of AI renders intriguing.</w:t>
      </w:r>
    </w:p>
    <w:p w:rsidR="00AE6865" w:rsidRPr="00AE6865" w:rsidRDefault="00AE6865" w:rsidP="00AE6865">
      <w:pPr>
        <w:spacing w:line="360" w:lineRule="auto"/>
        <w:jc w:val="both"/>
        <w:rPr>
          <w:rFonts w:ascii="Times New Roman" w:hAnsi="Times New Roman" w:cs="Times New Roman"/>
          <w:sz w:val="24"/>
          <w:szCs w:val="24"/>
        </w:rPr>
      </w:pPr>
      <w:bookmarkStart w:id="21" w:name="_Toc225218197"/>
      <w:r w:rsidRPr="00AE6865">
        <w:rPr>
          <w:rFonts w:ascii="Times New Roman" w:hAnsi="Times New Roman" w:cs="Times New Roman"/>
          <w:sz w:val="24"/>
          <w:szCs w:val="24"/>
        </w:rPr>
        <w:t>On a group level, HSBC ought to establish unyielding requirements of high-impact inventory, validation usage, logging, cyber robustness, and third-party risk, and human management. It needs to process the data at a local level, and deploy and customer message approvals within a regional level. In cases where the regulation is tightened the bank can modify this by ensuring that they use privacy enhancing mechanisms, local approval activations and transparent escalation rules. And flexibility is a control of a disjointed regulatory world. Another fact that the layered model enhances is strategic clarity since it establishes which among the controls is universal and which are jurisdiction-specific.</w:t>
      </w:r>
    </w:p>
    <w:p w:rsidR="00AE6865" w:rsidRPr="00AE6865" w:rsidRDefault="00AE6865" w:rsidP="00AE6865">
      <w:pPr>
        <w:spacing w:line="360" w:lineRule="auto"/>
        <w:jc w:val="both"/>
        <w:rPr>
          <w:rFonts w:ascii="Times New Roman" w:hAnsi="Times New Roman" w:cs="Times New Roman"/>
          <w:b/>
          <w:bCs/>
          <w:sz w:val="24"/>
          <w:szCs w:val="24"/>
        </w:rPr>
      </w:pPr>
      <w:r w:rsidRPr="00AE6865">
        <w:rPr>
          <w:rFonts w:ascii="Times New Roman" w:hAnsi="Times New Roman" w:cs="Times New Roman"/>
          <w:sz w:val="24"/>
          <w:szCs w:val="24"/>
        </w:rPr>
        <w:t>What it means is that, HSBC will need an operating model that is globally aligned and locally justifiable. At the group level, the bank would need to standardize the classification of risks, level of testing, due diligence of the suppliers, incident reporting and board controls. Regionally, it needs to provide it the liberty to difference information location, approval procedure and consumer revelation where legislation or supervisory culture requires it to do so. This layered structure helps HSBC to have the advantages of scale without minimising regulatory dissimilarity to the disinhibiting influence of pace and dependability (FCA, 2025b; HKMA, 2024b; State Council of the PRC, 2023).</w:t>
      </w:r>
    </w:p>
    <w:p w:rsidR="001967D1" w:rsidRPr="00177C9C" w:rsidRDefault="001967D1" w:rsidP="00AE6865">
      <w:pPr>
        <w:pStyle w:val="Heading1"/>
        <w:rPr>
          <w:rFonts w:ascii="Times New Roman" w:hAnsi="Times New Roman" w:cs="Times New Roman"/>
          <w:color w:val="auto"/>
        </w:rPr>
      </w:pPr>
      <w:r w:rsidRPr="00177C9C">
        <w:rPr>
          <w:rFonts w:ascii="Times New Roman" w:hAnsi="Times New Roman" w:cs="Times New Roman"/>
          <w:color w:val="auto"/>
        </w:rPr>
        <w:t>VII. Strategic Implementation Plan.</w:t>
      </w:r>
      <w:bookmarkEnd w:id="21"/>
    </w:p>
    <w:p w:rsidR="001967D1" w:rsidRPr="00ED2DDD" w:rsidRDefault="001967D1"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The assessment of the scenario in this dossier is that the implementation model by HSBC should be gradual and highly structured in order to raise AI controls without stopping the innovation. It is crucial that the solution was gradual since a strategic institution as HSBC can barely afford to fix its governance, technological architecture, and local compliance issues simultaneously endangering its delivery with a radical risk of execution.</w:t>
      </w:r>
    </w:p>
    <w:p w:rsidR="001967D1" w:rsidRPr="00ED2DDD" w:rsidRDefault="001967D1"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 xml:space="preserve">The strategy below is planned over a 24-month time. It presupposes active assistance to the Board, the Chief Risk Officer (CRO), Chief Data and Analytics Officer (CDAO) and the regional </w:t>
      </w:r>
      <w:r w:rsidRPr="00ED2DDD">
        <w:rPr>
          <w:rFonts w:ascii="Times New Roman" w:hAnsi="Times New Roman" w:cs="Times New Roman"/>
          <w:sz w:val="24"/>
          <w:szCs w:val="24"/>
        </w:rPr>
        <w:lastRenderedPageBreak/>
        <w:t>leadership. In order to trace graphically this integration, Gantt chart technique has been applied that divides the strategy roadmap into four overlapping stages.</w:t>
      </w:r>
    </w:p>
    <w:p w:rsidR="001967D1" w:rsidRPr="00ED2DDD" w:rsidRDefault="001967D1"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Gantt Chart Implementation (Overview 24 months Horizon)</w:t>
      </w:r>
    </w:p>
    <w:p w:rsidR="001967D1" w:rsidRPr="00ED2DDD" w:rsidRDefault="001967D1" w:rsidP="005F3674">
      <w:pPr>
        <w:spacing w:line="360" w:lineRule="auto"/>
        <w:jc w:val="both"/>
        <w:rPr>
          <w:rFonts w:ascii="Times New Roman" w:hAnsi="Times New Roman" w:cs="Times New Roman"/>
          <w:sz w:val="24"/>
          <w:szCs w:val="24"/>
        </w:rPr>
      </w:pPr>
      <w:r w:rsidRPr="00ED2DDD">
        <w:rPr>
          <w:rFonts w:ascii="Times New Roman" w:hAnsi="Times New Roman" w:cs="Times New Roman"/>
          <w:noProof/>
          <w:sz w:val="24"/>
          <w:szCs w:val="24"/>
        </w:rPr>
        <w:drawing>
          <wp:inline distT="0" distB="0" distL="0" distR="0">
            <wp:extent cx="6126480" cy="1200785"/>
            <wp:effectExtent l="0" t="0" r="7620" b="0"/>
            <wp:docPr id="364470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470429" name="Picture 364470429"/>
                    <pic:cNvPicPr/>
                  </pic:nvPicPr>
                  <pic:blipFill>
                    <a:blip r:embed="rId13"/>
                    <a:stretch>
                      <a:fillRect/>
                    </a:stretch>
                  </pic:blipFill>
                  <pic:spPr>
                    <a:xfrm>
                      <a:off x="0" y="0"/>
                      <a:ext cx="6126480" cy="1200785"/>
                    </a:xfrm>
                    <a:prstGeom prst="rect">
                      <a:avLst/>
                    </a:prstGeom>
                  </pic:spPr>
                </pic:pic>
              </a:graphicData>
            </a:graphic>
          </wp:inline>
        </w:drawing>
      </w:r>
    </w:p>
    <w:p w:rsidR="001967D1" w:rsidRPr="00ED2DDD" w:rsidRDefault="001967D1" w:rsidP="005F3674">
      <w:pPr>
        <w:spacing w:line="360" w:lineRule="auto"/>
        <w:jc w:val="both"/>
        <w:rPr>
          <w:rFonts w:ascii="Times New Roman" w:hAnsi="Times New Roman" w:cs="Times New Roman"/>
          <w:b/>
          <w:bCs/>
          <w:sz w:val="24"/>
          <w:szCs w:val="24"/>
        </w:rPr>
      </w:pPr>
      <w:r w:rsidRPr="00ED2DDD">
        <w:rPr>
          <w:rFonts w:ascii="Times New Roman" w:hAnsi="Times New Roman" w:cs="Times New Roman"/>
          <w:b/>
          <w:bCs/>
          <w:sz w:val="24"/>
          <w:szCs w:val="24"/>
        </w:rPr>
        <w:t>Descriptions of each stage:</w:t>
      </w:r>
    </w:p>
    <w:p w:rsidR="001967D1" w:rsidRPr="00ED2DDD" w:rsidRDefault="001967D1" w:rsidP="005F3674">
      <w:pPr>
        <w:spacing w:line="360" w:lineRule="auto"/>
        <w:jc w:val="both"/>
        <w:rPr>
          <w:rFonts w:ascii="Times New Roman" w:hAnsi="Times New Roman" w:cs="Times New Roman"/>
          <w:sz w:val="24"/>
          <w:szCs w:val="24"/>
        </w:rPr>
      </w:pPr>
      <w:r w:rsidRPr="00ED2DDD">
        <w:rPr>
          <w:rFonts w:ascii="Times New Roman" w:hAnsi="Times New Roman" w:cs="Times New Roman"/>
          <w:b/>
          <w:bCs/>
          <w:sz w:val="24"/>
          <w:szCs w:val="24"/>
        </w:rPr>
        <w:t>Phase 1:</w:t>
      </w:r>
      <w:r w:rsidRPr="00ED2DDD">
        <w:rPr>
          <w:rFonts w:ascii="Times New Roman" w:hAnsi="Times New Roman" w:cs="Times New Roman"/>
          <w:sz w:val="24"/>
          <w:szCs w:val="24"/>
        </w:rPr>
        <w:t xml:space="preserve"> Governance and Model Inventory ( Months 1-6) </w:t>
      </w:r>
    </w:p>
    <w:p w:rsidR="001967D1" w:rsidRPr="00ED2DDD" w:rsidRDefault="001967D1"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A board-approved framework of AI-governance is of the top priority. During this stage, the CRO and CDAO will be required to conduct a group-wide audit in order to chart existing model and data inventories. This is through the classification of the instances of material utilisation and establishment of stringent boundaries of approval. The critical input in this scenario is one risk taxonomy and an active model register, which provides the top management with complete visibility with respect to the automated systems of the bank.</w:t>
      </w:r>
    </w:p>
    <w:p w:rsidR="001967D1" w:rsidRPr="00ED2DDD" w:rsidRDefault="001967D1" w:rsidP="005F3674">
      <w:pPr>
        <w:spacing w:line="360" w:lineRule="auto"/>
        <w:jc w:val="both"/>
        <w:rPr>
          <w:rFonts w:ascii="Times New Roman" w:hAnsi="Times New Roman" w:cs="Times New Roman"/>
          <w:sz w:val="24"/>
          <w:szCs w:val="24"/>
        </w:rPr>
      </w:pPr>
      <w:r w:rsidRPr="00ED2DDD">
        <w:rPr>
          <w:rFonts w:ascii="Times New Roman" w:hAnsi="Times New Roman" w:cs="Times New Roman"/>
          <w:b/>
          <w:bCs/>
          <w:sz w:val="24"/>
          <w:szCs w:val="24"/>
        </w:rPr>
        <w:t>Phase 2:</w:t>
      </w:r>
      <w:r w:rsidRPr="00ED2DDD">
        <w:rPr>
          <w:rFonts w:ascii="Times New Roman" w:hAnsi="Times New Roman" w:cs="Times New Roman"/>
          <w:sz w:val="24"/>
          <w:szCs w:val="24"/>
        </w:rPr>
        <w:t xml:space="preserve"> Resilience and Bias Aversion (Months 6-12) </w:t>
      </w:r>
    </w:p>
    <w:p w:rsidR="001967D1" w:rsidRPr="00ED2DDD" w:rsidRDefault="001967D1"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At the point when the inventory is available it becomes infrastructure. CIO, Risk and Compliance will need to collaborate to enhance the model validation procedures, system logging and create stringent access control. More to the point, the step inculcates the constant bias testing in the algorithmic pricing models and credit scoring. Furthermore, the reviews of third-party resilience and incident escalation playbooks are provided in order to resolve the vulnerabilities connected with vendors.</w:t>
      </w:r>
    </w:p>
    <w:p w:rsidR="001967D1" w:rsidRPr="00ED2DDD" w:rsidRDefault="001967D1"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The achieved success at this stage must be quantified by tangible deliverables as opposed to completing policies. By month 12, HSBC should be aware of what percentage of the high-impact models have passed validation, what percentage of the critical vendor has gone through the resilience review, and the speed at which material incidents can be escalated within the Risk, Technology and Compliance.</w:t>
      </w:r>
    </w:p>
    <w:p w:rsidR="001967D1" w:rsidRPr="00ED2DDD" w:rsidRDefault="001967D1" w:rsidP="005F3674">
      <w:pPr>
        <w:spacing w:line="360" w:lineRule="auto"/>
        <w:jc w:val="both"/>
        <w:rPr>
          <w:rFonts w:ascii="Times New Roman" w:hAnsi="Times New Roman" w:cs="Times New Roman"/>
          <w:sz w:val="24"/>
          <w:szCs w:val="24"/>
        </w:rPr>
      </w:pPr>
      <w:r w:rsidRPr="00ED2DDD">
        <w:rPr>
          <w:rFonts w:ascii="Times New Roman" w:hAnsi="Times New Roman" w:cs="Times New Roman"/>
          <w:b/>
          <w:bCs/>
          <w:sz w:val="24"/>
          <w:szCs w:val="24"/>
        </w:rPr>
        <w:lastRenderedPageBreak/>
        <w:t>Phase 3:</w:t>
      </w:r>
      <w:r w:rsidRPr="00ED2DDD">
        <w:rPr>
          <w:rFonts w:ascii="Times New Roman" w:hAnsi="Times New Roman" w:cs="Times New Roman"/>
          <w:sz w:val="24"/>
          <w:szCs w:val="24"/>
        </w:rPr>
        <w:t xml:space="preserve"> Jurisdictional Localisation and Trust Architecture (Months 12-18) At this stage, the UK and the Hong Kong/China corridors are to be designed in accordance with their various regulatory expectations. Jurisdiction-specific deployment policies, data-transfer policies and customer redress policies should be approved by the local CEOs, Legal teams and Compliance officers under the high-impact use cases. This assists HSBC to meet the expectations of Consumer Duty in the UK as well as the transparency and supervisory expectations that are coming up in Hong Kong.</w:t>
      </w:r>
    </w:p>
    <w:p w:rsidR="001967D1" w:rsidRPr="00ED2DDD" w:rsidRDefault="001967D1" w:rsidP="005F3674">
      <w:pPr>
        <w:spacing w:line="360" w:lineRule="auto"/>
        <w:jc w:val="both"/>
        <w:rPr>
          <w:rFonts w:ascii="Times New Roman" w:hAnsi="Times New Roman" w:cs="Times New Roman"/>
          <w:sz w:val="24"/>
          <w:szCs w:val="24"/>
        </w:rPr>
      </w:pPr>
      <w:r w:rsidRPr="00ED2DDD">
        <w:rPr>
          <w:rFonts w:ascii="Times New Roman" w:hAnsi="Times New Roman" w:cs="Times New Roman"/>
          <w:b/>
          <w:bCs/>
          <w:sz w:val="24"/>
          <w:szCs w:val="24"/>
        </w:rPr>
        <w:t xml:space="preserve">Phase 4: </w:t>
      </w:r>
      <w:r w:rsidRPr="00ED2DDD">
        <w:rPr>
          <w:rFonts w:ascii="Times New Roman" w:hAnsi="Times New Roman" w:cs="Times New Roman"/>
          <w:sz w:val="24"/>
          <w:szCs w:val="24"/>
        </w:rPr>
        <w:t xml:space="preserve">Strategic Optimisation and Constant Confirmation (Months 18-24) </w:t>
      </w:r>
    </w:p>
    <w:p w:rsidR="001967D1" w:rsidRPr="00ED2DDD" w:rsidRDefault="001967D1"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The final step institutionalizes the risk framework. The implementation will be done through Internal Audit and risk units, in which the red-team drills and scenario stress tests will be conducted vigorously to identify the emergent weaknesses. In addition, the sustainability agenda of the bank will facilitate the implementation of AI, and it will be clear that there will be no compute-intensive models that will be counterproductive to the HSBC-funded emission targets. The progress will be monitored in terms of board-level, e.g., the time time of incident escalation and the percentage of high-impact models passing the explainability criteria will be applied to advance AI governance not only to the policy intent level but also to the level of operational discipline.</w:t>
      </w:r>
    </w:p>
    <w:p w:rsidR="00F12377" w:rsidRPr="00ED2DDD" w:rsidRDefault="001967D1"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The last group of board metrics must involve fairness, resilience and trust threefold. Examples are the percentage of high-impact models that include current bias testing, the number of customer decisions that needed human override and average time to give a meaningful explanation following challenge (Bank of England, 2025a; BIS, 2025).</w:t>
      </w:r>
    </w:p>
    <w:p w:rsidR="00122396" w:rsidRPr="00177C9C" w:rsidRDefault="005C058B" w:rsidP="005F3674">
      <w:pPr>
        <w:pStyle w:val="Heading1"/>
        <w:rPr>
          <w:rFonts w:ascii="Times New Roman" w:hAnsi="Times New Roman" w:cs="Times New Roman"/>
          <w:color w:val="auto"/>
          <w:sz w:val="26"/>
          <w:szCs w:val="26"/>
        </w:rPr>
      </w:pPr>
      <w:bookmarkStart w:id="22" w:name="_Toc225218198"/>
      <w:r w:rsidRPr="00177C9C">
        <w:rPr>
          <w:rFonts w:ascii="Times New Roman" w:hAnsi="Times New Roman" w:cs="Times New Roman"/>
          <w:color w:val="auto"/>
          <w:sz w:val="26"/>
          <w:szCs w:val="26"/>
        </w:rPr>
        <w:t>VIII. Conclusion</w:t>
      </w:r>
      <w:bookmarkEnd w:id="22"/>
    </w:p>
    <w:p w:rsidR="00B170A4" w:rsidRPr="00ED2DDD" w:rsidRDefault="00B170A4"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Artificial intelligence is entering the fabric of the operations of the global banking industry, and, in the case of HSBC, not adoption but governance is the key question. The fast AI development modifies the risk management of business by enhancing the reliance on data quality, the supervision of models, cyber resilience, cross-border compliance and customer trust. It also increases the risk that speed, the degree of opacity and concentration can interact to escalate the level of systemic and conduct risk. This has made the balance between innovation and control a leadership issue and not a technical issue.</w:t>
      </w:r>
    </w:p>
    <w:p w:rsidR="00B170A4" w:rsidRPr="00ED2DDD" w:rsidRDefault="00B170A4"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 xml:space="preserve">The status of HSBC as a bridge between the UK and Hong Kong/China path narrows down these concerns. The bank has to meet a principle-based environment that puts customers outcomes at the forefront and board responsibility as well as being able to operate in the environment where data </w:t>
      </w:r>
      <w:r w:rsidRPr="00ED2DDD">
        <w:rPr>
          <w:rFonts w:ascii="Times New Roman" w:hAnsi="Times New Roman" w:cs="Times New Roman"/>
          <w:sz w:val="24"/>
          <w:szCs w:val="24"/>
        </w:rPr>
        <w:lastRenderedPageBreak/>
        <w:t>sovereignty, local visibility and more prescriptive controls are more eminent. Such a mix will not allow a technology-based response that is narrow. It is also the case that the appropriate failures of governance in a particular place can be reflected on the validity of the overall international model of the bank.</w:t>
      </w:r>
    </w:p>
    <w:p w:rsidR="00B170A4" w:rsidRPr="00ED2DDD" w:rsidRDefault="00B170A4" w:rsidP="005F3674">
      <w:pPr>
        <w:spacing w:line="360" w:lineRule="auto"/>
        <w:jc w:val="both"/>
        <w:rPr>
          <w:rFonts w:ascii="Times New Roman" w:hAnsi="Times New Roman" w:cs="Times New Roman"/>
          <w:sz w:val="24"/>
          <w:szCs w:val="24"/>
        </w:rPr>
      </w:pPr>
      <w:r w:rsidRPr="00ED2DDD">
        <w:rPr>
          <w:rFonts w:ascii="Times New Roman" w:hAnsi="Times New Roman" w:cs="Times New Roman"/>
          <w:sz w:val="24"/>
          <w:szCs w:val="24"/>
        </w:rPr>
        <w:t>The suggested direction is strategic as opposed to cosmetic: board ownership of AI risk, enterprise-grade data governance, continued fairness testing, explainability on material decisions, local regulatory adaptation and resilient architecture aided by human override. When properly managed, AI will enhance the competitiveness and ability to control at HSBC. Left untamed it can increase legal, operational and reputational damage.</w:t>
      </w:r>
    </w:p>
    <w:p w:rsidR="00637E3A" w:rsidRPr="00ED2DDD" w:rsidRDefault="00637E3A" w:rsidP="005F3674">
      <w:pPr>
        <w:spacing w:line="360" w:lineRule="auto"/>
        <w:jc w:val="both"/>
        <w:rPr>
          <w:rFonts w:ascii="Times New Roman" w:hAnsi="Times New Roman" w:cs="Times New Roman"/>
          <w:sz w:val="24"/>
          <w:szCs w:val="24"/>
        </w:rPr>
      </w:pPr>
    </w:p>
    <w:p w:rsidR="00122396" w:rsidRDefault="005C058B" w:rsidP="004C421E">
      <w:pPr>
        <w:pStyle w:val="Heading1"/>
        <w:rPr>
          <w:rFonts w:ascii="Times New Roman" w:hAnsi="Times New Roman" w:cs="Times New Roman"/>
          <w:color w:val="auto"/>
        </w:rPr>
      </w:pPr>
      <w:bookmarkStart w:id="23" w:name="_Toc225218199"/>
      <w:r w:rsidRPr="00177C9C">
        <w:rPr>
          <w:rFonts w:ascii="Times New Roman" w:hAnsi="Times New Roman" w:cs="Times New Roman"/>
          <w:color w:val="auto"/>
        </w:rPr>
        <w:t xml:space="preserve">IX. </w:t>
      </w:r>
      <w:r w:rsidR="005F3674" w:rsidRPr="00177C9C">
        <w:rPr>
          <w:rFonts w:ascii="Times New Roman" w:hAnsi="Times New Roman" w:cs="Times New Roman"/>
          <w:color w:val="auto"/>
        </w:rPr>
        <w:t>Reference</w:t>
      </w:r>
      <w:bookmarkEnd w:id="23"/>
    </w:p>
    <w:p w:rsidR="00177C9C" w:rsidRPr="00177C9C" w:rsidRDefault="00177C9C" w:rsidP="00177C9C"/>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Bank of England (2024) </w:t>
      </w:r>
      <w:r w:rsidRPr="00855920">
        <w:rPr>
          <w:rFonts w:ascii="Times New Roman" w:hAnsi="Times New Roman" w:cs="Times New Roman"/>
          <w:i/>
          <w:iCs/>
          <w:sz w:val="24"/>
          <w:szCs w:val="24"/>
        </w:rPr>
        <w:t>Artificial intelligence in UK financial services 2024</w:t>
      </w:r>
      <w:r w:rsidRPr="00855920">
        <w:rPr>
          <w:rFonts w:ascii="Times New Roman" w:hAnsi="Times New Roman" w:cs="Times New Roman"/>
          <w:sz w:val="24"/>
          <w:szCs w:val="24"/>
        </w:rPr>
        <w:t xml:space="preserve">. Available at: </w:t>
      </w:r>
      <w:hyperlink r:id="rId14" w:tgtFrame="_blank" w:history="1">
        <w:r w:rsidRPr="00855920">
          <w:rPr>
            <w:rStyle w:val="Hyperlink"/>
            <w:rFonts w:ascii="Times New Roman" w:hAnsi="Times New Roman" w:cs="Times New Roman"/>
            <w:color w:val="auto"/>
            <w:sz w:val="24"/>
            <w:szCs w:val="24"/>
          </w:rPr>
          <w:t>https://www.bankofengland.co.uk/report/2024/artificial-intelligence-in-uk-financial-services-2024</w:t>
        </w:r>
      </w:hyperlink>
      <w:r w:rsidRPr="00855920">
        <w:rPr>
          <w:rFonts w:ascii="Times New Roman" w:hAnsi="Times New Roman" w:cs="Times New Roman"/>
          <w:sz w:val="24"/>
          <w:szCs w:val="24"/>
        </w:rPr>
        <w:t xml:space="preserve"> (Accessed: 23 March 2026).</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Bank of England (2025a) </w:t>
      </w:r>
      <w:r w:rsidRPr="00855920">
        <w:rPr>
          <w:rFonts w:ascii="Times New Roman" w:hAnsi="Times New Roman" w:cs="Times New Roman"/>
          <w:i/>
          <w:iCs/>
          <w:sz w:val="24"/>
          <w:szCs w:val="24"/>
        </w:rPr>
        <w:t>Financial Stability in Focus: Artificial intelligence in the financial system</w:t>
      </w:r>
      <w:r w:rsidRPr="00855920">
        <w:rPr>
          <w:rFonts w:ascii="Times New Roman" w:hAnsi="Times New Roman" w:cs="Times New Roman"/>
          <w:sz w:val="24"/>
          <w:szCs w:val="24"/>
        </w:rPr>
        <w:t xml:space="preserve">. Available at: </w:t>
      </w:r>
      <w:hyperlink r:id="rId15" w:tgtFrame="_blank" w:history="1">
        <w:r w:rsidRPr="00855920">
          <w:rPr>
            <w:rStyle w:val="Hyperlink"/>
            <w:rFonts w:ascii="Times New Roman" w:hAnsi="Times New Roman" w:cs="Times New Roman"/>
            <w:color w:val="auto"/>
            <w:sz w:val="24"/>
            <w:szCs w:val="24"/>
          </w:rPr>
          <w:t>https://www.bankofengland.co.uk/financial-stability-in-focus/2025/april-2025</w:t>
        </w:r>
      </w:hyperlink>
      <w:r w:rsidRPr="00855920">
        <w:rPr>
          <w:rFonts w:ascii="Times New Roman" w:hAnsi="Times New Roman" w:cs="Times New Roman"/>
          <w:sz w:val="24"/>
          <w:szCs w:val="24"/>
        </w:rPr>
        <w:t xml:space="preserve"> (Accessed: 23 March 2026).</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Bank of England (2026) </w:t>
      </w:r>
      <w:r w:rsidRPr="00855920">
        <w:rPr>
          <w:rFonts w:ascii="Times New Roman" w:hAnsi="Times New Roman" w:cs="Times New Roman"/>
          <w:i/>
          <w:iCs/>
          <w:sz w:val="24"/>
          <w:szCs w:val="24"/>
        </w:rPr>
        <w:t>Operational resilience of the financial sector</w:t>
      </w:r>
      <w:r w:rsidRPr="00855920">
        <w:rPr>
          <w:rFonts w:ascii="Times New Roman" w:hAnsi="Times New Roman" w:cs="Times New Roman"/>
          <w:sz w:val="24"/>
          <w:szCs w:val="24"/>
        </w:rPr>
        <w:t xml:space="preserve">. Available at: </w:t>
      </w:r>
      <w:hyperlink r:id="rId16" w:tgtFrame="_blank" w:history="1">
        <w:r w:rsidRPr="00855920">
          <w:rPr>
            <w:rStyle w:val="Hyperlink"/>
            <w:rFonts w:ascii="Times New Roman" w:hAnsi="Times New Roman" w:cs="Times New Roman"/>
            <w:color w:val="auto"/>
            <w:sz w:val="24"/>
            <w:szCs w:val="24"/>
          </w:rPr>
          <w:t>https://www.bankofengland.co.uk/financial-stability/operational-resilience-of-the-financial-sector</w:t>
        </w:r>
      </w:hyperlink>
      <w:r w:rsidRPr="00855920">
        <w:rPr>
          <w:rFonts w:ascii="Times New Roman" w:hAnsi="Times New Roman" w:cs="Times New Roman"/>
          <w:sz w:val="24"/>
          <w:szCs w:val="24"/>
        </w:rPr>
        <w:t xml:space="preserve"> (Accessed: 23 March 2026).</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BIS (2025) </w:t>
      </w:r>
      <w:r w:rsidRPr="00855920">
        <w:rPr>
          <w:rFonts w:ascii="Times New Roman" w:hAnsi="Times New Roman" w:cs="Times New Roman"/>
          <w:i/>
          <w:iCs/>
          <w:sz w:val="24"/>
          <w:szCs w:val="24"/>
        </w:rPr>
        <w:t>Financial stability implications of artificial intelligence</w:t>
      </w:r>
      <w:r w:rsidRPr="00855920">
        <w:rPr>
          <w:rFonts w:ascii="Times New Roman" w:hAnsi="Times New Roman" w:cs="Times New Roman"/>
          <w:sz w:val="24"/>
          <w:szCs w:val="24"/>
        </w:rPr>
        <w:t xml:space="preserve">. Available at: </w:t>
      </w:r>
      <w:hyperlink r:id="rId17" w:tgtFrame="_blank" w:history="1">
        <w:r w:rsidRPr="00855920">
          <w:rPr>
            <w:rStyle w:val="Hyperlink"/>
            <w:rFonts w:ascii="Times New Roman" w:hAnsi="Times New Roman" w:cs="Times New Roman"/>
            <w:color w:val="auto"/>
            <w:sz w:val="24"/>
            <w:szCs w:val="24"/>
          </w:rPr>
          <w:t>https://www.bis.org/fsi/fsisummaries/exsum_23904.htm</w:t>
        </w:r>
      </w:hyperlink>
      <w:r w:rsidRPr="00855920">
        <w:rPr>
          <w:rFonts w:ascii="Times New Roman" w:hAnsi="Times New Roman" w:cs="Times New Roman"/>
          <w:sz w:val="24"/>
          <w:szCs w:val="24"/>
        </w:rPr>
        <w:t xml:space="preserve"> (Accessed: 23 March 2026).</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BIS (2026) </w:t>
      </w:r>
      <w:r w:rsidRPr="00855920">
        <w:rPr>
          <w:rFonts w:ascii="Times New Roman" w:hAnsi="Times New Roman" w:cs="Times New Roman"/>
          <w:i/>
          <w:iCs/>
          <w:sz w:val="24"/>
          <w:szCs w:val="24"/>
        </w:rPr>
        <w:t>The financial stability implications of artificial intelligence and digital finance</w:t>
      </w:r>
      <w:r w:rsidRPr="00855920">
        <w:rPr>
          <w:rFonts w:ascii="Times New Roman" w:hAnsi="Times New Roman" w:cs="Times New Roman"/>
          <w:sz w:val="24"/>
          <w:szCs w:val="24"/>
        </w:rPr>
        <w:t xml:space="preserve">. Available at: </w:t>
      </w:r>
      <w:hyperlink r:id="rId18" w:tgtFrame="_blank" w:history="1">
        <w:r w:rsidRPr="00855920">
          <w:rPr>
            <w:rStyle w:val="Hyperlink"/>
            <w:rFonts w:ascii="Times New Roman" w:hAnsi="Times New Roman" w:cs="Times New Roman"/>
            <w:color w:val="auto"/>
            <w:sz w:val="24"/>
            <w:szCs w:val="24"/>
          </w:rPr>
          <w:t>https://www.bis.org/speeches/sp260126.htm</w:t>
        </w:r>
      </w:hyperlink>
      <w:r w:rsidRPr="00855920">
        <w:rPr>
          <w:rFonts w:ascii="Times New Roman" w:hAnsi="Times New Roman" w:cs="Times New Roman"/>
          <w:sz w:val="24"/>
          <w:szCs w:val="24"/>
        </w:rPr>
        <w:t xml:space="preserve"> (Accessed: 23 March 2026).</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Dunning, J.H. (1993) </w:t>
      </w:r>
      <w:r w:rsidRPr="00855920">
        <w:rPr>
          <w:rFonts w:ascii="Times New Roman" w:hAnsi="Times New Roman" w:cs="Times New Roman"/>
          <w:i/>
          <w:iCs/>
          <w:sz w:val="24"/>
          <w:szCs w:val="24"/>
        </w:rPr>
        <w:t>Multinational Enterprises and the Global Economy</w:t>
      </w:r>
      <w:r w:rsidRPr="00855920">
        <w:rPr>
          <w:rFonts w:ascii="Times New Roman" w:hAnsi="Times New Roman" w:cs="Times New Roman"/>
          <w:sz w:val="24"/>
          <w:szCs w:val="24"/>
        </w:rPr>
        <w:t>. Wokingham: Addison-Wesley.</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lastRenderedPageBreak/>
        <w:t xml:space="preserve">FCA (2024) </w:t>
      </w:r>
      <w:r w:rsidRPr="00855920">
        <w:rPr>
          <w:rFonts w:ascii="Times New Roman" w:hAnsi="Times New Roman" w:cs="Times New Roman"/>
          <w:i/>
          <w:iCs/>
          <w:sz w:val="24"/>
          <w:szCs w:val="24"/>
        </w:rPr>
        <w:t>Research Note: A literature review on bias in supervised machine learning</w:t>
      </w:r>
      <w:r w:rsidRPr="00855920">
        <w:rPr>
          <w:rFonts w:ascii="Times New Roman" w:hAnsi="Times New Roman" w:cs="Times New Roman"/>
          <w:sz w:val="24"/>
          <w:szCs w:val="24"/>
        </w:rPr>
        <w:t xml:space="preserve">. Available at: </w:t>
      </w:r>
      <w:hyperlink r:id="rId19" w:tgtFrame="_blank" w:history="1">
        <w:r w:rsidRPr="00855920">
          <w:rPr>
            <w:rStyle w:val="Hyperlink"/>
            <w:rFonts w:ascii="Times New Roman" w:hAnsi="Times New Roman" w:cs="Times New Roman"/>
            <w:color w:val="auto"/>
            <w:sz w:val="24"/>
            <w:szCs w:val="24"/>
          </w:rPr>
          <w:t>https://www.fca.org.uk/publications/research-notes/research-note-literature-review-bias-supervised-machine-learning</w:t>
        </w:r>
      </w:hyperlink>
      <w:r w:rsidRPr="00855920">
        <w:rPr>
          <w:rFonts w:ascii="Times New Roman" w:hAnsi="Times New Roman" w:cs="Times New Roman"/>
          <w:sz w:val="24"/>
          <w:szCs w:val="24"/>
        </w:rPr>
        <w:t xml:space="preserve"> (Accessed: 23 March 2026).</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FCA (2025a) </w:t>
      </w:r>
      <w:r w:rsidRPr="00855920">
        <w:rPr>
          <w:rFonts w:ascii="Times New Roman" w:hAnsi="Times New Roman" w:cs="Times New Roman"/>
          <w:i/>
          <w:iCs/>
          <w:sz w:val="24"/>
          <w:szCs w:val="24"/>
        </w:rPr>
        <w:t>AI: artificial intelligence in financial services</w:t>
      </w:r>
      <w:r w:rsidRPr="00855920">
        <w:rPr>
          <w:rFonts w:ascii="Times New Roman" w:hAnsi="Times New Roman" w:cs="Times New Roman"/>
          <w:sz w:val="24"/>
          <w:szCs w:val="24"/>
        </w:rPr>
        <w:t xml:space="preserve">. Available at: </w:t>
      </w:r>
      <w:hyperlink r:id="rId20" w:tgtFrame="_blank" w:history="1">
        <w:r w:rsidRPr="00855920">
          <w:rPr>
            <w:rStyle w:val="Hyperlink"/>
            <w:rFonts w:ascii="Times New Roman" w:hAnsi="Times New Roman" w:cs="Times New Roman"/>
            <w:color w:val="auto"/>
            <w:sz w:val="24"/>
            <w:szCs w:val="24"/>
          </w:rPr>
          <w:t>https://www.fca.org.uk/firms/ai-financial-services</w:t>
        </w:r>
      </w:hyperlink>
      <w:r w:rsidRPr="00855920">
        <w:rPr>
          <w:rFonts w:ascii="Times New Roman" w:hAnsi="Times New Roman" w:cs="Times New Roman"/>
          <w:sz w:val="24"/>
          <w:szCs w:val="24"/>
        </w:rPr>
        <w:t xml:space="preserve"> (Accessed: 23 March 2026).</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FCA (2025b) </w:t>
      </w:r>
      <w:r w:rsidRPr="00855920">
        <w:rPr>
          <w:rFonts w:ascii="Times New Roman" w:hAnsi="Times New Roman" w:cs="Times New Roman"/>
          <w:i/>
          <w:iCs/>
          <w:sz w:val="24"/>
          <w:szCs w:val="24"/>
        </w:rPr>
        <w:t>AI and the FCA: our approach</w:t>
      </w:r>
      <w:r w:rsidRPr="00855920">
        <w:rPr>
          <w:rFonts w:ascii="Times New Roman" w:hAnsi="Times New Roman" w:cs="Times New Roman"/>
          <w:sz w:val="24"/>
          <w:szCs w:val="24"/>
        </w:rPr>
        <w:t xml:space="preserve">. Available at: </w:t>
      </w:r>
      <w:hyperlink r:id="rId21" w:tgtFrame="_blank" w:history="1">
        <w:r w:rsidRPr="00855920">
          <w:rPr>
            <w:rStyle w:val="Hyperlink"/>
            <w:rFonts w:ascii="Times New Roman" w:hAnsi="Times New Roman" w:cs="Times New Roman"/>
            <w:color w:val="auto"/>
            <w:sz w:val="24"/>
            <w:szCs w:val="24"/>
          </w:rPr>
          <w:t>https://www.fca.org.uk/firms/innovation/ai-approach</w:t>
        </w:r>
      </w:hyperlink>
      <w:r w:rsidRPr="00855920">
        <w:rPr>
          <w:rFonts w:ascii="Times New Roman" w:hAnsi="Times New Roman" w:cs="Times New Roman"/>
          <w:sz w:val="24"/>
          <w:szCs w:val="24"/>
        </w:rPr>
        <w:t xml:space="preserve"> (Accessed: 23 March 2026).</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FCA (2025c) </w:t>
      </w:r>
      <w:r w:rsidRPr="00855920">
        <w:rPr>
          <w:rFonts w:ascii="Times New Roman" w:hAnsi="Times New Roman" w:cs="Times New Roman"/>
          <w:i/>
          <w:iCs/>
          <w:sz w:val="24"/>
          <w:szCs w:val="24"/>
        </w:rPr>
        <w:t>Research Note: An empirical analysis of pricing differences by demographic characteristics in the UK mortgage market</w:t>
      </w:r>
      <w:r w:rsidRPr="00855920">
        <w:rPr>
          <w:rFonts w:ascii="Times New Roman" w:hAnsi="Times New Roman" w:cs="Times New Roman"/>
          <w:sz w:val="24"/>
          <w:szCs w:val="24"/>
        </w:rPr>
        <w:t xml:space="preserve">. Available at: </w:t>
      </w:r>
      <w:hyperlink r:id="rId22" w:tgtFrame="_blank" w:history="1">
        <w:r w:rsidRPr="00855920">
          <w:rPr>
            <w:rStyle w:val="Hyperlink"/>
            <w:rFonts w:ascii="Times New Roman" w:hAnsi="Times New Roman" w:cs="Times New Roman"/>
            <w:color w:val="auto"/>
            <w:sz w:val="24"/>
            <w:szCs w:val="24"/>
          </w:rPr>
          <w:t>https://www.fca.org.uk/publications/research-notes/research-note-an-empirical-analysis-pricing-of-differences-demographic-characteristics-uk-mortgage-market</w:t>
        </w:r>
      </w:hyperlink>
      <w:r w:rsidRPr="00855920">
        <w:rPr>
          <w:rFonts w:ascii="Times New Roman" w:hAnsi="Times New Roman" w:cs="Times New Roman"/>
          <w:sz w:val="24"/>
          <w:szCs w:val="24"/>
        </w:rPr>
        <w:t xml:space="preserve"> (Accessed: 23 March 2026).</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FCA (2025d) </w:t>
      </w:r>
      <w:r w:rsidRPr="00855920">
        <w:rPr>
          <w:rFonts w:ascii="Times New Roman" w:hAnsi="Times New Roman" w:cs="Times New Roman"/>
          <w:i/>
          <w:iCs/>
          <w:sz w:val="24"/>
          <w:szCs w:val="24"/>
        </w:rPr>
        <w:t>Consumer Duty focus areas 2025/26</w:t>
      </w:r>
      <w:r w:rsidRPr="00855920">
        <w:rPr>
          <w:rFonts w:ascii="Times New Roman" w:hAnsi="Times New Roman" w:cs="Times New Roman"/>
          <w:sz w:val="24"/>
          <w:szCs w:val="24"/>
        </w:rPr>
        <w:t xml:space="preserve">. Available at: </w:t>
      </w:r>
      <w:hyperlink r:id="rId23" w:tgtFrame="_blank" w:history="1">
        <w:r w:rsidRPr="00855920">
          <w:rPr>
            <w:rStyle w:val="Hyperlink"/>
            <w:rFonts w:ascii="Times New Roman" w:hAnsi="Times New Roman" w:cs="Times New Roman"/>
            <w:color w:val="auto"/>
            <w:sz w:val="24"/>
            <w:szCs w:val="24"/>
          </w:rPr>
          <w:t>https://www.fca.org.uk/publications/corporate-documents/consumer-duty-focus-areas</w:t>
        </w:r>
      </w:hyperlink>
      <w:r w:rsidRPr="00855920">
        <w:rPr>
          <w:rFonts w:ascii="Times New Roman" w:hAnsi="Times New Roman" w:cs="Times New Roman"/>
          <w:sz w:val="24"/>
          <w:szCs w:val="24"/>
        </w:rPr>
        <w:t xml:space="preserve"> (Accessed: 23 March 2026).</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Head, K. and Mayer, T. (2014) 'Gravity equations: workhorse, toolkit and cookbook', in Gopinath, G., Helpman, E. and Rogoff, K. (eds.) </w:t>
      </w:r>
      <w:r w:rsidRPr="00855920">
        <w:rPr>
          <w:rFonts w:ascii="Times New Roman" w:hAnsi="Times New Roman" w:cs="Times New Roman"/>
          <w:i/>
          <w:iCs/>
          <w:sz w:val="24"/>
          <w:szCs w:val="24"/>
        </w:rPr>
        <w:t>Handbook of International Economics</w:t>
      </w:r>
      <w:r w:rsidRPr="00855920">
        <w:rPr>
          <w:rFonts w:ascii="Times New Roman" w:hAnsi="Times New Roman" w:cs="Times New Roman"/>
          <w:sz w:val="24"/>
          <w:szCs w:val="24"/>
        </w:rPr>
        <w:t>. Amsterdam: Elsevier, pp. 131–195. DOI: 10.1016/B978-0-444-54314-1.00003-3.</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HKMA (2024a) </w:t>
      </w:r>
      <w:r w:rsidRPr="00855920">
        <w:rPr>
          <w:rFonts w:ascii="Times New Roman" w:hAnsi="Times New Roman" w:cs="Times New Roman"/>
          <w:i/>
          <w:iCs/>
          <w:sz w:val="24"/>
          <w:szCs w:val="24"/>
        </w:rPr>
        <w:t>Consumer Protection in respect of Use of Generative Artificial Intelligence</w:t>
      </w:r>
      <w:r w:rsidRPr="00855920">
        <w:rPr>
          <w:rFonts w:ascii="Times New Roman" w:hAnsi="Times New Roman" w:cs="Times New Roman"/>
          <w:sz w:val="24"/>
          <w:szCs w:val="24"/>
        </w:rPr>
        <w:t xml:space="preserve">. Available at: </w:t>
      </w:r>
      <w:hyperlink r:id="rId24" w:tgtFrame="_blank" w:history="1">
        <w:r w:rsidRPr="00855920">
          <w:rPr>
            <w:rStyle w:val="Hyperlink"/>
            <w:rFonts w:ascii="Times New Roman" w:hAnsi="Times New Roman" w:cs="Times New Roman"/>
            <w:color w:val="auto"/>
            <w:sz w:val="24"/>
            <w:szCs w:val="24"/>
          </w:rPr>
          <w:t>https://brdr.hkma.gov.hk/eng/doc-ldg/docId/20241107-1-EN</w:t>
        </w:r>
      </w:hyperlink>
      <w:r w:rsidRPr="00855920">
        <w:rPr>
          <w:rFonts w:ascii="Times New Roman" w:hAnsi="Times New Roman" w:cs="Times New Roman"/>
          <w:sz w:val="24"/>
          <w:szCs w:val="24"/>
        </w:rPr>
        <w:t xml:space="preserve"> (Accessed: 23 March 2026).</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HKMA (2024b) </w:t>
      </w:r>
      <w:r w:rsidRPr="00855920">
        <w:rPr>
          <w:rFonts w:ascii="Times New Roman" w:hAnsi="Times New Roman" w:cs="Times New Roman"/>
          <w:i/>
          <w:iCs/>
          <w:sz w:val="24"/>
          <w:szCs w:val="24"/>
        </w:rPr>
        <w:t>Generative Artificial Intelligence in the Financial Services Space</w:t>
      </w:r>
      <w:r w:rsidRPr="00855920">
        <w:rPr>
          <w:rFonts w:ascii="Times New Roman" w:hAnsi="Times New Roman" w:cs="Times New Roman"/>
          <w:sz w:val="24"/>
          <w:szCs w:val="24"/>
        </w:rPr>
        <w:t xml:space="preserve">. Available at: </w:t>
      </w:r>
      <w:hyperlink r:id="rId25" w:tgtFrame="_blank" w:history="1">
        <w:r w:rsidRPr="00855920">
          <w:rPr>
            <w:rStyle w:val="Hyperlink"/>
            <w:rFonts w:ascii="Times New Roman" w:hAnsi="Times New Roman" w:cs="Times New Roman"/>
            <w:color w:val="auto"/>
            <w:sz w:val="24"/>
            <w:szCs w:val="24"/>
          </w:rPr>
          <w:t>https://brdr.hkma.gov.hk/eng/doc-ldg/docId/20241118-4-EN</w:t>
        </w:r>
      </w:hyperlink>
      <w:r w:rsidRPr="00855920">
        <w:rPr>
          <w:rFonts w:ascii="Times New Roman" w:hAnsi="Times New Roman" w:cs="Times New Roman"/>
          <w:sz w:val="24"/>
          <w:szCs w:val="24"/>
        </w:rPr>
        <w:t xml:space="preserve"> (Accessed: 23 March 2026).</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HKMA (2026) </w:t>
      </w:r>
      <w:r w:rsidRPr="00855920">
        <w:rPr>
          <w:rFonts w:ascii="Times New Roman" w:hAnsi="Times New Roman" w:cs="Times New Roman"/>
          <w:i/>
          <w:iCs/>
          <w:sz w:val="24"/>
          <w:szCs w:val="24"/>
        </w:rPr>
        <w:t>Regulators launch GenA.I. Sandbox++ to foster A.I. innovation in banking</w:t>
      </w:r>
      <w:r w:rsidRPr="00855920">
        <w:rPr>
          <w:rFonts w:ascii="Times New Roman" w:hAnsi="Times New Roman" w:cs="Times New Roman"/>
          <w:sz w:val="24"/>
          <w:szCs w:val="24"/>
        </w:rPr>
        <w:t xml:space="preserve">. Available at: </w:t>
      </w:r>
      <w:hyperlink r:id="rId26" w:tgtFrame="_blank" w:history="1">
        <w:r w:rsidRPr="00855920">
          <w:rPr>
            <w:rStyle w:val="Hyperlink"/>
            <w:rFonts w:ascii="Times New Roman" w:hAnsi="Times New Roman" w:cs="Times New Roman"/>
            <w:color w:val="auto"/>
            <w:sz w:val="24"/>
            <w:szCs w:val="24"/>
          </w:rPr>
          <w:t>https://www.hkma.gov.hk/eng/news-and-media/press-releases/2026/03/20260305-3/</w:t>
        </w:r>
      </w:hyperlink>
      <w:r w:rsidRPr="00855920">
        <w:rPr>
          <w:rFonts w:ascii="Times New Roman" w:hAnsi="Times New Roman" w:cs="Times New Roman"/>
          <w:sz w:val="24"/>
          <w:szCs w:val="24"/>
        </w:rPr>
        <w:t xml:space="preserve"> (Accessed: 23 March 2026).</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HSBC Holdings plc (2026) </w:t>
      </w:r>
      <w:r w:rsidRPr="00855920">
        <w:rPr>
          <w:rFonts w:ascii="Times New Roman" w:hAnsi="Times New Roman" w:cs="Times New Roman"/>
          <w:i/>
          <w:iCs/>
          <w:sz w:val="24"/>
          <w:szCs w:val="24"/>
        </w:rPr>
        <w:t>Annual Report and Accounts 2025</w:t>
      </w:r>
      <w:r w:rsidRPr="00855920">
        <w:rPr>
          <w:rFonts w:ascii="Times New Roman" w:hAnsi="Times New Roman" w:cs="Times New Roman"/>
          <w:sz w:val="24"/>
          <w:szCs w:val="24"/>
        </w:rPr>
        <w:t xml:space="preserve">. London: HSBC Holdings plc. Available at: </w:t>
      </w:r>
      <w:hyperlink r:id="rId27" w:tgtFrame="_blank" w:history="1">
        <w:r w:rsidRPr="00855920">
          <w:rPr>
            <w:rStyle w:val="Hyperlink"/>
            <w:rFonts w:ascii="Times New Roman" w:hAnsi="Times New Roman" w:cs="Times New Roman"/>
            <w:color w:val="auto"/>
            <w:sz w:val="24"/>
            <w:szCs w:val="24"/>
          </w:rPr>
          <w:t>https://www.hsbc.com/investors/results-and-announcements/annual-report</w:t>
        </w:r>
      </w:hyperlink>
      <w:r w:rsidRPr="00855920">
        <w:rPr>
          <w:rFonts w:ascii="Times New Roman" w:hAnsi="Times New Roman" w:cs="Times New Roman"/>
          <w:sz w:val="24"/>
          <w:szCs w:val="24"/>
        </w:rPr>
        <w:t xml:space="preserve"> (Accessed: 23 March 2026).</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lastRenderedPageBreak/>
        <w:t xml:space="preserve">IMF (2024a) </w:t>
      </w:r>
      <w:r w:rsidRPr="00855920">
        <w:rPr>
          <w:rFonts w:ascii="Times New Roman" w:hAnsi="Times New Roman" w:cs="Times New Roman"/>
          <w:i/>
          <w:iCs/>
          <w:sz w:val="24"/>
          <w:szCs w:val="24"/>
        </w:rPr>
        <w:t>Artificial Intelligence and its Impact on Financial Markets and Financial Stability</w:t>
      </w:r>
      <w:r w:rsidRPr="00855920">
        <w:rPr>
          <w:rFonts w:ascii="Times New Roman" w:hAnsi="Times New Roman" w:cs="Times New Roman"/>
          <w:sz w:val="24"/>
          <w:szCs w:val="24"/>
        </w:rPr>
        <w:t xml:space="preserve">. Available at: </w:t>
      </w:r>
      <w:hyperlink r:id="rId28" w:tgtFrame="_blank" w:history="1">
        <w:r w:rsidRPr="00855920">
          <w:rPr>
            <w:rStyle w:val="Hyperlink"/>
            <w:rFonts w:ascii="Times New Roman" w:hAnsi="Times New Roman" w:cs="Times New Roman"/>
            <w:color w:val="auto"/>
            <w:sz w:val="24"/>
            <w:szCs w:val="24"/>
          </w:rPr>
          <w:t>https://www.imf.org/en/news/articles/2024/09/06/sp090624-artificial-intelligence-and-its-impact-on-financial-markets-and-financial-stability</w:t>
        </w:r>
      </w:hyperlink>
      <w:r w:rsidRPr="00855920">
        <w:rPr>
          <w:rFonts w:ascii="Times New Roman" w:hAnsi="Times New Roman" w:cs="Times New Roman"/>
          <w:sz w:val="24"/>
          <w:szCs w:val="24"/>
        </w:rPr>
        <w:t xml:space="preserve"> (Accessed: 23 March 2026).</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IMF (2024b) </w:t>
      </w:r>
      <w:r w:rsidRPr="00855920">
        <w:rPr>
          <w:rFonts w:ascii="Times New Roman" w:hAnsi="Times New Roman" w:cs="Times New Roman"/>
          <w:i/>
          <w:iCs/>
          <w:sz w:val="24"/>
          <w:szCs w:val="24"/>
        </w:rPr>
        <w:t>Global Financial Stability Report: Steadying the Course Uncertainty, Artificial Intelligence, and Financial Stability</w:t>
      </w:r>
      <w:r w:rsidRPr="00855920">
        <w:rPr>
          <w:rFonts w:ascii="Times New Roman" w:hAnsi="Times New Roman" w:cs="Times New Roman"/>
          <w:sz w:val="24"/>
          <w:szCs w:val="24"/>
        </w:rPr>
        <w:t>. Washington, DC: International Monetary Fund.</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Kearns, M. and Roth, A. (2019) </w:t>
      </w:r>
      <w:r w:rsidRPr="00855920">
        <w:rPr>
          <w:rFonts w:ascii="Times New Roman" w:hAnsi="Times New Roman" w:cs="Times New Roman"/>
          <w:i/>
          <w:iCs/>
          <w:sz w:val="24"/>
          <w:szCs w:val="24"/>
        </w:rPr>
        <w:t>The Ethical Algorithm</w:t>
      </w:r>
      <w:r w:rsidRPr="00855920">
        <w:rPr>
          <w:rFonts w:ascii="Times New Roman" w:hAnsi="Times New Roman" w:cs="Times New Roman"/>
          <w:sz w:val="24"/>
          <w:szCs w:val="24"/>
        </w:rPr>
        <w:t>. Oxford: Oxford University Press.</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OECD (2026a) </w:t>
      </w:r>
      <w:r w:rsidRPr="00855920">
        <w:rPr>
          <w:rFonts w:ascii="Times New Roman" w:hAnsi="Times New Roman" w:cs="Times New Roman"/>
          <w:i/>
          <w:iCs/>
          <w:sz w:val="24"/>
          <w:szCs w:val="24"/>
        </w:rPr>
        <w:t>Supervision of Artificial Intelligence in Finance</w:t>
      </w:r>
      <w:r w:rsidRPr="00855920">
        <w:rPr>
          <w:rFonts w:ascii="Times New Roman" w:hAnsi="Times New Roman" w:cs="Times New Roman"/>
          <w:sz w:val="24"/>
          <w:szCs w:val="24"/>
        </w:rPr>
        <w:t>. Paris: OECD.</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OECD (2026b) </w:t>
      </w:r>
      <w:r w:rsidRPr="00855920">
        <w:rPr>
          <w:rFonts w:ascii="Times New Roman" w:hAnsi="Times New Roman" w:cs="Times New Roman"/>
          <w:i/>
          <w:iCs/>
          <w:sz w:val="24"/>
          <w:szCs w:val="24"/>
        </w:rPr>
        <w:t>Regulatory approaches to Artificial Intelligence in finance</w:t>
      </w:r>
      <w:r w:rsidRPr="00855920">
        <w:rPr>
          <w:rFonts w:ascii="Times New Roman" w:hAnsi="Times New Roman" w:cs="Times New Roman"/>
          <w:sz w:val="24"/>
          <w:szCs w:val="24"/>
        </w:rPr>
        <w:t xml:space="preserve">. Available at: </w:t>
      </w:r>
      <w:hyperlink r:id="rId29" w:tgtFrame="_blank" w:history="1">
        <w:r w:rsidRPr="00855920">
          <w:rPr>
            <w:rStyle w:val="Hyperlink"/>
            <w:rFonts w:ascii="Times New Roman" w:hAnsi="Times New Roman" w:cs="Times New Roman"/>
            <w:color w:val="auto"/>
            <w:sz w:val="24"/>
            <w:szCs w:val="24"/>
          </w:rPr>
          <w:t>https://www.oecd.org/en/publications/regulatory-approaches-to-artificial-intelligence-in-finance_f1498c02-en.html</w:t>
        </w:r>
      </w:hyperlink>
      <w:r w:rsidRPr="00855920">
        <w:rPr>
          <w:rFonts w:ascii="Times New Roman" w:hAnsi="Times New Roman" w:cs="Times New Roman"/>
          <w:sz w:val="24"/>
          <w:szCs w:val="24"/>
        </w:rPr>
        <w:t xml:space="preserve"> (Accessed: 23 March 2026).</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O’Neil, C. (2016) </w:t>
      </w:r>
      <w:r w:rsidRPr="00855920">
        <w:rPr>
          <w:rFonts w:ascii="Times New Roman" w:hAnsi="Times New Roman" w:cs="Times New Roman"/>
          <w:i/>
          <w:iCs/>
          <w:sz w:val="24"/>
          <w:szCs w:val="24"/>
        </w:rPr>
        <w:t>Weapons of Math Destruction</w:t>
      </w:r>
      <w:r w:rsidRPr="00855920">
        <w:rPr>
          <w:rFonts w:ascii="Times New Roman" w:hAnsi="Times New Roman" w:cs="Times New Roman"/>
          <w:sz w:val="24"/>
          <w:szCs w:val="24"/>
        </w:rPr>
        <w:t>. New York: Crown.</w:t>
      </w:r>
    </w:p>
    <w:p w:rsidR="00855920" w:rsidRPr="00855920" w:rsidRDefault="00855920" w:rsidP="005F3674">
      <w:pPr>
        <w:spacing w:line="360" w:lineRule="auto"/>
        <w:jc w:val="both"/>
        <w:rPr>
          <w:rFonts w:ascii="Times New Roman" w:hAnsi="Times New Roman" w:cs="Times New Roman"/>
          <w:sz w:val="24"/>
          <w:szCs w:val="24"/>
        </w:rPr>
      </w:pPr>
      <w:r w:rsidRPr="00855920">
        <w:rPr>
          <w:rFonts w:ascii="Times New Roman" w:hAnsi="Times New Roman" w:cs="Times New Roman"/>
          <w:sz w:val="24"/>
          <w:szCs w:val="24"/>
        </w:rPr>
        <w:t xml:space="preserve">State Council of the PRC (2023) </w:t>
      </w:r>
      <w:r w:rsidRPr="00855920">
        <w:rPr>
          <w:rFonts w:ascii="Times New Roman" w:hAnsi="Times New Roman" w:cs="Times New Roman"/>
          <w:i/>
          <w:iCs/>
          <w:sz w:val="24"/>
          <w:szCs w:val="24"/>
        </w:rPr>
        <w:t>Interim Measures for Administration of Generative Artificial Intelligence Services</w:t>
      </w:r>
      <w:r w:rsidRPr="00855920">
        <w:rPr>
          <w:rFonts w:ascii="Times New Roman" w:hAnsi="Times New Roman" w:cs="Times New Roman"/>
          <w:sz w:val="24"/>
          <w:szCs w:val="24"/>
        </w:rPr>
        <w:t xml:space="preserve">. Available at: </w:t>
      </w:r>
      <w:hyperlink r:id="rId30" w:tgtFrame="_blank" w:history="1">
        <w:r w:rsidRPr="00855920">
          <w:rPr>
            <w:rStyle w:val="Hyperlink"/>
            <w:rFonts w:ascii="Times New Roman" w:hAnsi="Times New Roman" w:cs="Times New Roman"/>
            <w:color w:val="auto"/>
            <w:sz w:val="24"/>
            <w:szCs w:val="24"/>
          </w:rPr>
          <w:t>https://english.www.gov.cn/archive/statecouncilgazette/202308/30/content_WS64ee8c0cc6d0868f4e8deeea.html</w:t>
        </w:r>
      </w:hyperlink>
      <w:r w:rsidRPr="00855920">
        <w:rPr>
          <w:rFonts w:ascii="Times New Roman" w:hAnsi="Times New Roman" w:cs="Times New Roman"/>
          <w:sz w:val="24"/>
          <w:szCs w:val="24"/>
        </w:rPr>
        <w:t xml:space="preserve"> (Accessed: 23 March 2026).</w:t>
      </w:r>
    </w:p>
    <w:p w:rsidR="00122396" w:rsidRPr="00ED2DDD" w:rsidRDefault="00122396" w:rsidP="005F3674">
      <w:pPr>
        <w:spacing w:line="360" w:lineRule="auto"/>
        <w:jc w:val="both"/>
        <w:rPr>
          <w:rFonts w:ascii="Times New Roman" w:hAnsi="Times New Roman" w:cs="Times New Roman"/>
          <w:sz w:val="24"/>
          <w:szCs w:val="24"/>
        </w:rPr>
      </w:pPr>
    </w:p>
    <w:sectPr w:rsidR="00122396" w:rsidRPr="00ED2DDD" w:rsidSect="00034616">
      <w:pgSz w:w="12240" w:h="15840"/>
      <w:pgMar w:top="1152" w:right="1296" w:bottom="1008" w:left="1296"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2693" w:rsidRDefault="00962693">
      <w:pPr>
        <w:spacing w:after="0" w:line="240" w:lineRule="auto"/>
      </w:pPr>
      <w:r>
        <w:separator/>
      </w:r>
    </w:p>
  </w:endnote>
  <w:endnote w:type="continuationSeparator" w:id="1">
    <w:p w:rsidR="00962693" w:rsidRDefault="009626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396" w:rsidRDefault="005C058B">
    <w:pPr>
      <w:pStyle w:val="Footer"/>
      <w:jc w:val="center"/>
    </w:pPr>
    <w:r>
      <w:rPr>
        <w:color w:val="6B6B6B"/>
        <w:sz w:val="17"/>
      </w:rPr>
      <w:t xml:space="preserve">Page </w:t>
    </w:r>
    <w:r w:rsidR="009B6ACD">
      <w:fldChar w:fldCharType="begin"/>
    </w:r>
    <w:r>
      <w:instrText>PAGE</w:instrText>
    </w:r>
    <w:r w:rsidR="009B6ACD">
      <w:fldChar w:fldCharType="separate"/>
    </w:r>
    <w:r w:rsidR="00CE5591">
      <w:rPr>
        <w:noProof/>
      </w:rPr>
      <w:t>2</w:t>
    </w:r>
    <w:r w:rsidR="009B6ACD">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2693" w:rsidRDefault="00962693">
      <w:pPr>
        <w:spacing w:after="0" w:line="240" w:lineRule="auto"/>
      </w:pPr>
      <w:r>
        <w:separator/>
      </w:r>
    </w:p>
  </w:footnote>
  <w:footnote w:type="continuationSeparator" w:id="1">
    <w:p w:rsidR="00962693" w:rsidRDefault="0096269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10EC42"/>
    <w:lvl w:ilvl="0">
      <w:start w:val="1"/>
      <w:numFmt w:val="decimal"/>
      <w:lvlText w:val="%1."/>
      <w:lvlJc w:val="left"/>
      <w:pPr>
        <w:tabs>
          <w:tab w:val="num" w:pos="1440"/>
        </w:tabs>
        <w:ind w:left="144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3C2767D4"/>
    <w:multiLevelType w:val="multilevel"/>
    <w:tmpl w:val="01D80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hdrShapeDefaults>
    <o:shapedefaults v:ext="edit" spidmax="14338"/>
  </w:hdrShapeDefaults>
  <w:footnotePr>
    <w:footnote w:id="0"/>
    <w:footnote w:id="1"/>
  </w:footnotePr>
  <w:endnotePr>
    <w:endnote w:id="0"/>
    <w:endnote w:id="1"/>
  </w:endnotePr>
  <w:compat>
    <w:useFELayout/>
  </w:compat>
  <w:rsids>
    <w:rsidRoot w:val="00B47730"/>
    <w:rsid w:val="00034616"/>
    <w:rsid w:val="00037BE4"/>
    <w:rsid w:val="0006063C"/>
    <w:rsid w:val="000C171C"/>
    <w:rsid w:val="000F1B9B"/>
    <w:rsid w:val="000F6145"/>
    <w:rsid w:val="00122396"/>
    <w:rsid w:val="0015074B"/>
    <w:rsid w:val="00177C9C"/>
    <w:rsid w:val="001967D1"/>
    <w:rsid w:val="00207CA5"/>
    <w:rsid w:val="00223734"/>
    <w:rsid w:val="0029298A"/>
    <w:rsid w:val="0029639D"/>
    <w:rsid w:val="002C011B"/>
    <w:rsid w:val="002D0B2D"/>
    <w:rsid w:val="00325324"/>
    <w:rsid w:val="00326F90"/>
    <w:rsid w:val="00471F7B"/>
    <w:rsid w:val="004C421E"/>
    <w:rsid w:val="00513779"/>
    <w:rsid w:val="005430A7"/>
    <w:rsid w:val="005C058B"/>
    <w:rsid w:val="005F3674"/>
    <w:rsid w:val="005F6508"/>
    <w:rsid w:val="00622266"/>
    <w:rsid w:val="00637E3A"/>
    <w:rsid w:val="006769B1"/>
    <w:rsid w:val="00694BF4"/>
    <w:rsid w:val="006A7B6A"/>
    <w:rsid w:val="006B3DE3"/>
    <w:rsid w:val="0070124F"/>
    <w:rsid w:val="00705EF9"/>
    <w:rsid w:val="00732910"/>
    <w:rsid w:val="007B230A"/>
    <w:rsid w:val="00855920"/>
    <w:rsid w:val="008B358A"/>
    <w:rsid w:val="008C0A6C"/>
    <w:rsid w:val="009369C9"/>
    <w:rsid w:val="00962693"/>
    <w:rsid w:val="009B6ACD"/>
    <w:rsid w:val="009B733F"/>
    <w:rsid w:val="009D1D54"/>
    <w:rsid w:val="009D647C"/>
    <w:rsid w:val="00AA1D8D"/>
    <w:rsid w:val="00AE6865"/>
    <w:rsid w:val="00B139C9"/>
    <w:rsid w:val="00B145B9"/>
    <w:rsid w:val="00B170A4"/>
    <w:rsid w:val="00B47730"/>
    <w:rsid w:val="00B57CF9"/>
    <w:rsid w:val="00B91B11"/>
    <w:rsid w:val="00BC01FA"/>
    <w:rsid w:val="00CB0664"/>
    <w:rsid w:val="00CE33C5"/>
    <w:rsid w:val="00CE5591"/>
    <w:rsid w:val="00CF59F1"/>
    <w:rsid w:val="00D37A3F"/>
    <w:rsid w:val="00DC3909"/>
    <w:rsid w:val="00E42DF9"/>
    <w:rsid w:val="00E50E14"/>
    <w:rsid w:val="00E75683"/>
    <w:rsid w:val="00EA52F1"/>
    <w:rsid w:val="00ED2DDD"/>
    <w:rsid w:val="00ED7A61"/>
    <w:rsid w:val="00EE2F8C"/>
    <w:rsid w:val="00F12377"/>
    <w:rsid w:val="00F348E0"/>
    <w:rsid w:val="00F53DC7"/>
    <w:rsid w:val="00F746D0"/>
    <w:rsid w:val="00FB5013"/>
    <w:rsid w:val="00FC3E5D"/>
    <w:rsid w:val="00FC693F"/>
    <w:rsid w:val="00FC6EA8"/>
    <w:rsid w:val="00FE29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mbria" w:eastAsia="Cambria" w:hAnsi="Cambri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portSection">
    <w:name w:val="ReportSection"/>
    <w:rsid w:val="002D0B2D"/>
    <w:pPr>
      <w:keepNext/>
      <w:spacing w:before="160" w:after="80"/>
    </w:pPr>
    <w:rPr>
      <w:rFonts w:ascii="Cambria" w:eastAsia="Cambria" w:hAnsi="Cambria"/>
      <w:b/>
      <w:color w:val="163A5F"/>
      <w:sz w:val="26"/>
    </w:rPr>
  </w:style>
  <w:style w:type="paragraph" w:customStyle="1" w:styleId="ReportSubsection">
    <w:name w:val="ReportSubsection"/>
    <w:rsid w:val="002D0B2D"/>
    <w:pPr>
      <w:keepNext/>
      <w:spacing w:before="160" w:after="80"/>
    </w:pPr>
    <w:rPr>
      <w:rFonts w:ascii="Cambria" w:eastAsia="Cambria" w:hAnsi="Cambria"/>
      <w:b/>
      <w:color w:val="1F4E79"/>
      <w:sz w:val="23"/>
    </w:rPr>
  </w:style>
  <w:style w:type="paragraph" w:customStyle="1" w:styleId="ReportMinor">
    <w:name w:val="ReportMinor"/>
    <w:rsid w:val="002D0B2D"/>
    <w:pPr>
      <w:spacing w:after="60"/>
    </w:pPr>
    <w:rPr>
      <w:rFonts w:ascii="Cambria" w:eastAsia="Cambria" w:hAnsi="Cambria"/>
      <w:b/>
      <w:color w:val="1F4E79"/>
      <w:sz w:val="21"/>
    </w:rPr>
  </w:style>
  <w:style w:type="paragraph" w:customStyle="1" w:styleId="TOCEntry">
    <w:name w:val="TOCEntry"/>
    <w:rsid w:val="002D0B2D"/>
    <w:pPr>
      <w:spacing w:after="60"/>
    </w:pPr>
    <w:rPr>
      <w:rFonts w:ascii="Cambria" w:eastAsia="Cambria" w:hAnsi="Cambria"/>
      <w:color w:val="2F2F2F"/>
      <w:sz w:val="21"/>
    </w:rPr>
  </w:style>
  <w:style w:type="character" w:customStyle="1" w:styleId="NoSpacingChar">
    <w:name w:val="No Spacing Char"/>
    <w:basedOn w:val="DefaultParagraphFont"/>
    <w:link w:val="NoSpacing"/>
    <w:uiPriority w:val="1"/>
    <w:rsid w:val="00B91B11"/>
  </w:style>
  <w:style w:type="character" w:styleId="Hyperlink">
    <w:name w:val="Hyperlink"/>
    <w:basedOn w:val="DefaultParagraphFont"/>
    <w:uiPriority w:val="99"/>
    <w:unhideWhenUsed/>
    <w:rsid w:val="00855920"/>
    <w:rPr>
      <w:color w:val="0000FF" w:themeColor="hyperlink"/>
      <w:u w:val="single"/>
    </w:rPr>
  </w:style>
  <w:style w:type="character" w:customStyle="1" w:styleId="UnresolvedMention">
    <w:name w:val="Unresolved Mention"/>
    <w:basedOn w:val="DefaultParagraphFont"/>
    <w:uiPriority w:val="99"/>
    <w:semiHidden/>
    <w:unhideWhenUsed/>
    <w:rsid w:val="00855920"/>
    <w:rPr>
      <w:color w:val="605E5C"/>
      <w:shd w:val="clear" w:color="auto" w:fill="E1DFDD"/>
    </w:rPr>
  </w:style>
  <w:style w:type="paragraph" w:styleId="TOC1">
    <w:name w:val="toc 1"/>
    <w:basedOn w:val="Normal"/>
    <w:next w:val="Normal"/>
    <w:autoRedefine/>
    <w:uiPriority w:val="39"/>
    <w:unhideWhenUsed/>
    <w:rsid w:val="00223734"/>
    <w:pPr>
      <w:spacing w:after="100"/>
    </w:pPr>
  </w:style>
  <w:style w:type="paragraph" w:styleId="TOC2">
    <w:name w:val="toc 2"/>
    <w:basedOn w:val="Normal"/>
    <w:next w:val="Normal"/>
    <w:autoRedefine/>
    <w:uiPriority w:val="39"/>
    <w:unhideWhenUsed/>
    <w:rsid w:val="00223734"/>
    <w:pPr>
      <w:spacing w:after="100"/>
      <w:ind w:left="210"/>
    </w:pPr>
  </w:style>
  <w:style w:type="paragraph" w:styleId="BalloonText">
    <w:name w:val="Balloon Text"/>
    <w:basedOn w:val="Normal"/>
    <w:link w:val="BalloonTextChar"/>
    <w:uiPriority w:val="99"/>
    <w:semiHidden/>
    <w:unhideWhenUsed/>
    <w:rsid w:val="00177C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C9C"/>
    <w:rPr>
      <w:rFonts w:ascii="Tahoma" w:eastAsia="Cambria" w:hAnsi="Tahoma" w:cs="Tahoma"/>
      <w:sz w:val="16"/>
      <w:szCs w:val="16"/>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png"/><Relationship Id="rId18" Type="http://schemas.openxmlformats.org/officeDocument/2006/relationships/hyperlink" Target="https://www.bis.org/speeches/sp260126.htm" TargetMode="External"/><Relationship Id="rId26" Type="http://schemas.openxmlformats.org/officeDocument/2006/relationships/hyperlink" Target="https://www.hkma.gov.hk/eng/news-and-media/press-releases/2026/03/20260305-3/" TargetMode="External"/><Relationship Id="rId3" Type="http://schemas.openxmlformats.org/officeDocument/2006/relationships/styles" Target="styles.xml"/><Relationship Id="rId21" Type="http://schemas.openxmlformats.org/officeDocument/2006/relationships/hyperlink" Target="https://www.fca.org.uk/firms/innovation/ai-approach"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bis.org/fsi/fsisummaries/exsum_23904.htm" TargetMode="External"/><Relationship Id="rId25" Type="http://schemas.openxmlformats.org/officeDocument/2006/relationships/hyperlink" Target="https://brdr.hkma.gov.hk/eng/doc-ldg/docId/20241118-4-EN" TargetMode="External"/><Relationship Id="rId33"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hyperlink" Target="https://www.bankofengland.co.uk/financial-stability/operational-resilience-of-the-financial-sector" TargetMode="External"/><Relationship Id="rId20" Type="http://schemas.openxmlformats.org/officeDocument/2006/relationships/hyperlink" Target="https://www.fca.org.uk/firms/ai-financial-services" TargetMode="External"/><Relationship Id="rId29" Type="http://schemas.openxmlformats.org/officeDocument/2006/relationships/hyperlink" Target="https://www.oecd.org/en/publications/regulatory-approaches-to-artificial-intelligence-in-finance_f1498c02-e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brdr.hkma.gov.hk/eng/doc-ldg/docId/20241107-1-E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ankofengland.co.uk/financial-stability-in-focus/2025/april-2025" TargetMode="External"/><Relationship Id="rId23" Type="http://schemas.openxmlformats.org/officeDocument/2006/relationships/hyperlink" Target="https://www.fca.org.uk/publications/corporate-documents/consumer-duty-focus-areas" TargetMode="External"/><Relationship Id="rId28" Type="http://schemas.openxmlformats.org/officeDocument/2006/relationships/hyperlink" Target="https://www.imf.org/en/news/articles/2024/09/06/sp090624-artificial-intelligence-and-its-impact-on-financial-markets-and-financial-stability" TargetMode="External"/><Relationship Id="rId10" Type="http://schemas.openxmlformats.org/officeDocument/2006/relationships/diagramLayout" Target="diagrams/layout1.xml"/><Relationship Id="rId19" Type="http://schemas.openxmlformats.org/officeDocument/2006/relationships/hyperlink" Target="https://www.fca.org.uk/publications/research-notes/research-note-literature-review-bias-supervised-machine-learnin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bankofengland.co.uk/report/2024/artificial-intelligence-in-uk-financial-services-2024" TargetMode="External"/><Relationship Id="rId22" Type="http://schemas.openxmlformats.org/officeDocument/2006/relationships/hyperlink" Target="https://www.fca.org.uk/publications/research-notes/research-note-an-empirical-analysis-pricing-of-differences-demographic-characteristics-uk-mortgage-market" TargetMode="External"/><Relationship Id="rId27" Type="http://schemas.openxmlformats.org/officeDocument/2006/relationships/hyperlink" Target="https://www.hsbc.com/investors/results-and-announcements/annual-report" TargetMode="External"/><Relationship Id="rId30" Type="http://schemas.openxmlformats.org/officeDocument/2006/relationships/hyperlink" Target="https://english.www.gov.cn/archive/statecouncilgazette/202308/30/content_WS64ee8c0cc6d0868f4e8deeea.html"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91B9EC-007C-4B8D-A2B2-396D883D6CEC}" type="doc">
      <dgm:prSet loTypeId="urn:microsoft.com/office/officeart/2009/3/layout/StepUpProcess" loCatId="process" qsTypeId="urn:microsoft.com/office/officeart/2005/8/quickstyle/simple1" qsCatId="simple" csTypeId="urn:microsoft.com/office/officeart/2005/8/colors/colorful5" csCatId="colorful" phldr="1"/>
      <dgm:spPr/>
      <dgm:t>
        <a:bodyPr/>
        <a:lstStyle/>
        <a:p>
          <a:endParaRPr lang="en-US"/>
        </a:p>
      </dgm:t>
    </dgm:pt>
    <dgm:pt modelId="{F5ECD0B0-0301-4F6A-AF74-9BE3C471D530}">
      <dgm:prSet phldrT="[Text]"/>
      <dgm:spPr/>
      <dgm:t>
        <a:bodyPr/>
        <a:lstStyle/>
        <a:p>
          <a:endParaRPr lang="en-US"/>
        </a:p>
      </dgm:t>
    </dgm:pt>
    <dgm:pt modelId="{903A69EC-CD3D-4413-A2E7-1B32F933ED96}" type="parTrans" cxnId="{3FE2B015-4EB7-40DA-9324-7206A921A3DC}">
      <dgm:prSet/>
      <dgm:spPr/>
      <dgm:t>
        <a:bodyPr/>
        <a:lstStyle/>
        <a:p>
          <a:endParaRPr lang="en-US"/>
        </a:p>
      </dgm:t>
    </dgm:pt>
    <dgm:pt modelId="{74B5847E-97ED-4383-828B-218ADD4D0C01}" type="sibTrans" cxnId="{3FE2B015-4EB7-40DA-9324-7206A921A3DC}">
      <dgm:prSet/>
      <dgm:spPr/>
      <dgm:t>
        <a:bodyPr/>
        <a:lstStyle/>
        <a:p>
          <a:endParaRPr lang="en-US"/>
        </a:p>
      </dgm:t>
    </dgm:pt>
    <dgm:pt modelId="{EB9AEE80-4B6D-443E-B86A-8902C575432D}">
      <dgm:prSet phldrT="[Text]"/>
      <dgm:spPr/>
      <dgm:t>
        <a:bodyPr/>
        <a:lstStyle/>
        <a:p>
          <a:endParaRPr lang="en-US"/>
        </a:p>
      </dgm:t>
    </dgm:pt>
    <dgm:pt modelId="{E792B187-467C-4B07-BB2F-6627DE2EE4AD}" type="parTrans" cxnId="{FA347F56-AB4F-4B99-98F8-5373F7EBD19E}">
      <dgm:prSet/>
      <dgm:spPr/>
      <dgm:t>
        <a:bodyPr/>
        <a:lstStyle/>
        <a:p>
          <a:endParaRPr lang="en-US"/>
        </a:p>
      </dgm:t>
    </dgm:pt>
    <dgm:pt modelId="{4680E4D2-4C97-452E-B6E6-4F45362E8D00}" type="sibTrans" cxnId="{FA347F56-AB4F-4B99-98F8-5373F7EBD19E}">
      <dgm:prSet/>
      <dgm:spPr/>
      <dgm:t>
        <a:bodyPr/>
        <a:lstStyle/>
        <a:p>
          <a:endParaRPr lang="en-US"/>
        </a:p>
      </dgm:t>
    </dgm:pt>
    <dgm:pt modelId="{22D9CD03-4088-45CF-997A-4600800369FB}">
      <dgm:prSet/>
      <dgm:spPr/>
      <dgm:t>
        <a:bodyPr/>
        <a:lstStyle/>
        <a:p>
          <a:endParaRPr lang="en-US"/>
        </a:p>
      </dgm:t>
    </dgm:pt>
    <dgm:pt modelId="{3A7D03DE-B437-4B47-9BB7-468A78DBC664}" type="parTrans" cxnId="{5648776C-277B-48C7-BC47-6CF451C73074}">
      <dgm:prSet/>
      <dgm:spPr/>
      <dgm:t>
        <a:bodyPr/>
        <a:lstStyle/>
        <a:p>
          <a:endParaRPr lang="en-US"/>
        </a:p>
      </dgm:t>
    </dgm:pt>
    <dgm:pt modelId="{C00FE485-BD04-43FD-95FD-2719AAADC8A3}" type="sibTrans" cxnId="{5648776C-277B-48C7-BC47-6CF451C73074}">
      <dgm:prSet/>
      <dgm:spPr/>
      <dgm:t>
        <a:bodyPr/>
        <a:lstStyle/>
        <a:p>
          <a:endParaRPr lang="en-US"/>
        </a:p>
      </dgm:t>
    </dgm:pt>
    <dgm:pt modelId="{21E5EC61-E28C-42AA-866E-CD856ABC5AE5}">
      <dgm:prSet/>
      <dgm:spPr/>
      <dgm:t>
        <a:bodyPr/>
        <a:lstStyle/>
        <a:p>
          <a:endParaRPr lang="en-US"/>
        </a:p>
      </dgm:t>
    </dgm:pt>
    <dgm:pt modelId="{E6B32B64-2BC8-4050-A696-1F9DFADFBCFA}" type="parTrans" cxnId="{26AA1C86-49D0-454E-ADB4-7CACFF92251B}">
      <dgm:prSet/>
      <dgm:spPr/>
      <dgm:t>
        <a:bodyPr/>
        <a:lstStyle/>
        <a:p>
          <a:endParaRPr lang="en-US"/>
        </a:p>
      </dgm:t>
    </dgm:pt>
    <dgm:pt modelId="{BBB97CE6-8CEF-47F5-9B30-4BBAEE6BBE2F}" type="sibTrans" cxnId="{26AA1C86-49D0-454E-ADB4-7CACFF92251B}">
      <dgm:prSet/>
      <dgm:spPr/>
      <dgm:t>
        <a:bodyPr/>
        <a:lstStyle/>
        <a:p>
          <a:endParaRPr lang="en-US"/>
        </a:p>
      </dgm:t>
    </dgm:pt>
    <dgm:pt modelId="{B5A50038-4334-4ACA-8EB0-550FD80DC17D}">
      <dgm:prSet phldrT="[Text]" custT="1"/>
      <dgm:spPr/>
      <dgm:t>
        <a:bodyPr/>
        <a:lstStyle/>
        <a:p>
          <a:pPr>
            <a:buNone/>
          </a:pPr>
          <a:endParaRPr lang="en-US" sz="1100">
            <a:latin typeface="Times New Roman" panose="02020603050405020304" pitchFamily="18" charset="0"/>
            <a:cs typeface="Times New Roman" panose="02020603050405020304" pitchFamily="18" charset="0"/>
          </a:endParaRPr>
        </a:p>
      </dgm:t>
    </dgm:pt>
    <dgm:pt modelId="{FCF245A7-37C2-4C57-B4D4-39588A3EA483}" type="sibTrans" cxnId="{55099C76-96FA-428C-997B-B1A24F2582D4}">
      <dgm:prSet/>
      <dgm:spPr/>
      <dgm:t>
        <a:bodyPr/>
        <a:lstStyle/>
        <a:p>
          <a:endParaRPr lang="en-US"/>
        </a:p>
      </dgm:t>
    </dgm:pt>
    <dgm:pt modelId="{9E15A7DC-CF79-47A4-957E-BAD3AB6E6667}" type="parTrans" cxnId="{55099C76-96FA-428C-997B-B1A24F2582D4}">
      <dgm:prSet/>
      <dgm:spPr/>
      <dgm:t>
        <a:bodyPr/>
        <a:lstStyle/>
        <a:p>
          <a:endParaRPr lang="en-US"/>
        </a:p>
      </dgm:t>
    </dgm:pt>
    <dgm:pt modelId="{63EB8226-5321-43BB-9B93-E62F77027165}" type="pres">
      <dgm:prSet presAssocID="{0591B9EC-007C-4B8D-A2B2-396D883D6CEC}" presName="rootnode" presStyleCnt="0">
        <dgm:presLayoutVars>
          <dgm:chMax/>
          <dgm:chPref/>
          <dgm:dir/>
          <dgm:animLvl val="lvl"/>
        </dgm:presLayoutVars>
      </dgm:prSet>
      <dgm:spPr/>
      <dgm:t>
        <a:bodyPr/>
        <a:lstStyle/>
        <a:p>
          <a:endParaRPr lang="en-US"/>
        </a:p>
      </dgm:t>
    </dgm:pt>
    <dgm:pt modelId="{50D7A799-2433-4D7C-9E92-905B1EFD7C18}" type="pres">
      <dgm:prSet presAssocID="{B5A50038-4334-4ACA-8EB0-550FD80DC17D}" presName="composite" presStyleCnt="0"/>
      <dgm:spPr/>
    </dgm:pt>
    <dgm:pt modelId="{B6E90B44-DF36-410D-9C81-936F0E480501}" type="pres">
      <dgm:prSet presAssocID="{B5A50038-4334-4ACA-8EB0-550FD80DC17D}" presName="LShape" presStyleLbl="alignNode1" presStyleIdx="0" presStyleCnt="9"/>
      <dgm:spPr/>
    </dgm:pt>
    <dgm:pt modelId="{F0DBDF55-B75E-4AB5-BEFE-5C4B43291C4F}" type="pres">
      <dgm:prSet presAssocID="{B5A50038-4334-4ACA-8EB0-550FD80DC17D}" presName="ParentText" presStyleLbl="revTx" presStyleIdx="0" presStyleCnt="5">
        <dgm:presLayoutVars>
          <dgm:chMax val="0"/>
          <dgm:chPref val="0"/>
          <dgm:bulletEnabled val="1"/>
        </dgm:presLayoutVars>
      </dgm:prSet>
      <dgm:spPr/>
      <dgm:t>
        <a:bodyPr/>
        <a:lstStyle/>
        <a:p>
          <a:endParaRPr lang="en-US"/>
        </a:p>
      </dgm:t>
    </dgm:pt>
    <dgm:pt modelId="{9A44A668-4D55-44C8-AAE6-3DAA90D97E79}" type="pres">
      <dgm:prSet presAssocID="{B5A50038-4334-4ACA-8EB0-550FD80DC17D}" presName="Triangle" presStyleLbl="alignNode1" presStyleIdx="1" presStyleCnt="9"/>
      <dgm:spPr/>
    </dgm:pt>
    <dgm:pt modelId="{DDEEC39C-400C-41D9-A772-C32E12489AF7}" type="pres">
      <dgm:prSet presAssocID="{FCF245A7-37C2-4C57-B4D4-39588A3EA483}" presName="sibTrans" presStyleCnt="0"/>
      <dgm:spPr/>
    </dgm:pt>
    <dgm:pt modelId="{D448ED75-DFAA-4F1B-AD8B-0E53B2F31E51}" type="pres">
      <dgm:prSet presAssocID="{FCF245A7-37C2-4C57-B4D4-39588A3EA483}" presName="space" presStyleCnt="0"/>
      <dgm:spPr/>
    </dgm:pt>
    <dgm:pt modelId="{A53BB572-920B-40E4-9137-AB3EA1EF0E6C}" type="pres">
      <dgm:prSet presAssocID="{22D9CD03-4088-45CF-997A-4600800369FB}" presName="composite" presStyleCnt="0"/>
      <dgm:spPr/>
    </dgm:pt>
    <dgm:pt modelId="{9B15E5A5-2EC2-4AD0-9CAE-57E816C0A8C5}" type="pres">
      <dgm:prSet presAssocID="{22D9CD03-4088-45CF-997A-4600800369FB}" presName="LShape" presStyleLbl="alignNode1" presStyleIdx="2" presStyleCnt="9"/>
      <dgm:spPr/>
    </dgm:pt>
    <dgm:pt modelId="{4FFA10C2-1DF3-44E6-934B-E6E7A74C7E24}" type="pres">
      <dgm:prSet presAssocID="{22D9CD03-4088-45CF-997A-4600800369FB}" presName="ParentText" presStyleLbl="revTx" presStyleIdx="1" presStyleCnt="5">
        <dgm:presLayoutVars>
          <dgm:chMax val="0"/>
          <dgm:chPref val="0"/>
          <dgm:bulletEnabled val="1"/>
        </dgm:presLayoutVars>
      </dgm:prSet>
      <dgm:spPr/>
      <dgm:t>
        <a:bodyPr/>
        <a:lstStyle/>
        <a:p>
          <a:endParaRPr lang="en-US"/>
        </a:p>
      </dgm:t>
    </dgm:pt>
    <dgm:pt modelId="{E40FE709-8A01-4DC5-AE16-1F21E5CCB656}" type="pres">
      <dgm:prSet presAssocID="{22D9CD03-4088-45CF-997A-4600800369FB}" presName="Triangle" presStyleLbl="alignNode1" presStyleIdx="3" presStyleCnt="9"/>
      <dgm:spPr/>
    </dgm:pt>
    <dgm:pt modelId="{FF043768-98B4-4D45-9210-D1C212E50147}" type="pres">
      <dgm:prSet presAssocID="{C00FE485-BD04-43FD-95FD-2719AAADC8A3}" presName="sibTrans" presStyleCnt="0"/>
      <dgm:spPr/>
    </dgm:pt>
    <dgm:pt modelId="{8AA684CC-A3C8-404A-A60E-1FE12801159D}" type="pres">
      <dgm:prSet presAssocID="{C00FE485-BD04-43FD-95FD-2719AAADC8A3}" presName="space" presStyleCnt="0"/>
      <dgm:spPr/>
    </dgm:pt>
    <dgm:pt modelId="{9313E40D-3B64-402A-AEDA-2889DE55FE65}" type="pres">
      <dgm:prSet presAssocID="{21E5EC61-E28C-42AA-866E-CD856ABC5AE5}" presName="composite" presStyleCnt="0"/>
      <dgm:spPr/>
    </dgm:pt>
    <dgm:pt modelId="{6BBCAA27-E3C3-4ED1-BE0D-6FF4C6CC9A86}" type="pres">
      <dgm:prSet presAssocID="{21E5EC61-E28C-42AA-866E-CD856ABC5AE5}" presName="LShape" presStyleLbl="alignNode1" presStyleIdx="4" presStyleCnt="9" custLinFactNeighborX="3014" custLinFactNeighborY="3344"/>
      <dgm:spPr/>
    </dgm:pt>
    <dgm:pt modelId="{856D202F-BE88-4350-821B-5E70AE42E63A}" type="pres">
      <dgm:prSet presAssocID="{21E5EC61-E28C-42AA-866E-CD856ABC5AE5}" presName="ParentText" presStyleLbl="revTx" presStyleIdx="2" presStyleCnt="5">
        <dgm:presLayoutVars>
          <dgm:chMax val="0"/>
          <dgm:chPref val="0"/>
          <dgm:bulletEnabled val="1"/>
        </dgm:presLayoutVars>
      </dgm:prSet>
      <dgm:spPr/>
      <dgm:t>
        <a:bodyPr/>
        <a:lstStyle/>
        <a:p>
          <a:endParaRPr lang="en-US"/>
        </a:p>
      </dgm:t>
    </dgm:pt>
    <dgm:pt modelId="{CCD78490-C1C1-4F21-AF00-8D7C3FE4AEBF}" type="pres">
      <dgm:prSet presAssocID="{21E5EC61-E28C-42AA-866E-CD856ABC5AE5}" presName="Triangle" presStyleLbl="alignNode1" presStyleIdx="5" presStyleCnt="9"/>
      <dgm:spPr/>
    </dgm:pt>
    <dgm:pt modelId="{EEAAAF72-D1EB-4C46-8AA6-0374B0A8D14B}" type="pres">
      <dgm:prSet presAssocID="{BBB97CE6-8CEF-47F5-9B30-4BBAEE6BBE2F}" presName="sibTrans" presStyleCnt="0"/>
      <dgm:spPr/>
    </dgm:pt>
    <dgm:pt modelId="{71120E07-E27E-4A0F-8700-56E0DD6E3136}" type="pres">
      <dgm:prSet presAssocID="{BBB97CE6-8CEF-47F5-9B30-4BBAEE6BBE2F}" presName="space" presStyleCnt="0"/>
      <dgm:spPr/>
    </dgm:pt>
    <dgm:pt modelId="{92BF9150-FD39-4DBD-92CB-2439D74FC5EF}" type="pres">
      <dgm:prSet presAssocID="{F5ECD0B0-0301-4F6A-AF74-9BE3C471D530}" presName="composite" presStyleCnt="0"/>
      <dgm:spPr/>
    </dgm:pt>
    <dgm:pt modelId="{0814948A-1D49-4F03-9B3E-78E384C5AF91}" type="pres">
      <dgm:prSet presAssocID="{F5ECD0B0-0301-4F6A-AF74-9BE3C471D530}" presName="LShape" presStyleLbl="alignNode1" presStyleIdx="6" presStyleCnt="9"/>
      <dgm:spPr/>
    </dgm:pt>
    <dgm:pt modelId="{BF3EA837-D86E-4D0E-8EAE-D901156BC9C7}" type="pres">
      <dgm:prSet presAssocID="{F5ECD0B0-0301-4F6A-AF74-9BE3C471D530}" presName="ParentText" presStyleLbl="revTx" presStyleIdx="3" presStyleCnt="5">
        <dgm:presLayoutVars>
          <dgm:chMax val="0"/>
          <dgm:chPref val="0"/>
          <dgm:bulletEnabled val="1"/>
        </dgm:presLayoutVars>
      </dgm:prSet>
      <dgm:spPr/>
      <dgm:t>
        <a:bodyPr/>
        <a:lstStyle/>
        <a:p>
          <a:endParaRPr lang="en-US"/>
        </a:p>
      </dgm:t>
    </dgm:pt>
    <dgm:pt modelId="{4D2C0388-892E-49EF-8243-7D063E78B460}" type="pres">
      <dgm:prSet presAssocID="{F5ECD0B0-0301-4F6A-AF74-9BE3C471D530}" presName="Triangle" presStyleLbl="alignNode1" presStyleIdx="7" presStyleCnt="9"/>
      <dgm:spPr/>
    </dgm:pt>
    <dgm:pt modelId="{9B80DD81-D65A-4852-B98D-3D719385B37F}" type="pres">
      <dgm:prSet presAssocID="{74B5847E-97ED-4383-828B-218ADD4D0C01}" presName="sibTrans" presStyleCnt="0"/>
      <dgm:spPr/>
    </dgm:pt>
    <dgm:pt modelId="{B53C31D3-A367-497B-A0B5-AB5578D4F97C}" type="pres">
      <dgm:prSet presAssocID="{74B5847E-97ED-4383-828B-218ADD4D0C01}" presName="space" presStyleCnt="0"/>
      <dgm:spPr/>
    </dgm:pt>
    <dgm:pt modelId="{30545235-9E04-46C0-BD3B-AC893A02B57C}" type="pres">
      <dgm:prSet presAssocID="{EB9AEE80-4B6D-443E-B86A-8902C575432D}" presName="composite" presStyleCnt="0"/>
      <dgm:spPr/>
    </dgm:pt>
    <dgm:pt modelId="{DC0541AE-F0BB-48B0-A9BE-8AA171530B19}" type="pres">
      <dgm:prSet presAssocID="{EB9AEE80-4B6D-443E-B86A-8902C575432D}" presName="LShape" presStyleLbl="alignNode1" presStyleIdx="8" presStyleCnt="9" custLinFactNeighborX="14068"/>
      <dgm:spPr/>
    </dgm:pt>
    <dgm:pt modelId="{D5E8E2DE-E8CF-4E37-B8CF-F6570B55F865}" type="pres">
      <dgm:prSet presAssocID="{EB9AEE80-4B6D-443E-B86A-8902C575432D}" presName="ParentText" presStyleLbl="revTx" presStyleIdx="4" presStyleCnt="5">
        <dgm:presLayoutVars>
          <dgm:chMax val="0"/>
          <dgm:chPref val="0"/>
          <dgm:bulletEnabled val="1"/>
        </dgm:presLayoutVars>
      </dgm:prSet>
      <dgm:spPr/>
      <dgm:t>
        <a:bodyPr/>
        <a:lstStyle/>
        <a:p>
          <a:endParaRPr lang="en-US"/>
        </a:p>
      </dgm:t>
    </dgm:pt>
  </dgm:ptLst>
  <dgm:cxnLst>
    <dgm:cxn modelId="{55099C76-96FA-428C-997B-B1A24F2582D4}" srcId="{0591B9EC-007C-4B8D-A2B2-396D883D6CEC}" destId="{B5A50038-4334-4ACA-8EB0-550FD80DC17D}" srcOrd="0" destOrd="0" parTransId="{9E15A7DC-CF79-47A4-957E-BAD3AB6E6667}" sibTransId="{FCF245A7-37C2-4C57-B4D4-39588A3EA483}"/>
    <dgm:cxn modelId="{C8A9B28C-C572-40F6-84EE-FECBD6FAADAD}" type="presOf" srcId="{F5ECD0B0-0301-4F6A-AF74-9BE3C471D530}" destId="{BF3EA837-D86E-4D0E-8EAE-D901156BC9C7}" srcOrd="0" destOrd="0" presId="urn:microsoft.com/office/officeart/2009/3/layout/StepUpProcess"/>
    <dgm:cxn modelId="{FB0A8BC9-B912-480F-AC30-6D5F05B5FE6D}" type="presOf" srcId="{22D9CD03-4088-45CF-997A-4600800369FB}" destId="{4FFA10C2-1DF3-44E6-934B-E6E7A74C7E24}" srcOrd="0" destOrd="0" presId="urn:microsoft.com/office/officeart/2009/3/layout/StepUpProcess"/>
    <dgm:cxn modelId="{3FE2B015-4EB7-40DA-9324-7206A921A3DC}" srcId="{0591B9EC-007C-4B8D-A2B2-396D883D6CEC}" destId="{F5ECD0B0-0301-4F6A-AF74-9BE3C471D530}" srcOrd="3" destOrd="0" parTransId="{903A69EC-CD3D-4413-A2E7-1B32F933ED96}" sibTransId="{74B5847E-97ED-4383-828B-218ADD4D0C01}"/>
    <dgm:cxn modelId="{A0C06859-9848-4531-9EA6-0B460791B2B8}" type="presOf" srcId="{EB9AEE80-4B6D-443E-B86A-8902C575432D}" destId="{D5E8E2DE-E8CF-4E37-B8CF-F6570B55F865}" srcOrd="0" destOrd="0" presId="urn:microsoft.com/office/officeart/2009/3/layout/StepUpProcess"/>
    <dgm:cxn modelId="{49104D03-DEDC-49E3-8988-34989F999433}" type="presOf" srcId="{B5A50038-4334-4ACA-8EB0-550FD80DC17D}" destId="{F0DBDF55-B75E-4AB5-BEFE-5C4B43291C4F}" srcOrd="0" destOrd="0" presId="urn:microsoft.com/office/officeart/2009/3/layout/StepUpProcess"/>
    <dgm:cxn modelId="{FA347F56-AB4F-4B99-98F8-5373F7EBD19E}" srcId="{0591B9EC-007C-4B8D-A2B2-396D883D6CEC}" destId="{EB9AEE80-4B6D-443E-B86A-8902C575432D}" srcOrd="4" destOrd="0" parTransId="{E792B187-467C-4B07-BB2F-6627DE2EE4AD}" sibTransId="{4680E4D2-4C97-452E-B6E6-4F45362E8D00}"/>
    <dgm:cxn modelId="{33D4482A-4671-4731-A67F-FCBDA2C37977}" type="presOf" srcId="{21E5EC61-E28C-42AA-866E-CD856ABC5AE5}" destId="{856D202F-BE88-4350-821B-5E70AE42E63A}" srcOrd="0" destOrd="0" presId="urn:microsoft.com/office/officeart/2009/3/layout/StepUpProcess"/>
    <dgm:cxn modelId="{26AA1C86-49D0-454E-ADB4-7CACFF92251B}" srcId="{0591B9EC-007C-4B8D-A2B2-396D883D6CEC}" destId="{21E5EC61-E28C-42AA-866E-CD856ABC5AE5}" srcOrd="2" destOrd="0" parTransId="{E6B32B64-2BC8-4050-A696-1F9DFADFBCFA}" sibTransId="{BBB97CE6-8CEF-47F5-9B30-4BBAEE6BBE2F}"/>
    <dgm:cxn modelId="{B53C7227-5D14-4320-89EE-110880D8F513}" type="presOf" srcId="{0591B9EC-007C-4B8D-A2B2-396D883D6CEC}" destId="{63EB8226-5321-43BB-9B93-E62F77027165}" srcOrd="0" destOrd="0" presId="urn:microsoft.com/office/officeart/2009/3/layout/StepUpProcess"/>
    <dgm:cxn modelId="{5648776C-277B-48C7-BC47-6CF451C73074}" srcId="{0591B9EC-007C-4B8D-A2B2-396D883D6CEC}" destId="{22D9CD03-4088-45CF-997A-4600800369FB}" srcOrd="1" destOrd="0" parTransId="{3A7D03DE-B437-4B47-9BB7-468A78DBC664}" sibTransId="{C00FE485-BD04-43FD-95FD-2719AAADC8A3}"/>
    <dgm:cxn modelId="{F02A7B43-CACC-4661-886D-1E9D432BBB9D}" type="presParOf" srcId="{63EB8226-5321-43BB-9B93-E62F77027165}" destId="{50D7A799-2433-4D7C-9E92-905B1EFD7C18}" srcOrd="0" destOrd="0" presId="urn:microsoft.com/office/officeart/2009/3/layout/StepUpProcess"/>
    <dgm:cxn modelId="{5E06A35A-9FEE-4C22-8DE5-5B39740D5792}" type="presParOf" srcId="{50D7A799-2433-4D7C-9E92-905B1EFD7C18}" destId="{B6E90B44-DF36-410D-9C81-936F0E480501}" srcOrd="0" destOrd="0" presId="urn:microsoft.com/office/officeart/2009/3/layout/StepUpProcess"/>
    <dgm:cxn modelId="{1793BBF5-A910-4B56-90C8-39CBB62383AF}" type="presParOf" srcId="{50D7A799-2433-4D7C-9E92-905B1EFD7C18}" destId="{F0DBDF55-B75E-4AB5-BEFE-5C4B43291C4F}" srcOrd="1" destOrd="0" presId="urn:microsoft.com/office/officeart/2009/3/layout/StepUpProcess"/>
    <dgm:cxn modelId="{FED13938-7959-4F7B-B359-D1759F75F6E7}" type="presParOf" srcId="{50D7A799-2433-4D7C-9E92-905B1EFD7C18}" destId="{9A44A668-4D55-44C8-AAE6-3DAA90D97E79}" srcOrd="2" destOrd="0" presId="urn:microsoft.com/office/officeart/2009/3/layout/StepUpProcess"/>
    <dgm:cxn modelId="{8770A046-3604-4670-882D-93DA4210775B}" type="presParOf" srcId="{63EB8226-5321-43BB-9B93-E62F77027165}" destId="{DDEEC39C-400C-41D9-A772-C32E12489AF7}" srcOrd="1" destOrd="0" presId="urn:microsoft.com/office/officeart/2009/3/layout/StepUpProcess"/>
    <dgm:cxn modelId="{9D66F857-1106-4B8A-83F6-B100600567F6}" type="presParOf" srcId="{DDEEC39C-400C-41D9-A772-C32E12489AF7}" destId="{D448ED75-DFAA-4F1B-AD8B-0E53B2F31E51}" srcOrd="0" destOrd="0" presId="urn:microsoft.com/office/officeart/2009/3/layout/StepUpProcess"/>
    <dgm:cxn modelId="{B8E715E0-5A0B-44F1-950B-F9AB80765CA3}" type="presParOf" srcId="{63EB8226-5321-43BB-9B93-E62F77027165}" destId="{A53BB572-920B-40E4-9137-AB3EA1EF0E6C}" srcOrd="2" destOrd="0" presId="urn:microsoft.com/office/officeart/2009/3/layout/StepUpProcess"/>
    <dgm:cxn modelId="{EBA0157F-D73C-40FB-9196-084453605EA5}" type="presParOf" srcId="{A53BB572-920B-40E4-9137-AB3EA1EF0E6C}" destId="{9B15E5A5-2EC2-4AD0-9CAE-57E816C0A8C5}" srcOrd="0" destOrd="0" presId="urn:microsoft.com/office/officeart/2009/3/layout/StepUpProcess"/>
    <dgm:cxn modelId="{1B92AF5E-69FD-4FAD-99AE-F1EE66C4B28C}" type="presParOf" srcId="{A53BB572-920B-40E4-9137-AB3EA1EF0E6C}" destId="{4FFA10C2-1DF3-44E6-934B-E6E7A74C7E24}" srcOrd="1" destOrd="0" presId="urn:microsoft.com/office/officeart/2009/3/layout/StepUpProcess"/>
    <dgm:cxn modelId="{C35538C9-7B5D-4745-957F-221A9CC1B88D}" type="presParOf" srcId="{A53BB572-920B-40E4-9137-AB3EA1EF0E6C}" destId="{E40FE709-8A01-4DC5-AE16-1F21E5CCB656}" srcOrd="2" destOrd="0" presId="urn:microsoft.com/office/officeart/2009/3/layout/StepUpProcess"/>
    <dgm:cxn modelId="{08D6533A-7473-402F-BDF0-D2F41471B9B7}" type="presParOf" srcId="{63EB8226-5321-43BB-9B93-E62F77027165}" destId="{FF043768-98B4-4D45-9210-D1C212E50147}" srcOrd="3" destOrd="0" presId="urn:microsoft.com/office/officeart/2009/3/layout/StepUpProcess"/>
    <dgm:cxn modelId="{D0FD8C4D-393A-4C23-A30D-FDCB2B1C8B71}" type="presParOf" srcId="{FF043768-98B4-4D45-9210-D1C212E50147}" destId="{8AA684CC-A3C8-404A-A60E-1FE12801159D}" srcOrd="0" destOrd="0" presId="urn:microsoft.com/office/officeart/2009/3/layout/StepUpProcess"/>
    <dgm:cxn modelId="{91A5FA0E-5D3A-4606-81C4-7E81755D39A8}" type="presParOf" srcId="{63EB8226-5321-43BB-9B93-E62F77027165}" destId="{9313E40D-3B64-402A-AEDA-2889DE55FE65}" srcOrd="4" destOrd="0" presId="urn:microsoft.com/office/officeart/2009/3/layout/StepUpProcess"/>
    <dgm:cxn modelId="{452F20D1-A6E7-4CEC-8335-00B0D8F53EE9}" type="presParOf" srcId="{9313E40D-3B64-402A-AEDA-2889DE55FE65}" destId="{6BBCAA27-E3C3-4ED1-BE0D-6FF4C6CC9A86}" srcOrd="0" destOrd="0" presId="urn:microsoft.com/office/officeart/2009/3/layout/StepUpProcess"/>
    <dgm:cxn modelId="{6B9E7D5F-25F0-4DAC-A002-1A61EBFD47B0}" type="presParOf" srcId="{9313E40D-3B64-402A-AEDA-2889DE55FE65}" destId="{856D202F-BE88-4350-821B-5E70AE42E63A}" srcOrd="1" destOrd="0" presId="urn:microsoft.com/office/officeart/2009/3/layout/StepUpProcess"/>
    <dgm:cxn modelId="{AC6BAF91-72A7-4282-A523-5100FDA3CE89}" type="presParOf" srcId="{9313E40D-3B64-402A-AEDA-2889DE55FE65}" destId="{CCD78490-C1C1-4F21-AF00-8D7C3FE4AEBF}" srcOrd="2" destOrd="0" presId="urn:microsoft.com/office/officeart/2009/3/layout/StepUpProcess"/>
    <dgm:cxn modelId="{EECFD8C6-D317-4D0E-9362-EA67257EE3AF}" type="presParOf" srcId="{63EB8226-5321-43BB-9B93-E62F77027165}" destId="{EEAAAF72-D1EB-4C46-8AA6-0374B0A8D14B}" srcOrd="5" destOrd="0" presId="urn:microsoft.com/office/officeart/2009/3/layout/StepUpProcess"/>
    <dgm:cxn modelId="{FF9D4EAE-45C6-4CA2-BC23-CD7FA79159F0}" type="presParOf" srcId="{EEAAAF72-D1EB-4C46-8AA6-0374B0A8D14B}" destId="{71120E07-E27E-4A0F-8700-56E0DD6E3136}" srcOrd="0" destOrd="0" presId="urn:microsoft.com/office/officeart/2009/3/layout/StepUpProcess"/>
    <dgm:cxn modelId="{D5E69687-9B10-4989-A82F-EA8C03ED1603}" type="presParOf" srcId="{63EB8226-5321-43BB-9B93-E62F77027165}" destId="{92BF9150-FD39-4DBD-92CB-2439D74FC5EF}" srcOrd="6" destOrd="0" presId="urn:microsoft.com/office/officeart/2009/3/layout/StepUpProcess"/>
    <dgm:cxn modelId="{5FB85BEA-FACF-4B26-8143-1E214FF018C7}" type="presParOf" srcId="{92BF9150-FD39-4DBD-92CB-2439D74FC5EF}" destId="{0814948A-1D49-4F03-9B3E-78E384C5AF91}" srcOrd="0" destOrd="0" presId="urn:microsoft.com/office/officeart/2009/3/layout/StepUpProcess"/>
    <dgm:cxn modelId="{02512DEA-2D56-43FE-9F91-010B37EE89DE}" type="presParOf" srcId="{92BF9150-FD39-4DBD-92CB-2439D74FC5EF}" destId="{BF3EA837-D86E-4D0E-8EAE-D901156BC9C7}" srcOrd="1" destOrd="0" presId="urn:microsoft.com/office/officeart/2009/3/layout/StepUpProcess"/>
    <dgm:cxn modelId="{256A90C5-017C-4763-8B8B-C70F07686562}" type="presParOf" srcId="{92BF9150-FD39-4DBD-92CB-2439D74FC5EF}" destId="{4D2C0388-892E-49EF-8243-7D063E78B460}" srcOrd="2" destOrd="0" presId="urn:microsoft.com/office/officeart/2009/3/layout/StepUpProcess"/>
    <dgm:cxn modelId="{A2E8FF90-2530-4027-8B91-D341FAEA9977}" type="presParOf" srcId="{63EB8226-5321-43BB-9B93-E62F77027165}" destId="{9B80DD81-D65A-4852-B98D-3D719385B37F}" srcOrd="7" destOrd="0" presId="urn:microsoft.com/office/officeart/2009/3/layout/StepUpProcess"/>
    <dgm:cxn modelId="{31FB3C5F-4782-4081-B90A-3BAAF2D126D2}" type="presParOf" srcId="{9B80DD81-D65A-4852-B98D-3D719385B37F}" destId="{B53C31D3-A367-497B-A0B5-AB5578D4F97C}" srcOrd="0" destOrd="0" presId="urn:microsoft.com/office/officeart/2009/3/layout/StepUpProcess"/>
    <dgm:cxn modelId="{4284BDD3-9F90-43BE-ACD5-30027EB0CACD}" type="presParOf" srcId="{63EB8226-5321-43BB-9B93-E62F77027165}" destId="{30545235-9E04-46C0-BD3B-AC893A02B57C}" srcOrd="8" destOrd="0" presId="urn:microsoft.com/office/officeart/2009/3/layout/StepUpProcess"/>
    <dgm:cxn modelId="{18F24484-E189-4595-A61C-9CF946C08589}" type="presParOf" srcId="{30545235-9E04-46C0-BD3B-AC893A02B57C}" destId="{DC0541AE-F0BB-48B0-A9BE-8AA171530B19}" srcOrd="0" destOrd="0" presId="urn:microsoft.com/office/officeart/2009/3/layout/StepUpProcess"/>
    <dgm:cxn modelId="{E0A3AE7A-0793-4D9D-A3D9-ABF0691D59C5}" type="presParOf" srcId="{30545235-9E04-46C0-BD3B-AC893A02B57C}" destId="{D5E8E2DE-E8CF-4E37-B8CF-F6570B55F865}" srcOrd="1" destOrd="0" presId="urn:microsoft.com/office/officeart/2009/3/layout/StepUpProcess"/>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E90B44-DF36-410D-9C81-936F0E480501}">
      <dsp:nvSpPr>
        <dsp:cNvPr id="0" name=""/>
        <dsp:cNvSpPr/>
      </dsp:nvSpPr>
      <dsp:spPr>
        <a:xfrm rot="5400000">
          <a:off x="203358" y="1501251"/>
          <a:ext cx="607652" cy="1011120"/>
        </a:xfrm>
        <a:prstGeom prst="corner">
          <a:avLst>
            <a:gd name="adj1" fmla="val 16120"/>
            <a:gd name="adj2" fmla="val 16110"/>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0DBDF55-B75E-4AB5-BEFE-5C4B43291C4F}">
      <dsp:nvSpPr>
        <dsp:cNvPr id="0" name=""/>
        <dsp:cNvSpPr/>
      </dsp:nvSpPr>
      <dsp:spPr>
        <a:xfrm>
          <a:off x="101925" y="1803358"/>
          <a:ext cx="912845" cy="8001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endParaRPr lang="en-US" sz="1100" kern="1200">
            <a:latin typeface="Times New Roman" panose="02020603050405020304" pitchFamily="18" charset="0"/>
            <a:cs typeface="Times New Roman" panose="02020603050405020304" pitchFamily="18" charset="0"/>
          </a:endParaRPr>
        </a:p>
      </dsp:txBody>
      <dsp:txXfrm>
        <a:off x="101925" y="1803358"/>
        <a:ext cx="912845" cy="800162"/>
      </dsp:txXfrm>
    </dsp:sp>
    <dsp:sp modelId="{9A44A668-4D55-44C8-AAE6-3DAA90D97E79}">
      <dsp:nvSpPr>
        <dsp:cNvPr id="0" name=""/>
        <dsp:cNvSpPr/>
      </dsp:nvSpPr>
      <dsp:spPr>
        <a:xfrm>
          <a:off x="842536" y="1426811"/>
          <a:ext cx="172234" cy="172234"/>
        </a:xfrm>
        <a:prstGeom prst="triangle">
          <a:avLst>
            <a:gd name="adj" fmla="val 100000"/>
          </a:avLst>
        </a:prstGeom>
        <a:solidFill>
          <a:schemeClr val="accent5">
            <a:hueOff val="-1241735"/>
            <a:satOff val="4976"/>
            <a:lumOff val="1078"/>
            <a:alphaOff val="0"/>
          </a:schemeClr>
        </a:solidFill>
        <a:ln w="25400" cap="flat" cmpd="sng" algn="ctr">
          <a:solidFill>
            <a:schemeClr val="accent5">
              <a:hueOff val="-1241735"/>
              <a:satOff val="4976"/>
              <a:lumOff val="107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B15E5A5-2EC2-4AD0-9CAE-57E816C0A8C5}">
      <dsp:nvSpPr>
        <dsp:cNvPr id="0" name=""/>
        <dsp:cNvSpPr/>
      </dsp:nvSpPr>
      <dsp:spPr>
        <a:xfrm rot="5400000">
          <a:off x="1320859" y="1224724"/>
          <a:ext cx="607652" cy="1011120"/>
        </a:xfrm>
        <a:prstGeom prst="corner">
          <a:avLst>
            <a:gd name="adj1" fmla="val 16120"/>
            <a:gd name="adj2" fmla="val 16110"/>
          </a:avLst>
        </a:prstGeom>
        <a:solidFill>
          <a:schemeClr val="accent5">
            <a:hueOff val="-2483469"/>
            <a:satOff val="9953"/>
            <a:lumOff val="2157"/>
            <a:alphaOff val="0"/>
          </a:schemeClr>
        </a:solidFill>
        <a:ln w="25400" cap="flat" cmpd="sng" algn="ctr">
          <a:solidFill>
            <a:schemeClr val="accent5">
              <a:hueOff val="-2483469"/>
              <a:satOff val="9953"/>
              <a:lumOff val="215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FFA10C2-1DF3-44E6-934B-E6E7A74C7E24}">
      <dsp:nvSpPr>
        <dsp:cNvPr id="0" name=""/>
        <dsp:cNvSpPr/>
      </dsp:nvSpPr>
      <dsp:spPr>
        <a:xfrm>
          <a:off x="1219427" y="1526832"/>
          <a:ext cx="912845" cy="8001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44780" tIns="144780" rIns="144780" bIns="144780" numCol="1" spcCol="1270" anchor="t" anchorCtr="0">
          <a:noAutofit/>
        </a:bodyPr>
        <a:lstStyle/>
        <a:p>
          <a:pPr marL="0" lvl="0" indent="0" algn="l" defTabSz="1689100">
            <a:lnSpc>
              <a:spcPct val="90000"/>
            </a:lnSpc>
            <a:spcBef>
              <a:spcPct val="0"/>
            </a:spcBef>
            <a:spcAft>
              <a:spcPct val="35000"/>
            </a:spcAft>
            <a:buNone/>
          </a:pPr>
          <a:endParaRPr lang="en-US" sz="3800" kern="1200"/>
        </a:p>
      </dsp:txBody>
      <dsp:txXfrm>
        <a:off x="1219427" y="1526832"/>
        <a:ext cx="912845" cy="800162"/>
      </dsp:txXfrm>
    </dsp:sp>
    <dsp:sp modelId="{E40FE709-8A01-4DC5-AE16-1F21E5CCB656}">
      <dsp:nvSpPr>
        <dsp:cNvPr id="0" name=""/>
        <dsp:cNvSpPr/>
      </dsp:nvSpPr>
      <dsp:spPr>
        <a:xfrm>
          <a:off x="1960037" y="1150285"/>
          <a:ext cx="172234" cy="172234"/>
        </a:xfrm>
        <a:prstGeom prst="triangle">
          <a:avLst>
            <a:gd name="adj" fmla="val 100000"/>
          </a:avLst>
        </a:prstGeom>
        <a:solidFill>
          <a:schemeClr val="accent5">
            <a:hueOff val="-3725204"/>
            <a:satOff val="14929"/>
            <a:lumOff val="3235"/>
            <a:alphaOff val="0"/>
          </a:schemeClr>
        </a:solidFill>
        <a:ln w="25400" cap="flat" cmpd="sng" algn="ctr">
          <a:solidFill>
            <a:schemeClr val="accent5">
              <a:hueOff val="-3725204"/>
              <a:satOff val="14929"/>
              <a:lumOff val="323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BBCAA27-E3C3-4ED1-BE0D-6FF4C6CC9A86}">
      <dsp:nvSpPr>
        <dsp:cNvPr id="0" name=""/>
        <dsp:cNvSpPr/>
      </dsp:nvSpPr>
      <dsp:spPr>
        <a:xfrm rot="5400000">
          <a:off x="2468835" y="968518"/>
          <a:ext cx="607652" cy="1011120"/>
        </a:xfrm>
        <a:prstGeom prst="corner">
          <a:avLst>
            <a:gd name="adj1" fmla="val 16120"/>
            <a:gd name="adj2" fmla="val 16110"/>
          </a:avLst>
        </a:prstGeom>
        <a:solidFill>
          <a:schemeClr val="accent5">
            <a:hueOff val="-4966938"/>
            <a:satOff val="19906"/>
            <a:lumOff val="4314"/>
            <a:alphaOff val="0"/>
          </a:schemeClr>
        </a:solidFill>
        <a:ln w="25400" cap="flat" cmpd="sng" algn="ctr">
          <a:solidFill>
            <a:schemeClr val="accent5">
              <a:hueOff val="-4966938"/>
              <a:satOff val="19906"/>
              <a:lumOff val="4314"/>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56D202F-BE88-4350-821B-5E70AE42E63A}">
      <dsp:nvSpPr>
        <dsp:cNvPr id="0" name=""/>
        <dsp:cNvSpPr/>
      </dsp:nvSpPr>
      <dsp:spPr>
        <a:xfrm>
          <a:off x="2336928" y="1250305"/>
          <a:ext cx="912845" cy="8001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44780" tIns="144780" rIns="144780" bIns="144780" numCol="1" spcCol="1270" anchor="t" anchorCtr="0">
          <a:noAutofit/>
        </a:bodyPr>
        <a:lstStyle/>
        <a:p>
          <a:pPr marL="0" lvl="0" indent="0" algn="l" defTabSz="1689100">
            <a:lnSpc>
              <a:spcPct val="90000"/>
            </a:lnSpc>
            <a:spcBef>
              <a:spcPct val="0"/>
            </a:spcBef>
            <a:spcAft>
              <a:spcPct val="35000"/>
            </a:spcAft>
            <a:buNone/>
          </a:pPr>
          <a:endParaRPr lang="en-US" sz="3800" kern="1200"/>
        </a:p>
      </dsp:txBody>
      <dsp:txXfrm>
        <a:off x="2336928" y="1250305"/>
        <a:ext cx="912845" cy="800162"/>
      </dsp:txXfrm>
    </dsp:sp>
    <dsp:sp modelId="{CCD78490-C1C1-4F21-AF00-8D7C3FE4AEBF}">
      <dsp:nvSpPr>
        <dsp:cNvPr id="0" name=""/>
        <dsp:cNvSpPr/>
      </dsp:nvSpPr>
      <dsp:spPr>
        <a:xfrm>
          <a:off x="3077538" y="873758"/>
          <a:ext cx="172234" cy="172234"/>
        </a:xfrm>
        <a:prstGeom prst="triangle">
          <a:avLst>
            <a:gd name="adj" fmla="val 100000"/>
          </a:avLst>
        </a:prstGeom>
        <a:solidFill>
          <a:schemeClr val="accent5">
            <a:hueOff val="-6208672"/>
            <a:satOff val="24882"/>
            <a:lumOff val="5392"/>
            <a:alphaOff val="0"/>
          </a:schemeClr>
        </a:solidFill>
        <a:ln w="25400" cap="flat" cmpd="sng" algn="ctr">
          <a:solidFill>
            <a:schemeClr val="accent5">
              <a:hueOff val="-6208672"/>
              <a:satOff val="24882"/>
              <a:lumOff val="539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814948A-1D49-4F03-9B3E-78E384C5AF91}">
      <dsp:nvSpPr>
        <dsp:cNvPr id="0" name=""/>
        <dsp:cNvSpPr/>
      </dsp:nvSpPr>
      <dsp:spPr>
        <a:xfrm rot="5400000">
          <a:off x="3555861" y="671671"/>
          <a:ext cx="607652" cy="1011120"/>
        </a:xfrm>
        <a:prstGeom prst="corner">
          <a:avLst>
            <a:gd name="adj1" fmla="val 16120"/>
            <a:gd name="adj2" fmla="val 16110"/>
          </a:avLst>
        </a:prstGeom>
        <a:solidFill>
          <a:schemeClr val="accent5">
            <a:hueOff val="-7450407"/>
            <a:satOff val="29858"/>
            <a:lumOff val="6471"/>
            <a:alphaOff val="0"/>
          </a:schemeClr>
        </a:solidFill>
        <a:ln w="25400" cap="flat" cmpd="sng" algn="ctr">
          <a:solidFill>
            <a:schemeClr val="accent5">
              <a:hueOff val="-7450407"/>
              <a:satOff val="29858"/>
              <a:lumOff val="6471"/>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F3EA837-D86E-4D0E-8EAE-D901156BC9C7}">
      <dsp:nvSpPr>
        <dsp:cNvPr id="0" name=""/>
        <dsp:cNvSpPr/>
      </dsp:nvSpPr>
      <dsp:spPr>
        <a:xfrm>
          <a:off x="3454429" y="973778"/>
          <a:ext cx="912845" cy="8001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44780" tIns="144780" rIns="144780" bIns="144780" numCol="1" spcCol="1270" anchor="t" anchorCtr="0">
          <a:noAutofit/>
        </a:bodyPr>
        <a:lstStyle/>
        <a:p>
          <a:pPr marL="0" lvl="0" indent="0" algn="l" defTabSz="1689100">
            <a:lnSpc>
              <a:spcPct val="90000"/>
            </a:lnSpc>
            <a:spcBef>
              <a:spcPct val="0"/>
            </a:spcBef>
            <a:spcAft>
              <a:spcPct val="35000"/>
            </a:spcAft>
            <a:buNone/>
          </a:pPr>
          <a:endParaRPr lang="en-US" sz="3800" kern="1200"/>
        </a:p>
      </dsp:txBody>
      <dsp:txXfrm>
        <a:off x="3454429" y="973778"/>
        <a:ext cx="912845" cy="800162"/>
      </dsp:txXfrm>
    </dsp:sp>
    <dsp:sp modelId="{4D2C0388-892E-49EF-8243-7D063E78B460}">
      <dsp:nvSpPr>
        <dsp:cNvPr id="0" name=""/>
        <dsp:cNvSpPr/>
      </dsp:nvSpPr>
      <dsp:spPr>
        <a:xfrm>
          <a:off x="4195039" y="597231"/>
          <a:ext cx="172234" cy="172234"/>
        </a:xfrm>
        <a:prstGeom prst="triangle">
          <a:avLst>
            <a:gd name="adj" fmla="val 100000"/>
          </a:avLst>
        </a:prstGeom>
        <a:solidFill>
          <a:schemeClr val="accent5">
            <a:hueOff val="-8692142"/>
            <a:satOff val="34835"/>
            <a:lumOff val="7549"/>
            <a:alphaOff val="0"/>
          </a:schemeClr>
        </a:solidFill>
        <a:ln w="25400" cap="flat" cmpd="sng" algn="ctr">
          <a:solidFill>
            <a:schemeClr val="accent5">
              <a:hueOff val="-8692142"/>
              <a:satOff val="34835"/>
              <a:lumOff val="7549"/>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C0541AE-F0BB-48B0-A9BE-8AA171530B19}">
      <dsp:nvSpPr>
        <dsp:cNvPr id="0" name=""/>
        <dsp:cNvSpPr/>
      </dsp:nvSpPr>
      <dsp:spPr>
        <a:xfrm rot="5400000">
          <a:off x="4815607" y="395144"/>
          <a:ext cx="607652" cy="1011120"/>
        </a:xfrm>
        <a:prstGeom prst="corner">
          <a:avLst>
            <a:gd name="adj1" fmla="val 16120"/>
            <a:gd name="adj2" fmla="val 16110"/>
          </a:avLst>
        </a:prstGeom>
        <a:solidFill>
          <a:schemeClr val="accent5">
            <a:hueOff val="-9933876"/>
            <a:satOff val="39811"/>
            <a:lumOff val="8628"/>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5E8E2DE-E8CF-4E37-B8CF-F6570B55F865}">
      <dsp:nvSpPr>
        <dsp:cNvPr id="0" name=""/>
        <dsp:cNvSpPr/>
      </dsp:nvSpPr>
      <dsp:spPr>
        <a:xfrm>
          <a:off x="4571930" y="697251"/>
          <a:ext cx="912845" cy="8001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44780" tIns="144780" rIns="144780" bIns="144780" numCol="1" spcCol="1270" anchor="t" anchorCtr="0">
          <a:noAutofit/>
        </a:bodyPr>
        <a:lstStyle/>
        <a:p>
          <a:pPr marL="0" lvl="0" indent="0" algn="l" defTabSz="1689100">
            <a:lnSpc>
              <a:spcPct val="90000"/>
            </a:lnSpc>
            <a:spcBef>
              <a:spcPct val="0"/>
            </a:spcBef>
            <a:spcAft>
              <a:spcPct val="35000"/>
            </a:spcAft>
            <a:buNone/>
          </a:pPr>
          <a:endParaRPr lang="en-US" sz="3800" kern="1200"/>
        </a:p>
      </dsp:txBody>
      <dsp:txXfrm>
        <a:off x="4571930" y="697251"/>
        <a:ext cx="912845" cy="800162"/>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19</Pages>
  <Words>6619</Words>
  <Characters>37729</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44260</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Hasibul  Islam</cp:lastModifiedBy>
  <cp:revision>42</cp:revision>
  <dcterms:created xsi:type="dcterms:W3CDTF">2013-12-23T23:15:00Z</dcterms:created>
  <dcterms:modified xsi:type="dcterms:W3CDTF">2026-04-15T21:47:00Z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8e95119a-afe7-4b0c-a681-828c90ab5ebb</vt:lpwstr>
  </property>
</Properties>
</file>