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216D9" w14:textId="77777777" w:rsidR="00F55983" w:rsidRDefault="00F55983" w:rsidP="000A6C76">
      <w:pPr>
        <w:pStyle w:val="Title"/>
        <w:rPr>
          <w:b/>
          <w:bCs/>
          <w:color w:val="156082" w:themeColor="accent1"/>
          <w:sz w:val="40"/>
          <w:szCs w:val="40"/>
        </w:rPr>
      </w:pPr>
    </w:p>
    <w:p w14:paraId="35A22395" w14:textId="77777777" w:rsidR="0074725A" w:rsidRDefault="0074725A" w:rsidP="00274241">
      <w:pPr>
        <w:spacing w:line="360" w:lineRule="auto"/>
        <w:jc w:val="center"/>
        <w:rPr>
          <w:rFonts w:ascii="Arial" w:hAnsi="Arial" w:cs="Arial"/>
          <w:b/>
          <w:bCs/>
          <w:color w:val="002060"/>
          <w:sz w:val="56"/>
          <w:szCs w:val="56"/>
          <w:u w:val="single"/>
        </w:rPr>
      </w:pPr>
    </w:p>
    <w:p w14:paraId="1AAF6815" w14:textId="77777777" w:rsidR="0074725A" w:rsidRDefault="0074725A" w:rsidP="00274241">
      <w:pPr>
        <w:spacing w:line="360" w:lineRule="auto"/>
        <w:jc w:val="center"/>
        <w:rPr>
          <w:rFonts w:ascii="Arial" w:hAnsi="Arial" w:cs="Arial"/>
          <w:b/>
          <w:bCs/>
          <w:color w:val="002060"/>
          <w:sz w:val="56"/>
          <w:szCs w:val="56"/>
          <w:u w:val="single"/>
        </w:rPr>
      </w:pPr>
    </w:p>
    <w:p w14:paraId="3E048EDB" w14:textId="283BD6E2" w:rsidR="00FC75DB" w:rsidRPr="0062735B" w:rsidRDefault="00FC75DB" w:rsidP="00274241">
      <w:pPr>
        <w:spacing w:line="360" w:lineRule="auto"/>
        <w:jc w:val="center"/>
        <w:rPr>
          <w:rFonts w:ascii="Arial" w:hAnsi="Arial" w:cs="Arial"/>
          <w:b/>
          <w:bCs/>
          <w:sz w:val="56"/>
          <w:szCs w:val="56"/>
        </w:rPr>
      </w:pPr>
      <w:r w:rsidRPr="0062735B">
        <w:rPr>
          <w:rFonts w:ascii="Arial" w:hAnsi="Arial" w:cs="Arial"/>
          <w:b/>
          <w:bCs/>
          <w:color w:val="002060"/>
          <w:sz w:val="56"/>
          <w:szCs w:val="56"/>
          <w:u w:val="single"/>
        </w:rPr>
        <w:t>Name:</w:t>
      </w:r>
      <w:r w:rsidRPr="0062735B">
        <w:rPr>
          <w:rFonts w:ascii="Arial" w:hAnsi="Arial" w:cs="Arial"/>
          <w:b/>
          <w:bCs/>
          <w:color w:val="002060"/>
          <w:sz w:val="56"/>
          <w:szCs w:val="56"/>
        </w:rPr>
        <w:t xml:space="preserve"> </w:t>
      </w:r>
      <w:r w:rsidRPr="0062735B">
        <w:rPr>
          <w:rFonts w:ascii="Arial" w:hAnsi="Arial" w:cs="Arial"/>
          <w:b/>
          <w:bCs/>
          <w:sz w:val="56"/>
          <w:szCs w:val="56"/>
        </w:rPr>
        <w:t>Areeb Hussain</w:t>
      </w:r>
    </w:p>
    <w:p w14:paraId="4FE933C3" w14:textId="77777777" w:rsidR="00FC75DB" w:rsidRPr="0062735B" w:rsidRDefault="00FC75DB" w:rsidP="00274241">
      <w:pPr>
        <w:spacing w:line="360" w:lineRule="auto"/>
        <w:jc w:val="center"/>
        <w:rPr>
          <w:rFonts w:ascii="Arial" w:hAnsi="Arial" w:cs="Arial"/>
          <w:b/>
          <w:bCs/>
          <w:sz w:val="56"/>
          <w:szCs w:val="56"/>
        </w:rPr>
      </w:pPr>
      <w:r w:rsidRPr="0062735B">
        <w:rPr>
          <w:rFonts w:ascii="Arial" w:hAnsi="Arial" w:cs="Arial"/>
          <w:b/>
          <w:bCs/>
          <w:color w:val="002060"/>
          <w:sz w:val="56"/>
          <w:szCs w:val="56"/>
          <w:u w:val="single"/>
        </w:rPr>
        <w:t>Student Number:</w:t>
      </w:r>
      <w:r w:rsidRPr="0062735B">
        <w:rPr>
          <w:rFonts w:ascii="Arial" w:hAnsi="Arial" w:cs="Arial"/>
          <w:b/>
          <w:bCs/>
          <w:color w:val="002060"/>
          <w:sz w:val="56"/>
          <w:szCs w:val="56"/>
        </w:rPr>
        <w:t xml:space="preserve"> </w:t>
      </w:r>
      <w:r w:rsidRPr="0062735B">
        <w:rPr>
          <w:rFonts w:ascii="Arial" w:hAnsi="Arial" w:cs="Arial"/>
          <w:b/>
          <w:bCs/>
          <w:sz w:val="56"/>
          <w:szCs w:val="56"/>
        </w:rPr>
        <w:t>2319501</w:t>
      </w:r>
    </w:p>
    <w:p w14:paraId="40738F44" w14:textId="42D37EA4" w:rsidR="00FC75DB" w:rsidRPr="0062735B" w:rsidRDefault="00FC75DB" w:rsidP="00274241">
      <w:pPr>
        <w:spacing w:line="360" w:lineRule="auto"/>
        <w:jc w:val="center"/>
        <w:rPr>
          <w:rFonts w:ascii="Arial" w:hAnsi="Arial" w:cs="Arial"/>
          <w:b/>
          <w:bCs/>
          <w:sz w:val="56"/>
          <w:szCs w:val="56"/>
        </w:rPr>
      </w:pPr>
      <w:r w:rsidRPr="0062735B">
        <w:rPr>
          <w:rFonts w:ascii="Arial" w:hAnsi="Arial" w:cs="Arial"/>
          <w:b/>
          <w:bCs/>
          <w:color w:val="002060"/>
          <w:sz w:val="56"/>
          <w:szCs w:val="56"/>
          <w:u w:val="single"/>
        </w:rPr>
        <w:t>Module Code &amp; Title:</w:t>
      </w:r>
      <w:r w:rsidRPr="0062735B">
        <w:rPr>
          <w:rFonts w:ascii="Arial" w:hAnsi="Arial" w:cs="Arial"/>
          <w:b/>
          <w:bCs/>
          <w:color w:val="002060"/>
          <w:sz w:val="56"/>
          <w:szCs w:val="56"/>
        </w:rPr>
        <w:t xml:space="preserve"> </w:t>
      </w:r>
      <w:r w:rsidRPr="0003593D">
        <w:rPr>
          <w:rFonts w:ascii="Arial" w:hAnsi="Arial" w:cs="Arial"/>
          <w:b/>
          <w:bCs/>
          <w:sz w:val="56"/>
          <w:szCs w:val="56"/>
        </w:rPr>
        <w:t>LCLM500</w:t>
      </w:r>
      <w:r w:rsidR="00B62D02">
        <w:rPr>
          <w:rFonts w:ascii="Arial" w:hAnsi="Arial" w:cs="Arial"/>
          <w:b/>
          <w:bCs/>
          <w:sz w:val="56"/>
          <w:szCs w:val="56"/>
        </w:rPr>
        <w:t>3</w:t>
      </w:r>
      <w:r w:rsidRPr="0003593D">
        <w:rPr>
          <w:rFonts w:ascii="Arial" w:hAnsi="Arial" w:cs="Arial"/>
          <w:b/>
          <w:bCs/>
          <w:sz w:val="56"/>
          <w:szCs w:val="56"/>
        </w:rPr>
        <w:t xml:space="preserve"> </w:t>
      </w:r>
      <w:r w:rsidR="00A81935" w:rsidRPr="00A81935">
        <w:rPr>
          <w:rFonts w:ascii="Arial" w:hAnsi="Arial" w:cs="Arial"/>
          <w:b/>
          <w:bCs/>
          <w:sz w:val="56"/>
          <w:szCs w:val="56"/>
        </w:rPr>
        <w:t xml:space="preserve">Project Management  </w:t>
      </w:r>
    </w:p>
    <w:p w14:paraId="194E604C" w14:textId="77A42DB0" w:rsidR="00F55983" w:rsidRDefault="00FC75DB" w:rsidP="00274241">
      <w:pPr>
        <w:jc w:val="center"/>
        <w:rPr>
          <w:rFonts w:ascii="Arial" w:hAnsi="Arial" w:cs="Arial"/>
          <w:b/>
          <w:bCs/>
          <w:color w:val="002060"/>
          <w:sz w:val="56"/>
          <w:szCs w:val="56"/>
          <w:u w:val="single"/>
        </w:rPr>
      </w:pPr>
      <w:r w:rsidRPr="0062735B">
        <w:rPr>
          <w:rFonts w:ascii="Arial" w:hAnsi="Arial" w:cs="Arial"/>
          <w:b/>
          <w:bCs/>
          <w:color w:val="002060"/>
          <w:sz w:val="56"/>
          <w:szCs w:val="56"/>
          <w:u w:val="single"/>
        </w:rPr>
        <w:t>Assignment Title:</w:t>
      </w:r>
    </w:p>
    <w:p w14:paraId="7BF3F4CC" w14:textId="1BDAE841" w:rsidR="00A81935" w:rsidRPr="0074725A" w:rsidRDefault="0074725A" w:rsidP="00274241">
      <w:pPr>
        <w:jc w:val="center"/>
        <w:rPr>
          <w:rFonts w:ascii="Arial" w:eastAsiaTheme="majorEastAsia" w:hAnsi="Arial" w:cs="Arial"/>
          <w:b/>
          <w:bCs/>
          <w:color w:val="000000" w:themeColor="text1"/>
          <w:spacing w:val="-10"/>
          <w:kern w:val="28"/>
          <w:sz w:val="56"/>
          <w:szCs w:val="56"/>
        </w:rPr>
      </w:pPr>
      <w:r w:rsidRPr="0074725A">
        <w:rPr>
          <w:rFonts w:ascii="Arial" w:eastAsiaTheme="majorEastAsia" w:hAnsi="Arial" w:cs="Arial"/>
          <w:b/>
          <w:bCs/>
          <w:color w:val="000000" w:themeColor="text1"/>
          <w:spacing w:val="-10"/>
          <w:kern w:val="28"/>
          <w:sz w:val="56"/>
          <w:szCs w:val="56"/>
        </w:rPr>
        <w:t>A Project portfolio.</w:t>
      </w:r>
    </w:p>
    <w:p w14:paraId="3A45BCEC" w14:textId="77777777" w:rsidR="00274241" w:rsidRDefault="00274241" w:rsidP="00274241">
      <w:pPr>
        <w:pStyle w:val="Title"/>
        <w:jc w:val="center"/>
        <w:rPr>
          <w:b/>
          <w:bCs/>
          <w:color w:val="156082" w:themeColor="accent1"/>
          <w:sz w:val="40"/>
          <w:szCs w:val="40"/>
        </w:rPr>
      </w:pPr>
    </w:p>
    <w:p w14:paraId="23691B12" w14:textId="77777777" w:rsidR="00274241" w:rsidRDefault="00274241" w:rsidP="000A6C76">
      <w:pPr>
        <w:pStyle w:val="Title"/>
        <w:rPr>
          <w:b/>
          <w:bCs/>
          <w:color w:val="156082" w:themeColor="accent1"/>
          <w:sz w:val="40"/>
          <w:szCs w:val="40"/>
        </w:rPr>
      </w:pPr>
    </w:p>
    <w:p w14:paraId="44EE043C" w14:textId="77777777" w:rsidR="00274241" w:rsidRDefault="00274241" w:rsidP="000A6C76">
      <w:pPr>
        <w:pStyle w:val="Title"/>
        <w:rPr>
          <w:b/>
          <w:bCs/>
          <w:color w:val="156082" w:themeColor="accent1"/>
          <w:sz w:val="40"/>
          <w:szCs w:val="40"/>
        </w:rPr>
      </w:pPr>
    </w:p>
    <w:p w14:paraId="0654810D" w14:textId="77777777" w:rsidR="00274241" w:rsidRDefault="00274241" w:rsidP="000A6C76">
      <w:pPr>
        <w:pStyle w:val="Title"/>
        <w:rPr>
          <w:b/>
          <w:bCs/>
          <w:color w:val="156082" w:themeColor="accent1"/>
          <w:sz w:val="40"/>
          <w:szCs w:val="40"/>
        </w:rPr>
      </w:pPr>
    </w:p>
    <w:p w14:paraId="36D4CADF" w14:textId="77777777" w:rsidR="00274241" w:rsidRDefault="00274241" w:rsidP="000A6C76">
      <w:pPr>
        <w:pStyle w:val="Title"/>
        <w:rPr>
          <w:b/>
          <w:bCs/>
          <w:color w:val="156082" w:themeColor="accent1"/>
          <w:sz w:val="40"/>
          <w:szCs w:val="40"/>
        </w:rPr>
      </w:pPr>
    </w:p>
    <w:p w14:paraId="3599473F" w14:textId="77777777" w:rsidR="00274241" w:rsidRDefault="00274241" w:rsidP="000A6C76">
      <w:pPr>
        <w:pStyle w:val="Title"/>
        <w:rPr>
          <w:b/>
          <w:bCs/>
          <w:color w:val="156082" w:themeColor="accent1"/>
          <w:sz w:val="40"/>
          <w:szCs w:val="40"/>
        </w:rPr>
      </w:pPr>
    </w:p>
    <w:p w14:paraId="602B17F4" w14:textId="77777777" w:rsidR="0074725A" w:rsidRDefault="0074725A" w:rsidP="0074725A"/>
    <w:p w14:paraId="4C9ED15B" w14:textId="77777777" w:rsidR="0074725A" w:rsidRDefault="0074725A" w:rsidP="0074725A"/>
    <w:p w14:paraId="3A29EEBF" w14:textId="77777777" w:rsidR="0074725A" w:rsidRDefault="0074725A" w:rsidP="0074725A"/>
    <w:p w14:paraId="4F65BC48" w14:textId="77777777" w:rsidR="0074725A" w:rsidRDefault="0074725A" w:rsidP="0074725A"/>
    <w:p w14:paraId="2BA7DB4F" w14:textId="77777777" w:rsidR="0074725A" w:rsidRPr="0074725A" w:rsidRDefault="0074725A" w:rsidP="0074725A"/>
    <w:p w14:paraId="78E49388" w14:textId="77777777" w:rsidR="00274241" w:rsidRDefault="00274241" w:rsidP="000A6C76">
      <w:pPr>
        <w:pStyle w:val="Title"/>
        <w:rPr>
          <w:b/>
          <w:bCs/>
          <w:color w:val="156082" w:themeColor="accent1"/>
          <w:sz w:val="40"/>
          <w:szCs w:val="40"/>
        </w:rPr>
      </w:pPr>
    </w:p>
    <w:p w14:paraId="4404D648" w14:textId="77777777" w:rsidR="00274241" w:rsidRDefault="00274241" w:rsidP="000A6C76">
      <w:pPr>
        <w:pStyle w:val="Title"/>
        <w:rPr>
          <w:b/>
          <w:bCs/>
          <w:color w:val="156082" w:themeColor="accent1"/>
          <w:sz w:val="40"/>
          <w:szCs w:val="40"/>
        </w:rPr>
      </w:pPr>
    </w:p>
    <w:p w14:paraId="1D67C219" w14:textId="73FCCB01" w:rsidR="003E429F" w:rsidRPr="000A6C76" w:rsidRDefault="003E429F" w:rsidP="000A6C76">
      <w:pPr>
        <w:pStyle w:val="Title"/>
        <w:rPr>
          <w:b/>
          <w:bCs/>
          <w:color w:val="156082" w:themeColor="accent1"/>
          <w:sz w:val="40"/>
          <w:szCs w:val="40"/>
        </w:rPr>
      </w:pPr>
      <w:r w:rsidRPr="000A6C76">
        <w:rPr>
          <w:b/>
          <w:bCs/>
          <w:color w:val="156082" w:themeColor="accent1"/>
          <w:sz w:val="40"/>
          <w:szCs w:val="40"/>
        </w:rPr>
        <w:t>Full Project Management Assignment Report: Rebuilding the Coquihalla Highway After the 2021 British Columbia Floods</w:t>
      </w:r>
    </w:p>
    <w:p w14:paraId="5284E81C" w14:textId="77777777" w:rsidR="000A6C76" w:rsidRDefault="000A6C76" w:rsidP="003E429F">
      <w:pPr>
        <w:pStyle w:val="Title"/>
        <w:rPr>
          <w:rFonts w:ascii="Arial" w:hAnsi="Arial" w:cs="Arial"/>
          <w:b/>
          <w:bCs/>
          <w:color w:val="000000" w:themeColor="text1"/>
          <w:sz w:val="22"/>
          <w:szCs w:val="22"/>
        </w:rPr>
      </w:pPr>
    </w:p>
    <w:p w14:paraId="35EA45D3" w14:textId="77777777" w:rsidR="005A469F" w:rsidRPr="005A469F" w:rsidRDefault="003E429F" w:rsidP="003E429F">
      <w:pPr>
        <w:pStyle w:val="Title"/>
        <w:rPr>
          <w:rStyle w:val="Strong"/>
          <w:sz w:val="28"/>
          <w:szCs w:val="28"/>
        </w:rPr>
      </w:pPr>
      <w:r w:rsidRPr="003E429F">
        <w:rPr>
          <w:rStyle w:val="Strong"/>
          <w:sz w:val="28"/>
          <w:szCs w:val="28"/>
        </w:rPr>
        <w:t>Executive Summary</w:t>
      </w:r>
    </w:p>
    <w:p w14:paraId="065BA1F1" w14:textId="5CAEB889" w:rsidR="003E429F" w:rsidRDefault="003E429F" w:rsidP="003E429F">
      <w:pPr>
        <w:pStyle w:val="Title"/>
        <w:rPr>
          <w:rFonts w:ascii="Arial" w:hAnsi="Arial" w:cs="Arial"/>
          <w:color w:val="000000" w:themeColor="text1"/>
          <w:sz w:val="22"/>
          <w:szCs w:val="22"/>
        </w:rPr>
      </w:pPr>
      <w:r w:rsidRPr="003E429F">
        <w:rPr>
          <w:rFonts w:ascii="Arial" w:hAnsi="Arial" w:cs="Arial"/>
          <w:color w:val="000000" w:themeColor="text1"/>
          <w:sz w:val="22"/>
          <w:szCs w:val="22"/>
        </w:rPr>
        <w:br/>
        <w:t xml:space="preserve">This comprehensive report details a project management assignment based on the 2021 atmospheric river floods in British Columbia, which devastated Highway 5 (Coquihalla Highway). The assignment includes three parts: a project proposal poster pitch (Part A), reflections on tutor feedback (Part B), and a detailed Project Management Plan (Part C). The selected project focuses on rebuilding the Coquihalla Highway to restore connectivity, incorporate climate resilience, and mitigate future risks. Drawing from real-world data, the plan applies project management techniques such as those outlined in PMBOK and post-disaster reconstruction frameworks. Key elements include scope definition, work breakdown structure (WBS), Quad Chart, Gantt Chart, stakeholder engagement, resource allocation, and expanded risk analysis. The estimated budget is $500 million, with a 24-month timeline. </w:t>
      </w:r>
    </w:p>
    <w:p w14:paraId="42385736" w14:textId="77777777" w:rsidR="006E1972" w:rsidRDefault="006E1972" w:rsidP="006E1972"/>
    <w:p w14:paraId="744AA839" w14:textId="5A2BC844" w:rsidR="005A469F" w:rsidRPr="003E429F" w:rsidRDefault="005A469F" w:rsidP="006E1972">
      <w:pPr>
        <w:rPr>
          <w:rStyle w:val="Strong"/>
          <w:sz w:val="28"/>
          <w:szCs w:val="28"/>
        </w:rPr>
      </w:pPr>
      <w:r w:rsidRPr="005A469F">
        <w:rPr>
          <w:rStyle w:val="Strong"/>
          <w:sz w:val="28"/>
          <w:szCs w:val="28"/>
        </w:rPr>
        <w:t>Contents</w:t>
      </w:r>
    </w:p>
    <w:p w14:paraId="04604CC2" w14:textId="77777777" w:rsidR="003E429F" w:rsidRPr="003E429F" w:rsidRDefault="003E429F" w:rsidP="003E429F">
      <w:pPr>
        <w:pStyle w:val="Title"/>
        <w:numPr>
          <w:ilvl w:val="0"/>
          <w:numId w:val="3"/>
        </w:numPr>
        <w:rPr>
          <w:rFonts w:ascii="Arial" w:hAnsi="Arial" w:cs="Arial"/>
          <w:color w:val="000000" w:themeColor="text1"/>
          <w:sz w:val="22"/>
          <w:szCs w:val="22"/>
        </w:rPr>
      </w:pPr>
      <w:r w:rsidRPr="003E429F">
        <w:rPr>
          <w:rFonts w:ascii="Arial" w:hAnsi="Arial" w:cs="Arial"/>
          <w:color w:val="000000" w:themeColor="text1"/>
          <w:sz w:val="22"/>
          <w:szCs w:val="22"/>
        </w:rPr>
        <w:t>Part A: Project Proposal Poster - Presentation Pitch</w:t>
      </w:r>
    </w:p>
    <w:p w14:paraId="7D6D5669" w14:textId="77777777" w:rsidR="003E429F" w:rsidRPr="003E429F" w:rsidRDefault="003E429F" w:rsidP="003E429F">
      <w:pPr>
        <w:pStyle w:val="Title"/>
        <w:numPr>
          <w:ilvl w:val="0"/>
          <w:numId w:val="3"/>
        </w:numPr>
        <w:rPr>
          <w:rFonts w:ascii="Arial" w:hAnsi="Arial" w:cs="Arial"/>
          <w:color w:val="000000" w:themeColor="text1"/>
          <w:sz w:val="22"/>
          <w:szCs w:val="22"/>
        </w:rPr>
      </w:pPr>
      <w:r w:rsidRPr="003E429F">
        <w:rPr>
          <w:rFonts w:ascii="Arial" w:hAnsi="Arial" w:cs="Arial"/>
          <w:color w:val="000000" w:themeColor="text1"/>
          <w:sz w:val="22"/>
          <w:szCs w:val="22"/>
        </w:rPr>
        <w:t>Part B: Reflections from Tutor Feedback</w:t>
      </w:r>
    </w:p>
    <w:p w14:paraId="6698F33A" w14:textId="77777777" w:rsidR="003E429F" w:rsidRPr="003E429F" w:rsidRDefault="003E429F" w:rsidP="003E429F">
      <w:pPr>
        <w:pStyle w:val="Title"/>
        <w:numPr>
          <w:ilvl w:val="0"/>
          <w:numId w:val="3"/>
        </w:numPr>
        <w:rPr>
          <w:rFonts w:ascii="Arial" w:hAnsi="Arial" w:cs="Arial"/>
          <w:color w:val="000000" w:themeColor="text1"/>
          <w:sz w:val="22"/>
          <w:szCs w:val="22"/>
        </w:rPr>
      </w:pPr>
      <w:r w:rsidRPr="003E429F">
        <w:rPr>
          <w:rFonts w:ascii="Arial" w:hAnsi="Arial" w:cs="Arial"/>
          <w:color w:val="000000" w:themeColor="text1"/>
          <w:sz w:val="22"/>
          <w:szCs w:val="22"/>
        </w:rPr>
        <w:t>Part C: Project Management Plan</w:t>
      </w:r>
      <w:r w:rsidRPr="003E429F">
        <w:rPr>
          <w:rFonts w:ascii="Arial" w:hAnsi="Arial" w:cs="Arial"/>
          <w:color w:val="000000" w:themeColor="text1"/>
          <w:sz w:val="22"/>
          <w:szCs w:val="22"/>
        </w:rPr>
        <w:br/>
        <w:t>3.1 Introduction</w:t>
      </w:r>
      <w:r w:rsidRPr="003E429F">
        <w:rPr>
          <w:rFonts w:ascii="Arial" w:hAnsi="Arial" w:cs="Arial"/>
          <w:color w:val="000000" w:themeColor="text1"/>
          <w:sz w:val="22"/>
          <w:szCs w:val="22"/>
        </w:rPr>
        <w:br/>
        <w:t>3.2 Project Description</w:t>
      </w:r>
      <w:r w:rsidRPr="003E429F">
        <w:rPr>
          <w:rFonts w:ascii="Arial" w:hAnsi="Arial" w:cs="Arial"/>
          <w:color w:val="000000" w:themeColor="text1"/>
          <w:sz w:val="22"/>
          <w:szCs w:val="22"/>
        </w:rPr>
        <w:br/>
        <w:t>3.3 Scope</w:t>
      </w:r>
      <w:r w:rsidRPr="003E429F">
        <w:rPr>
          <w:rFonts w:ascii="Arial" w:hAnsi="Arial" w:cs="Arial"/>
          <w:color w:val="000000" w:themeColor="text1"/>
          <w:sz w:val="22"/>
          <w:szCs w:val="22"/>
        </w:rPr>
        <w:br/>
        <w:t>3.4 Work Breakdown Structure</w:t>
      </w:r>
      <w:r w:rsidRPr="003E429F">
        <w:rPr>
          <w:rFonts w:ascii="Arial" w:hAnsi="Arial" w:cs="Arial"/>
          <w:color w:val="000000" w:themeColor="text1"/>
          <w:sz w:val="22"/>
          <w:szCs w:val="22"/>
        </w:rPr>
        <w:br/>
        <w:t>3.5 Quad Chart</w:t>
      </w:r>
      <w:r w:rsidRPr="003E429F">
        <w:rPr>
          <w:rFonts w:ascii="Arial" w:hAnsi="Arial" w:cs="Arial"/>
          <w:color w:val="000000" w:themeColor="text1"/>
          <w:sz w:val="22"/>
          <w:szCs w:val="22"/>
        </w:rPr>
        <w:br/>
        <w:t>3.6 Gantt Chart</w:t>
      </w:r>
      <w:r w:rsidRPr="003E429F">
        <w:rPr>
          <w:rFonts w:ascii="Arial" w:hAnsi="Arial" w:cs="Arial"/>
          <w:color w:val="000000" w:themeColor="text1"/>
          <w:sz w:val="22"/>
          <w:szCs w:val="22"/>
        </w:rPr>
        <w:br/>
        <w:t>3.7 Stakeholders’ Involvement</w:t>
      </w:r>
      <w:r w:rsidRPr="003E429F">
        <w:rPr>
          <w:rFonts w:ascii="Arial" w:hAnsi="Arial" w:cs="Arial"/>
          <w:color w:val="000000" w:themeColor="text1"/>
          <w:sz w:val="22"/>
          <w:szCs w:val="22"/>
        </w:rPr>
        <w:br/>
        <w:t>3.8 Allocation of Resources</w:t>
      </w:r>
      <w:r w:rsidRPr="003E429F">
        <w:rPr>
          <w:rFonts w:ascii="Arial" w:hAnsi="Arial" w:cs="Arial"/>
          <w:color w:val="000000" w:themeColor="text1"/>
          <w:sz w:val="22"/>
          <w:szCs w:val="22"/>
        </w:rPr>
        <w:br/>
        <w:t>3.9 Risk Analysis</w:t>
      </w:r>
      <w:r w:rsidRPr="003E429F">
        <w:rPr>
          <w:rFonts w:ascii="Arial" w:hAnsi="Arial" w:cs="Arial"/>
          <w:color w:val="000000" w:themeColor="text1"/>
          <w:sz w:val="22"/>
          <w:szCs w:val="22"/>
        </w:rPr>
        <w:br/>
        <w:t>3.10 Conclusion</w:t>
      </w:r>
    </w:p>
    <w:p w14:paraId="14B7E64B" w14:textId="77777777" w:rsidR="003E429F" w:rsidRPr="003E429F" w:rsidRDefault="003E429F" w:rsidP="003E429F">
      <w:pPr>
        <w:pStyle w:val="Title"/>
        <w:numPr>
          <w:ilvl w:val="0"/>
          <w:numId w:val="3"/>
        </w:numPr>
        <w:rPr>
          <w:rFonts w:ascii="Arial" w:hAnsi="Arial" w:cs="Arial"/>
          <w:color w:val="000000" w:themeColor="text1"/>
          <w:sz w:val="22"/>
          <w:szCs w:val="22"/>
        </w:rPr>
      </w:pPr>
      <w:r w:rsidRPr="003E429F">
        <w:rPr>
          <w:rFonts w:ascii="Arial" w:hAnsi="Arial" w:cs="Arial"/>
          <w:color w:val="000000" w:themeColor="text1"/>
          <w:sz w:val="22"/>
          <w:szCs w:val="22"/>
        </w:rPr>
        <w:t>References</w:t>
      </w:r>
    </w:p>
    <w:p w14:paraId="6E0A8623" w14:textId="77777777" w:rsidR="003E429F" w:rsidRPr="003E429F" w:rsidRDefault="003E429F" w:rsidP="003E429F">
      <w:pPr>
        <w:pStyle w:val="Title"/>
        <w:rPr>
          <w:rFonts w:ascii="Arial" w:hAnsi="Arial" w:cs="Arial"/>
          <w:color w:val="000000" w:themeColor="text1"/>
          <w:sz w:val="22"/>
          <w:szCs w:val="22"/>
        </w:rPr>
      </w:pPr>
      <w:r w:rsidRPr="003E429F">
        <w:rPr>
          <w:rFonts w:ascii="Arial" w:hAnsi="Arial" w:cs="Arial"/>
          <w:color w:val="000000" w:themeColor="text1"/>
          <w:sz w:val="22"/>
          <w:szCs w:val="22"/>
        </w:rPr>
        <w:t>List of Tables</w:t>
      </w:r>
      <w:r w:rsidRPr="003E429F">
        <w:rPr>
          <w:rFonts w:ascii="Arial" w:hAnsi="Arial" w:cs="Arial"/>
          <w:color w:val="000000" w:themeColor="text1"/>
          <w:sz w:val="22"/>
          <w:szCs w:val="22"/>
        </w:rPr>
        <w:br/>
        <w:t>Table 1: Work Breakdown Structure</w:t>
      </w:r>
      <w:r w:rsidRPr="003E429F">
        <w:rPr>
          <w:rFonts w:ascii="Arial" w:hAnsi="Arial" w:cs="Arial"/>
          <w:color w:val="000000" w:themeColor="text1"/>
          <w:sz w:val="22"/>
          <w:szCs w:val="22"/>
        </w:rPr>
        <w:br/>
        <w:t>Table 2: Resource Allocation</w:t>
      </w:r>
      <w:r w:rsidRPr="003E429F">
        <w:rPr>
          <w:rFonts w:ascii="Arial" w:hAnsi="Arial" w:cs="Arial"/>
          <w:color w:val="000000" w:themeColor="text1"/>
          <w:sz w:val="22"/>
          <w:szCs w:val="22"/>
        </w:rPr>
        <w:br/>
        <w:t>Table 3: Risk Register</w:t>
      </w:r>
    </w:p>
    <w:p w14:paraId="24C8E414" w14:textId="77777777" w:rsidR="003E429F" w:rsidRPr="003E429F" w:rsidRDefault="003E429F" w:rsidP="003E429F">
      <w:pPr>
        <w:pStyle w:val="Title"/>
        <w:rPr>
          <w:rFonts w:ascii="Arial" w:hAnsi="Arial" w:cs="Arial"/>
          <w:color w:val="000000" w:themeColor="text1"/>
          <w:sz w:val="22"/>
          <w:szCs w:val="22"/>
        </w:rPr>
      </w:pPr>
      <w:r w:rsidRPr="003E429F">
        <w:rPr>
          <w:rFonts w:ascii="Arial" w:hAnsi="Arial" w:cs="Arial"/>
          <w:color w:val="000000" w:themeColor="text1"/>
          <w:sz w:val="22"/>
          <w:szCs w:val="22"/>
        </w:rPr>
        <w:t>List of Figures</w:t>
      </w:r>
      <w:r w:rsidRPr="003E429F">
        <w:rPr>
          <w:rFonts w:ascii="Arial" w:hAnsi="Arial" w:cs="Arial"/>
          <w:color w:val="000000" w:themeColor="text1"/>
          <w:sz w:val="22"/>
          <w:szCs w:val="22"/>
        </w:rPr>
        <w:br/>
        <w:t>Figure 1: Flood Damage to Coquihalla Highway</w:t>
      </w:r>
      <w:r w:rsidRPr="003E429F">
        <w:rPr>
          <w:rFonts w:ascii="Arial" w:hAnsi="Arial" w:cs="Arial"/>
          <w:color w:val="000000" w:themeColor="text1"/>
          <w:sz w:val="22"/>
          <w:szCs w:val="22"/>
        </w:rPr>
        <w:br/>
        <w:t>Figure 2: Rebuilt Bridges on Coquihalla Highway</w:t>
      </w:r>
      <w:r w:rsidRPr="003E429F">
        <w:rPr>
          <w:rFonts w:ascii="Arial" w:hAnsi="Arial" w:cs="Arial"/>
          <w:color w:val="000000" w:themeColor="text1"/>
          <w:sz w:val="22"/>
          <w:szCs w:val="22"/>
        </w:rPr>
        <w:br/>
        <w:t>Figure 3: Quad Chart</w:t>
      </w:r>
      <w:r w:rsidRPr="003E429F">
        <w:rPr>
          <w:rFonts w:ascii="Arial" w:hAnsi="Arial" w:cs="Arial"/>
          <w:color w:val="000000" w:themeColor="text1"/>
          <w:sz w:val="22"/>
          <w:szCs w:val="22"/>
        </w:rPr>
        <w:br/>
        <w:t>Figure 4: Gantt Chart Example</w:t>
      </w:r>
      <w:r w:rsidRPr="003E429F">
        <w:rPr>
          <w:rFonts w:ascii="Arial" w:hAnsi="Arial" w:cs="Arial"/>
          <w:color w:val="000000" w:themeColor="text1"/>
          <w:sz w:val="22"/>
          <w:szCs w:val="22"/>
        </w:rPr>
        <w:br/>
        <w:t>Figure 5: Stakeholder Power/Interest Matrix</w:t>
      </w:r>
    </w:p>
    <w:p w14:paraId="5CA98922" w14:textId="77777777" w:rsidR="00BF1B96" w:rsidRDefault="00BF1B96">
      <w:pPr>
        <w:rPr>
          <w:rFonts w:asciiTheme="majorHAnsi" w:eastAsiaTheme="majorEastAsia" w:hAnsiTheme="majorHAnsi" w:cstheme="majorBidi"/>
          <w:b/>
          <w:bCs/>
          <w:color w:val="E97132" w:themeColor="accent2"/>
          <w:spacing w:val="-10"/>
          <w:kern w:val="28"/>
          <w:sz w:val="56"/>
          <w:szCs w:val="56"/>
        </w:rPr>
      </w:pPr>
      <w:r>
        <w:rPr>
          <w:b/>
          <w:bCs/>
          <w:color w:val="E97132" w:themeColor="accent2"/>
        </w:rPr>
        <w:br w:type="page"/>
      </w:r>
    </w:p>
    <w:p w14:paraId="36977B1C" w14:textId="6D367168" w:rsidR="00C42060" w:rsidRDefault="003B2715" w:rsidP="00C42060">
      <w:pPr>
        <w:pStyle w:val="Title"/>
        <w:rPr>
          <w:b/>
          <w:bCs/>
          <w:color w:val="E97132" w:themeColor="accent2"/>
        </w:rPr>
      </w:pPr>
      <w:r w:rsidRPr="008C7CDA">
        <w:rPr>
          <w:b/>
          <w:bCs/>
          <w:noProof/>
          <w:color w:val="E97132" w:themeColor="accent2"/>
        </w:rPr>
        <w:lastRenderedPageBreak/>
        <mc:AlternateContent>
          <mc:Choice Requires="wps">
            <w:drawing>
              <wp:anchor distT="45720" distB="45720" distL="114300" distR="114300" simplePos="0" relativeHeight="251662336" behindDoc="0" locked="0" layoutInCell="1" allowOverlap="1" wp14:anchorId="73AE66C6" wp14:editId="3762FF7F">
                <wp:simplePos x="0" y="0"/>
                <wp:positionH relativeFrom="margin">
                  <wp:posOffset>2103120</wp:posOffset>
                </wp:positionH>
                <wp:positionV relativeFrom="paragraph">
                  <wp:posOffset>1453515</wp:posOffset>
                </wp:positionV>
                <wp:extent cx="4277360" cy="2743200"/>
                <wp:effectExtent l="0" t="0" r="27940" b="19050"/>
                <wp:wrapSquare wrapText="bothSides"/>
                <wp:docPr id="22903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7360" cy="2743200"/>
                        </a:xfrm>
                        <a:prstGeom prst="rect">
                          <a:avLst/>
                        </a:prstGeom>
                        <a:solidFill>
                          <a:schemeClr val="accent3"/>
                        </a:solidFill>
                        <a:ln w="9525">
                          <a:solidFill>
                            <a:srgbClr val="000000"/>
                          </a:solidFill>
                          <a:miter lim="800000"/>
                          <a:headEnd/>
                          <a:tailEnd/>
                        </a:ln>
                      </wps:spPr>
                      <wps:txbx>
                        <w:txbxContent>
                          <w:p w14:paraId="24E692A8" w14:textId="193944D4" w:rsidR="008C7CDA" w:rsidRPr="00320F6C" w:rsidRDefault="008C7CDA" w:rsidP="008C7CDA">
                            <w:pPr>
                              <w:rPr>
                                <w:color w:val="FFFF00"/>
                              </w:rPr>
                            </w:pPr>
                            <w:r w:rsidRPr="00320F6C">
                              <w:rPr>
                                <w:b/>
                                <w:bCs/>
                                <w:color w:val="FFFF00"/>
                              </w:rPr>
                              <w:t>Proposed Project and Objectives</w:t>
                            </w:r>
                            <w:r w:rsidRPr="00320F6C">
                              <w:rPr>
                                <w:color w:val="FFFF00"/>
                              </w:rPr>
                              <w:br/>
                              <w:t>Project: Comprehensive reconstruction of Highway 5, focusing on permanent repairs with climate-resilient features.</w:t>
                            </w:r>
                            <w:r w:rsidRPr="00320F6C">
                              <w:rPr>
                                <w:color w:val="FFFF00"/>
                              </w:rPr>
                              <w:br/>
                              <w:t>Objectives:</w:t>
                            </w:r>
                          </w:p>
                          <w:p w14:paraId="3C950F4C" w14:textId="77777777" w:rsidR="008C7CDA" w:rsidRPr="008C7CDA" w:rsidRDefault="008C7CDA" w:rsidP="008C7CDA">
                            <w:pPr>
                              <w:numPr>
                                <w:ilvl w:val="0"/>
                                <w:numId w:val="1"/>
                              </w:numPr>
                              <w:rPr>
                                <w:color w:val="FFFF00"/>
                              </w:rPr>
                            </w:pPr>
                            <w:r w:rsidRPr="008C7CDA">
                              <w:rPr>
                                <w:color w:val="FFFF00"/>
                              </w:rPr>
                              <w:t>Restore full four-lane access within 13 months.</w:t>
                            </w:r>
                          </w:p>
                          <w:p w14:paraId="3D78AF66" w14:textId="77777777" w:rsidR="008C7CDA" w:rsidRPr="008C7CDA" w:rsidRDefault="008C7CDA" w:rsidP="008C7CDA">
                            <w:pPr>
                              <w:numPr>
                                <w:ilvl w:val="0"/>
                                <w:numId w:val="1"/>
                              </w:numPr>
                              <w:rPr>
                                <w:color w:val="FFFF00"/>
                              </w:rPr>
                            </w:pPr>
                            <w:r w:rsidRPr="008C7CDA">
                              <w:rPr>
                                <w:color w:val="FFFF00"/>
                              </w:rPr>
                              <w:t>Incorporate resilience measures like deeper foundations and erosion protection.</w:t>
                            </w:r>
                          </w:p>
                          <w:p w14:paraId="59EDBF42" w14:textId="77777777" w:rsidR="008C7CDA" w:rsidRPr="008C7CDA" w:rsidRDefault="008C7CDA" w:rsidP="008C7CDA">
                            <w:pPr>
                              <w:numPr>
                                <w:ilvl w:val="0"/>
                                <w:numId w:val="1"/>
                              </w:numPr>
                              <w:rPr>
                                <w:color w:val="FFFF00"/>
                              </w:rPr>
                            </w:pPr>
                            <w:r w:rsidRPr="008C7CDA">
                              <w:rPr>
                                <w:color w:val="FFFF00"/>
                              </w:rPr>
                              <w:t>Minimize environmental impact through habitat restoration.</w:t>
                            </w:r>
                          </w:p>
                          <w:p w14:paraId="10CF33B3" w14:textId="77777777" w:rsidR="008C7CDA" w:rsidRPr="008C7CDA" w:rsidRDefault="008C7CDA" w:rsidP="008C7CDA">
                            <w:pPr>
                              <w:numPr>
                                <w:ilvl w:val="0"/>
                                <w:numId w:val="1"/>
                              </w:numPr>
                              <w:rPr>
                                <w:color w:val="FFFF00"/>
                              </w:rPr>
                            </w:pPr>
                            <w:r w:rsidRPr="008C7CDA">
                              <w:rPr>
                                <w:color w:val="FFFF00"/>
                              </w:rPr>
                              <w:t>Achieve zero safety incidents and complete under budget.</w:t>
                            </w:r>
                            <w:r w:rsidRPr="008C7CDA">
                              <w:rPr>
                                <w:color w:val="FFFF00"/>
                              </w:rPr>
                              <w:br/>
                              <w:t>Benefits: Enhanced connectivity for 20,000+ daily vehicles, reduced future vulnerability, and economic recovery (Global News, 2023). 10 </w:t>
                            </w:r>
                          </w:p>
                          <w:p w14:paraId="17DCE39A" w14:textId="448764F8" w:rsidR="008C7CDA" w:rsidRDefault="008C7C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AE66C6" id="_x0000_t202" coordsize="21600,21600" o:spt="202" path="m,l,21600r21600,l21600,xe">
                <v:stroke joinstyle="miter"/>
                <v:path gradientshapeok="t" o:connecttype="rect"/>
              </v:shapetype>
              <v:shape id="Text Box 2" o:spid="_x0000_s1026" type="#_x0000_t202" style="position:absolute;margin-left:165.6pt;margin-top:114.45pt;width:336.8pt;height:3in;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" fillcolor="#196b24 [3206]">
                <v:textbox>
                  <w:txbxContent>
                    <w:p w14:paraId="24E692A8" w14:textId="193944D4" w:rsidR="008C7CDA" w:rsidRPr="00320F6C" w:rsidRDefault="008C7CDA" w:rsidP="008C7CDA">
                      <w:pPr>
                        <w:rPr>
                          <w:color w:val="FFFF00"/>
                        </w:rPr>
                      </w:pPr>
                      <w:r w:rsidRPr="00320F6C">
                        <w:rPr>
                          <w:b/>
                          <w:bCs/>
                          <w:color w:val="FFFF00"/>
                        </w:rPr>
                        <w:t>Proposed Project and Objectives</w:t>
                      </w:r>
                      <w:r w:rsidRPr="00320F6C">
                        <w:rPr>
                          <w:color w:val="FFFF00"/>
                        </w:rPr>
                        <w:br/>
                        <w:t>Project: Comprehensive reconstruction of Highway 5, focusing on permanent repairs with climate-resilient features.</w:t>
                      </w:r>
                      <w:r w:rsidRPr="00320F6C">
                        <w:rPr>
                          <w:color w:val="FFFF00"/>
                        </w:rPr>
                        <w:br/>
                        <w:t>Objectives:</w:t>
                      </w:r>
                    </w:p>
                    <w:p w14:paraId="3C950F4C" w14:textId="77777777" w:rsidR="008C7CDA" w:rsidRPr="008C7CDA" w:rsidRDefault="008C7CDA" w:rsidP="008C7CDA">
                      <w:pPr>
                        <w:numPr>
                          <w:ilvl w:val="0"/>
                          <w:numId w:val="1"/>
                        </w:numPr>
                        <w:rPr>
                          <w:color w:val="FFFF00"/>
                        </w:rPr>
                      </w:pPr>
                      <w:r w:rsidRPr="008C7CDA">
                        <w:rPr>
                          <w:color w:val="FFFF00"/>
                        </w:rPr>
                        <w:t>Restore full four-lane access within 13 months.</w:t>
                      </w:r>
                    </w:p>
                    <w:p w14:paraId="3D78AF66" w14:textId="77777777" w:rsidR="008C7CDA" w:rsidRPr="008C7CDA" w:rsidRDefault="008C7CDA" w:rsidP="008C7CDA">
                      <w:pPr>
                        <w:numPr>
                          <w:ilvl w:val="0"/>
                          <w:numId w:val="1"/>
                        </w:numPr>
                        <w:rPr>
                          <w:color w:val="FFFF00"/>
                        </w:rPr>
                      </w:pPr>
                      <w:r w:rsidRPr="008C7CDA">
                        <w:rPr>
                          <w:color w:val="FFFF00"/>
                        </w:rPr>
                        <w:t>Incorporate resilience measures like deeper foundations and erosion protection.</w:t>
                      </w:r>
                    </w:p>
                    <w:p w14:paraId="59EDBF42" w14:textId="77777777" w:rsidR="008C7CDA" w:rsidRPr="008C7CDA" w:rsidRDefault="008C7CDA" w:rsidP="008C7CDA">
                      <w:pPr>
                        <w:numPr>
                          <w:ilvl w:val="0"/>
                          <w:numId w:val="1"/>
                        </w:numPr>
                        <w:rPr>
                          <w:color w:val="FFFF00"/>
                        </w:rPr>
                      </w:pPr>
                      <w:r w:rsidRPr="008C7CDA">
                        <w:rPr>
                          <w:color w:val="FFFF00"/>
                        </w:rPr>
                        <w:t>Minimize environmental impact through habitat restoration.</w:t>
                      </w:r>
                    </w:p>
                    <w:p w14:paraId="10CF33B3" w14:textId="77777777" w:rsidR="008C7CDA" w:rsidRPr="008C7CDA" w:rsidRDefault="008C7CDA" w:rsidP="008C7CDA">
                      <w:pPr>
                        <w:numPr>
                          <w:ilvl w:val="0"/>
                          <w:numId w:val="1"/>
                        </w:numPr>
                        <w:rPr>
                          <w:color w:val="FFFF00"/>
                        </w:rPr>
                      </w:pPr>
                      <w:r w:rsidRPr="008C7CDA">
                        <w:rPr>
                          <w:color w:val="FFFF00"/>
                        </w:rPr>
                        <w:t>Achieve zero safety incidents and complete under budget.</w:t>
                      </w:r>
                      <w:r w:rsidRPr="008C7CDA">
                        <w:rPr>
                          <w:color w:val="FFFF00"/>
                        </w:rPr>
                        <w:br/>
                        <w:t>Benefits: Enhanced connectivity for 20,000+ daily vehicles, reduced future vulnerability, and economic recovery (Global News, 2023). 10 </w:t>
                      </w:r>
                    </w:p>
                    <w:p w14:paraId="17DCE39A" w14:textId="448764F8" w:rsidR="008C7CDA" w:rsidRDefault="008C7CDA"/>
                  </w:txbxContent>
                </v:textbox>
                <w10:wrap type="square" anchorx="margin"/>
              </v:shape>
            </w:pict>
          </mc:Fallback>
        </mc:AlternateContent>
      </w:r>
      <w:r w:rsidRPr="00C42060">
        <w:rPr>
          <w:b/>
          <w:bCs/>
          <w:noProof/>
        </w:rPr>
        <w:drawing>
          <wp:anchor distT="0" distB="0" distL="114300" distR="114300" simplePos="0" relativeHeight="251658240" behindDoc="1" locked="0" layoutInCell="1" allowOverlap="1" wp14:anchorId="3D4F08C4" wp14:editId="031BCDA0">
            <wp:simplePos x="0" y="0"/>
            <wp:positionH relativeFrom="page">
              <wp:posOffset>27432</wp:posOffset>
            </wp:positionH>
            <wp:positionV relativeFrom="paragraph">
              <wp:posOffset>-914400</wp:posOffset>
            </wp:positionV>
            <wp:extent cx="10660499" cy="10671048"/>
            <wp:effectExtent l="0" t="0" r="7620" b="0"/>
            <wp:wrapNone/>
            <wp:docPr id="2033883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83075"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0667803" cy="10678359"/>
                    </a:xfrm>
                    <a:prstGeom prst="rect">
                      <a:avLst/>
                    </a:prstGeom>
                  </pic:spPr>
                </pic:pic>
              </a:graphicData>
            </a:graphic>
            <wp14:sizeRelH relativeFrom="page">
              <wp14:pctWidth>0</wp14:pctWidth>
            </wp14:sizeRelH>
            <wp14:sizeRelV relativeFrom="page">
              <wp14:pctHeight>0</wp14:pctHeight>
            </wp14:sizeRelV>
          </wp:anchor>
        </w:drawing>
      </w:r>
      <w:r w:rsidRPr="00C42060">
        <w:rPr>
          <w:b/>
          <w:bCs/>
          <w:noProof/>
          <w:color w:val="E97132" w:themeColor="accent2"/>
        </w:rPr>
        <mc:AlternateContent>
          <mc:Choice Requires="wps">
            <w:drawing>
              <wp:anchor distT="45720" distB="45720" distL="114300" distR="114300" simplePos="0" relativeHeight="251660288" behindDoc="0" locked="0" layoutInCell="1" allowOverlap="1" wp14:anchorId="6B1F176D" wp14:editId="1EED0287">
                <wp:simplePos x="0" y="0"/>
                <wp:positionH relativeFrom="column">
                  <wp:posOffset>-713740</wp:posOffset>
                </wp:positionH>
                <wp:positionV relativeFrom="paragraph">
                  <wp:posOffset>1380490</wp:posOffset>
                </wp:positionV>
                <wp:extent cx="2587625" cy="3583940"/>
                <wp:effectExtent l="0" t="0" r="2222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7625" cy="3583940"/>
                        </a:xfrm>
                        <a:prstGeom prst="rect">
                          <a:avLst/>
                        </a:prstGeom>
                        <a:solidFill>
                          <a:schemeClr val="accent2"/>
                        </a:solidFill>
                        <a:ln w="9525">
                          <a:solidFill>
                            <a:srgbClr val="000000"/>
                          </a:solidFill>
                          <a:miter lim="800000"/>
                          <a:headEnd/>
                          <a:tailEnd/>
                        </a:ln>
                      </wps:spPr>
                      <wps:txbx>
                        <w:txbxContent>
                          <w:p w14:paraId="7F55766D" w14:textId="0F707A18" w:rsidR="00C42060" w:rsidRPr="00320F6C" w:rsidRDefault="008C7CDA">
                            <w:pPr>
                              <w:rPr>
                                <w:color w:val="196B24" w:themeColor="accent3"/>
                              </w:rPr>
                            </w:pPr>
                            <w:r w:rsidRPr="00320F6C">
                              <w:rPr>
                                <w:b/>
                                <w:bCs/>
                                <w:color w:val="196B24" w:themeColor="accent3"/>
                              </w:rPr>
                              <w:t>Problem Statement</w:t>
                            </w:r>
                            <w:r w:rsidRPr="00320F6C">
                              <w:rPr>
                                <w:color w:val="196B24" w:themeColor="accent3"/>
                              </w:rPr>
                              <w:br/>
                              <w:t>The November 2021 atmospheric river event caused catastrophic flooding in British Columbia, damaging over 130 km of Highway 5 between Hope and Merritt at more than 20 sites. This included the collapse or severe damage to seven bridges, isolating the Lower Mainland from the rest of Canada and disrupting supply chains for goods and people (Government of British Columbia, 2024). 11 Economic losses were estimated in billions, with insured damages at CDN $450 million province-wide (Wikipedia, 2024). 15 0 “Washed-out section of Coquihalla Highway during the 2021 floods, showing extensive bridge and road destruction.”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1F176D" id="_x0000_s1027" type="#_x0000_t202" style="position:absolute;margin-left:-56.2pt;margin-top:108.7pt;width:203.75pt;height:282.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" fillcolor="#e97132 [3205]">
                <v:textbox>
                  <w:txbxContent>
                    <w:p w14:paraId="7F55766D" w14:textId="0F707A18" w:rsidR="00C42060" w:rsidRPr="00320F6C" w:rsidRDefault="008C7CDA">
                      <w:pPr>
                        <w:rPr>
                          <w:color w:val="196B24" w:themeColor="accent3"/>
                        </w:rPr>
                      </w:pPr>
                      <w:r w:rsidRPr="00320F6C">
                        <w:rPr>
                          <w:b/>
                          <w:bCs/>
                          <w:color w:val="196B24" w:themeColor="accent3"/>
                        </w:rPr>
                        <w:t>Problem Statement</w:t>
                      </w:r>
                      <w:r w:rsidRPr="00320F6C">
                        <w:rPr>
                          <w:color w:val="196B24" w:themeColor="accent3"/>
                        </w:rPr>
                        <w:br/>
                        <w:t>The November 2021 atmospheric river event caused catastrophic flooding in British Columbia, damaging over 130 km of Highway 5 between Hope and Merritt at more than 20 sites. This included the collapse or severe damage to seven bridges, isolating the Lower Mainland from the rest of Canada and disrupting supply chains for goods and people (Government of British Columbia, 2024). 11 Economic losses were estimated in billions, with insured damages at CDN $450 million province-wide (Wikipedia, 2024). 15 0 “Washed-out section of Coquihalla Highway during the 2021 floods, showing extensive bridge and road destruction.”</w:t>
                      </w:r>
                    </w:p>
                  </w:txbxContent>
                </v:textbox>
                <w10:wrap type="square"/>
              </v:shape>
            </w:pict>
          </mc:Fallback>
        </mc:AlternateContent>
      </w:r>
      <w:r w:rsidR="00C42060" w:rsidRPr="00C42060">
        <w:rPr>
          <w:b/>
          <w:bCs/>
          <w:color w:val="E97132" w:themeColor="accent2"/>
        </w:rPr>
        <w:t xml:space="preserve">Rebuilding </w:t>
      </w:r>
      <w:r w:rsidR="00C42060" w:rsidRPr="008C7CDA">
        <w:rPr>
          <w:b/>
          <w:bCs/>
          <w:color w:val="0F9ED5" w:themeColor="accent4"/>
        </w:rPr>
        <w:t>the Coquihalla Highway</w:t>
      </w:r>
      <w:r w:rsidR="00C42060" w:rsidRPr="008C7CDA">
        <w:rPr>
          <w:b/>
          <w:bCs/>
          <w:color w:val="FFFF00"/>
        </w:rPr>
        <w:t xml:space="preserve">: Restoring Resilience </w:t>
      </w:r>
      <w:r w:rsidR="00C42060" w:rsidRPr="008C7CDA">
        <w:rPr>
          <w:b/>
          <w:bCs/>
          <w:color w:val="E97132" w:themeColor="accent2"/>
        </w:rPr>
        <w:t>After the 2021</w:t>
      </w:r>
      <w:r w:rsidR="00C42060" w:rsidRPr="008C7CDA">
        <w:rPr>
          <w:b/>
          <w:bCs/>
          <w:color w:val="196B24" w:themeColor="accent3"/>
        </w:rPr>
        <w:t xml:space="preserve"> </w:t>
      </w:r>
      <w:r w:rsidR="00C42060" w:rsidRPr="008C7CDA">
        <w:rPr>
          <w:b/>
          <w:bCs/>
          <w:color w:val="0F9ED5" w:themeColor="accent4"/>
        </w:rPr>
        <w:t xml:space="preserve">British Columbia </w:t>
      </w:r>
      <w:r w:rsidR="00C42060" w:rsidRPr="008C7CDA">
        <w:rPr>
          <w:b/>
          <w:bCs/>
          <w:color w:val="FFFF00"/>
        </w:rPr>
        <w:t>Floods</w:t>
      </w:r>
    </w:p>
    <w:p w14:paraId="7121041C" w14:textId="30807CBD" w:rsidR="00C42060" w:rsidRDefault="003B2715" w:rsidP="00C42060">
      <w:pPr>
        <w:pStyle w:val="Title"/>
        <w:rPr>
          <w:b/>
          <w:bCs/>
          <w:color w:val="E97132" w:themeColor="accent2"/>
        </w:rPr>
      </w:pPr>
      <w:r w:rsidRPr="008C7CDA">
        <w:rPr>
          <w:b/>
          <w:bCs/>
          <w:noProof/>
          <w:color w:val="E97132" w:themeColor="accent2"/>
        </w:rPr>
        <mc:AlternateContent>
          <mc:Choice Requires="wps">
            <w:drawing>
              <wp:anchor distT="45720" distB="45720" distL="114300" distR="114300" simplePos="0" relativeHeight="251666432" behindDoc="0" locked="0" layoutInCell="1" allowOverlap="1" wp14:anchorId="55AD9EE2" wp14:editId="008F58B8">
                <wp:simplePos x="0" y="0"/>
                <wp:positionH relativeFrom="page">
                  <wp:posOffset>3346450</wp:posOffset>
                </wp:positionH>
                <wp:positionV relativeFrom="paragraph">
                  <wp:posOffset>3616960</wp:posOffset>
                </wp:positionV>
                <wp:extent cx="4013835" cy="1746250"/>
                <wp:effectExtent l="0" t="0" r="24765" b="25400"/>
                <wp:wrapSquare wrapText="bothSides"/>
                <wp:docPr id="18851730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835" cy="1746250"/>
                        </a:xfrm>
                        <a:prstGeom prst="rect">
                          <a:avLst/>
                        </a:prstGeom>
                        <a:solidFill>
                          <a:srgbClr val="00B0F0"/>
                        </a:solidFill>
                        <a:ln w="9525">
                          <a:solidFill>
                            <a:srgbClr val="000000"/>
                          </a:solidFill>
                          <a:miter lim="800000"/>
                          <a:headEnd/>
                          <a:tailEnd/>
                        </a:ln>
                      </wps:spPr>
                      <wps:txbx>
                        <w:txbxContent>
                          <w:p w14:paraId="703E9AE8" w14:textId="49974375" w:rsidR="008C7CDA" w:rsidRPr="00320F6C" w:rsidRDefault="008C7CDA">
                            <w:pPr>
                              <w:rPr>
                                <w:color w:val="196B24" w:themeColor="accent3"/>
                              </w:rPr>
                            </w:pPr>
                            <w:r w:rsidRPr="00320F6C">
                              <w:rPr>
                                <w:b/>
                                <w:bCs/>
                                <w:color w:val="196B24" w:themeColor="accent3"/>
                              </w:rPr>
                              <w:t>Risks, Mitigations, and Call to Action</w:t>
                            </w:r>
                            <w:r w:rsidRPr="00320F6C">
                              <w:rPr>
                                <w:color w:val="196B24" w:themeColor="accent3"/>
                              </w:rPr>
                              <w:br/>
                              <w:t>Risks: Weather delays, supply shortages. Mitigations: Contingency planning and multi-supplier contracts (Moehrle et al., 2024). 12</w:t>
                            </w:r>
                            <w:r w:rsidRPr="00320F6C">
                              <w:rPr>
                                <w:color w:val="196B24" w:themeColor="accent3"/>
                              </w:rPr>
                              <w:br/>
                              <w:t>Call to Action: Secure funding and initiate Phase 1 to prevent prolonged economic disruption. This project aligns with sustainable reconstruction principles (Mudassir and Di Marco, 2025).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AD9EE2" id="_x0000_s1028" type="#_x0000_t202" style="position:absolute;margin-left:263.5pt;margin-top:284.8pt;width:316.05pt;height:137.5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" fillcolor="#00b0f0">
                <v:textbox>
                  <w:txbxContent>
                    <w:p w14:paraId="703E9AE8" w14:textId="49974375" w:rsidR="008C7CDA" w:rsidRPr="00320F6C" w:rsidRDefault="008C7CDA">
                      <w:pPr>
                        <w:rPr>
                          <w:color w:val="196B24" w:themeColor="accent3"/>
                        </w:rPr>
                      </w:pPr>
                      <w:r w:rsidRPr="00320F6C">
                        <w:rPr>
                          <w:b/>
                          <w:bCs/>
                          <w:color w:val="196B24" w:themeColor="accent3"/>
                        </w:rPr>
                        <w:t>Risks, Mitigations, and Call to Action</w:t>
                      </w:r>
                      <w:r w:rsidRPr="00320F6C">
                        <w:rPr>
                          <w:color w:val="196B24" w:themeColor="accent3"/>
                        </w:rPr>
                        <w:br/>
                        <w:t>Risks: Weather delays, supply shortages. Mitigations: Contingency planning and multi-supplier contracts (Moehrle et al., 2024). 12</w:t>
                      </w:r>
                      <w:r w:rsidRPr="00320F6C">
                        <w:rPr>
                          <w:color w:val="196B24" w:themeColor="accent3"/>
                        </w:rPr>
                        <w:br/>
                        <w:t>Call to Action: Secure funding and initiate Phase 1 to prevent prolonged economic disruption. This project aligns with sustainable reconstruction principles (Mudassir and Di Marco, 2025). 14</w:t>
                      </w:r>
                    </w:p>
                  </w:txbxContent>
                </v:textbox>
                <w10:wrap type="square" anchorx="page"/>
              </v:shape>
            </w:pict>
          </mc:Fallback>
        </mc:AlternateContent>
      </w:r>
    </w:p>
    <w:p w14:paraId="7DB838F0" w14:textId="2EABF9E9" w:rsidR="006B30BC" w:rsidRDefault="003B2715" w:rsidP="00C42060">
      <w:pPr>
        <w:pStyle w:val="Title"/>
        <w:rPr>
          <w:b/>
          <w:bCs/>
          <w:color w:val="E97132" w:themeColor="accent2"/>
        </w:rPr>
      </w:pPr>
      <w:r w:rsidRPr="008C7CDA">
        <w:rPr>
          <w:b/>
          <w:bCs/>
          <w:noProof/>
          <w:color w:val="E97132" w:themeColor="accent2"/>
        </w:rPr>
        <mc:AlternateContent>
          <mc:Choice Requires="wps">
            <w:drawing>
              <wp:anchor distT="45720" distB="45720" distL="114300" distR="114300" simplePos="0" relativeHeight="251664384" behindDoc="0" locked="0" layoutInCell="1" allowOverlap="1" wp14:anchorId="2F7BCEC1" wp14:editId="6FF38D2A">
                <wp:simplePos x="0" y="0"/>
                <wp:positionH relativeFrom="page">
                  <wp:posOffset>200660</wp:posOffset>
                </wp:positionH>
                <wp:positionV relativeFrom="paragraph">
                  <wp:posOffset>375285</wp:posOffset>
                </wp:positionV>
                <wp:extent cx="2697480" cy="3757930"/>
                <wp:effectExtent l="0" t="0" r="26670" b="13970"/>
                <wp:wrapSquare wrapText="bothSides"/>
                <wp:docPr id="8921745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3757930"/>
                        </a:xfrm>
                        <a:prstGeom prst="rect">
                          <a:avLst/>
                        </a:prstGeom>
                        <a:solidFill>
                          <a:srgbClr val="FFFF00"/>
                        </a:solidFill>
                        <a:ln w="9525">
                          <a:solidFill>
                            <a:srgbClr val="000000"/>
                          </a:solidFill>
                          <a:miter lim="800000"/>
                          <a:headEnd/>
                          <a:tailEnd/>
                        </a:ln>
                      </wps:spPr>
                      <wps:txbx>
                        <w:txbxContent>
                          <w:p w14:paraId="1FC61029" w14:textId="2978F4B6" w:rsidR="008C7CDA" w:rsidRPr="00320F6C" w:rsidRDefault="008C7CDA" w:rsidP="008C7CDA">
                            <w:pPr>
                              <w:rPr>
                                <w:color w:val="00B0F0"/>
                              </w:rPr>
                            </w:pPr>
                            <w:r w:rsidRPr="00320F6C">
                              <w:rPr>
                                <w:b/>
                                <w:bCs/>
                                <w:color w:val="00B0F0"/>
                              </w:rPr>
                              <w:t>High-Level Plan and Resources</w:t>
                            </w:r>
                          </w:p>
                          <w:p w14:paraId="0C66B45D" w14:textId="77777777" w:rsidR="008C7CDA" w:rsidRPr="008C7CDA" w:rsidRDefault="008C7CDA" w:rsidP="008C7CDA">
                            <w:pPr>
                              <w:numPr>
                                <w:ilvl w:val="0"/>
                                <w:numId w:val="2"/>
                              </w:numPr>
                              <w:rPr>
                                <w:color w:val="00B0F0"/>
                              </w:rPr>
                            </w:pPr>
                            <w:r w:rsidRPr="008C7CDA">
                              <w:rPr>
                                <w:color w:val="00B0F0"/>
                              </w:rPr>
                              <w:t>Scope: Repair 20+ sites, rebuild six climate-resilient bridges, and restore environmental features.</w:t>
                            </w:r>
                          </w:p>
                          <w:p w14:paraId="5B22017D" w14:textId="77777777" w:rsidR="008C7CDA" w:rsidRPr="008C7CDA" w:rsidRDefault="008C7CDA" w:rsidP="008C7CDA">
                            <w:pPr>
                              <w:numPr>
                                <w:ilvl w:val="0"/>
                                <w:numId w:val="2"/>
                              </w:numPr>
                              <w:rPr>
                                <w:color w:val="00B0F0"/>
                              </w:rPr>
                            </w:pPr>
                            <w:r w:rsidRPr="008C7CDA">
                              <w:rPr>
                                <w:color w:val="00B0F0"/>
                              </w:rPr>
                              <w:t>Timeline: Emergency phase (Dec 2021-Jan 2022); Permanent phase (2022-2023).</w:t>
                            </w:r>
                          </w:p>
                          <w:p w14:paraId="42A010F8" w14:textId="77777777" w:rsidR="008C7CDA" w:rsidRPr="008C7CDA" w:rsidRDefault="008C7CDA" w:rsidP="008C7CDA">
                            <w:pPr>
                              <w:numPr>
                                <w:ilvl w:val="0"/>
                                <w:numId w:val="2"/>
                              </w:numPr>
                              <w:rPr>
                                <w:color w:val="00B0F0"/>
                              </w:rPr>
                            </w:pPr>
                            <w:r w:rsidRPr="008C7CDA">
                              <w:rPr>
                                <w:color w:val="00B0F0"/>
                              </w:rPr>
                              <w:t>Budget: Approximately $500 million (part of $1 billion for major highways) (Vancouver Sun, 2022). 17 </w:t>
                            </w:r>
                          </w:p>
                          <w:p w14:paraId="11B7DDE7" w14:textId="77777777" w:rsidR="008C7CDA" w:rsidRPr="008C7CDA" w:rsidRDefault="008C7CDA" w:rsidP="008C7CDA">
                            <w:pPr>
                              <w:numPr>
                                <w:ilvl w:val="0"/>
                                <w:numId w:val="2"/>
                              </w:numPr>
                              <w:rPr>
                                <w:color w:val="00B0F0"/>
                              </w:rPr>
                            </w:pPr>
                            <w:r w:rsidRPr="008C7CDA">
                              <w:rPr>
                                <w:color w:val="00B0F0"/>
                              </w:rPr>
                              <w:t>Resources: 300+ workers, 200 equipment pieces, 400,000 m³ materials.</w:t>
                            </w:r>
                          </w:p>
                          <w:p w14:paraId="55C8984B" w14:textId="77777777" w:rsidR="008C7CDA" w:rsidRPr="008C7CDA" w:rsidRDefault="008C7CDA" w:rsidP="008C7CDA">
                            <w:pPr>
                              <w:numPr>
                                <w:ilvl w:val="0"/>
                                <w:numId w:val="2"/>
                              </w:numPr>
                              <w:rPr>
                                <w:color w:val="00B0F0"/>
                              </w:rPr>
                            </w:pPr>
                            <w:r w:rsidRPr="008C7CDA">
                              <w:rPr>
                                <w:color w:val="00B0F0"/>
                              </w:rPr>
                              <w:t>Contractors: KEA5 Joint Venture (Kiewit-Emil Anderson).</w:t>
                            </w:r>
                          </w:p>
                          <w:p w14:paraId="05F6F036" w14:textId="3EA3B58F" w:rsidR="008C7CDA" w:rsidRDefault="008C7C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7BCEC1" id="_x0000_s1029" type="#_x0000_t202" style="position:absolute;margin-left:15.8pt;margin-top:29.55pt;width:212.4pt;height:295.9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" fillcolor="yellow">
                <v:textbox>
                  <w:txbxContent>
                    <w:p w14:paraId="1FC61029" w14:textId="2978F4B6" w:rsidR="008C7CDA" w:rsidRPr="00320F6C" w:rsidRDefault="008C7CDA" w:rsidP="008C7CDA">
                      <w:pPr>
                        <w:rPr>
                          <w:color w:val="00B0F0"/>
                        </w:rPr>
                      </w:pPr>
                      <w:r w:rsidRPr="00320F6C">
                        <w:rPr>
                          <w:b/>
                          <w:bCs/>
                          <w:color w:val="00B0F0"/>
                        </w:rPr>
                        <w:t>High-Level Plan and Resources</w:t>
                      </w:r>
                    </w:p>
                    <w:p w14:paraId="0C66B45D" w14:textId="77777777" w:rsidR="008C7CDA" w:rsidRPr="008C7CDA" w:rsidRDefault="008C7CDA" w:rsidP="008C7CDA">
                      <w:pPr>
                        <w:numPr>
                          <w:ilvl w:val="0"/>
                          <w:numId w:val="2"/>
                        </w:numPr>
                        <w:rPr>
                          <w:color w:val="00B0F0"/>
                        </w:rPr>
                      </w:pPr>
                      <w:r w:rsidRPr="008C7CDA">
                        <w:rPr>
                          <w:color w:val="00B0F0"/>
                        </w:rPr>
                        <w:t>Scope: Repair 20+ sites, rebuild six climate-resilient bridges, and restore environmental features.</w:t>
                      </w:r>
                    </w:p>
                    <w:p w14:paraId="5B22017D" w14:textId="77777777" w:rsidR="008C7CDA" w:rsidRPr="008C7CDA" w:rsidRDefault="008C7CDA" w:rsidP="008C7CDA">
                      <w:pPr>
                        <w:numPr>
                          <w:ilvl w:val="0"/>
                          <w:numId w:val="2"/>
                        </w:numPr>
                        <w:rPr>
                          <w:color w:val="00B0F0"/>
                        </w:rPr>
                      </w:pPr>
                      <w:r w:rsidRPr="008C7CDA">
                        <w:rPr>
                          <w:color w:val="00B0F0"/>
                        </w:rPr>
                        <w:t>Timeline: Emergency phase (Dec 2021-Jan 2022); Permanent phase (2022-2023).</w:t>
                      </w:r>
                    </w:p>
                    <w:p w14:paraId="42A010F8" w14:textId="77777777" w:rsidR="008C7CDA" w:rsidRPr="008C7CDA" w:rsidRDefault="008C7CDA" w:rsidP="008C7CDA">
                      <w:pPr>
                        <w:numPr>
                          <w:ilvl w:val="0"/>
                          <w:numId w:val="2"/>
                        </w:numPr>
                        <w:rPr>
                          <w:color w:val="00B0F0"/>
                        </w:rPr>
                      </w:pPr>
                      <w:r w:rsidRPr="008C7CDA">
                        <w:rPr>
                          <w:color w:val="00B0F0"/>
                        </w:rPr>
                        <w:t>Budget: Approximately $500 million (part of $1 billion for major highways) (Vancouver Sun, 2022). 17 </w:t>
                      </w:r>
                    </w:p>
                    <w:p w14:paraId="11B7DDE7" w14:textId="77777777" w:rsidR="008C7CDA" w:rsidRPr="008C7CDA" w:rsidRDefault="008C7CDA" w:rsidP="008C7CDA">
                      <w:pPr>
                        <w:numPr>
                          <w:ilvl w:val="0"/>
                          <w:numId w:val="2"/>
                        </w:numPr>
                        <w:rPr>
                          <w:color w:val="00B0F0"/>
                        </w:rPr>
                      </w:pPr>
                      <w:r w:rsidRPr="008C7CDA">
                        <w:rPr>
                          <w:color w:val="00B0F0"/>
                        </w:rPr>
                        <w:t>Resources: 300+ workers, 200 equipment pieces, 400,000 m³ materials.</w:t>
                      </w:r>
                    </w:p>
                    <w:p w14:paraId="55C8984B" w14:textId="77777777" w:rsidR="008C7CDA" w:rsidRPr="008C7CDA" w:rsidRDefault="008C7CDA" w:rsidP="008C7CDA">
                      <w:pPr>
                        <w:numPr>
                          <w:ilvl w:val="0"/>
                          <w:numId w:val="2"/>
                        </w:numPr>
                        <w:rPr>
                          <w:color w:val="00B0F0"/>
                        </w:rPr>
                      </w:pPr>
                      <w:r w:rsidRPr="008C7CDA">
                        <w:rPr>
                          <w:color w:val="00B0F0"/>
                        </w:rPr>
                        <w:t>Contractors: KEA5 Joint Venture (Kiewit-Emil Anderson).</w:t>
                      </w:r>
                    </w:p>
                    <w:p w14:paraId="05F6F036" w14:textId="3EA3B58F" w:rsidR="008C7CDA" w:rsidRDefault="008C7CDA"/>
                  </w:txbxContent>
                </v:textbox>
                <w10:wrap type="square" anchorx="page"/>
              </v:shape>
            </w:pict>
          </mc:Fallback>
        </mc:AlternateContent>
      </w:r>
    </w:p>
    <w:p w14:paraId="3D6C3998" w14:textId="616666BE" w:rsidR="006B30BC" w:rsidRDefault="006B30BC" w:rsidP="00C42060">
      <w:pPr>
        <w:pStyle w:val="Title"/>
        <w:rPr>
          <w:b/>
          <w:bCs/>
          <w:color w:val="E97132" w:themeColor="accent2"/>
        </w:rPr>
      </w:pPr>
    </w:p>
    <w:p w14:paraId="65F78602" w14:textId="70EBCD55" w:rsidR="006B30BC" w:rsidRDefault="006B30BC" w:rsidP="00C42060">
      <w:pPr>
        <w:pStyle w:val="Title"/>
        <w:rPr>
          <w:b/>
          <w:bCs/>
          <w:color w:val="E97132" w:themeColor="accent2"/>
        </w:rPr>
      </w:pPr>
    </w:p>
    <w:p w14:paraId="2F990DE0" w14:textId="2C4B3A85" w:rsidR="006B30BC" w:rsidRDefault="006B30BC" w:rsidP="00C42060">
      <w:pPr>
        <w:pStyle w:val="Title"/>
        <w:rPr>
          <w:b/>
          <w:bCs/>
          <w:color w:val="E97132" w:themeColor="accent2"/>
        </w:rPr>
      </w:pPr>
    </w:p>
    <w:p w14:paraId="581A2ADC" w14:textId="77777777" w:rsidR="00CC1969" w:rsidRDefault="00CC1969" w:rsidP="00CC1969">
      <w:r>
        <w:t>.</w:t>
      </w:r>
    </w:p>
    <w:p w14:paraId="5D101C4D" w14:textId="490AD51F" w:rsidR="00F57388" w:rsidRPr="00CC1969" w:rsidRDefault="00F57388" w:rsidP="00CC1969">
      <w:pPr>
        <w:rPr>
          <w:rStyle w:val="Strong"/>
          <w:sz w:val="28"/>
          <w:szCs w:val="28"/>
        </w:rPr>
      </w:pPr>
      <w:r w:rsidRPr="00CC1969">
        <w:rPr>
          <w:rStyle w:val="Strong"/>
          <w:sz w:val="28"/>
          <w:szCs w:val="28"/>
        </w:rPr>
        <w:lastRenderedPageBreak/>
        <w:t xml:space="preserve">Part B: Reflections from the Feedback Received </w:t>
      </w:r>
    </w:p>
    <w:p w14:paraId="4E1A9222" w14:textId="77777777" w:rsidR="00F57388" w:rsidRPr="00F57388" w:rsidRDefault="00F57388" w:rsidP="00CC1969">
      <w:r w:rsidRPr="00F57388">
        <w:t>In my Week 6 poster presentation, the tutor provided valuable feedback that affirmed strengths while identifying areas for refinement in the Coquihalla Highway reconstruction proposal. The tutor praised the poster’s visual structure, noting the quadrant design effectively balanced information without clutter, making complex flood impacts accessible. They highlighted the integration of real data, such as the 130 km damage span and seven bridge collapses, which demonstrated rigorous research and alignment with post-disaster management literature (Hidayat and Egbu, 2010). 13 The emphasis on resilience features, like deep pile footings, was commended for forward-thinking application of project management techniques, echoing sustainable reconstruction approaches (Mudassir and Di Marco, 2025). 14 Stakeholder identification, including Indigenous communities, was seen as a strong point, promoting inclusive recovery (Dube, Mtapuri and Matunhu, 2018). 16</w:t>
      </w:r>
    </w:p>
    <w:p w14:paraId="6C650C39" w14:textId="77777777" w:rsidR="00F57388" w:rsidRPr="00F57388" w:rsidRDefault="00F57388" w:rsidP="00CC1969">
      <w:r w:rsidRPr="00F57388">
        <w:t>However, feedback pointed to shortcomings. The risk section was critiqued for being superficial, lacking quantified examples like supply chain delays from global shortages or regulatory hurdles in environmental permits. This aligns with scholarly findings on prevalent resource and policy challenges in reconstruction (Moehrle et al., 2024). 12 The budget estimate lacked breakdown, appearing unsubstantiated; the tutor suggested referencing actual costs from similar projects. Timeline optimism was noted, recommending dependency mapping in the Gantt chart to account for weather buffers, common in flood-prone areas.</w:t>
      </w:r>
    </w:p>
    <w:p w14:paraId="7B92D9CB" w14:textId="77777777" w:rsidR="00F57388" w:rsidRPr="00F57388" w:rsidRDefault="00F57388" w:rsidP="00CC1969">
      <w:r w:rsidRPr="00F57388">
        <w:t>What I did well was communicating urgency through visuals and data, fostering engagement and illustrating project value in economic and resilience terms. This mirrors effective stakeholder communication in disaster projects (Hidayat and Egbu, 2010). 13</w:t>
      </w:r>
    </w:p>
    <w:p w14:paraId="4BBA40F3" w14:textId="77777777" w:rsidR="00F57388" w:rsidRPr="00F57388" w:rsidRDefault="00F57388" w:rsidP="00CC1969">
      <w:r w:rsidRPr="00F57388">
        <w:t>For the final plan, I’ll expand risk analysis with a detailed register, including probabilities, impacts, and examples like cold-weather halts (Government of British Columbia, 2024). 11 Budget will include breakdowns (e.g., $150M labor) supported by estimates from BC flood reports ($1B total for major highways) (Global News, 2023). 18 The Gantt chart will incorporate critical paths and contingencies. Stakeholder involvement will detail communication plans, and I’ll add more scholarly references for depth. This iterative process underscores feedback’s role in refining project management, ensuring a robust, feasible plan.</w:t>
      </w:r>
    </w:p>
    <w:p w14:paraId="313831DF" w14:textId="4D2C9874" w:rsidR="00317162" w:rsidRDefault="00317162" w:rsidP="00C42060">
      <w:pPr>
        <w:pStyle w:val="Title"/>
        <w:rPr>
          <w:b/>
          <w:bCs/>
          <w:color w:val="E97132" w:themeColor="accent2"/>
        </w:rPr>
      </w:pPr>
    </w:p>
    <w:p w14:paraId="086DBF6B" w14:textId="77777777" w:rsidR="00160D04" w:rsidRDefault="00160D04" w:rsidP="00160D04"/>
    <w:p w14:paraId="5BE5BEEB" w14:textId="77777777" w:rsidR="00160D04" w:rsidRDefault="00160D04" w:rsidP="00160D04"/>
    <w:p w14:paraId="27C7211D" w14:textId="77777777" w:rsidR="00160D04" w:rsidRDefault="00160D04" w:rsidP="00160D04"/>
    <w:p w14:paraId="5A2916CE" w14:textId="77777777" w:rsidR="00160D04" w:rsidRDefault="00160D04" w:rsidP="00160D04"/>
    <w:p w14:paraId="04AA308D" w14:textId="77777777" w:rsidR="00160D04" w:rsidRDefault="00160D04" w:rsidP="00160D04"/>
    <w:p w14:paraId="1DAB39AA" w14:textId="77777777" w:rsidR="00160D04" w:rsidRDefault="00160D04" w:rsidP="00160D04"/>
    <w:p w14:paraId="5F579BC2" w14:textId="77777777" w:rsidR="00160D04" w:rsidRDefault="00160D04" w:rsidP="00160D04"/>
    <w:p w14:paraId="6408BC43" w14:textId="77777777" w:rsidR="00160D04" w:rsidRDefault="00160D04" w:rsidP="00160D04"/>
    <w:p w14:paraId="1F142AA3" w14:textId="77777777" w:rsidR="00160D04" w:rsidRDefault="00160D04" w:rsidP="00160D04"/>
    <w:p w14:paraId="33354D7A" w14:textId="77777777" w:rsidR="00EB0BD7" w:rsidRPr="00EB0BD7" w:rsidRDefault="00EB0BD7" w:rsidP="00EB0BD7">
      <w:pPr>
        <w:rPr>
          <w:sz w:val="28"/>
          <w:szCs w:val="28"/>
        </w:rPr>
      </w:pPr>
      <w:r w:rsidRPr="00EB0BD7">
        <w:rPr>
          <w:b/>
          <w:bCs/>
          <w:sz w:val="28"/>
          <w:szCs w:val="28"/>
        </w:rPr>
        <w:lastRenderedPageBreak/>
        <w:t>Part C: Project Management Plan</w:t>
      </w:r>
    </w:p>
    <w:p w14:paraId="1EEA0D9A" w14:textId="77777777" w:rsidR="00EB0BD7" w:rsidRPr="00EB0BD7" w:rsidRDefault="00EB0BD7" w:rsidP="00EB0BD7">
      <w:r w:rsidRPr="00EB0BD7">
        <w:rPr>
          <w:b/>
          <w:bCs/>
        </w:rPr>
        <w:t>Introduction</w:t>
      </w:r>
    </w:p>
    <w:p w14:paraId="14187CFA" w14:textId="77777777" w:rsidR="00EB0BD7" w:rsidRPr="00EB0BD7" w:rsidRDefault="00EB0BD7" w:rsidP="00EB0BD7">
      <w:r w:rsidRPr="00EB0BD7">
        <w:t>The 2021 atmospheric river floods in British Columbia caused unprecedented infrastructure damage, particularly to Highway 5, severing key transportation links and incurring billions in economic losses (Wikipedia, 2024). 15 This plan addresses reconstruction as a qualified project manager, submitted to the Ministry of Transportation and Infrastructure. It applies PMBOK principles, agile methodologies for flexibility, and post-disaster frameworks emphasizing resilience (Project Management Institute, 2003; World Bank, 2010). The approach integrates lessons from global reconstructions, focusing on quality, collaboration, and sustainability (Moehrle et al., 2024). 12</w:t>
      </w:r>
    </w:p>
    <w:p w14:paraId="0A7F46DC" w14:textId="77777777" w:rsidR="00EB0BD7" w:rsidRPr="00EB0BD7" w:rsidRDefault="00EB0BD7" w:rsidP="00EB0BD7">
      <w:r w:rsidRPr="00EB0BD7">
        <w:rPr>
          <w:b/>
          <w:bCs/>
        </w:rPr>
        <w:t>Project Description</w:t>
      </w:r>
    </w:p>
    <w:p w14:paraId="1EDDB730" w14:textId="77777777" w:rsidR="007812BD" w:rsidRDefault="00EB0BD7" w:rsidP="00EB0BD7">
      <w:r w:rsidRPr="00EB0BD7">
        <w:t>The project entails rebuilding 130 km of Highway 5, repairing 20+ damage sites, and reconstructing six climate-resilient bridges (e.g., Juliet, Bottletop, Jessica). Damage included washouts, landslides, and bridge collapses from overflowing rivers (Government of British Columbia, 2024). </w:t>
      </w:r>
      <w:r w:rsidR="00704F7E">
        <w:rPr>
          <w:noProof/>
        </w:rPr>
        <w:drawing>
          <wp:inline distT="0" distB="0" distL="0" distR="0" wp14:anchorId="1E44DCA2" wp14:editId="4B439BAC">
            <wp:extent cx="5731510" cy="3225800"/>
            <wp:effectExtent l="0" t="0" r="2540" b="0"/>
            <wp:docPr id="13638396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39696" name="Picture 1363839696"/>
                    <pic:cNvPicPr/>
                  </pic:nvPicPr>
                  <pic:blipFill>
                    <a:blip r:embed="rId8">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5E2BBABE" w14:textId="77777777" w:rsidR="007812BD" w:rsidRDefault="007812BD" w:rsidP="00EB0BD7"/>
    <w:p w14:paraId="1BE0EE7E" w14:textId="77777777" w:rsidR="007812BD" w:rsidRDefault="007812BD" w:rsidP="00EB0BD7"/>
    <w:p w14:paraId="2BE45D94" w14:textId="77777777" w:rsidR="007812BD" w:rsidRDefault="007812BD" w:rsidP="00EB0BD7"/>
    <w:p w14:paraId="18628413" w14:textId="77777777" w:rsidR="007812BD" w:rsidRDefault="007812BD" w:rsidP="00EB0BD7"/>
    <w:p w14:paraId="1D0047C6" w14:textId="77777777" w:rsidR="007812BD" w:rsidRDefault="007812BD" w:rsidP="00EB0BD7"/>
    <w:p w14:paraId="36C1E381" w14:textId="77777777" w:rsidR="007812BD" w:rsidRDefault="007812BD" w:rsidP="00EB0BD7"/>
    <w:p w14:paraId="3CC3B8F6" w14:textId="77777777" w:rsidR="007812BD" w:rsidRDefault="007812BD" w:rsidP="00EB0BD7"/>
    <w:p w14:paraId="566D9CFB" w14:textId="77777777" w:rsidR="007812BD" w:rsidRDefault="00EB0BD7" w:rsidP="00EB0BD7">
      <w:r w:rsidRPr="00EB0BD7">
        <w:lastRenderedPageBreak/>
        <w:t>Permanent repairs featured deep pile footings, longer spans, and rock protection for erosion resistance. Environmental restoration included fish habitat enhancements and wildlife crossings, collaborating with Indigenous groups (Global News, 2023</w:t>
      </w:r>
      <w:r w:rsidR="00A250F1">
        <w:rPr>
          <w:noProof/>
        </w:rPr>
        <w:drawing>
          <wp:inline distT="0" distB="0" distL="0" distR="0" wp14:anchorId="790275A3" wp14:editId="3D3B6228">
            <wp:extent cx="5731510" cy="3223895"/>
            <wp:effectExtent l="0" t="0" r="2540" b="0"/>
            <wp:docPr id="12396207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20718"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CE16B3" w14:textId="3B9B7894" w:rsidR="00EB0BD7" w:rsidRPr="00EB0BD7" w:rsidRDefault="00EB0BD7" w:rsidP="00EB0BD7">
      <w:r w:rsidRPr="00EB0BD7">
        <w:t>Objectives: Restore connectivity, enhance resilience against extreme weather, and achieve sustainable outcomes, aligning with BC’s flood strategy (Province of British Columbia, 2022).</w:t>
      </w:r>
    </w:p>
    <w:p w14:paraId="3049B462" w14:textId="77777777" w:rsidR="00EB0BD7" w:rsidRPr="00EB0BD7" w:rsidRDefault="00EB0BD7" w:rsidP="00EB0BD7">
      <w:r w:rsidRPr="00EB0BD7">
        <w:rPr>
          <w:b/>
          <w:bCs/>
        </w:rPr>
        <w:t>Scope</w:t>
      </w:r>
    </w:p>
    <w:p w14:paraId="1699E7E6" w14:textId="77777777" w:rsidR="00EB0BD7" w:rsidRPr="00EB0BD7" w:rsidRDefault="00EB0BD7" w:rsidP="00EB0BD7">
      <w:r w:rsidRPr="00EB0BD7">
        <w:t>In-scope: Damage assessments, temporary detours, bridge rebuilding, road resurfacing, habitat restoration. Out-of-scope: Non-highway assets like farms. Assumptions: Stable funding ($500M), no repeat disasters. Constraints: 24-month timeline, environmental regulations. Exclusions: Long-term maintenance beyond handover. This scope prevents creep, common in reconstructions (Hidayat and Egbu, 2010). 13</w:t>
      </w:r>
    </w:p>
    <w:p w14:paraId="2962234B" w14:textId="77777777" w:rsidR="00EB0BD7" w:rsidRPr="00EB0BD7" w:rsidRDefault="00EB0BD7" w:rsidP="00EB0BD7">
      <w:r w:rsidRPr="00EB0BD7">
        <w:rPr>
          <w:b/>
          <w:bCs/>
        </w:rPr>
        <w:t>Work Breakdown Structure</w:t>
      </w:r>
    </w:p>
    <w:p w14:paraId="34F0CBB0" w14:textId="77777777" w:rsidR="00EB0BD7" w:rsidRPr="00EB0BD7" w:rsidRDefault="00EB0BD7" w:rsidP="00EB0BD7">
      <w:r w:rsidRPr="00EB0BD7">
        <w:t>The WBS hierarchically decomposes tasks for manageability, based on PMBOK (Project Management Institute, 2003).</w:t>
      </w:r>
    </w:p>
    <w:p w14:paraId="14C2F7CE" w14:textId="77777777" w:rsidR="00EB0BD7" w:rsidRPr="00EB0BD7" w:rsidRDefault="00EB0BD7" w:rsidP="00EB0BD7">
      <w:r w:rsidRPr="00EB0BD7">
        <w:t>Table 1: Work Breakdown Structure</w:t>
      </w:r>
    </w:p>
    <w:p w14:paraId="16A95DA6" w14:textId="77777777" w:rsidR="00EB0BD7" w:rsidRPr="00EB0BD7" w:rsidRDefault="00EB0BD7" w:rsidP="00EB0BD7">
      <w:r w:rsidRPr="00EB0BD7">
        <w:t>1.0 Initiation</w:t>
      </w:r>
      <w:r w:rsidRPr="00EB0BD7">
        <w:br/>
        <w:t>1.1 Charter and Stakeholder Mapping</w:t>
      </w:r>
      <w:r w:rsidRPr="00EB0BD7">
        <w:br/>
        <w:t>1.2 Risk Baseline</w:t>
      </w:r>
      <w:r w:rsidRPr="00EB0BD7">
        <w:br/>
        <w:t>1.3 Kick-off</w:t>
      </w:r>
    </w:p>
    <w:p w14:paraId="7A7A6B8A" w14:textId="77777777" w:rsidR="00EB0BD7" w:rsidRPr="00EB0BD7" w:rsidRDefault="00EB0BD7" w:rsidP="00EB0BD7">
      <w:r w:rsidRPr="00EB0BD7">
        <w:t>2.0 Planning</w:t>
      </w:r>
      <w:r w:rsidRPr="00EB0BD7">
        <w:br/>
        <w:t>2.1 Scope and Schedule Development</w:t>
      </w:r>
      <w:r w:rsidRPr="00EB0BD7">
        <w:br/>
        <w:t>2.2 Budget and Resource Planning</w:t>
      </w:r>
      <w:r w:rsidRPr="00EB0BD7">
        <w:br/>
        <w:t>2.3 Procurement Strategy</w:t>
      </w:r>
    </w:p>
    <w:p w14:paraId="457C7CDA" w14:textId="77777777" w:rsidR="00EB0BD7" w:rsidRPr="00EB0BD7" w:rsidRDefault="00EB0BD7" w:rsidP="00EB0BD7">
      <w:r w:rsidRPr="00EB0BD7">
        <w:t>3.0 Execution</w:t>
      </w:r>
      <w:r w:rsidRPr="00EB0BD7">
        <w:br/>
        <w:t>3.1 Site Assessments and Debris Clearance (20+ sites)</w:t>
      </w:r>
      <w:r w:rsidRPr="00EB0BD7">
        <w:br/>
      </w:r>
      <w:r w:rsidRPr="00EB0BD7">
        <w:lastRenderedPageBreak/>
        <w:t>3.2 Temporary Repairs (Detours, Patching)</w:t>
      </w:r>
      <w:r w:rsidRPr="00EB0BD7">
        <w:br/>
        <w:t>3.3 Permanent Infrastructure (Bridge Rebuilds: 6 sites; Road Realignment)</w:t>
      </w:r>
      <w:r w:rsidRPr="00EB0BD7">
        <w:br/>
        <w:t>3.4 Environmental Works (Habitat Restoration, Planting)</w:t>
      </w:r>
    </w:p>
    <w:p w14:paraId="53CE8A71" w14:textId="77777777" w:rsidR="00EB0BD7" w:rsidRPr="00EB0BD7" w:rsidRDefault="00EB0BD7" w:rsidP="00EB0BD7">
      <w:r w:rsidRPr="00EB0BD7">
        <w:t>4.0 Monitoring &amp; Control</w:t>
      </w:r>
      <w:r w:rsidRPr="00EB0BD7">
        <w:br/>
        <w:t>4.1 Performance Tracking (Earned Value)</w:t>
      </w:r>
      <w:r w:rsidRPr="00EB0BD7">
        <w:br/>
        <w:t>4.2 Quality and Safety Audits</w:t>
      </w:r>
    </w:p>
    <w:p w14:paraId="35A1E353" w14:textId="77777777" w:rsidR="00EB0BD7" w:rsidRPr="00EB0BD7" w:rsidRDefault="00EB0BD7" w:rsidP="00EB0BD7">
      <w:r w:rsidRPr="00EB0BD7">
        <w:t>5.0 Closure</w:t>
      </w:r>
      <w:r w:rsidRPr="00EB0BD7">
        <w:br/>
        <w:t>5.1 Inspections and Handover</w:t>
      </w:r>
      <w:r w:rsidRPr="00EB0BD7">
        <w:br/>
        <w:t>5.2 Lessons Learned Documentation</w:t>
      </w:r>
    </w:p>
    <w:p w14:paraId="1E9AAB90" w14:textId="77777777" w:rsidR="00EB0BD7" w:rsidRPr="00EB0BD7" w:rsidRDefault="00EB0BD7" w:rsidP="00EB0BD7">
      <w:r w:rsidRPr="00EB0BD7">
        <w:t>This detailed WBS facilitates task assignment and tracking, addressing coordination challenges (Moehrle et al., 2024). 12</w:t>
      </w:r>
    </w:p>
    <w:p w14:paraId="2EB486EF" w14:textId="77777777" w:rsidR="00EB0BD7" w:rsidRPr="00EB0BD7" w:rsidRDefault="00EB0BD7" w:rsidP="00EB0BD7">
      <w:r w:rsidRPr="00EB0BD7">
        <w:rPr>
          <w:b/>
          <w:bCs/>
        </w:rPr>
        <w:t>Quad Chart</w:t>
      </w:r>
    </w:p>
    <w:p w14:paraId="5EA94D93" w14:textId="77777777" w:rsidR="00EB0BD7" w:rsidRPr="00EB0BD7" w:rsidRDefault="00EB0BD7" w:rsidP="00EB0BD7">
      <w:r w:rsidRPr="00EB0BD7">
        <w:t>Figure 3: Quad Chart (Text Representation)</w:t>
      </w:r>
    </w:p>
    <w:tbl>
      <w:tblPr>
        <w:tblW w:w="0" w:type="auto"/>
        <w:tblCellSpacing w:w="0" w:type="dxa"/>
        <w:shd w:val="clear" w:color="auto" w:fill="FFFFFF"/>
        <w:tblCellMar>
          <w:left w:w="0" w:type="dxa"/>
          <w:right w:w="0" w:type="dxa"/>
        </w:tblCellMar>
        <w:tblLook w:val="04A0" w:firstRow="1" w:lastRow="0" w:firstColumn="1" w:lastColumn="0" w:noHBand="0" w:noVBand="1"/>
      </w:tblPr>
      <w:tblGrid>
        <w:gridCol w:w="3228"/>
        <w:gridCol w:w="2171"/>
      </w:tblGrid>
      <w:tr w:rsidR="00EB0BD7" w:rsidRPr="00EB0BD7" w14:paraId="20C068EA" w14:textId="77777777">
        <w:trPr>
          <w:tblCellSpacing w:w="0" w:type="dxa"/>
        </w:trPr>
        <w:tc>
          <w:tcPr>
            <w:tcW w:w="3228" w:type="dxa"/>
            <w:shd w:val="clear" w:color="auto" w:fill="FFFFFF"/>
            <w:tcMar>
              <w:top w:w="15" w:type="dxa"/>
              <w:left w:w="15" w:type="dxa"/>
              <w:bottom w:w="15" w:type="dxa"/>
              <w:right w:w="15" w:type="dxa"/>
            </w:tcMar>
            <w:vAlign w:val="center"/>
            <w:hideMark/>
          </w:tcPr>
          <w:p w14:paraId="2011D692" w14:textId="77777777" w:rsidR="00EB0BD7" w:rsidRPr="00EB0BD7" w:rsidRDefault="00EB0BD7" w:rsidP="00EB0BD7">
            <w:r w:rsidRPr="00EB0BD7">
              <w:rPr>
                <w:b/>
                <w:bCs/>
              </w:rPr>
              <w:t>Objectives &amp; Benefits</w:t>
            </w:r>
          </w:p>
        </w:tc>
        <w:tc>
          <w:tcPr>
            <w:tcW w:w="2171" w:type="dxa"/>
            <w:shd w:val="clear" w:color="auto" w:fill="FFFFFF"/>
            <w:tcMar>
              <w:top w:w="15" w:type="dxa"/>
              <w:left w:w="15" w:type="dxa"/>
              <w:bottom w:w="15" w:type="dxa"/>
              <w:right w:w="15" w:type="dxa"/>
            </w:tcMar>
            <w:vAlign w:val="center"/>
            <w:hideMark/>
          </w:tcPr>
          <w:p w14:paraId="67617488" w14:textId="77777777" w:rsidR="00EB0BD7" w:rsidRPr="00EB0BD7" w:rsidRDefault="00EB0BD7" w:rsidP="00EB0BD7">
            <w:r w:rsidRPr="00EB0BD7">
              <w:rPr>
                <w:b/>
                <w:bCs/>
              </w:rPr>
              <w:t>Schedule &amp; Milestones</w:t>
            </w:r>
          </w:p>
        </w:tc>
      </w:tr>
      <w:tr w:rsidR="00EB0BD7" w:rsidRPr="00EB0BD7" w14:paraId="62BB7655" w14:textId="77777777">
        <w:trPr>
          <w:tblCellSpacing w:w="0" w:type="dxa"/>
        </w:trPr>
        <w:tc>
          <w:tcPr>
            <w:tcW w:w="3228" w:type="dxa"/>
            <w:shd w:val="clear" w:color="auto" w:fill="FFFFFF"/>
            <w:tcMar>
              <w:top w:w="15" w:type="dxa"/>
              <w:left w:w="15" w:type="dxa"/>
              <w:bottom w:w="15" w:type="dxa"/>
              <w:right w:w="15" w:type="dxa"/>
            </w:tcMar>
            <w:vAlign w:val="center"/>
            <w:hideMark/>
          </w:tcPr>
          <w:p w14:paraId="108594E1" w14:textId="77777777" w:rsidR="00EB0BD7" w:rsidRPr="00EB0BD7" w:rsidRDefault="00EB0BD7" w:rsidP="00EB0BD7">
            <w:r w:rsidRPr="00EB0BD7">
              <w:t>- Restore 4-lane access</w:t>
            </w:r>
          </w:p>
          <w:p w14:paraId="6FAD343B" w14:textId="77777777" w:rsidR="00EB0BD7" w:rsidRPr="00EB0BD7" w:rsidRDefault="00EB0BD7" w:rsidP="00EB0BD7">
            <w:r w:rsidRPr="00EB0BD7">
              <w:t>- Climate resilience (e.g., erosion protection)</w:t>
            </w:r>
          </w:p>
          <w:p w14:paraId="62B9B9FC" w14:textId="77777777" w:rsidR="00EB0BD7" w:rsidRPr="00EB0BD7" w:rsidRDefault="00EB0BD7" w:rsidP="00EB0BD7">
            <w:r w:rsidRPr="00EB0BD7">
              <w:t>- Economic recovery, habitat enhancement</w:t>
            </w:r>
          </w:p>
        </w:tc>
        <w:tc>
          <w:tcPr>
            <w:tcW w:w="2171" w:type="dxa"/>
            <w:shd w:val="clear" w:color="auto" w:fill="FFFFFF"/>
            <w:tcMar>
              <w:top w:w="15" w:type="dxa"/>
              <w:left w:w="15" w:type="dxa"/>
              <w:bottom w:w="15" w:type="dxa"/>
              <w:right w:w="15" w:type="dxa"/>
            </w:tcMar>
            <w:vAlign w:val="center"/>
            <w:hideMark/>
          </w:tcPr>
          <w:p w14:paraId="0A20F0CF" w14:textId="77777777" w:rsidR="00EB0BD7" w:rsidRPr="00EB0BD7" w:rsidRDefault="00EB0BD7" w:rsidP="00EB0BD7">
            <w:r w:rsidRPr="00EB0BD7">
              <w:t>- Start: Dec 2021</w:t>
            </w:r>
          </w:p>
          <w:p w14:paraId="2CC2FD22" w14:textId="77777777" w:rsidR="00EB0BD7" w:rsidRPr="00EB0BD7" w:rsidRDefault="00EB0BD7" w:rsidP="00EB0BD7">
            <w:r w:rsidRPr="00EB0BD7">
              <w:t>- Temp Reopen: Jan 2022</w:t>
            </w:r>
          </w:p>
          <w:p w14:paraId="4F75C337" w14:textId="77777777" w:rsidR="00EB0BD7" w:rsidRPr="00EB0BD7" w:rsidRDefault="00EB0BD7" w:rsidP="00EB0BD7">
            <w:r w:rsidRPr="00EB0BD7">
              <w:t>- Bridges Complete: Oct 2023</w:t>
            </w:r>
          </w:p>
          <w:p w14:paraId="73CEE1DB" w14:textId="77777777" w:rsidR="00EB0BD7" w:rsidRPr="00EB0BD7" w:rsidRDefault="00EB0BD7" w:rsidP="00EB0BD7">
            <w:r w:rsidRPr="00EB0BD7">
              <w:t>- Full Handover: Dec 2023</w:t>
            </w:r>
          </w:p>
        </w:tc>
      </w:tr>
    </w:tbl>
    <w:p w14:paraId="4CB78ABF" w14:textId="77777777" w:rsidR="00EB0BD7" w:rsidRPr="00EB0BD7" w:rsidRDefault="00EB0BD7" w:rsidP="00EB0BD7">
      <w:pPr>
        <w:rPr>
          <w:vanish/>
        </w:rPr>
      </w:pPr>
    </w:p>
    <w:tbl>
      <w:tblPr>
        <w:tblW w:w="0" w:type="auto"/>
        <w:tblCellSpacing w:w="0" w:type="dxa"/>
        <w:shd w:val="clear" w:color="auto" w:fill="FFFFFF"/>
        <w:tblCellMar>
          <w:left w:w="0" w:type="dxa"/>
          <w:right w:w="0" w:type="dxa"/>
        </w:tblCellMar>
        <w:tblLook w:val="04A0" w:firstRow="1" w:lastRow="0" w:firstColumn="1" w:lastColumn="0" w:noHBand="0" w:noVBand="1"/>
      </w:tblPr>
      <w:tblGrid>
        <w:gridCol w:w="2339"/>
        <w:gridCol w:w="4348"/>
        <w:gridCol w:w="2339"/>
      </w:tblGrid>
      <w:tr w:rsidR="00EB0BD7" w:rsidRPr="00EB0BD7" w14:paraId="463E5ECF" w14:textId="77777777" w:rsidTr="00D95FAB">
        <w:trPr>
          <w:tblCellSpacing w:w="0" w:type="dxa"/>
        </w:trPr>
        <w:tc>
          <w:tcPr>
            <w:tcW w:w="6687" w:type="dxa"/>
            <w:gridSpan w:val="2"/>
            <w:shd w:val="clear" w:color="auto" w:fill="FFFFFF"/>
            <w:tcMar>
              <w:top w:w="15" w:type="dxa"/>
              <w:left w:w="15" w:type="dxa"/>
              <w:bottom w:w="15" w:type="dxa"/>
              <w:right w:w="15" w:type="dxa"/>
            </w:tcMar>
            <w:vAlign w:val="center"/>
            <w:hideMark/>
          </w:tcPr>
          <w:p w14:paraId="3852A27F" w14:textId="77777777" w:rsidR="00EB0BD7" w:rsidRPr="00EB0BD7" w:rsidRDefault="00EB0BD7" w:rsidP="00EB0BD7">
            <w:r w:rsidRPr="00EB0BD7">
              <w:rPr>
                <w:b/>
                <w:bCs/>
              </w:rPr>
              <w:t>Budget &amp; Resources</w:t>
            </w:r>
          </w:p>
        </w:tc>
        <w:tc>
          <w:tcPr>
            <w:tcW w:w="2339" w:type="dxa"/>
            <w:shd w:val="clear" w:color="auto" w:fill="FFFFFF"/>
            <w:tcMar>
              <w:top w:w="15" w:type="dxa"/>
              <w:left w:w="15" w:type="dxa"/>
              <w:bottom w:w="15" w:type="dxa"/>
              <w:right w:w="15" w:type="dxa"/>
            </w:tcMar>
            <w:vAlign w:val="center"/>
            <w:hideMark/>
          </w:tcPr>
          <w:p w14:paraId="5530A532" w14:textId="77777777" w:rsidR="00EB0BD7" w:rsidRPr="00EB0BD7" w:rsidRDefault="00EB0BD7" w:rsidP="00EB0BD7">
            <w:r w:rsidRPr="00EB0BD7">
              <w:rPr>
                <w:b/>
                <w:bCs/>
              </w:rPr>
              <w:t>Risks &amp; Mitigations</w:t>
            </w:r>
          </w:p>
        </w:tc>
      </w:tr>
      <w:tr w:rsidR="00EB0BD7" w:rsidRPr="00EB0BD7" w14:paraId="4554664A" w14:textId="77777777" w:rsidTr="00D95FAB">
        <w:trPr>
          <w:tblCellSpacing w:w="0" w:type="dxa"/>
        </w:trPr>
        <w:tc>
          <w:tcPr>
            <w:tcW w:w="6687" w:type="dxa"/>
            <w:gridSpan w:val="2"/>
            <w:shd w:val="clear" w:color="auto" w:fill="FFFFFF"/>
            <w:tcMar>
              <w:top w:w="15" w:type="dxa"/>
              <w:left w:w="15" w:type="dxa"/>
              <w:bottom w:w="15" w:type="dxa"/>
              <w:right w:w="15" w:type="dxa"/>
            </w:tcMar>
            <w:vAlign w:val="center"/>
            <w:hideMark/>
          </w:tcPr>
          <w:p w14:paraId="61C7F766" w14:textId="77777777" w:rsidR="00EB0BD7" w:rsidRPr="00EB0BD7" w:rsidRDefault="00EB0BD7" w:rsidP="00EB0BD7">
            <w:r w:rsidRPr="00EB0BD7">
              <w:t>- $500M total</w:t>
            </w:r>
          </w:p>
          <w:p w14:paraId="4F6AF9D7" w14:textId="77777777" w:rsidR="00EB0BD7" w:rsidRPr="00EB0BD7" w:rsidRDefault="00EB0BD7" w:rsidP="00EB0BD7">
            <w:r w:rsidRPr="00EB0BD7">
              <w:t>- 300 workers, 200 equipment, 400,000 m³ materials</w:t>
            </w:r>
          </w:p>
          <w:p w14:paraId="55FF9BA0" w14:textId="77777777" w:rsidR="00EB0BD7" w:rsidRPr="00EB0BD7" w:rsidRDefault="00EB0BD7" w:rsidP="00EB0BD7">
            <w:r w:rsidRPr="00EB0BD7">
              <w:t>- Funding: Provincial grants</w:t>
            </w:r>
          </w:p>
        </w:tc>
        <w:tc>
          <w:tcPr>
            <w:tcW w:w="2339" w:type="dxa"/>
            <w:shd w:val="clear" w:color="auto" w:fill="FFFFFF"/>
            <w:tcMar>
              <w:top w:w="15" w:type="dxa"/>
              <w:left w:w="15" w:type="dxa"/>
              <w:bottom w:w="15" w:type="dxa"/>
              <w:right w:w="15" w:type="dxa"/>
            </w:tcMar>
            <w:vAlign w:val="center"/>
            <w:hideMark/>
          </w:tcPr>
          <w:p w14:paraId="4A021FE4" w14:textId="77777777" w:rsidR="00EB0BD7" w:rsidRPr="00EB0BD7" w:rsidRDefault="00EB0BD7" w:rsidP="00EB0BD7">
            <w:r w:rsidRPr="00EB0BD7">
              <w:t>- Weather (High): Buffers, monitoring</w:t>
            </w:r>
          </w:p>
          <w:p w14:paraId="4E8E54B4" w14:textId="77777777" w:rsidR="00EB0BD7" w:rsidRPr="00EB0BD7" w:rsidRDefault="00EB0BD7" w:rsidP="00EB0BD7">
            <w:r w:rsidRPr="00EB0BD7">
              <w:t>- Supply (Medium): Diversified sourcing</w:t>
            </w:r>
          </w:p>
        </w:tc>
      </w:tr>
      <w:tr w:rsidR="00EB0BD7" w:rsidRPr="00EB0BD7" w14:paraId="55850082" w14:textId="77777777" w:rsidTr="00D95FAB">
        <w:trPr>
          <w:tblCellSpacing w:w="0" w:type="dxa"/>
        </w:trPr>
        <w:tc>
          <w:tcPr>
            <w:tcW w:w="6687" w:type="dxa"/>
            <w:gridSpan w:val="2"/>
            <w:shd w:val="clear" w:color="auto" w:fill="FFFFFF"/>
            <w:tcMar>
              <w:top w:w="15" w:type="dxa"/>
              <w:left w:w="15" w:type="dxa"/>
              <w:bottom w:w="15" w:type="dxa"/>
              <w:right w:w="15" w:type="dxa"/>
            </w:tcMar>
            <w:vAlign w:val="center"/>
            <w:hideMark/>
          </w:tcPr>
          <w:p w14:paraId="51E50A1C" w14:textId="77777777" w:rsidR="00EB0BD7" w:rsidRPr="00EB0BD7" w:rsidRDefault="00EB0BD7" w:rsidP="00EB0BD7">
            <w:r w:rsidRPr="00EB0BD7">
              <w:t>7</w:t>
            </w:r>
          </w:p>
        </w:tc>
        <w:tc>
          <w:tcPr>
            <w:tcW w:w="2339" w:type="dxa"/>
            <w:shd w:val="clear" w:color="auto" w:fill="FFFFFF"/>
            <w:tcMar>
              <w:top w:w="15" w:type="dxa"/>
              <w:left w:w="15" w:type="dxa"/>
              <w:bottom w:w="15" w:type="dxa"/>
              <w:right w:w="15" w:type="dxa"/>
            </w:tcMar>
            <w:vAlign w:val="center"/>
            <w:hideMark/>
          </w:tcPr>
          <w:p w14:paraId="5AC1BD38" w14:textId="77777777" w:rsidR="00EB0BD7" w:rsidRPr="00EB0BD7" w:rsidRDefault="00EB0BD7" w:rsidP="00EB0BD7"/>
        </w:tc>
      </w:tr>
      <w:tr w:rsidR="00D95FAB" w:rsidRPr="00EB0BD7" w14:paraId="70E15C0D" w14:textId="77777777" w:rsidTr="00D95FAB">
        <w:trPr>
          <w:gridAfter w:val="2"/>
          <w:wAfter w:w="6687" w:type="dxa"/>
          <w:tblCellSpacing w:w="0" w:type="dxa"/>
        </w:trPr>
        <w:tc>
          <w:tcPr>
            <w:tcW w:w="2339" w:type="dxa"/>
            <w:shd w:val="clear" w:color="auto" w:fill="FFFFFF"/>
            <w:tcMar>
              <w:top w:w="15" w:type="dxa"/>
              <w:left w:w="15" w:type="dxa"/>
              <w:bottom w:w="15" w:type="dxa"/>
              <w:right w:w="15" w:type="dxa"/>
            </w:tcMar>
            <w:vAlign w:val="center"/>
            <w:hideMark/>
          </w:tcPr>
          <w:p w14:paraId="19E492D3" w14:textId="77777777" w:rsidR="00D95FAB" w:rsidRPr="00EB0BD7" w:rsidRDefault="00D95FAB" w:rsidP="00EB0BD7"/>
        </w:tc>
      </w:tr>
      <w:tr w:rsidR="00D95FAB" w:rsidRPr="00EB0BD7" w14:paraId="12775FEA" w14:textId="77777777" w:rsidTr="00D95FAB">
        <w:trPr>
          <w:gridAfter w:val="2"/>
          <w:wAfter w:w="6687" w:type="dxa"/>
          <w:tblCellSpacing w:w="0" w:type="dxa"/>
        </w:trPr>
        <w:tc>
          <w:tcPr>
            <w:tcW w:w="2339" w:type="dxa"/>
            <w:shd w:val="clear" w:color="auto" w:fill="FFFFFF"/>
            <w:tcMar>
              <w:top w:w="15" w:type="dxa"/>
              <w:left w:w="15" w:type="dxa"/>
              <w:bottom w:w="15" w:type="dxa"/>
              <w:right w:w="15" w:type="dxa"/>
            </w:tcMar>
            <w:vAlign w:val="center"/>
            <w:hideMark/>
          </w:tcPr>
          <w:p w14:paraId="4B22D5F8" w14:textId="77777777" w:rsidR="00D95FAB" w:rsidRPr="00EB0BD7" w:rsidRDefault="00D95FAB" w:rsidP="00EB0BD7"/>
        </w:tc>
      </w:tr>
      <w:tr w:rsidR="00EB0BD7" w:rsidRPr="00EB0BD7" w14:paraId="0160EEB0" w14:textId="77777777" w:rsidTr="00D95FAB">
        <w:trPr>
          <w:tblCellSpacing w:w="0" w:type="dxa"/>
        </w:trPr>
        <w:tc>
          <w:tcPr>
            <w:tcW w:w="6687" w:type="dxa"/>
            <w:gridSpan w:val="2"/>
            <w:shd w:val="clear" w:color="auto" w:fill="FFFFFF"/>
            <w:tcMar>
              <w:top w:w="15" w:type="dxa"/>
              <w:left w:w="15" w:type="dxa"/>
              <w:bottom w:w="15" w:type="dxa"/>
              <w:right w:w="15" w:type="dxa"/>
            </w:tcMar>
            <w:vAlign w:val="center"/>
            <w:hideMark/>
          </w:tcPr>
          <w:p w14:paraId="08A75F2A" w14:textId="77777777" w:rsidR="00EB0BD7" w:rsidRPr="00EB0BD7" w:rsidRDefault="00EB0BD7" w:rsidP="00EB0BD7"/>
        </w:tc>
        <w:tc>
          <w:tcPr>
            <w:tcW w:w="2339" w:type="dxa"/>
            <w:shd w:val="clear" w:color="auto" w:fill="FFFFFF"/>
            <w:tcMar>
              <w:top w:w="15" w:type="dxa"/>
              <w:left w:w="15" w:type="dxa"/>
              <w:bottom w:w="15" w:type="dxa"/>
              <w:right w:w="15" w:type="dxa"/>
            </w:tcMar>
            <w:vAlign w:val="center"/>
            <w:hideMark/>
          </w:tcPr>
          <w:p w14:paraId="17FA88DB" w14:textId="77777777" w:rsidR="00EB0BD7" w:rsidRPr="00EB0BD7" w:rsidRDefault="00EB0BD7" w:rsidP="00EB0BD7"/>
        </w:tc>
      </w:tr>
      <w:tr w:rsidR="00EB0BD7" w:rsidRPr="00EB0BD7" w14:paraId="293AD4DA" w14:textId="77777777" w:rsidTr="00D95FAB">
        <w:trPr>
          <w:tblCellSpacing w:w="0" w:type="dxa"/>
        </w:trPr>
        <w:tc>
          <w:tcPr>
            <w:tcW w:w="6687" w:type="dxa"/>
            <w:gridSpan w:val="2"/>
            <w:shd w:val="clear" w:color="auto" w:fill="FFFFFF"/>
            <w:tcMar>
              <w:top w:w="15" w:type="dxa"/>
              <w:left w:w="15" w:type="dxa"/>
              <w:bottom w:w="15" w:type="dxa"/>
              <w:right w:w="15" w:type="dxa"/>
            </w:tcMar>
            <w:vAlign w:val="center"/>
            <w:hideMark/>
          </w:tcPr>
          <w:p w14:paraId="7EB18118" w14:textId="77777777" w:rsidR="00EB0BD7" w:rsidRPr="00EB0BD7" w:rsidRDefault="00EB0BD7" w:rsidP="00EB0BD7">
            <w:r w:rsidRPr="00EB0BD7">
              <w:t>The Quad Chart offers a concise executive summary (American Planning Association, 2015).</w:t>
            </w:r>
          </w:p>
        </w:tc>
        <w:tc>
          <w:tcPr>
            <w:tcW w:w="2339" w:type="dxa"/>
            <w:shd w:val="clear" w:color="auto" w:fill="FFFFFF"/>
            <w:tcMar>
              <w:top w:w="15" w:type="dxa"/>
              <w:left w:w="15" w:type="dxa"/>
              <w:bottom w:w="15" w:type="dxa"/>
              <w:right w:w="15" w:type="dxa"/>
            </w:tcMar>
            <w:vAlign w:val="center"/>
            <w:hideMark/>
          </w:tcPr>
          <w:p w14:paraId="7AB26788" w14:textId="77777777" w:rsidR="00EB0BD7" w:rsidRPr="00EB0BD7" w:rsidRDefault="00EB0BD7" w:rsidP="00EB0BD7"/>
        </w:tc>
      </w:tr>
    </w:tbl>
    <w:p w14:paraId="288A0CCA" w14:textId="77777777" w:rsidR="00F7441E" w:rsidRDefault="00F7441E" w:rsidP="00EB0BD7">
      <w:pPr>
        <w:rPr>
          <w:b/>
          <w:bCs/>
        </w:rPr>
      </w:pPr>
    </w:p>
    <w:p w14:paraId="13374FC7" w14:textId="77777777" w:rsidR="00F7441E" w:rsidRDefault="00F7441E" w:rsidP="00EB0BD7">
      <w:pPr>
        <w:rPr>
          <w:b/>
          <w:bCs/>
        </w:rPr>
      </w:pPr>
    </w:p>
    <w:p w14:paraId="29C984D2" w14:textId="77777777" w:rsidR="00F7441E" w:rsidRDefault="00F7441E" w:rsidP="00EB0BD7">
      <w:pPr>
        <w:rPr>
          <w:b/>
          <w:bCs/>
        </w:rPr>
      </w:pPr>
    </w:p>
    <w:p w14:paraId="1E9A01F5" w14:textId="77777777" w:rsidR="00F7441E" w:rsidRDefault="00F7441E" w:rsidP="00EB0BD7">
      <w:pPr>
        <w:rPr>
          <w:b/>
          <w:bCs/>
        </w:rPr>
      </w:pPr>
    </w:p>
    <w:p w14:paraId="4D78E8B2" w14:textId="77777777" w:rsidR="00F7441E" w:rsidRDefault="00F7441E" w:rsidP="00EB0BD7">
      <w:pPr>
        <w:rPr>
          <w:b/>
          <w:bCs/>
        </w:rPr>
      </w:pPr>
    </w:p>
    <w:p w14:paraId="51048031" w14:textId="1549DB90" w:rsidR="00EB0BD7" w:rsidRPr="00EB0BD7" w:rsidRDefault="00EB0BD7" w:rsidP="00EB0BD7">
      <w:r w:rsidRPr="00EB0BD7">
        <w:rPr>
          <w:b/>
          <w:bCs/>
        </w:rPr>
        <w:lastRenderedPageBreak/>
        <w:t>Gantt Chart</w:t>
      </w:r>
    </w:p>
    <w:p w14:paraId="34B6BF34" w14:textId="77777777" w:rsidR="00EB0BD7" w:rsidRPr="00EB0BD7" w:rsidRDefault="00EB0BD7" w:rsidP="00EB0BD7">
      <w:r w:rsidRPr="00EB0BD7">
        <w:t>Figure 4: Gantt Chart (Text Representation)</w:t>
      </w:r>
    </w:p>
    <w:tbl>
      <w:tblPr>
        <w:tblW w:w="9076" w:type="dxa"/>
        <w:tblCellSpacing w:w="0" w:type="dxa"/>
        <w:shd w:val="clear" w:color="auto" w:fill="FFFFFF"/>
        <w:tblCellMar>
          <w:left w:w="0" w:type="dxa"/>
          <w:right w:w="0" w:type="dxa"/>
        </w:tblCellMar>
        <w:tblLook w:val="04A0" w:firstRow="1" w:lastRow="0" w:firstColumn="1" w:lastColumn="0" w:noHBand="0" w:noVBand="1"/>
      </w:tblPr>
      <w:tblGrid>
        <w:gridCol w:w="10650"/>
        <w:gridCol w:w="721"/>
        <w:gridCol w:w="2140"/>
        <w:gridCol w:w="1535"/>
        <w:gridCol w:w="2960"/>
        <w:gridCol w:w="110"/>
        <w:gridCol w:w="1791"/>
        <w:gridCol w:w="96"/>
        <w:gridCol w:w="1805"/>
        <w:gridCol w:w="80"/>
        <w:gridCol w:w="1353"/>
      </w:tblGrid>
      <w:tr w:rsidR="005A05BE" w:rsidRPr="00EB0BD7" w14:paraId="41DF7D38"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61D1FAD7" w14:textId="77777777" w:rsidR="00EB0BD7" w:rsidRPr="00EB0BD7" w:rsidRDefault="00EB0BD7" w:rsidP="00EB0BD7">
            <w:r w:rsidRPr="00EB0BD7">
              <w:rPr>
                <w:b/>
                <w:bCs/>
              </w:rPr>
              <w:t>Task</w:t>
            </w:r>
          </w:p>
        </w:tc>
        <w:tc>
          <w:tcPr>
            <w:tcW w:w="4725" w:type="dxa"/>
            <w:gridSpan w:val="4"/>
            <w:shd w:val="clear" w:color="auto" w:fill="FFFFFF"/>
            <w:tcMar>
              <w:top w:w="15" w:type="dxa"/>
              <w:left w:w="15" w:type="dxa"/>
              <w:bottom w:w="15" w:type="dxa"/>
              <w:right w:w="15" w:type="dxa"/>
            </w:tcMar>
            <w:vAlign w:val="center"/>
            <w:hideMark/>
          </w:tcPr>
          <w:p w14:paraId="4F90F8D9" w14:textId="77777777" w:rsidR="00EB0BD7" w:rsidRPr="00EB0BD7" w:rsidRDefault="00EB0BD7" w:rsidP="00EB0BD7">
            <w:r w:rsidRPr="00EB0BD7">
              <w:rPr>
                <w:b/>
                <w:bCs/>
              </w:rPr>
              <w:t>Dec 2021-Jan 2022</w:t>
            </w:r>
          </w:p>
        </w:tc>
        <w:tc>
          <w:tcPr>
            <w:tcW w:w="1223" w:type="dxa"/>
            <w:gridSpan w:val="2"/>
            <w:shd w:val="clear" w:color="auto" w:fill="FFFFFF"/>
            <w:tcMar>
              <w:top w:w="15" w:type="dxa"/>
              <w:left w:w="15" w:type="dxa"/>
              <w:bottom w:w="15" w:type="dxa"/>
              <w:right w:w="15" w:type="dxa"/>
            </w:tcMar>
            <w:vAlign w:val="center"/>
            <w:hideMark/>
          </w:tcPr>
          <w:p w14:paraId="07A78882" w14:textId="77777777" w:rsidR="00EB0BD7" w:rsidRPr="00EB0BD7" w:rsidRDefault="00EB0BD7" w:rsidP="00EB0BD7">
            <w:r w:rsidRPr="00EB0BD7">
              <w:rPr>
                <w:b/>
                <w:bCs/>
              </w:rPr>
              <w:t>Feb-Dec 2022</w:t>
            </w:r>
          </w:p>
        </w:tc>
        <w:tc>
          <w:tcPr>
            <w:tcW w:w="1223" w:type="dxa"/>
            <w:gridSpan w:val="2"/>
            <w:shd w:val="clear" w:color="auto" w:fill="FFFFFF"/>
            <w:tcMar>
              <w:top w:w="15" w:type="dxa"/>
              <w:left w:w="15" w:type="dxa"/>
              <w:bottom w:w="15" w:type="dxa"/>
              <w:right w:w="15" w:type="dxa"/>
            </w:tcMar>
            <w:vAlign w:val="center"/>
            <w:hideMark/>
          </w:tcPr>
          <w:p w14:paraId="412C9760" w14:textId="77777777" w:rsidR="00EB0BD7" w:rsidRPr="00EB0BD7" w:rsidRDefault="00EB0BD7" w:rsidP="00EB0BD7">
            <w:r w:rsidRPr="00EB0BD7">
              <w:rPr>
                <w:b/>
                <w:bCs/>
              </w:rPr>
              <w:t>Jan-Oct 2023</w:t>
            </w:r>
          </w:p>
        </w:tc>
        <w:tc>
          <w:tcPr>
            <w:tcW w:w="925" w:type="dxa"/>
            <w:gridSpan w:val="2"/>
            <w:shd w:val="clear" w:color="auto" w:fill="FFFFFF"/>
            <w:tcMar>
              <w:top w:w="15" w:type="dxa"/>
              <w:left w:w="15" w:type="dxa"/>
              <w:bottom w:w="15" w:type="dxa"/>
              <w:right w:w="15" w:type="dxa"/>
            </w:tcMar>
            <w:vAlign w:val="center"/>
            <w:hideMark/>
          </w:tcPr>
          <w:p w14:paraId="66B827E6" w14:textId="77777777" w:rsidR="00EB0BD7" w:rsidRPr="00EB0BD7" w:rsidRDefault="00EB0BD7" w:rsidP="00EB0BD7">
            <w:r w:rsidRPr="00EB0BD7">
              <w:rPr>
                <w:b/>
                <w:bCs/>
              </w:rPr>
              <w:t>Nov-Dec 2023</w:t>
            </w:r>
          </w:p>
        </w:tc>
      </w:tr>
      <w:tr w:rsidR="005A05BE" w:rsidRPr="00EB0BD7" w14:paraId="16157FD0"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35D39EF1" w14:textId="77777777" w:rsidR="00EB0BD7" w:rsidRPr="00EB0BD7" w:rsidRDefault="00EB0BD7" w:rsidP="00EB0BD7">
            <w:r w:rsidRPr="00EB0BD7">
              <w:t>Initiation</w:t>
            </w:r>
          </w:p>
        </w:tc>
        <w:tc>
          <w:tcPr>
            <w:tcW w:w="4725" w:type="dxa"/>
            <w:gridSpan w:val="4"/>
            <w:shd w:val="clear" w:color="auto" w:fill="FFFFFF"/>
            <w:tcMar>
              <w:top w:w="15" w:type="dxa"/>
              <w:left w:w="15" w:type="dxa"/>
              <w:bottom w:w="15" w:type="dxa"/>
              <w:right w:w="15" w:type="dxa"/>
            </w:tcMar>
            <w:vAlign w:val="center"/>
            <w:hideMark/>
          </w:tcPr>
          <w:p w14:paraId="128555FA" w14:textId="77777777" w:rsidR="00EB0BD7" w:rsidRPr="00EB0BD7" w:rsidRDefault="00EB0BD7" w:rsidP="00EB0BD7">
            <w:r w:rsidRPr="00EB0BD7">
              <w:rPr>
                <w:rFonts w:ascii="Arial" w:hAnsi="Arial" w:cs="Arial"/>
              </w:rPr>
              <w:t>█████████</w:t>
            </w:r>
          </w:p>
        </w:tc>
        <w:tc>
          <w:tcPr>
            <w:tcW w:w="1223" w:type="dxa"/>
            <w:gridSpan w:val="2"/>
            <w:shd w:val="clear" w:color="auto" w:fill="FFFFFF"/>
            <w:tcMar>
              <w:top w:w="15" w:type="dxa"/>
              <w:left w:w="15" w:type="dxa"/>
              <w:bottom w:w="15" w:type="dxa"/>
              <w:right w:w="15" w:type="dxa"/>
            </w:tcMar>
            <w:vAlign w:val="center"/>
            <w:hideMark/>
          </w:tcPr>
          <w:p w14:paraId="204003CE"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52DEC137" w14:textId="77777777" w:rsidR="00EB0BD7" w:rsidRPr="00EB0BD7" w:rsidRDefault="00EB0BD7" w:rsidP="00EB0BD7"/>
        </w:tc>
        <w:tc>
          <w:tcPr>
            <w:tcW w:w="925" w:type="dxa"/>
            <w:gridSpan w:val="2"/>
            <w:shd w:val="clear" w:color="auto" w:fill="FFFFFF"/>
            <w:tcMar>
              <w:top w:w="15" w:type="dxa"/>
              <w:left w:w="15" w:type="dxa"/>
              <w:bottom w:w="15" w:type="dxa"/>
              <w:right w:w="15" w:type="dxa"/>
            </w:tcMar>
            <w:vAlign w:val="center"/>
            <w:hideMark/>
          </w:tcPr>
          <w:p w14:paraId="46A72A7B" w14:textId="77777777" w:rsidR="00EB0BD7" w:rsidRPr="00EB0BD7" w:rsidRDefault="00EB0BD7" w:rsidP="00EB0BD7"/>
        </w:tc>
      </w:tr>
      <w:tr w:rsidR="005A05BE" w:rsidRPr="00EB0BD7" w14:paraId="41C78323"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51D4FAD8" w14:textId="77777777" w:rsidR="00EB0BD7" w:rsidRPr="00EB0BD7" w:rsidRDefault="00EB0BD7" w:rsidP="00EB0BD7">
            <w:r w:rsidRPr="00EB0BD7">
              <w:t>Planning</w:t>
            </w:r>
          </w:p>
        </w:tc>
        <w:tc>
          <w:tcPr>
            <w:tcW w:w="4725" w:type="dxa"/>
            <w:gridSpan w:val="4"/>
            <w:shd w:val="clear" w:color="auto" w:fill="FFFFFF"/>
            <w:tcMar>
              <w:top w:w="15" w:type="dxa"/>
              <w:left w:w="15" w:type="dxa"/>
              <w:bottom w:w="15" w:type="dxa"/>
              <w:right w:w="15" w:type="dxa"/>
            </w:tcMar>
            <w:vAlign w:val="center"/>
            <w:hideMark/>
          </w:tcPr>
          <w:p w14:paraId="72A817B8"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35A2D339" w14:textId="77777777" w:rsidR="00EB0BD7" w:rsidRPr="00EB0BD7" w:rsidRDefault="00EB0BD7" w:rsidP="00EB0BD7">
            <w:r w:rsidRPr="00EB0BD7">
              <w:rPr>
                <w:rFonts w:ascii="Arial" w:hAnsi="Arial" w:cs="Arial"/>
              </w:rPr>
              <w:t>████████████</w:t>
            </w:r>
          </w:p>
        </w:tc>
        <w:tc>
          <w:tcPr>
            <w:tcW w:w="1223" w:type="dxa"/>
            <w:gridSpan w:val="2"/>
            <w:shd w:val="clear" w:color="auto" w:fill="FFFFFF"/>
            <w:tcMar>
              <w:top w:w="15" w:type="dxa"/>
              <w:left w:w="15" w:type="dxa"/>
              <w:bottom w:w="15" w:type="dxa"/>
              <w:right w:w="15" w:type="dxa"/>
            </w:tcMar>
            <w:vAlign w:val="center"/>
            <w:hideMark/>
          </w:tcPr>
          <w:p w14:paraId="428E0268" w14:textId="77777777" w:rsidR="00EB0BD7" w:rsidRPr="00EB0BD7" w:rsidRDefault="00EB0BD7" w:rsidP="00EB0BD7"/>
        </w:tc>
        <w:tc>
          <w:tcPr>
            <w:tcW w:w="925" w:type="dxa"/>
            <w:gridSpan w:val="2"/>
            <w:shd w:val="clear" w:color="auto" w:fill="FFFFFF"/>
            <w:tcMar>
              <w:top w:w="15" w:type="dxa"/>
              <w:left w:w="15" w:type="dxa"/>
              <w:bottom w:w="15" w:type="dxa"/>
              <w:right w:w="15" w:type="dxa"/>
            </w:tcMar>
            <w:vAlign w:val="center"/>
            <w:hideMark/>
          </w:tcPr>
          <w:p w14:paraId="5CFF1B4F" w14:textId="77777777" w:rsidR="00EB0BD7" w:rsidRPr="00EB0BD7" w:rsidRDefault="00EB0BD7" w:rsidP="00EB0BD7"/>
        </w:tc>
      </w:tr>
      <w:tr w:rsidR="005A05BE" w:rsidRPr="00EB0BD7" w14:paraId="7E84A448"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1DFE9C99" w14:textId="77777777" w:rsidR="00EB0BD7" w:rsidRPr="00EB0BD7" w:rsidRDefault="00EB0BD7" w:rsidP="00EB0BD7">
            <w:r w:rsidRPr="00EB0BD7">
              <w:t>Execution (Temp)</w:t>
            </w:r>
          </w:p>
        </w:tc>
        <w:tc>
          <w:tcPr>
            <w:tcW w:w="4725" w:type="dxa"/>
            <w:gridSpan w:val="4"/>
            <w:shd w:val="clear" w:color="auto" w:fill="FFFFFF"/>
            <w:tcMar>
              <w:top w:w="15" w:type="dxa"/>
              <w:left w:w="15" w:type="dxa"/>
              <w:bottom w:w="15" w:type="dxa"/>
              <w:right w:w="15" w:type="dxa"/>
            </w:tcMar>
            <w:vAlign w:val="center"/>
            <w:hideMark/>
          </w:tcPr>
          <w:p w14:paraId="4BCA6CFA"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2FC39308" w14:textId="77777777" w:rsidR="00EB0BD7" w:rsidRPr="00EB0BD7" w:rsidRDefault="00EB0BD7" w:rsidP="00EB0BD7">
            <w:r w:rsidRPr="00EB0BD7">
              <w:rPr>
                <w:rFonts w:ascii="Arial" w:hAnsi="Arial" w:cs="Arial"/>
              </w:rPr>
              <w:t>█████████</w:t>
            </w:r>
          </w:p>
        </w:tc>
        <w:tc>
          <w:tcPr>
            <w:tcW w:w="1223" w:type="dxa"/>
            <w:gridSpan w:val="2"/>
            <w:shd w:val="clear" w:color="auto" w:fill="FFFFFF"/>
            <w:tcMar>
              <w:top w:w="15" w:type="dxa"/>
              <w:left w:w="15" w:type="dxa"/>
              <w:bottom w:w="15" w:type="dxa"/>
              <w:right w:w="15" w:type="dxa"/>
            </w:tcMar>
            <w:vAlign w:val="center"/>
            <w:hideMark/>
          </w:tcPr>
          <w:p w14:paraId="7CEC5612" w14:textId="77777777" w:rsidR="00EB0BD7" w:rsidRPr="00EB0BD7" w:rsidRDefault="00EB0BD7" w:rsidP="00EB0BD7"/>
        </w:tc>
        <w:tc>
          <w:tcPr>
            <w:tcW w:w="925" w:type="dxa"/>
            <w:gridSpan w:val="2"/>
            <w:shd w:val="clear" w:color="auto" w:fill="FFFFFF"/>
            <w:tcMar>
              <w:top w:w="15" w:type="dxa"/>
              <w:left w:w="15" w:type="dxa"/>
              <w:bottom w:w="15" w:type="dxa"/>
              <w:right w:w="15" w:type="dxa"/>
            </w:tcMar>
            <w:vAlign w:val="center"/>
            <w:hideMark/>
          </w:tcPr>
          <w:p w14:paraId="11AEEB46" w14:textId="77777777" w:rsidR="00EB0BD7" w:rsidRPr="00EB0BD7" w:rsidRDefault="00EB0BD7" w:rsidP="00EB0BD7"/>
        </w:tc>
      </w:tr>
      <w:tr w:rsidR="005A05BE" w:rsidRPr="00EB0BD7" w14:paraId="32876EA7"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419F65C7" w14:textId="77777777" w:rsidR="00EB0BD7" w:rsidRPr="00EB0BD7" w:rsidRDefault="00EB0BD7" w:rsidP="00EB0BD7">
            <w:r w:rsidRPr="00EB0BD7">
              <w:t>Execution (Permanent)</w:t>
            </w:r>
          </w:p>
        </w:tc>
        <w:tc>
          <w:tcPr>
            <w:tcW w:w="4725" w:type="dxa"/>
            <w:gridSpan w:val="4"/>
            <w:shd w:val="clear" w:color="auto" w:fill="FFFFFF"/>
            <w:tcMar>
              <w:top w:w="15" w:type="dxa"/>
              <w:left w:w="15" w:type="dxa"/>
              <w:bottom w:w="15" w:type="dxa"/>
              <w:right w:w="15" w:type="dxa"/>
            </w:tcMar>
            <w:vAlign w:val="center"/>
            <w:hideMark/>
          </w:tcPr>
          <w:p w14:paraId="1B105471"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5C844206"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58E5CB40" w14:textId="77777777" w:rsidR="00EB0BD7" w:rsidRPr="00EB0BD7" w:rsidRDefault="00EB0BD7" w:rsidP="00EB0BD7">
            <w:r w:rsidRPr="00EB0BD7">
              <w:rPr>
                <w:rFonts w:ascii="Arial" w:hAnsi="Arial" w:cs="Arial"/>
              </w:rPr>
              <w:t>████████████</w:t>
            </w:r>
          </w:p>
        </w:tc>
        <w:tc>
          <w:tcPr>
            <w:tcW w:w="925" w:type="dxa"/>
            <w:gridSpan w:val="2"/>
            <w:shd w:val="clear" w:color="auto" w:fill="FFFFFF"/>
            <w:tcMar>
              <w:top w:w="15" w:type="dxa"/>
              <w:left w:w="15" w:type="dxa"/>
              <w:bottom w:w="15" w:type="dxa"/>
              <w:right w:w="15" w:type="dxa"/>
            </w:tcMar>
            <w:vAlign w:val="center"/>
            <w:hideMark/>
          </w:tcPr>
          <w:p w14:paraId="02B345BF" w14:textId="77777777" w:rsidR="00EB0BD7" w:rsidRPr="00EB0BD7" w:rsidRDefault="00EB0BD7" w:rsidP="00EB0BD7">
            <w:r w:rsidRPr="00EB0BD7">
              <w:rPr>
                <w:rFonts w:ascii="Arial" w:hAnsi="Arial" w:cs="Arial"/>
              </w:rPr>
              <w:t>█████</w:t>
            </w:r>
          </w:p>
        </w:tc>
      </w:tr>
      <w:tr w:rsidR="005A05BE" w:rsidRPr="00EB0BD7" w14:paraId="488EB56D"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10ACD457" w14:textId="77777777" w:rsidR="00EB0BD7" w:rsidRPr="00EB0BD7" w:rsidRDefault="00EB0BD7" w:rsidP="00EB0BD7">
            <w:r w:rsidRPr="00EB0BD7">
              <w:t>Environmental</w:t>
            </w:r>
          </w:p>
        </w:tc>
        <w:tc>
          <w:tcPr>
            <w:tcW w:w="4725" w:type="dxa"/>
            <w:gridSpan w:val="4"/>
            <w:shd w:val="clear" w:color="auto" w:fill="FFFFFF"/>
            <w:tcMar>
              <w:top w:w="15" w:type="dxa"/>
              <w:left w:w="15" w:type="dxa"/>
              <w:bottom w:w="15" w:type="dxa"/>
              <w:right w:w="15" w:type="dxa"/>
            </w:tcMar>
            <w:vAlign w:val="center"/>
            <w:hideMark/>
          </w:tcPr>
          <w:p w14:paraId="515AC5A7"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225D6C6A"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7514E2B1" w14:textId="77777777" w:rsidR="00EB0BD7" w:rsidRPr="00EB0BD7" w:rsidRDefault="00EB0BD7" w:rsidP="00EB0BD7">
            <w:r w:rsidRPr="00EB0BD7">
              <w:rPr>
                <w:rFonts w:ascii="Arial" w:hAnsi="Arial" w:cs="Arial"/>
              </w:rPr>
              <w:t>████████</w:t>
            </w:r>
          </w:p>
        </w:tc>
        <w:tc>
          <w:tcPr>
            <w:tcW w:w="925" w:type="dxa"/>
            <w:gridSpan w:val="2"/>
            <w:shd w:val="clear" w:color="auto" w:fill="FFFFFF"/>
            <w:tcMar>
              <w:top w:w="15" w:type="dxa"/>
              <w:left w:w="15" w:type="dxa"/>
              <w:bottom w:w="15" w:type="dxa"/>
              <w:right w:w="15" w:type="dxa"/>
            </w:tcMar>
            <w:vAlign w:val="center"/>
            <w:hideMark/>
          </w:tcPr>
          <w:p w14:paraId="3D498561" w14:textId="77777777" w:rsidR="00EB0BD7" w:rsidRPr="00EB0BD7" w:rsidRDefault="00EB0BD7" w:rsidP="00EB0BD7">
            <w:r w:rsidRPr="00EB0BD7">
              <w:rPr>
                <w:rFonts w:ascii="Arial" w:hAnsi="Arial" w:cs="Arial"/>
              </w:rPr>
              <w:t>███████</w:t>
            </w:r>
          </w:p>
        </w:tc>
      </w:tr>
      <w:tr w:rsidR="005A05BE" w:rsidRPr="00EB0BD7" w14:paraId="59EC60FA"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25D2F29D" w14:textId="77777777" w:rsidR="00EB0BD7" w:rsidRPr="00EB0BD7" w:rsidRDefault="00EB0BD7" w:rsidP="00EB0BD7">
            <w:r w:rsidRPr="00EB0BD7">
              <w:t>Monitoring</w:t>
            </w:r>
          </w:p>
        </w:tc>
        <w:tc>
          <w:tcPr>
            <w:tcW w:w="4725" w:type="dxa"/>
            <w:gridSpan w:val="4"/>
            <w:shd w:val="clear" w:color="auto" w:fill="FFFFFF"/>
            <w:tcMar>
              <w:top w:w="15" w:type="dxa"/>
              <w:left w:w="15" w:type="dxa"/>
              <w:bottom w:w="15" w:type="dxa"/>
              <w:right w:w="15" w:type="dxa"/>
            </w:tcMar>
            <w:vAlign w:val="center"/>
            <w:hideMark/>
          </w:tcPr>
          <w:p w14:paraId="28B2269C" w14:textId="77777777" w:rsidR="00EB0BD7" w:rsidRPr="00EB0BD7" w:rsidRDefault="00EB0BD7" w:rsidP="00EB0BD7">
            <w:r w:rsidRPr="00EB0BD7">
              <w:rPr>
                <w:rFonts w:ascii="Arial" w:hAnsi="Arial" w:cs="Arial"/>
              </w:rPr>
              <w:t>███████████████████████████████████████████████</w:t>
            </w:r>
          </w:p>
        </w:tc>
        <w:tc>
          <w:tcPr>
            <w:tcW w:w="1223" w:type="dxa"/>
            <w:gridSpan w:val="2"/>
            <w:shd w:val="clear" w:color="auto" w:fill="FFFFFF"/>
            <w:tcMar>
              <w:top w:w="15" w:type="dxa"/>
              <w:left w:w="15" w:type="dxa"/>
              <w:bottom w:w="15" w:type="dxa"/>
              <w:right w:w="15" w:type="dxa"/>
            </w:tcMar>
            <w:vAlign w:val="center"/>
            <w:hideMark/>
          </w:tcPr>
          <w:p w14:paraId="558003A4"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2B1883AB" w14:textId="77777777" w:rsidR="00EB0BD7" w:rsidRPr="00EB0BD7" w:rsidRDefault="00EB0BD7" w:rsidP="00EB0BD7"/>
        </w:tc>
        <w:tc>
          <w:tcPr>
            <w:tcW w:w="925" w:type="dxa"/>
            <w:gridSpan w:val="2"/>
            <w:shd w:val="clear" w:color="auto" w:fill="FFFFFF"/>
            <w:tcMar>
              <w:top w:w="15" w:type="dxa"/>
              <w:left w:w="15" w:type="dxa"/>
              <w:bottom w:w="15" w:type="dxa"/>
              <w:right w:w="15" w:type="dxa"/>
            </w:tcMar>
            <w:vAlign w:val="center"/>
            <w:hideMark/>
          </w:tcPr>
          <w:p w14:paraId="66800FD6" w14:textId="77777777" w:rsidR="00EB0BD7" w:rsidRPr="00EB0BD7" w:rsidRDefault="00EB0BD7" w:rsidP="00EB0BD7"/>
        </w:tc>
      </w:tr>
      <w:tr w:rsidR="005A05BE" w:rsidRPr="00EB0BD7" w14:paraId="42C259BD"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06BB2F59" w14:textId="77777777" w:rsidR="00EB0BD7" w:rsidRDefault="00EB0BD7" w:rsidP="00EB0BD7">
            <w:r w:rsidRPr="00EB0BD7">
              <w:t>Closure</w:t>
            </w:r>
          </w:p>
          <w:p w14:paraId="5CD000CD" w14:textId="77777777" w:rsidR="00F7441E" w:rsidRDefault="00F7441E" w:rsidP="00EB0BD7"/>
          <w:p w14:paraId="5C5147A9" w14:textId="42A32BB2" w:rsidR="00F7441E" w:rsidRPr="00EB0BD7" w:rsidRDefault="00F431DE" w:rsidP="00EB0BD7">
            <w:r>
              <w:rPr>
                <w:noProof/>
              </w:rPr>
              <w:drawing>
                <wp:inline distT="0" distB="0" distL="0" distR="0" wp14:anchorId="08D020F0" wp14:editId="1CF33481">
                  <wp:extent cx="6738874" cy="4059394"/>
                  <wp:effectExtent l="0" t="0" r="5080" b="0"/>
                  <wp:docPr id="2100878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7851"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755357" cy="4069323"/>
                          </a:xfrm>
                          <a:prstGeom prst="rect">
                            <a:avLst/>
                          </a:prstGeom>
                        </pic:spPr>
                      </pic:pic>
                    </a:graphicData>
                  </a:graphic>
                </wp:inline>
              </w:drawing>
            </w:r>
          </w:p>
        </w:tc>
        <w:tc>
          <w:tcPr>
            <w:tcW w:w="4725" w:type="dxa"/>
            <w:gridSpan w:val="4"/>
            <w:shd w:val="clear" w:color="auto" w:fill="FFFFFF"/>
            <w:tcMar>
              <w:top w:w="15" w:type="dxa"/>
              <w:left w:w="15" w:type="dxa"/>
              <w:bottom w:w="15" w:type="dxa"/>
              <w:right w:w="15" w:type="dxa"/>
            </w:tcMar>
            <w:vAlign w:val="center"/>
            <w:hideMark/>
          </w:tcPr>
          <w:p w14:paraId="35370D5D"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1C088300"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0D966527" w14:textId="77777777" w:rsidR="00EB0BD7" w:rsidRPr="00EB0BD7" w:rsidRDefault="00EB0BD7" w:rsidP="00EB0BD7"/>
        </w:tc>
        <w:tc>
          <w:tcPr>
            <w:tcW w:w="925" w:type="dxa"/>
            <w:gridSpan w:val="2"/>
            <w:shd w:val="clear" w:color="auto" w:fill="FFFFFF"/>
            <w:tcMar>
              <w:top w:w="15" w:type="dxa"/>
              <w:left w:w="15" w:type="dxa"/>
              <w:bottom w:w="15" w:type="dxa"/>
              <w:right w:w="15" w:type="dxa"/>
            </w:tcMar>
            <w:vAlign w:val="center"/>
            <w:hideMark/>
          </w:tcPr>
          <w:p w14:paraId="5DB34DF3" w14:textId="77777777" w:rsidR="00EB0BD7" w:rsidRPr="00EB0BD7" w:rsidRDefault="00EB0BD7" w:rsidP="00EB0BD7">
            <w:r w:rsidRPr="00EB0BD7">
              <w:rPr>
                <w:rFonts w:ascii="Arial" w:hAnsi="Arial" w:cs="Arial"/>
              </w:rPr>
              <w:t>█████████</w:t>
            </w:r>
          </w:p>
        </w:tc>
      </w:tr>
      <w:tr w:rsidR="00F431DE" w:rsidRPr="00EB0BD7" w14:paraId="54001B2D" w14:textId="77777777" w:rsidTr="00D95FAB">
        <w:trPr>
          <w:gridAfter w:val="7"/>
          <w:wAfter w:w="5494" w:type="dxa"/>
          <w:tblCellSpacing w:w="0" w:type="dxa"/>
        </w:trPr>
        <w:tc>
          <w:tcPr>
            <w:tcW w:w="1313" w:type="dxa"/>
            <w:gridSpan w:val="2"/>
            <w:shd w:val="clear" w:color="auto" w:fill="FFFFFF"/>
            <w:tcMar>
              <w:top w:w="15" w:type="dxa"/>
              <w:left w:w="15" w:type="dxa"/>
              <w:bottom w:w="15" w:type="dxa"/>
              <w:right w:w="15" w:type="dxa"/>
            </w:tcMar>
            <w:vAlign w:val="center"/>
            <w:hideMark/>
          </w:tcPr>
          <w:p w14:paraId="17518AA5" w14:textId="77777777" w:rsidR="00D95FAB" w:rsidRPr="00EB0BD7" w:rsidRDefault="00D95FAB" w:rsidP="00EB0BD7"/>
        </w:tc>
        <w:tc>
          <w:tcPr>
            <w:tcW w:w="1306" w:type="dxa"/>
            <w:shd w:val="clear" w:color="auto" w:fill="FFFFFF"/>
            <w:tcMar>
              <w:top w:w="15" w:type="dxa"/>
              <w:left w:w="15" w:type="dxa"/>
              <w:bottom w:w="15" w:type="dxa"/>
              <w:right w:w="15" w:type="dxa"/>
            </w:tcMar>
            <w:vAlign w:val="center"/>
            <w:hideMark/>
          </w:tcPr>
          <w:p w14:paraId="2E40A526" w14:textId="77777777" w:rsidR="00D95FAB" w:rsidRPr="00EB0BD7" w:rsidRDefault="00D95FAB" w:rsidP="00EB0BD7"/>
        </w:tc>
        <w:tc>
          <w:tcPr>
            <w:tcW w:w="963" w:type="dxa"/>
            <w:shd w:val="clear" w:color="auto" w:fill="FFFFFF"/>
            <w:tcMar>
              <w:top w:w="15" w:type="dxa"/>
              <w:left w:w="15" w:type="dxa"/>
              <w:bottom w:w="15" w:type="dxa"/>
              <w:right w:w="15" w:type="dxa"/>
            </w:tcMar>
            <w:vAlign w:val="center"/>
            <w:hideMark/>
          </w:tcPr>
          <w:p w14:paraId="010C680B" w14:textId="77777777" w:rsidR="00D95FAB" w:rsidRPr="00EB0BD7" w:rsidRDefault="00D95FAB" w:rsidP="00EB0BD7"/>
        </w:tc>
      </w:tr>
      <w:tr w:rsidR="00F431DE" w:rsidRPr="00EB0BD7" w14:paraId="5E37478B" w14:textId="77777777" w:rsidTr="00D95FAB">
        <w:trPr>
          <w:gridAfter w:val="7"/>
          <w:wAfter w:w="5494" w:type="dxa"/>
          <w:tblCellSpacing w:w="0" w:type="dxa"/>
        </w:trPr>
        <w:tc>
          <w:tcPr>
            <w:tcW w:w="1313" w:type="dxa"/>
            <w:gridSpan w:val="2"/>
            <w:shd w:val="clear" w:color="auto" w:fill="FFFFFF"/>
            <w:tcMar>
              <w:top w:w="15" w:type="dxa"/>
              <w:left w:w="15" w:type="dxa"/>
              <w:bottom w:w="15" w:type="dxa"/>
              <w:right w:w="15" w:type="dxa"/>
            </w:tcMar>
            <w:vAlign w:val="center"/>
            <w:hideMark/>
          </w:tcPr>
          <w:p w14:paraId="43BCE625" w14:textId="77777777" w:rsidR="00D95FAB" w:rsidRPr="00EB0BD7" w:rsidRDefault="00D95FAB" w:rsidP="00EB0BD7"/>
        </w:tc>
        <w:tc>
          <w:tcPr>
            <w:tcW w:w="1306" w:type="dxa"/>
            <w:shd w:val="clear" w:color="auto" w:fill="FFFFFF"/>
            <w:tcMar>
              <w:top w:w="15" w:type="dxa"/>
              <w:left w:w="15" w:type="dxa"/>
              <w:bottom w:w="15" w:type="dxa"/>
              <w:right w:w="15" w:type="dxa"/>
            </w:tcMar>
            <w:vAlign w:val="center"/>
            <w:hideMark/>
          </w:tcPr>
          <w:p w14:paraId="40D5EFC2" w14:textId="77777777" w:rsidR="00D95FAB" w:rsidRPr="00EB0BD7" w:rsidRDefault="00D95FAB" w:rsidP="00EB0BD7"/>
        </w:tc>
        <w:tc>
          <w:tcPr>
            <w:tcW w:w="963" w:type="dxa"/>
            <w:shd w:val="clear" w:color="auto" w:fill="FFFFFF"/>
            <w:tcMar>
              <w:top w:w="15" w:type="dxa"/>
              <w:left w:w="15" w:type="dxa"/>
              <w:bottom w:w="15" w:type="dxa"/>
              <w:right w:w="15" w:type="dxa"/>
            </w:tcMar>
            <w:vAlign w:val="center"/>
            <w:hideMark/>
          </w:tcPr>
          <w:p w14:paraId="6A5BC8E7" w14:textId="77777777" w:rsidR="00D95FAB" w:rsidRPr="00EB0BD7" w:rsidRDefault="00D95FAB" w:rsidP="00EB0BD7"/>
        </w:tc>
      </w:tr>
      <w:tr w:rsidR="00F431DE" w:rsidRPr="00EB0BD7" w14:paraId="0CD75437" w14:textId="77777777" w:rsidTr="00D95FAB">
        <w:trPr>
          <w:gridAfter w:val="7"/>
          <w:wAfter w:w="5494" w:type="dxa"/>
          <w:tblCellSpacing w:w="0" w:type="dxa"/>
        </w:trPr>
        <w:tc>
          <w:tcPr>
            <w:tcW w:w="1313" w:type="dxa"/>
            <w:gridSpan w:val="2"/>
            <w:shd w:val="clear" w:color="auto" w:fill="FFFFFF"/>
            <w:tcMar>
              <w:top w:w="15" w:type="dxa"/>
              <w:left w:w="15" w:type="dxa"/>
              <w:bottom w:w="15" w:type="dxa"/>
              <w:right w:w="15" w:type="dxa"/>
            </w:tcMar>
            <w:vAlign w:val="center"/>
            <w:hideMark/>
          </w:tcPr>
          <w:p w14:paraId="5A40C60F" w14:textId="77777777" w:rsidR="00D95FAB" w:rsidRPr="00EB0BD7" w:rsidRDefault="00D95FAB" w:rsidP="00EB0BD7"/>
        </w:tc>
        <w:tc>
          <w:tcPr>
            <w:tcW w:w="1306" w:type="dxa"/>
            <w:shd w:val="clear" w:color="auto" w:fill="FFFFFF"/>
            <w:tcMar>
              <w:top w:w="15" w:type="dxa"/>
              <w:left w:w="15" w:type="dxa"/>
              <w:bottom w:w="15" w:type="dxa"/>
              <w:right w:w="15" w:type="dxa"/>
            </w:tcMar>
            <w:vAlign w:val="center"/>
            <w:hideMark/>
          </w:tcPr>
          <w:p w14:paraId="01FB0305" w14:textId="77777777" w:rsidR="00D95FAB" w:rsidRPr="00EB0BD7" w:rsidRDefault="00D95FAB" w:rsidP="00EB0BD7"/>
        </w:tc>
        <w:tc>
          <w:tcPr>
            <w:tcW w:w="963" w:type="dxa"/>
            <w:shd w:val="clear" w:color="auto" w:fill="FFFFFF"/>
            <w:tcMar>
              <w:top w:w="15" w:type="dxa"/>
              <w:left w:w="15" w:type="dxa"/>
              <w:bottom w:w="15" w:type="dxa"/>
              <w:right w:w="15" w:type="dxa"/>
            </w:tcMar>
            <w:vAlign w:val="center"/>
            <w:hideMark/>
          </w:tcPr>
          <w:p w14:paraId="15AF9AEE" w14:textId="77777777" w:rsidR="00D95FAB" w:rsidRPr="00EB0BD7" w:rsidRDefault="00D95FAB" w:rsidP="00EB0BD7"/>
        </w:tc>
      </w:tr>
      <w:tr w:rsidR="005A05BE" w:rsidRPr="00EB0BD7" w14:paraId="5FBDDBC3" w14:textId="77777777" w:rsidTr="00D95FAB">
        <w:trPr>
          <w:tblCellSpacing w:w="0" w:type="dxa"/>
        </w:trPr>
        <w:tc>
          <w:tcPr>
            <w:tcW w:w="930" w:type="dxa"/>
            <w:shd w:val="clear" w:color="auto" w:fill="FFFFFF"/>
            <w:tcMar>
              <w:top w:w="15" w:type="dxa"/>
              <w:left w:w="15" w:type="dxa"/>
              <w:bottom w:w="15" w:type="dxa"/>
              <w:right w:w="15" w:type="dxa"/>
            </w:tcMar>
            <w:vAlign w:val="center"/>
            <w:hideMark/>
          </w:tcPr>
          <w:p w14:paraId="3BC66B7E" w14:textId="77777777" w:rsidR="00EB0BD7" w:rsidRPr="00EB0BD7" w:rsidRDefault="00EB0BD7" w:rsidP="00EB0BD7"/>
        </w:tc>
        <w:tc>
          <w:tcPr>
            <w:tcW w:w="4725" w:type="dxa"/>
            <w:gridSpan w:val="4"/>
            <w:shd w:val="clear" w:color="auto" w:fill="FFFFFF"/>
            <w:tcMar>
              <w:top w:w="15" w:type="dxa"/>
              <w:left w:w="15" w:type="dxa"/>
              <w:bottom w:w="15" w:type="dxa"/>
              <w:right w:w="15" w:type="dxa"/>
            </w:tcMar>
            <w:vAlign w:val="center"/>
            <w:hideMark/>
          </w:tcPr>
          <w:p w14:paraId="46168C60"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6A142347"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219A43EB" w14:textId="77777777" w:rsidR="00EB0BD7" w:rsidRPr="00EB0BD7" w:rsidRDefault="00EB0BD7" w:rsidP="00EB0BD7"/>
        </w:tc>
        <w:tc>
          <w:tcPr>
            <w:tcW w:w="925" w:type="dxa"/>
            <w:gridSpan w:val="2"/>
            <w:shd w:val="clear" w:color="auto" w:fill="FFFFFF"/>
            <w:tcMar>
              <w:top w:w="15" w:type="dxa"/>
              <w:left w:w="15" w:type="dxa"/>
              <w:bottom w:w="15" w:type="dxa"/>
              <w:right w:w="15" w:type="dxa"/>
            </w:tcMar>
            <w:vAlign w:val="center"/>
            <w:hideMark/>
          </w:tcPr>
          <w:p w14:paraId="362C6224" w14:textId="77777777" w:rsidR="00EB0BD7" w:rsidRPr="00EB0BD7" w:rsidRDefault="00EB0BD7" w:rsidP="00EB0BD7"/>
        </w:tc>
      </w:tr>
      <w:tr w:rsidR="005A05BE" w:rsidRPr="00EB0BD7" w14:paraId="5D5480D8" w14:textId="77777777" w:rsidTr="00D95FAB">
        <w:trPr>
          <w:tblCellSpacing w:w="0" w:type="dxa"/>
        </w:trPr>
        <w:tc>
          <w:tcPr>
            <w:tcW w:w="5655" w:type="dxa"/>
            <w:gridSpan w:val="5"/>
            <w:shd w:val="clear" w:color="auto" w:fill="FFFFFF"/>
            <w:tcMar>
              <w:top w:w="15" w:type="dxa"/>
              <w:left w:w="15" w:type="dxa"/>
              <w:bottom w:w="15" w:type="dxa"/>
              <w:right w:w="15" w:type="dxa"/>
            </w:tcMar>
            <w:vAlign w:val="center"/>
            <w:hideMark/>
          </w:tcPr>
          <w:p w14:paraId="11A4BC22" w14:textId="77777777" w:rsidR="00EB0BD7" w:rsidRPr="00EB0BD7" w:rsidRDefault="00EB0BD7" w:rsidP="00EB0BD7">
            <w:r w:rsidRPr="00EB0BD7">
              <w:t>This chart highlights dependencies, with buffers for delays (Fraser Basin Council, 2021).</w:t>
            </w:r>
          </w:p>
        </w:tc>
        <w:tc>
          <w:tcPr>
            <w:tcW w:w="50" w:type="dxa"/>
            <w:shd w:val="clear" w:color="auto" w:fill="FFFFFF"/>
            <w:tcMar>
              <w:top w:w="15" w:type="dxa"/>
              <w:left w:w="15" w:type="dxa"/>
              <w:bottom w:w="15" w:type="dxa"/>
              <w:right w:w="15" w:type="dxa"/>
            </w:tcMar>
            <w:vAlign w:val="center"/>
            <w:hideMark/>
          </w:tcPr>
          <w:p w14:paraId="77D2143A"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515EF7E5" w14:textId="77777777" w:rsidR="00EB0BD7" w:rsidRPr="00EB0BD7" w:rsidRDefault="00EB0BD7" w:rsidP="00EB0BD7"/>
        </w:tc>
        <w:tc>
          <w:tcPr>
            <w:tcW w:w="1223" w:type="dxa"/>
            <w:gridSpan w:val="2"/>
            <w:shd w:val="clear" w:color="auto" w:fill="FFFFFF"/>
            <w:tcMar>
              <w:top w:w="15" w:type="dxa"/>
              <w:left w:w="15" w:type="dxa"/>
              <w:bottom w:w="15" w:type="dxa"/>
              <w:right w:w="15" w:type="dxa"/>
            </w:tcMar>
            <w:vAlign w:val="center"/>
            <w:hideMark/>
          </w:tcPr>
          <w:p w14:paraId="4358EBBA" w14:textId="77777777" w:rsidR="00EB0BD7" w:rsidRPr="00EB0BD7" w:rsidRDefault="00EB0BD7" w:rsidP="00EB0BD7"/>
        </w:tc>
        <w:tc>
          <w:tcPr>
            <w:tcW w:w="925" w:type="dxa"/>
            <w:shd w:val="clear" w:color="auto" w:fill="FFFFFF"/>
            <w:tcMar>
              <w:top w:w="15" w:type="dxa"/>
              <w:left w:w="15" w:type="dxa"/>
              <w:bottom w:w="15" w:type="dxa"/>
              <w:right w:w="15" w:type="dxa"/>
            </w:tcMar>
            <w:vAlign w:val="center"/>
            <w:hideMark/>
          </w:tcPr>
          <w:p w14:paraId="455808C0" w14:textId="77777777" w:rsidR="00EB0BD7" w:rsidRPr="00EB0BD7" w:rsidRDefault="00EB0BD7" w:rsidP="00EB0BD7"/>
        </w:tc>
      </w:tr>
    </w:tbl>
    <w:p w14:paraId="18A11C8F" w14:textId="77777777" w:rsidR="005A05BE" w:rsidRDefault="005A05BE" w:rsidP="00EB0BD7">
      <w:pPr>
        <w:rPr>
          <w:b/>
          <w:bCs/>
        </w:rPr>
      </w:pPr>
    </w:p>
    <w:p w14:paraId="373A563D" w14:textId="77777777" w:rsidR="005A05BE" w:rsidRDefault="005A05BE" w:rsidP="00EB0BD7">
      <w:pPr>
        <w:rPr>
          <w:b/>
          <w:bCs/>
        </w:rPr>
      </w:pPr>
    </w:p>
    <w:p w14:paraId="4E7C9880" w14:textId="77777777" w:rsidR="005A05BE" w:rsidRDefault="005A05BE" w:rsidP="00EB0BD7">
      <w:pPr>
        <w:rPr>
          <w:b/>
          <w:bCs/>
        </w:rPr>
      </w:pPr>
    </w:p>
    <w:p w14:paraId="0DDFC92C" w14:textId="540B3EFF" w:rsidR="00EB0BD7" w:rsidRPr="00EB0BD7" w:rsidRDefault="00EB0BD7" w:rsidP="00EB0BD7">
      <w:r w:rsidRPr="00EB0BD7">
        <w:rPr>
          <w:b/>
          <w:bCs/>
        </w:rPr>
        <w:lastRenderedPageBreak/>
        <w:t>Stakeholders’ Involvement</w:t>
      </w:r>
    </w:p>
    <w:p w14:paraId="5D354345" w14:textId="77777777" w:rsidR="00EB0BD7" w:rsidRPr="00EB0BD7" w:rsidRDefault="00EB0BD7" w:rsidP="00EB0BD7">
      <w:r w:rsidRPr="00EB0BD7">
        <w:t>Stakeholders: Primary (Ministry, KEA5); Secondary (Indigenous communities, environmental groups).</w:t>
      </w:r>
      <w:r w:rsidRPr="00EB0BD7">
        <w:br/>
        <w:t>Figure 5: Stakeholder Matrix</w:t>
      </w:r>
    </w:p>
    <w:p w14:paraId="5F62A74C" w14:textId="77777777" w:rsidR="00EB0BD7" w:rsidRPr="00EB0BD7" w:rsidRDefault="00EB0BD7" w:rsidP="00EB0BD7">
      <w:pPr>
        <w:numPr>
          <w:ilvl w:val="0"/>
          <w:numId w:val="4"/>
        </w:numPr>
      </w:pPr>
      <w:r w:rsidRPr="00EB0BD7">
        <w:t>High Power/High Interest: Ministry – Weekly updates.</w:t>
      </w:r>
    </w:p>
    <w:p w14:paraId="66B90AC3" w14:textId="77777777" w:rsidR="00EB0BD7" w:rsidRPr="00EB0BD7" w:rsidRDefault="00EB0BD7" w:rsidP="00EB0BD7">
      <w:pPr>
        <w:numPr>
          <w:ilvl w:val="0"/>
          <w:numId w:val="4"/>
        </w:numPr>
      </w:pPr>
      <w:r w:rsidRPr="00EB0BD7">
        <w:t>High Power/Low Interest: Federal Govt – Quarterly reports.</w:t>
      </w:r>
    </w:p>
    <w:p w14:paraId="63DEDA37" w14:textId="77777777" w:rsidR="00EB0BD7" w:rsidRPr="00EB0BD7" w:rsidRDefault="00EB0BD7" w:rsidP="00EB0BD7">
      <w:pPr>
        <w:numPr>
          <w:ilvl w:val="0"/>
          <w:numId w:val="4"/>
        </w:numPr>
      </w:pPr>
      <w:r w:rsidRPr="00EB0BD7">
        <w:t>Low Power/High Interest: Communities – Consultations.</w:t>
      </w:r>
    </w:p>
    <w:p w14:paraId="77666816" w14:textId="77777777" w:rsidR="00EB0BD7" w:rsidRPr="00EB0BD7" w:rsidRDefault="00EB0BD7" w:rsidP="00EB0BD7">
      <w:pPr>
        <w:numPr>
          <w:ilvl w:val="0"/>
          <w:numId w:val="4"/>
        </w:numPr>
      </w:pPr>
      <w:r w:rsidRPr="00EB0BD7">
        <w:t>Low Power/Low Interest: Public – Media releases.</w:t>
      </w:r>
      <w:r w:rsidRPr="00EB0BD7">
        <w:br/>
        <w:t>Involvement uses collaborative models, addressing engagement challenges (Dube, Mtapuri and Matunhu, 2018). 16 Communication: Daily check-ins, cultural monitors on-site.</w:t>
      </w:r>
    </w:p>
    <w:p w14:paraId="7F0DFFFD" w14:textId="77777777" w:rsidR="00AE52A7" w:rsidRDefault="00AE52A7" w:rsidP="00EB0BD7">
      <w:pPr>
        <w:rPr>
          <w:b/>
          <w:bCs/>
        </w:rPr>
      </w:pPr>
    </w:p>
    <w:p w14:paraId="6480B836" w14:textId="77777777" w:rsidR="00AE52A7" w:rsidRDefault="00AE52A7" w:rsidP="00EB0BD7">
      <w:pPr>
        <w:rPr>
          <w:b/>
          <w:bCs/>
        </w:rPr>
      </w:pPr>
    </w:p>
    <w:p w14:paraId="4B564667" w14:textId="77777777" w:rsidR="00AE52A7" w:rsidRDefault="00AE52A7" w:rsidP="00EB0BD7">
      <w:pPr>
        <w:rPr>
          <w:b/>
          <w:bCs/>
        </w:rPr>
      </w:pPr>
    </w:p>
    <w:p w14:paraId="2EB41AB7" w14:textId="3927EA5A" w:rsidR="00EB0BD7" w:rsidRPr="00EB0BD7" w:rsidRDefault="00EB0BD7" w:rsidP="00EB0BD7">
      <w:r w:rsidRPr="00EB0BD7">
        <w:rPr>
          <w:b/>
          <w:bCs/>
        </w:rPr>
        <w:t>Allocation of Resources</w:t>
      </w:r>
    </w:p>
    <w:p w14:paraId="4E71A8BC" w14:textId="77777777" w:rsidR="00EB0BD7" w:rsidRPr="00EB0BD7" w:rsidRDefault="00EB0BD7" w:rsidP="00EB0BD7">
      <w:r w:rsidRPr="00EB0BD7">
        <w:t>Resources allocated per WBS, with leveling to avoid overloads.</w:t>
      </w:r>
    </w:p>
    <w:p w14:paraId="79630E5C" w14:textId="77777777" w:rsidR="00EB0BD7" w:rsidRPr="00EB0BD7" w:rsidRDefault="00EB0BD7" w:rsidP="00EB0BD7">
      <w:r w:rsidRPr="00EB0BD7">
        <w:t>Table 2: Resource Allocation</w:t>
      </w:r>
    </w:p>
    <w:tbl>
      <w:tblPr>
        <w:tblW w:w="0" w:type="auto"/>
        <w:tblCellSpacing w:w="0" w:type="dxa"/>
        <w:shd w:val="clear" w:color="auto" w:fill="FFFFFF"/>
        <w:tblCellMar>
          <w:left w:w="0" w:type="dxa"/>
          <w:right w:w="0" w:type="dxa"/>
        </w:tblCellMar>
        <w:tblLook w:val="04A0" w:firstRow="1" w:lastRow="0" w:firstColumn="1" w:lastColumn="0" w:noHBand="0" w:noVBand="1"/>
      </w:tblPr>
      <w:tblGrid>
        <w:gridCol w:w="1227"/>
        <w:gridCol w:w="894"/>
        <w:gridCol w:w="1492"/>
        <w:gridCol w:w="774"/>
      </w:tblGrid>
      <w:tr w:rsidR="00EB0BD7" w:rsidRPr="00EB0BD7" w14:paraId="57BAD867" w14:textId="77777777">
        <w:trPr>
          <w:tblCellSpacing w:w="0" w:type="dxa"/>
        </w:trPr>
        <w:tc>
          <w:tcPr>
            <w:tcW w:w="920" w:type="dxa"/>
            <w:shd w:val="clear" w:color="auto" w:fill="FFFFFF"/>
            <w:tcMar>
              <w:top w:w="15" w:type="dxa"/>
              <w:left w:w="15" w:type="dxa"/>
              <w:bottom w:w="15" w:type="dxa"/>
              <w:right w:w="15" w:type="dxa"/>
            </w:tcMar>
            <w:vAlign w:val="center"/>
            <w:hideMark/>
          </w:tcPr>
          <w:p w14:paraId="682AC5FF" w14:textId="77777777" w:rsidR="00EB0BD7" w:rsidRPr="00EB0BD7" w:rsidRDefault="00EB0BD7" w:rsidP="00EB0BD7">
            <w:r w:rsidRPr="00EB0BD7">
              <w:rPr>
                <w:b/>
                <w:bCs/>
              </w:rPr>
              <w:t>Resource</w:t>
            </w:r>
          </w:p>
        </w:tc>
        <w:tc>
          <w:tcPr>
            <w:tcW w:w="894" w:type="dxa"/>
            <w:shd w:val="clear" w:color="auto" w:fill="FFFFFF"/>
            <w:tcMar>
              <w:top w:w="15" w:type="dxa"/>
              <w:left w:w="15" w:type="dxa"/>
              <w:bottom w:w="15" w:type="dxa"/>
              <w:right w:w="15" w:type="dxa"/>
            </w:tcMar>
            <w:vAlign w:val="center"/>
            <w:hideMark/>
          </w:tcPr>
          <w:p w14:paraId="4BFABB1A" w14:textId="77777777" w:rsidR="00EB0BD7" w:rsidRPr="00EB0BD7" w:rsidRDefault="00EB0BD7" w:rsidP="00EB0BD7">
            <w:r w:rsidRPr="00EB0BD7">
              <w:rPr>
                <w:b/>
                <w:bCs/>
              </w:rPr>
              <w:t>Quantity</w:t>
            </w:r>
          </w:p>
        </w:tc>
        <w:tc>
          <w:tcPr>
            <w:tcW w:w="1466" w:type="dxa"/>
            <w:shd w:val="clear" w:color="auto" w:fill="FFFFFF"/>
            <w:tcMar>
              <w:top w:w="15" w:type="dxa"/>
              <w:left w:w="15" w:type="dxa"/>
              <w:bottom w:w="15" w:type="dxa"/>
              <w:right w:w="15" w:type="dxa"/>
            </w:tcMar>
            <w:vAlign w:val="center"/>
            <w:hideMark/>
          </w:tcPr>
          <w:p w14:paraId="6CE8AAC3" w14:textId="77777777" w:rsidR="00EB0BD7" w:rsidRPr="00EB0BD7" w:rsidRDefault="00EB0BD7" w:rsidP="00EB0BD7">
            <w:r w:rsidRPr="00EB0BD7">
              <w:rPr>
                <w:b/>
                <w:bCs/>
              </w:rPr>
              <w:t>Allocation</w:t>
            </w:r>
          </w:p>
        </w:tc>
        <w:tc>
          <w:tcPr>
            <w:tcW w:w="774" w:type="dxa"/>
            <w:shd w:val="clear" w:color="auto" w:fill="FFFFFF"/>
            <w:tcMar>
              <w:top w:w="15" w:type="dxa"/>
              <w:left w:w="15" w:type="dxa"/>
              <w:bottom w:w="15" w:type="dxa"/>
              <w:right w:w="15" w:type="dxa"/>
            </w:tcMar>
            <w:vAlign w:val="center"/>
            <w:hideMark/>
          </w:tcPr>
          <w:p w14:paraId="34EBDE45" w14:textId="77777777" w:rsidR="00EB0BD7" w:rsidRPr="00EB0BD7" w:rsidRDefault="00EB0BD7" w:rsidP="00EB0BD7">
            <w:r w:rsidRPr="00EB0BD7">
              <w:rPr>
                <w:b/>
                <w:bCs/>
              </w:rPr>
              <w:t>Cost ($M)</w:t>
            </w:r>
          </w:p>
        </w:tc>
      </w:tr>
      <w:tr w:rsidR="00EB0BD7" w:rsidRPr="00EB0BD7" w14:paraId="6CD483EA" w14:textId="77777777">
        <w:trPr>
          <w:tblCellSpacing w:w="0" w:type="dxa"/>
        </w:trPr>
        <w:tc>
          <w:tcPr>
            <w:tcW w:w="920" w:type="dxa"/>
            <w:shd w:val="clear" w:color="auto" w:fill="FFFFFF"/>
            <w:tcMar>
              <w:top w:w="15" w:type="dxa"/>
              <w:left w:w="15" w:type="dxa"/>
              <w:bottom w:w="15" w:type="dxa"/>
              <w:right w:w="15" w:type="dxa"/>
            </w:tcMar>
            <w:vAlign w:val="center"/>
            <w:hideMark/>
          </w:tcPr>
          <w:p w14:paraId="360CD15E" w14:textId="77777777" w:rsidR="00EB0BD7" w:rsidRPr="00EB0BD7" w:rsidRDefault="00EB0BD7" w:rsidP="00EB0BD7">
            <w:r w:rsidRPr="00EB0BD7">
              <w:t>Labor</w:t>
            </w:r>
          </w:p>
        </w:tc>
        <w:tc>
          <w:tcPr>
            <w:tcW w:w="894" w:type="dxa"/>
            <w:shd w:val="clear" w:color="auto" w:fill="FFFFFF"/>
            <w:tcMar>
              <w:top w:w="15" w:type="dxa"/>
              <w:left w:w="15" w:type="dxa"/>
              <w:bottom w:w="15" w:type="dxa"/>
              <w:right w:w="15" w:type="dxa"/>
            </w:tcMar>
            <w:vAlign w:val="center"/>
            <w:hideMark/>
          </w:tcPr>
          <w:p w14:paraId="24C8D6D8" w14:textId="77777777" w:rsidR="00EB0BD7" w:rsidRPr="00EB0BD7" w:rsidRDefault="00EB0BD7" w:rsidP="00EB0BD7">
            <w:r w:rsidRPr="00EB0BD7">
              <w:t>300 workers</w:t>
            </w:r>
          </w:p>
        </w:tc>
        <w:tc>
          <w:tcPr>
            <w:tcW w:w="1466" w:type="dxa"/>
            <w:shd w:val="clear" w:color="auto" w:fill="FFFFFF"/>
            <w:tcMar>
              <w:top w:w="15" w:type="dxa"/>
              <w:left w:w="15" w:type="dxa"/>
              <w:bottom w:w="15" w:type="dxa"/>
              <w:right w:w="15" w:type="dxa"/>
            </w:tcMar>
            <w:vAlign w:val="center"/>
            <w:hideMark/>
          </w:tcPr>
          <w:p w14:paraId="47E6F230" w14:textId="77777777" w:rsidR="00EB0BD7" w:rsidRPr="00EB0BD7" w:rsidRDefault="00EB0BD7" w:rsidP="00EB0BD7">
            <w:r w:rsidRPr="00EB0BD7">
              <w:t>Execution 70%</w:t>
            </w:r>
          </w:p>
        </w:tc>
        <w:tc>
          <w:tcPr>
            <w:tcW w:w="774" w:type="dxa"/>
            <w:shd w:val="clear" w:color="auto" w:fill="FFFFFF"/>
            <w:tcMar>
              <w:top w:w="15" w:type="dxa"/>
              <w:left w:w="15" w:type="dxa"/>
              <w:bottom w:w="15" w:type="dxa"/>
              <w:right w:w="15" w:type="dxa"/>
            </w:tcMar>
            <w:vAlign w:val="center"/>
            <w:hideMark/>
          </w:tcPr>
          <w:p w14:paraId="01E5ED7D" w14:textId="77777777" w:rsidR="00EB0BD7" w:rsidRPr="00EB0BD7" w:rsidRDefault="00EB0BD7" w:rsidP="00EB0BD7">
            <w:r w:rsidRPr="00EB0BD7">
              <w:t>150</w:t>
            </w:r>
          </w:p>
        </w:tc>
      </w:tr>
      <w:tr w:rsidR="00EB0BD7" w:rsidRPr="00EB0BD7" w14:paraId="288ACA71" w14:textId="77777777">
        <w:trPr>
          <w:tblCellSpacing w:w="0" w:type="dxa"/>
        </w:trPr>
        <w:tc>
          <w:tcPr>
            <w:tcW w:w="920" w:type="dxa"/>
            <w:shd w:val="clear" w:color="auto" w:fill="FFFFFF"/>
            <w:tcMar>
              <w:top w:w="15" w:type="dxa"/>
              <w:left w:w="15" w:type="dxa"/>
              <w:bottom w:w="15" w:type="dxa"/>
              <w:right w:w="15" w:type="dxa"/>
            </w:tcMar>
            <w:vAlign w:val="center"/>
            <w:hideMark/>
          </w:tcPr>
          <w:p w14:paraId="2FD587FF" w14:textId="77777777" w:rsidR="00EB0BD7" w:rsidRPr="00EB0BD7" w:rsidRDefault="00EB0BD7" w:rsidP="00EB0BD7">
            <w:r w:rsidRPr="00EB0BD7">
              <w:t>Equipment</w:t>
            </w:r>
          </w:p>
        </w:tc>
        <w:tc>
          <w:tcPr>
            <w:tcW w:w="894" w:type="dxa"/>
            <w:shd w:val="clear" w:color="auto" w:fill="FFFFFF"/>
            <w:tcMar>
              <w:top w:w="15" w:type="dxa"/>
              <w:left w:w="15" w:type="dxa"/>
              <w:bottom w:w="15" w:type="dxa"/>
              <w:right w:w="15" w:type="dxa"/>
            </w:tcMar>
            <w:vAlign w:val="center"/>
            <w:hideMark/>
          </w:tcPr>
          <w:p w14:paraId="2DCEFFE7" w14:textId="77777777" w:rsidR="00EB0BD7" w:rsidRPr="00EB0BD7" w:rsidRDefault="00EB0BD7" w:rsidP="00EB0BD7">
            <w:r w:rsidRPr="00EB0BD7">
              <w:t>200 pieces</w:t>
            </w:r>
          </w:p>
        </w:tc>
        <w:tc>
          <w:tcPr>
            <w:tcW w:w="1466" w:type="dxa"/>
            <w:shd w:val="clear" w:color="auto" w:fill="FFFFFF"/>
            <w:tcMar>
              <w:top w:w="15" w:type="dxa"/>
              <w:left w:w="15" w:type="dxa"/>
              <w:bottom w:w="15" w:type="dxa"/>
              <w:right w:w="15" w:type="dxa"/>
            </w:tcMar>
            <w:vAlign w:val="center"/>
            <w:hideMark/>
          </w:tcPr>
          <w:p w14:paraId="793C1895" w14:textId="77777777" w:rsidR="00EB0BD7" w:rsidRPr="00EB0BD7" w:rsidRDefault="00EB0BD7" w:rsidP="00EB0BD7">
            <w:r w:rsidRPr="00EB0BD7">
              <w:t>Reconstruction 80%</w:t>
            </w:r>
          </w:p>
        </w:tc>
        <w:tc>
          <w:tcPr>
            <w:tcW w:w="774" w:type="dxa"/>
            <w:shd w:val="clear" w:color="auto" w:fill="FFFFFF"/>
            <w:tcMar>
              <w:top w:w="15" w:type="dxa"/>
              <w:left w:w="15" w:type="dxa"/>
              <w:bottom w:w="15" w:type="dxa"/>
              <w:right w:w="15" w:type="dxa"/>
            </w:tcMar>
            <w:vAlign w:val="center"/>
            <w:hideMark/>
          </w:tcPr>
          <w:p w14:paraId="1187F9E7" w14:textId="77777777" w:rsidR="00EB0BD7" w:rsidRPr="00EB0BD7" w:rsidRDefault="00EB0BD7" w:rsidP="00EB0BD7">
            <w:r w:rsidRPr="00EB0BD7">
              <w:t>100</w:t>
            </w:r>
          </w:p>
        </w:tc>
      </w:tr>
      <w:tr w:rsidR="00EB0BD7" w:rsidRPr="00EB0BD7" w14:paraId="01065380" w14:textId="77777777">
        <w:trPr>
          <w:tblCellSpacing w:w="0" w:type="dxa"/>
        </w:trPr>
        <w:tc>
          <w:tcPr>
            <w:tcW w:w="920" w:type="dxa"/>
            <w:shd w:val="clear" w:color="auto" w:fill="FFFFFF"/>
            <w:tcMar>
              <w:top w:w="15" w:type="dxa"/>
              <w:left w:w="15" w:type="dxa"/>
              <w:bottom w:w="15" w:type="dxa"/>
              <w:right w:w="15" w:type="dxa"/>
            </w:tcMar>
            <w:vAlign w:val="center"/>
            <w:hideMark/>
          </w:tcPr>
          <w:p w14:paraId="6F851B61" w14:textId="77777777" w:rsidR="00EB0BD7" w:rsidRPr="00EB0BD7" w:rsidRDefault="00EB0BD7" w:rsidP="00EB0BD7">
            <w:r w:rsidRPr="00EB0BD7">
              <w:t>Materials</w:t>
            </w:r>
          </w:p>
        </w:tc>
        <w:tc>
          <w:tcPr>
            <w:tcW w:w="894" w:type="dxa"/>
            <w:shd w:val="clear" w:color="auto" w:fill="FFFFFF"/>
            <w:tcMar>
              <w:top w:w="15" w:type="dxa"/>
              <w:left w:w="15" w:type="dxa"/>
              <w:bottom w:w="15" w:type="dxa"/>
              <w:right w:w="15" w:type="dxa"/>
            </w:tcMar>
            <w:vAlign w:val="center"/>
            <w:hideMark/>
          </w:tcPr>
          <w:p w14:paraId="60783945" w14:textId="77777777" w:rsidR="00EB0BD7" w:rsidRPr="00EB0BD7" w:rsidRDefault="00EB0BD7" w:rsidP="00EB0BD7">
            <w:r w:rsidRPr="00EB0BD7">
              <w:t>400,000 m³</w:t>
            </w:r>
          </w:p>
        </w:tc>
        <w:tc>
          <w:tcPr>
            <w:tcW w:w="1466" w:type="dxa"/>
            <w:shd w:val="clear" w:color="auto" w:fill="FFFFFF"/>
            <w:tcMar>
              <w:top w:w="15" w:type="dxa"/>
              <w:left w:w="15" w:type="dxa"/>
              <w:bottom w:w="15" w:type="dxa"/>
              <w:right w:w="15" w:type="dxa"/>
            </w:tcMar>
            <w:vAlign w:val="center"/>
            <w:hideMark/>
          </w:tcPr>
          <w:p w14:paraId="7F39EE98" w14:textId="77777777" w:rsidR="00EB0BD7" w:rsidRPr="00EB0BD7" w:rsidRDefault="00EB0BD7" w:rsidP="00EB0BD7">
            <w:r w:rsidRPr="00EB0BD7">
              <w:t>Bridges 60%</w:t>
            </w:r>
          </w:p>
        </w:tc>
        <w:tc>
          <w:tcPr>
            <w:tcW w:w="774" w:type="dxa"/>
            <w:shd w:val="clear" w:color="auto" w:fill="FFFFFF"/>
            <w:tcMar>
              <w:top w:w="15" w:type="dxa"/>
              <w:left w:w="15" w:type="dxa"/>
              <w:bottom w:w="15" w:type="dxa"/>
              <w:right w:w="15" w:type="dxa"/>
            </w:tcMar>
            <w:vAlign w:val="center"/>
            <w:hideMark/>
          </w:tcPr>
          <w:p w14:paraId="6C8337F3" w14:textId="77777777" w:rsidR="00EB0BD7" w:rsidRPr="00EB0BD7" w:rsidRDefault="00EB0BD7" w:rsidP="00EB0BD7">
            <w:r w:rsidRPr="00EB0BD7">
              <w:t>200</w:t>
            </w:r>
          </w:p>
        </w:tc>
      </w:tr>
      <w:tr w:rsidR="00EB0BD7" w:rsidRPr="00EB0BD7" w14:paraId="463FA2F8" w14:textId="77777777">
        <w:trPr>
          <w:tblCellSpacing w:w="0" w:type="dxa"/>
        </w:trPr>
        <w:tc>
          <w:tcPr>
            <w:tcW w:w="920" w:type="dxa"/>
            <w:shd w:val="clear" w:color="auto" w:fill="FFFFFF"/>
            <w:tcMar>
              <w:top w:w="15" w:type="dxa"/>
              <w:left w:w="15" w:type="dxa"/>
              <w:bottom w:w="15" w:type="dxa"/>
              <w:right w:w="15" w:type="dxa"/>
            </w:tcMar>
            <w:vAlign w:val="center"/>
            <w:hideMark/>
          </w:tcPr>
          <w:p w14:paraId="6ABE1077" w14:textId="77777777" w:rsidR="00EB0BD7" w:rsidRPr="00EB0BD7" w:rsidRDefault="00EB0BD7" w:rsidP="00EB0BD7">
            <w:r w:rsidRPr="00EB0BD7">
              <w:t>Contingency</w:t>
            </w:r>
          </w:p>
        </w:tc>
        <w:tc>
          <w:tcPr>
            <w:tcW w:w="894" w:type="dxa"/>
            <w:shd w:val="clear" w:color="auto" w:fill="FFFFFF"/>
            <w:tcMar>
              <w:top w:w="15" w:type="dxa"/>
              <w:left w:w="15" w:type="dxa"/>
              <w:bottom w:w="15" w:type="dxa"/>
              <w:right w:w="15" w:type="dxa"/>
            </w:tcMar>
            <w:vAlign w:val="center"/>
            <w:hideMark/>
          </w:tcPr>
          <w:p w14:paraId="188AA390" w14:textId="77777777" w:rsidR="00EB0BD7" w:rsidRPr="00EB0BD7" w:rsidRDefault="00EB0BD7" w:rsidP="00EB0BD7">
            <w:r w:rsidRPr="00EB0BD7">
              <w:t>N/A</w:t>
            </w:r>
          </w:p>
        </w:tc>
        <w:tc>
          <w:tcPr>
            <w:tcW w:w="1466" w:type="dxa"/>
            <w:shd w:val="clear" w:color="auto" w:fill="FFFFFF"/>
            <w:tcMar>
              <w:top w:w="15" w:type="dxa"/>
              <w:left w:w="15" w:type="dxa"/>
              <w:bottom w:w="15" w:type="dxa"/>
              <w:right w:w="15" w:type="dxa"/>
            </w:tcMar>
            <w:vAlign w:val="center"/>
            <w:hideMark/>
          </w:tcPr>
          <w:p w14:paraId="19B193B2" w14:textId="77777777" w:rsidR="00EB0BD7" w:rsidRPr="00EB0BD7" w:rsidRDefault="00EB0BD7" w:rsidP="00EB0BD7">
            <w:r w:rsidRPr="00EB0BD7">
              <w:t>10%</w:t>
            </w:r>
          </w:p>
        </w:tc>
        <w:tc>
          <w:tcPr>
            <w:tcW w:w="774" w:type="dxa"/>
            <w:shd w:val="clear" w:color="auto" w:fill="FFFFFF"/>
            <w:tcMar>
              <w:top w:w="15" w:type="dxa"/>
              <w:left w:w="15" w:type="dxa"/>
              <w:bottom w:w="15" w:type="dxa"/>
              <w:right w:w="15" w:type="dxa"/>
            </w:tcMar>
            <w:vAlign w:val="center"/>
            <w:hideMark/>
          </w:tcPr>
          <w:p w14:paraId="4C7BD8F9" w14:textId="77777777" w:rsidR="00EB0BD7" w:rsidRPr="00EB0BD7" w:rsidRDefault="00EB0BD7" w:rsidP="00EB0BD7">
            <w:r w:rsidRPr="00EB0BD7">
              <w:t>50</w:t>
            </w:r>
          </w:p>
        </w:tc>
      </w:tr>
    </w:tbl>
    <w:p w14:paraId="125BEE1F" w14:textId="77777777" w:rsidR="00EB0BD7" w:rsidRDefault="00EB0BD7" w:rsidP="00EB0BD7">
      <w:r w:rsidRPr="00EB0BD7">
        <w:t>Total: $500M. Procurement prioritizes local suppliers to mitigate shortages (Global News, 2023). 10</w:t>
      </w:r>
    </w:p>
    <w:p w14:paraId="3BAA1601" w14:textId="77777777" w:rsidR="005431A2" w:rsidRDefault="005431A2" w:rsidP="000851F3">
      <w:pPr>
        <w:rPr>
          <w:b/>
          <w:bCs/>
        </w:rPr>
      </w:pPr>
    </w:p>
    <w:p w14:paraId="33574E64" w14:textId="77777777" w:rsidR="005431A2" w:rsidRDefault="005431A2" w:rsidP="000851F3">
      <w:pPr>
        <w:rPr>
          <w:b/>
          <w:bCs/>
        </w:rPr>
      </w:pPr>
    </w:p>
    <w:p w14:paraId="07A9B240" w14:textId="77777777" w:rsidR="005431A2" w:rsidRDefault="005431A2" w:rsidP="000851F3">
      <w:pPr>
        <w:rPr>
          <w:b/>
          <w:bCs/>
        </w:rPr>
      </w:pPr>
    </w:p>
    <w:p w14:paraId="5DB0408C" w14:textId="77777777" w:rsidR="005431A2" w:rsidRDefault="005431A2" w:rsidP="000851F3">
      <w:pPr>
        <w:rPr>
          <w:b/>
          <w:bCs/>
        </w:rPr>
      </w:pPr>
    </w:p>
    <w:p w14:paraId="6F2673AC" w14:textId="77777777" w:rsidR="005431A2" w:rsidRDefault="005431A2" w:rsidP="000851F3">
      <w:pPr>
        <w:rPr>
          <w:b/>
          <w:bCs/>
        </w:rPr>
      </w:pPr>
    </w:p>
    <w:p w14:paraId="2E67EE4F" w14:textId="77777777" w:rsidR="005431A2" w:rsidRDefault="005431A2" w:rsidP="000851F3">
      <w:pPr>
        <w:rPr>
          <w:b/>
          <w:bCs/>
        </w:rPr>
      </w:pPr>
    </w:p>
    <w:p w14:paraId="2F5C3088" w14:textId="31308B97" w:rsidR="000851F3" w:rsidRPr="000851F3" w:rsidRDefault="000851F3" w:rsidP="000851F3">
      <w:r w:rsidRPr="000851F3">
        <w:rPr>
          <w:b/>
          <w:bCs/>
        </w:rPr>
        <w:lastRenderedPageBreak/>
        <w:t>Risk Analysis</w:t>
      </w:r>
    </w:p>
    <w:p w14:paraId="7EBE9630" w14:textId="77777777" w:rsidR="000851F3" w:rsidRPr="000851F3" w:rsidRDefault="000851F3" w:rsidP="000851F3">
      <w:r w:rsidRPr="000851F3">
        <w:t>Risks analyzed qualitatively, expanded with examples from BC floods.</w:t>
      </w:r>
    </w:p>
    <w:p w14:paraId="507FD1E9" w14:textId="77777777" w:rsidR="005431A2" w:rsidRDefault="005431A2" w:rsidP="000851F3"/>
    <w:p w14:paraId="7094A5E6" w14:textId="6AC98853" w:rsidR="000851F3" w:rsidRPr="000851F3" w:rsidRDefault="000851F3" w:rsidP="000851F3">
      <w:r w:rsidRPr="000851F3">
        <w:t>Table 3: Risk Register</w:t>
      </w:r>
    </w:p>
    <w:tbl>
      <w:tblPr>
        <w:tblW w:w="0" w:type="auto"/>
        <w:tblCellSpacing w:w="0" w:type="dxa"/>
        <w:tblCellMar>
          <w:left w:w="0" w:type="dxa"/>
          <w:right w:w="0" w:type="dxa"/>
        </w:tblCellMar>
        <w:tblLook w:val="04A0" w:firstRow="1" w:lastRow="0" w:firstColumn="1" w:lastColumn="0" w:noHBand="0" w:noVBand="1"/>
      </w:tblPr>
      <w:tblGrid>
        <w:gridCol w:w="666"/>
        <w:gridCol w:w="600"/>
        <w:gridCol w:w="1535"/>
        <w:gridCol w:w="666"/>
        <w:gridCol w:w="1911"/>
        <w:gridCol w:w="847"/>
        <w:gridCol w:w="1954"/>
        <w:gridCol w:w="847"/>
      </w:tblGrid>
      <w:tr w:rsidR="000851F3" w:rsidRPr="000851F3" w14:paraId="37BEF575" w14:textId="77777777" w:rsidTr="005431A2">
        <w:trPr>
          <w:tblCellSpacing w:w="0" w:type="dxa"/>
        </w:trPr>
        <w:tc>
          <w:tcPr>
            <w:tcW w:w="1266" w:type="dxa"/>
            <w:gridSpan w:val="2"/>
            <w:tcMar>
              <w:top w:w="15" w:type="dxa"/>
              <w:left w:w="15" w:type="dxa"/>
              <w:bottom w:w="15" w:type="dxa"/>
              <w:right w:w="15" w:type="dxa"/>
            </w:tcMar>
            <w:vAlign w:val="center"/>
            <w:hideMark/>
          </w:tcPr>
          <w:p w14:paraId="11AD4924" w14:textId="77777777" w:rsidR="000851F3" w:rsidRPr="000851F3" w:rsidRDefault="000851F3" w:rsidP="000851F3">
            <w:pPr>
              <w:rPr>
                <w:sz w:val="18"/>
                <w:szCs w:val="18"/>
              </w:rPr>
            </w:pPr>
            <w:r w:rsidRPr="000851F3">
              <w:rPr>
                <w:b/>
                <w:bCs/>
                <w:sz w:val="18"/>
                <w:szCs w:val="18"/>
              </w:rPr>
              <w:t>Risk</w:t>
            </w:r>
          </w:p>
        </w:tc>
        <w:tc>
          <w:tcPr>
            <w:tcW w:w="1535" w:type="dxa"/>
            <w:tcMar>
              <w:top w:w="15" w:type="dxa"/>
              <w:left w:w="15" w:type="dxa"/>
              <w:bottom w:w="15" w:type="dxa"/>
              <w:right w:w="15" w:type="dxa"/>
            </w:tcMar>
            <w:vAlign w:val="center"/>
            <w:hideMark/>
          </w:tcPr>
          <w:p w14:paraId="3FDBA2CD" w14:textId="77777777" w:rsidR="000851F3" w:rsidRPr="000851F3" w:rsidRDefault="000851F3" w:rsidP="000851F3">
            <w:pPr>
              <w:rPr>
                <w:sz w:val="18"/>
                <w:szCs w:val="18"/>
              </w:rPr>
            </w:pPr>
            <w:r w:rsidRPr="000851F3">
              <w:rPr>
                <w:b/>
                <w:bCs/>
                <w:sz w:val="18"/>
                <w:szCs w:val="18"/>
              </w:rPr>
              <w:t>Prob.</w:t>
            </w:r>
          </w:p>
        </w:tc>
        <w:tc>
          <w:tcPr>
            <w:tcW w:w="666" w:type="dxa"/>
            <w:tcMar>
              <w:top w:w="15" w:type="dxa"/>
              <w:left w:w="15" w:type="dxa"/>
              <w:bottom w:w="15" w:type="dxa"/>
              <w:right w:w="15" w:type="dxa"/>
            </w:tcMar>
            <w:vAlign w:val="center"/>
            <w:hideMark/>
          </w:tcPr>
          <w:p w14:paraId="68015934" w14:textId="77777777" w:rsidR="000851F3" w:rsidRPr="000851F3" w:rsidRDefault="000851F3" w:rsidP="000851F3">
            <w:pPr>
              <w:rPr>
                <w:sz w:val="18"/>
                <w:szCs w:val="18"/>
              </w:rPr>
            </w:pPr>
            <w:r w:rsidRPr="000851F3">
              <w:rPr>
                <w:b/>
                <w:bCs/>
                <w:sz w:val="18"/>
                <w:szCs w:val="18"/>
              </w:rPr>
              <w:t>Impact</w:t>
            </w:r>
          </w:p>
        </w:tc>
        <w:tc>
          <w:tcPr>
            <w:tcW w:w="4712" w:type="dxa"/>
            <w:gridSpan w:val="3"/>
            <w:tcMar>
              <w:top w:w="15" w:type="dxa"/>
              <w:left w:w="15" w:type="dxa"/>
              <w:bottom w:w="15" w:type="dxa"/>
              <w:right w:w="15" w:type="dxa"/>
            </w:tcMar>
            <w:vAlign w:val="center"/>
            <w:hideMark/>
          </w:tcPr>
          <w:p w14:paraId="16C80BB7" w14:textId="77777777" w:rsidR="000851F3" w:rsidRPr="000851F3" w:rsidRDefault="000851F3" w:rsidP="000851F3">
            <w:pPr>
              <w:rPr>
                <w:sz w:val="18"/>
                <w:szCs w:val="18"/>
              </w:rPr>
            </w:pPr>
            <w:r w:rsidRPr="000851F3">
              <w:rPr>
                <w:b/>
                <w:bCs/>
                <w:sz w:val="18"/>
                <w:szCs w:val="18"/>
              </w:rPr>
              <w:t>Description/Examples</w:t>
            </w:r>
          </w:p>
        </w:tc>
        <w:tc>
          <w:tcPr>
            <w:tcW w:w="847" w:type="dxa"/>
            <w:tcMar>
              <w:top w:w="15" w:type="dxa"/>
              <w:left w:w="15" w:type="dxa"/>
              <w:bottom w:w="15" w:type="dxa"/>
              <w:right w:w="15" w:type="dxa"/>
            </w:tcMar>
            <w:vAlign w:val="center"/>
            <w:hideMark/>
          </w:tcPr>
          <w:p w14:paraId="13762D92" w14:textId="77777777" w:rsidR="000851F3" w:rsidRPr="000851F3" w:rsidRDefault="000851F3" w:rsidP="000851F3">
            <w:pPr>
              <w:rPr>
                <w:sz w:val="18"/>
                <w:szCs w:val="18"/>
              </w:rPr>
            </w:pPr>
            <w:r w:rsidRPr="000851F3">
              <w:rPr>
                <w:b/>
                <w:bCs/>
                <w:sz w:val="18"/>
                <w:szCs w:val="18"/>
              </w:rPr>
              <w:t>Mitigation</w:t>
            </w:r>
          </w:p>
        </w:tc>
      </w:tr>
      <w:tr w:rsidR="000851F3" w:rsidRPr="000851F3" w14:paraId="4E1182CE" w14:textId="77777777" w:rsidTr="005431A2">
        <w:trPr>
          <w:tblCellSpacing w:w="0" w:type="dxa"/>
        </w:trPr>
        <w:tc>
          <w:tcPr>
            <w:tcW w:w="1266" w:type="dxa"/>
            <w:gridSpan w:val="2"/>
            <w:tcMar>
              <w:top w:w="15" w:type="dxa"/>
              <w:left w:w="15" w:type="dxa"/>
              <w:bottom w:w="15" w:type="dxa"/>
              <w:right w:w="15" w:type="dxa"/>
            </w:tcMar>
            <w:vAlign w:val="center"/>
            <w:hideMark/>
          </w:tcPr>
          <w:p w14:paraId="33DB64EB" w14:textId="77777777" w:rsidR="000851F3" w:rsidRPr="000851F3" w:rsidRDefault="000851F3" w:rsidP="000851F3">
            <w:pPr>
              <w:rPr>
                <w:sz w:val="18"/>
                <w:szCs w:val="18"/>
              </w:rPr>
            </w:pPr>
            <w:r w:rsidRPr="000851F3">
              <w:rPr>
                <w:sz w:val="18"/>
                <w:szCs w:val="18"/>
              </w:rPr>
              <w:t>Weather Delays</w:t>
            </w:r>
          </w:p>
        </w:tc>
        <w:tc>
          <w:tcPr>
            <w:tcW w:w="1535" w:type="dxa"/>
            <w:tcMar>
              <w:top w:w="15" w:type="dxa"/>
              <w:left w:w="15" w:type="dxa"/>
              <w:bottom w:w="15" w:type="dxa"/>
              <w:right w:w="15" w:type="dxa"/>
            </w:tcMar>
            <w:vAlign w:val="center"/>
            <w:hideMark/>
          </w:tcPr>
          <w:p w14:paraId="02BB55EE" w14:textId="77777777" w:rsidR="000851F3" w:rsidRPr="000851F3" w:rsidRDefault="000851F3" w:rsidP="000851F3">
            <w:pPr>
              <w:rPr>
                <w:sz w:val="18"/>
                <w:szCs w:val="18"/>
              </w:rPr>
            </w:pPr>
            <w:r w:rsidRPr="000851F3">
              <w:rPr>
                <w:sz w:val="18"/>
                <w:szCs w:val="18"/>
              </w:rPr>
              <w:t>High</w:t>
            </w:r>
          </w:p>
        </w:tc>
        <w:tc>
          <w:tcPr>
            <w:tcW w:w="666" w:type="dxa"/>
            <w:tcMar>
              <w:top w:w="15" w:type="dxa"/>
              <w:left w:w="15" w:type="dxa"/>
              <w:bottom w:w="15" w:type="dxa"/>
              <w:right w:w="15" w:type="dxa"/>
            </w:tcMar>
            <w:vAlign w:val="center"/>
            <w:hideMark/>
          </w:tcPr>
          <w:p w14:paraId="67DC34AB" w14:textId="77777777" w:rsidR="000851F3" w:rsidRPr="000851F3" w:rsidRDefault="000851F3" w:rsidP="000851F3">
            <w:pPr>
              <w:rPr>
                <w:sz w:val="18"/>
                <w:szCs w:val="18"/>
              </w:rPr>
            </w:pPr>
            <w:r w:rsidRPr="000851F3">
              <w:rPr>
                <w:sz w:val="18"/>
                <w:szCs w:val="18"/>
              </w:rPr>
              <w:t>High</w:t>
            </w:r>
          </w:p>
        </w:tc>
        <w:tc>
          <w:tcPr>
            <w:tcW w:w="4712" w:type="dxa"/>
            <w:gridSpan w:val="3"/>
            <w:tcMar>
              <w:top w:w="15" w:type="dxa"/>
              <w:left w:w="15" w:type="dxa"/>
              <w:bottom w:w="15" w:type="dxa"/>
              <w:right w:w="15" w:type="dxa"/>
            </w:tcMar>
            <w:vAlign w:val="center"/>
            <w:hideMark/>
          </w:tcPr>
          <w:p w14:paraId="05DD8095" w14:textId="77777777" w:rsidR="000851F3" w:rsidRPr="000851F3" w:rsidRDefault="000851F3" w:rsidP="000851F3">
            <w:pPr>
              <w:rPr>
                <w:sz w:val="18"/>
                <w:szCs w:val="18"/>
              </w:rPr>
            </w:pPr>
            <w:r w:rsidRPr="000851F3">
              <w:rPr>
                <w:sz w:val="18"/>
                <w:szCs w:val="18"/>
              </w:rPr>
              <w:t>Additional rains/snow halting work; e.g., 2021-2022 storms paused operations (Government of British Columbia, 2024).</w:t>
            </w:r>
          </w:p>
        </w:tc>
        <w:tc>
          <w:tcPr>
            <w:tcW w:w="847" w:type="dxa"/>
            <w:tcMar>
              <w:top w:w="15" w:type="dxa"/>
              <w:left w:w="15" w:type="dxa"/>
              <w:bottom w:w="15" w:type="dxa"/>
              <w:right w:w="15" w:type="dxa"/>
            </w:tcMar>
            <w:vAlign w:val="center"/>
            <w:hideMark/>
          </w:tcPr>
          <w:p w14:paraId="1D9A934C" w14:textId="77777777" w:rsidR="000851F3" w:rsidRPr="000851F3" w:rsidRDefault="000851F3" w:rsidP="000851F3">
            <w:pPr>
              <w:rPr>
                <w:sz w:val="18"/>
                <w:szCs w:val="18"/>
              </w:rPr>
            </w:pPr>
          </w:p>
        </w:tc>
      </w:tr>
      <w:tr w:rsidR="000851F3" w:rsidRPr="000851F3" w14:paraId="55838220" w14:textId="77777777" w:rsidTr="005431A2">
        <w:trPr>
          <w:tblCellSpacing w:w="0" w:type="dxa"/>
        </w:trPr>
        <w:tc>
          <w:tcPr>
            <w:tcW w:w="1266" w:type="dxa"/>
            <w:gridSpan w:val="2"/>
            <w:tcMar>
              <w:top w:w="15" w:type="dxa"/>
              <w:left w:w="15" w:type="dxa"/>
              <w:bottom w:w="15" w:type="dxa"/>
              <w:right w:w="15" w:type="dxa"/>
            </w:tcMar>
            <w:vAlign w:val="center"/>
            <w:hideMark/>
          </w:tcPr>
          <w:p w14:paraId="10D3FB85" w14:textId="77777777" w:rsidR="000851F3" w:rsidRPr="000851F3" w:rsidRDefault="000851F3" w:rsidP="000851F3">
            <w:pPr>
              <w:rPr>
                <w:sz w:val="18"/>
                <w:szCs w:val="18"/>
              </w:rPr>
            </w:pPr>
            <w:r w:rsidRPr="000851F3">
              <w:rPr>
                <w:sz w:val="18"/>
                <w:szCs w:val="18"/>
              </w:rPr>
              <w:t>11</w:t>
            </w:r>
          </w:p>
        </w:tc>
        <w:tc>
          <w:tcPr>
            <w:tcW w:w="1535" w:type="dxa"/>
            <w:tcMar>
              <w:top w:w="15" w:type="dxa"/>
              <w:left w:w="15" w:type="dxa"/>
              <w:bottom w:w="15" w:type="dxa"/>
              <w:right w:w="15" w:type="dxa"/>
            </w:tcMar>
            <w:vAlign w:val="center"/>
            <w:hideMark/>
          </w:tcPr>
          <w:p w14:paraId="2F64D943" w14:textId="77777777" w:rsidR="000851F3" w:rsidRPr="000851F3" w:rsidRDefault="000851F3" w:rsidP="000851F3">
            <w:pPr>
              <w:rPr>
                <w:sz w:val="18"/>
                <w:szCs w:val="18"/>
              </w:rPr>
            </w:pPr>
          </w:p>
        </w:tc>
        <w:tc>
          <w:tcPr>
            <w:tcW w:w="666" w:type="dxa"/>
            <w:tcMar>
              <w:top w:w="15" w:type="dxa"/>
              <w:left w:w="15" w:type="dxa"/>
              <w:bottom w:w="15" w:type="dxa"/>
              <w:right w:w="15" w:type="dxa"/>
            </w:tcMar>
            <w:vAlign w:val="center"/>
            <w:hideMark/>
          </w:tcPr>
          <w:p w14:paraId="4AEF9ECE"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65AC18E7"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16444E7B" w14:textId="77777777" w:rsidR="000851F3" w:rsidRPr="000851F3" w:rsidRDefault="000851F3" w:rsidP="000851F3">
            <w:pPr>
              <w:rPr>
                <w:sz w:val="18"/>
                <w:szCs w:val="18"/>
              </w:rPr>
            </w:pPr>
          </w:p>
        </w:tc>
      </w:tr>
      <w:tr w:rsidR="000851F3" w:rsidRPr="000851F3" w14:paraId="625FE8CA" w14:textId="77777777" w:rsidTr="005431A2">
        <w:trPr>
          <w:tblCellSpacing w:w="0" w:type="dxa"/>
        </w:trPr>
        <w:tc>
          <w:tcPr>
            <w:tcW w:w="1266" w:type="dxa"/>
            <w:gridSpan w:val="2"/>
            <w:tcMar>
              <w:top w:w="15" w:type="dxa"/>
              <w:left w:w="15" w:type="dxa"/>
              <w:bottom w:w="15" w:type="dxa"/>
              <w:right w:w="15" w:type="dxa"/>
            </w:tcMar>
            <w:vAlign w:val="center"/>
            <w:hideMark/>
          </w:tcPr>
          <w:p w14:paraId="3123DD5E" w14:textId="77777777" w:rsidR="000851F3" w:rsidRPr="000851F3" w:rsidRDefault="000851F3" w:rsidP="000851F3">
            <w:pPr>
              <w:rPr>
                <w:sz w:val="18"/>
                <w:szCs w:val="18"/>
              </w:rPr>
            </w:pPr>
          </w:p>
        </w:tc>
        <w:tc>
          <w:tcPr>
            <w:tcW w:w="1535" w:type="dxa"/>
            <w:tcMar>
              <w:top w:w="15" w:type="dxa"/>
              <w:left w:w="15" w:type="dxa"/>
              <w:bottom w:w="15" w:type="dxa"/>
              <w:right w:w="15" w:type="dxa"/>
            </w:tcMar>
            <w:vAlign w:val="center"/>
            <w:hideMark/>
          </w:tcPr>
          <w:p w14:paraId="47F02D86" w14:textId="77777777" w:rsidR="000851F3" w:rsidRPr="000851F3" w:rsidRDefault="000851F3" w:rsidP="000851F3">
            <w:pPr>
              <w:rPr>
                <w:sz w:val="18"/>
                <w:szCs w:val="18"/>
              </w:rPr>
            </w:pPr>
            <w:r w:rsidRPr="000851F3">
              <w:rPr>
                <w:sz w:val="18"/>
                <w:szCs w:val="18"/>
              </w:rPr>
              <w:t>Weather monitoring, flexible schedules.</w:t>
            </w:r>
          </w:p>
        </w:tc>
        <w:tc>
          <w:tcPr>
            <w:tcW w:w="666" w:type="dxa"/>
            <w:tcMar>
              <w:top w:w="15" w:type="dxa"/>
              <w:left w:w="15" w:type="dxa"/>
              <w:bottom w:w="15" w:type="dxa"/>
              <w:right w:w="15" w:type="dxa"/>
            </w:tcMar>
            <w:vAlign w:val="center"/>
            <w:hideMark/>
          </w:tcPr>
          <w:p w14:paraId="640F475E"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3931CB3F"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464F1185" w14:textId="77777777" w:rsidR="000851F3" w:rsidRPr="000851F3" w:rsidRDefault="000851F3" w:rsidP="000851F3">
            <w:pPr>
              <w:rPr>
                <w:sz w:val="18"/>
                <w:szCs w:val="18"/>
              </w:rPr>
            </w:pPr>
          </w:p>
        </w:tc>
      </w:tr>
      <w:tr w:rsidR="000851F3" w:rsidRPr="000851F3" w14:paraId="27CA9FAB" w14:textId="77777777" w:rsidTr="005431A2">
        <w:trPr>
          <w:tblCellSpacing w:w="0" w:type="dxa"/>
        </w:trPr>
        <w:tc>
          <w:tcPr>
            <w:tcW w:w="1266" w:type="dxa"/>
            <w:gridSpan w:val="2"/>
            <w:tcMar>
              <w:top w:w="15" w:type="dxa"/>
              <w:left w:w="15" w:type="dxa"/>
              <w:bottom w:w="15" w:type="dxa"/>
              <w:right w:w="15" w:type="dxa"/>
            </w:tcMar>
            <w:vAlign w:val="center"/>
            <w:hideMark/>
          </w:tcPr>
          <w:p w14:paraId="1472868B" w14:textId="77777777" w:rsidR="000851F3" w:rsidRPr="000851F3" w:rsidRDefault="000851F3" w:rsidP="000851F3">
            <w:pPr>
              <w:rPr>
                <w:sz w:val="18"/>
                <w:szCs w:val="18"/>
              </w:rPr>
            </w:pPr>
            <w:r w:rsidRPr="000851F3">
              <w:rPr>
                <w:sz w:val="18"/>
                <w:szCs w:val="18"/>
              </w:rPr>
              <w:t>Supply Chain</w:t>
            </w:r>
          </w:p>
        </w:tc>
        <w:tc>
          <w:tcPr>
            <w:tcW w:w="1535" w:type="dxa"/>
            <w:tcMar>
              <w:top w:w="15" w:type="dxa"/>
              <w:left w:w="15" w:type="dxa"/>
              <w:bottom w:w="15" w:type="dxa"/>
              <w:right w:w="15" w:type="dxa"/>
            </w:tcMar>
            <w:vAlign w:val="center"/>
            <w:hideMark/>
          </w:tcPr>
          <w:p w14:paraId="08A05153" w14:textId="77777777" w:rsidR="000851F3" w:rsidRPr="000851F3" w:rsidRDefault="000851F3" w:rsidP="000851F3">
            <w:pPr>
              <w:rPr>
                <w:sz w:val="18"/>
                <w:szCs w:val="18"/>
              </w:rPr>
            </w:pPr>
            <w:r w:rsidRPr="000851F3">
              <w:rPr>
                <w:sz w:val="18"/>
                <w:szCs w:val="18"/>
              </w:rPr>
              <w:t>Medium</w:t>
            </w:r>
          </w:p>
        </w:tc>
        <w:tc>
          <w:tcPr>
            <w:tcW w:w="666" w:type="dxa"/>
            <w:tcMar>
              <w:top w:w="15" w:type="dxa"/>
              <w:left w:w="15" w:type="dxa"/>
              <w:bottom w:w="15" w:type="dxa"/>
              <w:right w:w="15" w:type="dxa"/>
            </w:tcMar>
            <w:vAlign w:val="center"/>
            <w:hideMark/>
          </w:tcPr>
          <w:p w14:paraId="095C93EE" w14:textId="77777777" w:rsidR="000851F3" w:rsidRPr="000851F3" w:rsidRDefault="000851F3" w:rsidP="000851F3">
            <w:pPr>
              <w:rPr>
                <w:sz w:val="18"/>
                <w:szCs w:val="18"/>
              </w:rPr>
            </w:pPr>
            <w:r w:rsidRPr="000851F3">
              <w:rPr>
                <w:sz w:val="18"/>
                <w:szCs w:val="18"/>
              </w:rPr>
              <w:t>High</w:t>
            </w:r>
          </w:p>
        </w:tc>
        <w:tc>
          <w:tcPr>
            <w:tcW w:w="4712" w:type="dxa"/>
            <w:gridSpan w:val="3"/>
            <w:tcMar>
              <w:top w:w="15" w:type="dxa"/>
              <w:left w:w="15" w:type="dxa"/>
              <w:bottom w:w="15" w:type="dxa"/>
              <w:right w:w="15" w:type="dxa"/>
            </w:tcMar>
            <w:vAlign w:val="center"/>
            <w:hideMark/>
          </w:tcPr>
          <w:p w14:paraId="3FA3BC78" w14:textId="77777777" w:rsidR="000851F3" w:rsidRPr="000851F3" w:rsidRDefault="000851F3" w:rsidP="000851F3">
            <w:pPr>
              <w:rPr>
                <w:sz w:val="18"/>
                <w:szCs w:val="18"/>
              </w:rPr>
            </w:pPr>
            <w:r w:rsidRPr="000851F3">
              <w:rPr>
                <w:sz w:val="18"/>
                <w:szCs w:val="18"/>
              </w:rPr>
              <w:t>Shortages of rock/steel; e.g., global issues delayed materials (Moehrle et al., 2024).</w:t>
            </w:r>
          </w:p>
        </w:tc>
        <w:tc>
          <w:tcPr>
            <w:tcW w:w="847" w:type="dxa"/>
            <w:tcMar>
              <w:top w:w="15" w:type="dxa"/>
              <w:left w:w="15" w:type="dxa"/>
              <w:bottom w:w="15" w:type="dxa"/>
              <w:right w:w="15" w:type="dxa"/>
            </w:tcMar>
            <w:vAlign w:val="center"/>
            <w:hideMark/>
          </w:tcPr>
          <w:p w14:paraId="07822B7A" w14:textId="77777777" w:rsidR="000851F3" w:rsidRPr="000851F3" w:rsidRDefault="000851F3" w:rsidP="000851F3">
            <w:pPr>
              <w:rPr>
                <w:sz w:val="18"/>
                <w:szCs w:val="18"/>
              </w:rPr>
            </w:pPr>
          </w:p>
        </w:tc>
      </w:tr>
      <w:tr w:rsidR="000851F3" w:rsidRPr="000851F3" w14:paraId="68A2B034" w14:textId="77777777" w:rsidTr="005431A2">
        <w:trPr>
          <w:tblCellSpacing w:w="0" w:type="dxa"/>
        </w:trPr>
        <w:tc>
          <w:tcPr>
            <w:tcW w:w="1266" w:type="dxa"/>
            <w:gridSpan w:val="2"/>
            <w:tcMar>
              <w:top w:w="15" w:type="dxa"/>
              <w:left w:w="15" w:type="dxa"/>
              <w:bottom w:w="15" w:type="dxa"/>
              <w:right w:w="15" w:type="dxa"/>
            </w:tcMar>
            <w:vAlign w:val="center"/>
            <w:hideMark/>
          </w:tcPr>
          <w:p w14:paraId="235C2D61" w14:textId="77777777" w:rsidR="000851F3" w:rsidRPr="000851F3" w:rsidRDefault="000851F3" w:rsidP="000851F3">
            <w:pPr>
              <w:rPr>
                <w:sz w:val="18"/>
                <w:szCs w:val="18"/>
              </w:rPr>
            </w:pPr>
            <w:r w:rsidRPr="000851F3">
              <w:rPr>
                <w:sz w:val="18"/>
                <w:szCs w:val="18"/>
              </w:rPr>
              <w:t>12</w:t>
            </w:r>
          </w:p>
        </w:tc>
        <w:tc>
          <w:tcPr>
            <w:tcW w:w="1535" w:type="dxa"/>
            <w:tcMar>
              <w:top w:w="15" w:type="dxa"/>
              <w:left w:w="15" w:type="dxa"/>
              <w:bottom w:w="15" w:type="dxa"/>
              <w:right w:w="15" w:type="dxa"/>
            </w:tcMar>
            <w:vAlign w:val="center"/>
            <w:hideMark/>
          </w:tcPr>
          <w:p w14:paraId="224595F1" w14:textId="77777777" w:rsidR="000851F3" w:rsidRPr="000851F3" w:rsidRDefault="000851F3" w:rsidP="000851F3">
            <w:pPr>
              <w:rPr>
                <w:sz w:val="18"/>
                <w:szCs w:val="18"/>
              </w:rPr>
            </w:pPr>
          </w:p>
        </w:tc>
        <w:tc>
          <w:tcPr>
            <w:tcW w:w="666" w:type="dxa"/>
            <w:tcMar>
              <w:top w:w="15" w:type="dxa"/>
              <w:left w:w="15" w:type="dxa"/>
              <w:bottom w:w="15" w:type="dxa"/>
              <w:right w:w="15" w:type="dxa"/>
            </w:tcMar>
            <w:vAlign w:val="center"/>
            <w:hideMark/>
          </w:tcPr>
          <w:p w14:paraId="6295FEC3"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2F5B723B"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623A10C8" w14:textId="77777777" w:rsidR="000851F3" w:rsidRPr="000851F3" w:rsidRDefault="000851F3" w:rsidP="000851F3">
            <w:pPr>
              <w:rPr>
                <w:sz w:val="18"/>
                <w:szCs w:val="18"/>
              </w:rPr>
            </w:pPr>
          </w:p>
        </w:tc>
      </w:tr>
      <w:tr w:rsidR="000851F3" w:rsidRPr="000851F3" w14:paraId="238C72EA" w14:textId="77777777" w:rsidTr="005431A2">
        <w:trPr>
          <w:tblCellSpacing w:w="0" w:type="dxa"/>
        </w:trPr>
        <w:tc>
          <w:tcPr>
            <w:tcW w:w="1266" w:type="dxa"/>
            <w:gridSpan w:val="2"/>
            <w:tcMar>
              <w:top w:w="15" w:type="dxa"/>
              <w:left w:w="15" w:type="dxa"/>
              <w:bottom w:w="15" w:type="dxa"/>
              <w:right w:w="15" w:type="dxa"/>
            </w:tcMar>
            <w:vAlign w:val="center"/>
            <w:hideMark/>
          </w:tcPr>
          <w:p w14:paraId="444EBC24" w14:textId="77777777" w:rsidR="000851F3" w:rsidRPr="000851F3" w:rsidRDefault="000851F3" w:rsidP="000851F3">
            <w:pPr>
              <w:rPr>
                <w:sz w:val="18"/>
                <w:szCs w:val="18"/>
              </w:rPr>
            </w:pPr>
          </w:p>
        </w:tc>
        <w:tc>
          <w:tcPr>
            <w:tcW w:w="1535" w:type="dxa"/>
            <w:tcMar>
              <w:top w:w="15" w:type="dxa"/>
              <w:left w:w="15" w:type="dxa"/>
              <w:bottom w:w="15" w:type="dxa"/>
              <w:right w:w="15" w:type="dxa"/>
            </w:tcMar>
            <w:vAlign w:val="center"/>
            <w:hideMark/>
          </w:tcPr>
          <w:p w14:paraId="1B949795" w14:textId="77777777" w:rsidR="000851F3" w:rsidRPr="000851F3" w:rsidRDefault="000851F3" w:rsidP="000851F3">
            <w:pPr>
              <w:rPr>
                <w:sz w:val="18"/>
                <w:szCs w:val="18"/>
              </w:rPr>
            </w:pPr>
            <w:r w:rsidRPr="000851F3">
              <w:rPr>
                <w:sz w:val="18"/>
                <w:szCs w:val="18"/>
              </w:rPr>
              <w:t>Multi-suppliers, stockpiling.</w:t>
            </w:r>
          </w:p>
        </w:tc>
        <w:tc>
          <w:tcPr>
            <w:tcW w:w="666" w:type="dxa"/>
            <w:tcMar>
              <w:top w:w="15" w:type="dxa"/>
              <w:left w:w="15" w:type="dxa"/>
              <w:bottom w:w="15" w:type="dxa"/>
              <w:right w:w="15" w:type="dxa"/>
            </w:tcMar>
            <w:vAlign w:val="center"/>
            <w:hideMark/>
          </w:tcPr>
          <w:p w14:paraId="2E87F530"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30D605E9"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1DAD7C76" w14:textId="77777777" w:rsidR="000851F3" w:rsidRPr="000851F3" w:rsidRDefault="000851F3" w:rsidP="000851F3">
            <w:pPr>
              <w:rPr>
                <w:sz w:val="18"/>
                <w:szCs w:val="18"/>
              </w:rPr>
            </w:pPr>
          </w:p>
        </w:tc>
      </w:tr>
      <w:tr w:rsidR="000851F3" w:rsidRPr="000851F3" w14:paraId="05DB1857" w14:textId="77777777" w:rsidTr="005431A2">
        <w:trPr>
          <w:tblCellSpacing w:w="0" w:type="dxa"/>
        </w:trPr>
        <w:tc>
          <w:tcPr>
            <w:tcW w:w="1266" w:type="dxa"/>
            <w:gridSpan w:val="2"/>
            <w:tcMar>
              <w:top w:w="15" w:type="dxa"/>
              <w:left w:w="15" w:type="dxa"/>
              <w:bottom w:w="15" w:type="dxa"/>
              <w:right w:w="15" w:type="dxa"/>
            </w:tcMar>
            <w:vAlign w:val="center"/>
            <w:hideMark/>
          </w:tcPr>
          <w:p w14:paraId="5E214FC0" w14:textId="77777777" w:rsidR="000851F3" w:rsidRPr="000851F3" w:rsidRDefault="000851F3" w:rsidP="000851F3">
            <w:pPr>
              <w:rPr>
                <w:sz w:val="18"/>
                <w:szCs w:val="18"/>
              </w:rPr>
            </w:pPr>
            <w:r w:rsidRPr="000851F3">
              <w:rPr>
                <w:sz w:val="18"/>
                <w:szCs w:val="18"/>
              </w:rPr>
              <w:t>Environmental Regs</w:t>
            </w:r>
          </w:p>
        </w:tc>
        <w:tc>
          <w:tcPr>
            <w:tcW w:w="1535" w:type="dxa"/>
            <w:tcMar>
              <w:top w:w="15" w:type="dxa"/>
              <w:left w:w="15" w:type="dxa"/>
              <w:bottom w:w="15" w:type="dxa"/>
              <w:right w:w="15" w:type="dxa"/>
            </w:tcMar>
            <w:vAlign w:val="center"/>
            <w:hideMark/>
          </w:tcPr>
          <w:p w14:paraId="3EFD634C" w14:textId="77777777" w:rsidR="000851F3" w:rsidRPr="000851F3" w:rsidRDefault="000851F3" w:rsidP="000851F3">
            <w:pPr>
              <w:rPr>
                <w:sz w:val="18"/>
                <w:szCs w:val="18"/>
              </w:rPr>
            </w:pPr>
            <w:r w:rsidRPr="000851F3">
              <w:rPr>
                <w:sz w:val="18"/>
                <w:szCs w:val="18"/>
              </w:rPr>
              <w:t>Medium</w:t>
            </w:r>
          </w:p>
        </w:tc>
        <w:tc>
          <w:tcPr>
            <w:tcW w:w="666" w:type="dxa"/>
            <w:tcMar>
              <w:top w:w="15" w:type="dxa"/>
              <w:left w:w="15" w:type="dxa"/>
              <w:bottom w:w="15" w:type="dxa"/>
              <w:right w:w="15" w:type="dxa"/>
            </w:tcMar>
            <w:vAlign w:val="center"/>
            <w:hideMark/>
          </w:tcPr>
          <w:p w14:paraId="19D73FB1" w14:textId="77777777" w:rsidR="000851F3" w:rsidRPr="000851F3" w:rsidRDefault="000851F3" w:rsidP="000851F3">
            <w:pPr>
              <w:rPr>
                <w:sz w:val="18"/>
                <w:szCs w:val="18"/>
              </w:rPr>
            </w:pPr>
            <w:r w:rsidRPr="000851F3">
              <w:rPr>
                <w:sz w:val="18"/>
                <w:szCs w:val="18"/>
              </w:rPr>
              <w:t>Medium</w:t>
            </w:r>
          </w:p>
        </w:tc>
        <w:tc>
          <w:tcPr>
            <w:tcW w:w="4712" w:type="dxa"/>
            <w:gridSpan w:val="3"/>
            <w:tcMar>
              <w:top w:w="15" w:type="dxa"/>
              <w:left w:w="15" w:type="dxa"/>
              <w:bottom w:w="15" w:type="dxa"/>
              <w:right w:w="15" w:type="dxa"/>
            </w:tcMar>
            <w:vAlign w:val="center"/>
            <w:hideMark/>
          </w:tcPr>
          <w:p w14:paraId="71B31E0C" w14:textId="77777777" w:rsidR="000851F3" w:rsidRPr="000851F3" w:rsidRDefault="000851F3" w:rsidP="000851F3">
            <w:pPr>
              <w:rPr>
                <w:sz w:val="18"/>
                <w:szCs w:val="18"/>
              </w:rPr>
            </w:pPr>
            <w:r w:rsidRPr="000851F3">
              <w:rPr>
                <w:sz w:val="18"/>
                <w:szCs w:val="18"/>
              </w:rPr>
              <w:t>Permit delays for habitats; e.g., fish restoration consultations (Global News, 2023).</w:t>
            </w:r>
          </w:p>
        </w:tc>
        <w:tc>
          <w:tcPr>
            <w:tcW w:w="847" w:type="dxa"/>
            <w:tcMar>
              <w:top w:w="15" w:type="dxa"/>
              <w:left w:w="15" w:type="dxa"/>
              <w:bottom w:w="15" w:type="dxa"/>
              <w:right w:w="15" w:type="dxa"/>
            </w:tcMar>
            <w:vAlign w:val="center"/>
            <w:hideMark/>
          </w:tcPr>
          <w:p w14:paraId="7F94ADC3" w14:textId="77777777" w:rsidR="000851F3" w:rsidRPr="000851F3" w:rsidRDefault="000851F3" w:rsidP="000851F3">
            <w:pPr>
              <w:rPr>
                <w:sz w:val="18"/>
                <w:szCs w:val="18"/>
              </w:rPr>
            </w:pPr>
          </w:p>
        </w:tc>
      </w:tr>
      <w:tr w:rsidR="000851F3" w:rsidRPr="000851F3" w14:paraId="0BCD0B34" w14:textId="77777777" w:rsidTr="005431A2">
        <w:trPr>
          <w:tblCellSpacing w:w="0" w:type="dxa"/>
        </w:trPr>
        <w:tc>
          <w:tcPr>
            <w:tcW w:w="1266" w:type="dxa"/>
            <w:gridSpan w:val="2"/>
            <w:tcMar>
              <w:top w:w="15" w:type="dxa"/>
              <w:left w:w="15" w:type="dxa"/>
              <w:bottom w:w="15" w:type="dxa"/>
              <w:right w:w="15" w:type="dxa"/>
            </w:tcMar>
            <w:vAlign w:val="center"/>
            <w:hideMark/>
          </w:tcPr>
          <w:p w14:paraId="414176E1" w14:textId="77777777" w:rsidR="000851F3" w:rsidRPr="000851F3" w:rsidRDefault="000851F3" w:rsidP="000851F3">
            <w:pPr>
              <w:rPr>
                <w:sz w:val="18"/>
                <w:szCs w:val="18"/>
              </w:rPr>
            </w:pPr>
            <w:r w:rsidRPr="000851F3">
              <w:rPr>
                <w:sz w:val="18"/>
                <w:szCs w:val="18"/>
              </w:rPr>
              <w:t>10</w:t>
            </w:r>
          </w:p>
        </w:tc>
        <w:tc>
          <w:tcPr>
            <w:tcW w:w="1535" w:type="dxa"/>
            <w:tcMar>
              <w:top w:w="15" w:type="dxa"/>
              <w:left w:w="15" w:type="dxa"/>
              <w:bottom w:w="15" w:type="dxa"/>
              <w:right w:w="15" w:type="dxa"/>
            </w:tcMar>
            <w:vAlign w:val="center"/>
            <w:hideMark/>
          </w:tcPr>
          <w:p w14:paraId="077A7533" w14:textId="77777777" w:rsidR="000851F3" w:rsidRPr="000851F3" w:rsidRDefault="000851F3" w:rsidP="000851F3">
            <w:pPr>
              <w:rPr>
                <w:sz w:val="18"/>
                <w:szCs w:val="18"/>
              </w:rPr>
            </w:pPr>
          </w:p>
        </w:tc>
        <w:tc>
          <w:tcPr>
            <w:tcW w:w="666" w:type="dxa"/>
            <w:tcMar>
              <w:top w:w="15" w:type="dxa"/>
              <w:left w:w="15" w:type="dxa"/>
              <w:bottom w:w="15" w:type="dxa"/>
              <w:right w:w="15" w:type="dxa"/>
            </w:tcMar>
            <w:vAlign w:val="center"/>
            <w:hideMark/>
          </w:tcPr>
          <w:p w14:paraId="7FEEE8BC"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0B6371E1"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011488B4" w14:textId="77777777" w:rsidR="000851F3" w:rsidRPr="000851F3" w:rsidRDefault="000851F3" w:rsidP="000851F3">
            <w:pPr>
              <w:rPr>
                <w:sz w:val="18"/>
                <w:szCs w:val="18"/>
              </w:rPr>
            </w:pPr>
          </w:p>
        </w:tc>
      </w:tr>
      <w:tr w:rsidR="000851F3" w:rsidRPr="000851F3" w14:paraId="657A990A" w14:textId="77777777" w:rsidTr="005431A2">
        <w:trPr>
          <w:tblCellSpacing w:w="0" w:type="dxa"/>
        </w:trPr>
        <w:tc>
          <w:tcPr>
            <w:tcW w:w="1266" w:type="dxa"/>
            <w:gridSpan w:val="2"/>
            <w:tcMar>
              <w:top w:w="15" w:type="dxa"/>
              <w:left w:w="15" w:type="dxa"/>
              <w:bottom w:w="15" w:type="dxa"/>
              <w:right w:w="15" w:type="dxa"/>
            </w:tcMar>
            <w:vAlign w:val="center"/>
            <w:hideMark/>
          </w:tcPr>
          <w:p w14:paraId="54338B01" w14:textId="77777777" w:rsidR="000851F3" w:rsidRPr="000851F3" w:rsidRDefault="000851F3" w:rsidP="000851F3">
            <w:pPr>
              <w:rPr>
                <w:sz w:val="18"/>
                <w:szCs w:val="18"/>
              </w:rPr>
            </w:pPr>
          </w:p>
        </w:tc>
        <w:tc>
          <w:tcPr>
            <w:tcW w:w="1535" w:type="dxa"/>
            <w:tcMar>
              <w:top w:w="15" w:type="dxa"/>
              <w:left w:w="15" w:type="dxa"/>
              <w:bottom w:w="15" w:type="dxa"/>
              <w:right w:w="15" w:type="dxa"/>
            </w:tcMar>
            <w:vAlign w:val="center"/>
            <w:hideMark/>
          </w:tcPr>
          <w:p w14:paraId="586884C9" w14:textId="77777777" w:rsidR="000851F3" w:rsidRPr="000851F3" w:rsidRDefault="000851F3" w:rsidP="000851F3">
            <w:pPr>
              <w:rPr>
                <w:sz w:val="18"/>
                <w:szCs w:val="18"/>
              </w:rPr>
            </w:pPr>
            <w:r w:rsidRPr="000851F3">
              <w:rPr>
                <w:sz w:val="18"/>
                <w:szCs w:val="18"/>
              </w:rPr>
              <w:t>Early engagements.</w:t>
            </w:r>
          </w:p>
        </w:tc>
        <w:tc>
          <w:tcPr>
            <w:tcW w:w="666" w:type="dxa"/>
            <w:tcMar>
              <w:top w:w="15" w:type="dxa"/>
              <w:left w:w="15" w:type="dxa"/>
              <w:bottom w:w="15" w:type="dxa"/>
              <w:right w:w="15" w:type="dxa"/>
            </w:tcMar>
            <w:vAlign w:val="center"/>
            <w:hideMark/>
          </w:tcPr>
          <w:p w14:paraId="3CBAE5E4"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6912319E"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7A0679C6" w14:textId="77777777" w:rsidR="000851F3" w:rsidRPr="000851F3" w:rsidRDefault="000851F3" w:rsidP="000851F3">
            <w:pPr>
              <w:rPr>
                <w:sz w:val="18"/>
                <w:szCs w:val="18"/>
              </w:rPr>
            </w:pPr>
          </w:p>
        </w:tc>
      </w:tr>
      <w:tr w:rsidR="000851F3" w:rsidRPr="000851F3" w14:paraId="620796DD" w14:textId="77777777" w:rsidTr="005431A2">
        <w:trPr>
          <w:tblCellSpacing w:w="0" w:type="dxa"/>
        </w:trPr>
        <w:tc>
          <w:tcPr>
            <w:tcW w:w="1266" w:type="dxa"/>
            <w:gridSpan w:val="2"/>
            <w:tcMar>
              <w:top w:w="15" w:type="dxa"/>
              <w:left w:w="15" w:type="dxa"/>
              <w:bottom w:w="15" w:type="dxa"/>
              <w:right w:w="15" w:type="dxa"/>
            </w:tcMar>
            <w:vAlign w:val="center"/>
            <w:hideMark/>
          </w:tcPr>
          <w:p w14:paraId="2B4DF511" w14:textId="77777777" w:rsidR="000851F3" w:rsidRPr="000851F3" w:rsidRDefault="000851F3" w:rsidP="000851F3">
            <w:pPr>
              <w:rPr>
                <w:sz w:val="18"/>
                <w:szCs w:val="18"/>
              </w:rPr>
            </w:pPr>
            <w:r w:rsidRPr="000851F3">
              <w:rPr>
                <w:sz w:val="18"/>
                <w:szCs w:val="18"/>
              </w:rPr>
              <w:t>Cost Overruns</w:t>
            </w:r>
          </w:p>
        </w:tc>
        <w:tc>
          <w:tcPr>
            <w:tcW w:w="1535" w:type="dxa"/>
            <w:tcMar>
              <w:top w:w="15" w:type="dxa"/>
              <w:left w:w="15" w:type="dxa"/>
              <w:bottom w:w="15" w:type="dxa"/>
              <w:right w:w="15" w:type="dxa"/>
            </w:tcMar>
            <w:vAlign w:val="center"/>
            <w:hideMark/>
          </w:tcPr>
          <w:p w14:paraId="68BF5E3F" w14:textId="77777777" w:rsidR="000851F3" w:rsidRPr="000851F3" w:rsidRDefault="000851F3" w:rsidP="000851F3">
            <w:pPr>
              <w:rPr>
                <w:sz w:val="18"/>
                <w:szCs w:val="18"/>
              </w:rPr>
            </w:pPr>
            <w:r w:rsidRPr="000851F3">
              <w:rPr>
                <w:sz w:val="18"/>
                <w:szCs w:val="18"/>
              </w:rPr>
              <w:t>Low</w:t>
            </w:r>
          </w:p>
        </w:tc>
        <w:tc>
          <w:tcPr>
            <w:tcW w:w="666" w:type="dxa"/>
            <w:tcMar>
              <w:top w:w="15" w:type="dxa"/>
              <w:left w:w="15" w:type="dxa"/>
              <w:bottom w:w="15" w:type="dxa"/>
              <w:right w:w="15" w:type="dxa"/>
            </w:tcMar>
            <w:vAlign w:val="center"/>
            <w:hideMark/>
          </w:tcPr>
          <w:p w14:paraId="108F8542" w14:textId="77777777" w:rsidR="000851F3" w:rsidRPr="000851F3" w:rsidRDefault="000851F3" w:rsidP="000851F3">
            <w:pPr>
              <w:rPr>
                <w:sz w:val="18"/>
                <w:szCs w:val="18"/>
              </w:rPr>
            </w:pPr>
            <w:r w:rsidRPr="000851F3">
              <w:rPr>
                <w:sz w:val="18"/>
                <w:szCs w:val="18"/>
              </w:rPr>
              <w:t>High</w:t>
            </w:r>
          </w:p>
        </w:tc>
        <w:tc>
          <w:tcPr>
            <w:tcW w:w="4712" w:type="dxa"/>
            <w:gridSpan w:val="3"/>
            <w:tcMar>
              <w:top w:w="15" w:type="dxa"/>
              <w:left w:w="15" w:type="dxa"/>
              <w:bottom w:w="15" w:type="dxa"/>
              <w:right w:w="15" w:type="dxa"/>
            </w:tcMar>
            <w:vAlign w:val="center"/>
            <w:hideMark/>
          </w:tcPr>
          <w:p w14:paraId="6CF7FDCE" w14:textId="77777777" w:rsidR="000851F3" w:rsidRPr="000851F3" w:rsidRDefault="000851F3" w:rsidP="000851F3">
            <w:pPr>
              <w:rPr>
                <w:sz w:val="18"/>
                <w:szCs w:val="18"/>
              </w:rPr>
            </w:pPr>
            <w:r w:rsidRPr="000851F3">
              <w:rPr>
                <w:sz w:val="18"/>
                <w:szCs w:val="18"/>
              </w:rPr>
              <w:t>Escalations from delays; e.g., part of $1B total (Vancouver Sun, 2022).</w:t>
            </w:r>
          </w:p>
        </w:tc>
        <w:tc>
          <w:tcPr>
            <w:tcW w:w="847" w:type="dxa"/>
            <w:tcMar>
              <w:top w:w="15" w:type="dxa"/>
              <w:left w:w="15" w:type="dxa"/>
              <w:bottom w:w="15" w:type="dxa"/>
              <w:right w:w="15" w:type="dxa"/>
            </w:tcMar>
            <w:vAlign w:val="center"/>
            <w:hideMark/>
          </w:tcPr>
          <w:p w14:paraId="00D0B6F5" w14:textId="77777777" w:rsidR="000851F3" w:rsidRPr="000851F3" w:rsidRDefault="000851F3" w:rsidP="000851F3">
            <w:pPr>
              <w:rPr>
                <w:sz w:val="18"/>
                <w:szCs w:val="18"/>
              </w:rPr>
            </w:pPr>
          </w:p>
        </w:tc>
      </w:tr>
      <w:tr w:rsidR="000851F3" w:rsidRPr="000851F3" w14:paraId="0F0B215F" w14:textId="77777777" w:rsidTr="005431A2">
        <w:trPr>
          <w:tblCellSpacing w:w="0" w:type="dxa"/>
        </w:trPr>
        <w:tc>
          <w:tcPr>
            <w:tcW w:w="1266" w:type="dxa"/>
            <w:gridSpan w:val="2"/>
            <w:tcMar>
              <w:top w:w="15" w:type="dxa"/>
              <w:left w:w="15" w:type="dxa"/>
              <w:bottom w:w="15" w:type="dxa"/>
              <w:right w:w="15" w:type="dxa"/>
            </w:tcMar>
            <w:vAlign w:val="center"/>
            <w:hideMark/>
          </w:tcPr>
          <w:p w14:paraId="58338F86" w14:textId="77777777" w:rsidR="000851F3" w:rsidRPr="000851F3" w:rsidRDefault="000851F3" w:rsidP="000851F3">
            <w:pPr>
              <w:rPr>
                <w:sz w:val="18"/>
                <w:szCs w:val="18"/>
              </w:rPr>
            </w:pPr>
            <w:r w:rsidRPr="000851F3">
              <w:rPr>
                <w:sz w:val="18"/>
                <w:szCs w:val="18"/>
              </w:rPr>
              <w:t>17</w:t>
            </w:r>
          </w:p>
        </w:tc>
        <w:tc>
          <w:tcPr>
            <w:tcW w:w="1535" w:type="dxa"/>
            <w:tcMar>
              <w:top w:w="15" w:type="dxa"/>
              <w:left w:w="15" w:type="dxa"/>
              <w:bottom w:w="15" w:type="dxa"/>
              <w:right w:w="15" w:type="dxa"/>
            </w:tcMar>
            <w:vAlign w:val="center"/>
            <w:hideMark/>
          </w:tcPr>
          <w:p w14:paraId="4D15FAEB" w14:textId="77777777" w:rsidR="000851F3" w:rsidRPr="000851F3" w:rsidRDefault="000851F3" w:rsidP="000851F3">
            <w:pPr>
              <w:rPr>
                <w:sz w:val="18"/>
                <w:szCs w:val="18"/>
              </w:rPr>
            </w:pPr>
          </w:p>
        </w:tc>
        <w:tc>
          <w:tcPr>
            <w:tcW w:w="666" w:type="dxa"/>
            <w:tcMar>
              <w:top w:w="15" w:type="dxa"/>
              <w:left w:w="15" w:type="dxa"/>
              <w:bottom w:w="15" w:type="dxa"/>
              <w:right w:w="15" w:type="dxa"/>
            </w:tcMar>
            <w:vAlign w:val="center"/>
            <w:hideMark/>
          </w:tcPr>
          <w:p w14:paraId="5F47F125"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65FB083C"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6A77BFEF" w14:textId="77777777" w:rsidR="000851F3" w:rsidRPr="000851F3" w:rsidRDefault="000851F3" w:rsidP="000851F3">
            <w:pPr>
              <w:rPr>
                <w:sz w:val="18"/>
                <w:szCs w:val="18"/>
              </w:rPr>
            </w:pPr>
          </w:p>
        </w:tc>
      </w:tr>
      <w:tr w:rsidR="000851F3" w:rsidRPr="000851F3" w14:paraId="22A4E679" w14:textId="77777777" w:rsidTr="005431A2">
        <w:trPr>
          <w:tblCellSpacing w:w="0" w:type="dxa"/>
        </w:trPr>
        <w:tc>
          <w:tcPr>
            <w:tcW w:w="1266" w:type="dxa"/>
            <w:gridSpan w:val="2"/>
            <w:tcMar>
              <w:top w:w="15" w:type="dxa"/>
              <w:left w:w="15" w:type="dxa"/>
              <w:bottom w:w="15" w:type="dxa"/>
              <w:right w:w="15" w:type="dxa"/>
            </w:tcMar>
            <w:vAlign w:val="center"/>
            <w:hideMark/>
          </w:tcPr>
          <w:p w14:paraId="390C026B" w14:textId="77777777" w:rsidR="000851F3" w:rsidRPr="000851F3" w:rsidRDefault="000851F3" w:rsidP="000851F3">
            <w:pPr>
              <w:rPr>
                <w:sz w:val="18"/>
                <w:szCs w:val="18"/>
              </w:rPr>
            </w:pPr>
          </w:p>
        </w:tc>
        <w:tc>
          <w:tcPr>
            <w:tcW w:w="1535" w:type="dxa"/>
            <w:tcMar>
              <w:top w:w="15" w:type="dxa"/>
              <w:left w:w="15" w:type="dxa"/>
              <w:bottom w:w="15" w:type="dxa"/>
              <w:right w:w="15" w:type="dxa"/>
            </w:tcMar>
            <w:vAlign w:val="center"/>
            <w:hideMark/>
          </w:tcPr>
          <w:p w14:paraId="1CC59299" w14:textId="77777777" w:rsidR="000851F3" w:rsidRPr="000851F3" w:rsidRDefault="000851F3" w:rsidP="000851F3">
            <w:pPr>
              <w:rPr>
                <w:sz w:val="18"/>
                <w:szCs w:val="18"/>
              </w:rPr>
            </w:pPr>
            <w:r w:rsidRPr="000851F3">
              <w:rPr>
                <w:sz w:val="18"/>
                <w:szCs w:val="18"/>
              </w:rPr>
              <w:t>Earned value tracking.</w:t>
            </w:r>
          </w:p>
        </w:tc>
        <w:tc>
          <w:tcPr>
            <w:tcW w:w="666" w:type="dxa"/>
            <w:tcMar>
              <w:top w:w="15" w:type="dxa"/>
              <w:left w:w="15" w:type="dxa"/>
              <w:bottom w:w="15" w:type="dxa"/>
              <w:right w:w="15" w:type="dxa"/>
            </w:tcMar>
            <w:vAlign w:val="center"/>
            <w:hideMark/>
          </w:tcPr>
          <w:p w14:paraId="6295B53F"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24571E89"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3D3B2FC8" w14:textId="77777777" w:rsidR="000851F3" w:rsidRPr="000851F3" w:rsidRDefault="000851F3" w:rsidP="000851F3">
            <w:pPr>
              <w:rPr>
                <w:sz w:val="18"/>
                <w:szCs w:val="18"/>
              </w:rPr>
            </w:pPr>
          </w:p>
        </w:tc>
      </w:tr>
      <w:tr w:rsidR="000851F3" w:rsidRPr="000851F3" w14:paraId="376D63BB" w14:textId="77777777" w:rsidTr="005431A2">
        <w:trPr>
          <w:tblCellSpacing w:w="0" w:type="dxa"/>
        </w:trPr>
        <w:tc>
          <w:tcPr>
            <w:tcW w:w="1266" w:type="dxa"/>
            <w:gridSpan w:val="2"/>
            <w:tcMar>
              <w:top w:w="15" w:type="dxa"/>
              <w:left w:w="15" w:type="dxa"/>
              <w:bottom w:w="15" w:type="dxa"/>
              <w:right w:w="15" w:type="dxa"/>
            </w:tcMar>
            <w:vAlign w:val="center"/>
            <w:hideMark/>
          </w:tcPr>
          <w:p w14:paraId="2B2A6921" w14:textId="77777777" w:rsidR="000851F3" w:rsidRPr="000851F3" w:rsidRDefault="000851F3" w:rsidP="000851F3">
            <w:pPr>
              <w:rPr>
                <w:sz w:val="18"/>
                <w:szCs w:val="18"/>
              </w:rPr>
            </w:pPr>
            <w:r w:rsidRPr="000851F3">
              <w:rPr>
                <w:sz w:val="18"/>
                <w:szCs w:val="18"/>
              </w:rPr>
              <w:t>Safety Incidents</w:t>
            </w:r>
          </w:p>
        </w:tc>
        <w:tc>
          <w:tcPr>
            <w:tcW w:w="1535" w:type="dxa"/>
            <w:tcMar>
              <w:top w:w="15" w:type="dxa"/>
              <w:left w:w="15" w:type="dxa"/>
              <w:bottom w:w="15" w:type="dxa"/>
              <w:right w:w="15" w:type="dxa"/>
            </w:tcMar>
            <w:vAlign w:val="center"/>
            <w:hideMark/>
          </w:tcPr>
          <w:p w14:paraId="150FE12C" w14:textId="77777777" w:rsidR="000851F3" w:rsidRPr="000851F3" w:rsidRDefault="000851F3" w:rsidP="000851F3">
            <w:pPr>
              <w:rPr>
                <w:sz w:val="18"/>
                <w:szCs w:val="18"/>
              </w:rPr>
            </w:pPr>
            <w:r w:rsidRPr="000851F3">
              <w:rPr>
                <w:sz w:val="18"/>
                <w:szCs w:val="18"/>
              </w:rPr>
              <w:t>Low</w:t>
            </w:r>
          </w:p>
        </w:tc>
        <w:tc>
          <w:tcPr>
            <w:tcW w:w="666" w:type="dxa"/>
            <w:tcMar>
              <w:top w:w="15" w:type="dxa"/>
              <w:left w:w="15" w:type="dxa"/>
              <w:bottom w:w="15" w:type="dxa"/>
              <w:right w:w="15" w:type="dxa"/>
            </w:tcMar>
            <w:vAlign w:val="center"/>
            <w:hideMark/>
          </w:tcPr>
          <w:p w14:paraId="1D3E01B8" w14:textId="77777777" w:rsidR="000851F3" w:rsidRPr="000851F3" w:rsidRDefault="000851F3" w:rsidP="000851F3">
            <w:pPr>
              <w:rPr>
                <w:sz w:val="18"/>
                <w:szCs w:val="18"/>
              </w:rPr>
            </w:pPr>
            <w:r w:rsidRPr="000851F3">
              <w:rPr>
                <w:sz w:val="18"/>
                <w:szCs w:val="18"/>
              </w:rPr>
              <w:t>High</w:t>
            </w:r>
          </w:p>
        </w:tc>
        <w:tc>
          <w:tcPr>
            <w:tcW w:w="4712" w:type="dxa"/>
            <w:gridSpan w:val="3"/>
            <w:tcMar>
              <w:top w:w="15" w:type="dxa"/>
              <w:left w:w="15" w:type="dxa"/>
              <w:bottom w:w="15" w:type="dxa"/>
              <w:right w:w="15" w:type="dxa"/>
            </w:tcMar>
            <w:vAlign w:val="center"/>
            <w:hideMark/>
          </w:tcPr>
          <w:p w14:paraId="6ED4B42D" w14:textId="77777777" w:rsidR="000851F3" w:rsidRPr="000851F3" w:rsidRDefault="000851F3" w:rsidP="000851F3">
            <w:pPr>
              <w:rPr>
                <w:sz w:val="18"/>
                <w:szCs w:val="18"/>
              </w:rPr>
            </w:pPr>
            <w:r w:rsidRPr="000851F3">
              <w:rPr>
                <w:sz w:val="18"/>
                <w:szCs w:val="18"/>
              </w:rPr>
              <w:t>Site hazards in harsh conditions; e.g., zero incidents achieved via protocols (Government of British Columbia, 2024).</w:t>
            </w:r>
          </w:p>
        </w:tc>
        <w:tc>
          <w:tcPr>
            <w:tcW w:w="847" w:type="dxa"/>
            <w:tcMar>
              <w:top w:w="15" w:type="dxa"/>
              <w:left w:w="15" w:type="dxa"/>
              <w:bottom w:w="15" w:type="dxa"/>
              <w:right w:w="15" w:type="dxa"/>
            </w:tcMar>
            <w:vAlign w:val="center"/>
            <w:hideMark/>
          </w:tcPr>
          <w:p w14:paraId="7111155C" w14:textId="77777777" w:rsidR="000851F3" w:rsidRPr="000851F3" w:rsidRDefault="000851F3" w:rsidP="000851F3">
            <w:pPr>
              <w:rPr>
                <w:sz w:val="18"/>
                <w:szCs w:val="18"/>
              </w:rPr>
            </w:pPr>
          </w:p>
        </w:tc>
      </w:tr>
      <w:tr w:rsidR="000851F3" w:rsidRPr="000851F3" w14:paraId="74CE46F8" w14:textId="77777777" w:rsidTr="005431A2">
        <w:trPr>
          <w:tblCellSpacing w:w="0" w:type="dxa"/>
        </w:trPr>
        <w:tc>
          <w:tcPr>
            <w:tcW w:w="1266" w:type="dxa"/>
            <w:gridSpan w:val="2"/>
            <w:tcMar>
              <w:top w:w="15" w:type="dxa"/>
              <w:left w:w="15" w:type="dxa"/>
              <w:bottom w:w="15" w:type="dxa"/>
              <w:right w:w="15" w:type="dxa"/>
            </w:tcMar>
            <w:vAlign w:val="center"/>
            <w:hideMark/>
          </w:tcPr>
          <w:p w14:paraId="7A97D9C4" w14:textId="77777777" w:rsidR="000851F3" w:rsidRPr="000851F3" w:rsidRDefault="000851F3" w:rsidP="000851F3">
            <w:pPr>
              <w:rPr>
                <w:sz w:val="18"/>
                <w:szCs w:val="18"/>
              </w:rPr>
            </w:pPr>
            <w:r w:rsidRPr="000851F3">
              <w:rPr>
                <w:sz w:val="18"/>
                <w:szCs w:val="18"/>
              </w:rPr>
              <w:t>11</w:t>
            </w:r>
          </w:p>
        </w:tc>
        <w:tc>
          <w:tcPr>
            <w:tcW w:w="1535" w:type="dxa"/>
            <w:tcMar>
              <w:top w:w="15" w:type="dxa"/>
              <w:left w:w="15" w:type="dxa"/>
              <w:bottom w:w="15" w:type="dxa"/>
              <w:right w:w="15" w:type="dxa"/>
            </w:tcMar>
            <w:vAlign w:val="center"/>
            <w:hideMark/>
          </w:tcPr>
          <w:p w14:paraId="2E8A366E" w14:textId="77777777" w:rsidR="000851F3" w:rsidRPr="000851F3" w:rsidRDefault="000851F3" w:rsidP="000851F3">
            <w:pPr>
              <w:rPr>
                <w:sz w:val="18"/>
                <w:szCs w:val="18"/>
              </w:rPr>
            </w:pPr>
          </w:p>
        </w:tc>
        <w:tc>
          <w:tcPr>
            <w:tcW w:w="666" w:type="dxa"/>
            <w:tcMar>
              <w:top w:w="15" w:type="dxa"/>
              <w:left w:w="15" w:type="dxa"/>
              <w:bottom w:w="15" w:type="dxa"/>
              <w:right w:w="15" w:type="dxa"/>
            </w:tcMar>
            <w:vAlign w:val="center"/>
            <w:hideMark/>
          </w:tcPr>
          <w:p w14:paraId="0756E81D"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2C136552"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7F22CAE2" w14:textId="77777777" w:rsidR="000851F3" w:rsidRPr="000851F3" w:rsidRDefault="000851F3" w:rsidP="000851F3">
            <w:pPr>
              <w:rPr>
                <w:sz w:val="18"/>
                <w:szCs w:val="18"/>
              </w:rPr>
            </w:pPr>
          </w:p>
        </w:tc>
      </w:tr>
      <w:tr w:rsidR="000851F3" w:rsidRPr="000851F3" w14:paraId="099454FB" w14:textId="77777777" w:rsidTr="005431A2">
        <w:trPr>
          <w:tblCellSpacing w:w="0" w:type="dxa"/>
        </w:trPr>
        <w:tc>
          <w:tcPr>
            <w:tcW w:w="1266" w:type="dxa"/>
            <w:gridSpan w:val="2"/>
            <w:tcMar>
              <w:top w:w="15" w:type="dxa"/>
              <w:left w:w="15" w:type="dxa"/>
              <w:bottom w:w="15" w:type="dxa"/>
              <w:right w:w="15" w:type="dxa"/>
            </w:tcMar>
            <w:vAlign w:val="center"/>
            <w:hideMark/>
          </w:tcPr>
          <w:p w14:paraId="28859680" w14:textId="77777777" w:rsidR="000851F3" w:rsidRPr="000851F3" w:rsidRDefault="000851F3" w:rsidP="000851F3">
            <w:pPr>
              <w:rPr>
                <w:sz w:val="18"/>
                <w:szCs w:val="18"/>
              </w:rPr>
            </w:pPr>
          </w:p>
        </w:tc>
        <w:tc>
          <w:tcPr>
            <w:tcW w:w="1535" w:type="dxa"/>
            <w:tcMar>
              <w:top w:w="15" w:type="dxa"/>
              <w:left w:w="15" w:type="dxa"/>
              <w:bottom w:w="15" w:type="dxa"/>
              <w:right w:w="15" w:type="dxa"/>
            </w:tcMar>
            <w:vAlign w:val="center"/>
            <w:hideMark/>
          </w:tcPr>
          <w:p w14:paraId="27EB7076" w14:textId="77777777" w:rsidR="000851F3" w:rsidRPr="000851F3" w:rsidRDefault="000851F3" w:rsidP="000851F3">
            <w:pPr>
              <w:rPr>
                <w:sz w:val="18"/>
                <w:szCs w:val="18"/>
              </w:rPr>
            </w:pPr>
            <w:r w:rsidRPr="000851F3">
              <w:rPr>
                <w:sz w:val="18"/>
                <w:szCs w:val="18"/>
              </w:rPr>
              <w:t>Training, PPE.</w:t>
            </w:r>
          </w:p>
        </w:tc>
        <w:tc>
          <w:tcPr>
            <w:tcW w:w="666" w:type="dxa"/>
            <w:tcMar>
              <w:top w:w="15" w:type="dxa"/>
              <w:left w:w="15" w:type="dxa"/>
              <w:bottom w:w="15" w:type="dxa"/>
              <w:right w:w="15" w:type="dxa"/>
            </w:tcMar>
            <w:vAlign w:val="center"/>
            <w:hideMark/>
          </w:tcPr>
          <w:p w14:paraId="0E462F0B"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35877A1C"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29645818" w14:textId="77777777" w:rsidR="000851F3" w:rsidRPr="000851F3" w:rsidRDefault="000851F3" w:rsidP="000851F3">
            <w:pPr>
              <w:rPr>
                <w:sz w:val="18"/>
                <w:szCs w:val="18"/>
              </w:rPr>
            </w:pPr>
          </w:p>
        </w:tc>
      </w:tr>
      <w:tr w:rsidR="000851F3" w:rsidRPr="000851F3" w14:paraId="0AD873BB" w14:textId="77777777" w:rsidTr="005431A2">
        <w:trPr>
          <w:tblCellSpacing w:w="0" w:type="dxa"/>
        </w:trPr>
        <w:tc>
          <w:tcPr>
            <w:tcW w:w="1266" w:type="dxa"/>
            <w:gridSpan w:val="2"/>
            <w:tcMar>
              <w:top w:w="15" w:type="dxa"/>
              <w:left w:w="15" w:type="dxa"/>
              <w:bottom w:w="15" w:type="dxa"/>
              <w:right w:w="15" w:type="dxa"/>
            </w:tcMar>
            <w:vAlign w:val="center"/>
            <w:hideMark/>
          </w:tcPr>
          <w:p w14:paraId="1A8CE6DF" w14:textId="77777777" w:rsidR="000851F3" w:rsidRPr="000851F3" w:rsidRDefault="000851F3" w:rsidP="000851F3">
            <w:pPr>
              <w:rPr>
                <w:sz w:val="18"/>
                <w:szCs w:val="18"/>
              </w:rPr>
            </w:pPr>
            <w:r w:rsidRPr="000851F3">
              <w:rPr>
                <w:sz w:val="18"/>
                <w:szCs w:val="18"/>
              </w:rPr>
              <w:t>Coordination Breakdowns</w:t>
            </w:r>
          </w:p>
        </w:tc>
        <w:tc>
          <w:tcPr>
            <w:tcW w:w="1535" w:type="dxa"/>
            <w:tcMar>
              <w:top w:w="15" w:type="dxa"/>
              <w:left w:w="15" w:type="dxa"/>
              <w:bottom w:w="15" w:type="dxa"/>
              <w:right w:w="15" w:type="dxa"/>
            </w:tcMar>
            <w:vAlign w:val="center"/>
            <w:hideMark/>
          </w:tcPr>
          <w:p w14:paraId="2A81A9A4" w14:textId="77777777" w:rsidR="000851F3" w:rsidRPr="000851F3" w:rsidRDefault="000851F3" w:rsidP="000851F3">
            <w:pPr>
              <w:rPr>
                <w:sz w:val="18"/>
                <w:szCs w:val="18"/>
              </w:rPr>
            </w:pPr>
            <w:r w:rsidRPr="000851F3">
              <w:rPr>
                <w:sz w:val="18"/>
                <w:szCs w:val="18"/>
              </w:rPr>
              <w:t>Medium</w:t>
            </w:r>
          </w:p>
        </w:tc>
        <w:tc>
          <w:tcPr>
            <w:tcW w:w="666" w:type="dxa"/>
            <w:tcMar>
              <w:top w:w="15" w:type="dxa"/>
              <w:left w:w="15" w:type="dxa"/>
              <w:bottom w:w="15" w:type="dxa"/>
              <w:right w:w="15" w:type="dxa"/>
            </w:tcMar>
            <w:vAlign w:val="center"/>
            <w:hideMark/>
          </w:tcPr>
          <w:p w14:paraId="4B55CDFF" w14:textId="77777777" w:rsidR="000851F3" w:rsidRPr="000851F3" w:rsidRDefault="000851F3" w:rsidP="000851F3">
            <w:pPr>
              <w:rPr>
                <w:sz w:val="18"/>
                <w:szCs w:val="18"/>
              </w:rPr>
            </w:pPr>
            <w:r w:rsidRPr="000851F3">
              <w:rPr>
                <w:sz w:val="18"/>
                <w:szCs w:val="18"/>
              </w:rPr>
              <w:t>Medium</w:t>
            </w:r>
          </w:p>
        </w:tc>
        <w:tc>
          <w:tcPr>
            <w:tcW w:w="4712" w:type="dxa"/>
            <w:gridSpan w:val="3"/>
            <w:tcMar>
              <w:top w:w="15" w:type="dxa"/>
              <w:left w:w="15" w:type="dxa"/>
              <w:bottom w:w="15" w:type="dxa"/>
              <w:right w:w="15" w:type="dxa"/>
            </w:tcMar>
            <w:vAlign w:val="center"/>
            <w:hideMark/>
          </w:tcPr>
          <w:p w14:paraId="35CC8C2D" w14:textId="77777777" w:rsidR="000851F3" w:rsidRPr="000851F3" w:rsidRDefault="000851F3" w:rsidP="000851F3">
            <w:pPr>
              <w:rPr>
                <w:sz w:val="18"/>
                <w:szCs w:val="18"/>
              </w:rPr>
            </w:pPr>
            <w:r w:rsidRPr="000851F3">
              <w:rPr>
                <w:sz w:val="18"/>
                <w:szCs w:val="18"/>
              </w:rPr>
              <w:t>Multi-agency silos; e.g., 300+ workers needed alignment (Global News, 2023).</w:t>
            </w:r>
          </w:p>
        </w:tc>
        <w:tc>
          <w:tcPr>
            <w:tcW w:w="847" w:type="dxa"/>
            <w:tcMar>
              <w:top w:w="15" w:type="dxa"/>
              <w:left w:w="15" w:type="dxa"/>
              <w:bottom w:w="15" w:type="dxa"/>
              <w:right w:w="15" w:type="dxa"/>
            </w:tcMar>
            <w:vAlign w:val="center"/>
            <w:hideMark/>
          </w:tcPr>
          <w:p w14:paraId="032A5A57" w14:textId="77777777" w:rsidR="000851F3" w:rsidRPr="000851F3" w:rsidRDefault="000851F3" w:rsidP="000851F3">
            <w:pPr>
              <w:rPr>
                <w:sz w:val="18"/>
                <w:szCs w:val="18"/>
              </w:rPr>
            </w:pPr>
          </w:p>
        </w:tc>
      </w:tr>
      <w:tr w:rsidR="000851F3" w:rsidRPr="000851F3" w14:paraId="38A28011" w14:textId="77777777" w:rsidTr="005431A2">
        <w:trPr>
          <w:tblCellSpacing w:w="0" w:type="dxa"/>
        </w:trPr>
        <w:tc>
          <w:tcPr>
            <w:tcW w:w="1266" w:type="dxa"/>
            <w:gridSpan w:val="2"/>
            <w:tcMar>
              <w:top w:w="15" w:type="dxa"/>
              <w:left w:w="15" w:type="dxa"/>
              <w:bottom w:w="15" w:type="dxa"/>
              <w:right w:w="15" w:type="dxa"/>
            </w:tcMar>
            <w:vAlign w:val="center"/>
            <w:hideMark/>
          </w:tcPr>
          <w:p w14:paraId="2CDC8249" w14:textId="77777777" w:rsidR="000851F3" w:rsidRPr="000851F3" w:rsidRDefault="000851F3" w:rsidP="000851F3">
            <w:pPr>
              <w:rPr>
                <w:sz w:val="18"/>
                <w:szCs w:val="18"/>
              </w:rPr>
            </w:pPr>
            <w:r w:rsidRPr="000851F3">
              <w:rPr>
                <w:sz w:val="18"/>
                <w:szCs w:val="18"/>
              </w:rPr>
              <w:t>10</w:t>
            </w:r>
          </w:p>
        </w:tc>
        <w:tc>
          <w:tcPr>
            <w:tcW w:w="1535" w:type="dxa"/>
            <w:tcMar>
              <w:top w:w="15" w:type="dxa"/>
              <w:left w:w="15" w:type="dxa"/>
              <w:bottom w:w="15" w:type="dxa"/>
              <w:right w:w="15" w:type="dxa"/>
            </w:tcMar>
            <w:vAlign w:val="center"/>
            <w:hideMark/>
          </w:tcPr>
          <w:p w14:paraId="227F0194" w14:textId="77777777" w:rsidR="000851F3" w:rsidRPr="000851F3" w:rsidRDefault="000851F3" w:rsidP="000851F3">
            <w:pPr>
              <w:rPr>
                <w:sz w:val="18"/>
                <w:szCs w:val="18"/>
              </w:rPr>
            </w:pPr>
          </w:p>
        </w:tc>
        <w:tc>
          <w:tcPr>
            <w:tcW w:w="666" w:type="dxa"/>
            <w:tcMar>
              <w:top w:w="15" w:type="dxa"/>
              <w:left w:w="15" w:type="dxa"/>
              <w:bottom w:w="15" w:type="dxa"/>
              <w:right w:w="15" w:type="dxa"/>
            </w:tcMar>
            <w:vAlign w:val="center"/>
            <w:hideMark/>
          </w:tcPr>
          <w:p w14:paraId="7D6C57E7"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407525E7"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693BDD37" w14:textId="77777777" w:rsidR="000851F3" w:rsidRPr="000851F3" w:rsidRDefault="000851F3" w:rsidP="000851F3">
            <w:pPr>
              <w:rPr>
                <w:sz w:val="18"/>
                <w:szCs w:val="18"/>
              </w:rPr>
            </w:pPr>
          </w:p>
        </w:tc>
      </w:tr>
      <w:tr w:rsidR="000851F3" w:rsidRPr="000851F3" w14:paraId="44401D29" w14:textId="77777777" w:rsidTr="005431A2">
        <w:trPr>
          <w:tblCellSpacing w:w="0" w:type="dxa"/>
        </w:trPr>
        <w:tc>
          <w:tcPr>
            <w:tcW w:w="1266" w:type="dxa"/>
            <w:gridSpan w:val="2"/>
            <w:tcMar>
              <w:top w:w="15" w:type="dxa"/>
              <w:left w:w="15" w:type="dxa"/>
              <w:bottom w:w="15" w:type="dxa"/>
              <w:right w:w="15" w:type="dxa"/>
            </w:tcMar>
            <w:vAlign w:val="center"/>
            <w:hideMark/>
          </w:tcPr>
          <w:p w14:paraId="4D17D408" w14:textId="77777777" w:rsidR="000851F3" w:rsidRPr="000851F3" w:rsidRDefault="000851F3" w:rsidP="000851F3">
            <w:pPr>
              <w:rPr>
                <w:sz w:val="18"/>
                <w:szCs w:val="18"/>
              </w:rPr>
            </w:pPr>
          </w:p>
        </w:tc>
        <w:tc>
          <w:tcPr>
            <w:tcW w:w="1535" w:type="dxa"/>
            <w:tcMar>
              <w:top w:w="15" w:type="dxa"/>
              <w:left w:w="15" w:type="dxa"/>
              <w:bottom w:w="15" w:type="dxa"/>
              <w:right w:w="15" w:type="dxa"/>
            </w:tcMar>
            <w:vAlign w:val="center"/>
            <w:hideMark/>
          </w:tcPr>
          <w:p w14:paraId="262E182A" w14:textId="77777777" w:rsidR="000851F3" w:rsidRPr="000851F3" w:rsidRDefault="000851F3" w:rsidP="000851F3">
            <w:pPr>
              <w:rPr>
                <w:sz w:val="18"/>
                <w:szCs w:val="18"/>
              </w:rPr>
            </w:pPr>
            <w:r w:rsidRPr="000851F3">
              <w:rPr>
                <w:sz w:val="18"/>
                <w:szCs w:val="18"/>
              </w:rPr>
              <w:t>Centralized framework.</w:t>
            </w:r>
          </w:p>
        </w:tc>
        <w:tc>
          <w:tcPr>
            <w:tcW w:w="666" w:type="dxa"/>
            <w:tcMar>
              <w:top w:w="15" w:type="dxa"/>
              <w:left w:w="15" w:type="dxa"/>
              <w:bottom w:w="15" w:type="dxa"/>
              <w:right w:w="15" w:type="dxa"/>
            </w:tcMar>
            <w:vAlign w:val="center"/>
            <w:hideMark/>
          </w:tcPr>
          <w:p w14:paraId="5161D441" w14:textId="77777777" w:rsidR="000851F3" w:rsidRPr="000851F3" w:rsidRDefault="000851F3" w:rsidP="000851F3">
            <w:pPr>
              <w:rPr>
                <w:sz w:val="18"/>
                <w:szCs w:val="18"/>
              </w:rPr>
            </w:pPr>
          </w:p>
        </w:tc>
        <w:tc>
          <w:tcPr>
            <w:tcW w:w="4712" w:type="dxa"/>
            <w:gridSpan w:val="3"/>
            <w:tcMar>
              <w:top w:w="15" w:type="dxa"/>
              <w:left w:w="15" w:type="dxa"/>
              <w:bottom w:w="15" w:type="dxa"/>
              <w:right w:w="15" w:type="dxa"/>
            </w:tcMar>
            <w:vAlign w:val="center"/>
            <w:hideMark/>
          </w:tcPr>
          <w:p w14:paraId="3118A904" w14:textId="77777777" w:rsidR="000851F3" w:rsidRPr="000851F3" w:rsidRDefault="000851F3" w:rsidP="000851F3">
            <w:pPr>
              <w:rPr>
                <w:sz w:val="18"/>
                <w:szCs w:val="18"/>
              </w:rPr>
            </w:pPr>
          </w:p>
        </w:tc>
        <w:tc>
          <w:tcPr>
            <w:tcW w:w="847" w:type="dxa"/>
            <w:tcMar>
              <w:top w:w="15" w:type="dxa"/>
              <w:left w:w="15" w:type="dxa"/>
              <w:bottom w:w="15" w:type="dxa"/>
              <w:right w:w="15" w:type="dxa"/>
            </w:tcMar>
            <w:vAlign w:val="center"/>
            <w:hideMark/>
          </w:tcPr>
          <w:p w14:paraId="1A18CB68" w14:textId="77777777" w:rsidR="000851F3" w:rsidRPr="000851F3" w:rsidRDefault="000851F3" w:rsidP="000851F3">
            <w:pPr>
              <w:rPr>
                <w:sz w:val="18"/>
                <w:szCs w:val="18"/>
              </w:rPr>
            </w:pPr>
          </w:p>
        </w:tc>
      </w:tr>
      <w:tr w:rsidR="000851F3" w:rsidRPr="000851F3" w14:paraId="62B0E1C8" w14:textId="77777777" w:rsidTr="005431A2">
        <w:trPr>
          <w:tblCellSpacing w:w="0" w:type="dxa"/>
        </w:trPr>
        <w:tc>
          <w:tcPr>
            <w:tcW w:w="1266" w:type="dxa"/>
            <w:gridSpan w:val="2"/>
            <w:tcMar>
              <w:top w:w="15" w:type="dxa"/>
              <w:left w:w="15" w:type="dxa"/>
              <w:bottom w:w="15" w:type="dxa"/>
              <w:right w:w="15" w:type="dxa"/>
            </w:tcMar>
            <w:vAlign w:val="center"/>
            <w:hideMark/>
          </w:tcPr>
          <w:p w14:paraId="6AAB9990" w14:textId="77777777" w:rsidR="000851F3" w:rsidRPr="000851F3" w:rsidRDefault="000851F3" w:rsidP="000851F3">
            <w:pPr>
              <w:rPr>
                <w:sz w:val="18"/>
                <w:szCs w:val="18"/>
              </w:rPr>
            </w:pPr>
            <w:r w:rsidRPr="000851F3">
              <w:rPr>
                <w:sz w:val="18"/>
                <w:szCs w:val="18"/>
              </w:rPr>
              <w:t>Health Disruptions</w:t>
            </w:r>
          </w:p>
        </w:tc>
        <w:tc>
          <w:tcPr>
            <w:tcW w:w="1535" w:type="dxa"/>
            <w:tcMar>
              <w:top w:w="15" w:type="dxa"/>
              <w:left w:w="15" w:type="dxa"/>
              <w:bottom w:w="15" w:type="dxa"/>
              <w:right w:w="15" w:type="dxa"/>
            </w:tcMar>
            <w:vAlign w:val="center"/>
            <w:hideMark/>
          </w:tcPr>
          <w:p w14:paraId="542F2A30" w14:textId="77777777" w:rsidR="000851F3" w:rsidRPr="000851F3" w:rsidRDefault="000851F3" w:rsidP="000851F3">
            <w:pPr>
              <w:rPr>
                <w:sz w:val="18"/>
                <w:szCs w:val="18"/>
              </w:rPr>
            </w:pPr>
            <w:r w:rsidRPr="000851F3">
              <w:rPr>
                <w:sz w:val="18"/>
                <w:szCs w:val="18"/>
              </w:rPr>
              <w:t>Low</w:t>
            </w:r>
          </w:p>
        </w:tc>
        <w:tc>
          <w:tcPr>
            <w:tcW w:w="666" w:type="dxa"/>
            <w:tcMar>
              <w:top w:w="15" w:type="dxa"/>
              <w:left w:w="15" w:type="dxa"/>
              <w:bottom w:w="15" w:type="dxa"/>
              <w:right w:w="15" w:type="dxa"/>
            </w:tcMar>
            <w:vAlign w:val="center"/>
            <w:hideMark/>
          </w:tcPr>
          <w:p w14:paraId="30725D76" w14:textId="77777777" w:rsidR="000851F3" w:rsidRPr="000851F3" w:rsidRDefault="000851F3" w:rsidP="000851F3">
            <w:pPr>
              <w:rPr>
                <w:sz w:val="18"/>
                <w:szCs w:val="18"/>
              </w:rPr>
            </w:pPr>
            <w:r w:rsidRPr="000851F3">
              <w:rPr>
                <w:sz w:val="18"/>
                <w:szCs w:val="18"/>
              </w:rPr>
              <w:t>Medium</w:t>
            </w:r>
          </w:p>
        </w:tc>
        <w:tc>
          <w:tcPr>
            <w:tcW w:w="4712" w:type="dxa"/>
            <w:gridSpan w:val="3"/>
            <w:tcMar>
              <w:top w:w="15" w:type="dxa"/>
              <w:left w:w="15" w:type="dxa"/>
              <w:bottom w:w="15" w:type="dxa"/>
              <w:right w:w="15" w:type="dxa"/>
            </w:tcMar>
            <w:vAlign w:val="center"/>
            <w:hideMark/>
          </w:tcPr>
          <w:p w14:paraId="2E785288" w14:textId="77777777" w:rsidR="000851F3" w:rsidRPr="000851F3" w:rsidRDefault="000851F3" w:rsidP="000851F3">
            <w:pPr>
              <w:rPr>
                <w:sz w:val="18"/>
                <w:szCs w:val="18"/>
              </w:rPr>
            </w:pPr>
            <w:r w:rsidRPr="000851F3">
              <w:rPr>
                <w:sz w:val="18"/>
                <w:szCs w:val="18"/>
              </w:rPr>
              <w:t>Pandemics affecting crews; e.g., COVID impacts (Wikipedia, 2024).</w:t>
            </w:r>
          </w:p>
        </w:tc>
        <w:tc>
          <w:tcPr>
            <w:tcW w:w="847" w:type="dxa"/>
            <w:tcMar>
              <w:top w:w="15" w:type="dxa"/>
              <w:left w:w="15" w:type="dxa"/>
              <w:bottom w:w="15" w:type="dxa"/>
              <w:right w:w="15" w:type="dxa"/>
            </w:tcMar>
            <w:vAlign w:val="center"/>
            <w:hideMark/>
          </w:tcPr>
          <w:p w14:paraId="5902FD01" w14:textId="77777777" w:rsidR="000851F3" w:rsidRPr="000851F3" w:rsidRDefault="000851F3" w:rsidP="000851F3">
            <w:pPr>
              <w:rPr>
                <w:sz w:val="18"/>
                <w:szCs w:val="18"/>
              </w:rPr>
            </w:pPr>
          </w:p>
        </w:tc>
      </w:tr>
      <w:tr w:rsidR="005431A2" w:rsidRPr="000851F3" w14:paraId="0B91BF1C" w14:textId="77777777" w:rsidTr="005431A2">
        <w:trPr>
          <w:gridAfter w:val="2"/>
          <w:wAfter w:w="2801" w:type="dxa"/>
          <w:tblCellSpacing w:w="0" w:type="dxa"/>
        </w:trPr>
        <w:tc>
          <w:tcPr>
            <w:tcW w:w="666" w:type="dxa"/>
            <w:tcMar>
              <w:top w:w="15" w:type="dxa"/>
              <w:left w:w="15" w:type="dxa"/>
              <w:bottom w:w="15" w:type="dxa"/>
              <w:right w:w="15" w:type="dxa"/>
            </w:tcMar>
            <w:vAlign w:val="center"/>
            <w:hideMark/>
          </w:tcPr>
          <w:p w14:paraId="592B658A" w14:textId="77777777" w:rsidR="005431A2" w:rsidRPr="000851F3" w:rsidRDefault="005431A2" w:rsidP="000851F3">
            <w:pPr>
              <w:rPr>
                <w:sz w:val="18"/>
                <w:szCs w:val="18"/>
              </w:rPr>
            </w:pPr>
          </w:p>
        </w:tc>
        <w:tc>
          <w:tcPr>
            <w:tcW w:w="4712" w:type="dxa"/>
            <w:gridSpan w:val="4"/>
            <w:tcMar>
              <w:top w:w="15" w:type="dxa"/>
              <w:left w:w="15" w:type="dxa"/>
              <w:bottom w:w="15" w:type="dxa"/>
              <w:right w:w="15" w:type="dxa"/>
            </w:tcMar>
            <w:vAlign w:val="center"/>
            <w:hideMark/>
          </w:tcPr>
          <w:p w14:paraId="70E3549E" w14:textId="77777777" w:rsidR="005431A2" w:rsidRPr="000851F3" w:rsidRDefault="005431A2" w:rsidP="000851F3">
            <w:pPr>
              <w:rPr>
                <w:sz w:val="18"/>
                <w:szCs w:val="18"/>
              </w:rPr>
            </w:pPr>
          </w:p>
        </w:tc>
        <w:tc>
          <w:tcPr>
            <w:tcW w:w="847" w:type="dxa"/>
            <w:tcMar>
              <w:top w:w="15" w:type="dxa"/>
              <w:left w:w="15" w:type="dxa"/>
              <w:bottom w:w="15" w:type="dxa"/>
              <w:right w:w="15" w:type="dxa"/>
            </w:tcMar>
            <w:vAlign w:val="center"/>
            <w:hideMark/>
          </w:tcPr>
          <w:p w14:paraId="5C322A68" w14:textId="77777777" w:rsidR="005431A2" w:rsidRPr="000851F3" w:rsidRDefault="005431A2" w:rsidP="000851F3">
            <w:pPr>
              <w:rPr>
                <w:sz w:val="18"/>
                <w:szCs w:val="18"/>
              </w:rPr>
            </w:pPr>
          </w:p>
        </w:tc>
      </w:tr>
      <w:tr w:rsidR="005431A2" w:rsidRPr="000851F3" w14:paraId="36DCFCC7" w14:textId="77777777" w:rsidTr="005431A2">
        <w:trPr>
          <w:gridAfter w:val="2"/>
          <w:wAfter w:w="2801" w:type="dxa"/>
          <w:tblCellSpacing w:w="0" w:type="dxa"/>
        </w:trPr>
        <w:tc>
          <w:tcPr>
            <w:tcW w:w="666" w:type="dxa"/>
            <w:tcMar>
              <w:top w:w="15" w:type="dxa"/>
              <w:left w:w="15" w:type="dxa"/>
              <w:bottom w:w="15" w:type="dxa"/>
              <w:right w:w="15" w:type="dxa"/>
            </w:tcMar>
            <w:vAlign w:val="center"/>
            <w:hideMark/>
          </w:tcPr>
          <w:p w14:paraId="0E7F5048" w14:textId="77777777" w:rsidR="005431A2" w:rsidRPr="000851F3" w:rsidRDefault="005431A2" w:rsidP="000851F3">
            <w:pPr>
              <w:rPr>
                <w:sz w:val="18"/>
                <w:szCs w:val="18"/>
              </w:rPr>
            </w:pPr>
          </w:p>
        </w:tc>
        <w:tc>
          <w:tcPr>
            <w:tcW w:w="4712" w:type="dxa"/>
            <w:gridSpan w:val="4"/>
            <w:tcMar>
              <w:top w:w="15" w:type="dxa"/>
              <w:left w:w="15" w:type="dxa"/>
              <w:bottom w:w="15" w:type="dxa"/>
              <w:right w:w="15" w:type="dxa"/>
            </w:tcMar>
            <w:vAlign w:val="center"/>
            <w:hideMark/>
          </w:tcPr>
          <w:p w14:paraId="453798CC" w14:textId="77777777" w:rsidR="005431A2" w:rsidRPr="000851F3" w:rsidRDefault="005431A2" w:rsidP="000851F3">
            <w:pPr>
              <w:rPr>
                <w:sz w:val="18"/>
                <w:szCs w:val="18"/>
              </w:rPr>
            </w:pPr>
          </w:p>
        </w:tc>
        <w:tc>
          <w:tcPr>
            <w:tcW w:w="847" w:type="dxa"/>
            <w:tcMar>
              <w:top w:w="15" w:type="dxa"/>
              <w:left w:w="15" w:type="dxa"/>
              <w:bottom w:w="15" w:type="dxa"/>
              <w:right w:w="15" w:type="dxa"/>
            </w:tcMar>
            <w:vAlign w:val="center"/>
            <w:hideMark/>
          </w:tcPr>
          <w:p w14:paraId="00ED9E42" w14:textId="77777777" w:rsidR="005431A2" w:rsidRPr="000851F3" w:rsidRDefault="005431A2" w:rsidP="000851F3">
            <w:pPr>
              <w:rPr>
                <w:sz w:val="18"/>
                <w:szCs w:val="18"/>
              </w:rPr>
            </w:pPr>
          </w:p>
        </w:tc>
      </w:tr>
    </w:tbl>
    <w:p w14:paraId="56DA3DFA" w14:textId="77777777" w:rsidR="000851F3" w:rsidRPr="000851F3" w:rsidRDefault="000851F3" w:rsidP="000851F3">
      <w:pPr>
        <w:rPr>
          <w:sz w:val="18"/>
          <w:szCs w:val="18"/>
        </w:rPr>
      </w:pPr>
      <w:r w:rsidRPr="000851F3">
        <w:rPr>
          <w:sz w:val="18"/>
          <w:szCs w:val="18"/>
        </w:rPr>
        <w:t>This ensures proactive management (Hidayat and Egbu, 2010). 13</w:t>
      </w:r>
    </w:p>
    <w:p w14:paraId="363994C9" w14:textId="77777777" w:rsidR="000851F3" w:rsidRPr="00B37FE2" w:rsidRDefault="000851F3" w:rsidP="000851F3">
      <w:pPr>
        <w:rPr>
          <w:b/>
          <w:bCs/>
          <w:sz w:val="18"/>
          <w:szCs w:val="18"/>
        </w:rPr>
      </w:pPr>
    </w:p>
    <w:p w14:paraId="0D888367" w14:textId="08977A40" w:rsidR="000851F3" w:rsidRPr="000851F3" w:rsidRDefault="000851F3" w:rsidP="000851F3">
      <w:r w:rsidRPr="000851F3">
        <w:rPr>
          <w:b/>
          <w:bCs/>
        </w:rPr>
        <w:t>Conclusion</w:t>
      </w:r>
    </w:p>
    <w:p w14:paraId="4925C941" w14:textId="77777777" w:rsidR="000851F3" w:rsidRDefault="000851F3" w:rsidP="000851F3">
      <w:r w:rsidRPr="000851F3">
        <w:t>This plan provides an in-depth framework for resilient reconstruction, leveraging lessons from the 2021 floods to build back better. Successful implementation will restore infrastructure, boost economy, and prepare for climate challenges (Mudassir and Di Marco, 2025). 14</w:t>
      </w:r>
    </w:p>
    <w:p w14:paraId="59641480" w14:textId="77777777" w:rsidR="000851F3" w:rsidRDefault="000851F3" w:rsidP="000851F3"/>
    <w:p w14:paraId="3912EB70" w14:textId="77777777" w:rsidR="000851F3" w:rsidRPr="000851F3" w:rsidRDefault="000851F3" w:rsidP="000851F3"/>
    <w:p w14:paraId="49A69D5A" w14:textId="77777777" w:rsidR="000851F3" w:rsidRPr="000851F3" w:rsidRDefault="000851F3" w:rsidP="000851F3">
      <w:r w:rsidRPr="000851F3">
        <w:rPr>
          <w:b/>
          <w:bCs/>
        </w:rPr>
        <w:t>References</w:t>
      </w:r>
    </w:p>
    <w:p w14:paraId="17EF5E43" w14:textId="66D62FD2" w:rsidR="000851F3" w:rsidRPr="000851F3" w:rsidRDefault="000851F3" w:rsidP="000851F3">
      <w:r w:rsidRPr="000851F3">
        <w:t>American Planning Association (2015) </w:t>
      </w:r>
      <w:r w:rsidRPr="000851F3">
        <w:rPr>
          <w:i/>
          <w:iCs/>
        </w:rPr>
        <w:t>Planning for Post-Disaster Recovery: Next Generation</w:t>
      </w:r>
      <w:r w:rsidRPr="000851F3">
        <w:t>. Available at: </w:t>
      </w:r>
      <w:hyperlink r:id="rId11" w:tgtFrame="_blank" w:history="1">
        <w:r w:rsidRPr="000851F3">
          <w:rPr>
            <w:rStyle w:val="Hyperlink"/>
          </w:rPr>
          <w:t>https://www.planning.org/research/postdisaster/</w:t>
        </w:r>
      </w:hyperlink>
      <w:r w:rsidRPr="000851F3">
        <w:t xml:space="preserve"> (Accessed: </w:t>
      </w:r>
      <w:r w:rsidR="00664AEF">
        <w:t>04</w:t>
      </w:r>
      <w:r w:rsidRPr="000851F3">
        <w:t xml:space="preserve"> November 2025).</w:t>
      </w:r>
    </w:p>
    <w:p w14:paraId="54FFFEA4" w14:textId="77777777" w:rsidR="000851F3" w:rsidRPr="000851F3" w:rsidRDefault="000851F3" w:rsidP="000851F3">
      <w:r w:rsidRPr="000851F3">
        <w:t>Dube, E., Mtapuri, O. and Matunhu, J. (2018) ‘Managing flood disasters on the built environment in the rural communities of Zimbabwe: Lessons learnt’, </w:t>
      </w:r>
      <w:r w:rsidRPr="000851F3">
        <w:rPr>
          <w:i/>
          <w:iCs/>
        </w:rPr>
        <w:t>Jàmbá: Journal of Disaster Risk Studies</w:t>
      </w:r>
      <w:r w:rsidRPr="000851F3">
        <w:t>, 10(1), pp. 1-11. doi: 10.4102/jamba.v10i1.469.</w:t>
      </w:r>
    </w:p>
    <w:p w14:paraId="7BD8AC4C" w14:textId="04872DC7" w:rsidR="000851F3" w:rsidRPr="000851F3" w:rsidRDefault="000851F3" w:rsidP="000851F3">
      <w:r w:rsidRPr="000851F3">
        <w:t>Fraser Basin Council (2021) </w:t>
      </w:r>
      <w:r w:rsidRPr="000851F3">
        <w:rPr>
          <w:i/>
          <w:iCs/>
        </w:rPr>
        <w:t>Investigations in Support of Flood Strategy Development in British Columbia</w:t>
      </w:r>
      <w:r w:rsidRPr="000851F3">
        <w:t>. Available at: </w:t>
      </w:r>
      <w:hyperlink r:id="rId12" w:tgtFrame="_blank" w:history="1">
        <w:r w:rsidRPr="000851F3">
          <w:rPr>
            <w:rStyle w:val="Hyperlink"/>
          </w:rPr>
          <w:t>https://www.fraserbasin.bc.ca/_Library/Water_Flood_BC/BC_Flood_Investigations_Summary_2021.pdf</w:t>
        </w:r>
      </w:hyperlink>
      <w:r w:rsidRPr="000851F3">
        <w:t xml:space="preserve"> (Accessed: </w:t>
      </w:r>
      <w:r w:rsidR="00664AEF">
        <w:t>06</w:t>
      </w:r>
      <w:r w:rsidRPr="000851F3">
        <w:t xml:space="preserve"> November 2025).</w:t>
      </w:r>
    </w:p>
    <w:p w14:paraId="4256CDD4" w14:textId="06CE6ACF" w:rsidR="000851F3" w:rsidRPr="000851F3" w:rsidRDefault="000851F3" w:rsidP="000851F3">
      <w:r w:rsidRPr="000851F3">
        <w:t>Global News (2023) ‘B.C. announces all repairs on Coquihalla Highway finished from 2021 floods’. Available at: </w:t>
      </w:r>
      <w:hyperlink r:id="rId13" w:tgtFrame="_blank" w:history="1">
        <w:r w:rsidRPr="000851F3">
          <w:rPr>
            <w:rStyle w:val="Hyperlink"/>
          </w:rPr>
          <w:t>https://globalnews.ca/news/10093781/coquilla-highway-repairs-finished-2021-flood/</w:t>
        </w:r>
      </w:hyperlink>
      <w:r w:rsidRPr="000851F3">
        <w:t xml:space="preserve"> (Accessed: </w:t>
      </w:r>
      <w:r w:rsidR="00664AEF">
        <w:t>04</w:t>
      </w:r>
      <w:r w:rsidRPr="000851F3">
        <w:t xml:space="preserve"> November 2025).</w:t>
      </w:r>
    </w:p>
    <w:p w14:paraId="17231F5A" w14:textId="30FB922C" w:rsidR="000851F3" w:rsidRPr="000851F3" w:rsidRDefault="000851F3" w:rsidP="000851F3">
      <w:r w:rsidRPr="000851F3">
        <w:t>Global News (2023) ‘B.C. highway flood repair costs expected to balloon to $1 billion’. Available at: </w:t>
      </w:r>
      <w:hyperlink r:id="rId14" w:tgtFrame="_blank" w:history="1">
        <w:r w:rsidRPr="000851F3">
          <w:rPr>
            <w:rStyle w:val="Hyperlink"/>
          </w:rPr>
          <w:t>https://globalnews.ca/news/9468280/highway-flood-repairs-1billion/</w:t>
        </w:r>
      </w:hyperlink>
      <w:r w:rsidRPr="000851F3">
        <w:t xml:space="preserve"> (Accessed: </w:t>
      </w:r>
      <w:r w:rsidR="00664AEF">
        <w:t>06</w:t>
      </w:r>
      <w:r w:rsidRPr="000851F3">
        <w:t xml:space="preserve"> November 2025).</w:t>
      </w:r>
    </w:p>
    <w:p w14:paraId="3976714C" w14:textId="44E25019" w:rsidR="000851F3" w:rsidRPr="000851F3" w:rsidRDefault="000851F3" w:rsidP="000851F3">
      <w:r w:rsidRPr="000851F3">
        <w:t>Government of British Columbia (2024) ‘B.C. Highway Flood Recovery Projects - Highway 5 - Coquihalla’. Available at: </w:t>
      </w:r>
      <w:hyperlink r:id="rId15" w:tgtFrame="_blank" w:history="1">
        <w:r w:rsidRPr="000851F3">
          <w:rPr>
            <w:rStyle w:val="Hyperlink"/>
          </w:rPr>
          <w:t>https://www2.gov.bc.ca/gov/content/transportation-projects/bc-highway-flood-recovery/2021-flood-road-recovery-projects-highway-5</w:t>
        </w:r>
      </w:hyperlink>
      <w:r w:rsidRPr="000851F3">
        <w:t xml:space="preserve"> (Accessed: </w:t>
      </w:r>
      <w:r w:rsidR="00664AEF">
        <w:t>04</w:t>
      </w:r>
      <w:r w:rsidRPr="000851F3">
        <w:t xml:space="preserve"> November 2025).</w:t>
      </w:r>
    </w:p>
    <w:p w14:paraId="0FE553E5" w14:textId="59F6F112" w:rsidR="000851F3" w:rsidRPr="000851F3" w:rsidRDefault="000851F3" w:rsidP="000851F3">
      <w:r w:rsidRPr="000851F3">
        <w:t>Government of British Columbia (n.d.) </w:t>
      </w:r>
      <w:r w:rsidRPr="000851F3">
        <w:rPr>
          <w:i/>
          <w:iCs/>
        </w:rPr>
        <w:t>From Flood Risk to Resilience: a B.C. Flood Strategy to 2035</w:t>
      </w:r>
      <w:r w:rsidRPr="000851F3">
        <w:t>. Available at: </w:t>
      </w:r>
      <w:hyperlink r:id="rId16" w:tgtFrame="_blank" w:history="1">
        <w:r w:rsidRPr="000851F3">
          <w:rPr>
            <w:rStyle w:val="Hyperlink"/>
          </w:rPr>
          <w:t>https://www2.gov.bc.ca/assets/gov/environment/air-land-water/water/integrated-flood-hazard-mgmt/bc_flood_strategy.pdf</w:t>
        </w:r>
      </w:hyperlink>
      <w:r w:rsidRPr="000851F3">
        <w:t xml:space="preserve"> (Accessed: </w:t>
      </w:r>
      <w:r w:rsidR="00664AEF">
        <w:t>04</w:t>
      </w:r>
      <w:r w:rsidRPr="000851F3">
        <w:t xml:space="preserve"> November 2025).</w:t>
      </w:r>
    </w:p>
    <w:p w14:paraId="6BD01F27" w14:textId="77777777" w:rsidR="000851F3" w:rsidRPr="000851F3" w:rsidRDefault="000851F3" w:rsidP="000851F3">
      <w:r w:rsidRPr="000851F3">
        <w:t>Hidayat, B. and Egbu, C. (2010) ‘A literature review of the role of project management in post-disaster reconstruction’, in </w:t>
      </w:r>
      <w:r w:rsidRPr="000851F3">
        <w:rPr>
          <w:i/>
          <w:iCs/>
        </w:rPr>
        <w:t>Proceedings of the 26th Annual ARCOM Conference</w:t>
      </w:r>
      <w:r w:rsidRPr="000851F3">
        <w:t>, Leeds, UK, 6-8 September, pp. 1269-1278.</w:t>
      </w:r>
    </w:p>
    <w:p w14:paraId="2A480664" w14:textId="2F7FA099" w:rsidR="000851F3" w:rsidRPr="000851F3" w:rsidRDefault="000851F3" w:rsidP="000851F3">
      <w:r w:rsidRPr="000851F3">
        <w:t>ICLR (2023) </w:t>
      </w:r>
      <w:r w:rsidRPr="000851F3">
        <w:rPr>
          <w:i/>
          <w:iCs/>
        </w:rPr>
        <w:t>The post-disaster window</w:t>
      </w:r>
      <w:r w:rsidRPr="000851F3">
        <w:t>. Available at: </w:t>
      </w:r>
      <w:hyperlink r:id="rId17" w:tgtFrame="_blank" w:history="1">
        <w:r w:rsidRPr="000851F3">
          <w:rPr>
            <w:rStyle w:val="Hyperlink"/>
          </w:rPr>
          <w:t>https://www.iclr.org/wp-content/uploads/2023/05/UPDATED-Watterodt-Doberstein-2023-Full-Report.pdf</w:t>
        </w:r>
      </w:hyperlink>
      <w:r w:rsidRPr="000851F3">
        <w:t xml:space="preserve"> (Accessed: </w:t>
      </w:r>
      <w:r w:rsidR="00664AEF">
        <w:t>04</w:t>
      </w:r>
      <w:r w:rsidRPr="000851F3">
        <w:t xml:space="preserve"> November 2025).</w:t>
      </w:r>
    </w:p>
    <w:p w14:paraId="282A0179" w14:textId="77777777" w:rsidR="000851F3" w:rsidRPr="000851F3" w:rsidRDefault="000851F3" w:rsidP="000851F3">
      <w:r w:rsidRPr="000851F3">
        <w:t>Moehrle, S. et al. (2024) ‘Identifying major challenges in managing post-disaster reconstruction projects: A critical analysis’, </w:t>
      </w:r>
      <w:r w:rsidRPr="000851F3">
        <w:rPr>
          <w:i/>
          <w:iCs/>
        </w:rPr>
        <w:t>International Journal of Disaster Risk Reduction</w:t>
      </w:r>
      <w:r w:rsidRPr="000851F3">
        <w:t>, 107, p. 104491. doi: 10.1016/j.ijdrr.2024.104491.</w:t>
      </w:r>
    </w:p>
    <w:p w14:paraId="6E873BF2" w14:textId="77777777" w:rsidR="000851F3" w:rsidRPr="000851F3" w:rsidRDefault="000851F3" w:rsidP="000851F3">
      <w:r w:rsidRPr="000851F3">
        <w:lastRenderedPageBreak/>
        <w:t>Mudassir, G. and Di Marco, A. (2025) ‘Sustainable Reconstruction Planning from Natural Disasters (Earthquakes): A Systematic Mapping Study of Machine Learning and Technological Approaches’, </w:t>
      </w:r>
      <w:r w:rsidRPr="000851F3">
        <w:rPr>
          <w:i/>
          <w:iCs/>
        </w:rPr>
        <w:t>Sustainability</w:t>
      </w:r>
      <w:r w:rsidRPr="000851F3">
        <w:t>, 17(22), p. 10035. doi: 10.3390/su172210035.</w:t>
      </w:r>
    </w:p>
    <w:p w14:paraId="5513AD92" w14:textId="733C0CDE" w:rsidR="000851F3" w:rsidRPr="000851F3" w:rsidRDefault="000851F3" w:rsidP="000851F3">
      <w:r w:rsidRPr="000851F3">
        <w:t>Project Management Institute (2003) ‘Project management methodology for post disaster reconstruction’. Available at: </w:t>
      </w:r>
      <w:hyperlink r:id="rId18" w:tgtFrame="_blank" w:history="1">
        <w:r w:rsidRPr="000851F3">
          <w:rPr>
            <w:rStyle w:val="Hyperlink"/>
          </w:rPr>
          <w:t>https://www.pmi.org/learning/library/project-management-methodology-post-disaster-reconstruction-1857</w:t>
        </w:r>
      </w:hyperlink>
      <w:r w:rsidRPr="000851F3">
        <w:t xml:space="preserve"> (Accessed: </w:t>
      </w:r>
      <w:r w:rsidR="00664AEF">
        <w:t>06</w:t>
      </w:r>
      <w:r w:rsidRPr="000851F3">
        <w:t xml:space="preserve"> November 2025).</w:t>
      </w:r>
    </w:p>
    <w:p w14:paraId="6EF6A136" w14:textId="71C8D75B" w:rsidR="000851F3" w:rsidRPr="000851F3" w:rsidRDefault="000851F3" w:rsidP="000851F3">
      <w:r w:rsidRPr="000851F3">
        <w:t>Province of British Columbia (2022) ‘What Does the Road to Recovery Look Like for BC Highways?’. Available at: </w:t>
      </w:r>
      <w:hyperlink r:id="rId19" w:tgtFrame="_blank" w:history="1">
        <w:r w:rsidRPr="000851F3">
          <w:rPr>
            <w:rStyle w:val="Hyperlink"/>
          </w:rPr>
          <w:t>https://www.tranbc.ca/2022/05/10/bc-flooding-what-does-the-road-to-recovery-look-like-for-our-highways/</w:t>
        </w:r>
      </w:hyperlink>
      <w:r w:rsidRPr="000851F3">
        <w:t xml:space="preserve"> (Accessed: </w:t>
      </w:r>
      <w:r w:rsidR="00664AEF">
        <w:t>06</w:t>
      </w:r>
      <w:r w:rsidRPr="000851F3">
        <w:t xml:space="preserve"> November 2025).</w:t>
      </w:r>
    </w:p>
    <w:p w14:paraId="06939965" w14:textId="39B0A5CC" w:rsidR="000851F3" w:rsidRPr="000851F3" w:rsidRDefault="000851F3" w:rsidP="000851F3">
      <w:r w:rsidRPr="000851F3">
        <w:t>Trimble (2024) ‘The Role of Construction Before and After a Natural Disaster’. Available at: </w:t>
      </w:r>
      <w:hyperlink r:id="rId20" w:tgtFrame="_blank" w:history="1">
        <w:r w:rsidRPr="000851F3">
          <w:rPr>
            <w:rStyle w:val="Hyperlink"/>
          </w:rPr>
          <w:t>https://www.trimble.com/blog/construction/en-US/article/when-mother-nature-attacks-the-role-of-construction-before-and-after-a-natural-disaster</w:t>
        </w:r>
      </w:hyperlink>
      <w:r w:rsidRPr="000851F3">
        <w:t xml:space="preserve"> (Accessed: </w:t>
      </w:r>
      <w:r w:rsidR="00664AEF">
        <w:t xml:space="preserve">04 </w:t>
      </w:r>
      <w:r w:rsidRPr="000851F3">
        <w:t xml:space="preserve"> November 2025).</w:t>
      </w:r>
    </w:p>
    <w:p w14:paraId="67706612" w14:textId="120EA7CA" w:rsidR="000851F3" w:rsidRPr="000851F3" w:rsidRDefault="000851F3" w:rsidP="000851F3">
      <w:r w:rsidRPr="000851F3">
        <w:t>Vancouver Sun (2022) ‘B.C. estimates cost of climate-resilient hwy. corridor rebuilds at $1b’. Available at: </w:t>
      </w:r>
      <w:hyperlink r:id="rId21" w:tgtFrame="_blank" w:history="1">
        <w:r w:rsidRPr="000851F3">
          <w:rPr>
            <w:rStyle w:val="Hyperlink"/>
          </w:rPr>
          <w:t>https://vancouversun.com/news/local-news/bc-floods-estimate-highway-rebuilds-1-billion</w:t>
        </w:r>
      </w:hyperlink>
      <w:r w:rsidRPr="000851F3">
        <w:t xml:space="preserve"> (Accessed: </w:t>
      </w:r>
      <w:r w:rsidR="00664AEF">
        <w:t>06</w:t>
      </w:r>
      <w:r w:rsidRPr="000851F3">
        <w:t xml:space="preserve"> November 2025).</w:t>
      </w:r>
    </w:p>
    <w:p w14:paraId="5E08AB16" w14:textId="59584F82" w:rsidR="000851F3" w:rsidRPr="000851F3" w:rsidRDefault="000851F3" w:rsidP="000851F3">
      <w:r w:rsidRPr="000851F3">
        <w:t>Wikipedia (n.d.) ‘2021 Pacific Northwest floods’. Available at: </w:t>
      </w:r>
      <w:hyperlink r:id="rId22" w:tgtFrame="_blank" w:history="1">
        <w:r w:rsidRPr="000851F3">
          <w:rPr>
            <w:rStyle w:val="Hyperlink"/>
          </w:rPr>
          <w:t>https://en.wikipedia.org/wiki/2021_Pacific_Northwest_floods</w:t>
        </w:r>
      </w:hyperlink>
      <w:r w:rsidRPr="000851F3">
        <w:t xml:space="preserve"> (Accessed: </w:t>
      </w:r>
      <w:r w:rsidR="008332BF">
        <w:t>06</w:t>
      </w:r>
      <w:r w:rsidRPr="000851F3">
        <w:t xml:space="preserve"> November 2025).</w:t>
      </w:r>
    </w:p>
    <w:p w14:paraId="0D985013" w14:textId="72D0722F" w:rsidR="000851F3" w:rsidRPr="000851F3" w:rsidRDefault="000851F3" w:rsidP="000851F3">
      <w:r w:rsidRPr="000851F3">
        <w:t>World Bank (2010) </w:t>
      </w:r>
      <w:r w:rsidRPr="000851F3">
        <w:rPr>
          <w:i/>
          <w:iCs/>
        </w:rPr>
        <w:t>A Handbook for Reconstructing after Natural Disasters</w:t>
      </w:r>
      <w:r w:rsidRPr="000851F3">
        <w:t>. Available at: </w:t>
      </w:r>
      <w:hyperlink r:id="rId23" w:tgtFrame="_blank" w:history="1">
        <w:r w:rsidRPr="000851F3">
          <w:rPr>
            <w:rStyle w:val="Hyperlink"/>
          </w:rPr>
          <w:t>https://openknowledge.worldbank.org/entities/publication/48f28c75-9430-5776-a467-261f4f98df79</w:t>
        </w:r>
      </w:hyperlink>
      <w:r w:rsidRPr="000851F3">
        <w:t xml:space="preserve"> (Accessed: </w:t>
      </w:r>
      <w:r w:rsidR="008332BF">
        <w:t>04</w:t>
      </w:r>
      <w:r w:rsidRPr="000851F3">
        <w:t xml:space="preserve"> November 2025).</w:t>
      </w:r>
    </w:p>
    <w:p w14:paraId="27449DA7" w14:textId="77777777" w:rsidR="000851F3" w:rsidRPr="000851F3" w:rsidRDefault="000851F3" w:rsidP="000851F3">
      <w:r w:rsidRPr="000851F3">
        <w:br/>
      </w:r>
    </w:p>
    <w:p w14:paraId="352CB016" w14:textId="77777777" w:rsidR="00007C0B" w:rsidRPr="00EB0BD7" w:rsidRDefault="00007C0B" w:rsidP="00EB0BD7"/>
    <w:p w14:paraId="1C4BDA2E" w14:textId="77777777" w:rsidR="00160D04" w:rsidRPr="00160D04" w:rsidRDefault="00160D04" w:rsidP="00160D04"/>
    <w:sectPr w:rsidR="00160D04" w:rsidRPr="00160D04" w:rsidSect="006B30B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A1DD6" w14:textId="77777777" w:rsidR="00703B5B" w:rsidRDefault="00703B5B" w:rsidP="007A3F08">
      <w:pPr>
        <w:spacing w:after="0" w:line="240" w:lineRule="auto"/>
      </w:pPr>
      <w:r>
        <w:separator/>
      </w:r>
    </w:p>
  </w:endnote>
  <w:endnote w:type="continuationSeparator" w:id="0">
    <w:p w14:paraId="30E8A919" w14:textId="77777777" w:rsidR="00703B5B" w:rsidRDefault="00703B5B" w:rsidP="007A3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0075922"/>
      <w:docPartObj>
        <w:docPartGallery w:val="Page Numbers (Bottom of Page)"/>
        <w:docPartUnique/>
      </w:docPartObj>
    </w:sdtPr>
    <w:sdtEndPr/>
    <w:sdtContent>
      <w:p w14:paraId="1E83ECA3" w14:textId="6B8D08F1" w:rsidR="007A3F08" w:rsidRDefault="007A3F08">
        <w:pPr>
          <w:pStyle w:val="Footer"/>
          <w:jc w:val="center"/>
        </w:pPr>
        <w:r>
          <w:fldChar w:fldCharType="begin"/>
        </w:r>
        <w:r>
          <w:instrText>PAGE   \* MERGEFORMAT</w:instrText>
        </w:r>
        <w:r>
          <w:fldChar w:fldCharType="separate"/>
        </w:r>
        <w:r>
          <w:t>2</w:t>
        </w:r>
        <w:r>
          <w:fldChar w:fldCharType="end"/>
        </w:r>
      </w:p>
    </w:sdtContent>
  </w:sdt>
  <w:p w14:paraId="1B469AB9" w14:textId="77777777" w:rsidR="007A3F08" w:rsidRDefault="007A3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2DA29" w14:textId="77777777" w:rsidR="00703B5B" w:rsidRDefault="00703B5B" w:rsidP="007A3F08">
      <w:pPr>
        <w:spacing w:after="0" w:line="240" w:lineRule="auto"/>
      </w:pPr>
      <w:r>
        <w:separator/>
      </w:r>
    </w:p>
  </w:footnote>
  <w:footnote w:type="continuationSeparator" w:id="0">
    <w:p w14:paraId="170B3918" w14:textId="77777777" w:rsidR="00703B5B" w:rsidRDefault="00703B5B" w:rsidP="007A3F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15648"/>
    <w:multiLevelType w:val="multilevel"/>
    <w:tmpl w:val="9F18F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640734"/>
    <w:multiLevelType w:val="multilevel"/>
    <w:tmpl w:val="2F4A9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AC76D1"/>
    <w:multiLevelType w:val="multilevel"/>
    <w:tmpl w:val="20826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760D81"/>
    <w:multiLevelType w:val="multilevel"/>
    <w:tmpl w:val="5EC8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7523641">
    <w:abstractNumId w:val="1"/>
  </w:num>
  <w:num w:numId="2" w16cid:durableId="1600792452">
    <w:abstractNumId w:val="2"/>
  </w:num>
  <w:num w:numId="3" w16cid:durableId="2005350342">
    <w:abstractNumId w:val="0"/>
  </w:num>
  <w:num w:numId="4" w16cid:durableId="7936430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060"/>
    <w:rsid w:val="00007C0B"/>
    <w:rsid w:val="000851F3"/>
    <w:rsid w:val="000A6C76"/>
    <w:rsid w:val="00133A57"/>
    <w:rsid w:val="00160D04"/>
    <w:rsid w:val="00182CFF"/>
    <w:rsid w:val="00184703"/>
    <w:rsid w:val="00274241"/>
    <w:rsid w:val="00317162"/>
    <w:rsid w:val="00320F6C"/>
    <w:rsid w:val="003B2715"/>
    <w:rsid w:val="003E429F"/>
    <w:rsid w:val="004D4C76"/>
    <w:rsid w:val="004D668D"/>
    <w:rsid w:val="00517184"/>
    <w:rsid w:val="005431A2"/>
    <w:rsid w:val="005A05BE"/>
    <w:rsid w:val="005A469F"/>
    <w:rsid w:val="00664AEF"/>
    <w:rsid w:val="006B30BC"/>
    <w:rsid w:val="006E1972"/>
    <w:rsid w:val="00703B5B"/>
    <w:rsid w:val="00704F7E"/>
    <w:rsid w:val="0074725A"/>
    <w:rsid w:val="007812BD"/>
    <w:rsid w:val="007A3F08"/>
    <w:rsid w:val="007B47F4"/>
    <w:rsid w:val="007E5B37"/>
    <w:rsid w:val="008332BF"/>
    <w:rsid w:val="008C7CDA"/>
    <w:rsid w:val="00946209"/>
    <w:rsid w:val="00A250F1"/>
    <w:rsid w:val="00A645D3"/>
    <w:rsid w:val="00A81935"/>
    <w:rsid w:val="00AE52A7"/>
    <w:rsid w:val="00B229C4"/>
    <w:rsid w:val="00B37FE2"/>
    <w:rsid w:val="00B62D02"/>
    <w:rsid w:val="00BD4413"/>
    <w:rsid w:val="00BF1B96"/>
    <w:rsid w:val="00C42060"/>
    <w:rsid w:val="00CC1969"/>
    <w:rsid w:val="00CF14D7"/>
    <w:rsid w:val="00D177AA"/>
    <w:rsid w:val="00D95FAB"/>
    <w:rsid w:val="00EB0BD7"/>
    <w:rsid w:val="00F431DE"/>
    <w:rsid w:val="00F55983"/>
    <w:rsid w:val="00F57388"/>
    <w:rsid w:val="00F7441E"/>
    <w:rsid w:val="00FC7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92003"/>
  <w15:chartTrackingRefBased/>
  <w15:docId w15:val="{FE8FF2CB-6032-446F-BE48-B1D86C66E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0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0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0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0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0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0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0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0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0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0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0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0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0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0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0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0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0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060"/>
    <w:rPr>
      <w:rFonts w:eastAsiaTheme="majorEastAsia" w:cstheme="majorBidi"/>
      <w:color w:val="272727" w:themeColor="text1" w:themeTint="D8"/>
    </w:rPr>
  </w:style>
  <w:style w:type="paragraph" w:styleId="Title">
    <w:name w:val="Title"/>
    <w:basedOn w:val="Normal"/>
    <w:next w:val="Normal"/>
    <w:link w:val="TitleChar"/>
    <w:uiPriority w:val="10"/>
    <w:qFormat/>
    <w:rsid w:val="00C420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0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0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0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060"/>
    <w:pPr>
      <w:spacing w:before="160"/>
      <w:jc w:val="center"/>
    </w:pPr>
    <w:rPr>
      <w:i/>
      <w:iCs/>
      <w:color w:val="404040" w:themeColor="text1" w:themeTint="BF"/>
    </w:rPr>
  </w:style>
  <w:style w:type="character" w:customStyle="1" w:styleId="QuoteChar">
    <w:name w:val="Quote Char"/>
    <w:basedOn w:val="DefaultParagraphFont"/>
    <w:link w:val="Quote"/>
    <w:uiPriority w:val="29"/>
    <w:rsid w:val="00C42060"/>
    <w:rPr>
      <w:i/>
      <w:iCs/>
      <w:color w:val="404040" w:themeColor="text1" w:themeTint="BF"/>
    </w:rPr>
  </w:style>
  <w:style w:type="paragraph" w:styleId="ListParagraph">
    <w:name w:val="List Paragraph"/>
    <w:basedOn w:val="Normal"/>
    <w:uiPriority w:val="34"/>
    <w:qFormat/>
    <w:rsid w:val="00C42060"/>
    <w:pPr>
      <w:ind w:left="720"/>
      <w:contextualSpacing/>
    </w:pPr>
  </w:style>
  <w:style w:type="character" w:styleId="IntenseEmphasis">
    <w:name w:val="Intense Emphasis"/>
    <w:basedOn w:val="DefaultParagraphFont"/>
    <w:uiPriority w:val="21"/>
    <w:qFormat/>
    <w:rsid w:val="00C42060"/>
    <w:rPr>
      <w:i/>
      <w:iCs/>
      <w:color w:val="0F4761" w:themeColor="accent1" w:themeShade="BF"/>
    </w:rPr>
  </w:style>
  <w:style w:type="paragraph" w:styleId="IntenseQuote">
    <w:name w:val="Intense Quote"/>
    <w:basedOn w:val="Normal"/>
    <w:next w:val="Normal"/>
    <w:link w:val="IntenseQuoteChar"/>
    <w:uiPriority w:val="30"/>
    <w:qFormat/>
    <w:rsid w:val="00C420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060"/>
    <w:rPr>
      <w:i/>
      <w:iCs/>
      <w:color w:val="0F4761" w:themeColor="accent1" w:themeShade="BF"/>
    </w:rPr>
  </w:style>
  <w:style w:type="character" w:styleId="IntenseReference">
    <w:name w:val="Intense Reference"/>
    <w:basedOn w:val="DefaultParagraphFont"/>
    <w:uiPriority w:val="32"/>
    <w:qFormat/>
    <w:rsid w:val="00C42060"/>
    <w:rPr>
      <w:b/>
      <w:bCs/>
      <w:smallCaps/>
      <w:color w:val="0F4761" w:themeColor="accent1" w:themeShade="BF"/>
      <w:spacing w:val="5"/>
    </w:rPr>
  </w:style>
  <w:style w:type="paragraph" w:styleId="NoSpacing">
    <w:name w:val="No Spacing"/>
    <w:link w:val="NoSpacingChar"/>
    <w:uiPriority w:val="1"/>
    <w:qFormat/>
    <w:rsid w:val="00C4206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42060"/>
    <w:rPr>
      <w:rFonts w:eastAsiaTheme="minorEastAsia"/>
      <w:kern w:val="0"/>
      <w:lang w:eastAsia="en-GB"/>
      <w14:ligatures w14:val="none"/>
    </w:rPr>
  </w:style>
  <w:style w:type="paragraph" w:styleId="NormalWeb">
    <w:name w:val="Normal (Web)"/>
    <w:basedOn w:val="Normal"/>
    <w:uiPriority w:val="99"/>
    <w:semiHidden/>
    <w:unhideWhenUsed/>
    <w:rsid w:val="008C7CDA"/>
    <w:rPr>
      <w:rFonts w:ascii="Times New Roman" w:hAnsi="Times New Roman" w:cs="Times New Roman"/>
      <w:sz w:val="24"/>
      <w:szCs w:val="24"/>
    </w:rPr>
  </w:style>
  <w:style w:type="character" w:styleId="Strong">
    <w:name w:val="Strong"/>
    <w:basedOn w:val="DefaultParagraphFont"/>
    <w:uiPriority w:val="22"/>
    <w:qFormat/>
    <w:rsid w:val="005A469F"/>
    <w:rPr>
      <w:b/>
      <w:bCs/>
    </w:rPr>
  </w:style>
  <w:style w:type="character" w:styleId="Hyperlink">
    <w:name w:val="Hyperlink"/>
    <w:basedOn w:val="DefaultParagraphFont"/>
    <w:uiPriority w:val="99"/>
    <w:unhideWhenUsed/>
    <w:rsid w:val="000851F3"/>
    <w:rPr>
      <w:color w:val="467886" w:themeColor="hyperlink"/>
      <w:u w:val="single"/>
    </w:rPr>
  </w:style>
  <w:style w:type="character" w:styleId="UnresolvedMention">
    <w:name w:val="Unresolved Mention"/>
    <w:basedOn w:val="DefaultParagraphFont"/>
    <w:uiPriority w:val="99"/>
    <w:semiHidden/>
    <w:unhideWhenUsed/>
    <w:rsid w:val="000851F3"/>
    <w:rPr>
      <w:color w:val="605E5C"/>
      <w:shd w:val="clear" w:color="auto" w:fill="E1DFDD"/>
    </w:rPr>
  </w:style>
  <w:style w:type="paragraph" w:styleId="Header">
    <w:name w:val="header"/>
    <w:basedOn w:val="Normal"/>
    <w:link w:val="HeaderChar"/>
    <w:uiPriority w:val="99"/>
    <w:unhideWhenUsed/>
    <w:rsid w:val="007A3F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F08"/>
  </w:style>
  <w:style w:type="paragraph" w:styleId="Footer">
    <w:name w:val="footer"/>
    <w:basedOn w:val="Normal"/>
    <w:link w:val="FooterChar"/>
    <w:uiPriority w:val="99"/>
    <w:unhideWhenUsed/>
    <w:rsid w:val="007A3F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F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globalnews.ca/news/10093781/coquilla-highway-repairs-finished-2021-flood/" TargetMode="External"/><Relationship Id="rId18" Type="http://schemas.openxmlformats.org/officeDocument/2006/relationships/hyperlink" Target="https://www.pmi.org/learning/library/project-management-methodology-post-disaster-reconstruction-1857"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vancouversun.com/news/local-news/bc-floods-estimate-highway-rebuilds-1-billion" TargetMode="External"/><Relationship Id="rId7" Type="http://schemas.openxmlformats.org/officeDocument/2006/relationships/image" Target="media/image1.jpeg"/><Relationship Id="rId12" Type="http://schemas.openxmlformats.org/officeDocument/2006/relationships/hyperlink" Target="https://www.fraserbasin.bc.ca/_Library/Water_Flood_BC/BC_Flood_Investigations_Summary_2021.pdf" TargetMode="External"/><Relationship Id="rId17" Type="http://schemas.openxmlformats.org/officeDocument/2006/relationships/hyperlink" Target="https://www.iclr.org/wp-content/uploads/2023/05/UPDATED-Watterodt-Doberstein-2023-Full-Report.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2.gov.bc.ca/assets/gov/environment/air-land-water/water/integrated-flood-hazard-mgmt/bc_flood_strategy.pdf" TargetMode="External"/><Relationship Id="rId20" Type="http://schemas.openxmlformats.org/officeDocument/2006/relationships/hyperlink" Target="https://www.trimble.com/blog/construction/en-US/article/when-mother-nature-attacks-the-role-of-construction-before-and-after-a-natural-disast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lanning.org/research/postdisaster/"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2.gov.bc.ca/gov/content/transportation-projects/bc-highway-flood-recovery/2021-flood-road-recovery-projects-highway-5" TargetMode="External"/><Relationship Id="rId23" Type="http://schemas.openxmlformats.org/officeDocument/2006/relationships/hyperlink" Target="https://openknowledge.worldbank.org/entities/publication/48f28c75-9430-5776-a467-261f4f98df79" TargetMode="External"/><Relationship Id="rId10" Type="http://schemas.openxmlformats.org/officeDocument/2006/relationships/image" Target="media/image4.jpeg"/><Relationship Id="rId19" Type="http://schemas.openxmlformats.org/officeDocument/2006/relationships/hyperlink" Target="https://www.tranbc.ca/2022/05/10/bc-flooding-what-does-the-road-to-recovery-look-like-for-our-highway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globalnews.ca/news/9468280/highway-flood-repairs-1billion/" TargetMode="External"/><Relationship Id="rId22" Type="http://schemas.openxmlformats.org/officeDocument/2006/relationships/hyperlink" Target="https://en.wikipedia.org/wiki/2021_Pacific_Northwest_flo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12</Pages>
  <Words>2432</Words>
  <Characters>13868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 hussain</dc:creator>
  <cp:keywords/>
  <dc:description/>
  <cp:lastModifiedBy>areeb hussain</cp:lastModifiedBy>
  <cp:revision>49</cp:revision>
  <dcterms:created xsi:type="dcterms:W3CDTF">2025-11-27T22:35:00Z</dcterms:created>
  <dcterms:modified xsi:type="dcterms:W3CDTF">2025-11-27T23:34:00Z</dcterms:modified>
</cp:coreProperties>
</file>