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0FCB" w:rsidRDefault="00030FCB" w:rsidP="00030FCB">
      <w:pPr>
        <w:pStyle w:val="Heading1"/>
        <w:jc w:val="center"/>
      </w:pPr>
      <w:r>
        <w:t>When in Rome or Beijing</w:t>
      </w:r>
    </w:p>
    <w:p w:rsidR="00030FCB" w:rsidRDefault="00030FCB" w:rsidP="00030FCB">
      <w:pPr>
        <w:rPr>
          <w:rFonts w:ascii="Arial" w:hAnsi="Arial" w:cs="Arial"/>
          <w:sz w:val="24"/>
          <w:szCs w:val="24"/>
        </w:rPr>
      </w:pPr>
    </w:p>
    <w:p w:rsidR="00030FCB" w:rsidRDefault="00030FCB" w:rsidP="00030FCB">
      <w:pPr>
        <w:rPr>
          <w:rFonts w:ascii="Arial" w:hAnsi="Arial" w:cs="Arial"/>
          <w:sz w:val="24"/>
          <w:szCs w:val="24"/>
        </w:rPr>
      </w:pPr>
    </w:p>
    <w:p w:rsidR="00030FCB" w:rsidRPr="00A56716" w:rsidRDefault="00030FCB" w:rsidP="00030FCB">
      <w:pPr>
        <w:pStyle w:val="Heading2"/>
      </w:pPr>
      <w:r w:rsidRPr="00A56716">
        <w:t>Introduction</w:t>
      </w:r>
    </w:p>
    <w:p w:rsidR="00030FCB" w:rsidRDefault="00030FCB" w:rsidP="00030FCB"/>
    <w:p w:rsidR="00030FCB" w:rsidRDefault="00030FCB" w:rsidP="00030FCB">
      <w:pPr>
        <w:rPr>
          <w:rFonts w:asciiTheme="minorHAnsi" w:hAnsiTheme="minorHAnsi" w:cstheme="minorHAnsi"/>
          <w:sz w:val="22"/>
          <w:szCs w:val="22"/>
        </w:rPr>
      </w:pPr>
      <w:r w:rsidRPr="006578CB">
        <w:rPr>
          <w:rFonts w:asciiTheme="minorHAnsi" w:hAnsiTheme="minorHAnsi" w:cstheme="minorHAnsi"/>
          <w:sz w:val="22"/>
          <w:szCs w:val="22"/>
        </w:rPr>
        <w:t>“Rather than seeing culture as a problem to be solved, there is evidence that culture can provide a source of competitive advantage” (Schneider, 2014, p.11)</w:t>
      </w:r>
      <w:r>
        <w:rPr>
          <w:rFonts w:asciiTheme="minorHAnsi" w:hAnsiTheme="minorHAnsi" w:cstheme="minorHAnsi"/>
          <w:sz w:val="22"/>
          <w:szCs w:val="22"/>
        </w:rPr>
        <w:t xml:space="preserve">. In order to overcome the challenges </w:t>
      </w:r>
      <w:r w:rsidR="007066F5">
        <w:rPr>
          <w:rFonts w:asciiTheme="minorHAnsi" w:hAnsiTheme="minorHAnsi" w:cstheme="minorHAnsi"/>
          <w:sz w:val="22"/>
          <w:szCs w:val="22"/>
        </w:rPr>
        <w:t xml:space="preserve">that </w:t>
      </w:r>
      <w:r>
        <w:rPr>
          <w:rFonts w:asciiTheme="minorHAnsi" w:hAnsiTheme="minorHAnsi" w:cstheme="minorHAnsi"/>
          <w:sz w:val="22"/>
          <w:szCs w:val="22"/>
        </w:rPr>
        <w:t>intercultural communication</w:t>
      </w:r>
      <w:r w:rsidR="007066F5">
        <w:rPr>
          <w:rFonts w:asciiTheme="minorHAnsi" w:hAnsiTheme="minorHAnsi" w:cstheme="minorHAnsi"/>
          <w:sz w:val="22"/>
          <w:szCs w:val="22"/>
        </w:rPr>
        <w:t xml:space="preserve"> can possess</w:t>
      </w:r>
      <w:r>
        <w:rPr>
          <w:rFonts w:asciiTheme="minorHAnsi" w:hAnsiTheme="minorHAnsi" w:cstheme="minorHAnsi"/>
          <w:sz w:val="22"/>
          <w:szCs w:val="22"/>
        </w:rPr>
        <w:t>, it is important to use knowledge of culture as your power. This briefing paper highlights several of the cultural differences within both China and Dubai and offers multiple recommendations in how these can be overcome to create a successful business outcome</w:t>
      </w:r>
      <w:r w:rsidR="007066F5">
        <w:rPr>
          <w:rFonts w:asciiTheme="minorHAnsi" w:hAnsiTheme="minorHAnsi" w:cstheme="minorHAnsi"/>
          <w:sz w:val="22"/>
          <w:szCs w:val="22"/>
        </w:rPr>
        <w:t xml:space="preserve"> for the future. </w:t>
      </w:r>
    </w:p>
    <w:p w:rsidR="00030FCB" w:rsidRDefault="00030FCB" w:rsidP="00030FCB">
      <w:pPr>
        <w:rPr>
          <w:rFonts w:asciiTheme="minorHAnsi" w:hAnsiTheme="minorHAnsi" w:cstheme="minorHAnsi"/>
          <w:sz w:val="22"/>
          <w:szCs w:val="22"/>
        </w:rPr>
      </w:pPr>
    </w:p>
    <w:p w:rsidR="00030FCB" w:rsidRDefault="00030FCB" w:rsidP="00030FCB">
      <w:pPr>
        <w:pStyle w:val="Heading2"/>
      </w:pPr>
      <w:r>
        <w:t xml:space="preserve">Cultural differences in China </w:t>
      </w:r>
    </w:p>
    <w:p w:rsidR="00030FCB" w:rsidRDefault="00030FCB" w:rsidP="00030FCB">
      <w:pPr>
        <w:rPr>
          <w:rFonts w:asciiTheme="minorHAnsi" w:hAnsiTheme="minorHAnsi" w:cstheme="minorHAnsi"/>
          <w:b/>
          <w:sz w:val="22"/>
          <w:szCs w:val="22"/>
        </w:rPr>
      </w:pPr>
    </w:p>
    <w:p w:rsidR="00030FCB" w:rsidRDefault="00030FCB" w:rsidP="00030FCB">
      <w:pPr>
        <w:rPr>
          <w:rFonts w:asciiTheme="minorHAnsi" w:hAnsiTheme="minorHAnsi" w:cstheme="minorHAnsi"/>
          <w:sz w:val="22"/>
          <w:szCs w:val="22"/>
        </w:rPr>
      </w:pPr>
      <w:r>
        <w:rPr>
          <w:rFonts w:asciiTheme="minorHAnsi" w:hAnsiTheme="minorHAnsi" w:cstheme="minorHAnsi"/>
          <w:sz w:val="22"/>
          <w:szCs w:val="22"/>
        </w:rPr>
        <w:t xml:space="preserve">The Chinese culture is a domain filled with rich complexity and diversity. </w:t>
      </w:r>
      <w:r w:rsidRPr="00536879">
        <w:rPr>
          <w:rFonts w:asciiTheme="minorHAnsi" w:hAnsiTheme="minorHAnsi" w:cstheme="minorHAnsi"/>
          <w:sz w:val="22"/>
          <w:szCs w:val="22"/>
        </w:rPr>
        <w:t>One of the most important aspects to consider when visiting China is</w:t>
      </w:r>
      <w:r>
        <w:rPr>
          <w:rFonts w:asciiTheme="minorHAnsi" w:hAnsiTheme="minorHAnsi" w:cstheme="minorHAnsi"/>
          <w:sz w:val="22"/>
          <w:szCs w:val="22"/>
        </w:rPr>
        <w:t xml:space="preserve"> how </w:t>
      </w:r>
      <w:r w:rsidR="002045BC">
        <w:rPr>
          <w:rFonts w:asciiTheme="minorHAnsi" w:hAnsiTheme="minorHAnsi" w:cstheme="minorHAnsi"/>
          <w:sz w:val="22"/>
          <w:szCs w:val="22"/>
        </w:rPr>
        <w:t xml:space="preserve">the culture </w:t>
      </w:r>
      <w:r>
        <w:rPr>
          <w:rFonts w:asciiTheme="minorHAnsi" w:hAnsiTheme="minorHAnsi" w:cstheme="minorHAnsi"/>
          <w:sz w:val="22"/>
          <w:szCs w:val="22"/>
        </w:rPr>
        <w:t>value</w:t>
      </w:r>
      <w:r w:rsidR="002045BC">
        <w:rPr>
          <w:rFonts w:asciiTheme="minorHAnsi" w:hAnsiTheme="minorHAnsi" w:cstheme="minorHAnsi"/>
          <w:sz w:val="22"/>
          <w:szCs w:val="22"/>
        </w:rPr>
        <w:t>’s</w:t>
      </w:r>
      <w:r w:rsidRPr="00536879">
        <w:rPr>
          <w:rFonts w:asciiTheme="minorHAnsi" w:hAnsiTheme="minorHAnsi" w:cstheme="minorHAnsi"/>
          <w:sz w:val="22"/>
          <w:szCs w:val="22"/>
        </w:rPr>
        <w:t xml:space="preserve"> respect. Respect is a fundamental part of culture and business alike within China and a notion that varies greatly to </w:t>
      </w:r>
      <w:r>
        <w:rPr>
          <w:rFonts w:asciiTheme="minorHAnsi" w:hAnsiTheme="minorHAnsi" w:cstheme="minorHAnsi"/>
          <w:sz w:val="22"/>
          <w:szCs w:val="22"/>
        </w:rPr>
        <w:t xml:space="preserve">its role within </w:t>
      </w:r>
      <w:r w:rsidRPr="00536879">
        <w:rPr>
          <w:rFonts w:asciiTheme="minorHAnsi" w:hAnsiTheme="minorHAnsi" w:cstheme="minorHAnsi"/>
          <w:sz w:val="22"/>
          <w:szCs w:val="22"/>
        </w:rPr>
        <w:t>America</w:t>
      </w:r>
      <w:r>
        <w:rPr>
          <w:rFonts w:asciiTheme="minorHAnsi" w:hAnsiTheme="minorHAnsi" w:cstheme="minorHAnsi"/>
          <w:sz w:val="22"/>
          <w:szCs w:val="22"/>
        </w:rPr>
        <w:t xml:space="preserve">n society. As discussed by </w:t>
      </w:r>
      <w:r w:rsidRPr="00B815BA">
        <w:rPr>
          <w:rFonts w:asciiTheme="minorHAnsi" w:hAnsiTheme="minorHAnsi" w:cstheme="minorHAnsi"/>
          <w:sz w:val="22"/>
          <w:szCs w:val="22"/>
        </w:rPr>
        <w:t>Lodén, T</w:t>
      </w:r>
      <w:r>
        <w:rPr>
          <w:rFonts w:asciiTheme="minorHAnsi" w:hAnsiTheme="minorHAnsi" w:cstheme="minorHAnsi"/>
          <w:sz w:val="22"/>
          <w:szCs w:val="22"/>
        </w:rPr>
        <w:t xml:space="preserve"> et al. (2014) respect “</w:t>
      </w:r>
      <w:r w:rsidRPr="00C2617C">
        <w:rPr>
          <w:rFonts w:asciiTheme="minorHAnsi" w:hAnsiTheme="minorHAnsi" w:cstheme="minorHAnsi"/>
          <w:sz w:val="22"/>
          <w:szCs w:val="22"/>
        </w:rPr>
        <w:t xml:space="preserve">is often discussed in a hierarchic context: respect is something that a person below shows a person above, and so one could say that it implies only that those high up on the social ladder possess dignity and not that dignity is a quality shared by all humans”. </w:t>
      </w:r>
      <w:r w:rsidR="002045BC">
        <w:rPr>
          <w:rFonts w:asciiTheme="minorHAnsi" w:hAnsiTheme="minorHAnsi" w:cstheme="minorHAnsi"/>
          <w:sz w:val="22"/>
          <w:szCs w:val="22"/>
        </w:rPr>
        <w:t xml:space="preserve">This way of thinking can be further examined using Hofstede’s theory. </w:t>
      </w:r>
      <w:r>
        <w:rPr>
          <w:rFonts w:asciiTheme="minorHAnsi" w:hAnsiTheme="minorHAnsi" w:cstheme="minorHAnsi"/>
          <w:sz w:val="22"/>
          <w:szCs w:val="22"/>
        </w:rPr>
        <w:t>Hofstede</w:t>
      </w:r>
      <w:r w:rsidR="002045BC">
        <w:rPr>
          <w:rFonts w:asciiTheme="minorHAnsi" w:hAnsiTheme="minorHAnsi" w:cstheme="minorHAnsi"/>
          <w:sz w:val="22"/>
          <w:szCs w:val="22"/>
        </w:rPr>
        <w:t xml:space="preserve"> </w:t>
      </w:r>
      <w:r>
        <w:rPr>
          <w:rFonts w:asciiTheme="minorHAnsi" w:hAnsiTheme="minorHAnsi" w:cstheme="minorHAnsi"/>
          <w:sz w:val="22"/>
          <w:szCs w:val="22"/>
        </w:rPr>
        <w:t xml:space="preserve">created four dimensions to help define culture within different countries. One of these dimensions is ‘power distance’. As a result of China’s hierarchal way of thinking, China score’s extremely high in the power-distance category. When considering this, it is important to remember that within any meetings, there will be a clear divide between those in considered higher positions than those of lower positions. This varies greatly to the common Western attitude of showing equal respect regardless of status or position. A recommendation to abide by this cultural way is to treat the higher standing business colleagues and decision makers with a great deal of respect and dignity. This will ensure that you meet the expectations of these colleague’s as they will receive the respect they have earned according to their culture. </w:t>
      </w: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color w:val="000000"/>
          <w:sz w:val="22"/>
          <w:szCs w:val="22"/>
        </w:rPr>
      </w:pPr>
      <w:r>
        <w:rPr>
          <w:rFonts w:asciiTheme="minorHAnsi" w:hAnsiTheme="minorHAnsi" w:cstheme="minorHAnsi"/>
          <w:sz w:val="22"/>
          <w:szCs w:val="22"/>
        </w:rPr>
        <w:t xml:space="preserve">Language is another area that could be a key challenge in terms of intercultural communication. According </w:t>
      </w:r>
      <w:r w:rsidRPr="00F34982">
        <w:rPr>
          <w:rFonts w:asciiTheme="minorHAnsi" w:hAnsiTheme="minorHAnsi" w:cstheme="minorHAnsi"/>
          <w:sz w:val="22"/>
          <w:szCs w:val="22"/>
        </w:rPr>
        <w:t>to the BBC (2014) “</w:t>
      </w:r>
      <w:r w:rsidRPr="00F34982">
        <w:rPr>
          <w:rFonts w:asciiTheme="minorHAnsi" w:hAnsiTheme="minorHAnsi" w:cstheme="minorHAnsi"/>
          <w:color w:val="000000"/>
          <w:sz w:val="22"/>
          <w:szCs w:val="22"/>
        </w:rPr>
        <w:t xml:space="preserve">Mandarin is the official language of </w:t>
      </w:r>
      <w:r w:rsidRPr="00F10ED6">
        <w:rPr>
          <w:rFonts w:asciiTheme="minorHAnsi" w:hAnsiTheme="minorHAnsi" w:cstheme="minorHAnsi"/>
          <w:color w:val="000000"/>
          <w:sz w:val="22"/>
          <w:szCs w:val="22"/>
        </w:rPr>
        <w:t xml:space="preserve">the </w:t>
      </w:r>
      <w:r w:rsidRPr="00F10ED6">
        <w:rPr>
          <w:rStyle w:val="Strong"/>
          <w:rFonts w:asciiTheme="minorHAnsi" w:hAnsiTheme="minorHAnsi" w:cstheme="minorHAnsi"/>
          <w:b w:val="0"/>
          <w:color w:val="000000"/>
          <w:sz w:val="22"/>
          <w:szCs w:val="22"/>
        </w:rPr>
        <w:t>People’s Republic of China</w:t>
      </w:r>
      <w:r w:rsidRPr="00F34982">
        <w:rPr>
          <w:rFonts w:asciiTheme="minorHAnsi" w:hAnsiTheme="minorHAnsi" w:cstheme="minorHAnsi"/>
          <w:color w:val="000000"/>
          <w:sz w:val="22"/>
          <w:szCs w:val="22"/>
        </w:rPr>
        <w:t xml:space="preserve"> and by far the most widely used version, with over 800 million speakers”. </w:t>
      </w:r>
      <w:r>
        <w:rPr>
          <w:rFonts w:asciiTheme="minorHAnsi" w:hAnsiTheme="minorHAnsi" w:cstheme="minorHAnsi"/>
          <w:color w:val="000000"/>
          <w:sz w:val="22"/>
          <w:szCs w:val="22"/>
        </w:rPr>
        <w:t xml:space="preserve">A language barrier could result in poor and unclear communication resulting in a less successful business outcome. In order to overcome any language miscommunications, it would be highly beneficial to learn some basic and key Mandarin phrases, alongside hiring an experienced language translator fluent in both English and Mandarin to be present in any business meetings. In addition to this, it is important to note that the language itself may not possess the only issue, and that it is the lack of understanding of the meaning of the language that could act as a disadvantage. As discussed by Usunier et al. (2017, p.50) “There is a difference between understanding and speaking a foreign language and grasping the consequences of languages being different. Management researchers do not need to be multi-lingual, but rather they need to have an in-depth awareness of what language differences imply”. This concept implies that certain phrases in English, when translated to another language, could possess an altered meaning or not have the initial desired effect that it once had in English. In order to overcome this barrier, it is imperative that communication is clear and that the explanations and words used during business meetings provide equivalent meanings to all parties. </w:t>
      </w:r>
    </w:p>
    <w:p w:rsidR="00030FCB" w:rsidRDefault="00030FCB" w:rsidP="00030FCB">
      <w:pPr>
        <w:rPr>
          <w:rFonts w:asciiTheme="minorHAnsi" w:hAnsiTheme="minorHAnsi" w:cstheme="minorHAnsi"/>
          <w:sz w:val="22"/>
          <w:szCs w:val="22"/>
        </w:rPr>
      </w:pPr>
    </w:p>
    <w:p w:rsidR="00030FCB" w:rsidRPr="00F34982" w:rsidRDefault="00030FCB" w:rsidP="00030FCB">
      <w:pPr>
        <w:rPr>
          <w:rFonts w:asciiTheme="minorHAnsi" w:hAnsiTheme="minorHAnsi" w:cstheme="minorHAnsi"/>
          <w:sz w:val="22"/>
          <w:szCs w:val="22"/>
        </w:rPr>
      </w:pPr>
      <w:r>
        <w:rPr>
          <w:rFonts w:asciiTheme="minorHAnsi" w:hAnsiTheme="minorHAnsi" w:cstheme="minorHAnsi"/>
          <w:sz w:val="22"/>
          <w:szCs w:val="22"/>
        </w:rPr>
        <w:lastRenderedPageBreak/>
        <w:t>When discussing Chinese</w:t>
      </w:r>
      <w:r w:rsidR="000632AA">
        <w:rPr>
          <w:rFonts w:asciiTheme="minorHAnsi" w:hAnsiTheme="minorHAnsi" w:cstheme="minorHAnsi"/>
          <w:sz w:val="22"/>
          <w:szCs w:val="22"/>
        </w:rPr>
        <w:t xml:space="preserve"> culture</w:t>
      </w:r>
      <w:r>
        <w:rPr>
          <w:rFonts w:asciiTheme="minorHAnsi" w:hAnsiTheme="minorHAnsi" w:cstheme="minorHAnsi"/>
          <w:sz w:val="22"/>
          <w:szCs w:val="22"/>
        </w:rPr>
        <w:t xml:space="preserve"> at </w:t>
      </w:r>
      <w:r w:rsidR="000632AA">
        <w:rPr>
          <w:rFonts w:asciiTheme="minorHAnsi" w:hAnsiTheme="minorHAnsi" w:cstheme="minorHAnsi"/>
          <w:sz w:val="22"/>
          <w:szCs w:val="22"/>
        </w:rPr>
        <w:t xml:space="preserve">business </w:t>
      </w:r>
      <w:r>
        <w:rPr>
          <w:rFonts w:asciiTheme="minorHAnsi" w:hAnsiTheme="minorHAnsi" w:cstheme="minorHAnsi"/>
          <w:sz w:val="22"/>
          <w:szCs w:val="22"/>
        </w:rPr>
        <w:t xml:space="preserve">meetings, Lewis (2010, p.493) states “They negotiate step by step in an unhurried manner. They prefer to open proceedings with a discussion of general principles of mutual interest”. In contrast, it is common practice within Western culture to carry an eagerness to finish certain tasks or business matters. In order to help overcome this difference and maximise success, adapting to a slower negotiation pace is highly recommended. This meeting style will appeal far more to the Chinese and therefore maximise their input within the meetings. Lewis further goes on to discuss Chinese behaviour in terms of time, stating that “Deal-orientated American’s and many Europeans agree to perform specific tasks over an agreed period of time. The Chinese, looking beyond the deal, prioritize mutual trust in the long term”. This is reflective of why China score’s highly within the ‘long-term orientation’ dimension within Hofstede’s model. In order to make progress and overcome this cultural difference, it is important to offer longstanding business outcomes that will offer further benefits than just the short-term business deal itself. </w:t>
      </w: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sz w:val="22"/>
          <w:szCs w:val="22"/>
        </w:rPr>
      </w:pPr>
      <w:r>
        <w:rPr>
          <w:rFonts w:asciiTheme="minorHAnsi" w:hAnsiTheme="minorHAnsi" w:cstheme="minorHAnsi"/>
          <w:sz w:val="22"/>
          <w:szCs w:val="22"/>
        </w:rPr>
        <w:t>In relation to the Chinese way of thinking, Cheung et al. (2008) states that “</w:t>
      </w:r>
      <w:r w:rsidRPr="00813F9D">
        <w:rPr>
          <w:rFonts w:asciiTheme="minorHAnsi" w:hAnsiTheme="minorHAnsi" w:cstheme="minorHAnsi"/>
          <w:sz w:val="22"/>
          <w:szCs w:val="22"/>
        </w:rPr>
        <w:t>Recent studies on Chinese thinking style showed that Chinese participants tend to adopt dialectical thinking as a compromise approach to deal with apparent contradictions in argument as well as in social conflicts</w:t>
      </w:r>
      <w:r>
        <w:rPr>
          <w:rFonts w:asciiTheme="minorHAnsi" w:hAnsiTheme="minorHAnsi" w:cstheme="minorHAnsi"/>
          <w:sz w:val="22"/>
          <w:szCs w:val="22"/>
        </w:rPr>
        <w:t xml:space="preserve">”. This dialectical thinking approach is also reflective of how the Chinese will respond to ideas and adapt to business opportunity. It is recommended to embrace this approach of exploring opposite thoughts when discussing business and future venture’s in order to come to the most successful business outcome. </w:t>
      </w: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sz w:val="22"/>
          <w:szCs w:val="22"/>
        </w:rPr>
      </w:pPr>
      <w:r>
        <w:rPr>
          <w:rFonts w:asciiTheme="minorHAnsi" w:hAnsiTheme="minorHAnsi" w:cstheme="minorHAnsi"/>
          <w:sz w:val="22"/>
          <w:szCs w:val="22"/>
        </w:rPr>
        <w:t xml:space="preserve">When looking at cultural management, Kluckhohn and Strodtbeck (1961) put forward a theory that each culture has its own orientations towards different situations and individuals. Mead et al. (2009, p.30) discusses these orientations, stating that “Scarborough (1998) compared Western and Chinese cultural differences and finds in Western culture ‘an aggressive, active approach to nature, technology and progress’ and ‘reliance on reason and the scientific method’; and in Chinese culture ‘passive, fatalistic submission’ and ‘reliance on precedent, intuition and wisdom’”. In order to overcome these cultural differences within business dealings, it is recommended to use example or similar previous situations in order to prove or convince any points, as well as adapting to a more relaxed method of business proposals. This style of business will be more relatable to the Chinese culture and will allow them the familiarity to work to the best of their abilities. </w:t>
      </w:r>
    </w:p>
    <w:p w:rsidR="00030FCB" w:rsidRDefault="00030FCB" w:rsidP="00030FCB">
      <w:pPr>
        <w:rPr>
          <w:rFonts w:asciiTheme="minorHAnsi" w:hAnsiTheme="minorHAnsi" w:cstheme="minorHAnsi"/>
          <w:sz w:val="22"/>
          <w:szCs w:val="22"/>
        </w:rPr>
      </w:pPr>
    </w:p>
    <w:p w:rsidR="00030FCB" w:rsidRPr="005F5988" w:rsidRDefault="00030FCB" w:rsidP="00030FCB">
      <w:pPr>
        <w:pStyle w:val="Heading2"/>
      </w:pPr>
      <w:r>
        <w:t xml:space="preserve">Cultural differences in Dubai </w:t>
      </w:r>
    </w:p>
    <w:p w:rsidR="00030FCB" w:rsidRDefault="00030FCB" w:rsidP="00030FCB">
      <w:pPr>
        <w:pStyle w:val="Heading2"/>
      </w:pPr>
      <w:r>
        <w:tab/>
      </w:r>
    </w:p>
    <w:p w:rsidR="00030FCB" w:rsidRDefault="00030FCB" w:rsidP="00030FCB">
      <w:pPr>
        <w:rPr>
          <w:rFonts w:asciiTheme="minorHAnsi" w:hAnsiTheme="minorHAnsi" w:cstheme="minorHAnsi"/>
          <w:sz w:val="22"/>
          <w:szCs w:val="22"/>
        </w:rPr>
      </w:pPr>
      <w:r>
        <w:rPr>
          <w:rFonts w:asciiTheme="minorHAnsi" w:hAnsiTheme="minorHAnsi" w:cstheme="minorHAnsi"/>
          <w:sz w:val="22"/>
          <w:szCs w:val="22"/>
        </w:rPr>
        <w:t xml:space="preserve">Similar to China, Dubai also boasts an extremely intricate culture rich with diversification. One very important aspect of culture within Dubai is religion. As discussed by Carte et al. (2010, p.179) “In the Arab world, for example, religious and philosophical beliefs directly affect the way business is done”. It is important to gather a basic understanding of what is acceptable and common practice within each religion. Carte et al. (2010, p.180) further goes on to discuss how “In Muslim and Hindu cultures, for example, eat and hand over documents with your right hand and don’t show the soles of your feet”. This is just one example of how an action considered harmless within American culture, could have a completely different meaning or intention with individuals from other religion’s or cultures. Mindfulness and awareness of these religious tendencies are highly important when carrying out business within Dubai to both avoid offense and build good relations. Furthermore, regarding religion, </w:t>
      </w:r>
      <w:r>
        <w:rPr>
          <w:rFonts w:asciiTheme="minorHAnsi" w:hAnsiTheme="minorHAnsi" w:cstheme="minorHAnsi"/>
          <w:sz w:val="22"/>
          <w:szCs w:val="22"/>
          <w:lang w:val="en"/>
        </w:rPr>
        <w:t xml:space="preserve">Dubai still remains a traditionalist country where Islam plays a large role in everyday life. </w:t>
      </w:r>
      <w:r w:rsidRPr="00C535D9">
        <w:rPr>
          <w:rFonts w:asciiTheme="minorHAnsi" w:hAnsiTheme="minorHAnsi" w:cstheme="minorHAnsi"/>
          <w:sz w:val="22"/>
          <w:szCs w:val="22"/>
          <w:lang w:val="en"/>
        </w:rPr>
        <w:t>A</w:t>
      </w:r>
      <w:r>
        <w:rPr>
          <w:rFonts w:asciiTheme="minorHAnsi" w:hAnsiTheme="minorHAnsi" w:cstheme="minorHAnsi"/>
          <w:sz w:val="22"/>
          <w:szCs w:val="22"/>
          <w:lang w:val="en"/>
        </w:rPr>
        <w:t>lmazrouuei</w:t>
      </w:r>
      <w:r w:rsidRPr="00C535D9">
        <w:rPr>
          <w:rFonts w:asciiTheme="minorHAnsi" w:hAnsiTheme="minorHAnsi" w:cstheme="minorHAnsi"/>
          <w:sz w:val="22"/>
          <w:szCs w:val="22"/>
        </w:rPr>
        <w:t xml:space="preserve"> </w:t>
      </w:r>
      <w:r>
        <w:rPr>
          <w:rFonts w:asciiTheme="minorHAnsi" w:hAnsiTheme="minorHAnsi" w:cstheme="minorHAnsi"/>
          <w:sz w:val="22"/>
          <w:szCs w:val="22"/>
        </w:rPr>
        <w:t>et al. (2015) discusses this Islam influence, stating how “</w:t>
      </w:r>
      <w:r w:rsidRPr="00C535D9">
        <w:rPr>
          <w:rFonts w:asciiTheme="minorHAnsi" w:hAnsiTheme="minorHAnsi" w:cstheme="minorHAnsi"/>
          <w:sz w:val="22"/>
          <w:szCs w:val="22"/>
        </w:rPr>
        <w:t>daily</w:t>
      </w:r>
      <w:r>
        <w:rPr>
          <w:rFonts w:asciiTheme="minorHAnsi" w:hAnsiTheme="minorHAnsi" w:cstheme="minorHAnsi"/>
          <w:sz w:val="22"/>
          <w:szCs w:val="22"/>
        </w:rPr>
        <w:t xml:space="preserve"> </w:t>
      </w:r>
      <w:r w:rsidRPr="00C535D9">
        <w:rPr>
          <w:rFonts w:asciiTheme="minorHAnsi" w:hAnsiTheme="minorHAnsi" w:cstheme="minorHAnsi"/>
          <w:sz w:val="22"/>
          <w:szCs w:val="22"/>
        </w:rPr>
        <w:t>life</w:t>
      </w:r>
      <w:r>
        <w:rPr>
          <w:rFonts w:asciiTheme="minorHAnsi" w:hAnsiTheme="minorHAnsi" w:cstheme="minorHAnsi"/>
          <w:sz w:val="22"/>
          <w:szCs w:val="22"/>
        </w:rPr>
        <w:t xml:space="preserve"> </w:t>
      </w:r>
      <w:r w:rsidRPr="00C535D9">
        <w:rPr>
          <w:rFonts w:asciiTheme="minorHAnsi" w:hAnsiTheme="minorHAnsi" w:cstheme="minorHAnsi"/>
          <w:sz w:val="22"/>
          <w:szCs w:val="22"/>
        </w:rPr>
        <w:t>is</w:t>
      </w:r>
      <w:r>
        <w:rPr>
          <w:rFonts w:asciiTheme="minorHAnsi" w:hAnsiTheme="minorHAnsi" w:cstheme="minorHAnsi"/>
          <w:sz w:val="22"/>
          <w:szCs w:val="22"/>
        </w:rPr>
        <w:t xml:space="preserve"> </w:t>
      </w:r>
      <w:r w:rsidRPr="00C535D9">
        <w:rPr>
          <w:rFonts w:asciiTheme="minorHAnsi" w:hAnsiTheme="minorHAnsi" w:cstheme="minorHAnsi"/>
          <w:sz w:val="22"/>
          <w:szCs w:val="22"/>
        </w:rPr>
        <w:t>considered</w:t>
      </w:r>
      <w:r>
        <w:rPr>
          <w:rFonts w:asciiTheme="minorHAnsi" w:hAnsiTheme="minorHAnsi" w:cstheme="minorHAnsi"/>
          <w:sz w:val="22"/>
          <w:szCs w:val="22"/>
        </w:rPr>
        <w:t xml:space="preserve"> </w:t>
      </w:r>
      <w:r w:rsidRPr="00C535D9">
        <w:rPr>
          <w:rFonts w:asciiTheme="minorHAnsi" w:hAnsiTheme="minorHAnsi" w:cstheme="minorHAnsi"/>
          <w:sz w:val="22"/>
          <w:szCs w:val="22"/>
        </w:rPr>
        <w:t>to</w:t>
      </w:r>
      <w:r>
        <w:rPr>
          <w:rFonts w:asciiTheme="minorHAnsi" w:hAnsiTheme="minorHAnsi" w:cstheme="minorHAnsi"/>
          <w:sz w:val="22"/>
          <w:szCs w:val="22"/>
        </w:rPr>
        <w:t xml:space="preserve"> </w:t>
      </w:r>
      <w:r w:rsidRPr="00C535D9">
        <w:rPr>
          <w:rFonts w:asciiTheme="minorHAnsi" w:hAnsiTheme="minorHAnsi" w:cstheme="minorHAnsi"/>
          <w:sz w:val="22"/>
          <w:szCs w:val="22"/>
        </w:rPr>
        <w:t>be</w:t>
      </w:r>
      <w:r>
        <w:rPr>
          <w:rFonts w:asciiTheme="minorHAnsi" w:hAnsiTheme="minorHAnsi" w:cstheme="minorHAnsi"/>
          <w:sz w:val="22"/>
          <w:szCs w:val="22"/>
        </w:rPr>
        <w:t xml:space="preserve"> </w:t>
      </w:r>
      <w:r w:rsidRPr="00C535D9">
        <w:rPr>
          <w:rFonts w:asciiTheme="minorHAnsi" w:hAnsiTheme="minorHAnsi" w:cstheme="minorHAnsi"/>
          <w:sz w:val="22"/>
          <w:szCs w:val="22"/>
        </w:rPr>
        <w:t>controlled</w:t>
      </w:r>
      <w:r>
        <w:rPr>
          <w:rFonts w:asciiTheme="minorHAnsi" w:hAnsiTheme="minorHAnsi" w:cstheme="minorHAnsi"/>
          <w:sz w:val="22"/>
          <w:szCs w:val="22"/>
        </w:rPr>
        <w:t xml:space="preserve"> </w:t>
      </w:r>
      <w:r w:rsidRPr="00C535D9">
        <w:rPr>
          <w:rFonts w:asciiTheme="minorHAnsi" w:hAnsiTheme="minorHAnsi" w:cstheme="minorHAnsi"/>
          <w:sz w:val="22"/>
          <w:szCs w:val="22"/>
        </w:rPr>
        <w:t>by</w:t>
      </w:r>
      <w:r>
        <w:rPr>
          <w:rFonts w:asciiTheme="minorHAnsi" w:hAnsiTheme="minorHAnsi" w:cstheme="minorHAnsi"/>
          <w:sz w:val="22"/>
          <w:szCs w:val="22"/>
        </w:rPr>
        <w:t xml:space="preserve"> </w:t>
      </w:r>
      <w:r w:rsidRPr="00C535D9">
        <w:rPr>
          <w:rFonts w:asciiTheme="minorHAnsi" w:hAnsiTheme="minorHAnsi" w:cstheme="minorHAnsi"/>
          <w:sz w:val="22"/>
          <w:szCs w:val="22"/>
        </w:rPr>
        <w:t>God,</w:t>
      </w:r>
      <w:r>
        <w:rPr>
          <w:rFonts w:asciiTheme="minorHAnsi" w:hAnsiTheme="minorHAnsi" w:cstheme="minorHAnsi"/>
          <w:sz w:val="22"/>
          <w:szCs w:val="22"/>
        </w:rPr>
        <w:t xml:space="preserve"> </w:t>
      </w:r>
      <w:r w:rsidRPr="00C535D9">
        <w:rPr>
          <w:rFonts w:asciiTheme="minorHAnsi" w:hAnsiTheme="minorHAnsi" w:cstheme="minorHAnsi"/>
          <w:sz w:val="22"/>
          <w:szCs w:val="22"/>
        </w:rPr>
        <w:t>resulting in</w:t>
      </w:r>
      <w:r>
        <w:rPr>
          <w:rFonts w:asciiTheme="minorHAnsi" w:hAnsiTheme="minorHAnsi" w:cstheme="minorHAnsi"/>
          <w:sz w:val="22"/>
          <w:szCs w:val="22"/>
        </w:rPr>
        <w:t xml:space="preserve"> </w:t>
      </w:r>
      <w:r w:rsidRPr="00C535D9">
        <w:rPr>
          <w:rFonts w:asciiTheme="minorHAnsi" w:hAnsiTheme="minorHAnsi" w:cstheme="minorHAnsi"/>
          <w:sz w:val="22"/>
          <w:szCs w:val="22"/>
        </w:rPr>
        <w:t>a</w:t>
      </w:r>
      <w:r>
        <w:rPr>
          <w:rFonts w:asciiTheme="minorHAnsi" w:hAnsiTheme="minorHAnsi" w:cstheme="minorHAnsi"/>
          <w:sz w:val="22"/>
          <w:szCs w:val="22"/>
        </w:rPr>
        <w:t xml:space="preserve"> </w:t>
      </w:r>
      <w:r w:rsidRPr="00C535D9">
        <w:rPr>
          <w:rFonts w:asciiTheme="minorHAnsi" w:hAnsiTheme="minorHAnsi" w:cstheme="minorHAnsi"/>
          <w:sz w:val="22"/>
          <w:szCs w:val="22"/>
        </w:rPr>
        <w:t>relaxed</w:t>
      </w:r>
      <w:r>
        <w:rPr>
          <w:rFonts w:asciiTheme="minorHAnsi" w:hAnsiTheme="minorHAnsi" w:cstheme="minorHAnsi"/>
          <w:sz w:val="22"/>
          <w:szCs w:val="22"/>
        </w:rPr>
        <w:t xml:space="preserve"> </w:t>
      </w:r>
      <w:r w:rsidRPr="00C535D9">
        <w:rPr>
          <w:rFonts w:asciiTheme="minorHAnsi" w:hAnsiTheme="minorHAnsi" w:cstheme="minorHAnsi"/>
          <w:sz w:val="22"/>
          <w:szCs w:val="22"/>
        </w:rPr>
        <w:t>attitude</w:t>
      </w:r>
      <w:r>
        <w:rPr>
          <w:rFonts w:asciiTheme="minorHAnsi" w:hAnsiTheme="minorHAnsi" w:cstheme="minorHAnsi"/>
          <w:sz w:val="22"/>
          <w:szCs w:val="22"/>
        </w:rPr>
        <w:t xml:space="preserve"> </w:t>
      </w:r>
      <w:r w:rsidRPr="00C535D9">
        <w:rPr>
          <w:rFonts w:asciiTheme="minorHAnsi" w:hAnsiTheme="minorHAnsi" w:cstheme="minorHAnsi"/>
          <w:sz w:val="22"/>
          <w:szCs w:val="22"/>
        </w:rPr>
        <w:t>to</w:t>
      </w:r>
      <w:r>
        <w:rPr>
          <w:rFonts w:asciiTheme="minorHAnsi" w:hAnsiTheme="minorHAnsi" w:cstheme="minorHAnsi"/>
          <w:sz w:val="22"/>
          <w:szCs w:val="22"/>
        </w:rPr>
        <w:t xml:space="preserve"> </w:t>
      </w:r>
      <w:r w:rsidRPr="00C535D9">
        <w:rPr>
          <w:rFonts w:asciiTheme="minorHAnsi" w:hAnsiTheme="minorHAnsi" w:cstheme="minorHAnsi"/>
          <w:sz w:val="22"/>
          <w:szCs w:val="22"/>
        </w:rPr>
        <w:t>timelines</w:t>
      </w:r>
      <w:r>
        <w:rPr>
          <w:rFonts w:asciiTheme="minorHAnsi" w:hAnsiTheme="minorHAnsi" w:cstheme="minorHAnsi"/>
          <w:sz w:val="22"/>
          <w:szCs w:val="22"/>
        </w:rPr>
        <w:t xml:space="preserve"> </w:t>
      </w:r>
      <w:r w:rsidRPr="00C535D9">
        <w:rPr>
          <w:rFonts w:asciiTheme="minorHAnsi" w:hAnsiTheme="minorHAnsi" w:cstheme="minorHAnsi"/>
          <w:sz w:val="22"/>
          <w:szCs w:val="22"/>
        </w:rPr>
        <w:t>and</w:t>
      </w:r>
      <w:r>
        <w:rPr>
          <w:rFonts w:asciiTheme="minorHAnsi" w:hAnsiTheme="minorHAnsi" w:cstheme="minorHAnsi"/>
          <w:sz w:val="22"/>
          <w:szCs w:val="22"/>
        </w:rPr>
        <w:t xml:space="preserve"> </w:t>
      </w:r>
      <w:r w:rsidRPr="00C535D9">
        <w:rPr>
          <w:rFonts w:asciiTheme="minorHAnsi" w:hAnsiTheme="minorHAnsi" w:cstheme="minorHAnsi"/>
          <w:sz w:val="22"/>
          <w:szCs w:val="22"/>
        </w:rPr>
        <w:t>schedules.</w:t>
      </w:r>
      <w:r>
        <w:rPr>
          <w:rFonts w:asciiTheme="minorHAnsi" w:hAnsiTheme="minorHAnsi" w:cstheme="minorHAnsi"/>
          <w:sz w:val="22"/>
          <w:szCs w:val="22"/>
        </w:rPr>
        <w:t xml:space="preserve"> </w:t>
      </w:r>
      <w:r w:rsidRPr="00C535D9">
        <w:rPr>
          <w:rFonts w:asciiTheme="minorHAnsi" w:hAnsiTheme="minorHAnsi" w:cstheme="minorHAnsi"/>
          <w:sz w:val="22"/>
          <w:szCs w:val="22"/>
        </w:rPr>
        <w:t>These</w:t>
      </w:r>
      <w:r>
        <w:rPr>
          <w:rFonts w:asciiTheme="minorHAnsi" w:hAnsiTheme="minorHAnsi" w:cstheme="minorHAnsi"/>
          <w:sz w:val="22"/>
          <w:szCs w:val="22"/>
        </w:rPr>
        <w:t xml:space="preserve"> </w:t>
      </w:r>
      <w:r w:rsidRPr="00C535D9">
        <w:rPr>
          <w:rFonts w:asciiTheme="minorHAnsi" w:hAnsiTheme="minorHAnsi" w:cstheme="minorHAnsi"/>
          <w:sz w:val="22"/>
          <w:szCs w:val="22"/>
        </w:rPr>
        <w:t>are</w:t>
      </w:r>
      <w:r>
        <w:rPr>
          <w:rFonts w:asciiTheme="minorHAnsi" w:hAnsiTheme="minorHAnsi" w:cstheme="minorHAnsi"/>
          <w:sz w:val="22"/>
          <w:szCs w:val="22"/>
        </w:rPr>
        <w:t xml:space="preserve"> </w:t>
      </w:r>
      <w:r w:rsidRPr="00C535D9">
        <w:rPr>
          <w:rFonts w:asciiTheme="minorHAnsi" w:hAnsiTheme="minorHAnsi" w:cstheme="minorHAnsi"/>
          <w:sz w:val="22"/>
          <w:szCs w:val="22"/>
        </w:rPr>
        <w:t>often</w:t>
      </w:r>
      <w:r>
        <w:rPr>
          <w:rFonts w:asciiTheme="minorHAnsi" w:hAnsiTheme="minorHAnsi" w:cstheme="minorHAnsi"/>
          <w:sz w:val="22"/>
          <w:szCs w:val="22"/>
        </w:rPr>
        <w:t xml:space="preserve"> </w:t>
      </w:r>
      <w:r w:rsidRPr="00C535D9">
        <w:rPr>
          <w:rFonts w:asciiTheme="minorHAnsi" w:hAnsiTheme="minorHAnsi" w:cstheme="minorHAnsi"/>
          <w:sz w:val="22"/>
          <w:szCs w:val="22"/>
        </w:rPr>
        <w:t>ignored,</w:t>
      </w:r>
      <w:r>
        <w:rPr>
          <w:rFonts w:asciiTheme="minorHAnsi" w:hAnsiTheme="minorHAnsi" w:cstheme="minorHAnsi"/>
          <w:sz w:val="22"/>
          <w:szCs w:val="22"/>
        </w:rPr>
        <w:t xml:space="preserve"> </w:t>
      </w:r>
      <w:r w:rsidRPr="00C535D9">
        <w:rPr>
          <w:rFonts w:asciiTheme="minorHAnsi" w:hAnsiTheme="minorHAnsi" w:cstheme="minorHAnsi"/>
          <w:sz w:val="22"/>
          <w:szCs w:val="22"/>
        </w:rPr>
        <w:t>with</w:t>
      </w:r>
      <w:r>
        <w:rPr>
          <w:rFonts w:asciiTheme="minorHAnsi" w:hAnsiTheme="minorHAnsi" w:cstheme="minorHAnsi"/>
          <w:sz w:val="22"/>
          <w:szCs w:val="22"/>
        </w:rPr>
        <w:t xml:space="preserve"> </w:t>
      </w:r>
      <w:r w:rsidRPr="00C535D9">
        <w:rPr>
          <w:rFonts w:asciiTheme="minorHAnsi" w:hAnsiTheme="minorHAnsi" w:cstheme="minorHAnsi"/>
          <w:sz w:val="22"/>
          <w:szCs w:val="22"/>
        </w:rPr>
        <w:t>the</w:t>
      </w:r>
      <w:r>
        <w:rPr>
          <w:rFonts w:asciiTheme="minorHAnsi" w:hAnsiTheme="minorHAnsi" w:cstheme="minorHAnsi"/>
          <w:sz w:val="22"/>
          <w:szCs w:val="22"/>
        </w:rPr>
        <w:t xml:space="preserve"> </w:t>
      </w:r>
      <w:r w:rsidRPr="00C535D9">
        <w:rPr>
          <w:rFonts w:asciiTheme="minorHAnsi" w:hAnsiTheme="minorHAnsi" w:cstheme="minorHAnsi"/>
          <w:sz w:val="22"/>
          <w:szCs w:val="22"/>
        </w:rPr>
        <w:t>belief that the will of God dictates when tasks should be completed</w:t>
      </w:r>
      <w:r>
        <w:rPr>
          <w:rFonts w:asciiTheme="minorHAnsi" w:hAnsiTheme="minorHAnsi" w:cstheme="minorHAnsi"/>
          <w:sz w:val="22"/>
          <w:szCs w:val="22"/>
        </w:rPr>
        <w:t>”. With this in mind, it is likely that business dealings will not</w:t>
      </w:r>
      <w:r w:rsidR="009016B7">
        <w:rPr>
          <w:rFonts w:asciiTheme="minorHAnsi" w:hAnsiTheme="minorHAnsi" w:cstheme="minorHAnsi"/>
          <w:sz w:val="22"/>
          <w:szCs w:val="22"/>
        </w:rPr>
        <w:t xml:space="preserve"> </w:t>
      </w:r>
      <w:r>
        <w:rPr>
          <w:rFonts w:asciiTheme="minorHAnsi" w:hAnsiTheme="minorHAnsi" w:cstheme="minorHAnsi"/>
          <w:sz w:val="22"/>
          <w:szCs w:val="22"/>
        </w:rPr>
        <w:t xml:space="preserve">necessarily be completed in the time that is expected and it is important to allow extra time within meetings for this. It is also recommended </w:t>
      </w:r>
      <w:r>
        <w:rPr>
          <w:rFonts w:asciiTheme="minorHAnsi" w:hAnsiTheme="minorHAnsi" w:cstheme="minorHAnsi"/>
          <w:sz w:val="22"/>
          <w:szCs w:val="22"/>
        </w:rPr>
        <w:lastRenderedPageBreak/>
        <w:t xml:space="preserve">to have a basic understanding of respectable behaviour in Islam to maximise the ability to build relationships and come from an educated cultural stance. </w:t>
      </w: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sz w:val="22"/>
          <w:szCs w:val="22"/>
        </w:rPr>
      </w:pPr>
      <w:r>
        <w:rPr>
          <w:rFonts w:asciiTheme="minorHAnsi" w:hAnsiTheme="minorHAnsi" w:cstheme="minorHAnsi"/>
          <w:sz w:val="22"/>
          <w:szCs w:val="22"/>
        </w:rPr>
        <w:t>Just as power distance is an important cultural aspect in China, it is also something to be considered when in Dubai. As discussed by Valerie et al. (2015) “</w:t>
      </w:r>
      <w:r w:rsidRPr="009A101C">
        <w:rPr>
          <w:rFonts w:asciiTheme="minorHAnsi" w:hAnsiTheme="minorHAnsi" w:cstheme="minorHAnsi"/>
          <w:sz w:val="22"/>
          <w:szCs w:val="22"/>
        </w:rPr>
        <w:t>In Hofstede’s (2001) terms, UAE culture is described as displaying high power distance (90/100) and high uncertainty avoidance (80/100), which means that it is both hierarchical</w:t>
      </w:r>
      <w:r>
        <w:rPr>
          <w:rFonts w:asciiTheme="minorHAnsi" w:hAnsiTheme="minorHAnsi" w:cstheme="minorHAnsi"/>
          <w:sz w:val="22"/>
          <w:szCs w:val="22"/>
        </w:rPr>
        <w:t xml:space="preserve"> i</w:t>
      </w:r>
      <w:r w:rsidRPr="009A101C">
        <w:rPr>
          <w:rFonts w:asciiTheme="minorHAnsi" w:hAnsiTheme="minorHAnsi" w:cstheme="minorHAnsi"/>
          <w:sz w:val="22"/>
          <w:szCs w:val="22"/>
        </w:rPr>
        <w:t>n</w:t>
      </w:r>
      <w:r>
        <w:rPr>
          <w:rFonts w:asciiTheme="minorHAnsi" w:hAnsiTheme="minorHAnsi" w:cstheme="minorHAnsi"/>
          <w:sz w:val="22"/>
          <w:szCs w:val="22"/>
        </w:rPr>
        <w:t xml:space="preserve"> </w:t>
      </w:r>
      <w:r w:rsidRPr="009A101C">
        <w:rPr>
          <w:rFonts w:asciiTheme="minorHAnsi" w:hAnsiTheme="minorHAnsi" w:cstheme="minorHAnsi"/>
          <w:sz w:val="22"/>
          <w:szCs w:val="22"/>
        </w:rPr>
        <w:t>nature</w:t>
      </w:r>
      <w:r>
        <w:rPr>
          <w:rFonts w:asciiTheme="minorHAnsi" w:hAnsiTheme="minorHAnsi" w:cstheme="minorHAnsi"/>
          <w:sz w:val="22"/>
          <w:szCs w:val="22"/>
        </w:rPr>
        <w:t xml:space="preserve"> </w:t>
      </w:r>
      <w:r w:rsidRPr="009A101C">
        <w:rPr>
          <w:rFonts w:asciiTheme="minorHAnsi" w:hAnsiTheme="minorHAnsi" w:cstheme="minorHAnsi"/>
          <w:sz w:val="22"/>
          <w:szCs w:val="22"/>
        </w:rPr>
        <w:t>and</w:t>
      </w:r>
      <w:r>
        <w:rPr>
          <w:rFonts w:asciiTheme="minorHAnsi" w:hAnsiTheme="minorHAnsi" w:cstheme="minorHAnsi"/>
          <w:sz w:val="22"/>
          <w:szCs w:val="22"/>
        </w:rPr>
        <w:t xml:space="preserve"> </w:t>
      </w:r>
      <w:r w:rsidRPr="009A101C">
        <w:rPr>
          <w:rFonts w:asciiTheme="minorHAnsi" w:hAnsiTheme="minorHAnsi" w:cstheme="minorHAnsi"/>
          <w:sz w:val="22"/>
          <w:szCs w:val="22"/>
        </w:rPr>
        <w:t>prefers</w:t>
      </w:r>
      <w:r>
        <w:rPr>
          <w:rFonts w:asciiTheme="minorHAnsi" w:hAnsiTheme="minorHAnsi" w:cstheme="minorHAnsi"/>
          <w:sz w:val="22"/>
          <w:szCs w:val="22"/>
        </w:rPr>
        <w:t xml:space="preserve"> </w:t>
      </w:r>
      <w:r w:rsidRPr="009A101C">
        <w:rPr>
          <w:rFonts w:asciiTheme="minorHAnsi" w:hAnsiTheme="minorHAnsi" w:cstheme="minorHAnsi"/>
          <w:sz w:val="22"/>
          <w:szCs w:val="22"/>
        </w:rPr>
        <w:t>to</w:t>
      </w:r>
      <w:r>
        <w:rPr>
          <w:rFonts w:asciiTheme="minorHAnsi" w:hAnsiTheme="minorHAnsi" w:cstheme="minorHAnsi"/>
          <w:sz w:val="22"/>
          <w:szCs w:val="22"/>
        </w:rPr>
        <w:t xml:space="preserve"> </w:t>
      </w:r>
      <w:r w:rsidRPr="009A101C">
        <w:rPr>
          <w:rFonts w:asciiTheme="minorHAnsi" w:hAnsiTheme="minorHAnsi" w:cstheme="minorHAnsi"/>
          <w:sz w:val="22"/>
          <w:szCs w:val="22"/>
        </w:rPr>
        <w:t>avoid</w:t>
      </w:r>
      <w:r>
        <w:rPr>
          <w:rFonts w:asciiTheme="minorHAnsi" w:hAnsiTheme="minorHAnsi" w:cstheme="minorHAnsi"/>
          <w:sz w:val="22"/>
          <w:szCs w:val="22"/>
        </w:rPr>
        <w:t xml:space="preserve"> </w:t>
      </w:r>
      <w:r w:rsidRPr="009A101C">
        <w:rPr>
          <w:rFonts w:asciiTheme="minorHAnsi" w:hAnsiTheme="minorHAnsi" w:cstheme="minorHAnsi"/>
          <w:sz w:val="22"/>
          <w:szCs w:val="22"/>
        </w:rPr>
        <w:t>taking</w:t>
      </w:r>
      <w:r>
        <w:rPr>
          <w:rFonts w:asciiTheme="minorHAnsi" w:hAnsiTheme="minorHAnsi" w:cstheme="minorHAnsi"/>
          <w:sz w:val="22"/>
          <w:szCs w:val="22"/>
        </w:rPr>
        <w:t xml:space="preserve"> </w:t>
      </w:r>
      <w:r w:rsidRPr="009A101C">
        <w:rPr>
          <w:rFonts w:asciiTheme="minorHAnsi" w:hAnsiTheme="minorHAnsi" w:cstheme="minorHAnsi"/>
          <w:sz w:val="22"/>
          <w:szCs w:val="22"/>
        </w:rPr>
        <w:t>risks</w:t>
      </w:r>
      <w:r>
        <w:rPr>
          <w:rFonts w:asciiTheme="minorHAnsi" w:hAnsiTheme="minorHAnsi" w:cstheme="minorHAnsi"/>
          <w:sz w:val="22"/>
          <w:szCs w:val="22"/>
        </w:rPr>
        <w:t xml:space="preserve">”. In terms of business in Dubai, this hierarchal structure will indicate that greater emphasis and respect will be placed on authoritative roles. In a high power distance culture, there is great dependence on those who hold power to make the decisions that others can follow. When dealing with business, it is important to make sure that you are dealing with right person in power to ensure that your business proposal can be discussed and or approved as quickly and efficiently as possible. This high uncertainty avoidance figure will also need to be highly considered within business meetings. Any business with high ambiguity will be met with great scepticism and will ultimately result in a less successful outcome.  It is therefore imperative that any business suggestions are meticulous in detail and delivered with conviction. </w:t>
      </w: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color w:val="000000"/>
          <w:sz w:val="22"/>
          <w:szCs w:val="22"/>
        </w:rPr>
      </w:pPr>
      <w:r>
        <w:rPr>
          <w:rFonts w:asciiTheme="minorHAnsi" w:hAnsiTheme="minorHAnsi" w:cstheme="minorHAnsi"/>
          <w:sz w:val="22"/>
          <w:szCs w:val="22"/>
        </w:rPr>
        <w:t xml:space="preserve">Another concept considered an important narrative within Dubai culture is ‘Alf Layla wa Layla’ meaning ‘1000 nights and one night’. As stated by Jabri (2005) it is said to “promote the Bedouin concept of </w:t>
      </w:r>
      <w:r w:rsidRPr="00B86D71">
        <w:rPr>
          <w:rFonts w:asciiTheme="minorHAnsi" w:hAnsiTheme="minorHAnsi" w:cstheme="minorHAnsi"/>
          <w:i/>
          <w:sz w:val="22"/>
          <w:szCs w:val="22"/>
        </w:rPr>
        <w:t>muru’ah</w:t>
      </w:r>
      <w:r>
        <w:rPr>
          <w:rFonts w:asciiTheme="minorHAnsi" w:hAnsiTheme="minorHAnsi" w:cstheme="minorHAnsi"/>
          <w:sz w:val="22"/>
          <w:szCs w:val="22"/>
        </w:rPr>
        <w:t xml:space="preserve"> – including the virtues of generosity and hospitality – as a standard to which people should </w:t>
      </w:r>
      <w:r w:rsidRPr="00530439">
        <w:rPr>
          <w:rFonts w:asciiTheme="minorHAnsi" w:hAnsiTheme="minorHAnsi" w:cstheme="minorHAnsi"/>
          <w:sz w:val="22"/>
          <w:szCs w:val="22"/>
        </w:rPr>
        <w:t xml:space="preserve">aspire”. This aspect of hospitality is an important </w:t>
      </w:r>
      <w:r>
        <w:rPr>
          <w:rFonts w:asciiTheme="minorHAnsi" w:hAnsiTheme="minorHAnsi" w:cstheme="minorHAnsi"/>
          <w:sz w:val="22"/>
          <w:szCs w:val="22"/>
        </w:rPr>
        <w:t xml:space="preserve">feature </w:t>
      </w:r>
      <w:r w:rsidRPr="00530439">
        <w:rPr>
          <w:rFonts w:asciiTheme="minorHAnsi" w:hAnsiTheme="minorHAnsi" w:cstheme="minorHAnsi"/>
          <w:sz w:val="22"/>
          <w:szCs w:val="22"/>
        </w:rPr>
        <w:t>of the culture in Dubai and something to be expected when visiting. As recommended by The Government of Dubai (2017) “</w:t>
      </w:r>
      <w:r w:rsidRPr="00530439">
        <w:rPr>
          <w:rFonts w:asciiTheme="minorHAnsi" w:hAnsiTheme="minorHAnsi" w:cstheme="minorHAnsi"/>
          <w:color w:val="000000"/>
          <w:sz w:val="22"/>
          <w:szCs w:val="22"/>
        </w:rPr>
        <w:t>If you are sharing a meal with your host, accept food and refreshment before moving on to matters of business</w:t>
      </w:r>
      <w:r>
        <w:rPr>
          <w:rFonts w:asciiTheme="minorHAnsi" w:hAnsiTheme="minorHAnsi" w:cstheme="minorHAnsi"/>
          <w:color w:val="000000"/>
          <w:sz w:val="22"/>
          <w:szCs w:val="22"/>
        </w:rPr>
        <w:t>”. It is important to respect these hospitality values especially when accepting food or drink from a host. It is also common within Dubai culture for food or drink to have been prepared from home or from a family member. To avoid any disrespect or unintentional offence, it is important to accept any offerings that may be provided during any business interactions.</w:t>
      </w:r>
    </w:p>
    <w:p w:rsidR="00030FCB" w:rsidRDefault="00030FCB" w:rsidP="00030FCB">
      <w:pPr>
        <w:rPr>
          <w:rFonts w:asciiTheme="minorHAnsi" w:hAnsiTheme="minorHAnsi" w:cstheme="minorHAnsi"/>
          <w:color w:val="000000"/>
          <w:sz w:val="22"/>
          <w:szCs w:val="22"/>
        </w:rPr>
      </w:pPr>
    </w:p>
    <w:p w:rsidR="00030FCB" w:rsidRDefault="00030FCB" w:rsidP="00030FCB">
      <w:pPr>
        <w:rPr>
          <w:rFonts w:asciiTheme="minorHAnsi" w:hAnsiTheme="minorHAnsi" w:cstheme="minorHAnsi"/>
          <w:sz w:val="22"/>
          <w:szCs w:val="22"/>
        </w:rPr>
      </w:pPr>
      <w:r>
        <w:rPr>
          <w:rFonts w:asciiTheme="minorHAnsi" w:hAnsiTheme="minorHAnsi" w:cstheme="minorHAnsi"/>
          <w:sz w:val="22"/>
          <w:szCs w:val="22"/>
        </w:rPr>
        <w:t xml:space="preserve">When in Dubai, just as important as attitude towards others is an individual’s appearance. How an individual presents themselves not only sets a lasting impression of the business but will also affect how others in Dubai perceive you. </w:t>
      </w:r>
      <w:r w:rsidRPr="00D4069B">
        <w:rPr>
          <w:rFonts w:asciiTheme="minorHAnsi" w:hAnsiTheme="minorHAnsi" w:cstheme="minorHAnsi"/>
          <w:sz w:val="22"/>
          <w:szCs w:val="22"/>
        </w:rPr>
        <w:t>Petch (2016)</w:t>
      </w:r>
      <w:r>
        <w:rPr>
          <w:rFonts w:asciiTheme="minorHAnsi" w:hAnsiTheme="minorHAnsi" w:cstheme="minorHAnsi"/>
          <w:sz w:val="22"/>
          <w:szCs w:val="22"/>
        </w:rPr>
        <w:t xml:space="preserve"> discusses </w:t>
      </w:r>
      <w:r w:rsidR="00427DC6">
        <w:rPr>
          <w:rFonts w:asciiTheme="minorHAnsi" w:hAnsiTheme="minorHAnsi" w:cstheme="minorHAnsi"/>
          <w:sz w:val="22"/>
          <w:szCs w:val="22"/>
        </w:rPr>
        <w:t xml:space="preserve">business in Dubai stating that </w:t>
      </w:r>
      <w:r w:rsidRPr="00D4069B">
        <w:rPr>
          <w:rFonts w:asciiTheme="minorHAnsi" w:hAnsiTheme="minorHAnsi" w:cstheme="minorHAnsi"/>
          <w:sz w:val="22"/>
          <w:szCs w:val="22"/>
        </w:rPr>
        <w:t>“</w:t>
      </w:r>
      <w:r w:rsidRPr="00D4069B">
        <w:rPr>
          <w:rFonts w:asciiTheme="minorHAnsi" w:hAnsiTheme="minorHAnsi" w:cstheme="minorHAnsi"/>
          <w:sz w:val="22"/>
          <w:szCs w:val="22"/>
          <w:lang w:val="en"/>
        </w:rPr>
        <w:t xml:space="preserve">whether you’re male or female, being smart, stylish and modest in your dress is a must. For </w:t>
      </w:r>
      <w:r w:rsidRPr="00030FCB">
        <w:rPr>
          <w:rFonts w:asciiTheme="minorHAnsi" w:hAnsiTheme="minorHAnsi" w:cstheme="minorHAnsi"/>
          <w:sz w:val="22"/>
          <w:szCs w:val="22"/>
          <w:lang w:val="en"/>
        </w:rPr>
        <w:t xml:space="preserve">example, </w:t>
      </w:r>
      <w:hyperlink r:id="rId5" w:history="1">
        <w:r w:rsidRPr="00030FCB">
          <w:rPr>
            <w:rStyle w:val="Hyperlink"/>
            <w:rFonts w:asciiTheme="minorHAnsi" w:hAnsiTheme="minorHAnsi" w:cstheme="minorHAnsi"/>
            <w:color w:val="auto"/>
            <w:sz w:val="22"/>
            <w:szCs w:val="22"/>
            <w:u w:val="none"/>
            <w:lang w:val="en"/>
          </w:rPr>
          <w:t>a suit and tie is more or less compulsory for men attending meetings</w:t>
        </w:r>
      </w:hyperlink>
      <w:r w:rsidRPr="00030FCB">
        <w:rPr>
          <w:rFonts w:asciiTheme="minorHAnsi" w:hAnsiTheme="minorHAnsi" w:cstheme="minorHAnsi"/>
          <w:sz w:val="22"/>
          <w:szCs w:val="22"/>
          <w:lang w:val="en"/>
        </w:rPr>
        <w:t xml:space="preserve">”. </w:t>
      </w:r>
      <w:r w:rsidRPr="00030FCB">
        <w:rPr>
          <w:rFonts w:asciiTheme="minorHAnsi" w:hAnsiTheme="minorHAnsi" w:cstheme="minorHAnsi"/>
          <w:sz w:val="22"/>
          <w:szCs w:val="22"/>
        </w:rPr>
        <w:t xml:space="preserve"> It is recommended to be dressed in a smart </w:t>
      </w:r>
      <w:r>
        <w:rPr>
          <w:rFonts w:asciiTheme="minorHAnsi" w:hAnsiTheme="minorHAnsi" w:cstheme="minorHAnsi"/>
          <w:sz w:val="22"/>
          <w:szCs w:val="22"/>
        </w:rPr>
        <w:t xml:space="preserve">and appropriate manner throughout all business dealings. This includes hair style, any make up and outfit choice including shoes. All individuals must comply to this expected presentable appearance. </w:t>
      </w: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sz w:val="22"/>
          <w:szCs w:val="22"/>
        </w:rPr>
      </w:pPr>
      <w:r>
        <w:rPr>
          <w:rFonts w:asciiTheme="minorHAnsi" w:hAnsiTheme="minorHAnsi" w:cstheme="minorHAnsi"/>
          <w:sz w:val="22"/>
          <w:szCs w:val="22"/>
          <w:lang w:val="en"/>
        </w:rPr>
        <w:t>In order to further maximize business success within Dubai, it is</w:t>
      </w:r>
      <w:r w:rsidR="00FD307C">
        <w:rPr>
          <w:rFonts w:asciiTheme="minorHAnsi" w:hAnsiTheme="minorHAnsi" w:cstheme="minorHAnsi"/>
          <w:sz w:val="22"/>
          <w:szCs w:val="22"/>
          <w:lang w:val="en"/>
        </w:rPr>
        <w:t xml:space="preserve"> also</w:t>
      </w:r>
      <w:r>
        <w:rPr>
          <w:rFonts w:asciiTheme="minorHAnsi" w:hAnsiTheme="minorHAnsi" w:cstheme="minorHAnsi"/>
          <w:sz w:val="22"/>
          <w:szCs w:val="22"/>
          <w:lang w:val="en"/>
        </w:rPr>
        <w:t xml:space="preserve"> important to understand the different methods of verbal and non-verbal communication within Dubai culture. </w:t>
      </w:r>
      <w:r w:rsidRPr="00C535D9">
        <w:rPr>
          <w:rFonts w:asciiTheme="minorHAnsi" w:hAnsiTheme="minorHAnsi" w:cstheme="minorHAnsi"/>
          <w:sz w:val="22"/>
          <w:szCs w:val="22"/>
          <w:lang w:val="en"/>
        </w:rPr>
        <w:t>A</w:t>
      </w:r>
      <w:r>
        <w:rPr>
          <w:rFonts w:asciiTheme="minorHAnsi" w:hAnsiTheme="minorHAnsi" w:cstheme="minorHAnsi"/>
          <w:sz w:val="22"/>
          <w:szCs w:val="22"/>
          <w:lang w:val="en"/>
        </w:rPr>
        <w:t>lmazrouuei</w:t>
      </w:r>
      <w:r w:rsidRPr="00C535D9">
        <w:rPr>
          <w:rFonts w:asciiTheme="minorHAnsi" w:hAnsiTheme="minorHAnsi" w:cstheme="minorHAnsi"/>
          <w:sz w:val="22"/>
          <w:szCs w:val="22"/>
        </w:rPr>
        <w:t xml:space="preserve"> </w:t>
      </w:r>
      <w:r>
        <w:rPr>
          <w:rFonts w:asciiTheme="minorHAnsi" w:hAnsiTheme="minorHAnsi" w:cstheme="minorHAnsi"/>
          <w:sz w:val="22"/>
          <w:szCs w:val="22"/>
        </w:rPr>
        <w:t>et al. (2015) notes that “</w:t>
      </w:r>
      <w:r w:rsidRPr="003E14FC">
        <w:rPr>
          <w:rFonts w:asciiTheme="minorHAnsi" w:hAnsiTheme="minorHAnsi" w:cstheme="minorHAnsi"/>
          <w:sz w:val="22"/>
          <w:szCs w:val="22"/>
        </w:rPr>
        <w:t>Another</w:t>
      </w:r>
      <w:r>
        <w:rPr>
          <w:rFonts w:asciiTheme="minorHAnsi" w:hAnsiTheme="minorHAnsi" w:cstheme="minorHAnsi"/>
          <w:sz w:val="22"/>
          <w:szCs w:val="22"/>
        </w:rPr>
        <w:t xml:space="preserve"> </w:t>
      </w:r>
      <w:r w:rsidRPr="003E14FC">
        <w:rPr>
          <w:rFonts w:asciiTheme="minorHAnsi" w:hAnsiTheme="minorHAnsi" w:cstheme="minorHAnsi"/>
          <w:sz w:val="22"/>
          <w:szCs w:val="22"/>
        </w:rPr>
        <w:t>noteworthy</w:t>
      </w:r>
      <w:r>
        <w:rPr>
          <w:rFonts w:asciiTheme="minorHAnsi" w:hAnsiTheme="minorHAnsi" w:cstheme="minorHAnsi"/>
          <w:sz w:val="22"/>
          <w:szCs w:val="22"/>
        </w:rPr>
        <w:t xml:space="preserve"> </w:t>
      </w:r>
      <w:r w:rsidRPr="003E14FC">
        <w:rPr>
          <w:rFonts w:asciiTheme="minorHAnsi" w:hAnsiTheme="minorHAnsi" w:cstheme="minorHAnsi"/>
          <w:sz w:val="22"/>
          <w:szCs w:val="22"/>
        </w:rPr>
        <w:t>form of</w:t>
      </w:r>
      <w:r>
        <w:rPr>
          <w:rFonts w:asciiTheme="minorHAnsi" w:hAnsiTheme="minorHAnsi" w:cstheme="minorHAnsi"/>
          <w:sz w:val="22"/>
          <w:szCs w:val="22"/>
        </w:rPr>
        <w:t xml:space="preserve"> </w:t>
      </w:r>
      <w:r w:rsidRPr="003E14FC">
        <w:rPr>
          <w:rFonts w:asciiTheme="minorHAnsi" w:hAnsiTheme="minorHAnsi" w:cstheme="minorHAnsi"/>
          <w:sz w:val="22"/>
          <w:szCs w:val="22"/>
        </w:rPr>
        <w:t>communication</w:t>
      </w:r>
      <w:r>
        <w:rPr>
          <w:rFonts w:asciiTheme="minorHAnsi" w:hAnsiTheme="minorHAnsi" w:cstheme="minorHAnsi"/>
          <w:sz w:val="22"/>
          <w:szCs w:val="22"/>
        </w:rPr>
        <w:t xml:space="preserve"> </w:t>
      </w:r>
      <w:r w:rsidRPr="003E14FC">
        <w:rPr>
          <w:rFonts w:asciiTheme="minorHAnsi" w:hAnsiTheme="minorHAnsi" w:cstheme="minorHAnsi"/>
          <w:sz w:val="22"/>
          <w:szCs w:val="22"/>
        </w:rPr>
        <w:t>is</w:t>
      </w:r>
      <w:r>
        <w:rPr>
          <w:rFonts w:asciiTheme="minorHAnsi" w:hAnsiTheme="minorHAnsi" w:cstheme="minorHAnsi"/>
          <w:sz w:val="22"/>
          <w:szCs w:val="22"/>
        </w:rPr>
        <w:t xml:space="preserve"> </w:t>
      </w:r>
      <w:r w:rsidRPr="003E14FC">
        <w:rPr>
          <w:rFonts w:asciiTheme="minorHAnsi" w:hAnsiTheme="minorHAnsi" w:cstheme="minorHAnsi"/>
          <w:sz w:val="22"/>
          <w:szCs w:val="22"/>
        </w:rPr>
        <w:t>silence.</w:t>
      </w:r>
      <w:r>
        <w:rPr>
          <w:rFonts w:asciiTheme="minorHAnsi" w:hAnsiTheme="minorHAnsi" w:cstheme="minorHAnsi"/>
          <w:sz w:val="22"/>
          <w:szCs w:val="22"/>
        </w:rPr>
        <w:t xml:space="preserve"> </w:t>
      </w:r>
      <w:r w:rsidRPr="003E14FC">
        <w:rPr>
          <w:rFonts w:asciiTheme="minorHAnsi" w:hAnsiTheme="minorHAnsi" w:cstheme="minorHAnsi"/>
          <w:sz w:val="22"/>
          <w:szCs w:val="22"/>
        </w:rPr>
        <w:t>In</w:t>
      </w:r>
      <w:r>
        <w:rPr>
          <w:rFonts w:asciiTheme="minorHAnsi" w:hAnsiTheme="minorHAnsi" w:cstheme="minorHAnsi"/>
          <w:sz w:val="22"/>
          <w:szCs w:val="22"/>
        </w:rPr>
        <w:t xml:space="preserve"> </w:t>
      </w:r>
      <w:r w:rsidRPr="003E14FC">
        <w:rPr>
          <w:rFonts w:asciiTheme="minorHAnsi" w:hAnsiTheme="minorHAnsi" w:cstheme="minorHAnsi"/>
          <w:sz w:val="22"/>
          <w:szCs w:val="22"/>
        </w:rPr>
        <w:t>response</w:t>
      </w:r>
      <w:r>
        <w:rPr>
          <w:rFonts w:asciiTheme="minorHAnsi" w:hAnsiTheme="minorHAnsi" w:cstheme="minorHAnsi"/>
          <w:sz w:val="22"/>
          <w:szCs w:val="22"/>
        </w:rPr>
        <w:t xml:space="preserve"> </w:t>
      </w:r>
      <w:r w:rsidRPr="003E14FC">
        <w:rPr>
          <w:rFonts w:asciiTheme="minorHAnsi" w:hAnsiTheme="minorHAnsi" w:cstheme="minorHAnsi"/>
          <w:sz w:val="22"/>
          <w:szCs w:val="22"/>
        </w:rPr>
        <w:t>to</w:t>
      </w:r>
      <w:r>
        <w:rPr>
          <w:rFonts w:asciiTheme="minorHAnsi" w:hAnsiTheme="minorHAnsi" w:cstheme="minorHAnsi"/>
          <w:sz w:val="22"/>
          <w:szCs w:val="22"/>
        </w:rPr>
        <w:t xml:space="preserve"> </w:t>
      </w:r>
      <w:r w:rsidRPr="003E14FC">
        <w:rPr>
          <w:rFonts w:asciiTheme="minorHAnsi" w:hAnsiTheme="minorHAnsi" w:cstheme="minorHAnsi"/>
          <w:sz w:val="22"/>
          <w:szCs w:val="22"/>
        </w:rPr>
        <w:t>a</w:t>
      </w:r>
      <w:r>
        <w:rPr>
          <w:rFonts w:asciiTheme="minorHAnsi" w:hAnsiTheme="minorHAnsi" w:cstheme="minorHAnsi"/>
          <w:sz w:val="22"/>
          <w:szCs w:val="22"/>
        </w:rPr>
        <w:t xml:space="preserve"> </w:t>
      </w:r>
      <w:r w:rsidRPr="003E14FC">
        <w:rPr>
          <w:rFonts w:asciiTheme="minorHAnsi" w:hAnsiTheme="minorHAnsi" w:cstheme="minorHAnsi"/>
          <w:sz w:val="22"/>
          <w:szCs w:val="22"/>
        </w:rPr>
        <w:t>question</w:t>
      </w:r>
      <w:r>
        <w:rPr>
          <w:rFonts w:asciiTheme="minorHAnsi" w:hAnsiTheme="minorHAnsi" w:cstheme="minorHAnsi"/>
          <w:sz w:val="22"/>
          <w:szCs w:val="22"/>
        </w:rPr>
        <w:t xml:space="preserve"> </w:t>
      </w:r>
      <w:r w:rsidRPr="003E14FC">
        <w:rPr>
          <w:rFonts w:asciiTheme="minorHAnsi" w:hAnsiTheme="minorHAnsi" w:cstheme="minorHAnsi"/>
          <w:sz w:val="22"/>
          <w:szCs w:val="22"/>
        </w:rPr>
        <w:t>or</w:t>
      </w:r>
      <w:r>
        <w:rPr>
          <w:rFonts w:asciiTheme="minorHAnsi" w:hAnsiTheme="minorHAnsi" w:cstheme="minorHAnsi"/>
          <w:sz w:val="22"/>
          <w:szCs w:val="22"/>
        </w:rPr>
        <w:t xml:space="preserve"> </w:t>
      </w:r>
      <w:r w:rsidRPr="003E14FC">
        <w:rPr>
          <w:rFonts w:asciiTheme="minorHAnsi" w:hAnsiTheme="minorHAnsi" w:cstheme="minorHAnsi"/>
          <w:sz w:val="22"/>
          <w:szCs w:val="22"/>
        </w:rPr>
        <w:t>statement,</w:t>
      </w:r>
      <w:r>
        <w:rPr>
          <w:rFonts w:asciiTheme="minorHAnsi" w:hAnsiTheme="minorHAnsi" w:cstheme="minorHAnsi"/>
          <w:sz w:val="22"/>
          <w:szCs w:val="22"/>
        </w:rPr>
        <w:t xml:space="preserve"> </w:t>
      </w:r>
      <w:r w:rsidRPr="003E14FC">
        <w:rPr>
          <w:rFonts w:asciiTheme="minorHAnsi" w:hAnsiTheme="minorHAnsi" w:cstheme="minorHAnsi"/>
          <w:sz w:val="22"/>
          <w:szCs w:val="22"/>
        </w:rPr>
        <w:t>this</w:t>
      </w:r>
      <w:r>
        <w:rPr>
          <w:rFonts w:asciiTheme="minorHAnsi" w:hAnsiTheme="minorHAnsi" w:cstheme="minorHAnsi"/>
          <w:sz w:val="22"/>
          <w:szCs w:val="22"/>
        </w:rPr>
        <w:t xml:space="preserve"> </w:t>
      </w:r>
      <w:r w:rsidRPr="003E14FC">
        <w:rPr>
          <w:rFonts w:asciiTheme="minorHAnsi" w:hAnsiTheme="minorHAnsi" w:cstheme="minorHAnsi"/>
          <w:sz w:val="22"/>
          <w:szCs w:val="22"/>
        </w:rPr>
        <w:t>can</w:t>
      </w:r>
      <w:r>
        <w:rPr>
          <w:rFonts w:asciiTheme="minorHAnsi" w:hAnsiTheme="minorHAnsi" w:cstheme="minorHAnsi"/>
          <w:sz w:val="22"/>
          <w:szCs w:val="22"/>
        </w:rPr>
        <w:t xml:space="preserve"> </w:t>
      </w:r>
      <w:r w:rsidRPr="003E14FC">
        <w:rPr>
          <w:rFonts w:asciiTheme="minorHAnsi" w:hAnsiTheme="minorHAnsi" w:cstheme="minorHAnsi"/>
          <w:sz w:val="22"/>
          <w:szCs w:val="22"/>
        </w:rPr>
        <w:t>usually</w:t>
      </w:r>
      <w:r>
        <w:rPr>
          <w:rFonts w:asciiTheme="minorHAnsi" w:hAnsiTheme="minorHAnsi" w:cstheme="minorHAnsi"/>
          <w:sz w:val="22"/>
          <w:szCs w:val="22"/>
        </w:rPr>
        <w:t xml:space="preserve"> </w:t>
      </w:r>
      <w:r w:rsidRPr="003E14FC">
        <w:rPr>
          <w:rFonts w:asciiTheme="minorHAnsi" w:hAnsiTheme="minorHAnsi" w:cstheme="minorHAnsi"/>
          <w:sz w:val="22"/>
          <w:szCs w:val="22"/>
        </w:rPr>
        <w:t>be taken as a sign of tacit agreement or approval. Disagreement will usually be spoken</w:t>
      </w:r>
      <w:r>
        <w:rPr>
          <w:rFonts w:asciiTheme="minorHAnsi" w:hAnsiTheme="minorHAnsi" w:cstheme="minorHAnsi"/>
          <w:sz w:val="22"/>
          <w:szCs w:val="22"/>
        </w:rPr>
        <w:t>”. Therefore, it is beneficial to be aware that a silent response is not a disagreement and more likely an approval that requires further action.</w:t>
      </w:r>
      <w:r w:rsidR="007645E9">
        <w:rPr>
          <w:rFonts w:asciiTheme="minorHAnsi" w:hAnsiTheme="minorHAnsi" w:cstheme="minorHAnsi"/>
          <w:sz w:val="22"/>
          <w:szCs w:val="22"/>
        </w:rPr>
        <w:t xml:space="preserve"> It is imperative that just as much focus is given to non-verbal communication as is given to verbal, as often within Dubai culture, the non-verbal methods can have a far greater influence on the </w:t>
      </w:r>
      <w:r w:rsidR="00331D03">
        <w:rPr>
          <w:rFonts w:asciiTheme="minorHAnsi" w:hAnsiTheme="minorHAnsi" w:cstheme="minorHAnsi"/>
          <w:sz w:val="22"/>
          <w:szCs w:val="22"/>
        </w:rPr>
        <w:t>individuals</w:t>
      </w:r>
      <w:bookmarkStart w:id="0" w:name="_GoBack"/>
      <w:bookmarkEnd w:id="0"/>
      <w:r w:rsidR="007645E9">
        <w:rPr>
          <w:rFonts w:asciiTheme="minorHAnsi" w:hAnsiTheme="minorHAnsi" w:cstheme="minorHAnsi"/>
          <w:sz w:val="22"/>
          <w:szCs w:val="22"/>
        </w:rPr>
        <w:t xml:space="preserve">. </w:t>
      </w: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sz w:val="22"/>
          <w:szCs w:val="22"/>
        </w:rPr>
      </w:pPr>
    </w:p>
    <w:p w:rsidR="00030FCB" w:rsidRDefault="00030FCB" w:rsidP="00030FCB">
      <w:pPr>
        <w:pStyle w:val="Heading2"/>
      </w:pPr>
      <w:r>
        <w:t xml:space="preserve">Conclusion </w:t>
      </w: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sz w:val="22"/>
          <w:szCs w:val="22"/>
        </w:rPr>
      </w:pPr>
      <w:r>
        <w:rPr>
          <w:rFonts w:asciiTheme="minorHAnsi" w:hAnsiTheme="minorHAnsi" w:cstheme="minorHAnsi"/>
          <w:sz w:val="22"/>
          <w:szCs w:val="22"/>
        </w:rPr>
        <w:t xml:space="preserve">Thomas (2018) summarizes that in order to communicate effectively within intercultural interactions, the individual must be able to personally adjust to the situation, create strong </w:t>
      </w:r>
      <w:r>
        <w:rPr>
          <w:rFonts w:asciiTheme="minorHAnsi" w:hAnsiTheme="minorHAnsi" w:cstheme="minorHAnsi"/>
          <w:sz w:val="22"/>
          <w:szCs w:val="22"/>
        </w:rPr>
        <w:lastRenderedPageBreak/>
        <w:t xml:space="preserve">interpersonal relations with those from other culture’s and successfully complete work-related tasks. It is essential that within both China and Dubai, the significant elements of each culture are considered and applied to a working environment. </w:t>
      </w:r>
      <w:r w:rsidR="00FA5D65">
        <w:rPr>
          <w:rFonts w:asciiTheme="minorHAnsi" w:hAnsiTheme="minorHAnsi" w:cstheme="minorHAnsi"/>
          <w:sz w:val="22"/>
          <w:szCs w:val="22"/>
        </w:rPr>
        <w:t xml:space="preserve">These include language, non-verbal and verbal communication, body language and way of thinking. </w:t>
      </w:r>
      <w:r>
        <w:rPr>
          <w:rFonts w:asciiTheme="minorHAnsi" w:hAnsiTheme="minorHAnsi" w:cstheme="minorHAnsi"/>
          <w:sz w:val="22"/>
          <w:szCs w:val="22"/>
        </w:rPr>
        <w:t xml:space="preserve">It is the understanding of these cultural aspects that can significantly increase business success and help to create any long-term potential business partnerships. </w:t>
      </w: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sz w:val="22"/>
          <w:szCs w:val="22"/>
        </w:rPr>
      </w:pPr>
    </w:p>
    <w:p w:rsidR="00030FCB" w:rsidRDefault="00030FC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3A758B" w:rsidRDefault="003A758B" w:rsidP="00030FCB">
      <w:pPr>
        <w:rPr>
          <w:rFonts w:asciiTheme="minorHAnsi" w:hAnsiTheme="minorHAnsi" w:cstheme="minorHAnsi"/>
          <w:sz w:val="22"/>
          <w:szCs w:val="22"/>
        </w:rPr>
      </w:pPr>
    </w:p>
    <w:p w:rsidR="00030FCB" w:rsidRDefault="00030FCB" w:rsidP="00030FCB">
      <w:pPr>
        <w:pStyle w:val="Heading2"/>
      </w:pPr>
      <w:r>
        <w:lastRenderedPageBreak/>
        <w:t xml:space="preserve">References </w:t>
      </w:r>
    </w:p>
    <w:p w:rsidR="00030FCB" w:rsidRDefault="00030FCB" w:rsidP="00030FCB">
      <w:pPr>
        <w:rPr>
          <w:rFonts w:asciiTheme="minorHAnsi" w:hAnsiTheme="minorHAnsi" w:cstheme="minorHAnsi"/>
          <w:sz w:val="22"/>
          <w:szCs w:val="22"/>
        </w:rPr>
      </w:pPr>
    </w:p>
    <w:p w:rsidR="00030FCB" w:rsidRPr="00D22353" w:rsidRDefault="00030FCB" w:rsidP="00030FCB">
      <w:pPr>
        <w:pStyle w:val="ListParagraph"/>
        <w:numPr>
          <w:ilvl w:val="0"/>
          <w:numId w:val="1"/>
        </w:numPr>
        <w:rPr>
          <w:rFonts w:asciiTheme="minorHAnsi" w:hAnsiTheme="minorHAnsi" w:cstheme="minorHAnsi"/>
          <w:sz w:val="22"/>
          <w:szCs w:val="22"/>
        </w:rPr>
      </w:pPr>
      <w:r w:rsidRPr="00C535D9">
        <w:rPr>
          <w:rFonts w:asciiTheme="minorHAnsi" w:hAnsiTheme="minorHAnsi" w:cstheme="minorHAnsi"/>
          <w:sz w:val="22"/>
          <w:szCs w:val="22"/>
          <w:lang w:val="en"/>
        </w:rPr>
        <w:t>A</w:t>
      </w:r>
      <w:r>
        <w:rPr>
          <w:rFonts w:asciiTheme="minorHAnsi" w:hAnsiTheme="minorHAnsi" w:cstheme="minorHAnsi"/>
          <w:sz w:val="22"/>
          <w:szCs w:val="22"/>
          <w:lang w:val="en"/>
        </w:rPr>
        <w:t>lmazrouuei</w:t>
      </w:r>
      <w:r w:rsidRPr="00C535D9">
        <w:rPr>
          <w:rFonts w:asciiTheme="minorHAnsi" w:hAnsiTheme="minorHAnsi" w:cstheme="minorHAnsi"/>
          <w:sz w:val="22"/>
          <w:szCs w:val="22"/>
          <w:lang w:val="en"/>
        </w:rPr>
        <w:t>, H. and P</w:t>
      </w:r>
      <w:r>
        <w:rPr>
          <w:rFonts w:asciiTheme="minorHAnsi" w:hAnsiTheme="minorHAnsi" w:cstheme="minorHAnsi"/>
          <w:sz w:val="22"/>
          <w:szCs w:val="22"/>
          <w:lang w:val="en"/>
        </w:rPr>
        <w:t>ech</w:t>
      </w:r>
      <w:r w:rsidRPr="00C535D9">
        <w:rPr>
          <w:rFonts w:asciiTheme="minorHAnsi" w:hAnsiTheme="minorHAnsi" w:cstheme="minorHAnsi"/>
          <w:sz w:val="22"/>
          <w:szCs w:val="22"/>
          <w:lang w:val="en"/>
        </w:rPr>
        <w:t>, R.J.</w:t>
      </w:r>
      <w:r>
        <w:rPr>
          <w:rFonts w:asciiTheme="minorHAnsi" w:hAnsiTheme="minorHAnsi" w:cstheme="minorHAnsi"/>
          <w:sz w:val="22"/>
          <w:szCs w:val="22"/>
          <w:lang w:val="en"/>
        </w:rPr>
        <w:t xml:space="preserve"> (</w:t>
      </w:r>
      <w:r w:rsidRPr="00C535D9">
        <w:rPr>
          <w:rFonts w:asciiTheme="minorHAnsi" w:hAnsiTheme="minorHAnsi" w:cstheme="minorHAnsi"/>
          <w:sz w:val="22"/>
          <w:szCs w:val="22"/>
          <w:lang w:val="en"/>
        </w:rPr>
        <w:t>2015</w:t>
      </w:r>
      <w:r>
        <w:rPr>
          <w:rFonts w:asciiTheme="minorHAnsi" w:hAnsiTheme="minorHAnsi" w:cstheme="minorHAnsi"/>
          <w:sz w:val="22"/>
          <w:szCs w:val="22"/>
          <w:lang w:val="en"/>
        </w:rPr>
        <w:t>)</w:t>
      </w:r>
      <w:r w:rsidRPr="00C535D9">
        <w:rPr>
          <w:rFonts w:asciiTheme="minorHAnsi" w:hAnsiTheme="minorHAnsi" w:cstheme="minorHAnsi"/>
          <w:sz w:val="22"/>
          <w:szCs w:val="22"/>
          <w:lang w:val="en"/>
        </w:rPr>
        <w:t xml:space="preserve"> </w:t>
      </w:r>
      <w:r>
        <w:rPr>
          <w:rFonts w:asciiTheme="minorHAnsi" w:hAnsiTheme="minorHAnsi" w:cstheme="minorHAnsi"/>
          <w:sz w:val="22"/>
          <w:szCs w:val="22"/>
          <w:lang w:val="en"/>
        </w:rPr>
        <w:t>‘</w:t>
      </w:r>
      <w:r w:rsidRPr="00C535D9">
        <w:rPr>
          <w:rFonts w:asciiTheme="minorHAnsi" w:hAnsiTheme="minorHAnsi" w:cstheme="minorHAnsi"/>
          <w:sz w:val="22"/>
          <w:szCs w:val="22"/>
          <w:lang w:val="en"/>
        </w:rPr>
        <w:t>Working in the UAE: expatriate management experiences</w:t>
      </w:r>
      <w:r>
        <w:rPr>
          <w:rFonts w:asciiTheme="minorHAnsi" w:hAnsiTheme="minorHAnsi" w:cstheme="minorHAnsi"/>
          <w:sz w:val="22"/>
          <w:szCs w:val="22"/>
          <w:lang w:val="en"/>
        </w:rPr>
        <w:t xml:space="preserve">’, </w:t>
      </w:r>
      <w:r w:rsidRPr="00C535D9">
        <w:rPr>
          <w:rFonts w:asciiTheme="minorHAnsi" w:hAnsiTheme="minorHAnsi" w:cstheme="minorHAnsi"/>
          <w:i/>
          <w:iCs/>
          <w:sz w:val="22"/>
          <w:szCs w:val="22"/>
          <w:lang w:val="en"/>
        </w:rPr>
        <w:t xml:space="preserve">Journal of Islamic Accounting and Business Research, </w:t>
      </w:r>
      <w:r w:rsidRPr="0073330C">
        <w:rPr>
          <w:rFonts w:asciiTheme="minorHAnsi" w:hAnsiTheme="minorHAnsi" w:cstheme="minorHAnsi"/>
          <w:bCs/>
          <w:sz w:val="22"/>
          <w:szCs w:val="22"/>
          <w:lang w:val="en"/>
        </w:rPr>
        <w:t>6</w:t>
      </w:r>
      <w:r w:rsidRPr="00C535D9">
        <w:rPr>
          <w:rFonts w:asciiTheme="minorHAnsi" w:hAnsiTheme="minorHAnsi" w:cstheme="minorHAnsi"/>
          <w:sz w:val="22"/>
          <w:szCs w:val="22"/>
          <w:lang w:val="en"/>
        </w:rPr>
        <w:t>(1), pp. 73-93.</w:t>
      </w:r>
    </w:p>
    <w:p w:rsidR="00030FCB" w:rsidRPr="00F22116" w:rsidRDefault="00030FCB" w:rsidP="00030FC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BBC. co.uk (2014) </w:t>
      </w:r>
      <w:r w:rsidRPr="00702029">
        <w:rPr>
          <w:rFonts w:asciiTheme="minorHAnsi" w:hAnsiTheme="minorHAnsi" w:cstheme="minorHAnsi"/>
          <w:i/>
          <w:sz w:val="22"/>
          <w:szCs w:val="22"/>
        </w:rPr>
        <w:t>‘A guide to Chinese’</w:t>
      </w:r>
      <w:r>
        <w:rPr>
          <w:rFonts w:asciiTheme="minorHAnsi" w:hAnsiTheme="minorHAnsi" w:cstheme="minorHAnsi"/>
          <w:sz w:val="22"/>
          <w:szCs w:val="22"/>
        </w:rPr>
        <w:t xml:space="preserve">, [Online]. Available: </w:t>
      </w:r>
      <w:hyperlink r:id="rId6" w:history="1">
        <w:r w:rsidRPr="00BE4B31">
          <w:rPr>
            <w:rStyle w:val="Hyperlink"/>
            <w:rFonts w:asciiTheme="minorHAnsi" w:hAnsiTheme="minorHAnsi" w:cstheme="minorHAnsi"/>
            <w:sz w:val="22"/>
            <w:szCs w:val="22"/>
          </w:rPr>
          <w:t>http://www.bbc.co.uk/languages/chinese/guide/facts.shtml</w:t>
        </w:r>
      </w:hyperlink>
      <w:r>
        <w:rPr>
          <w:rFonts w:asciiTheme="minorHAnsi" w:hAnsiTheme="minorHAnsi" w:cstheme="minorHAnsi"/>
          <w:sz w:val="22"/>
          <w:szCs w:val="22"/>
        </w:rPr>
        <w:t xml:space="preserve">, [2018, November 11]. </w:t>
      </w:r>
    </w:p>
    <w:p w:rsidR="00030FCB" w:rsidRDefault="00030FCB" w:rsidP="00030FC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Carte, P &amp; Fox, C. (2010, p.179-180), </w:t>
      </w:r>
      <w:r w:rsidRPr="00C45B03">
        <w:rPr>
          <w:rFonts w:asciiTheme="minorHAnsi" w:hAnsiTheme="minorHAnsi" w:cstheme="minorHAnsi"/>
          <w:i/>
          <w:sz w:val="22"/>
          <w:szCs w:val="22"/>
        </w:rPr>
        <w:t>‘Bridging the culture gap’</w:t>
      </w:r>
      <w:r>
        <w:rPr>
          <w:rFonts w:asciiTheme="minorHAnsi" w:hAnsiTheme="minorHAnsi" w:cstheme="minorHAnsi"/>
          <w:sz w:val="22"/>
          <w:szCs w:val="22"/>
        </w:rPr>
        <w:t>, (2</w:t>
      </w:r>
      <w:r w:rsidRPr="00E96F4C">
        <w:rPr>
          <w:rFonts w:asciiTheme="minorHAnsi" w:hAnsiTheme="minorHAnsi" w:cstheme="minorHAnsi"/>
          <w:sz w:val="22"/>
          <w:szCs w:val="22"/>
          <w:vertAlign w:val="superscript"/>
        </w:rPr>
        <w:t>nd</w:t>
      </w:r>
      <w:r>
        <w:rPr>
          <w:rFonts w:asciiTheme="minorHAnsi" w:hAnsiTheme="minorHAnsi" w:cstheme="minorHAnsi"/>
          <w:sz w:val="22"/>
          <w:szCs w:val="22"/>
        </w:rPr>
        <w:t xml:space="preserve"> ed), London: Kogan Page Limited. </w:t>
      </w:r>
    </w:p>
    <w:p w:rsidR="00030FCB" w:rsidRDefault="00030FCB" w:rsidP="00030FCB">
      <w:pPr>
        <w:pStyle w:val="ListParagraph"/>
        <w:numPr>
          <w:ilvl w:val="0"/>
          <w:numId w:val="1"/>
        </w:numPr>
        <w:rPr>
          <w:rFonts w:asciiTheme="minorHAnsi" w:hAnsiTheme="minorHAnsi" w:cstheme="minorHAnsi"/>
          <w:sz w:val="22"/>
          <w:szCs w:val="22"/>
        </w:rPr>
      </w:pPr>
      <w:r w:rsidRPr="00C41D30">
        <w:rPr>
          <w:rFonts w:asciiTheme="minorHAnsi" w:hAnsiTheme="minorHAnsi" w:cstheme="minorHAnsi"/>
          <w:sz w:val="22"/>
          <w:szCs w:val="22"/>
        </w:rPr>
        <w:t xml:space="preserve">Cheung, F. M. </w:t>
      </w:r>
      <w:r w:rsidRPr="00C41D30">
        <w:rPr>
          <w:rFonts w:asciiTheme="minorHAnsi" w:hAnsiTheme="minorHAnsi" w:cstheme="minorHAnsi"/>
          <w:iCs/>
          <w:sz w:val="22"/>
          <w:szCs w:val="22"/>
        </w:rPr>
        <w:t>et al</w:t>
      </w:r>
      <w:r w:rsidRPr="00C41D30">
        <w:rPr>
          <w:rFonts w:asciiTheme="minorHAnsi" w:hAnsiTheme="minorHAnsi" w:cstheme="minorHAnsi"/>
          <w:i/>
          <w:iCs/>
          <w:sz w:val="22"/>
          <w:szCs w:val="22"/>
        </w:rPr>
        <w:t>.</w:t>
      </w:r>
      <w:r w:rsidRPr="00C41D30">
        <w:rPr>
          <w:rFonts w:asciiTheme="minorHAnsi" w:hAnsiTheme="minorHAnsi" w:cstheme="minorHAnsi"/>
          <w:sz w:val="22"/>
          <w:szCs w:val="22"/>
        </w:rPr>
        <w:t xml:space="preserve"> (2008) ‘Relevance of Openness as a Personality Dimension in Chinese Culture: Aspects of its Cultural Relevance’, </w:t>
      </w:r>
      <w:r w:rsidRPr="00C41D30">
        <w:rPr>
          <w:rFonts w:asciiTheme="minorHAnsi" w:hAnsiTheme="minorHAnsi" w:cstheme="minorHAnsi"/>
          <w:i/>
          <w:iCs/>
          <w:sz w:val="22"/>
          <w:szCs w:val="22"/>
        </w:rPr>
        <w:t>Journal of Cross-Cultural Psychology</w:t>
      </w:r>
      <w:r w:rsidRPr="00C41D30">
        <w:rPr>
          <w:rFonts w:asciiTheme="minorHAnsi" w:hAnsiTheme="minorHAnsi" w:cstheme="minorHAnsi"/>
          <w:sz w:val="22"/>
          <w:szCs w:val="22"/>
        </w:rPr>
        <w:t>, 39(1), pp. 81–108.</w:t>
      </w:r>
    </w:p>
    <w:p w:rsidR="00030FCB" w:rsidRDefault="00030FCB" w:rsidP="00030FC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Dubai.ae (2017) </w:t>
      </w:r>
      <w:r w:rsidRPr="00B03E6C">
        <w:rPr>
          <w:rFonts w:asciiTheme="minorHAnsi" w:hAnsiTheme="minorHAnsi" w:cstheme="minorHAnsi"/>
          <w:i/>
          <w:sz w:val="22"/>
          <w:szCs w:val="22"/>
        </w:rPr>
        <w:t>‘Getting familiar with Dubai’s culture and etiquette’</w:t>
      </w:r>
      <w:r>
        <w:rPr>
          <w:rFonts w:asciiTheme="minorHAnsi" w:hAnsiTheme="minorHAnsi" w:cstheme="minorHAnsi"/>
          <w:sz w:val="22"/>
          <w:szCs w:val="22"/>
        </w:rPr>
        <w:t xml:space="preserve">, [Online]. Available: </w:t>
      </w:r>
      <w:hyperlink r:id="rId7" w:history="1">
        <w:r w:rsidRPr="006D5680">
          <w:rPr>
            <w:rStyle w:val="Hyperlink"/>
            <w:rFonts w:asciiTheme="minorHAnsi" w:hAnsiTheme="minorHAnsi" w:cstheme="minorHAnsi"/>
            <w:sz w:val="22"/>
            <w:szCs w:val="22"/>
          </w:rPr>
          <w:t>http://www.dubai.ae/en/Lists/Articles/DispForm.aspx?ID=147</w:t>
        </w:r>
      </w:hyperlink>
      <w:r>
        <w:rPr>
          <w:rFonts w:asciiTheme="minorHAnsi" w:hAnsiTheme="minorHAnsi" w:cstheme="minorHAnsi"/>
          <w:sz w:val="22"/>
          <w:szCs w:val="22"/>
        </w:rPr>
        <w:t xml:space="preserve">, [2018, November 12]. </w:t>
      </w:r>
    </w:p>
    <w:p w:rsidR="00030FCB" w:rsidRPr="00B03E6C" w:rsidRDefault="00030FCB" w:rsidP="00030FCB">
      <w:pPr>
        <w:pStyle w:val="ListParagraph"/>
        <w:numPr>
          <w:ilvl w:val="0"/>
          <w:numId w:val="1"/>
        </w:numPr>
        <w:rPr>
          <w:rFonts w:asciiTheme="minorHAnsi" w:hAnsiTheme="minorHAnsi" w:cstheme="minorHAnsi"/>
          <w:sz w:val="22"/>
          <w:szCs w:val="22"/>
        </w:rPr>
      </w:pPr>
      <w:r w:rsidRPr="00B02020">
        <w:rPr>
          <w:rFonts w:asciiTheme="minorHAnsi" w:hAnsiTheme="minorHAnsi" w:cstheme="minorHAnsi"/>
          <w:sz w:val="22"/>
          <w:szCs w:val="22"/>
          <w:lang w:val="en"/>
        </w:rPr>
        <w:t>Jabri, M.M.</w:t>
      </w:r>
      <w:r>
        <w:rPr>
          <w:rFonts w:asciiTheme="minorHAnsi" w:hAnsiTheme="minorHAnsi" w:cstheme="minorHAnsi"/>
          <w:sz w:val="22"/>
          <w:szCs w:val="22"/>
          <w:lang w:val="en"/>
        </w:rPr>
        <w:t xml:space="preserve"> (</w:t>
      </w:r>
      <w:r w:rsidRPr="00B02020">
        <w:rPr>
          <w:rFonts w:asciiTheme="minorHAnsi" w:hAnsiTheme="minorHAnsi" w:cstheme="minorHAnsi"/>
          <w:sz w:val="22"/>
          <w:szCs w:val="22"/>
          <w:lang w:val="en"/>
        </w:rPr>
        <w:t>2005</w:t>
      </w:r>
      <w:r>
        <w:rPr>
          <w:rFonts w:asciiTheme="minorHAnsi" w:hAnsiTheme="minorHAnsi" w:cstheme="minorHAnsi"/>
          <w:sz w:val="22"/>
          <w:szCs w:val="22"/>
          <w:lang w:val="en"/>
        </w:rPr>
        <w:t>)</w:t>
      </w:r>
      <w:r w:rsidRPr="00B02020">
        <w:rPr>
          <w:rFonts w:asciiTheme="minorHAnsi" w:hAnsiTheme="minorHAnsi" w:cstheme="minorHAnsi"/>
          <w:sz w:val="22"/>
          <w:szCs w:val="22"/>
          <w:lang w:val="en"/>
        </w:rPr>
        <w:t xml:space="preserve"> </w:t>
      </w:r>
      <w:r>
        <w:rPr>
          <w:rFonts w:asciiTheme="minorHAnsi" w:hAnsiTheme="minorHAnsi" w:cstheme="minorHAnsi"/>
          <w:sz w:val="22"/>
          <w:szCs w:val="22"/>
          <w:lang w:val="en"/>
        </w:rPr>
        <w:t>‘</w:t>
      </w:r>
      <w:r w:rsidRPr="00B02020">
        <w:rPr>
          <w:rFonts w:asciiTheme="minorHAnsi" w:hAnsiTheme="minorHAnsi" w:cstheme="minorHAnsi"/>
          <w:sz w:val="22"/>
          <w:szCs w:val="22"/>
          <w:lang w:val="en"/>
        </w:rPr>
        <w:t>Text-context Relationships and Their Implications for Cross Cultural Management</w:t>
      </w:r>
      <w:r>
        <w:rPr>
          <w:rFonts w:asciiTheme="minorHAnsi" w:hAnsiTheme="minorHAnsi" w:cstheme="minorHAnsi"/>
          <w:sz w:val="22"/>
          <w:szCs w:val="22"/>
          <w:lang w:val="en"/>
        </w:rPr>
        <w:t>’,</w:t>
      </w:r>
      <w:r w:rsidRPr="00B02020">
        <w:rPr>
          <w:rFonts w:asciiTheme="minorHAnsi" w:hAnsiTheme="minorHAnsi" w:cstheme="minorHAnsi"/>
          <w:sz w:val="22"/>
          <w:szCs w:val="22"/>
          <w:lang w:val="en"/>
        </w:rPr>
        <w:t xml:space="preserve"> </w:t>
      </w:r>
      <w:r w:rsidRPr="00B02020">
        <w:rPr>
          <w:rFonts w:asciiTheme="minorHAnsi" w:hAnsiTheme="minorHAnsi" w:cstheme="minorHAnsi"/>
          <w:i/>
          <w:iCs/>
          <w:sz w:val="22"/>
          <w:szCs w:val="22"/>
          <w:lang w:val="en"/>
        </w:rPr>
        <w:t xml:space="preserve">International Journal of Cross-Cultural Management: CCM, </w:t>
      </w:r>
      <w:r w:rsidRPr="00E17CD7">
        <w:rPr>
          <w:rFonts w:asciiTheme="minorHAnsi" w:hAnsiTheme="minorHAnsi" w:cstheme="minorHAnsi"/>
          <w:bCs/>
          <w:sz w:val="22"/>
          <w:szCs w:val="22"/>
          <w:lang w:val="en"/>
        </w:rPr>
        <w:t>5</w:t>
      </w:r>
      <w:r w:rsidRPr="00B02020">
        <w:rPr>
          <w:rFonts w:asciiTheme="minorHAnsi" w:hAnsiTheme="minorHAnsi" w:cstheme="minorHAnsi"/>
          <w:sz w:val="22"/>
          <w:szCs w:val="22"/>
          <w:lang w:val="en"/>
        </w:rPr>
        <w:t>(3), pp. 349-360.</w:t>
      </w:r>
    </w:p>
    <w:p w:rsidR="00030FCB" w:rsidRPr="00F22116" w:rsidRDefault="00030FCB" w:rsidP="00030FC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Lewis, D R. (2010, p.493), </w:t>
      </w:r>
      <w:r w:rsidRPr="00297A20">
        <w:rPr>
          <w:rFonts w:asciiTheme="minorHAnsi" w:hAnsiTheme="minorHAnsi" w:cstheme="minorHAnsi"/>
          <w:i/>
          <w:sz w:val="22"/>
          <w:szCs w:val="22"/>
        </w:rPr>
        <w:t>‘When cultures collide’</w:t>
      </w:r>
      <w:r>
        <w:rPr>
          <w:rFonts w:asciiTheme="minorHAnsi" w:hAnsiTheme="minorHAnsi" w:cstheme="minorHAnsi"/>
          <w:sz w:val="22"/>
          <w:szCs w:val="22"/>
        </w:rPr>
        <w:t>, (3</w:t>
      </w:r>
      <w:r w:rsidRPr="00297A20">
        <w:rPr>
          <w:rFonts w:asciiTheme="minorHAnsi" w:hAnsiTheme="minorHAnsi" w:cstheme="minorHAnsi"/>
          <w:sz w:val="22"/>
          <w:szCs w:val="22"/>
          <w:vertAlign w:val="superscript"/>
        </w:rPr>
        <w:t>rd</w:t>
      </w:r>
      <w:r>
        <w:rPr>
          <w:rFonts w:asciiTheme="minorHAnsi" w:hAnsiTheme="minorHAnsi" w:cstheme="minorHAnsi"/>
          <w:sz w:val="22"/>
          <w:szCs w:val="22"/>
        </w:rPr>
        <w:t xml:space="preserve"> ed), London: Nicholas Brealey Publishing  </w:t>
      </w:r>
    </w:p>
    <w:p w:rsidR="00030FCB" w:rsidRPr="00B815BA" w:rsidRDefault="00030FCB" w:rsidP="00030FCB">
      <w:pPr>
        <w:pStyle w:val="ListParagraph"/>
        <w:numPr>
          <w:ilvl w:val="0"/>
          <w:numId w:val="1"/>
        </w:numPr>
        <w:rPr>
          <w:rFonts w:asciiTheme="minorHAnsi" w:hAnsiTheme="minorHAnsi" w:cstheme="minorHAnsi"/>
          <w:sz w:val="22"/>
          <w:szCs w:val="22"/>
        </w:rPr>
      </w:pPr>
      <w:r w:rsidRPr="00B815BA">
        <w:rPr>
          <w:rFonts w:asciiTheme="minorHAnsi" w:hAnsiTheme="minorHAnsi" w:cstheme="minorHAnsi"/>
          <w:sz w:val="22"/>
          <w:szCs w:val="22"/>
        </w:rPr>
        <w:t>Lodén, T. Int. Commun. Chin. Cult (2014) ‘</w:t>
      </w:r>
      <w:r w:rsidRPr="00B815BA">
        <w:rPr>
          <w:rFonts w:asciiTheme="minorHAnsi" w:hAnsiTheme="minorHAnsi" w:cstheme="minorHAnsi"/>
          <w:sz w:val="22"/>
          <w:szCs w:val="22"/>
          <w:lang w:val="en"/>
        </w:rPr>
        <w:t>Human nature, freedom and dignity in China and Europe</w:t>
      </w:r>
      <w:r w:rsidRPr="00B815BA">
        <w:rPr>
          <w:rFonts w:asciiTheme="minorHAnsi" w:hAnsiTheme="minorHAnsi" w:cstheme="minorHAnsi"/>
          <w:sz w:val="22"/>
          <w:szCs w:val="22"/>
        </w:rPr>
        <w:t xml:space="preserve">’, </w:t>
      </w:r>
      <w:r w:rsidRPr="00B815BA">
        <w:rPr>
          <w:rFonts w:asciiTheme="minorHAnsi" w:hAnsiTheme="minorHAnsi" w:cstheme="minorHAnsi"/>
          <w:i/>
          <w:sz w:val="22"/>
          <w:szCs w:val="22"/>
        </w:rPr>
        <w:t xml:space="preserve">International Communication of Chinese Culture, </w:t>
      </w:r>
      <w:r w:rsidRPr="00B815BA">
        <w:rPr>
          <w:rFonts w:asciiTheme="minorHAnsi" w:hAnsiTheme="minorHAnsi" w:cstheme="minorHAnsi"/>
          <w:sz w:val="22"/>
          <w:szCs w:val="22"/>
        </w:rPr>
        <w:t>1(1-2), pp. 35-45.</w:t>
      </w:r>
    </w:p>
    <w:p w:rsidR="00030FCB" w:rsidRDefault="00030FCB" w:rsidP="00030FC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Mead, R &amp; Andrews G T. (2009, p.30</w:t>
      </w:r>
      <w:r w:rsidRPr="00892977">
        <w:rPr>
          <w:rFonts w:asciiTheme="minorHAnsi" w:hAnsiTheme="minorHAnsi" w:cstheme="minorHAnsi"/>
          <w:i/>
          <w:sz w:val="22"/>
          <w:szCs w:val="22"/>
        </w:rPr>
        <w:t>), ‘International Management Culture and Beyond’</w:t>
      </w:r>
      <w:r>
        <w:rPr>
          <w:rFonts w:asciiTheme="minorHAnsi" w:hAnsiTheme="minorHAnsi" w:cstheme="minorHAnsi"/>
          <w:sz w:val="22"/>
          <w:szCs w:val="22"/>
        </w:rPr>
        <w:t>, (4</w:t>
      </w:r>
      <w:r w:rsidRPr="00892977">
        <w:rPr>
          <w:rFonts w:asciiTheme="minorHAnsi" w:hAnsiTheme="minorHAnsi" w:cstheme="minorHAnsi"/>
          <w:sz w:val="22"/>
          <w:szCs w:val="22"/>
          <w:vertAlign w:val="superscript"/>
        </w:rPr>
        <w:t>th</w:t>
      </w:r>
      <w:r>
        <w:rPr>
          <w:rFonts w:asciiTheme="minorHAnsi" w:hAnsiTheme="minorHAnsi" w:cstheme="minorHAnsi"/>
          <w:sz w:val="22"/>
          <w:szCs w:val="22"/>
        </w:rPr>
        <w:t xml:space="preserve"> ed), Chichester: John Wiley and Sons.</w:t>
      </w:r>
    </w:p>
    <w:p w:rsidR="00030FCB" w:rsidRPr="00F22116" w:rsidRDefault="00030FCB" w:rsidP="00030FC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Petch, N. </w:t>
      </w:r>
      <w:r w:rsidRPr="00746A64">
        <w:rPr>
          <w:rFonts w:asciiTheme="minorHAnsi" w:hAnsiTheme="minorHAnsi" w:cstheme="minorHAnsi"/>
          <w:sz w:val="22"/>
          <w:szCs w:val="22"/>
        </w:rPr>
        <w:t>(2016) ‘</w:t>
      </w:r>
      <w:r w:rsidRPr="00746A64">
        <w:rPr>
          <w:rFonts w:asciiTheme="minorHAnsi" w:hAnsiTheme="minorHAnsi" w:cstheme="minorHAnsi"/>
          <w:i/>
          <w:color w:val="141414"/>
          <w:sz w:val="22"/>
          <w:szCs w:val="22"/>
          <w:lang w:val="en"/>
        </w:rPr>
        <w:t xml:space="preserve">The Do's </w:t>
      </w:r>
      <w:r>
        <w:rPr>
          <w:rFonts w:asciiTheme="minorHAnsi" w:hAnsiTheme="minorHAnsi" w:cstheme="minorHAnsi"/>
          <w:i/>
          <w:color w:val="141414"/>
          <w:sz w:val="22"/>
          <w:szCs w:val="22"/>
          <w:lang w:val="en"/>
        </w:rPr>
        <w:t>a</w:t>
      </w:r>
      <w:r w:rsidRPr="00746A64">
        <w:rPr>
          <w:rFonts w:asciiTheme="minorHAnsi" w:hAnsiTheme="minorHAnsi" w:cstheme="minorHAnsi"/>
          <w:i/>
          <w:color w:val="141414"/>
          <w:sz w:val="22"/>
          <w:szCs w:val="22"/>
          <w:lang w:val="en"/>
        </w:rPr>
        <w:t xml:space="preserve">nd Don’ts </w:t>
      </w:r>
      <w:r>
        <w:rPr>
          <w:rFonts w:asciiTheme="minorHAnsi" w:hAnsiTheme="minorHAnsi" w:cstheme="minorHAnsi"/>
          <w:i/>
          <w:color w:val="141414"/>
          <w:sz w:val="22"/>
          <w:szCs w:val="22"/>
          <w:lang w:val="en"/>
        </w:rPr>
        <w:t>o</w:t>
      </w:r>
      <w:r w:rsidRPr="00746A64">
        <w:rPr>
          <w:rFonts w:asciiTheme="minorHAnsi" w:hAnsiTheme="minorHAnsi" w:cstheme="minorHAnsi"/>
          <w:i/>
          <w:color w:val="141414"/>
          <w:sz w:val="22"/>
          <w:szCs w:val="22"/>
          <w:lang w:val="en"/>
        </w:rPr>
        <w:t xml:space="preserve">f Doing Business </w:t>
      </w:r>
      <w:r>
        <w:rPr>
          <w:rFonts w:asciiTheme="minorHAnsi" w:hAnsiTheme="minorHAnsi" w:cstheme="minorHAnsi"/>
          <w:i/>
          <w:color w:val="141414"/>
          <w:sz w:val="22"/>
          <w:szCs w:val="22"/>
          <w:lang w:val="en"/>
        </w:rPr>
        <w:t>i</w:t>
      </w:r>
      <w:r w:rsidRPr="00746A64">
        <w:rPr>
          <w:rFonts w:asciiTheme="minorHAnsi" w:hAnsiTheme="minorHAnsi" w:cstheme="minorHAnsi"/>
          <w:i/>
          <w:color w:val="141414"/>
          <w:sz w:val="22"/>
          <w:szCs w:val="22"/>
          <w:lang w:val="en"/>
        </w:rPr>
        <w:t>n Dubai’</w:t>
      </w:r>
      <w:r>
        <w:rPr>
          <w:rFonts w:asciiTheme="minorHAnsi" w:hAnsiTheme="minorHAnsi" w:cstheme="minorHAnsi"/>
          <w:i/>
          <w:color w:val="141414"/>
          <w:sz w:val="22"/>
          <w:szCs w:val="22"/>
          <w:lang w:val="en"/>
        </w:rPr>
        <w:t xml:space="preserve">, </w:t>
      </w:r>
      <w:r>
        <w:rPr>
          <w:rFonts w:asciiTheme="minorHAnsi" w:hAnsiTheme="minorHAnsi" w:cstheme="minorHAnsi"/>
          <w:color w:val="141414"/>
          <w:sz w:val="22"/>
          <w:szCs w:val="22"/>
          <w:lang w:val="en"/>
        </w:rPr>
        <w:t xml:space="preserve">[Online]. Available: </w:t>
      </w:r>
      <w:hyperlink r:id="rId8" w:history="1">
        <w:r w:rsidRPr="006D5680">
          <w:rPr>
            <w:rStyle w:val="Hyperlink"/>
            <w:rFonts w:asciiTheme="minorHAnsi" w:hAnsiTheme="minorHAnsi" w:cstheme="minorHAnsi"/>
            <w:sz w:val="22"/>
            <w:szCs w:val="22"/>
            <w:lang w:val="en"/>
          </w:rPr>
          <w:t>https://www.entrepreneur.com/article/281347</w:t>
        </w:r>
      </w:hyperlink>
      <w:r>
        <w:rPr>
          <w:rFonts w:asciiTheme="minorHAnsi" w:hAnsiTheme="minorHAnsi" w:cstheme="minorHAnsi"/>
          <w:color w:val="141414"/>
          <w:sz w:val="22"/>
          <w:szCs w:val="22"/>
          <w:lang w:val="en"/>
        </w:rPr>
        <w:t xml:space="preserve">, [2018, November 12]. </w:t>
      </w:r>
    </w:p>
    <w:p w:rsidR="00030FCB" w:rsidRDefault="00030FCB" w:rsidP="00030FCB">
      <w:pPr>
        <w:pStyle w:val="ListParagraph"/>
        <w:numPr>
          <w:ilvl w:val="0"/>
          <w:numId w:val="1"/>
        </w:numPr>
        <w:rPr>
          <w:rFonts w:asciiTheme="minorHAnsi" w:hAnsiTheme="minorHAnsi" w:cstheme="minorHAnsi"/>
          <w:sz w:val="22"/>
          <w:szCs w:val="22"/>
        </w:rPr>
      </w:pPr>
      <w:r w:rsidRPr="00E448BB">
        <w:rPr>
          <w:rFonts w:asciiTheme="minorHAnsi" w:hAnsiTheme="minorHAnsi" w:cstheme="minorHAnsi"/>
          <w:sz w:val="22"/>
          <w:szCs w:val="22"/>
        </w:rPr>
        <w:t xml:space="preserve">Schneider C S, Barsoux J &amp; Stahl G. (2014, p.11), </w:t>
      </w:r>
      <w:r w:rsidRPr="00E448BB">
        <w:rPr>
          <w:rFonts w:asciiTheme="minorHAnsi" w:hAnsiTheme="minorHAnsi" w:cstheme="minorHAnsi"/>
          <w:i/>
          <w:sz w:val="22"/>
          <w:szCs w:val="22"/>
        </w:rPr>
        <w:t>‘Managing across cultures’</w:t>
      </w:r>
      <w:r w:rsidRPr="00E448BB">
        <w:rPr>
          <w:rFonts w:asciiTheme="minorHAnsi" w:hAnsiTheme="minorHAnsi" w:cstheme="minorHAnsi"/>
          <w:sz w:val="22"/>
          <w:szCs w:val="22"/>
        </w:rPr>
        <w:t>, (3</w:t>
      </w:r>
      <w:r w:rsidRPr="00E448BB">
        <w:rPr>
          <w:rFonts w:asciiTheme="minorHAnsi" w:hAnsiTheme="minorHAnsi" w:cstheme="minorHAnsi"/>
          <w:sz w:val="22"/>
          <w:szCs w:val="22"/>
          <w:vertAlign w:val="superscript"/>
        </w:rPr>
        <w:t>rd</w:t>
      </w:r>
      <w:r w:rsidRPr="00E448BB">
        <w:rPr>
          <w:rFonts w:asciiTheme="minorHAnsi" w:hAnsiTheme="minorHAnsi" w:cstheme="minorHAnsi"/>
          <w:sz w:val="22"/>
          <w:szCs w:val="22"/>
        </w:rPr>
        <w:t xml:space="preserve"> ed), Harlow: Pearson Education Limited</w:t>
      </w:r>
      <w:r>
        <w:rPr>
          <w:rFonts w:asciiTheme="minorHAnsi" w:hAnsiTheme="minorHAnsi" w:cstheme="minorHAnsi"/>
          <w:sz w:val="22"/>
          <w:szCs w:val="22"/>
        </w:rPr>
        <w:t>.</w:t>
      </w:r>
    </w:p>
    <w:p w:rsidR="00030FCB" w:rsidRPr="00F22116" w:rsidRDefault="00030FCB" w:rsidP="00030FC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Thomas, D &amp; Peterson M. (2018, p.231), </w:t>
      </w:r>
      <w:r w:rsidRPr="004D37D7">
        <w:rPr>
          <w:rFonts w:asciiTheme="minorHAnsi" w:hAnsiTheme="minorHAnsi" w:cstheme="minorHAnsi"/>
          <w:i/>
          <w:sz w:val="22"/>
          <w:szCs w:val="22"/>
        </w:rPr>
        <w:t>‘Cross-cultural management’</w:t>
      </w:r>
      <w:r>
        <w:rPr>
          <w:rFonts w:asciiTheme="minorHAnsi" w:hAnsiTheme="minorHAnsi" w:cstheme="minorHAnsi"/>
          <w:sz w:val="22"/>
          <w:szCs w:val="22"/>
        </w:rPr>
        <w:t>, (4</w:t>
      </w:r>
      <w:r w:rsidRPr="004D37D7">
        <w:rPr>
          <w:rFonts w:asciiTheme="minorHAnsi" w:hAnsiTheme="minorHAnsi" w:cstheme="minorHAnsi"/>
          <w:sz w:val="22"/>
          <w:szCs w:val="22"/>
          <w:vertAlign w:val="superscript"/>
        </w:rPr>
        <w:t>th</w:t>
      </w:r>
      <w:r>
        <w:rPr>
          <w:rFonts w:asciiTheme="minorHAnsi" w:hAnsiTheme="minorHAnsi" w:cstheme="minorHAnsi"/>
          <w:sz w:val="22"/>
          <w:szCs w:val="22"/>
        </w:rPr>
        <w:t xml:space="preserve"> ed), London: SAGE publications ltd. </w:t>
      </w:r>
    </w:p>
    <w:p w:rsidR="00030FCB" w:rsidRPr="00BD684F" w:rsidRDefault="00030FCB" w:rsidP="00030FC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Usunier, J, Hester van, H &amp; Lee, J. (2017, p.50), </w:t>
      </w:r>
      <w:r w:rsidRPr="00DE5DAB">
        <w:rPr>
          <w:rFonts w:asciiTheme="minorHAnsi" w:hAnsiTheme="minorHAnsi" w:cstheme="minorHAnsi"/>
          <w:i/>
          <w:sz w:val="22"/>
          <w:szCs w:val="22"/>
        </w:rPr>
        <w:t>‘International &amp; cross-cultural business research’</w:t>
      </w:r>
      <w:r>
        <w:rPr>
          <w:rFonts w:asciiTheme="minorHAnsi" w:hAnsiTheme="minorHAnsi" w:cstheme="minorHAnsi"/>
          <w:sz w:val="22"/>
          <w:szCs w:val="22"/>
        </w:rPr>
        <w:t xml:space="preserve">, London: SAGE Publications Inc. </w:t>
      </w:r>
    </w:p>
    <w:p w:rsidR="00030FCB" w:rsidRPr="00892977" w:rsidRDefault="00030FCB" w:rsidP="00030FCB">
      <w:pPr>
        <w:pStyle w:val="ListParagraph"/>
        <w:numPr>
          <w:ilvl w:val="0"/>
          <w:numId w:val="1"/>
        </w:numPr>
        <w:rPr>
          <w:rFonts w:asciiTheme="minorHAnsi" w:hAnsiTheme="minorHAnsi" w:cstheme="minorHAnsi"/>
          <w:sz w:val="22"/>
          <w:szCs w:val="22"/>
        </w:rPr>
      </w:pPr>
      <w:r w:rsidRPr="009A101C">
        <w:rPr>
          <w:rFonts w:asciiTheme="minorHAnsi" w:hAnsiTheme="minorHAnsi" w:cstheme="minorHAnsi"/>
          <w:sz w:val="22"/>
          <w:szCs w:val="22"/>
          <w:lang w:val="en"/>
        </w:rPr>
        <w:t>V</w:t>
      </w:r>
      <w:r>
        <w:rPr>
          <w:rFonts w:asciiTheme="minorHAnsi" w:hAnsiTheme="minorHAnsi" w:cstheme="minorHAnsi"/>
          <w:sz w:val="22"/>
          <w:szCs w:val="22"/>
          <w:lang w:val="en"/>
        </w:rPr>
        <w:t>alerie</w:t>
      </w:r>
      <w:r w:rsidRPr="009A101C">
        <w:rPr>
          <w:rFonts w:asciiTheme="minorHAnsi" w:hAnsiTheme="minorHAnsi" w:cstheme="minorHAnsi"/>
          <w:sz w:val="22"/>
          <w:szCs w:val="22"/>
          <w:lang w:val="en"/>
        </w:rPr>
        <w:t>, P.G. and N</w:t>
      </w:r>
      <w:r>
        <w:rPr>
          <w:rFonts w:asciiTheme="minorHAnsi" w:hAnsiTheme="minorHAnsi" w:cstheme="minorHAnsi"/>
          <w:sz w:val="22"/>
          <w:szCs w:val="22"/>
          <w:lang w:val="en"/>
        </w:rPr>
        <w:t>ickerson</w:t>
      </w:r>
      <w:r w:rsidRPr="009A101C">
        <w:rPr>
          <w:rFonts w:asciiTheme="minorHAnsi" w:hAnsiTheme="minorHAnsi" w:cstheme="minorHAnsi"/>
          <w:sz w:val="22"/>
          <w:szCs w:val="22"/>
          <w:lang w:val="en"/>
        </w:rPr>
        <w:t xml:space="preserve">, C. </w:t>
      </w:r>
      <w:r>
        <w:rPr>
          <w:rFonts w:asciiTheme="minorHAnsi" w:hAnsiTheme="minorHAnsi" w:cstheme="minorHAnsi"/>
          <w:sz w:val="22"/>
          <w:szCs w:val="22"/>
          <w:lang w:val="en"/>
        </w:rPr>
        <w:t>(</w:t>
      </w:r>
      <w:r w:rsidRPr="009A101C">
        <w:rPr>
          <w:rFonts w:asciiTheme="minorHAnsi" w:hAnsiTheme="minorHAnsi" w:cstheme="minorHAnsi"/>
          <w:sz w:val="22"/>
          <w:szCs w:val="22"/>
          <w:lang w:val="en"/>
        </w:rPr>
        <w:t>2015</w:t>
      </w:r>
      <w:r>
        <w:rPr>
          <w:rFonts w:asciiTheme="minorHAnsi" w:hAnsiTheme="minorHAnsi" w:cstheme="minorHAnsi"/>
          <w:sz w:val="22"/>
          <w:szCs w:val="22"/>
          <w:lang w:val="en"/>
        </w:rPr>
        <w:t>)</w:t>
      </w:r>
      <w:r w:rsidRPr="009A101C">
        <w:rPr>
          <w:rFonts w:asciiTheme="minorHAnsi" w:hAnsiTheme="minorHAnsi" w:cstheme="minorHAnsi"/>
          <w:sz w:val="22"/>
          <w:szCs w:val="22"/>
          <w:lang w:val="en"/>
        </w:rPr>
        <w:t xml:space="preserve"> </w:t>
      </w:r>
      <w:r>
        <w:rPr>
          <w:rFonts w:asciiTheme="minorHAnsi" w:hAnsiTheme="minorHAnsi" w:cstheme="minorHAnsi"/>
          <w:sz w:val="22"/>
          <w:szCs w:val="22"/>
          <w:lang w:val="en"/>
        </w:rPr>
        <w:t>‘</w:t>
      </w:r>
      <w:r w:rsidRPr="009A101C">
        <w:rPr>
          <w:rFonts w:asciiTheme="minorHAnsi" w:hAnsiTheme="minorHAnsi" w:cstheme="minorHAnsi"/>
          <w:sz w:val="22"/>
          <w:szCs w:val="22"/>
          <w:lang w:val="en"/>
        </w:rPr>
        <w:t>The impact of culture on the construal of organizational crisis: perceptions of crisis in Dubai</w:t>
      </w:r>
      <w:r>
        <w:rPr>
          <w:rFonts w:asciiTheme="minorHAnsi" w:hAnsiTheme="minorHAnsi" w:cstheme="minorHAnsi"/>
          <w:sz w:val="22"/>
          <w:szCs w:val="22"/>
          <w:lang w:val="en"/>
        </w:rPr>
        <w:t xml:space="preserve">’, </w:t>
      </w:r>
      <w:r w:rsidRPr="009A101C">
        <w:rPr>
          <w:rFonts w:asciiTheme="minorHAnsi" w:hAnsiTheme="minorHAnsi" w:cstheme="minorHAnsi"/>
          <w:i/>
          <w:iCs/>
          <w:sz w:val="22"/>
          <w:szCs w:val="22"/>
          <w:lang w:val="en"/>
        </w:rPr>
        <w:t xml:space="preserve">Corporate Communications, </w:t>
      </w:r>
      <w:r w:rsidRPr="009A101C">
        <w:rPr>
          <w:rFonts w:asciiTheme="minorHAnsi" w:hAnsiTheme="minorHAnsi" w:cstheme="minorHAnsi"/>
          <w:bCs/>
          <w:sz w:val="22"/>
          <w:szCs w:val="22"/>
          <w:lang w:val="en"/>
        </w:rPr>
        <w:t>20</w:t>
      </w:r>
      <w:r w:rsidRPr="009A101C">
        <w:rPr>
          <w:rFonts w:asciiTheme="minorHAnsi" w:hAnsiTheme="minorHAnsi" w:cstheme="minorHAnsi"/>
          <w:sz w:val="22"/>
          <w:szCs w:val="22"/>
          <w:lang w:val="en"/>
        </w:rPr>
        <w:t>(3), pp. 310-325.</w:t>
      </w:r>
    </w:p>
    <w:p w:rsidR="00030FCB" w:rsidRPr="00F22116" w:rsidRDefault="00030FCB" w:rsidP="00030FCB">
      <w:pPr>
        <w:ind w:left="360"/>
        <w:rPr>
          <w:rFonts w:asciiTheme="minorHAnsi" w:hAnsiTheme="minorHAnsi" w:cstheme="minorHAnsi"/>
          <w:sz w:val="22"/>
          <w:szCs w:val="22"/>
        </w:rPr>
      </w:pPr>
    </w:p>
    <w:p w:rsidR="00D46F4C" w:rsidRDefault="00D46F4C"/>
    <w:sectPr w:rsidR="00D46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AB3889"/>
    <w:multiLevelType w:val="hybridMultilevel"/>
    <w:tmpl w:val="4AF2A2AC"/>
    <w:lvl w:ilvl="0" w:tplc="06E4A8E8">
      <w:start w:val="1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FCB"/>
    <w:rsid w:val="00030FCB"/>
    <w:rsid w:val="000632AA"/>
    <w:rsid w:val="002045BC"/>
    <w:rsid w:val="00331D03"/>
    <w:rsid w:val="003A758B"/>
    <w:rsid w:val="00427DC6"/>
    <w:rsid w:val="006801DA"/>
    <w:rsid w:val="007066F5"/>
    <w:rsid w:val="007645E9"/>
    <w:rsid w:val="009016B7"/>
    <w:rsid w:val="00AA217C"/>
    <w:rsid w:val="00D46F4C"/>
    <w:rsid w:val="00F10ED6"/>
    <w:rsid w:val="00FA5D65"/>
    <w:rsid w:val="00FD3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CEA36"/>
  <w15:chartTrackingRefBased/>
  <w15:docId w15:val="{EB7B4EB4-F652-4B69-A053-761945C7F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0FC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030FC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030FC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FC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30FCB"/>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030FCB"/>
    <w:pPr>
      <w:ind w:left="720"/>
      <w:contextualSpacing/>
    </w:pPr>
  </w:style>
  <w:style w:type="character" w:styleId="Hyperlink">
    <w:name w:val="Hyperlink"/>
    <w:basedOn w:val="DefaultParagraphFont"/>
    <w:uiPriority w:val="99"/>
    <w:unhideWhenUsed/>
    <w:rsid w:val="00030FCB"/>
    <w:rPr>
      <w:color w:val="0000FF"/>
      <w:u w:val="single"/>
    </w:rPr>
  </w:style>
  <w:style w:type="character" w:styleId="Strong">
    <w:name w:val="Strong"/>
    <w:basedOn w:val="DefaultParagraphFont"/>
    <w:uiPriority w:val="22"/>
    <w:qFormat/>
    <w:rsid w:val="00030F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281347" TargetMode="External"/><Relationship Id="rId3" Type="http://schemas.openxmlformats.org/officeDocument/2006/relationships/settings" Target="settings.xml"/><Relationship Id="rId7" Type="http://schemas.openxmlformats.org/officeDocument/2006/relationships/hyperlink" Target="http://www.dubai.ae/en/Lists/Articles/DispForm.aspx?ID=14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bc.co.uk/languages/chinese/guide/facts.shtml" TargetMode="External"/><Relationship Id="rId5" Type="http://schemas.openxmlformats.org/officeDocument/2006/relationships/hyperlink" Target="https://www.entrepreneur.com/article/25263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2232</Words>
  <Characters>12725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James-Deane</dc:creator>
  <cp:keywords/>
  <dc:description/>
  <cp:lastModifiedBy>Caitlin James-Deane</cp:lastModifiedBy>
  <cp:revision>13</cp:revision>
  <dcterms:created xsi:type="dcterms:W3CDTF">2018-11-24T13:28:00Z</dcterms:created>
  <dcterms:modified xsi:type="dcterms:W3CDTF">2018-11-25T13:39:00Z</dcterms:modified>
</cp:coreProperties>
</file>