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BC695" w14:textId="77777777" w:rsidR="005D5E69" w:rsidRDefault="00B5598B">
      <w:pPr>
        <w:spacing w:line="36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DBC696" w14:textId="77777777" w:rsidR="005D5E69" w:rsidRDefault="005D5E69">
      <w:pPr>
        <w:spacing w:line="360" w:lineRule="auto"/>
        <w:ind w:hanging="2"/>
        <w:rPr>
          <w:rFonts w:ascii="Times New Roman" w:eastAsia="Times New Roman" w:hAnsi="Times New Roman" w:cs="Times New Roman"/>
          <w:sz w:val="24"/>
          <w:szCs w:val="24"/>
        </w:rPr>
      </w:pPr>
    </w:p>
    <w:p w14:paraId="33DBC697" w14:textId="77777777" w:rsidR="005D5E69" w:rsidRDefault="005D5E69">
      <w:pPr>
        <w:spacing w:line="360" w:lineRule="auto"/>
        <w:ind w:hanging="2"/>
        <w:rPr>
          <w:rFonts w:ascii="Times New Roman" w:eastAsia="Times New Roman" w:hAnsi="Times New Roman" w:cs="Times New Roman"/>
          <w:sz w:val="24"/>
          <w:szCs w:val="24"/>
        </w:rPr>
      </w:pPr>
    </w:p>
    <w:p w14:paraId="33DBC698" w14:textId="77777777" w:rsidR="005D5E69" w:rsidRDefault="005D5E69">
      <w:pPr>
        <w:spacing w:line="360" w:lineRule="auto"/>
        <w:ind w:hanging="2"/>
        <w:rPr>
          <w:rFonts w:ascii="Times New Roman" w:eastAsia="Times New Roman" w:hAnsi="Times New Roman" w:cs="Times New Roman"/>
          <w:sz w:val="24"/>
          <w:szCs w:val="24"/>
        </w:rPr>
      </w:pPr>
    </w:p>
    <w:p w14:paraId="33DBC699" w14:textId="77777777" w:rsidR="005D5E69" w:rsidRDefault="005D5E69">
      <w:pPr>
        <w:spacing w:line="360" w:lineRule="auto"/>
        <w:ind w:hanging="2"/>
        <w:rPr>
          <w:rFonts w:ascii="Times New Roman" w:eastAsia="Times New Roman" w:hAnsi="Times New Roman" w:cs="Times New Roman"/>
          <w:sz w:val="24"/>
          <w:szCs w:val="24"/>
        </w:rPr>
      </w:pPr>
    </w:p>
    <w:p w14:paraId="33DBC69A" w14:textId="77777777" w:rsidR="005D5E69" w:rsidRDefault="005D5E69">
      <w:pPr>
        <w:spacing w:line="360" w:lineRule="auto"/>
        <w:ind w:hanging="2"/>
        <w:rPr>
          <w:rFonts w:ascii="Times New Roman" w:eastAsia="Times New Roman" w:hAnsi="Times New Roman" w:cs="Times New Roman"/>
          <w:sz w:val="24"/>
          <w:szCs w:val="24"/>
        </w:rPr>
      </w:pPr>
    </w:p>
    <w:p w14:paraId="33DBC69B" w14:textId="77777777" w:rsidR="005D5E69" w:rsidRDefault="005D5E69">
      <w:pPr>
        <w:spacing w:line="360" w:lineRule="auto"/>
        <w:ind w:hanging="2"/>
        <w:rPr>
          <w:rFonts w:ascii="Times New Roman" w:eastAsia="Times New Roman" w:hAnsi="Times New Roman" w:cs="Times New Roman"/>
          <w:sz w:val="24"/>
          <w:szCs w:val="24"/>
        </w:rPr>
      </w:pPr>
    </w:p>
    <w:p w14:paraId="33DBC69C" w14:textId="77777777" w:rsidR="005D5E69" w:rsidRDefault="00B5598B">
      <w:pPr>
        <w:spacing w:line="360" w:lineRule="auto"/>
        <w:ind w:hanging="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Assessment 2</w:t>
      </w:r>
    </w:p>
    <w:p w14:paraId="025269FE" w14:textId="777CAED5" w:rsidR="005A6707" w:rsidRDefault="005A6707" w:rsidP="005A6707">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Number: </w:t>
      </w:r>
      <w:r w:rsidR="003D6B1D" w:rsidRPr="003D6B1D">
        <w:rPr>
          <w:rFonts w:ascii="Times New Roman" w:eastAsia="Times New Roman" w:hAnsi="Times New Roman" w:cs="Times New Roman"/>
          <w:sz w:val="24"/>
          <w:szCs w:val="24"/>
        </w:rPr>
        <w:t>2442792</w:t>
      </w:r>
    </w:p>
    <w:p w14:paraId="495F2ABC" w14:textId="5CA9E0CF" w:rsidR="00A25D90" w:rsidRDefault="005A6707">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code: </w:t>
      </w:r>
      <w:r w:rsidR="00A25D90" w:rsidRPr="00A25D90">
        <w:rPr>
          <w:rFonts w:ascii="Times New Roman" w:eastAsia="Times New Roman" w:hAnsi="Times New Roman" w:cs="Times New Roman"/>
          <w:sz w:val="24"/>
          <w:szCs w:val="24"/>
        </w:rPr>
        <w:t xml:space="preserve">LCHS4010 </w:t>
      </w:r>
    </w:p>
    <w:p w14:paraId="5D7E9033" w14:textId="41AAB67A" w:rsidR="00A25D90" w:rsidRDefault="005A6707">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name: </w:t>
      </w:r>
      <w:r w:rsidR="00A25D90" w:rsidRPr="00A25D90">
        <w:rPr>
          <w:rFonts w:ascii="Times New Roman" w:eastAsia="Times New Roman" w:hAnsi="Times New Roman" w:cs="Times New Roman"/>
          <w:sz w:val="24"/>
          <w:szCs w:val="24"/>
        </w:rPr>
        <w:t>Psychology in Health and Social Care</w:t>
      </w:r>
    </w:p>
    <w:p w14:paraId="2DEB79E0" w14:textId="77777777" w:rsidR="005A6707" w:rsidRDefault="005A6707">
      <w:pPr>
        <w:spacing w:line="360" w:lineRule="auto"/>
        <w:ind w:hanging="2"/>
        <w:jc w:val="center"/>
        <w:rPr>
          <w:rFonts w:ascii="Times New Roman" w:eastAsia="Times New Roman" w:hAnsi="Times New Roman" w:cs="Times New Roman"/>
          <w:sz w:val="24"/>
          <w:szCs w:val="24"/>
        </w:rPr>
      </w:pPr>
      <w:r w:rsidRPr="005A6707">
        <w:rPr>
          <w:rFonts w:ascii="Times New Roman" w:eastAsia="Times New Roman" w:hAnsi="Times New Roman" w:cs="Times New Roman"/>
          <w:sz w:val="24"/>
          <w:szCs w:val="24"/>
        </w:rPr>
        <w:t>University of Wales Trinity Saint David</w:t>
      </w:r>
    </w:p>
    <w:p w14:paraId="33DBC6A1" w14:textId="0ED61476" w:rsidR="005D5E69" w:rsidRDefault="00A25D90">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 April 2026</w:t>
      </w:r>
      <w:r w:rsidR="00D71FE7">
        <w:rPr>
          <w:rFonts w:ascii="Times New Roman" w:eastAsia="Times New Roman" w:hAnsi="Times New Roman" w:cs="Times New Roman"/>
          <w:sz w:val="24"/>
          <w:szCs w:val="24"/>
        </w:rPr>
        <w:t>.</w:t>
      </w:r>
    </w:p>
    <w:p w14:paraId="33DBC6A2" w14:textId="77777777" w:rsidR="005D5E69" w:rsidRDefault="005D5E69">
      <w:pPr>
        <w:spacing w:line="360" w:lineRule="auto"/>
        <w:ind w:hanging="2"/>
        <w:rPr>
          <w:rFonts w:ascii="Times New Roman" w:eastAsia="Times New Roman" w:hAnsi="Times New Roman" w:cs="Times New Roman"/>
          <w:sz w:val="24"/>
          <w:szCs w:val="24"/>
        </w:rPr>
      </w:pPr>
    </w:p>
    <w:p w14:paraId="20B79E5B" w14:textId="77777777" w:rsidR="00A25D90" w:rsidRDefault="00A25D90">
      <w:pPr>
        <w:spacing w:after="0" w:line="480" w:lineRule="auto"/>
        <w:ind w:left="480" w:hanging="48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33DBC6A9" w14:textId="352327B8" w:rsidR="005D5E69" w:rsidRDefault="00B5598B">
      <w:pPr>
        <w:spacing w:after="0" w:line="480" w:lineRule="auto"/>
        <w:ind w:left="480" w:hanging="48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Part A: Annotated Bibliography </w:t>
      </w:r>
    </w:p>
    <w:p w14:paraId="33DBC6AA" w14:textId="77777777" w:rsidR="005D5E69" w:rsidRDefault="00B5598B">
      <w:pPr>
        <w:spacing w:after="0" w:line="480" w:lineRule="auto"/>
        <w:ind w:left="480" w:hanging="48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Activity Theory of Ageing</w:t>
      </w:r>
    </w:p>
    <w:p w14:paraId="33DBC6AB"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1</w:t>
      </w:r>
    </w:p>
    <w:p w14:paraId="33DBC6AC"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Jarosz, E. (2021) “What makes life enjoyable at an older age? Experiential wellbeing, daily activities, and satisfaction with life in general,” Aging &amp; Mental Health, 26(6), pp. 1242–1252. Available at: </w:t>
      </w:r>
      <w:hyperlink r:id="rId7">
        <w:r>
          <w:rPr>
            <w:rFonts w:ascii="Times New Roman" w:eastAsia="Times New Roman" w:hAnsi="Times New Roman" w:cs="Times New Roman"/>
            <w:color w:val="0000FF"/>
            <w:sz w:val="24"/>
            <w:szCs w:val="24"/>
            <w:u w:val="single"/>
          </w:rPr>
          <w:t>https://doi.org/10.1080/13607863.2021.1916879.</w:t>
        </w:r>
      </w:hyperlink>
    </w:p>
    <w:p w14:paraId="33DBC6AD"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w:t>
      </w:r>
    </w:p>
    <w:p w14:paraId="33DBC6AE" w14:textId="77777777" w:rsidR="005D5E69" w:rsidRDefault="00B5598B">
      <w:pPr>
        <w:spacing w:after="0" w:line="480" w:lineRule="auto"/>
        <w:jc w:val="both"/>
        <w:rPr>
          <w:rFonts w:ascii="Times New Roman" w:eastAsia="Times New Roman" w:hAnsi="Times New Roman" w:cs="Times New Roman"/>
          <w:sz w:val="24"/>
          <w:szCs w:val="24"/>
        </w:rPr>
      </w:pPr>
      <w:bookmarkStart w:id="0" w:name="_heading=h.5rl835bpq3zz" w:colFirst="0" w:colLast="0"/>
      <w:bookmarkEnd w:id="0"/>
      <w:r>
        <w:rPr>
          <w:rFonts w:ascii="Times New Roman" w:eastAsia="Times New Roman" w:hAnsi="Times New Roman" w:cs="Times New Roman"/>
          <w:sz w:val="24"/>
          <w:szCs w:val="24"/>
        </w:rPr>
        <w:t>This paper is a research study focusing on the correlation between everyday activities and health among 65 and older adults. The study based on the Experience Sampling Method explored the association of life satisfaction with social interaction, physical activity, religion, and care giving. The research is closely interconnected with the Theory of Activity, stating that staying socially and mentally active is one of the factors of positive ageing. The results indicated that socialising, childcare, and religious practice were the activities that enhanced the enjoyment and wellbeing levels but the stressful activities lowered the level of life satisfaction. The study shows that a meaningful involvement in everyday life can have a great impact on emotional wellbeing and quality of life later in adulthood.</w:t>
      </w:r>
    </w:p>
    <w:p w14:paraId="33DBC6AF"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Critical Commentary </w:t>
      </w:r>
    </w:p>
    <w:p w14:paraId="33DBC6B0" w14:textId="70B6CA58"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is also very important to health and social care as it creates awareness of the importance of making older people stay connected and socially active. One of the strengths is that it uses the </w:t>
      </w:r>
      <w:r w:rsidR="00423BB1">
        <w:rPr>
          <w:rFonts w:ascii="Times New Roman" w:eastAsia="Times New Roman" w:hAnsi="Times New Roman" w:cs="Times New Roman"/>
          <w:sz w:val="24"/>
          <w:szCs w:val="24"/>
        </w:rPr>
        <w:t>real-life</w:t>
      </w:r>
      <w:r>
        <w:rPr>
          <w:rFonts w:ascii="Times New Roman" w:eastAsia="Times New Roman" w:hAnsi="Times New Roman" w:cs="Times New Roman"/>
          <w:sz w:val="24"/>
          <w:szCs w:val="24"/>
        </w:rPr>
        <w:t xml:space="preserve"> experiences of daily occurrences and does not solely use surveys. The results endorse autonomous and active care practices in residential and community contexts. Nevertheless, the research was only done in Poland, so the results may not be entirely applicable to culturally diverse </w:t>
      </w:r>
      <w:r>
        <w:rPr>
          <w:rFonts w:ascii="Times New Roman" w:eastAsia="Times New Roman" w:hAnsi="Times New Roman" w:cs="Times New Roman"/>
          <w:sz w:val="24"/>
          <w:szCs w:val="24"/>
        </w:rPr>
        <w:lastRenderedPageBreak/>
        <w:t>populations. Practically, the aged might be physically sick or cognitively impaired to engage in activities of relevance.</w:t>
      </w:r>
    </w:p>
    <w:p w14:paraId="33DBC6B1"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2</w:t>
      </w:r>
    </w:p>
    <w:p w14:paraId="33DBC6B2"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Luo, M., Moulder, R.G., Breitfelder, L.K. and Röcke, C. (2024) “Activity Diversity and Well-Being in Daily Life: Evidence for Heterogeneity between Older Adults,” The Journals of Gerontology Series B, 79(6). Available at: </w:t>
      </w:r>
      <w:hyperlink r:id="rId8">
        <w:r>
          <w:rPr>
            <w:rFonts w:ascii="Times New Roman" w:eastAsia="Times New Roman" w:hAnsi="Times New Roman" w:cs="Times New Roman"/>
            <w:color w:val="0000FF"/>
            <w:sz w:val="24"/>
            <w:szCs w:val="24"/>
            <w:u w:val="single"/>
          </w:rPr>
          <w:t>https://doi.org/10.1093/geronb/gbae025.</w:t>
        </w:r>
      </w:hyperlink>
    </w:p>
    <w:p w14:paraId="33DBC6B3"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w:t>
      </w:r>
    </w:p>
    <w:p w14:paraId="33DBC6B4"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examines the link between diversity in activities and wellbeing in later life. The discussion has close links with the Activity Theory, which suggests that older adults in the state of staying active and socially engaged enjoy a higher level of satisfaction and wellbeing. The study claims that ageing cannot be perceived as a decline but more a process that is influenced by remaining in significant relationships and doing meaningful things. Results indicate that emotional resilience, independence, and active participation are signs of healthy ageing. The article thus justifies the notion that the aspect of activity and social role enhances wellbeing in older adults.</w:t>
      </w:r>
    </w:p>
    <w:p w14:paraId="33DBC6B5"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Commentary</w:t>
      </w:r>
    </w:p>
    <w:p w14:paraId="33DBC6B6"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source is useful since it offers a general theoretical insight into ageing that can be applied to person-centred care practices. It is primarily its advantage that it incorporates various perspectives and agencies enable professionals to value the complexity of ageing experiences. Biopsychosocial approach is particularly beneficial in health and social care as it promotes holistic evaluation and support planning. However, the evaluation is mostly abstract and lacks any direct care setting evidence. Not all of the theories of successful ageing may also exclude older adults with chronic illness, disability or poverty accidently, so implementation of these theories in full may be challenging in some contexts.</w:t>
      </w:r>
    </w:p>
    <w:p w14:paraId="33DBC6B7"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3</w:t>
      </w:r>
    </w:p>
    <w:p w14:paraId="33DBC6B8"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MacIver, E., Adams, N.N., Douglas, F. and Kennedy, C. (2026) “Older adults’ experiences of wellbeing through engagement with a nature-based programme: insights from Activity Theory and Blue Zones thinking,” Wellbeing Space and Society, 10, p. 100367. Available at: https://doi.org/10.1016/j.wss.2026.100367.</w:t>
      </w:r>
    </w:p>
    <w:p w14:paraId="33DBC6B9"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w:t>
      </w:r>
    </w:p>
    <w:p w14:paraId="33DBC6BA"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discusses the effects of a nature-based programme, Silver Saplings Adventures, on the wellbeing of elderly people in rural Scotland. The study employed qualitative interviews of women aged 6491 to study experiences of physical, emotional, social and cognitive wellbeing. The research is closely related with the Activity Theory since the study shows that maintenance of meaningful and socially connected activities enhance life satisfaction and healthy ageing. Results demonstrated that engagement in outdoor and community-based activities enhanced mobility, social interdependence, and emotional stability as well as purpose. It discusses the argument that nature-based programmes can be useful to promote holistic wellbeing, and decrease isolation among older adults.</w:t>
      </w:r>
    </w:p>
    <w:p w14:paraId="33DBC6BB"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Commentary </w:t>
      </w:r>
    </w:p>
    <w:p w14:paraId="33DBC6BC"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article has a great value in health and social care since it illustrates how to practically implement the Theory of Activity by use of nature-based programmes. A key strength is the utilisation of qualitative interviews, offering a thorough understanding of the lived experiences and perceptions of wellbeing of older adults. The results assist in the establishment of community-based intervention that promotes social involvement and active ageing. Nevertheless, the participants were a small sample of rural Scotland and this might impede generalisability. Also, </w:t>
      </w:r>
      <w:r>
        <w:rPr>
          <w:rFonts w:ascii="Times New Roman" w:eastAsia="Times New Roman" w:hAnsi="Times New Roman" w:cs="Times New Roman"/>
          <w:sz w:val="24"/>
          <w:szCs w:val="24"/>
        </w:rPr>
        <w:lastRenderedPageBreak/>
        <w:t>the outdoor programmes do not necessarily always exist with severely mobility challenged or long-term ill elderly adults.</w:t>
      </w:r>
    </w:p>
    <w:p w14:paraId="33DBC6BD"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4</w:t>
      </w:r>
    </w:p>
    <w:p w14:paraId="33DBC6BE"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Gao, Y., Jia, Z., Zhao, L. and Han, S. (2023) “The Effect of activity participation in Middle-Aged and Older people on the trajectory of depression in Later Life: National cohort study,” JMIR Public Health and Surveillance, 9, p. e44682. Available at: https://doi.org/10.2196/44682.</w:t>
      </w:r>
    </w:p>
    <w:p w14:paraId="33DBC6BF"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w:t>
      </w:r>
    </w:p>
    <w:p w14:paraId="33DBC6C0"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national cohort study examines how activity participation and depression are related among the Chinese middle aged and older adults in a study of seven years. The study firmly endorses the Activity Theory by claiming that the sustained engagement in physical and social activities adds to beneficial ageing and emotional wellbeing. The results indicated that those who participated in greater amounts of physical and recreational activities realised a lesser degree of depression and enhanced psychological wellness in the long run. It was also established in the study that involvement in the activities may be used to predict the future outcome of future mental wellbeing. In general, the article emphasises the relevance of having active lifestyles in alleviating depression and promoting healthy ageing in elderly people.</w:t>
      </w:r>
    </w:p>
    <w:p w14:paraId="33DBC6C1"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Commentary </w:t>
      </w:r>
    </w:p>
    <w:p w14:paraId="33DBC6C2"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is very pertinent to health and social care in that it presents good evidence to relate the participation in activities to betterment in mental health in older people. The fact that the national sample is very big and the data collection process took place over seven years is also a strength as it enhances reliability and validity. The results clearly favor the Activity Theory by showing the psychological advantages of further indulgence in physical and social activities. Nevertheless, the research was based on the self-reported questionnaires and thus might not be </w:t>
      </w:r>
      <w:r>
        <w:rPr>
          <w:rFonts w:ascii="Times New Roman" w:eastAsia="Times New Roman" w:hAnsi="Times New Roman" w:cs="Times New Roman"/>
          <w:sz w:val="24"/>
          <w:szCs w:val="24"/>
        </w:rPr>
        <w:lastRenderedPageBreak/>
        <w:t>accurate because of the bias of the participants. The wider application of findings may also be hampered by the cultural differences between China and other countries.</w:t>
      </w:r>
    </w:p>
    <w:p w14:paraId="33DBC6C3" w14:textId="77777777" w:rsidR="005D5E69" w:rsidRDefault="00B5598B">
      <w:pPr>
        <w:spacing w:after="0" w:line="480" w:lineRule="auto"/>
        <w:ind w:left="480" w:hanging="48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Part B: Short Report </w:t>
      </w:r>
    </w:p>
    <w:p w14:paraId="33DBC6C4"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Introduction </w:t>
      </w:r>
    </w:p>
    <w:p w14:paraId="33DBC6C5"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was developed in the 1960s and contends that older adults should be able to remain engaged in activities that are deemed meaningful in order to retain their identity, independence, and reduce their dissatisfaction at life (Jarosz, 2021). This theory is very applicable in health and social care since the ageing populations face an increasing risk of isolation, loneliness, and deteriorating mental health (MacIver et al., 2026). The report will define the main concepts of the Activity Theory, discuss how it should be applied in the residential care facility, describe a real case involving an elderly person, and discuss issues and resolutions that may be related to the application of the theory in practice.</w:t>
      </w:r>
    </w:p>
    <w:p w14:paraId="33DBC6C6"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Explanation of Theory </w:t>
      </w:r>
    </w:p>
    <w:p w14:paraId="33DBC6C7"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Activity Theory was developed as a solution to disengagement theories of ageing. The theory suggests that successful ageing can be achieved when the older individuals continue to participate in social activities, relationships, and roles that have meaning and purpose (MacIver et al., 2026). The theory posits that psychological wellbeing and satisfaction with life is positively correlated with maintenance of engagement in hobbies, social groups, volunteering, exercise and family interaction (Jarosz, 2021). Activity Theory proposes that withdrawing from society may lead to loneliness, depression, and low self-esteem (Luo et al., 2024). The theory is closely related to ageing since most of the older adults retire, lose someone dear or even have physical changes that could limit social engagements. The professionals of health and social care are thus significant in promoting meaningful interaction and avoiding isolation (Foster and Walker, 2021). The theory </w:t>
      </w:r>
      <w:r>
        <w:rPr>
          <w:rFonts w:ascii="Times New Roman" w:eastAsia="Times New Roman" w:hAnsi="Times New Roman" w:cs="Times New Roman"/>
          <w:sz w:val="24"/>
          <w:szCs w:val="24"/>
        </w:rPr>
        <w:lastRenderedPageBreak/>
        <w:t>has been backed up by research that has shown that active engagement enhances emotional wellbeing, cognitive functioning and quality of life in older adults (Jarosz, 2021).</w:t>
      </w:r>
    </w:p>
    <w:p w14:paraId="33DBC6C8"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in a Residential Care Home</w:t>
      </w:r>
    </w:p>
    <w:p w14:paraId="33DBC6C9"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Activity Theory is realised in a residential care home by means of organised activity programmes that are aimed at giving residents a sense of purpose, socialisation, as well as mental stimulation (Shergold, 2020). These may involve gardening clubs, reminiscence therapy sessions, arts and crafts, intergenerational visits and religious or cultural celebrations. The rationale behind it, in line with the Activity Theory is that guided engagement alleviates the role loss of residential care admission and helps residents feel their identity and agency (Luo et al., 2024). The care homes where activity-based models are used generally have special Activities Coordinators that carry out personal assessment of interests, previous jobs and hobbies of residents. This is the person-centred view of providing activities consistent with the focus of the Activity Theory on role substitution: a retired teacher can find purpose in chairing a reading group, and a retired gardener can enjoy raised-bed gardening (Menassa et al., 2023). This practice has a positive evidence basis. Gao et al. (2023) discovered that wellbeing and decreased depressive symptoms showed significant improvement with the use of structured social and learning activities in elderly units over 12 weeks.</w:t>
      </w:r>
    </w:p>
    <w:p w14:paraId="33DBC6CA"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Real-Life Scenario</w:t>
      </w:r>
    </w:p>
    <w:p w14:paraId="33DBC6CB"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 real-life scenario, take for instance a 78-year-old retired civil engineer Mr Joseph who became the resident of a residential care home after having his hip replaced and the replacement considerably diminished his physical mobility. Mr Joseph had been an active participant in his local chess club, an active churchgoer, and an active participant in the current affairs, before admission. During the initial weeks of his stay, he was withdrawn, declined to eat multiple times, and repeatedly asked to leave the facility. Using the Activity Theory, the care team determined </w:t>
      </w:r>
      <w:r>
        <w:rPr>
          <w:rFonts w:ascii="Times New Roman" w:eastAsia="Times New Roman" w:hAnsi="Times New Roman" w:cs="Times New Roman"/>
          <w:sz w:val="24"/>
          <w:szCs w:val="24"/>
        </w:rPr>
        <w:lastRenderedPageBreak/>
        <w:t>that Mr Joseph had suffered an abrupt and involuntary loss of central social roles (Palombi et al., 2025). The coordinator involved Mr Joseph in other activities that are in line with his interests and capabilities. They also formed a weekly chess club with other residents and a tablet computer was provided to ensure that he keeps up with the news and takes part in online chess games. In six weeks, Mr Joseph had visibly improved in mood and was participating actively in group activities on a consistent basis.</w:t>
      </w:r>
    </w:p>
    <w:p w14:paraId="33DBC6CC"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w:t>
      </w:r>
    </w:p>
    <w:p w14:paraId="33DBC6CD"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more economical in terms of resources, the group-based activity programmes are not capable of handling the individualised aspect of role substitution that the Activity Theory demands (Monteiro et al., 2024). They can exclude residents with advanced dementia, severe mobility issues, or sensory deficits in a systematic way, which, in turn, supports the very disengagement, which the theory is trying to avoid (Lakomý, 2021). </w:t>
      </w:r>
    </w:p>
    <w:p w14:paraId="33DBC6CE"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Evidence-Based Strategy</w:t>
      </w:r>
    </w:p>
    <w:p w14:paraId="33DBC6CF"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suggests that to overcome this problem, care homes need to invest in personalised planning of activities based on thorough life-history assessment realised at the time of admission (Luo et al., 2024)). This method is also known as biographical care planning and it consists of collecting information about the past life of residents, their hobbies, cultural identities and personal values and then using this information to develop customised activity plans that are tailored to the history of each individual (Luo et al., 2024). Studies further indicate that care workers can be better trained to see and provide spontaneous, informal engagement opportunities, like getting a resident to arrange flowers, to complement formal activity programmes (Gao et al., 2023).</w:t>
      </w:r>
    </w:p>
    <w:p w14:paraId="33DBC6D0"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33DBC6D1" w14:textId="77777777"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conclusion, activity Theory is an evidence-based and feasible model that can be used to support the wellbeing of older adults in residential care environments. It provides practitioners with a theoretically based explanation concerning the need of activity-based care through the emphasis of role continuity, meaningful substitution, and social integration. </w:t>
      </w:r>
    </w:p>
    <w:p w14:paraId="33DBC6D2" w14:textId="77777777" w:rsidR="005D5E69" w:rsidRDefault="005D5E69">
      <w:pPr>
        <w:spacing w:after="0" w:line="480" w:lineRule="auto"/>
        <w:jc w:val="both"/>
        <w:rPr>
          <w:rFonts w:ascii="Times New Roman" w:eastAsia="Times New Roman" w:hAnsi="Times New Roman" w:cs="Times New Roman"/>
          <w:sz w:val="24"/>
          <w:szCs w:val="24"/>
        </w:rPr>
      </w:pPr>
    </w:p>
    <w:p w14:paraId="33DBC6D3" w14:textId="77777777" w:rsidR="005D5E69" w:rsidRDefault="005D5E69">
      <w:pPr>
        <w:spacing w:after="0" w:line="480" w:lineRule="auto"/>
        <w:jc w:val="both"/>
        <w:rPr>
          <w:rFonts w:ascii="Times New Roman" w:eastAsia="Times New Roman" w:hAnsi="Times New Roman" w:cs="Times New Roman"/>
          <w:sz w:val="24"/>
          <w:szCs w:val="24"/>
        </w:rPr>
      </w:pPr>
    </w:p>
    <w:p w14:paraId="33DBC6D4" w14:textId="77777777" w:rsidR="005D5E69" w:rsidRDefault="005D5E69">
      <w:pPr>
        <w:spacing w:after="0" w:line="480" w:lineRule="auto"/>
        <w:jc w:val="both"/>
        <w:rPr>
          <w:rFonts w:ascii="Times New Roman" w:eastAsia="Times New Roman" w:hAnsi="Times New Roman" w:cs="Times New Roman"/>
          <w:sz w:val="24"/>
          <w:szCs w:val="24"/>
        </w:rPr>
      </w:pPr>
    </w:p>
    <w:p w14:paraId="33DBC6D5" w14:textId="77777777" w:rsidR="005D5E69" w:rsidRDefault="005D5E69">
      <w:pPr>
        <w:spacing w:after="0" w:line="480" w:lineRule="auto"/>
        <w:jc w:val="both"/>
        <w:rPr>
          <w:rFonts w:ascii="Times New Roman" w:eastAsia="Times New Roman" w:hAnsi="Times New Roman" w:cs="Times New Roman"/>
          <w:sz w:val="24"/>
          <w:szCs w:val="24"/>
        </w:rPr>
      </w:pPr>
    </w:p>
    <w:p w14:paraId="33DBC6D6" w14:textId="77777777" w:rsidR="005D5E69" w:rsidRDefault="005D5E69">
      <w:pPr>
        <w:spacing w:after="0" w:line="480" w:lineRule="auto"/>
        <w:jc w:val="both"/>
        <w:rPr>
          <w:rFonts w:ascii="Times New Roman" w:eastAsia="Times New Roman" w:hAnsi="Times New Roman" w:cs="Times New Roman"/>
          <w:sz w:val="24"/>
          <w:szCs w:val="24"/>
        </w:rPr>
      </w:pPr>
    </w:p>
    <w:p w14:paraId="33DBC6D7" w14:textId="77777777" w:rsidR="005D5E69" w:rsidRDefault="005D5E69">
      <w:pPr>
        <w:spacing w:after="0" w:line="480" w:lineRule="auto"/>
        <w:jc w:val="both"/>
        <w:rPr>
          <w:rFonts w:ascii="Times New Roman" w:eastAsia="Times New Roman" w:hAnsi="Times New Roman" w:cs="Times New Roman"/>
          <w:sz w:val="24"/>
          <w:szCs w:val="24"/>
        </w:rPr>
      </w:pPr>
    </w:p>
    <w:p w14:paraId="33DBC6D8" w14:textId="77777777" w:rsidR="005D5E69" w:rsidRDefault="005D5E69">
      <w:pPr>
        <w:spacing w:after="0" w:line="480" w:lineRule="auto"/>
        <w:jc w:val="both"/>
        <w:rPr>
          <w:rFonts w:ascii="Times New Roman" w:eastAsia="Times New Roman" w:hAnsi="Times New Roman" w:cs="Times New Roman"/>
          <w:sz w:val="24"/>
          <w:szCs w:val="24"/>
        </w:rPr>
      </w:pPr>
    </w:p>
    <w:p w14:paraId="33DBC6D9" w14:textId="77777777" w:rsidR="005D5E69" w:rsidRDefault="005D5E69">
      <w:pPr>
        <w:spacing w:after="0" w:line="480" w:lineRule="auto"/>
        <w:jc w:val="both"/>
        <w:rPr>
          <w:rFonts w:ascii="Times New Roman" w:eastAsia="Times New Roman" w:hAnsi="Times New Roman" w:cs="Times New Roman"/>
          <w:sz w:val="24"/>
          <w:szCs w:val="24"/>
        </w:rPr>
      </w:pPr>
    </w:p>
    <w:p w14:paraId="33DBC6DA" w14:textId="77777777" w:rsidR="005D5E69" w:rsidRDefault="005D5E69">
      <w:pPr>
        <w:spacing w:after="0" w:line="480" w:lineRule="auto"/>
        <w:jc w:val="both"/>
        <w:rPr>
          <w:rFonts w:ascii="Times New Roman" w:eastAsia="Times New Roman" w:hAnsi="Times New Roman" w:cs="Times New Roman"/>
          <w:sz w:val="24"/>
          <w:szCs w:val="24"/>
        </w:rPr>
      </w:pPr>
    </w:p>
    <w:p w14:paraId="33DBC6DB" w14:textId="77777777" w:rsidR="005D5E69" w:rsidRDefault="005D5E69">
      <w:pPr>
        <w:spacing w:after="0" w:line="480" w:lineRule="auto"/>
        <w:jc w:val="both"/>
        <w:rPr>
          <w:rFonts w:ascii="Times New Roman" w:eastAsia="Times New Roman" w:hAnsi="Times New Roman" w:cs="Times New Roman"/>
          <w:sz w:val="24"/>
          <w:szCs w:val="24"/>
        </w:rPr>
      </w:pPr>
    </w:p>
    <w:p w14:paraId="33DBC6DC" w14:textId="77777777" w:rsidR="005D5E69" w:rsidRDefault="005D5E69">
      <w:pPr>
        <w:spacing w:after="0" w:line="480" w:lineRule="auto"/>
        <w:jc w:val="both"/>
        <w:rPr>
          <w:rFonts w:ascii="Times New Roman" w:eastAsia="Times New Roman" w:hAnsi="Times New Roman" w:cs="Times New Roman"/>
          <w:sz w:val="24"/>
          <w:szCs w:val="24"/>
        </w:rPr>
      </w:pPr>
    </w:p>
    <w:p w14:paraId="33DBC6DD" w14:textId="77777777" w:rsidR="005D5E69" w:rsidRDefault="005D5E69">
      <w:pPr>
        <w:spacing w:after="0" w:line="480" w:lineRule="auto"/>
        <w:jc w:val="both"/>
        <w:rPr>
          <w:rFonts w:ascii="Times New Roman" w:eastAsia="Times New Roman" w:hAnsi="Times New Roman" w:cs="Times New Roman"/>
          <w:sz w:val="24"/>
          <w:szCs w:val="24"/>
        </w:rPr>
      </w:pPr>
    </w:p>
    <w:p w14:paraId="33DBC6DE" w14:textId="77777777" w:rsidR="005D5E69" w:rsidRDefault="005D5E69">
      <w:pPr>
        <w:spacing w:after="0" w:line="480" w:lineRule="auto"/>
        <w:jc w:val="both"/>
        <w:rPr>
          <w:rFonts w:ascii="Times New Roman" w:eastAsia="Times New Roman" w:hAnsi="Times New Roman" w:cs="Times New Roman"/>
          <w:sz w:val="24"/>
          <w:szCs w:val="24"/>
        </w:rPr>
      </w:pPr>
    </w:p>
    <w:p w14:paraId="33DBC6DF" w14:textId="77777777" w:rsidR="005D5E69" w:rsidRDefault="005D5E69">
      <w:pPr>
        <w:spacing w:after="0" w:line="480" w:lineRule="auto"/>
        <w:jc w:val="both"/>
        <w:rPr>
          <w:rFonts w:ascii="Times New Roman" w:eastAsia="Times New Roman" w:hAnsi="Times New Roman" w:cs="Times New Roman"/>
          <w:sz w:val="24"/>
          <w:szCs w:val="24"/>
        </w:rPr>
      </w:pPr>
    </w:p>
    <w:p w14:paraId="33DBC6E0" w14:textId="77777777" w:rsidR="005D5E69" w:rsidRDefault="005D5E69">
      <w:pPr>
        <w:spacing w:after="0" w:line="480" w:lineRule="auto"/>
        <w:jc w:val="both"/>
        <w:rPr>
          <w:rFonts w:ascii="Times New Roman" w:eastAsia="Times New Roman" w:hAnsi="Times New Roman" w:cs="Times New Roman"/>
          <w:sz w:val="24"/>
          <w:szCs w:val="24"/>
        </w:rPr>
      </w:pPr>
    </w:p>
    <w:p w14:paraId="2A41E097" w14:textId="77777777" w:rsidR="00423BB1" w:rsidRDefault="00423BB1">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DBC6E1" w14:textId="7AEB26F1" w:rsidR="005D5E69" w:rsidRDefault="00B559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References</w:t>
      </w:r>
    </w:p>
    <w:p w14:paraId="33DBC6E2"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Foster, L. and Walker, A. (2021) “Active Ageing across the Life Course: Towards a Comprehensive Approach to Prevention,” </w:t>
      </w:r>
      <w:r>
        <w:rPr>
          <w:rFonts w:ascii="Times New Roman" w:eastAsia="Times New Roman" w:hAnsi="Times New Roman" w:cs="Times New Roman"/>
          <w:i/>
          <w:iCs/>
          <w:color w:val="000000"/>
          <w:sz w:val="24"/>
          <w:szCs w:val="24"/>
        </w:rPr>
        <w:t>BioMed Research International</w:t>
      </w:r>
      <w:r>
        <w:rPr>
          <w:rFonts w:ascii="Times New Roman" w:eastAsia="Times New Roman" w:hAnsi="Times New Roman" w:cs="Times New Roman"/>
          <w:color w:val="000000"/>
          <w:sz w:val="24"/>
          <w:szCs w:val="24"/>
        </w:rPr>
        <w:t>, 2021(1), p. 6650414. Available at: https://doi.org/10.1155/2021/6650414.</w:t>
      </w:r>
    </w:p>
    <w:p w14:paraId="33DBC6E3"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Gao, Y., Jia, Z., Zhao, L. and Han, S. (2023) “The Effect of activity participation in Middle-Aged and Older people on the trajectory of depression in Later Life: National cohort study,” </w:t>
      </w:r>
      <w:r>
        <w:rPr>
          <w:rFonts w:ascii="Times New Roman" w:eastAsia="Times New Roman" w:hAnsi="Times New Roman" w:cs="Times New Roman"/>
          <w:i/>
          <w:iCs/>
          <w:color w:val="000000"/>
          <w:sz w:val="24"/>
          <w:szCs w:val="24"/>
        </w:rPr>
        <w:t>JMIR Public Health and Surveillance</w:t>
      </w:r>
      <w:r>
        <w:rPr>
          <w:rFonts w:ascii="Times New Roman" w:eastAsia="Times New Roman" w:hAnsi="Times New Roman" w:cs="Times New Roman"/>
          <w:color w:val="000000"/>
          <w:sz w:val="24"/>
          <w:szCs w:val="24"/>
        </w:rPr>
        <w:t>, 9, p. e44682. Available at: https://doi.org/10.2196/44682.</w:t>
      </w:r>
    </w:p>
    <w:p w14:paraId="33DBC6E4"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Jarosz, E. (2021) “What makes life enjoyable at an older age? Experiential wellbeing, daily activities, and satisfaction with life in general,” </w:t>
      </w:r>
      <w:r>
        <w:rPr>
          <w:rFonts w:ascii="Times New Roman" w:eastAsia="Times New Roman" w:hAnsi="Times New Roman" w:cs="Times New Roman"/>
          <w:i/>
          <w:iCs/>
          <w:color w:val="000000"/>
          <w:sz w:val="24"/>
          <w:szCs w:val="24"/>
        </w:rPr>
        <w:t>Aging &amp; Mental Health</w:t>
      </w:r>
      <w:r>
        <w:rPr>
          <w:rFonts w:ascii="Times New Roman" w:eastAsia="Times New Roman" w:hAnsi="Times New Roman" w:cs="Times New Roman"/>
          <w:color w:val="000000"/>
          <w:sz w:val="24"/>
          <w:szCs w:val="24"/>
        </w:rPr>
        <w:t>, 26(6), pp. 1242–1252. Available at: https://doi.org/10.1080/13607863.2021.1916879.</w:t>
      </w:r>
    </w:p>
    <w:p w14:paraId="33DBC6E5"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Lakomý, M. (2021) “The effect of roles prescribed by active ageing on quality of life across European regions,” </w:t>
      </w:r>
      <w:r>
        <w:rPr>
          <w:rFonts w:ascii="Times New Roman" w:eastAsia="Times New Roman" w:hAnsi="Times New Roman" w:cs="Times New Roman"/>
          <w:i/>
          <w:iCs/>
          <w:color w:val="000000"/>
          <w:sz w:val="24"/>
          <w:szCs w:val="24"/>
        </w:rPr>
        <w:t>Ageing and Society</w:t>
      </w:r>
      <w:r>
        <w:rPr>
          <w:rFonts w:ascii="Times New Roman" w:eastAsia="Times New Roman" w:hAnsi="Times New Roman" w:cs="Times New Roman"/>
          <w:color w:val="000000"/>
          <w:sz w:val="24"/>
          <w:szCs w:val="24"/>
        </w:rPr>
        <w:t>, 43(3), pp. 664–688. Available at: https://doi.org/10.1017/s0144686x21000726.</w:t>
      </w:r>
    </w:p>
    <w:p w14:paraId="33DBC6E6"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Luo, M., Moulder, R.G., Breitfelder, L.K. and Röcke, C. (2024) “Activity Diversity and Well-Being in Daily Life: Evidence for Heterogeneity between Older Adults,” </w:t>
      </w:r>
      <w:r>
        <w:rPr>
          <w:rFonts w:ascii="Times New Roman" w:eastAsia="Times New Roman" w:hAnsi="Times New Roman" w:cs="Times New Roman"/>
          <w:i/>
          <w:iCs/>
          <w:color w:val="000000"/>
          <w:sz w:val="24"/>
          <w:szCs w:val="24"/>
        </w:rPr>
        <w:t>The Journals of Gerontology Series B</w:t>
      </w:r>
      <w:r>
        <w:rPr>
          <w:rFonts w:ascii="Times New Roman" w:eastAsia="Times New Roman" w:hAnsi="Times New Roman" w:cs="Times New Roman"/>
          <w:color w:val="000000"/>
          <w:sz w:val="24"/>
          <w:szCs w:val="24"/>
        </w:rPr>
        <w:t>, 79(6). Available at: https://doi.org/10.1093/geronb/gbae025.</w:t>
      </w:r>
    </w:p>
    <w:p w14:paraId="33DBC6E7"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MacIver, E., Adams, N.N., Douglas, F. and Kennedy, C. (2026) “Older adults’ experiences of wellbeing through engagement with a nature-based programme: insights from Activity Theory and Blue Zones thinking,” </w:t>
      </w:r>
      <w:r>
        <w:rPr>
          <w:rFonts w:ascii="Times New Roman" w:eastAsia="Times New Roman" w:hAnsi="Times New Roman" w:cs="Times New Roman"/>
          <w:i/>
          <w:iCs/>
          <w:color w:val="000000"/>
          <w:sz w:val="24"/>
          <w:szCs w:val="24"/>
        </w:rPr>
        <w:t>Wellbeing Space and Society</w:t>
      </w:r>
      <w:r>
        <w:rPr>
          <w:rFonts w:ascii="Times New Roman" w:eastAsia="Times New Roman" w:hAnsi="Times New Roman" w:cs="Times New Roman"/>
          <w:color w:val="000000"/>
          <w:sz w:val="24"/>
          <w:szCs w:val="24"/>
        </w:rPr>
        <w:t>, 10, p. 100367. Available at: https://doi.org/10.1016/j.wss.2026.100367.</w:t>
      </w:r>
    </w:p>
    <w:p w14:paraId="33DBC6E8"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Menassa, M., Stronks, K., Khatami, F., Díaz, Z.M.R., Espinola, O.P., Gamba, M., Itodo, O.A., Buttia, C., Wehrli, F., Minder, B., Velarde, M.R. and Franco, O.H. (2023) “Concepts and </w:t>
      </w:r>
      <w:r>
        <w:rPr>
          <w:rFonts w:ascii="Times New Roman" w:eastAsia="Times New Roman" w:hAnsi="Times New Roman" w:cs="Times New Roman"/>
          <w:color w:val="000000"/>
          <w:sz w:val="24"/>
          <w:szCs w:val="24"/>
        </w:rPr>
        <w:lastRenderedPageBreak/>
        <w:t xml:space="preserve">definitions of healthy ageing: a systematic review and synthesis of theoretical models,” </w:t>
      </w:r>
      <w:r>
        <w:rPr>
          <w:rFonts w:ascii="Times New Roman" w:eastAsia="Times New Roman" w:hAnsi="Times New Roman" w:cs="Times New Roman"/>
          <w:i/>
          <w:iCs/>
          <w:color w:val="000000"/>
          <w:sz w:val="24"/>
          <w:szCs w:val="24"/>
        </w:rPr>
        <w:t>EClinicalMedicine</w:t>
      </w:r>
      <w:r>
        <w:rPr>
          <w:rFonts w:ascii="Times New Roman" w:eastAsia="Times New Roman" w:hAnsi="Times New Roman" w:cs="Times New Roman"/>
          <w:color w:val="000000"/>
          <w:sz w:val="24"/>
          <w:szCs w:val="24"/>
        </w:rPr>
        <w:t>, 56, p. 101821. Available at: https://doi.org/10.1016/j.eclinm.2022.101821.</w:t>
      </w:r>
    </w:p>
    <w:p w14:paraId="33DBC6E9"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Monteiro, J.M., Gonçalves, R., Bastos, A. and Barbosa, M.R. (2024) “Social engagement and wellbeing in late life: a systematic review,” </w:t>
      </w:r>
      <w:r>
        <w:rPr>
          <w:rFonts w:ascii="Times New Roman" w:eastAsia="Times New Roman" w:hAnsi="Times New Roman" w:cs="Times New Roman"/>
          <w:i/>
          <w:iCs/>
          <w:color w:val="000000"/>
          <w:sz w:val="24"/>
          <w:szCs w:val="24"/>
        </w:rPr>
        <w:t>Ageing and Society</w:t>
      </w:r>
      <w:r>
        <w:rPr>
          <w:rFonts w:ascii="Times New Roman" w:eastAsia="Times New Roman" w:hAnsi="Times New Roman" w:cs="Times New Roman"/>
          <w:color w:val="000000"/>
          <w:sz w:val="24"/>
          <w:szCs w:val="24"/>
        </w:rPr>
        <w:t>, 45(7), pp. 1327–1354. Available at: https://doi.org/10.1017/s0144686x24000011.</w:t>
      </w:r>
    </w:p>
    <w:p w14:paraId="33DBC6EA"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Palombi, T., Chirico, A., Cazzolli, B., Zacchilli, M., Alessandri, G., Filosa, L., Borghi, A., Fini, C., Antoniucci, C., Pistella, J., Alivernini, F., Baiocco, R. and Lucidi, F. (2025) “Motivation, psychological needs and physical activity in older adults: a qualitative review,” </w:t>
      </w:r>
      <w:r>
        <w:rPr>
          <w:rFonts w:ascii="Times New Roman" w:eastAsia="Times New Roman" w:hAnsi="Times New Roman" w:cs="Times New Roman"/>
          <w:i/>
          <w:iCs/>
          <w:color w:val="000000"/>
          <w:sz w:val="24"/>
          <w:szCs w:val="24"/>
        </w:rPr>
        <w:t>Age And Ageing</w:t>
      </w:r>
      <w:r>
        <w:rPr>
          <w:rFonts w:ascii="Times New Roman" w:eastAsia="Times New Roman" w:hAnsi="Times New Roman" w:cs="Times New Roman"/>
          <w:color w:val="000000"/>
          <w:sz w:val="24"/>
          <w:szCs w:val="24"/>
        </w:rPr>
        <w:t>, 54(7). Available at: https://doi.org/10.1093/ageing/afaf180.</w:t>
      </w:r>
    </w:p>
    <w:p w14:paraId="33DBC6EB" w14:textId="77777777" w:rsidR="005D5E69" w:rsidRDefault="00B5598B">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Shergold, I. (2020) “Taking part in activities, an exploration of the role of discretionary travel in older people’s wellbeing,” </w:t>
      </w:r>
      <w:r>
        <w:rPr>
          <w:rFonts w:ascii="Times New Roman" w:eastAsia="Times New Roman" w:hAnsi="Times New Roman" w:cs="Times New Roman"/>
          <w:i/>
          <w:iCs/>
          <w:color w:val="000000"/>
          <w:sz w:val="24"/>
          <w:szCs w:val="24"/>
        </w:rPr>
        <w:t>Journal of Transport &amp; Health</w:t>
      </w:r>
      <w:r>
        <w:rPr>
          <w:rFonts w:ascii="Times New Roman" w:eastAsia="Times New Roman" w:hAnsi="Times New Roman" w:cs="Times New Roman"/>
          <w:color w:val="000000"/>
          <w:sz w:val="24"/>
          <w:szCs w:val="24"/>
        </w:rPr>
        <w:t>, 12, pp. 195–205. Available at: https://doi.org/10.1016/j.jth.2019.01.005.</w:t>
      </w:r>
    </w:p>
    <w:p w14:paraId="33DBC6EC" w14:textId="77777777" w:rsidR="005D5E69" w:rsidRDefault="005D5E69">
      <w:pPr>
        <w:spacing w:after="0" w:line="480" w:lineRule="auto"/>
        <w:jc w:val="both"/>
        <w:rPr>
          <w:rFonts w:ascii="Times New Roman" w:eastAsia="Times New Roman" w:hAnsi="Times New Roman" w:cs="Times New Roman"/>
          <w:sz w:val="24"/>
          <w:szCs w:val="24"/>
        </w:rPr>
      </w:pPr>
    </w:p>
    <w:p w14:paraId="33DBC6ED" w14:textId="77777777" w:rsidR="005D5E69" w:rsidRDefault="005D5E69">
      <w:pPr>
        <w:spacing w:after="0" w:line="480" w:lineRule="auto"/>
        <w:jc w:val="both"/>
        <w:rPr>
          <w:rFonts w:ascii="Times New Roman" w:eastAsia="Times New Roman" w:hAnsi="Times New Roman" w:cs="Times New Roman"/>
          <w:sz w:val="24"/>
          <w:szCs w:val="24"/>
        </w:rPr>
      </w:pPr>
    </w:p>
    <w:p w14:paraId="33DBC6EE" w14:textId="77777777" w:rsidR="005D5E69" w:rsidRDefault="005D5E69">
      <w:pPr>
        <w:spacing w:after="0" w:line="480" w:lineRule="auto"/>
        <w:jc w:val="both"/>
        <w:rPr>
          <w:rFonts w:ascii="Times New Roman" w:eastAsia="Times New Roman" w:hAnsi="Times New Roman" w:cs="Times New Roman"/>
          <w:sz w:val="24"/>
          <w:szCs w:val="24"/>
        </w:rPr>
      </w:pPr>
    </w:p>
    <w:p w14:paraId="33DBC6EF" w14:textId="77777777" w:rsidR="005D5E69" w:rsidRDefault="005D5E69">
      <w:pPr>
        <w:spacing w:after="0" w:line="480" w:lineRule="auto"/>
        <w:jc w:val="both"/>
        <w:rPr>
          <w:rFonts w:ascii="Times New Roman" w:eastAsia="Times New Roman" w:hAnsi="Times New Roman" w:cs="Times New Roman"/>
          <w:sz w:val="24"/>
          <w:szCs w:val="24"/>
        </w:rPr>
      </w:pPr>
    </w:p>
    <w:sectPr w:rsidR="005D5E6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BC701" w14:textId="77777777" w:rsidR="00B5598B" w:rsidRDefault="00B5598B">
      <w:pPr>
        <w:spacing w:after="0" w:line="240" w:lineRule="auto"/>
      </w:pPr>
      <w:r>
        <w:separator/>
      </w:r>
    </w:p>
  </w:endnote>
  <w:endnote w:type="continuationSeparator" w:id="0">
    <w:p w14:paraId="33DBC703" w14:textId="77777777" w:rsidR="00B5598B" w:rsidRDefault="00B55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CA7FDE1-7B9B-4ACB-866E-2A27838A5799}"/>
    <w:embedBold r:id="rId2" w:fontKey="{D61855D3-D4E9-4F65-BEAD-E445EE46418C}"/>
    <w:embedBoldItalic r:id="rId3" w:fontKey="{3BF92A50-A266-445C-8EBF-EB5BCAE76592}"/>
  </w:font>
  <w:font w:name="Cambria">
    <w:panose1 w:val="02040503050406030204"/>
    <w:charset w:val="00"/>
    <w:family w:val="roman"/>
    <w:pitch w:val="variable"/>
    <w:sig w:usb0="E00006FF" w:usb1="420024FF" w:usb2="02000000" w:usb3="00000000" w:csb0="0000019F" w:csb1="00000000"/>
    <w:embedRegular r:id="rId4" w:fontKey="{AE1F0192-808A-41A7-B23C-67241B44D987}"/>
    <w:embedBold r:id="rId5" w:fontKey="{958D92CD-56B8-4566-9C42-28863665212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E5524977-B02D-4978-96C4-81BC6B3520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6F4" w14:textId="77777777" w:rsidR="005D5E69" w:rsidRDefault="005D5E69">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33DBC6F5" w14:textId="77777777" w:rsidR="005D5E69" w:rsidRDefault="005D5E69"/>
  <w:p w14:paraId="33DBC6F6" w14:textId="77777777" w:rsidR="005D5E69" w:rsidRDefault="005D5E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6F7" w14:textId="77777777" w:rsidR="005D5E69" w:rsidRDefault="005D5E69"/>
  <w:p w14:paraId="33DBC6F8" w14:textId="77777777" w:rsidR="005D5E69" w:rsidRDefault="005D5E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6FC" w14:textId="77777777" w:rsidR="005D5E69" w:rsidRDefault="005D5E69">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BC6FD" w14:textId="77777777" w:rsidR="00B5598B" w:rsidRDefault="00B5598B">
      <w:pPr>
        <w:spacing w:after="0" w:line="240" w:lineRule="auto"/>
      </w:pPr>
      <w:r>
        <w:separator/>
      </w:r>
    </w:p>
  </w:footnote>
  <w:footnote w:type="continuationSeparator" w:id="0">
    <w:p w14:paraId="33DBC6FF" w14:textId="77777777" w:rsidR="00B5598B" w:rsidRDefault="00B55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6F0" w14:textId="77777777" w:rsidR="005D5E69" w:rsidRDefault="005D5E69">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33DBC6F1" w14:textId="77777777" w:rsidR="005D5E69" w:rsidRDefault="005D5E69"/>
  <w:p w14:paraId="33DBC6F2" w14:textId="77777777" w:rsidR="005D5E69" w:rsidRDefault="005D5E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6F3" w14:textId="740FD8E0" w:rsidR="005D5E69" w:rsidRDefault="00B5598B">
    <w:pPr>
      <w:spacing w:line="480" w:lineRule="auto"/>
      <w:ind w:hanging="2"/>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23BB1">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6F9" w14:textId="3A053004" w:rsidR="005D5E69" w:rsidRDefault="00B5598B">
    <w:pPr>
      <w:spacing w:after="0" w:line="240" w:lineRule="auto"/>
      <w:ind w:hanging="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23BB1">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33DBC6FA" w14:textId="77777777" w:rsidR="005D5E69" w:rsidRDefault="005D5E69"/>
  <w:p w14:paraId="33DBC6FB" w14:textId="77777777" w:rsidR="005D5E69" w:rsidRDefault="005D5E6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E69"/>
    <w:rsid w:val="00277C16"/>
    <w:rsid w:val="003D6B1D"/>
    <w:rsid w:val="00423BB1"/>
    <w:rsid w:val="005A6707"/>
    <w:rsid w:val="005D5E69"/>
    <w:rsid w:val="00A25D90"/>
    <w:rsid w:val="00B40848"/>
    <w:rsid w:val="00B5598B"/>
    <w:rsid w:val="00D71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C695"/>
  <w15:docId w15:val="{53CDF560-044C-40CC-8F46-D078F8F06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uiPriority w:val="9"/>
    <w:semiHidden/>
    <w:unhideWhenUsed/>
    <w:qFormat/>
    <w:pPr>
      <w:keepNext/>
      <w:spacing w:before="240" w:after="60"/>
      <w:outlineLvl w:val="1"/>
    </w:pPr>
    <w:rPr>
      <w:b/>
      <w:bCs/>
      <w:i/>
      <w:iCs/>
      <w:sz w:val="28"/>
      <w:szCs w:val="28"/>
    </w:rPr>
  </w:style>
  <w:style w:type="paragraph" w:styleId="Heading3">
    <w:name w:val="heading 3"/>
    <w:basedOn w:val="Normal"/>
    <w:next w:val="Normal"/>
    <w:uiPriority w:val="9"/>
    <w:semiHidden/>
    <w:unhideWhenUsed/>
    <w:qFormat/>
    <w:pPr>
      <w:keepNext/>
      <w:spacing w:before="240" w:after="60"/>
      <w:outlineLvl w:val="2"/>
    </w:pPr>
    <w:rPr>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93/geronb/gbae025."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oi.org/10.1080/13607863.2021.191687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wrOOC7ohkdjuxBipWqudbuIDhQ==">CgMxLjAyDmguNXJsODM1YnBxM3p6OAByITEwN0RoS3lncmF2S2FCRjNqdHJJemM1d1ljbkZYa3Q5Sg==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2419</Words>
  <Characters>13791</Characters>
  <Application>Microsoft Office Word</Application>
  <DocSecurity>0</DocSecurity>
  <Lines>114</Lines>
  <Paragraphs>32</Paragraphs>
  <ScaleCrop>false</ScaleCrop>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Steve Kasako</cp:lastModifiedBy>
  <cp:revision>2</cp:revision>
  <dcterms:created xsi:type="dcterms:W3CDTF">2026-04-28T08:54:00Z</dcterms:created>
  <dcterms:modified xsi:type="dcterms:W3CDTF">2026-04-29T15:21:00Z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186279a31dffec49a0d8cc351ce9b3aca0aabdb9d2c90d45fe309bc184e4b345</vt:lpwstr>
  </property>
  <property fmtid="{D5CDD505-2E9C-101B-9397-08002B2CF9AE}" pid="3" name="MSIP_Label_d0354ca5-015e-47ab-9fdb-c0a8323bc23e_Enabled">
    <vt:lpwstr>true</vt:lpwstr>
  </property>
  <property fmtid="{D5CDD505-2E9C-101B-9397-08002B2CF9AE}" pid="4" name="MSIP_Label_d0354ca5-015e-47ab-9fdb-c0a8323bc23e_SetDate">
    <vt:lpwstr>2023-12-18T11:57:27Z</vt:lpwstr>
  </property>
  <property fmtid="{D5CDD505-2E9C-101B-9397-08002B2CF9AE}" pid="5" name="MSIP_Label_d0354ca5-015e-47ab-9fdb-c0a8323bc23e_Method">
    <vt:lpwstr>Privileged</vt:lpwstr>
  </property>
  <property fmtid="{D5CDD505-2E9C-101B-9397-08002B2CF9AE}" pid="6" name="MSIP_Label_d0354ca5-015e-47ab-9fdb-c0a8323bc23e_Name">
    <vt:lpwstr>d0354ca5-015e-47ab-9fdb-c0a8323bc23e</vt:lpwstr>
  </property>
  <property fmtid="{D5CDD505-2E9C-101B-9397-08002B2CF9AE}" pid="7" name="MSIP_Label_d0354ca5-015e-47ab-9fdb-c0a8323bc23e_SiteId">
    <vt:lpwstr>07ebc6c3-7074-4387-a625-b9d918ba4a97</vt:lpwstr>
  </property>
  <property fmtid="{D5CDD505-2E9C-101B-9397-08002B2CF9AE}" pid="8" name="MSIP_Label_d0354ca5-015e-47ab-9fdb-c0a8323bc23e_ActionId">
    <vt:lpwstr>17fc6f72-6f24-481b-8f46-2153f1eab63d</vt:lpwstr>
  </property>
  <property fmtid="{D5CDD505-2E9C-101B-9397-08002B2CF9AE}" pid="9" name="MSIP_Label_d0354ca5-015e-47ab-9fdb-c0a8323bc23e_ContentBits">
    <vt:lpwstr>0</vt:lpwstr>
  </property>
  <property fmtid="{D5CDD505-2E9C-101B-9397-08002B2CF9AE}" pid="10" name="KSOProductBuildVer">
    <vt:lpwstr>1033-12.1.0.25242</vt:lpwstr>
  </property>
  <property fmtid="{D5CDD505-2E9C-101B-9397-08002B2CF9AE}" pid="11" name="ICV">
    <vt:lpwstr>8F2608CD85214304B50F0B43269F6382_13</vt:lpwstr>
  </property>
  <property fmtid="{D5CDD505-2E9C-101B-9397-08002B2CF9AE}" pid="12" name="KSOTemplateDocerSaveRecord">
    <vt:lpwstr>eyJoZGlkIjoiMDJhMjUwODI5ZjgxNzlmODFjZDI1YWFkOWZmYjBkY2YiLCJ1c2VySWQiOiIzNzI4NzIwOTgzNjUzIn0=</vt:lpwstr>
  </property>
</Properties>
</file>