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1B0D14A" w:rsidP="2292C2A9" w:rsidRDefault="01B0D14A" w14:paraId="786ADBEC" w14:textId="35F67875">
      <w:pPr>
        <w:rPr>
          <w:rFonts w:ascii="Arial" w:hAnsi="Arial" w:eastAsia="Arial" w:cs="Arial"/>
          <w:sz w:val="24"/>
          <w:szCs w:val="24"/>
        </w:rPr>
      </w:pPr>
    </w:p>
    <w:p w:rsidR="01B0D14A" w:rsidP="2292C2A9" w:rsidRDefault="2292C2A9" w14:paraId="521CD74C" w14:textId="36369FAA">
      <w:pPr>
        <w:jc w:val="both"/>
        <w:rPr>
          <w:rFonts w:ascii="Arial" w:hAnsi="Arial" w:eastAsia="Arial" w:cs="Arial"/>
          <w:sz w:val="24"/>
          <w:szCs w:val="24"/>
        </w:rPr>
      </w:pPr>
      <w:r w:rsidRPr="2292C2A9">
        <w:rPr>
          <w:rFonts w:ascii="Arial" w:hAnsi="Arial" w:eastAsia="Arial" w:cs="Arial"/>
          <w:sz w:val="24"/>
          <w:szCs w:val="24"/>
        </w:rPr>
        <w:t xml:space="preserve">When evaluating my performance through the year it is important to look into and use the theories and reflective cycles to analyse my performance and progression throughout the year. When looking into different theories often used to evaluate performance and progression Potter, (2015) evaluates how the use of Gibbs reflective cycle allows an individual to full evaluate the performance with a series of steps in the cycle if followed in order. The 6 stages in the cycle include, Disruption, Feelings, Evaluation, Analysis, Conclusion and Action plan. To fully analyse my performance and progression each step must be looked into first starting with Description according to </w:t>
      </w:r>
      <w:proofErr w:type="spellStart"/>
      <w:r w:rsidRPr="2292C2A9">
        <w:rPr>
          <w:rFonts w:ascii="Arial" w:hAnsi="Arial" w:eastAsia="Arial" w:cs="Arial"/>
          <w:sz w:val="24"/>
          <w:szCs w:val="24"/>
        </w:rPr>
        <w:t>Husebo</w:t>
      </w:r>
      <w:proofErr w:type="spellEnd"/>
      <w:r w:rsidRPr="2292C2A9">
        <w:rPr>
          <w:rFonts w:ascii="Arial" w:hAnsi="Arial" w:eastAsia="Arial" w:cs="Arial"/>
          <w:sz w:val="24"/>
          <w:szCs w:val="24"/>
        </w:rPr>
        <w:t xml:space="preserve"> et al (2015). When describing our activities in order to follow Gibbs reflective cycle, we had four activity days to part in which involved 8 and 12km walks from Port </w:t>
      </w:r>
      <w:proofErr w:type="spellStart"/>
      <w:r w:rsidRPr="2292C2A9">
        <w:rPr>
          <w:rFonts w:ascii="Arial" w:hAnsi="Arial" w:eastAsia="Arial" w:cs="Arial"/>
          <w:sz w:val="24"/>
          <w:szCs w:val="24"/>
        </w:rPr>
        <w:t>Eynon</w:t>
      </w:r>
      <w:proofErr w:type="spellEnd"/>
      <w:r w:rsidRPr="2292C2A9">
        <w:rPr>
          <w:rFonts w:ascii="Arial" w:hAnsi="Arial" w:eastAsia="Arial" w:cs="Arial"/>
          <w:sz w:val="24"/>
          <w:szCs w:val="24"/>
        </w:rPr>
        <w:t xml:space="preserve"> to </w:t>
      </w:r>
      <w:proofErr w:type="spellStart"/>
      <w:r w:rsidRPr="2292C2A9">
        <w:rPr>
          <w:rFonts w:ascii="Arial" w:hAnsi="Arial" w:eastAsia="Arial" w:cs="Arial"/>
          <w:sz w:val="24"/>
          <w:szCs w:val="24"/>
        </w:rPr>
        <w:t>Rhosilli</w:t>
      </w:r>
      <w:proofErr w:type="spellEnd"/>
      <w:r w:rsidRPr="2292C2A9">
        <w:rPr>
          <w:rFonts w:ascii="Arial" w:hAnsi="Arial" w:eastAsia="Arial" w:cs="Arial"/>
          <w:sz w:val="24"/>
          <w:szCs w:val="24"/>
        </w:rPr>
        <w:t xml:space="preserve"> and around Rhossili. This involved being in groups with five first years and three second years. Bloomfield (2018) looks into Gibbs theory of reflective cycles and how he published the cycle and how he published the cycle in 1988. Gibbs created the cycle in the order mentioned above in order to give learning for experience structure. </w:t>
      </w:r>
    </w:p>
    <w:p w:rsidR="01B0D14A" w:rsidP="3B717205" w:rsidRDefault="2292C2A9" w14:paraId="35C183D8" w14:textId="02D7BA88">
      <w:pPr>
        <w:jc w:val="both"/>
        <w:rPr>
          <w:rFonts w:ascii="Arial" w:hAnsi="Arial" w:eastAsia="Arial" w:cs="Arial"/>
          <w:sz w:val="24"/>
          <w:szCs w:val="24"/>
        </w:rPr>
      </w:pPr>
      <w:r w:rsidRPr="3B717205" w:rsidR="3B717205">
        <w:rPr>
          <w:rFonts w:ascii="Arial" w:hAnsi="Arial" w:eastAsia="Arial" w:cs="Arial"/>
          <w:sz w:val="24"/>
          <w:szCs w:val="24"/>
        </w:rPr>
        <w:t xml:space="preserve">Rice et al (2012) explains the second step in the cycle is ‘Feelings’ this compares to other theories such as Kolb’s experimental learning cycle as according to Rice other theories such as Kolb's cycle does not use the step of feelings whereas Gibbs believed it was an essential step as an individual's feelings are important to their personal evaluation. Whilst analysing my feelings I will also expand on my description as well as my feelings to fully evaluate my performance using Gibbs reflective cycle. We had four days of walking to complete which was split up into two days at a time four months apart. I was in a group with two other second years who I work well with and five first years I had never met or spoken to so this made me nervous. When we got there, I was asked if I had my asthma pump but due to miscommunication, I had forgotten it this meant I could not take part in the first day. As my lack of preparation, I felt very anxious and frustrated with myself that I couldn’t take part. Throughout the four days I often felt anxious and nervous as well as unsure about myself which often led to me not being confident on leading. Jones and </w:t>
      </w:r>
      <w:proofErr w:type="spellStart"/>
      <w:r w:rsidRPr="3B717205" w:rsidR="3B717205">
        <w:rPr>
          <w:rFonts w:ascii="Arial" w:hAnsi="Arial" w:eastAsia="Arial" w:cs="Arial"/>
          <w:sz w:val="24"/>
          <w:szCs w:val="24"/>
        </w:rPr>
        <w:t>Alinier</w:t>
      </w:r>
      <w:proofErr w:type="spellEnd"/>
      <w:r w:rsidRPr="3B717205" w:rsidR="3B717205">
        <w:rPr>
          <w:rFonts w:ascii="Arial" w:hAnsi="Arial" w:eastAsia="Arial" w:cs="Arial"/>
          <w:sz w:val="24"/>
          <w:szCs w:val="24"/>
        </w:rPr>
        <w:t xml:space="preserve"> (2015) look into evaluation following Gibbs reflective cycle, they follow the cycle and analyse how the evaluation stage in the cycle can be the most important and used with the analysis stage of the reflective cycle as they are similar to evaluate and analyse and individual's performance. When evaluating and analysing my performance over the four days and first looking at the evaluation of my performance which according to Mcguigan (2009) evaluation in Gibbs reflective cycle is defying what went right and what was good about the experience and what went wrong and was bad about the experience. McGuigan also records analysis as what can be made of the situation? Following both the evaluation and analysis from Gibbs reflective cycle to evaluate my own performance looking at what went well and what didn’t go so well. Looking back over my overall participation and performance I can see forgetting my pump meant I was thrown off on the second day as I had missed going through skills for or-orienteering and felt everyone in the group had a role accept me as I missed a day. Although continuing to evaluate I felt the third and fourth days went very well as I found my place within the group and felt more confident in leading. Analysing this I can see how it makes sense that as I got used to the group, I became confident in leading. </w:t>
      </w:r>
      <w:bookmarkStart w:name="_GoBack" w:id="0"/>
    </w:p>
    <w:p w:rsidR="01B0D14A" w:rsidP="3B717205" w:rsidRDefault="2292C2A9" w14:paraId="2E99A69D" w14:textId="36F1C8D2">
      <w:pPr>
        <w:jc w:val="both"/>
        <w:rPr>
          <w:rFonts w:ascii="Arial" w:hAnsi="Arial" w:eastAsia="Arial" w:cs="Arial"/>
          <w:sz w:val="24"/>
          <w:szCs w:val="24"/>
        </w:rPr>
      </w:pPr>
      <w:r w:rsidRPr="3B717205" w:rsidR="3B717205">
        <w:rPr>
          <w:rFonts w:ascii="Arial" w:hAnsi="Arial" w:eastAsia="Arial" w:cs="Arial"/>
          <w:sz w:val="24"/>
          <w:szCs w:val="24"/>
        </w:rPr>
        <w:t xml:space="preserve">The next step in the Gibbs Reflective cycle is Conclusion, Jacobs (2016) defines conclusion as looking into what else I could have done, this differs from other stages as it is to conclude what I have learnt from rather what I could do next time. Looking back at my overall performance I think I performed reasonably well when leading and catching up with learning the skills everyone else had already learnt from the first day which I did not attend. Missing the first day affected my confidence and my overall interaction on the second day and getting to know the group I was in as they had already bonded the first day. When concluding on my leadership skills I think I worked well with the other second years to lead the group the right direction and make everyone feel included. On the Fourth and final day when we had to lead properly without help from the instructors to lead our group numbers has reduced due to illness there for there were only 5 of us, I found this made it a little easier to lead as there was less people to direct. The last step in Gibbs reflective cycle is </w:t>
      </w:r>
      <w:r w:rsidRPr="3B717205" w:rsidR="3B717205">
        <w:rPr>
          <w:rFonts w:ascii="Arial" w:hAnsi="Arial" w:eastAsia="Arial" w:cs="Arial"/>
          <w:sz w:val="24"/>
          <w:szCs w:val="24"/>
        </w:rPr>
        <w:t xml:space="preserve">the </w:t>
      </w:r>
      <w:r w:rsidRPr="3B717205" w:rsidR="3B717205">
        <w:rPr>
          <w:rFonts w:ascii="Arial" w:hAnsi="Arial" w:eastAsia="Arial" w:cs="Arial"/>
          <w:sz w:val="24"/>
          <w:szCs w:val="24"/>
        </w:rPr>
        <w:t>action plan</w:t>
      </w:r>
      <w:r w:rsidRPr="3B717205" w:rsidR="3B717205">
        <w:rPr>
          <w:rFonts w:ascii="Arial" w:hAnsi="Arial" w:eastAsia="Arial" w:cs="Arial"/>
          <w:sz w:val="24"/>
          <w:szCs w:val="24"/>
        </w:rPr>
        <w:t xml:space="preserve"> Godfrey et al (2017) defines </w:t>
      </w:r>
      <w:r w:rsidRPr="3B717205" w:rsidR="3B717205">
        <w:rPr>
          <w:rFonts w:ascii="Arial" w:hAnsi="Arial" w:eastAsia="Arial" w:cs="Arial"/>
          <w:sz w:val="24"/>
          <w:szCs w:val="24"/>
        </w:rPr>
        <w:t xml:space="preserve">this step </w:t>
      </w:r>
      <w:r w:rsidRPr="3B717205" w:rsidR="3B717205">
        <w:rPr>
          <w:rFonts w:ascii="Arial" w:hAnsi="Arial" w:eastAsia="Arial" w:cs="Arial"/>
          <w:sz w:val="24"/>
          <w:szCs w:val="24"/>
        </w:rPr>
        <w:t xml:space="preserve">as </w:t>
      </w:r>
      <w:r w:rsidRPr="3B717205" w:rsidR="3B717205">
        <w:rPr>
          <w:rFonts w:ascii="Arial" w:hAnsi="Arial" w:eastAsia="Arial" w:cs="Arial"/>
          <w:sz w:val="24"/>
          <w:szCs w:val="24"/>
        </w:rPr>
        <w:t>to determine what we could do to improve our performance next time. My overall experience was up and down but enjoyable however there were few things I would do differently if I was to do this activity again firstly I would make sure I was prepared by having my pump and more correct clothing as I borrowed waterproofs from the Gower centre as I didn’t have any myself so my make point to improve would be preparedness. My second point to improve on next time would be my integration within the team and how we work as a team</w:t>
      </w:r>
      <w:r w:rsidRPr="3B717205" w:rsidR="3B717205">
        <w:rPr>
          <w:rFonts w:ascii="Arial" w:hAnsi="Arial" w:eastAsia="Arial" w:cs="Arial"/>
          <w:sz w:val="24"/>
          <w:szCs w:val="24"/>
        </w:rPr>
        <w:t>.</w:t>
      </w:r>
    </w:p>
    <w:p w:rsidR="01B0D14A" w:rsidP="3B717205" w:rsidRDefault="2292C2A9" w14:paraId="6CFDB502" w14:textId="3F59EC29">
      <w:pPr>
        <w:pStyle w:val="Normal"/>
        <w:jc w:val="both"/>
        <w:rPr>
          <w:rFonts w:ascii="Arial" w:hAnsi="Arial" w:eastAsia="Arial" w:cs="Arial"/>
          <w:sz w:val="24"/>
          <w:szCs w:val="24"/>
        </w:rPr>
      </w:pPr>
      <w:r w:rsidRPr="3B717205" w:rsidR="3B717205">
        <w:rPr>
          <w:rFonts w:ascii="Arial" w:hAnsi="Arial" w:eastAsia="Arial" w:cs="Arial"/>
          <w:sz w:val="24"/>
          <w:szCs w:val="24"/>
        </w:rPr>
        <w:t xml:space="preserve"> </w:t>
      </w:r>
      <w:r w:rsidRPr="3B717205" w:rsidR="3B717205">
        <w:rPr>
          <w:rFonts w:ascii="Arial" w:hAnsi="Arial" w:eastAsia="Arial" w:cs="Arial"/>
          <w:sz w:val="24"/>
          <w:szCs w:val="24"/>
        </w:rPr>
        <w:t xml:space="preserve"> W</w:t>
      </w:r>
      <w:r w:rsidRPr="3B717205" w:rsidR="3B717205">
        <w:rPr>
          <w:rFonts w:ascii="Arial" w:hAnsi="Arial" w:eastAsia="Arial" w:cs="Arial"/>
          <w:sz w:val="24"/>
          <w:szCs w:val="24"/>
        </w:rPr>
        <w:t xml:space="preserve">hen looking at team work and the processes of a team Tuckman’s stages </w:t>
      </w:r>
      <w:r w:rsidRPr="3B717205" w:rsidR="3B717205">
        <w:rPr>
          <w:rFonts w:ascii="Arial" w:hAnsi="Arial" w:eastAsia="Arial" w:cs="Arial"/>
          <w:sz w:val="24"/>
          <w:szCs w:val="24"/>
        </w:rPr>
        <w:t>for</w:t>
      </w:r>
      <w:r w:rsidRPr="3B717205" w:rsidR="3B717205">
        <w:rPr>
          <w:rFonts w:ascii="Arial" w:hAnsi="Arial" w:eastAsia="Arial" w:cs="Arial"/>
          <w:sz w:val="24"/>
          <w:szCs w:val="24"/>
        </w:rPr>
        <w:t xml:space="preserve"> group development </w:t>
      </w:r>
      <w:r w:rsidRPr="3B717205" w:rsidR="3B717205">
        <w:rPr>
          <w:rFonts w:ascii="Arial" w:hAnsi="Arial" w:eastAsia="Arial" w:cs="Arial"/>
          <w:sz w:val="24"/>
          <w:szCs w:val="24"/>
        </w:rPr>
        <w:t xml:space="preserve">according to Miller (2003) there </w:t>
      </w:r>
      <w:r w:rsidRPr="3B717205" w:rsidR="3B717205">
        <w:rPr>
          <w:rFonts w:ascii="Arial" w:hAnsi="Arial" w:eastAsia="Arial" w:cs="Arial"/>
          <w:sz w:val="24"/>
          <w:szCs w:val="24"/>
        </w:rPr>
        <w:t>are the four steps a team goes through to work well together</w:t>
      </w:r>
      <w:r w:rsidRPr="3B717205" w:rsidR="3B717205">
        <w:rPr>
          <w:rFonts w:ascii="Arial" w:hAnsi="Arial" w:eastAsia="Arial" w:cs="Arial"/>
          <w:sz w:val="24"/>
          <w:szCs w:val="24"/>
        </w:rPr>
        <w:t xml:space="preserve"> when following Tuckman's Theory</w:t>
      </w:r>
      <w:r w:rsidRPr="3B717205" w:rsidR="3B717205">
        <w:rPr>
          <w:rFonts w:ascii="Arial" w:hAnsi="Arial" w:eastAsia="Arial" w:cs="Arial"/>
          <w:sz w:val="24"/>
          <w:szCs w:val="24"/>
        </w:rPr>
        <w:t xml:space="preserve">. The four stages are forming, storming, norming and performing each stage must be completed in order to reach </w:t>
      </w:r>
      <w:r w:rsidRPr="3B717205" w:rsidR="3B717205">
        <w:rPr>
          <w:rFonts w:ascii="Arial" w:hAnsi="Arial" w:eastAsia="Arial" w:cs="Arial"/>
          <w:sz w:val="24"/>
          <w:szCs w:val="24"/>
        </w:rPr>
        <w:t>th</w:t>
      </w:r>
      <w:r w:rsidRPr="3B717205" w:rsidR="3B717205">
        <w:rPr>
          <w:rFonts w:ascii="Arial" w:hAnsi="Arial" w:eastAsia="Arial" w:cs="Arial"/>
          <w:sz w:val="24"/>
          <w:szCs w:val="24"/>
        </w:rPr>
        <w:t xml:space="preserve">e performing stage according to Tuckman.  </w:t>
      </w:r>
      <w:proofErr w:type="spellStart"/>
      <w:r w:rsidRPr="3B717205" w:rsidR="3B717205">
        <w:rPr>
          <w:rFonts w:ascii="Arial" w:hAnsi="Arial" w:eastAsia="Arial" w:cs="Arial"/>
          <w:sz w:val="24"/>
          <w:szCs w:val="24"/>
        </w:rPr>
        <w:t>Wardale</w:t>
      </w:r>
      <w:proofErr w:type="spellEnd"/>
      <w:r w:rsidRPr="3B717205" w:rsidR="3B717205">
        <w:rPr>
          <w:rFonts w:ascii="Arial" w:hAnsi="Arial" w:eastAsia="Arial" w:cs="Arial"/>
          <w:sz w:val="24"/>
          <w:szCs w:val="24"/>
        </w:rPr>
        <w:t xml:space="preserve"> (2013) explains the first step in Tuckman's theory of group development which is Forming, Tuckman believes every team must go through this step to get to the next step forming is the initial meeting of the group. The theory is described by </w:t>
      </w:r>
      <w:proofErr w:type="spellStart"/>
      <w:r w:rsidRPr="3B717205" w:rsidR="3B717205">
        <w:rPr>
          <w:rFonts w:ascii="Arial" w:hAnsi="Arial" w:eastAsia="Arial" w:cs="Arial"/>
          <w:sz w:val="24"/>
          <w:szCs w:val="24"/>
        </w:rPr>
        <w:t>Wardale</w:t>
      </w:r>
      <w:proofErr w:type="spellEnd"/>
      <w:r w:rsidRPr="3B717205" w:rsidR="3B717205">
        <w:rPr>
          <w:rFonts w:ascii="Arial" w:hAnsi="Arial" w:eastAsia="Arial" w:cs="Arial"/>
          <w:sz w:val="24"/>
          <w:szCs w:val="24"/>
        </w:rPr>
        <w:t xml:space="preserve"> as a normal pattern for groups and teams to go through in order to achieve the performing stage. As forming is the first stage it is when the team is first allocated and given a task or problem to solve and where more often than not the team will act as individuals rather than as a team as they are yet to integrate properly with the team. As I wasn’t there on the first day the team was formed, I had a disadvantage therefore on the second day I was still forming with the group it took longer than other groups for our team to form as we were all individual personalities that has to learn to work together. McGrew et al (1999) describes the forming stage as the planning and bonding stage for my group I felt this stage was pieced apart for the first 2 days and came together very slowly as by half way through the second day we were still yet to bond and get on and agree on how we led and the task at hand and navigating ourselves as a group. Once we had formed as a group at the end of the second day and found some mutual ground the third day, we attended we were then able to move to the second stage of group development known as storming. Hall (2007) describes storming according to Tuckman's theory as the group starting to work together as a team to address the current task and suggesting ideas. This phase is where group members find their role in the group and make and break relationships with others in the group. At first on the end of the second day it was clear there was a tense relationship between the first and second years as there was a disagreement on how we should lead however on the start of the third day it was clear we had all learnt from the previous experience, we started to use each other ideas to overcome obstacles on our way. The third step in Tuckman's theory is Norming, Kozlowski and</w:t>
      </w:r>
      <w:r w:rsidRPr="3B717205" w:rsidR="3B717205">
        <w:rPr>
          <w:rFonts w:ascii="Arial" w:hAnsi="Arial" w:eastAsia="Arial" w:cs="Arial"/>
          <w:noProof w:val="0"/>
          <w:color w:val="000000" w:themeColor="text1" w:themeTint="FF" w:themeShade="FF"/>
          <w:sz w:val="24"/>
          <w:szCs w:val="24"/>
          <w:lang w:val="en-GB"/>
        </w:rPr>
        <w:t xml:space="preserve"> </w:t>
      </w:r>
      <w:proofErr w:type="spellStart"/>
      <w:r w:rsidRPr="3B717205" w:rsidR="3B717205">
        <w:rPr>
          <w:rFonts w:ascii="Arial" w:hAnsi="Arial" w:eastAsia="Arial" w:cs="Arial"/>
          <w:noProof w:val="0"/>
          <w:color w:val="000000" w:themeColor="text1" w:themeTint="FF" w:themeShade="FF"/>
          <w:sz w:val="24"/>
          <w:szCs w:val="24"/>
          <w:lang w:val="en-GB"/>
        </w:rPr>
        <w:t>Ilgen</w:t>
      </w:r>
      <w:proofErr w:type="spellEnd"/>
      <w:r w:rsidRPr="3B717205" w:rsidR="3B717205">
        <w:rPr>
          <w:rFonts w:ascii="Arial" w:hAnsi="Arial" w:eastAsia="Arial" w:cs="Arial"/>
          <w:noProof w:val="0"/>
          <w:color w:val="000000" w:themeColor="text1" w:themeTint="FF" w:themeShade="FF"/>
          <w:sz w:val="24"/>
          <w:szCs w:val="24"/>
          <w:lang w:val="en-GB"/>
        </w:rPr>
        <w:t>,</w:t>
      </w:r>
      <w:r w:rsidRPr="3B717205" w:rsidR="3B717205">
        <w:rPr>
          <w:rFonts w:ascii="Arial" w:hAnsi="Arial" w:eastAsia="Arial" w:cs="Arial"/>
          <w:sz w:val="24"/>
          <w:szCs w:val="24"/>
        </w:rPr>
        <w:t xml:space="preserve"> (2006) goes on to continue from the other steps previously mentioned and concentrate on norming. Kozlowski describes norming as a step towards a well working team and the step where team begins to build trust and have a flow and start to work together effectively this step can either bring out a lack of creativity or a sense of responsibility within the team. In our group I felt this stage was achieved on the third day as we started to work together and help each other up hills and wait for each other and come up with alternative routes due to weather conditions. The final stage of Tuckman's theory is Performing, this stage is the final stage and is the essential stage to reach a high achieving team, some teams never achieve this stage, </w:t>
      </w:r>
      <w:proofErr w:type="spellStart"/>
      <w:r w:rsidRPr="3B717205" w:rsidR="3B717205">
        <w:rPr>
          <w:rFonts w:ascii="Arial" w:hAnsi="Arial" w:eastAsia="Arial" w:cs="Arial"/>
          <w:sz w:val="24"/>
          <w:szCs w:val="24"/>
        </w:rPr>
        <w:t>Akoumianakis</w:t>
      </w:r>
      <w:proofErr w:type="spellEnd"/>
      <w:r w:rsidRPr="3B717205" w:rsidR="3B717205">
        <w:rPr>
          <w:rFonts w:ascii="Arial" w:hAnsi="Arial" w:eastAsia="Arial" w:cs="Arial"/>
          <w:sz w:val="24"/>
          <w:szCs w:val="24"/>
        </w:rPr>
        <w:t xml:space="preserve"> (2010). I found that our team reached this stage on the fourth and final day we were down from 9 people to 5 but as the weather was challenging, we changed our route and worked together to get us where we needed to be and adapted our leadership skills as there was only five of us and used everyone's skills and knowledge and worked as more of a group towards the end however we could have reached this goal sooner if we had worked better at the beginning. </w:t>
      </w:r>
    </w:p>
    <w:bookmarkEnd w:id="0"/>
    <w:p w:rsidR="01B0D14A" w:rsidP="3B717205" w:rsidRDefault="01B0D14A" w14:paraId="7A87B841" w14:textId="6166E4FA">
      <w:pPr>
        <w:pStyle w:val="Normal"/>
        <w:jc w:val="both"/>
        <w:rPr>
          <w:rFonts w:ascii="Arial" w:hAnsi="Arial" w:eastAsia="Arial" w:cs="Arial"/>
          <w:sz w:val="24"/>
          <w:szCs w:val="24"/>
        </w:rPr>
      </w:pPr>
      <w:r w:rsidRPr="3B717205" w:rsidR="3B717205">
        <w:rPr>
          <w:rFonts w:ascii="Arial" w:hAnsi="Arial" w:eastAsia="Arial" w:cs="Arial"/>
          <w:sz w:val="24"/>
          <w:szCs w:val="24"/>
        </w:rPr>
        <w:t xml:space="preserve">Finally, the last theory to apply to my performance and overall role within the group is Belbin's team roles. Belbin (2010) believes each individual within a team has one or more roles that fit one of nine that he has listed with attributes and weakness of each role. These nine roles are, Resource Investigator, Team worker, Co- Ordinator, Plant, Monitor evaluator, Specialist, Shaper, Implementer and Complete finisher. Belbin believes an individual can have more than one of these traits but each person has at least one they share attributes with. Personally, I felt that two roles from Belbin's team roles accurately described by role within a team. The two roles I felt most applied to me for the duration of the activity were Team worker and Resource Investigator. I felt for the first 2 days I took on a team worker role as I tried to bond with the first years and include them instead of taking control and leading I preferred to try and include the first years in the decisions being made and try to use their skills and knowledge to complete the task. Belbin expresses the strengths of a team worker include listening and co-operative and perceptive however possess weaknesses such as indecisiveness and avoiding confrontation. I felt this well described my performance for the first two days I attended as I had missed the first day so tried to get on with everyone and tried to avoid confrontation.  I also felt Resource Investigator described my performance on the last day accurately,  I came up with the idea to change routes on the last day due to the bad weather and blocked paths and help think of alternative routes that would lead on to our original path, we also had gone the wrong way so helped find a path that would lead us back on track. Belbin describes a Resource Investigators strength as outgoing, enthusiastic and explores opportunities which I felt well described my performance on the last day. However, the weaknesses </w:t>
      </w:r>
      <w:proofErr w:type="gramStart"/>
      <w:r w:rsidRPr="3B717205" w:rsidR="3B717205">
        <w:rPr>
          <w:rFonts w:ascii="Arial" w:hAnsi="Arial" w:eastAsia="Arial" w:cs="Arial"/>
          <w:sz w:val="24"/>
          <w:szCs w:val="24"/>
        </w:rPr>
        <w:t>of</w:t>
      </w:r>
      <w:proofErr w:type="gramEnd"/>
      <w:r w:rsidRPr="3B717205" w:rsidR="3B717205">
        <w:rPr>
          <w:rFonts w:ascii="Arial" w:hAnsi="Arial" w:eastAsia="Arial" w:cs="Arial"/>
          <w:sz w:val="24"/>
          <w:szCs w:val="24"/>
        </w:rPr>
        <w:t xml:space="preserve"> this role are being overly optimistic and easily </w:t>
      </w:r>
      <w:r w:rsidRPr="3B717205" w:rsidR="3B717205">
        <w:rPr>
          <w:rFonts w:ascii="Arial" w:hAnsi="Arial" w:eastAsia="Arial" w:cs="Arial"/>
          <w:sz w:val="24"/>
          <w:szCs w:val="24"/>
        </w:rPr>
        <w:t xml:space="preserve">losing </w:t>
      </w:r>
      <w:r w:rsidRPr="3B717205" w:rsidR="3B717205">
        <w:rPr>
          <w:rFonts w:ascii="Arial" w:hAnsi="Arial" w:eastAsia="Arial" w:cs="Arial"/>
          <w:sz w:val="24"/>
          <w:szCs w:val="24"/>
        </w:rPr>
        <w:t xml:space="preserve">interest when excitement and enthusiasm pass. Gander et al (2018) describes Belbin's team roles as a guide to individuals' personalities and habits when in a group but their roles can change depend on what activity they are undertaking. If I was knowledgeable on the activity I may have taken on a different role and been able to give more valuable knowledge to the group and taken on more of a leadership role. </w:t>
      </w:r>
    </w:p>
    <w:p w:rsidR="01B0D14A" w:rsidP="3B717205" w:rsidRDefault="01B0D14A" w14:paraId="1594294F" w14:textId="547DD733">
      <w:pPr>
        <w:pStyle w:val="Normal"/>
        <w:jc w:val="both"/>
        <w:rPr>
          <w:rFonts w:ascii="Arial" w:hAnsi="Arial" w:eastAsia="Arial" w:cs="Arial"/>
          <w:sz w:val="24"/>
          <w:szCs w:val="24"/>
        </w:rPr>
      </w:pPr>
    </w:p>
    <w:p w:rsidR="01B0D14A" w:rsidP="3B717205" w:rsidRDefault="01B0D14A" w14:paraId="577773FF" w14:textId="264C2E3F">
      <w:pPr>
        <w:pStyle w:val="Normal"/>
        <w:jc w:val="both"/>
        <w:rPr>
          <w:rFonts w:ascii="Arial" w:hAnsi="Arial" w:eastAsia="Arial" w:cs="Arial"/>
          <w:sz w:val="24"/>
          <w:szCs w:val="24"/>
        </w:rPr>
      </w:pPr>
      <w:r w:rsidRPr="3B717205" w:rsidR="3B717205">
        <w:rPr>
          <w:rFonts w:ascii="Arial" w:hAnsi="Arial" w:eastAsia="Arial" w:cs="Arial"/>
          <w:sz w:val="24"/>
          <w:szCs w:val="24"/>
        </w:rPr>
        <w:t xml:space="preserve">REFERENCE LIST </w:t>
      </w:r>
    </w:p>
    <w:p w:rsidR="01B0D14A" w:rsidP="3B717205" w:rsidRDefault="01B0D14A" w14:paraId="17AAA3AA" w14:textId="13B11B59">
      <w:pPr>
        <w:pStyle w:val="Normal"/>
        <w:jc w:val="both"/>
        <w:rPr>
          <w:rFonts w:ascii="Arial" w:hAnsi="Arial" w:eastAsia="Arial" w:cs="Arial"/>
          <w:sz w:val="24"/>
          <w:szCs w:val="24"/>
        </w:rPr>
      </w:pPr>
      <w:proofErr w:type="spellStart"/>
      <w:r w:rsidRPr="3B717205" w:rsidR="3B717205">
        <w:rPr>
          <w:rFonts w:ascii="Arial" w:hAnsi="Arial" w:eastAsia="Arial" w:cs="Arial"/>
          <w:noProof w:val="0"/>
          <w:color w:val="000000" w:themeColor="text1" w:themeTint="FF" w:themeShade="FF"/>
          <w:sz w:val="24"/>
          <w:szCs w:val="24"/>
          <w:lang w:val="en-GB"/>
        </w:rPr>
        <w:t>Akoumianakis</w:t>
      </w:r>
      <w:proofErr w:type="spellEnd"/>
      <w:r w:rsidRPr="3B717205" w:rsidR="3B717205">
        <w:rPr>
          <w:rFonts w:ascii="Arial" w:hAnsi="Arial" w:eastAsia="Arial" w:cs="Arial"/>
          <w:noProof w:val="0"/>
          <w:color w:val="000000" w:themeColor="text1" w:themeTint="FF" w:themeShade="FF"/>
          <w:sz w:val="24"/>
          <w:szCs w:val="24"/>
          <w:lang w:val="en-GB"/>
        </w:rPr>
        <w:t xml:space="preserve">, D. (2010). Electronic community factories: the model and its application </w:t>
      </w:r>
      <w:proofErr w:type="gramStart"/>
      <w:r w:rsidRPr="3B717205" w:rsidR="3B717205">
        <w:rPr>
          <w:rFonts w:ascii="Arial" w:hAnsi="Arial" w:eastAsia="Arial" w:cs="Arial"/>
          <w:noProof w:val="0"/>
          <w:color w:val="000000" w:themeColor="text1" w:themeTint="FF" w:themeShade="FF"/>
          <w:sz w:val="24"/>
          <w:szCs w:val="24"/>
          <w:lang w:val="en-GB"/>
        </w:rPr>
        <w:t>in</w:t>
      </w:r>
      <w:proofErr w:type="gramEnd"/>
      <w:r w:rsidRPr="3B717205" w:rsidR="3B717205">
        <w:rPr>
          <w:rFonts w:ascii="Arial" w:hAnsi="Arial" w:eastAsia="Arial" w:cs="Arial"/>
          <w:noProof w:val="0"/>
          <w:color w:val="000000" w:themeColor="text1" w:themeTint="FF" w:themeShade="FF"/>
          <w:sz w:val="24"/>
          <w:szCs w:val="24"/>
          <w:lang w:val="en-GB"/>
        </w:rPr>
        <w:t xml:space="preserve"> the tourism sector. </w:t>
      </w:r>
      <w:r w:rsidRPr="3B717205" w:rsidR="3B717205">
        <w:rPr>
          <w:rFonts w:ascii="Arial" w:hAnsi="Arial" w:eastAsia="Arial" w:cs="Arial"/>
          <w:i w:val="1"/>
          <w:iCs w:val="1"/>
          <w:noProof w:val="0"/>
          <w:color w:val="000000" w:themeColor="text1" w:themeTint="FF" w:themeShade="FF"/>
          <w:sz w:val="24"/>
          <w:szCs w:val="24"/>
          <w:lang w:val="en-GB"/>
        </w:rPr>
        <w:t>Electronic Commerce Research</w:t>
      </w:r>
      <w:r w:rsidRPr="3B717205" w:rsidR="3B717205">
        <w:rPr>
          <w:rFonts w:ascii="Arial" w:hAnsi="Arial" w:eastAsia="Arial" w:cs="Arial"/>
          <w:noProof w:val="0"/>
          <w:color w:val="000000" w:themeColor="text1" w:themeTint="FF" w:themeShade="FF"/>
          <w:sz w:val="24"/>
          <w:szCs w:val="24"/>
          <w:lang w:val="en-GB"/>
        </w:rPr>
        <w:t xml:space="preserve">, 10(1), pp.43-81. </w:t>
      </w:r>
      <w:r w:rsidRPr="3B717205" w:rsidR="3B717205">
        <w:rPr>
          <w:rFonts w:ascii="Arial" w:hAnsi="Arial" w:eastAsia="Arial" w:cs="Arial"/>
          <w:sz w:val="24"/>
          <w:szCs w:val="24"/>
        </w:rPr>
        <w:t xml:space="preserve">[Accessed </w:t>
      </w:r>
      <w:r w:rsidRPr="3B717205" w:rsidR="3B717205">
        <w:rPr>
          <w:rFonts w:ascii="Arial" w:hAnsi="Arial" w:eastAsia="Arial" w:cs="Arial"/>
          <w:sz w:val="24"/>
          <w:szCs w:val="24"/>
        </w:rPr>
        <w:t>15</w:t>
      </w:r>
      <w:r w:rsidRPr="3B717205" w:rsidR="3B717205">
        <w:rPr>
          <w:rFonts w:ascii="Arial" w:hAnsi="Arial" w:eastAsia="Arial" w:cs="Arial"/>
          <w:sz w:val="24"/>
          <w:szCs w:val="24"/>
        </w:rPr>
        <w:t xml:space="preserve"> April]</w:t>
      </w:r>
    </w:p>
    <w:p w:rsidR="01B0D14A" w:rsidP="3B717205" w:rsidRDefault="01B0D14A" w14:paraId="716E354D" w14:textId="1AB4D94F">
      <w:pPr>
        <w:pStyle w:val="Normal"/>
        <w:jc w:val="both"/>
        <w:rPr>
          <w:rFonts w:ascii="Arial" w:hAnsi="Arial" w:eastAsia="Arial" w:cs="Arial"/>
          <w:sz w:val="24"/>
          <w:szCs w:val="24"/>
        </w:rPr>
      </w:pPr>
      <w:r w:rsidRPr="3B717205" w:rsidR="3B717205">
        <w:rPr>
          <w:rFonts w:ascii="Arial" w:hAnsi="Arial" w:eastAsia="Arial" w:cs="Arial"/>
          <w:noProof w:val="0"/>
          <w:color w:val="000000" w:themeColor="text1" w:themeTint="FF" w:themeShade="FF"/>
          <w:sz w:val="24"/>
          <w:szCs w:val="24"/>
          <w:lang w:val="en-GB"/>
        </w:rPr>
        <w:t xml:space="preserve">Belbin, R. (2010). </w:t>
      </w:r>
      <w:r w:rsidRPr="3B717205" w:rsidR="3B717205">
        <w:rPr>
          <w:rFonts w:ascii="Arial" w:hAnsi="Arial" w:eastAsia="Arial" w:cs="Arial"/>
          <w:i w:val="1"/>
          <w:iCs w:val="1"/>
          <w:noProof w:val="0"/>
          <w:color w:val="000000" w:themeColor="text1" w:themeTint="FF" w:themeShade="FF"/>
          <w:sz w:val="24"/>
          <w:szCs w:val="24"/>
          <w:lang w:val="en-GB"/>
        </w:rPr>
        <w:t>Management teams</w:t>
      </w:r>
      <w:r w:rsidRPr="3B717205" w:rsidR="3B717205">
        <w:rPr>
          <w:rFonts w:ascii="Arial" w:hAnsi="Arial" w:eastAsia="Arial" w:cs="Arial"/>
          <w:noProof w:val="0"/>
          <w:color w:val="000000" w:themeColor="text1" w:themeTint="FF" w:themeShade="FF"/>
          <w:sz w:val="24"/>
          <w:szCs w:val="24"/>
          <w:lang w:val="en-GB"/>
        </w:rPr>
        <w:t xml:space="preserve">. Oxford, U.K.: Butterworth-Heinemann. </w:t>
      </w:r>
      <w:r w:rsidRPr="3B717205" w:rsidR="3B717205">
        <w:rPr>
          <w:rFonts w:ascii="Arial" w:hAnsi="Arial" w:eastAsia="Arial" w:cs="Arial"/>
          <w:sz w:val="24"/>
          <w:szCs w:val="24"/>
        </w:rPr>
        <w:t>[Accessed 15 April]</w:t>
      </w:r>
    </w:p>
    <w:p w:rsidR="01B0D14A" w:rsidP="3B717205" w:rsidRDefault="01B0D14A" w14:paraId="75E90A62" w14:textId="6778F5DE">
      <w:pPr>
        <w:pStyle w:val="Heading3"/>
        <w:rPr>
          <w:rFonts w:ascii="Arial" w:hAnsi="Arial" w:eastAsia="Arial" w:cs="Arial"/>
          <w:sz w:val="24"/>
          <w:szCs w:val="24"/>
        </w:rPr>
      </w:pPr>
      <w:r w:rsidRPr="3B717205" w:rsidR="3B717205">
        <w:rPr>
          <w:rFonts w:ascii="Arial" w:hAnsi="Arial" w:eastAsia="Arial" w:cs="Arial"/>
          <w:color w:val="000000" w:themeColor="text1" w:themeTint="FF" w:themeShade="FF"/>
          <w:sz w:val="24"/>
          <w:szCs w:val="24"/>
        </w:rPr>
        <w:t xml:space="preserve">Bloomfield, A. (2018). Reflective Practice and Learning from Mistakes in Social Work. </w:t>
      </w:r>
      <w:r w:rsidRPr="3B717205" w:rsidR="3B717205">
        <w:rPr>
          <w:rFonts w:ascii="Arial" w:hAnsi="Arial" w:eastAsia="Arial" w:cs="Arial"/>
          <w:i w:val="1"/>
          <w:iCs w:val="1"/>
          <w:color w:val="000000" w:themeColor="text1" w:themeTint="FF" w:themeShade="FF"/>
          <w:sz w:val="24"/>
          <w:szCs w:val="24"/>
        </w:rPr>
        <w:t>Practice</w:t>
      </w:r>
      <w:r w:rsidRPr="3B717205" w:rsidR="3B717205">
        <w:rPr>
          <w:rFonts w:ascii="Arial" w:hAnsi="Arial" w:eastAsia="Arial" w:cs="Arial"/>
          <w:color w:val="000000" w:themeColor="text1" w:themeTint="FF" w:themeShade="FF"/>
          <w:sz w:val="24"/>
          <w:szCs w:val="24"/>
        </w:rPr>
        <w:t xml:space="preserve">, 31(1), pp.78-80. </w:t>
      </w:r>
      <w:r w:rsidRPr="3B717205" w:rsidR="3B717205">
        <w:rPr>
          <w:rFonts w:ascii="Arial" w:hAnsi="Arial" w:eastAsia="Arial" w:cs="Arial"/>
          <w:sz w:val="24"/>
          <w:szCs w:val="24"/>
        </w:rPr>
        <w:t>[Accessed 3 April]</w:t>
      </w:r>
    </w:p>
    <w:p w:rsidR="3B717205" w:rsidP="3B717205" w:rsidRDefault="3B717205" w14:paraId="433F8DCA" w14:textId="195E93B1">
      <w:pPr>
        <w:pStyle w:val="Normal"/>
        <w:jc w:val="both"/>
        <w:rPr>
          <w:rFonts w:ascii="Arial" w:hAnsi="Arial" w:eastAsia="Arial" w:cs="Arial"/>
          <w:noProof w:val="0"/>
          <w:color w:val="000000" w:themeColor="text1" w:themeTint="FF" w:themeShade="FF"/>
          <w:sz w:val="24"/>
          <w:szCs w:val="24"/>
          <w:lang w:val="en-GB"/>
        </w:rPr>
      </w:pPr>
    </w:p>
    <w:p w:rsidR="3B717205" w:rsidP="3B717205" w:rsidRDefault="3B717205" w14:paraId="18DC431B" w14:textId="38E91891">
      <w:pPr>
        <w:pStyle w:val="Normal"/>
        <w:jc w:val="both"/>
        <w:rPr>
          <w:rFonts w:ascii="Arial" w:hAnsi="Arial" w:eastAsia="Arial" w:cs="Arial"/>
          <w:noProof w:val="0"/>
          <w:color w:val="000000" w:themeColor="text1" w:themeTint="FF" w:themeShade="FF"/>
          <w:sz w:val="24"/>
          <w:szCs w:val="24"/>
          <w:lang w:val="en-GB"/>
        </w:rPr>
      </w:pPr>
      <w:r w:rsidRPr="3B717205" w:rsidR="3B717205">
        <w:rPr>
          <w:rFonts w:ascii="Arial" w:hAnsi="Arial" w:eastAsia="Arial" w:cs="Arial"/>
          <w:noProof w:val="0"/>
          <w:color w:val="000000" w:themeColor="text1" w:themeTint="FF" w:themeShade="FF"/>
          <w:sz w:val="24"/>
          <w:szCs w:val="24"/>
          <w:lang w:val="en-GB"/>
        </w:rPr>
        <w:t xml:space="preserve">Gander, F., Ruch, W., Platt, T., Hofmann, J. and Elmer, T. (2018). Current and ideal team roles: Relationships </w:t>
      </w:r>
      <w:proofErr w:type="gramStart"/>
      <w:r w:rsidRPr="3B717205" w:rsidR="3B717205">
        <w:rPr>
          <w:rFonts w:ascii="Arial" w:hAnsi="Arial" w:eastAsia="Arial" w:cs="Arial"/>
          <w:noProof w:val="0"/>
          <w:color w:val="000000" w:themeColor="text1" w:themeTint="FF" w:themeShade="FF"/>
          <w:sz w:val="24"/>
          <w:szCs w:val="24"/>
          <w:lang w:val="en-GB"/>
        </w:rPr>
        <w:t>to</w:t>
      </w:r>
      <w:proofErr w:type="gramEnd"/>
      <w:r w:rsidRPr="3B717205" w:rsidR="3B717205">
        <w:rPr>
          <w:rFonts w:ascii="Arial" w:hAnsi="Arial" w:eastAsia="Arial" w:cs="Arial"/>
          <w:noProof w:val="0"/>
          <w:color w:val="000000" w:themeColor="text1" w:themeTint="FF" w:themeShade="FF"/>
          <w:sz w:val="24"/>
          <w:szCs w:val="24"/>
          <w:lang w:val="en-GB"/>
        </w:rPr>
        <w:t xml:space="preserve"> job satisfaction and calling. </w:t>
      </w:r>
      <w:r w:rsidRPr="3B717205" w:rsidR="3B717205">
        <w:rPr>
          <w:rFonts w:ascii="Arial" w:hAnsi="Arial" w:eastAsia="Arial" w:cs="Arial"/>
          <w:i w:val="1"/>
          <w:iCs w:val="1"/>
          <w:noProof w:val="0"/>
          <w:color w:val="000000" w:themeColor="text1" w:themeTint="FF" w:themeShade="FF"/>
          <w:sz w:val="24"/>
          <w:szCs w:val="24"/>
          <w:lang w:val="en-GB"/>
        </w:rPr>
        <w:t>Translational Issues in Psychological Science</w:t>
      </w:r>
      <w:r w:rsidRPr="3B717205" w:rsidR="3B717205">
        <w:rPr>
          <w:rFonts w:ascii="Arial" w:hAnsi="Arial" w:eastAsia="Arial" w:cs="Arial"/>
          <w:noProof w:val="0"/>
          <w:color w:val="000000" w:themeColor="text1" w:themeTint="FF" w:themeShade="FF"/>
          <w:sz w:val="24"/>
          <w:szCs w:val="24"/>
          <w:lang w:val="en-GB"/>
        </w:rPr>
        <w:t>, 4(3), pp.277-289.</w:t>
      </w:r>
    </w:p>
    <w:p w:rsidR="3B717205" w:rsidP="3B717205" w:rsidRDefault="3B717205" w14:paraId="62BB8E72" w14:textId="6276CCDE">
      <w:pPr>
        <w:pStyle w:val="Normal"/>
        <w:jc w:val="both"/>
        <w:rPr>
          <w:rFonts w:ascii="Arial" w:hAnsi="Arial" w:eastAsia="Arial" w:cs="Arial"/>
          <w:sz w:val="24"/>
          <w:szCs w:val="24"/>
        </w:rPr>
      </w:pPr>
      <w:r w:rsidRPr="3B717205" w:rsidR="3B717205">
        <w:rPr>
          <w:rFonts w:ascii="Arial" w:hAnsi="Arial" w:eastAsia="Arial" w:cs="Arial"/>
          <w:noProof w:val="0"/>
          <w:color w:val="000000" w:themeColor="text1" w:themeTint="FF" w:themeShade="FF"/>
          <w:sz w:val="24"/>
          <w:szCs w:val="24"/>
          <w:lang w:val="en-GB"/>
        </w:rPr>
        <w:t xml:space="preserve">Godfrey, S. and Winter, S. (2017). Winning Mentality: A Reflective Account </w:t>
      </w:r>
      <w:proofErr w:type="gramStart"/>
      <w:r w:rsidRPr="3B717205" w:rsidR="3B717205">
        <w:rPr>
          <w:rFonts w:ascii="Arial" w:hAnsi="Arial" w:eastAsia="Arial" w:cs="Arial"/>
          <w:noProof w:val="0"/>
          <w:color w:val="000000" w:themeColor="text1" w:themeTint="FF" w:themeShade="FF"/>
          <w:sz w:val="24"/>
          <w:szCs w:val="24"/>
          <w:lang w:val="en-GB"/>
        </w:rPr>
        <w:t>of</w:t>
      </w:r>
      <w:proofErr w:type="gramEnd"/>
      <w:r w:rsidRPr="3B717205" w:rsidR="3B717205">
        <w:rPr>
          <w:rFonts w:ascii="Arial" w:hAnsi="Arial" w:eastAsia="Arial" w:cs="Arial"/>
          <w:noProof w:val="0"/>
          <w:color w:val="000000" w:themeColor="text1" w:themeTint="FF" w:themeShade="FF"/>
          <w:sz w:val="24"/>
          <w:szCs w:val="24"/>
          <w:lang w:val="en-GB"/>
        </w:rPr>
        <w:t xml:space="preserve"> Delivery </w:t>
      </w:r>
      <w:proofErr w:type="gramStart"/>
      <w:r w:rsidRPr="3B717205" w:rsidR="3B717205">
        <w:rPr>
          <w:rFonts w:ascii="Arial" w:hAnsi="Arial" w:eastAsia="Arial" w:cs="Arial"/>
          <w:noProof w:val="0"/>
          <w:color w:val="000000" w:themeColor="text1" w:themeTint="FF" w:themeShade="FF"/>
          <w:sz w:val="24"/>
          <w:szCs w:val="24"/>
          <w:lang w:val="en-GB"/>
        </w:rPr>
        <w:t>to</w:t>
      </w:r>
      <w:proofErr w:type="gramEnd"/>
      <w:r w:rsidRPr="3B717205" w:rsidR="3B717205">
        <w:rPr>
          <w:rFonts w:ascii="Arial" w:hAnsi="Arial" w:eastAsia="Arial" w:cs="Arial"/>
          <w:noProof w:val="0"/>
          <w:color w:val="000000" w:themeColor="text1" w:themeTint="FF" w:themeShade="FF"/>
          <w:sz w:val="24"/>
          <w:szCs w:val="24"/>
          <w:lang w:val="en-GB"/>
        </w:rPr>
        <w:t xml:space="preserve"> a Professional Football Academy. </w:t>
      </w:r>
      <w:r w:rsidRPr="3B717205" w:rsidR="3B717205">
        <w:rPr>
          <w:rFonts w:ascii="Arial" w:hAnsi="Arial" w:eastAsia="Arial" w:cs="Arial"/>
          <w:i w:val="1"/>
          <w:iCs w:val="1"/>
          <w:noProof w:val="0"/>
          <w:color w:val="000000" w:themeColor="text1" w:themeTint="FF" w:themeShade="FF"/>
          <w:sz w:val="24"/>
          <w:szCs w:val="24"/>
          <w:lang w:val="en-GB"/>
        </w:rPr>
        <w:t>Case Studies in Sport and Exercise Psychology</w:t>
      </w:r>
      <w:r w:rsidRPr="3B717205" w:rsidR="3B717205">
        <w:rPr>
          <w:rFonts w:ascii="Arial" w:hAnsi="Arial" w:eastAsia="Arial" w:cs="Arial"/>
          <w:noProof w:val="0"/>
          <w:color w:val="000000" w:themeColor="text1" w:themeTint="FF" w:themeShade="FF"/>
          <w:sz w:val="24"/>
          <w:szCs w:val="24"/>
          <w:lang w:val="en-GB"/>
        </w:rPr>
        <w:t>, 1(1), pp.63-75.</w:t>
      </w:r>
      <w:r w:rsidRPr="3B717205" w:rsidR="3B717205">
        <w:rPr>
          <w:rFonts w:ascii="Arial" w:hAnsi="Arial" w:eastAsia="Arial" w:cs="Arial"/>
          <w:sz w:val="24"/>
          <w:szCs w:val="24"/>
        </w:rPr>
        <w:t xml:space="preserve"> </w:t>
      </w:r>
      <w:r w:rsidRPr="3B717205" w:rsidR="3B717205">
        <w:rPr>
          <w:rFonts w:ascii="Arial" w:hAnsi="Arial" w:eastAsia="Arial" w:cs="Arial"/>
          <w:sz w:val="24"/>
          <w:szCs w:val="24"/>
        </w:rPr>
        <w:t xml:space="preserve">[Accessed </w:t>
      </w:r>
      <w:r w:rsidRPr="3B717205" w:rsidR="3B717205">
        <w:rPr>
          <w:rFonts w:ascii="Arial" w:hAnsi="Arial" w:eastAsia="Arial" w:cs="Arial"/>
          <w:sz w:val="24"/>
          <w:szCs w:val="24"/>
        </w:rPr>
        <w:t xml:space="preserve">17 </w:t>
      </w:r>
      <w:r w:rsidRPr="3B717205" w:rsidR="3B717205">
        <w:rPr>
          <w:rFonts w:ascii="Arial" w:hAnsi="Arial" w:eastAsia="Arial" w:cs="Arial"/>
          <w:sz w:val="24"/>
          <w:szCs w:val="24"/>
        </w:rPr>
        <w:t>April]</w:t>
      </w:r>
    </w:p>
    <w:p w:rsidR="3B717205" w:rsidP="3B717205" w:rsidRDefault="3B717205" w14:paraId="19446818" w14:textId="109B37E4">
      <w:pPr>
        <w:pStyle w:val="Normal"/>
        <w:jc w:val="both"/>
        <w:rPr>
          <w:rFonts w:ascii="Arial" w:hAnsi="Arial" w:eastAsia="Arial" w:cs="Arial"/>
          <w:sz w:val="24"/>
          <w:szCs w:val="24"/>
        </w:rPr>
      </w:pPr>
      <w:r w:rsidRPr="3B717205" w:rsidR="3B717205">
        <w:rPr>
          <w:rFonts w:ascii="Arial" w:hAnsi="Arial" w:eastAsia="Arial" w:cs="Arial"/>
          <w:noProof w:val="0"/>
          <w:color w:val="000000" w:themeColor="text1" w:themeTint="FF" w:themeShade="FF"/>
          <w:sz w:val="24"/>
          <w:szCs w:val="24"/>
          <w:lang w:val="en-GB"/>
        </w:rPr>
        <w:t xml:space="preserve">Hall, J. (2007). Dynamic interactions between two models of team development and learning: Implications for performance and human resource managers. </w:t>
      </w:r>
      <w:r w:rsidRPr="3B717205" w:rsidR="3B717205">
        <w:rPr>
          <w:rFonts w:ascii="Arial" w:hAnsi="Arial" w:eastAsia="Arial" w:cs="Arial"/>
          <w:i w:val="1"/>
          <w:iCs w:val="1"/>
          <w:noProof w:val="0"/>
          <w:color w:val="000000" w:themeColor="text1" w:themeTint="FF" w:themeShade="FF"/>
          <w:sz w:val="24"/>
          <w:szCs w:val="24"/>
          <w:lang w:val="en-GB"/>
        </w:rPr>
        <w:t>Human Resource Development Quarterly</w:t>
      </w:r>
      <w:r w:rsidRPr="3B717205" w:rsidR="3B717205">
        <w:rPr>
          <w:rFonts w:ascii="Arial" w:hAnsi="Arial" w:eastAsia="Arial" w:cs="Arial"/>
          <w:noProof w:val="0"/>
          <w:color w:val="000000" w:themeColor="text1" w:themeTint="FF" w:themeShade="FF"/>
          <w:sz w:val="24"/>
          <w:szCs w:val="24"/>
          <w:lang w:val="en-GB"/>
        </w:rPr>
        <w:t>, 18(3), pp.421-430.</w:t>
      </w:r>
      <w:r w:rsidRPr="3B717205" w:rsidR="3B717205">
        <w:rPr>
          <w:rFonts w:ascii="Arial" w:hAnsi="Arial" w:eastAsia="Arial" w:cs="Arial"/>
          <w:sz w:val="24"/>
          <w:szCs w:val="24"/>
        </w:rPr>
        <w:t xml:space="preserve"> </w:t>
      </w:r>
      <w:r w:rsidRPr="3B717205" w:rsidR="3B717205">
        <w:rPr>
          <w:rFonts w:ascii="Arial" w:hAnsi="Arial" w:eastAsia="Arial" w:cs="Arial"/>
          <w:sz w:val="24"/>
          <w:szCs w:val="24"/>
        </w:rPr>
        <w:t>[Accessed 17 April]</w:t>
      </w:r>
    </w:p>
    <w:p w:rsidR="01B0D14A" w:rsidP="01B0D14A" w:rsidRDefault="2292C2A9" w14:paraId="2A3EBB60" w14:textId="6FA126AE">
      <w:pPr>
        <w:jc w:val="both"/>
        <w:rPr>
          <w:rFonts w:ascii="Arial" w:hAnsi="Arial" w:eastAsia="Arial" w:cs="Arial"/>
          <w:sz w:val="24"/>
          <w:szCs w:val="24"/>
        </w:rPr>
      </w:pPr>
      <w:proofErr w:type="spellStart"/>
      <w:r w:rsidRPr="2292C2A9">
        <w:rPr>
          <w:rFonts w:ascii="Arial" w:hAnsi="Arial" w:eastAsia="Arial" w:cs="Arial"/>
          <w:color w:val="000000" w:themeColor="text1"/>
          <w:sz w:val="24"/>
          <w:szCs w:val="24"/>
        </w:rPr>
        <w:t>Husebø</w:t>
      </w:r>
      <w:proofErr w:type="spellEnd"/>
      <w:r w:rsidRPr="2292C2A9">
        <w:rPr>
          <w:rFonts w:ascii="Arial" w:hAnsi="Arial" w:eastAsia="Arial" w:cs="Arial"/>
          <w:color w:val="000000" w:themeColor="text1"/>
          <w:sz w:val="24"/>
          <w:szCs w:val="24"/>
        </w:rPr>
        <w:t xml:space="preserve">, S., </w:t>
      </w:r>
      <w:proofErr w:type="spellStart"/>
      <w:r w:rsidRPr="2292C2A9">
        <w:rPr>
          <w:rFonts w:ascii="Arial" w:hAnsi="Arial" w:eastAsia="Arial" w:cs="Arial"/>
          <w:color w:val="000000" w:themeColor="text1"/>
          <w:sz w:val="24"/>
          <w:szCs w:val="24"/>
        </w:rPr>
        <w:t>O'Regan</w:t>
      </w:r>
      <w:proofErr w:type="spellEnd"/>
      <w:r w:rsidRPr="2292C2A9">
        <w:rPr>
          <w:rFonts w:ascii="Arial" w:hAnsi="Arial" w:eastAsia="Arial" w:cs="Arial"/>
          <w:color w:val="000000" w:themeColor="text1"/>
          <w:sz w:val="24"/>
          <w:szCs w:val="24"/>
        </w:rPr>
        <w:t xml:space="preserve">, S. and </w:t>
      </w:r>
      <w:proofErr w:type="spellStart"/>
      <w:r w:rsidRPr="2292C2A9">
        <w:rPr>
          <w:rFonts w:ascii="Arial" w:hAnsi="Arial" w:eastAsia="Arial" w:cs="Arial"/>
          <w:color w:val="000000" w:themeColor="text1"/>
          <w:sz w:val="24"/>
          <w:szCs w:val="24"/>
        </w:rPr>
        <w:t>Nestel</w:t>
      </w:r>
      <w:proofErr w:type="spellEnd"/>
      <w:r w:rsidRPr="2292C2A9">
        <w:rPr>
          <w:rFonts w:ascii="Arial" w:hAnsi="Arial" w:eastAsia="Arial" w:cs="Arial"/>
          <w:color w:val="000000" w:themeColor="text1"/>
          <w:sz w:val="24"/>
          <w:szCs w:val="24"/>
        </w:rPr>
        <w:t xml:space="preserve">, D. (2015). Reflective Practice and Its Role in Simulation. </w:t>
      </w:r>
      <w:r w:rsidRPr="2292C2A9">
        <w:rPr>
          <w:rFonts w:ascii="Arial" w:hAnsi="Arial" w:eastAsia="Arial" w:cs="Arial"/>
          <w:i/>
          <w:iCs/>
          <w:color w:val="000000" w:themeColor="text1"/>
          <w:sz w:val="24"/>
          <w:szCs w:val="24"/>
        </w:rPr>
        <w:t>Clinical Simulation in Nursing</w:t>
      </w:r>
      <w:r w:rsidRPr="2292C2A9">
        <w:rPr>
          <w:rFonts w:ascii="Arial" w:hAnsi="Arial" w:eastAsia="Arial" w:cs="Arial"/>
          <w:color w:val="000000" w:themeColor="text1"/>
          <w:sz w:val="24"/>
          <w:szCs w:val="24"/>
        </w:rPr>
        <w:t>, 11(8), pp.368-375.</w:t>
      </w:r>
      <w:r w:rsidRPr="2292C2A9">
        <w:rPr>
          <w:rFonts w:ascii="Arial" w:hAnsi="Arial" w:eastAsia="Arial" w:cs="Arial"/>
          <w:sz w:val="24"/>
          <w:szCs w:val="24"/>
        </w:rPr>
        <w:t xml:space="preserve"> [Accessed 3 April]</w:t>
      </w:r>
    </w:p>
    <w:p w:rsidR="2292C2A9" w:rsidP="2292C2A9" w:rsidRDefault="2292C2A9" w14:paraId="3F24EE2C" w14:textId="759DDD26">
      <w:pPr>
        <w:jc w:val="both"/>
        <w:rPr>
          <w:rFonts w:ascii="Arial" w:hAnsi="Arial" w:eastAsia="Arial" w:cs="Arial"/>
          <w:color w:val="000000" w:themeColor="text1"/>
          <w:sz w:val="24"/>
          <w:szCs w:val="24"/>
        </w:rPr>
      </w:pPr>
      <w:r w:rsidRPr="2292C2A9">
        <w:rPr>
          <w:rFonts w:ascii="Arial" w:hAnsi="Arial" w:eastAsia="Arial" w:cs="Arial"/>
          <w:color w:val="000000" w:themeColor="text1"/>
          <w:sz w:val="24"/>
          <w:szCs w:val="24"/>
        </w:rPr>
        <w:t xml:space="preserve">Jacobs, S. (2016). Reflective learning, reflective practice. </w:t>
      </w:r>
      <w:r w:rsidRPr="2292C2A9">
        <w:rPr>
          <w:rFonts w:ascii="Arial" w:hAnsi="Arial" w:eastAsia="Arial" w:cs="Arial"/>
          <w:i/>
          <w:iCs/>
          <w:color w:val="000000" w:themeColor="text1"/>
          <w:sz w:val="24"/>
          <w:szCs w:val="24"/>
        </w:rPr>
        <w:t>Nursing</w:t>
      </w:r>
      <w:r w:rsidRPr="2292C2A9">
        <w:rPr>
          <w:rFonts w:ascii="Arial" w:hAnsi="Arial" w:eastAsia="Arial" w:cs="Arial"/>
          <w:color w:val="000000" w:themeColor="text1"/>
          <w:sz w:val="24"/>
          <w:szCs w:val="24"/>
        </w:rPr>
        <w:t xml:space="preserve">, 46(5), pp.62-64. </w:t>
      </w:r>
      <w:r w:rsidRPr="2292C2A9">
        <w:rPr>
          <w:rFonts w:ascii="Arial" w:hAnsi="Arial" w:eastAsia="Arial" w:cs="Arial"/>
          <w:sz w:val="24"/>
          <w:szCs w:val="24"/>
        </w:rPr>
        <w:t>[Accessed 14 April]</w:t>
      </w:r>
    </w:p>
    <w:p w:rsidR="3B717205" w:rsidP="3B717205" w:rsidRDefault="3B717205" w14:paraId="02E7F6DF" w14:textId="213AFD64">
      <w:pPr>
        <w:jc w:val="both"/>
        <w:rPr>
          <w:rFonts w:ascii="Arial" w:hAnsi="Arial" w:eastAsia="Arial" w:cs="Arial"/>
          <w:sz w:val="24"/>
          <w:szCs w:val="24"/>
        </w:rPr>
      </w:pPr>
      <w:r w:rsidRPr="3B717205" w:rsidR="3B717205">
        <w:rPr>
          <w:rFonts w:ascii="Arial" w:hAnsi="Arial" w:eastAsia="Arial" w:cs="Arial"/>
          <w:color w:val="000000" w:themeColor="text1" w:themeTint="FF" w:themeShade="FF"/>
          <w:sz w:val="24"/>
          <w:szCs w:val="24"/>
        </w:rPr>
        <w:t xml:space="preserve">Jones, I. and </w:t>
      </w:r>
      <w:proofErr w:type="spellStart"/>
      <w:r w:rsidRPr="3B717205" w:rsidR="3B717205">
        <w:rPr>
          <w:rFonts w:ascii="Arial" w:hAnsi="Arial" w:eastAsia="Arial" w:cs="Arial"/>
          <w:color w:val="000000" w:themeColor="text1" w:themeTint="FF" w:themeShade="FF"/>
          <w:sz w:val="24"/>
          <w:szCs w:val="24"/>
        </w:rPr>
        <w:t>Alinier</w:t>
      </w:r>
      <w:proofErr w:type="spellEnd"/>
      <w:r w:rsidRPr="3B717205" w:rsidR="3B717205">
        <w:rPr>
          <w:rFonts w:ascii="Arial" w:hAnsi="Arial" w:eastAsia="Arial" w:cs="Arial"/>
          <w:color w:val="000000" w:themeColor="text1" w:themeTint="FF" w:themeShade="FF"/>
          <w:sz w:val="24"/>
          <w:szCs w:val="24"/>
        </w:rPr>
        <w:t xml:space="preserve">, G. (2015). Supporting Students' Learning Experiences through a Pocket Size Cue Card Designed around a Reflective Simulation Framework. </w:t>
      </w:r>
      <w:r w:rsidRPr="3B717205" w:rsidR="3B717205">
        <w:rPr>
          <w:rFonts w:ascii="Arial" w:hAnsi="Arial" w:eastAsia="Arial" w:cs="Arial"/>
          <w:i w:val="1"/>
          <w:iCs w:val="1"/>
          <w:color w:val="000000" w:themeColor="text1" w:themeTint="FF" w:themeShade="FF"/>
          <w:sz w:val="24"/>
          <w:szCs w:val="24"/>
        </w:rPr>
        <w:t>Clinical Simulation in Nursing</w:t>
      </w:r>
      <w:r w:rsidRPr="3B717205" w:rsidR="3B717205">
        <w:rPr>
          <w:rFonts w:ascii="Arial" w:hAnsi="Arial" w:eastAsia="Arial" w:cs="Arial"/>
          <w:color w:val="000000" w:themeColor="text1" w:themeTint="FF" w:themeShade="FF"/>
          <w:sz w:val="24"/>
          <w:szCs w:val="24"/>
        </w:rPr>
        <w:t>, 11(7), pp.325-334.</w:t>
      </w:r>
      <w:r w:rsidRPr="3B717205" w:rsidR="3B717205">
        <w:rPr>
          <w:rFonts w:ascii="Arial" w:hAnsi="Arial" w:eastAsia="Arial" w:cs="Arial"/>
          <w:sz w:val="24"/>
          <w:szCs w:val="24"/>
        </w:rPr>
        <w:t xml:space="preserve"> [Accessed 3 April</w:t>
      </w:r>
      <w:r w:rsidRPr="3B717205" w:rsidR="3B717205">
        <w:rPr>
          <w:rFonts w:ascii="Arial" w:hAnsi="Arial" w:eastAsia="Arial" w:cs="Arial"/>
          <w:sz w:val="24"/>
          <w:szCs w:val="24"/>
        </w:rPr>
        <w:t>]</w:t>
      </w:r>
    </w:p>
    <w:p w:rsidR="3B717205" w:rsidP="3B717205" w:rsidRDefault="3B717205" w14:paraId="616A953A" w14:textId="771520F6">
      <w:pPr>
        <w:pStyle w:val="Normal"/>
        <w:jc w:val="both"/>
        <w:rPr>
          <w:rFonts w:ascii="Arial" w:hAnsi="Arial" w:eastAsia="Arial" w:cs="Arial"/>
          <w:sz w:val="24"/>
          <w:szCs w:val="24"/>
        </w:rPr>
      </w:pPr>
      <w:r w:rsidRPr="3B717205" w:rsidR="3B717205">
        <w:rPr>
          <w:rFonts w:ascii="Arial" w:hAnsi="Arial" w:eastAsia="Arial" w:cs="Arial"/>
          <w:noProof w:val="0"/>
          <w:color w:val="000000" w:themeColor="text1" w:themeTint="FF" w:themeShade="FF"/>
          <w:sz w:val="24"/>
          <w:szCs w:val="24"/>
          <w:lang w:val="en-GB"/>
        </w:rPr>
        <w:t xml:space="preserve">Kozlowski, S. and </w:t>
      </w:r>
      <w:proofErr w:type="spellStart"/>
      <w:r w:rsidRPr="3B717205" w:rsidR="3B717205">
        <w:rPr>
          <w:rFonts w:ascii="Arial" w:hAnsi="Arial" w:eastAsia="Arial" w:cs="Arial"/>
          <w:noProof w:val="0"/>
          <w:color w:val="000000" w:themeColor="text1" w:themeTint="FF" w:themeShade="FF"/>
          <w:sz w:val="24"/>
          <w:szCs w:val="24"/>
          <w:lang w:val="en-GB"/>
        </w:rPr>
        <w:t>Ilgen</w:t>
      </w:r>
      <w:proofErr w:type="spellEnd"/>
      <w:r w:rsidRPr="3B717205" w:rsidR="3B717205">
        <w:rPr>
          <w:rFonts w:ascii="Arial" w:hAnsi="Arial" w:eastAsia="Arial" w:cs="Arial"/>
          <w:noProof w:val="0"/>
          <w:color w:val="000000" w:themeColor="text1" w:themeTint="FF" w:themeShade="FF"/>
          <w:sz w:val="24"/>
          <w:szCs w:val="24"/>
          <w:lang w:val="en-GB"/>
        </w:rPr>
        <w:t xml:space="preserve">, D. (2006). Enhancing the Effectiveness of Work Groups and Teams. </w:t>
      </w:r>
      <w:r w:rsidRPr="3B717205" w:rsidR="3B717205">
        <w:rPr>
          <w:rFonts w:ascii="Arial" w:hAnsi="Arial" w:eastAsia="Arial" w:cs="Arial"/>
          <w:i w:val="1"/>
          <w:iCs w:val="1"/>
          <w:noProof w:val="0"/>
          <w:color w:val="000000" w:themeColor="text1" w:themeTint="FF" w:themeShade="FF"/>
          <w:sz w:val="24"/>
          <w:szCs w:val="24"/>
          <w:lang w:val="en-GB"/>
        </w:rPr>
        <w:t>Psychological Science in the Public Interest</w:t>
      </w:r>
      <w:r w:rsidRPr="3B717205" w:rsidR="3B717205">
        <w:rPr>
          <w:rFonts w:ascii="Arial" w:hAnsi="Arial" w:eastAsia="Arial" w:cs="Arial"/>
          <w:noProof w:val="0"/>
          <w:color w:val="000000" w:themeColor="text1" w:themeTint="FF" w:themeShade="FF"/>
          <w:sz w:val="24"/>
          <w:szCs w:val="24"/>
          <w:lang w:val="en-GB"/>
        </w:rPr>
        <w:t>, 7(3), pp.77-124.</w:t>
      </w:r>
      <w:r w:rsidRPr="3B717205" w:rsidR="3B717205">
        <w:rPr>
          <w:rFonts w:ascii="Arial" w:hAnsi="Arial" w:eastAsia="Arial" w:cs="Arial"/>
          <w:sz w:val="24"/>
          <w:szCs w:val="24"/>
        </w:rPr>
        <w:t xml:space="preserve"> [Accessed 3 April]</w:t>
      </w:r>
    </w:p>
    <w:p w:rsidR="3B717205" w:rsidP="3B717205" w:rsidRDefault="3B717205" w14:paraId="63225A08" w14:textId="1ABA9077">
      <w:pPr>
        <w:jc w:val="both"/>
        <w:rPr>
          <w:rFonts w:ascii="Arial" w:hAnsi="Arial" w:eastAsia="Arial" w:cs="Arial"/>
          <w:sz w:val="24"/>
          <w:szCs w:val="24"/>
        </w:rPr>
      </w:pPr>
      <w:r w:rsidRPr="3B717205" w:rsidR="3B717205">
        <w:rPr>
          <w:rFonts w:ascii="Arial" w:hAnsi="Arial" w:eastAsia="Arial" w:cs="Arial"/>
          <w:noProof w:val="0"/>
          <w:color w:val="000000" w:themeColor="text1" w:themeTint="FF" w:themeShade="FF"/>
          <w:sz w:val="24"/>
          <w:szCs w:val="24"/>
          <w:lang w:val="en-GB"/>
        </w:rPr>
        <w:t xml:space="preserve">Mcgrew, J., Bilotta, J. and </w:t>
      </w:r>
      <w:proofErr w:type="spellStart"/>
      <w:r w:rsidRPr="3B717205" w:rsidR="3B717205">
        <w:rPr>
          <w:rFonts w:ascii="Arial" w:hAnsi="Arial" w:eastAsia="Arial" w:cs="Arial"/>
          <w:noProof w:val="0"/>
          <w:color w:val="000000" w:themeColor="text1" w:themeTint="FF" w:themeShade="FF"/>
          <w:sz w:val="24"/>
          <w:szCs w:val="24"/>
          <w:lang w:val="en-GB"/>
        </w:rPr>
        <w:t>Deeney</w:t>
      </w:r>
      <w:proofErr w:type="spellEnd"/>
      <w:r w:rsidRPr="3B717205" w:rsidR="3B717205">
        <w:rPr>
          <w:rFonts w:ascii="Arial" w:hAnsi="Arial" w:eastAsia="Arial" w:cs="Arial"/>
          <w:noProof w:val="0"/>
          <w:color w:val="000000" w:themeColor="text1" w:themeTint="FF" w:themeShade="FF"/>
          <w:sz w:val="24"/>
          <w:szCs w:val="24"/>
          <w:lang w:val="en-GB"/>
        </w:rPr>
        <w:t xml:space="preserve">, J. (1999). Software Team Formation and Decay. </w:t>
      </w:r>
      <w:r w:rsidRPr="3B717205" w:rsidR="3B717205">
        <w:rPr>
          <w:rFonts w:ascii="Arial" w:hAnsi="Arial" w:eastAsia="Arial" w:cs="Arial"/>
          <w:i w:val="1"/>
          <w:iCs w:val="1"/>
          <w:noProof w:val="0"/>
          <w:color w:val="000000" w:themeColor="text1" w:themeTint="FF" w:themeShade="FF"/>
          <w:sz w:val="24"/>
          <w:szCs w:val="24"/>
          <w:lang w:val="en-GB"/>
        </w:rPr>
        <w:t>Small Group Research</w:t>
      </w:r>
      <w:r w:rsidRPr="3B717205" w:rsidR="3B717205">
        <w:rPr>
          <w:rFonts w:ascii="Arial" w:hAnsi="Arial" w:eastAsia="Arial" w:cs="Arial"/>
          <w:noProof w:val="0"/>
          <w:color w:val="000000" w:themeColor="text1" w:themeTint="FF" w:themeShade="FF"/>
          <w:sz w:val="24"/>
          <w:szCs w:val="24"/>
          <w:lang w:val="en-GB"/>
        </w:rPr>
        <w:t>, 30(2), pp.209-234.</w:t>
      </w:r>
      <w:r w:rsidRPr="3B717205" w:rsidR="3B717205">
        <w:rPr>
          <w:rFonts w:ascii="Arial" w:hAnsi="Arial" w:eastAsia="Arial" w:cs="Arial"/>
          <w:sz w:val="24"/>
          <w:szCs w:val="24"/>
        </w:rPr>
        <w:t xml:space="preserve"> </w:t>
      </w:r>
      <w:r w:rsidRPr="3B717205" w:rsidR="3B717205">
        <w:rPr>
          <w:rFonts w:ascii="Arial" w:hAnsi="Arial" w:eastAsia="Arial" w:cs="Arial"/>
          <w:sz w:val="24"/>
          <w:szCs w:val="24"/>
        </w:rPr>
        <w:t xml:space="preserve">[Accessed </w:t>
      </w:r>
      <w:r w:rsidRPr="3B717205" w:rsidR="3B717205">
        <w:rPr>
          <w:rFonts w:ascii="Arial" w:hAnsi="Arial" w:eastAsia="Arial" w:cs="Arial"/>
          <w:sz w:val="24"/>
          <w:szCs w:val="24"/>
        </w:rPr>
        <w:t>1</w:t>
      </w:r>
      <w:r w:rsidRPr="3B717205" w:rsidR="3B717205">
        <w:rPr>
          <w:rFonts w:ascii="Arial" w:hAnsi="Arial" w:eastAsia="Arial" w:cs="Arial"/>
          <w:sz w:val="24"/>
          <w:szCs w:val="24"/>
        </w:rPr>
        <w:t>3 April]</w:t>
      </w:r>
    </w:p>
    <w:p w:rsidR="01B0D14A" w:rsidP="01B0D14A" w:rsidRDefault="01B0D14A" w14:paraId="625B9C52" w14:textId="7FA6508A">
      <w:pPr>
        <w:jc w:val="both"/>
        <w:rPr>
          <w:rFonts w:ascii="Arial" w:hAnsi="Arial" w:eastAsia="Arial" w:cs="Arial"/>
          <w:sz w:val="24"/>
          <w:szCs w:val="24"/>
        </w:rPr>
      </w:pPr>
      <w:proofErr w:type="spellStart"/>
      <w:r w:rsidRPr="3B717205" w:rsidR="3B717205">
        <w:rPr>
          <w:rFonts w:ascii="Arial" w:hAnsi="Arial" w:eastAsia="Arial" w:cs="Arial"/>
          <w:color w:val="000000" w:themeColor="text1" w:themeTint="FF" w:themeShade="FF"/>
          <w:sz w:val="24"/>
          <w:szCs w:val="24"/>
        </w:rPr>
        <w:t>McGuigan</w:t>
      </w:r>
      <w:proofErr w:type="spellEnd"/>
      <w:r w:rsidRPr="3B717205" w:rsidR="3B717205">
        <w:rPr>
          <w:rFonts w:ascii="Arial" w:hAnsi="Arial" w:eastAsia="Arial" w:cs="Arial"/>
          <w:color w:val="000000" w:themeColor="text1" w:themeTint="FF" w:themeShade="FF"/>
          <w:sz w:val="24"/>
          <w:szCs w:val="24"/>
        </w:rPr>
        <w:t xml:space="preserve">, D. (2009). Communicating bad news to patients: a reflective approach. </w:t>
      </w:r>
      <w:r w:rsidRPr="3B717205" w:rsidR="3B717205">
        <w:rPr>
          <w:rFonts w:ascii="Arial" w:hAnsi="Arial" w:eastAsia="Arial" w:cs="Arial"/>
          <w:i w:val="1"/>
          <w:iCs w:val="1"/>
          <w:color w:val="000000" w:themeColor="text1" w:themeTint="FF" w:themeShade="FF"/>
          <w:sz w:val="24"/>
          <w:szCs w:val="24"/>
        </w:rPr>
        <w:t>Nursing Standard</w:t>
      </w:r>
      <w:r w:rsidRPr="3B717205" w:rsidR="3B717205">
        <w:rPr>
          <w:rFonts w:ascii="Arial" w:hAnsi="Arial" w:eastAsia="Arial" w:cs="Arial"/>
          <w:color w:val="000000" w:themeColor="text1" w:themeTint="FF" w:themeShade="FF"/>
          <w:sz w:val="24"/>
          <w:szCs w:val="24"/>
        </w:rPr>
        <w:t>, 23(31), pp.51-56.</w:t>
      </w:r>
      <w:r w:rsidRPr="3B717205" w:rsidR="3B717205">
        <w:rPr>
          <w:rFonts w:ascii="Arial" w:hAnsi="Arial" w:eastAsia="Arial" w:cs="Arial"/>
          <w:sz w:val="24"/>
          <w:szCs w:val="24"/>
        </w:rPr>
        <w:t xml:space="preserve"> [Accessed 5 April]</w:t>
      </w:r>
    </w:p>
    <w:p w:rsidR="3B717205" w:rsidP="3B717205" w:rsidRDefault="3B717205" w14:paraId="0DBA51BA" w14:textId="3C7D7819">
      <w:pPr>
        <w:pStyle w:val="Normal"/>
        <w:jc w:val="both"/>
        <w:rPr>
          <w:rFonts w:ascii="Arial" w:hAnsi="Arial" w:eastAsia="Arial" w:cs="Arial"/>
          <w:noProof w:val="0"/>
          <w:color w:val="0D0D0D" w:themeColor="text1" w:themeTint="F2" w:themeShade="FF"/>
          <w:sz w:val="24"/>
          <w:szCs w:val="24"/>
          <w:lang w:val="en-GB"/>
        </w:rPr>
      </w:pPr>
      <w:r w:rsidRPr="3B717205" w:rsidR="3B717205">
        <w:rPr>
          <w:rFonts w:ascii="Arial" w:hAnsi="Arial" w:eastAsia="Arial" w:cs="Arial"/>
          <w:noProof w:val="0"/>
          <w:color w:val="000000" w:themeColor="text1" w:themeTint="FF" w:themeShade="FF"/>
          <w:sz w:val="24"/>
          <w:szCs w:val="24"/>
          <w:lang w:val="en-GB"/>
        </w:rPr>
        <w:t xml:space="preserve">Miller, D. (2009). The Stages of Group Development: A Retrospective Study of Dynamic Team Processes. </w:t>
      </w:r>
      <w:r w:rsidRPr="3B717205" w:rsidR="3B717205">
        <w:rPr>
          <w:rFonts w:ascii="Arial" w:hAnsi="Arial" w:eastAsia="Arial" w:cs="Arial"/>
          <w:i w:val="1"/>
          <w:iCs w:val="1"/>
          <w:noProof w:val="0"/>
          <w:color w:val="000000" w:themeColor="text1" w:themeTint="FF" w:themeShade="FF"/>
          <w:sz w:val="24"/>
          <w:szCs w:val="24"/>
          <w:lang w:val="en-GB"/>
        </w:rPr>
        <w:t xml:space="preserve">Canadian Journal of Administrative Sciences / Revue Canadienne des Sciences de </w:t>
      </w:r>
      <w:proofErr w:type="spellStart"/>
      <w:r w:rsidRPr="3B717205" w:rsidR="3B717205">
        <w:rPr>
          <w:rFonts w:ascii="Arial" w:hAnsi="Arial" w:eastAsia="Arial" w:cs="Arial"/>
          <w:i w:val="1"/>
          <w:iCs w:val="1"/>
          <w:noProof w:val="0"/>
          <w:color w:val="000000" w:themeColor="text1" w:themeTint="FF" w:themeShade="FF"/>
          <w:sz w:val="24"/>
          <w:szCs w:val="24"/>
          <w:lang w:val="en-GB"/>
        </w:rPr>
        <w:t>l'Administration</w:t>
      </w:r>
      <w:proofErr w:type="spellEnd"/>
      <w:r w:rsidRPr="3B717205" w:rsidR="3B717205">
        <w:rPr>
          <w:rFonts w:ascii="Arial" w:hAnsi="Arial" w:eastAsia="Arial" w:cs="Arial"/>
          <w:noProof w:val="0"/>
          <w:color w:val="000000" w:themeColor="text1" w:themeTint="FF" w:themeShade="FF"/>
          <w:sz w:val="24"/>
          <w:szCs w:val="24"/>
          <w:lang w:val="en-GB"/>
        </w:rPr>
        <w:t xml:space="preserve">, 20(2), pp.121-134. </w:t>
      </w:r>
      <w:r w:rsidRPr="3B717205" w:rsidR="3B717205">
        <w:rPr>
          <w:rFonts w:ascii="Arial" w:hAnsi="Arial" w:eastAsia="Arial" w:cs="Arial"/>
          <w:noProof w:val="0"/>
          <w:color w:val="0D0D0D" w:themeColor="text1" w:themeTint="F2" w:themeShade="FF"/>
          <w:sz w:val="24"/>
          <w:szCs w:val="24"/>
          <w:lang w:val="en-GB"/>
        </w:rPr>
        <w:t>[Accessed 15 April]</w:t>
      </w:r>
    </w:p>
    <w:p w:rsidR="01B0D14A" w:rsidP="3B717205" w:rsidRDefault="01B0D14A" w14:paraId="440CC7AD" w14:textId="65715038">
      <w:pPr>
        <w:jc w:val="both"/>
        <w:rPr>
          <w:rFonts w:ascii="Arial" w:hAnsi="Arial" w:eastAsia="Arial" w:cs="Arial"/>
          <w:sz w:val="24"/>
          <w:szCs w:val="24"/>
        </w:rPr>
      </w:pPr>
      <w:r w:rsidRPr="3B717205" w:rsidR="3B717205">
        <w:rPr>
          <w:rFonts w:ascii="Arial" w:hAnsi="Arial" w:eastAsia="Arial" w:cs="Arial"/>
          <w:color w:val="0D0D0D" w:themeColor="text1" w:themeTint="F2" w:themeShade="FF"/>
          <w:sz w:val="24"/>
          <w:szCs w:val="24"/>
        </w:rPr>
        <w:t>Potter, C. (2015). Leadership development: an applied comparis</w:t>
      </w:r>
      <w:r w:rsidRPr="3B717205" w:rsidR="3B717205">
        <w:rPr>
          <w:rFonts w:ascii="Arial" w:hAnsi="Arial" w:eastAsia="Arial" w:cs="Arial"/>
          <w:color w:val="000000" w:themeColor="text1" w:themeTint="FF" w:themeShade="FF"/>
          <w:sz w:val="24"/>
          <w:szCs w:val="24"/>
        </w:rPr>
        <w:t xml:space="preserve">on of Gibbs’ Reflective Cycle and Scharmer’s Theory U. </w:t>
      </w:r>
      <w:r w:rsidRPr="3B717205" w:rsidR="3B717205">
        <w:rPr>
          <w:rFonts w:ascii="Arial" w:hAnsi="Arial" w:eastAsia="Arial" w:cs="Arial"/>
          <w:i w:val="1"/>
          <w:iCs w:val="1"/>
          <w:color w:val="000000" w:themeColor="text1" w:themeTint="FF" w:themeShade="FF"/>
          <w:sz w:val="24"/>
          <w:szCs w:val="24"/>
        </w:rPr>
        <w:t>Industrial and Commercial Training</w:t>
      </w:r>
      <w:r w:rsidRPr="3B717205" w:rsidR="3B717205">
        <w:rPr>
          <w:rFonts w:ascii="Arial" w:hAnsi="Arial" w:eastAsia="Arial" w:cs="Arial"/>
          <w:color w:val="000000" w:themeColor="text1" w:themeTint="FF" w:themeShade="FF"/>
          <w:sz w:val="24"/>
          <w:szCs w:val="24"/>
        </w:rPr>
        <w:t xml:space="preserve">, 47(6), pp.336-342.  </w:t>
      </w:r>
      <w:r w:rsidRPr="3B717205" w:rsidR="3B717205">
        <w:rPr>
          <w:rFonts w:ascii="Arial" w:hAnsi="Arial" w:eastAsia="Arial" w:cs="Arial"/>
          <w:sz w:val="24"/>
          <w:szCs w:val="24"/>
        </w:rPr>
        <w:t>[Accessed 3 April]</w:t>
      </w:r>
    </w:p>
    <w:p w:rsidR="01B0D14A" w:rsidP="3B717205" w:rsidRDefault="4AFC9FCF" w14:paraId="628BE848" w14:textId="1832F230">
      <w:pPr>
        <w:jc w:val="both"/>
        <w:rPr>
          <w:rFonts w:ascii="Arial" w:hAnsi="Arial" w:eastAsia="Arial" w:cs="Arial"/>
          <w:sz w:val="24"/>
          <w:szCs w:val="24"/>
        </w:rPr>
      </w:pPr>
      <w:r w:rsidRPr="3B717205" w:rsidR="3B717205">
        <w:rPr>
          <w:rFonts w:ascii="Arial" w:hAnsi="Arial" w:eastAsia="Arial" w:cs="Arial"/>
          <w:color w:val="000000" w:themeColor="text1" w:themeTint="FF" w:themeShade="FF"/>
          <w:sz w:val="24"/>
          <w:szCs w:val="24"/>
        </w:rPr>
        <w:t xml:space="preserve">Rice, M. and </w:t>
      </w:r>
      <w:proofErr w:type="spellStart"/>
      <w:r w:rsidRPr="3B717205" w:rsidR="3B717205">
        <w:rPr>
          <w:rFonts w:ascii="Arial" w:hAnsi="Arial" w:eastAsia="Arial" w:cs="Arial"/>
          <w:color w:val="000000" w:themeColor="text1" w:themeTint="FF" w:themeShade="FF"/>
          <w:sz w:val="24"/>
          <w:szCs w:val="24"/>
        </w:rPr>
        <w:t>Pinnegar</w:t>
      </w:r>
      <w:proofErr w:type="spellEnd"/>
      <w:r w:rsidRPr="3B717205" w:rsidR="3B717205">
        <w:rPr>
          <w:rFonts w:ascii="Arial" w:hAnsi="Arial" w:eastAsia="Arial" w:cs="Arial"/>
          <w:color w:val="000000" w:themeColor="text1" w:themeTint="FF" w:themeShade="FF"/>
          <w:sz w:val="24"/>
          <w:szCs w:val="24"/>
        </w:rPr>
        <w:t>, S. (2012). Reflection under construction: Using the</w:t>
      </w:r>
      <w:r w:rsidRPr="3B717205" w:rsidR="3B717205">
        <w:rPr>
          <w:rFonts w:ascii="Arial" w:hAnsi="Arial" w:eastAsia="Arial" w:cs="Arial"/>
          <w:color w:val="000000" w:themeColor="text1" w:themeTint="FF" w:themeShade="FF"/>
          <w:sz w:val="24"/>
          <w:szCs w:val="24"/>
        </w:rPr>
        <w:t xml:space="preserve"> </w:t>
      </w:r>
      <w:r w:rsidRPr="3B717205" w:rsidR="3B717205">
        <w:rPr>
          <w:rFonts w:ascii="Arial" w:hAnsi="Arial" w:eastAsia="Arial" w:cs="Arial"/>
          <w:color w:val="000000" w:themeColor="text1" w:themeTint="FF" w:themeShade="FF"/>
          <w:sz w:val="24"/>
          <w:szCs w:val="24"/>
        </w:rPr>
        <w:t xml:space="preserve">Handbook of Reflection and Reflective </w:t>
      </w:r>
      <w:proofErr w:type="spellStart"/>
      <w:r w:rsidRPr="3B717205" w:rsidR="3B717205">
        <w:rPr>
          <w:rFonts w:ascii="Arial" w:hAnsi="Arial" w:eastAsia="Arial" w:cs="Arial"/>
          <w:color w:val="000000" w:themeColor="text1" w:themeTint="FF" w:themeShade="FF"/>
          <w:sz w:val="24"/>
          <w:szCs w:val="24"/>
        </w:rPr>
        <w:t>Inquiryin</w:t>
      </w:r>
      <w:proofErr w:type="spellEnd"/>
      <w:r w:rsidRPr="3B717205" w:rsidR="3B717205">
        <w:rPr>
          <w:rFonts w:ascii="Arial" w:hAnsi="Arial" w:eastAsia="Arial" w:cs="Arial"/>
          <w:color w:val="000000" w:themeColor="text1" w:themeTint="FF" w:themeShade="FF"/>
          <w:sz w:val="24"/>
          <w:szCs w:val="24"/>
        </w:rPr>
        <w:t xml:space="preserve"> practice. </w:t>
      </w:r>
      <w:r w:rsidRPr="3B717205" w:rsidR="3B717205">
        <w:rPr>
          <w:rFonts w:ascii="Arial" w:hAnsi="Arial" w:eastAsia="Arial" w:cs="Arial"/>
          <w:i w:val="1"/>
          <w:iCs w:val="1"/>
          <w:color w:val="000000" w:themeColor="text1" w:themeTint="FF" w:themeShade="FF"/>
          <w:sz w:val="24"/>
          <w:szCs w:val="24"/>
        </w:rPr>
        <w:t>Reflective Practice</w:t>
      </w:r>
      <w:r w:rsidRPr="3B717205" w:rsidR="3B717205">
        <w:rPr>
          <w:rFonts w:ascii="Arial" w:hAnsi="Arial" w:eastAsia="Arial" w:cs="Arial"/>
          <w:color w:val="000000" w:themeColor="text1" w:themeTint="FF" w:themeShade="FF"/>
          <w:sz w:val="24"/>
          <w:szCs w:val="24"/>
        </w:rPr>
        <w:t>, 13(6), pp.821-</w:t>
      </w:r>
      <w:r w:rsidRPr="3B717205" w:rsidR="3B717205">
        <w:rPr>
          <w:rFonts w:ascii="Arial" w:hAnsi="Arial" w:eastAsia="Arial" w:cs="Arial"/>
          <w:color w:val="000000" w:themeColor="text1" w:themeTint="FF" w:themeShade="FF"/>
          <w:sz w:val="24"/>
          <w:szCs w:val="24"/>
        </w:rPr>
        <w:t>827.</w:t>
      </w:r>
      <w:r w:rsidRPr="3B717205" w:rsidR="3B717205">
        <w:rPr>
          <w:rFonts w:ascii="Arial" w:hAnsi="Arial" w:eastAsia="Arial" w:cs="Arial"/>
          <w:sz w:val="24"/>
          <w:szCs w:val="24"/>
        </w:rPr>
        <w:t xml:space="preserve"> [Accessed 4 April]</w:t>
      </w:r>
    </w:p>
    <w:p w:rsidR="4AFC9FCF" w:rsidP="3B717205" w:rsidRDefault="4AFC9FCF" w14:paraId="08C905B3" w14:textId="66381DF7">
      <w:pPr>
        <w:jc w:val="both"/>
        <w:rPr>
          <w:rFonts w:ascii="Arial" w:hAnsi="Arial" w:eastAsia="Arial" w:cs="Arial"/>
          <w:sz w:val="24"/>
          <w:szCs w:val="24"/>
        </w:rPr>
      </w:pPr>
      <w:proofErr w:type="spellStart"/>
      <w:r w:rsidRPr="3B717205" w:rsidR="3B717205">
        <w:rPr>
          <w:rFonts w:ascii="Arial" w:hAnsi="Arial" w:eastAsia="Arial" w:cs="Arial"/>
          <w:color w:val="000000" w:themeColor="text1" w:themeTint="FF" w:themeShade="FF"/>
          <w:sz w:val="24"/>
          <w:szCs w:val="24"/>
        </w:rPr>
        <w:t>Shamiso</w:t>
      </w:r>
      <w:proofErr w:type="spellEnd"/>
      <w:r w:rsidRPr="3B717205" w:rsidR="3B717205">
        <w:rPr>
          <w:rFonts w:ascii="Arial" w:hAnsi="Arial" w:eastAsia="Arial" w:cs="Arial"/>
          <w:color w:val="000000" w:themeColor="text1" w:themeTint="FF" w:themeShade="FF"/>
          <w:sz w:val="24"/>
          <w:szCs w:val="24"/>
        </w:rPr>
        <w:t>, S. (2006). Starting out-</w:t>
      </w:r>
      <w:proofErr w:type="spellStart"/>
      <w:r w:rsidRPr="3B717205" w:rsidR="3B717205">
        <w:rPr>
          <w:rFonts w:ascii="Arial" w:hAnsi="Arial" w:eastAsia="Arial" w:cs="Arial"/>
          <w:color w:val="000000" w:themeColor="text1" w:themeTint="FF" w:themeShade="FF"/>
          <w:sz w:val="24"/>
          <w:szCs w:val="24"/>
        </w:rPr>
        <w:t>Shamiso</w:t>
      </w:r>
      <w:proofErr w:type="spellEnd"/>
      <w:r w:rsidRPr="3B717205" w:rsidR="3B717205">
        <w:rPr>
          <w:rFonts w:ascii="Arial" w:hAnsi="Arial" w:eastAsia="Arial" w:cs="Arial"/>
          <w:color w:val="000000" w:themeColor="text1" w:themeTint="FF" w:themeShade="FF"/>
          <w:sz w:val="24"/>
          <w:szCs w:val="24"/>
        </w:rPr>
        <w:t xml:space="preserve"> </w:t>
      </w:r>
      <w:proofErr w:type="spellStart"/>
      <w:r w:rsidRPr="3B717205" w:rsidR="3B717205">
        <w:rPr>
          <w:rFonts w:ascii="Arial" w:hAnsi="Arial" w:eastAsia="Arial" w:cs="Arial"/>
          <w:color w:val="000000" w:themeColor="text1" w:themeTint="FF" w:themeShade="FF"/>
          <w:sz w:val="24"/>
          <w:szCs w:val="24"/>
        </w:rPr>
        <w:t>Simango</w:t>
      </w:r>
      <w:proofErr w:type="spellEnd"/>
      <w:r w:rsidRPr="3B717205" w:rsidR="3B717205">
        <w:rPr>
          <w:rFonts w:ascii="Arial" w:hAnsi="Arial" w:eastAsia="Arial" w:cs="Arial"/>
          <w:color w:val="000000" w:themeColor="text1" w:themeTint="FF" w:themeShade="FF"/>
          <w:sz w:val="24"/>
          <w:szCs w:val="24"/>
        </w:rPr>
        <w:t xml:space="preserve"> found a simple solution to a patient's anxiety. </w:t>
      </w:r>
      <w:r w:rsidRPr="3B717205" w:rsidR="3B717205">
        <w:rPr>
          <w:rFonts w:ascii="Arial" w:hAnsi="Arial" w:eastAsia="Arial" w:cs="Arial"/>
          <w:i w:val="1"/>
          <w:iCs w:val="1"/>
          <w:color w:val="000000" w:themeColor="text1" w:themeTint="FF" w:themeShade="FF"/>
          <w:sz w:val="24"/>
          <w:szCs w:val="24"/>
        </w:rPr>
        <w:t>Nursing Standard</w:t>
      </w:r>
      <w:r w:rsidRPr="3B717205" w:rsidR="3B717205">
        <w:rPr>
          <w:rFonts w:ascii="Arial" w:hAnsi="Arial" w:eastAsia="Arial" w:cs="Arial"/>
          <w:color w:val="000000" w:themeColor="text1" w:themeTint="FF" w:themeShade="FF"/>
          <w:sz w:val="24"/>
          <w:szCs w:val="24"/>
        </w:rPr>
        <w:t xml:space="preserve">, 20(31), pp.31-31. </w:t>
      </w:r>
      <w:r w:rsidRPr="3B717205" w:rsidR="3B717205">
        <w:rPr>
          <w:rFonts w:ascii="Arial" w:hAnsi="Arial" w:eastAsia="Arial" w:cs="Arial"/>
          <w:sz w:val="24"/>
          <w:szCs w:val="24"/>
        </w:rPr>
        <w:t>[Accessed 1 April]</w:t>
      </w:r>
    </w:p>
    <w:p w:rsidR="3B717205" w:rsidP="3B717205" w:rsidRDefault="3B717205" w14:paraId="099263F3" w14:textId="3EB4A633">
      <w:pPr>
        <w:pStyle w:val="Normal"/>
        <w:rPr>
          <w:rFonts w:ascii="Arial" w:hAnsi="Arial" w:eastAsia="Arial" w:cs="Arial"/>
          <w:noProof w:val="0"/>
          <w:color w:val="000000" w:themeColor="text1" w:themeTint="FF" w:themeShade="FF"/>
          <w:sz w:val="24"/>
          <w:szCs w:val="24"/>
          <w:lang w:val="en-GB"/>
        </w:rPr>
      </w:pPr>
      <w:proofErr w:type="spellStart"/>
      <w:r w:rsidRPr="3B717205" w:rsidR="3B717205">
        <w:rPr>
          <w:rFonts w:ascii="Arial" w:hAnsi="Arial" w:eastAsia="Arial" w:cs="Arial"/>
          <w:noProof w:val="0"/>
          <w:color w:val="000000" w:themeColor="text1" w:themeTint="FF" w:themeShade="FF"/>
          <w:sz w:val="24"/>
          <w:szCs w:val="24"/>
          <w:lang w:val="en-GB"/>
        </w:rPr>
        <w:t>Wardale</w:t>
      </w:r>
      <w:proofErr w:type="spellEnd"/>
      <w:r w:rsidRPr="3B717205" w:rsidR="3B717205">
        <w:rPr>
          <w:rFonts w:ascii="Arial" w:hAnsi="Arial" w:eastAsia="Arial" w:cs="Arial"/>
          <w:noProof w:val="0"/>
          <w:color w:val="000000" w:themeColor="text1" w:themeTint="FF" w:themeShade="FF"/>
          <w:sz w:val="24"/>
          <w:szCs w:val="24"/>
          <w:lang w:val="en-GB"/>
        </w:rPr>
        <w:t xml:space="preserve">, D. (2013). Towards a model of effective group facilitation. </w:t>
      </w:r>
      <w:r w:rsidRPr="3B717205" w:rsidR="3B717205">
        <w:rPr>
          <w:rFonts w:ascii="Arial" w:hAnsi="Arial" w:eastAsia="Arial" w:cs="Arial"/>
          <w:i w:val="1"/>
          <w:iCs w:val="1"/>
          <w:noProof w:val="0"/>
          <w:color w:val="000000" w:themeColor="text1" w:themeTint="FF" w:themeShade="FF"/>
          <w:sz w:val="24"/>
          <w:szCs w:val="24"/>
          <w:lang w:val="en-GB"/>
        </w:rPr>
        <w:t>Leadership &amp; Organization Development Journal</w:t>
      </w:r>
      <w:r w:rsidRPr="3B717205" w:rsidR="3B717205">
        <w:rPr>
          <w:rFonts w:ascii="Arial" w:hAnsi="Arial" w:eastAsia="Arial" w:cs="Arial"/>
          <w:noProof w:val="0"/>
          <w:color w:val="000000" w:themeColor="text1" w:themeTint="FF" w:themeShade="FF"/>
          <w:sz w:val="24"/>
          <w:szCs w:val="24"/>
          <w:lang w:val="en-GB"/>
        </w:rPr>
        <w:t xml:space="preserve">, 34(2), pp.112-129. </w:t>
      </w:r>
      <w:r w:rsidRPr="3B717205" w:rsidR="3B717205">
        <w:rPr>
          <w:rFonts w:ascii="Arial" w:hAnsi="Arial" w:eastAsia="Arial" w:cs="Arial"/>
          <w:noProof w:val="0"/>
          <w:sz w:val="24"/>
          <w:szCs w:val="24"/>
          <w:lang w:val="en-GB"/>
        </w:rPr>
        <w:t>[Accessed 14 April]</w:t>
      </w:r>
    </w:p>
    <w:sectPr w:rsidR="4AFC9FC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B892BF"/>
    <w:rsid w:val="00004BA2"/>
    <w:rsid w:val="000B724F"/>
    <w:rsid w:val="000D0CF7"/>
    <w:rsid w:val="00185EA3"/>
    <w:rsid w:val="001E7F36"/>
    <w:rsid w:val="0025673E"/>
    <w:rsid w:val="00292C24"/>
    <w:rsid w:val="00365DD2"/>
    <w:rsid w:val="0039619B"/>
    <w:rsid w:val="003C4FF2"/>
    <w:rsid w:val="003F681A"/>
    <w:rsid w:val="004167D9"/>
    <w:rsid w:val="00421A4C"/>
    <w:rsid w:val="0044728F"/>
    <w:rsid w:val="00475DAC"/>
    <w:rsid w:val="004A5296"/>
    <w:rsid w:val="00521C60"/>
    <w:rsid w:val="005452D2"/>
    <w:rsid w:val="00552A1F"/>
    <w:rsid w:val="00570355"/>
    <w:rsid w:val="005C0FF3"/>
    <w:rsid w:val="005D421C"/>
    <w:rsid w:val="006721AC"/>
    <w:rsid w:val="006B433A"/>
    <w:rsid w:val="00702A26"/>
    <w:rsid w:val="00742547"/>
    <w:rsid w:val="007A6E3A"/>
    <w:rsid w:val="0085685F"/>
    <w:rsid w:val="00A73068"/>
    <w:rsid w:val="00AD4B09"/>
    <w:rsid w:val="00C93DDC"/>
    <w:rsid w:val="00D51C10"/>
    <w:rsid w:val="00E26B2B"/>
    <w:rsid w:val="00F65474"/>
    <w:rsid w:val="00FA6244"/>
    <w:rsid w:val="01B0D14A"/>
    <w:rsid w:val="05B892BF"/>
    <w:rsid w:val="2292C2A9"/>
    <w:rsid w:val="3B717205"/>
    <w:rsid w:val="4AFC9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892BF"/>
  <w15:chartTrackingRefBased/>
  <w15:docId w15:val="{173D3C37-83DD-4A44-9C91-E98BF696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shakira britton</dc:creator>
  <keywords/>
  <dc:description/>
  <lastModifiedBy>shakira britton</lastModifiedBy>
  <revision>40</revision>
  <dcterms:created xsi:type="dcterms:W3CDTF">2019-04-12T11:34:00.0000000Z</dcterms:created>
  <dcterms:modified xsi:type="dcterms:W3CDTF">2019-05-02T15:32:57.2579550Z</dcterms:modified>
</coreProperties>
</file>