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3ADC" w:rsidRPr="00A85BFE" w:rsidRDefault="006A3ADC" w:rsidP="006A3ADC">
      <w:pPr>
        <w:pStyle w:val="Header"/>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9264" behindDoc="0" locked="0" layoutInCell="1" allowOverlap="1" wp14:anchorId="779819DB" wp14:editId="2124DED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rsidR="006A3ADC" w:rsidRPr="00A406E5" w:rsidRDefault="006A3ADC" w:rsidP="006A3ADC">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6A3ADC" w:rsidRPr="00A406E5" w:rsidTr="00FB45DD">
        <w:tc>
          <w:tcPr>
            <w:tcW w:w="9922" w:type="dxa"/>
            <w:shd w:val="clear" w:color="auto" w:fill="C0C0C0"/>
          </w:tcPr>
          <w:p w:rsidR="006A3ADC" w:rsidRPr="00A406E5" w:rsidRDefault="006A3ADC" w:rsidP="00FB45DD">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rsidR="006A3ADC" w:rsidRPr="00A406E5" w:rsidRDefault="006A3ADC" w:rsidP="006A3ADC">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A3ADC" w:rsidRPr="00A406E5" w:rsidTr="00FB45DD">
        <w:tc>
          <w:tcPr>
            <w:tcW w:w="2093" w:type="dxa"/>
            <w:shd w:val="pct15" w:color="auto" w:fill="auto"/>
          </w:tcPr>
          <w:p w:rsidR="006A3ADC" w:rsidRPr="00A406E5" w:rsidRDefault="006A3ADC" w:rsidP="00FB45DD">
            <w:pPr>
              <w:spacing w:before="120" w:after="120"/>
              <w:jc w:val="both"/>
              <w:rPr>
                <w:rFonts w:ascii="Arial" w:hAnsi="Arial" w:cs="Arial"/>
                <w:b/>
              </w:rPr>
            </w:pPr>
            <w:r w:rsidRPr="00A406E5">
              <w:rPr>
                <w:rFonts w:ascii="Arial" w:hAnsi="Arial" w:cs="Arial"/>
                <w:b/>
              </w:rPr>
              <w:t>Student name:</w:t>
            </w:r>
          </w:p>
        </w:tc>
        <w:tc>
          <w:tcPr>
            <w:tcW w:w="3293" w:type="dxa"/>
          </w:tcPr>
          <w:p w:rsidR="006A3ADC" w:rsidRPr="00A406E5" w:rsidRDefault="006A3ADC" w:rsidP="00FB45DD">
            <w:pPr>
              <w:spacing w:before="120" w:after="120"/>
              <w:jc w:val="both"/>
              <w:rPr>
                <w:rFonts w:ascii="Arial" w:hAnsi="Arial" w:cs="Arial"/>
                <w:b/>
              </w:rPr>
            </w:pPr>
            <w:r>
              <w:rPr>
                <w:rFonts w:ascii="Arial" w:hAnsi="Arial" w:cs="Arial"/>
                <w:b/>
                <w:noProof/>
              </w:rPr>
              <w:t>Leung Kelvin Yiu Fai</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p>
        </w:tc>
        <w:tc>
          <w:tcPr>
            <w:tcW w:w="2268" w:type="dxa"/>
            <w:shd w:val="clear" w:color="auto" w:fill="D9D9D9"/>
          </w:tcPr>
          <w:p w:rsidR="006A3ADC" w:rsidRPr="00A406E5" w:rsidRDefault="006A3ADC" w:rsidP="00FB45DD">
            <w:pPr>
              <w:spacing w:before="120" w:after="120"/>
              <w:jc w:val="both"/>
              <w:rPr>
                <w:rFonts w:ascii="Arial" w:hAnsi="Arial" w:cs="Arial"/>
                <w:b/>
              </w:rPr>
            </w:pPr>
            <w:r w:rsidRPr="00A406E5">
              <w:rPr>
                <w:rFonts w:ascii="Arial" w:hAnsi="Arial" w:cs="Arial"/>
                <w:b/>
              </w:rPr>
              <w:t>Student ID number:</w:t>
            </w:r>
          </w:p>
        </w:tc>
        <w:tc>
          <w:tcPr>
            <w:tcW w:w="2268" w:type="dxa"/>
          </w:tcPr>
          <w:p w:rsidR="006A3ADC" w:rsidRPr="00A406E5" w:rsidRDefault="006A3ADC" w:rsidP="00FB45DD">
            <w:pPr>
              <w:spacing w:before="120" w:after="120"/>
              <w:jc w:val="both"/>
              <w:rPr>
                <w:rFonts w:ascii="Arial" w:hAnsi="Arial" w:cs="Arial"/>
                <w:b/>
              </w:rPr>
            </w:pPr>
            <w:r>
              <w:rPr>
                <w:rFonts w:ascii="Arial" w:hAnsi="Arial" w:cs="Arial"/>
                <w:b/>
              </w:rPr>
              <w:t>1916077</w:t>
            </w:r>
          </w:p>
        </w:tc>
      </w:tr>
      <w:tr w:rsidR="006A3ADC" w:rsidRPr="00A406E5" w:rsidTr="00FB45DD">
        <w:tc>
          <w:tcPr>
            <w:tcW w:w="2093" w:type="dxa"/>
            <w:shd w:val="pct15" w:color="auto" w:fill="auto"/>
          </w:tcPr>
          <w:p w:rsidR="006A3ADC" w:rsidRPr="00A406E5" w:rsidRDefault="006A3ADC" w:rsidP="00FB45DD">
            <w:pPr>
              <w:spacing w:before="120" w:after="120"/>
              <w:jc w:val="both"/>
              <w:rPr>
                <w:rFonts w:ascii="Arial" w:hAnsi="Arial" w:cs="Arial"/>
                <w:b/>
              </w:rPr>
            </w:pPr>
            <w:r w:rsidRPr="00A406E5">
              <w:rPr>
                <w:rFonts w:ascii="Arial" w:hAnsi="Arial" w:cs="Arial"/>
                <w:b/>
              </w:rPr>
              <w:t>Programme:</w:t>
            </w:r>
          </w:p>
        </w:tc>
        <w:tc>
          <w:tcPr>
            <w:tcW w:w="7829" w:type="dxa"/>
            <w:gridSpan w:val="3"/>
          </w:tcPr>
          <w:p w:rsidR="006A3ADC" w:rsidRDefault="006A3ADC" w:rsidP="00FB45DD">
            <w:pPr>
              <w:spacing w:before="120" w:after="120"/>
              <w:jc w:val="both"/>
              <w:rPr>
                <w:rFonts w:ascii="Arial" w:hAnsi="Arial" w:cs="Arial"/>
                <w:b/>
              </w:rPr>
            </w:pPr>
            <w:r>
              <w:rPr>
                <w:rFonts w:ascii="Arial" w:hAnsi="Arial" w:cs="Arial"/>
                <w:b/>
              </w:rPr>
              <w:t>DBA</w:t>
            </w:r>
          </w:p>
        </w:tc>
      </w:tr>
      <w:tr w:rsidR="006A3ADC" w:rsidRPr="00A406E5" w:rsidTr="00FB45DD">
        <w:tc>
          <w:tcPr>
            <w:tcW w:w="2093" w:type="dxa"/>
            <w:shd w:val="pct15" w:color="auto" w:fill="auto"/>
          </w:tcPr>
          <w:p w:rsidR="006A3ADC" w:rsidRPr="00A406E5" w:rsidRDefault="006A3ADC" w:rsidP="00FB45DD">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rsidR="006A3ADC" w:rsidRDefault="006A3ADC" w:rsidP="00FB45DD">
            <w:pPr>
              <w:spacing w:before="120" w:after="120"/>
              <w:jc w:val="both"/>
              <w:rPr>
                <w:rFonts w:ascii="Arial" w:hAnsi="Arial" w:cs="Arial"/>
                <w:b/>
              </w:rPr>
            </w:pPr>
            <w:r>
              <w:rPr>
                <w:rFonts w:ascii="Arial" w:hAnsi="Arial" w:cs="Arial"/>
                <w:b/>
              </w:rPr>
              <w:t>Quantitative Research Methods</w:t>
            </w:r>
          </w:p>
        </w:tc>
      </w:tr>
      <w:tr w:rsidR="006A3ADC" w:rsidRPr="00A406E5" w:rsidTr="00FB45DD">
        <w:tc>
          <w:tcPr>
            <w:tcW w:w="2093" w:type="dxa"/>
            <w:shd w:val="pct15" w:color="auto" w:fill="auto"/>
          </w:tcPr>
          <w:p w:rsidR="006A3ADC" w:rsidRPr="00A406E5" w:rsidRDefault="006A3ADC" w:rsidP="00FB45DD">
            <w:pPr>
              <w:spacing w:before="120" w:after="120"/>
              <w:jc w:val="both"/>
              <w:rPr>
                <w:rFonts w:ascii="Arial" w:hAnsi="Arial" w:cs="Arial"/>
                <w:b/>
              </w:rPr>
            </w:pPr>
            <w:r w:rsidRPr="00A406E5">
              <w:rPr>
                <w:rFonts w:ascii="Arial" w:hAnsi="Arial" w:cs="Arial"/>
                <w:b/>
              </w:rPr>
              <w:t>Module code:</w:t>
            </w:r>
          </w:p>
        </w:tc>
        <w:tc>
          <w:tcPr>
            <w:tcW w:w="3293" w:type="dxa"/>
          </w:tcPr>
          <w:p w:rsidR="006A3ADC" w:rsidRDefault="006A3ADC" w:rsidP="00FB45DD">
            <w:pPr>
              <w:spacing w:before="120" w:after="120"/>
              <w:jc w:val="both"/>
              <w:rPr>
                <w:rFonts w:ascii="Arial" w:hAnsi="Arial" w:cs="Arial"/>
                <w:b/>
                <w:lang w:eastAsia="zh-HK"/>
              </w:rPr>
            </w:pPr>
            <w:r>
              <w:rPr>
                <w:rFonts w:ascii="Arial" w:hAnsi="Arial" w:cs="Arial" w:hint="eastAsia"/>
                <w:b/>
                <w:lang w:eastAsia="zh-HK"/>
              </w:rPr>
              <w:t>HKBM7004</w:t>
            </w:r>
          </w:p>
        </w:tc>
        <w:tc>
          <w:tcPr>
            <w:tcW w:w="2268" w:type="dxa"/>
            <w:shd w:val="clear" w:color="auto" w:fill="D9D9D9"/>
          </w:tcPr>
          <w:p w:rsidR="006A3ADC" w:rsidRDefault="006A3ADC" w:rsidP="00FB45DD">
            <w:pPr>
              <w:pStyle w:val="Heading2"/>
              <w:rPr>
                <w:rFonts w:ascii="Arial" w:hAnsi="Arial" w:cs="Arial"/>
                <w:sz w:val="22"/>
                <w:szCs w:val="22"/>
              </w:rPr>
            </w:pPr>
            <w:r>
              <w:rPr>
                <w:rFonts w:ascii="Arial" w:hAnsi="Arial" w:cs="Arial"/>
                <w:sz w:val="22"/>
                <w:szCs w:val="22"/>
              </w:rPr>
              <w:t>Contribution to Overall Module Assessment (%):</w:t>
            </w:r>
          </w:p>
        </w:tc>
        <w:tc>
          <w:tcPr>
            <w:tcW w:w="2268" w:type="dxa"/>
          </w:tcPr>
          <w:p w:rsidR="006A3ADC" w:rsidRDefault="006A3ADC" w:rsidP="00FB45DD">
            <w:pPr>
              <w:spacing w:before="120" w:after="120"/>
              <w:jc w:val="both"/>
              <w:rPr>
                <w:rFonts w:ascii="Arial" w:hAnsi="Arial" w:cs="Arial"/>
                <w:b/>
              </w:rPr>
            </w:pPr>
            <w:r>
              <w:rPr>
                <w:rFonts w:ascii="Arial" w:hAnsi="Arial" w:cs="Arial"/>
                <w:b/>
              </w:rPr>
              <w:t>100%</w:t>
            </w:r>
          </w:p>
        </w:tc>
      </w:tr>
      <w:tr w:rsidR="006A3ADC" w:rsidRPr="00A406E5" w:rsidTr="00FB45DD">
        <w:tc>
          <w:tcPr>
            <w:tcW w:w="2093" w:type="dxa"/>
            <w:shd w:val="pct15" w:color="auto" w:fill="auto"/>
          </w:tcPr>
          <w:p w:rsidR="006A3ADC" w:rsidRPr="00A406E5" w:rsidRDefault="006A3ADC" w:rsidP="00FB45DD">
            <w:pPr>
              <w:spacing w:before="120" w:after="120"/>
              <w:jc w:val="both"/>
              <w:rPr>
                <w:rFonts w:ascii="Arial" w:hAnsi="Arial" w:cs="Arial"/>
                <w:b/>
              </w:rPr>
            </w:pPr>
            <w:r w:rsidRPr="00A406E5">
              <w:rPr>
                <w:rFonts w:ascii="Arial" w:hAnsi="Arial" w:cs="Arial"/>
                <w:b/>
              </w:rPr>
              <w:t>Lecturer:</w:t>
            </w:r>
          </w:p>
        </w:tc>
        <w:tc>
          <w:tcPr>
            <w:tcW w:w="3293" w:type="dxa"/>
          </w:tcPr>
          <w:p w:rsidR="006A3ADC" w:rsidRDefault="006A3ADC" w:rsidP="00FB45DD">
            <w:pPr>
              <w:spacing w:before="120" w:after="120"/>
              <w:jc w:val="both"/>
              <w:rPr>
                <w:rFonts w:ascii="Arial" w:hAnsi="Arial" w:cs="Arial"/>
                <w:b/>
              </w:rPr>
            </w:pPr>
            <w:r>
              <w:rPr>
                <w:rFonts w:ascii="Arial" w:hAnsi="Arial" w:cs="Arial"/>
                <w:b/>
              </w:rPr>
              <w:t>Dr Andrew Chan</w:t>
            </w:r>
          </w:p>
        </w:tc>
        <w:tc>
          <w:tcPr>
            <w:tcW w:w="2268" w:type="dxa"/>
            <w:shd w:val="clear" w:color="auto" w:fill="D9D9D9"/>
          </w:tcPr>
          <w:p w:rsidR="006A3ADC" w:rsidRDefault="006A3ADC" w:rsidP="00FB45DD">
            <w:pPr>
              <w:spacing w:before="120" w:after="120"/>
              <w:jc w:val="both"/>
              <w:rPr>
                <w:rFonts w:ascii="Arial" w:hAnsi="Arial" w:cs="Arial"/>
                <w:b/>
              </w:rPr>
            </w:pPr>
            <w:r>
              <w:rPr>
                <w:rFonts w:ascii="Arial" w:hAnsi="Arial" w:cs="Arial"/>
                <w:b/>
              </w:rPr>
              <w:t>Internal Verifier:</w:t>
            </w:r>
          </w:p>
        </w:tc>
        <w:tc>
          <w:tcPr>
            <w:tcW w:w="2268" w:type="dxa"/>
          </w:tcPr>
          <w:p w:rsidR="006A3ADC" w:rsidRDefault="006A3ADC" w:rsidP="00FB45DD">
            <w:pPr>
              <w:spacing w:before="120" w:after="120"/>
              <w:jc w:val="both"/>
              <w:rPr>
                <w:rFonts w:ascii="Arial" w:hAnsi="Arial" w:cs="Arial"/>
                <w:b/>
                <w:lang w:eastAsia="zh-HK"/>
              </w:rPr>
            </w:pPr>
            <w:r>
              <w:rPr>
                <w:rFonts w:ascii="Arial" w:hAnsi="Arial" w:cs="Arial" w:hint="eastAsia"/>
                <w:b/>
                <w:lang w:eastAsia="zh-HK"/>
              </w:rPr>
              <w:t>P</w:t>
            </w:r>
            <w:r>
              <w:rPr>
                <w:rFonts w:ascii="Arial" w:hAnsi="Arial" w:cs="Arial"/>
                <w:b/>
                <w:lang w:eastAsia="zh-HK"/>
              </w:rPr>
              <w:t>rof. Luk Chung Leung</w:t>
            </w:r>
          </w:p>
        </w:tc>
      </w:tr>
      <w:tr w:rsidR="006A3ADC" w:rsidRPr="00A406E5" w:rsidTr="00FB45DD">
        <w:tc>
          <w:tcPr>
            <w:tcW w:w="2093" w:type="dxa"/>
            <w:shd w:val="pct15" w:color="auto" w:fill="auto"/>
          </w:tcPr>
          <w:p w:rsidR="006A3ADC" w:rsidRPr="00A406E5" w:rsidRDefault="006A3ADC" w:rsidP="00FB45DD">
            <w:pPr>
              <w:spacing w:before="120" w:after="120"/>
              <w:jc w:val="both"/>
              <w:rPr>
                <w:rFonts w:ascii="Arial" w:hAnsi="Arial" w:cs="Arial"/>
                <w:b/>
              </w:rPr>
            </w:pPr>
            <w:r w:rsidRPr="00A406E5">
              <w:rPr>
                <w:rFonts w:ascii="Arial" w:hAnsi="Arial" w:cs="Arial"/>
                <w:b/>
              </w:rPr>
              <w:t>Assignment Title:</w:t>
            </w:r>
          </w:p>
        </w:tc>
        <w:tc>
          <w:tcPr>
            <w:tcW w:w="3293" w:type="dxa"/>
          </w:tcPr>
          <w:p w:rsidR="006A3ADC" w:rsidRDefault="006A3ADC" w:rsidP="00FB45DD">
            <w:pPr>
              <w:spacing w:before="120" w:after="120"/>
              <w:jc w:val="both"/>
              <w:rPr>
                <w:rFonts w:ascii="Arial" w:hAnsi="Arial" w:cs="Arial"/>
                <w:b/>
              </w:rPr>
            </w:pPr>
            <w:r>
              <w:rPr>
                <w:rFonts w:ascii="Arial" w:hAnsi="Arial" w:cs="Arial"/>
                <w:b/>
              </w:rPr>
              <w:t>Project report</w:t>
            </w:r>
          </w:p>
        </w:tc>
        <w:tc>
          <w:tcPr>
            <w:tcW w:w="2268" w:type="dxa"/>
            <w:shd w:val="pct15" w:color="auto" w:fill="auto"/>
          </w:tcPr>
          <w:p w:rsidR="006A3ADC" w:rsidRDefault="006A3ADC" w:rsidP="00FB45DD">
            <w:pPr>
              <w:spacing w:before="120" w:after="120"/>
              <w:jc w:val="both"/>
              <w:rPr>
                <w:rFonts w:ascii="Arial" w:hAnsi="Arial" w:cs="Arial"/>
                <w:b/>
              </w:rPr>
            </w:pPr>
            <w:r>
              <w:rPr>
                <w:rFonts w:ascii="Arial" w:hAnsi="Arial" w:cs="Arial"/>
                <w:b/>
              </w:rPr>
              <w:t>Word count (or equivalent):</w:t>
            </w:r>
          </w:p>
        </w:tc>
        <w:tc>
          <w:tcPr>
            <w:tcW w:w="2268" w:type="dxa"/>
          </w:tcPr>
          <w:p w:rsidR="006A3ADC" w:rsidRDefault="006A3ADC" w:rsidP="00FB45DD">
            <w:pPr>
              <w:spacing w:before="120" w:after="120"/>
              <w:jc w:val="both"/>
              <w:rPr>
                <w:rFonts w:ascii="Arial" w:hAnsi="Arial" w:cs="Arial"/>
                <w:b/>
              </w:rPr>
            </w:pPr>
            <w:r>
              <w:rPr>
                <w:rFonts w:ascii="Arial" w:hAnsi="Arial" w:cs="Arial"/>
                <w:b/>
              </w:rPr>
              <w:t>7500 words</w:t>
            </w:r>
          </w:p>
        </w:tc>
      </w:tr>
      <w:tr w:rsidR="006A3ADC" w:rsidRPr="00A406E5" w:rsidTr="00FB45DD">
        <w:tc>
          <w:tcPr>
            <w:tcW w:w="2093" w:type="dxa"/>
            <w:shd w:val="pct15" w:color="auto" w:fill="auto"/>
          </w:tcPr>
          <w:p w:rsidR="006A3ADC" w:rsidRPr="00A406E5" w:rsidRDefault="006A3ADC" w:rsidP="00FB45DD">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rsidR="006A3ADC" w:rsidRPr="00166581" w:rsidRDefault="006A3ADC" w:rsidP="00FB45DD">
            <w:pPr>
              <w:spacing w:before="120" w:after="120"/>
              <w:jc w:val="both"/>
              <w:rPr>
                <w:rFonts w:ascii="Arial" w:hAnsi="Arial" w:cs="Arial"/>
                <w:bCs/>
                <w:lang w:eastAsia="zh-HK"/>
              </w:rPr>
            </w:pPr>
            <w:r>
              <w:rPr>
                <w:rFonts w:ascii="Arial" w:hAnsi="Arial" w:cs="Arial" w:hint="eastAsia"/>
                <w:bCs/>
                <w:lang w:eastAsia="zh-HK"/>
              </w:rPr>
              <w:t>2</w:t>
            </w:r>
            <w:r>
              <w:rPr>
                <w:rFonts w:ascii="Arial" w:hAnsi="Arial" w:cs="Arial"/>
                <w:bCs/>
                <w:lang w:eastAsia="zh-HK"/>
              </w:rPr>
              <w:t>8 December 2020</w:t>
            </w:r>
          </w:p>
        </w:tc>
        <w:tc>
          <w:tcPr>
            <w:tcW w:w="2268" w:type="dxa"/>
            <w:shd w:val="pct15" w:color="auto" w:fill="auto"/>
          </w:tcPr>
          <w:p w:rsidR="006A3ADC" w:rsidRPr="00A406E5" w:rsidRDefault="006A3ADC" w:rsidP="00FB45DD">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rsidR="006A3ADC" w:rsidRPr="00166581" w:rsidRDefault="006A3ADC" w:rsidP="00FB45DD">
            <w:pPr>
              <w:spacing w:before="120" w:after="120"/>
              <w:rPr>
                <w:rFonts w:ascii="Arial" w:hAnsi="Arial" w:cs="Arial"/>
                <w:bCs/>
                <w:lang w:eastAsia="zh-HK"/>
              </w:rPr>
            </w:pPr>
            <w:r w:rsidRPr="00166581">
              <w:rPr>
                <w:rFonts w:ascii="Arial" w:hAnsi="Arial" w:cs="Arial" w:hint="eastAsia"/>
                <w:bCs/>
                <w:lang w:eastAsia="zh-HK"/>
              </w:rPr>
              <w:t>2</w:t>
            </w:r>
            <w:r w:rsidRPr="00166581">
              <w:rPr>
                <w:rFonts w:ascii="Arial" w:hAnsi="Arial" w:cs="Arial"/>
                <w:bCs/>
                <w:lang w:eastAsia="zh-HK"/>
              </w:rPr>
              <w:t>2 January 2021</w:t>
            </w:r>
          </w:p>
        </w:tc>
      </w:tr>
      <w:tr w:rsidR="006A3ADC" w:rsidRPr="00A406E5" w:rsidTr="00FB45DD">
        <w:tc>
          <w:tcPr>
            <w:tcW w:w="2093" w:type="dxa"/>
            <w:shd w:val="pct15" w:color="auto" w:fill="auto"/>
          </w:tcPr>
          <w:p w:rsidR="006A3ADC" w:rsidRPr="00A406E5" w:rsidRDefault="006A3ADC" w:rsidP="00FB45DD">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rsidR="006A3ADC" w:rsidRPr="00A406E5" w:rsidRDefault="006A3ADC" w:rsidP="00FB45DD">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6A3ADC" w:rsidRPr="00A406E5" w:rsidRDefault="006A3ADC" w:rsidP="00FB45DD">
            <w:pPr>
              <w:spacing w:before="120" w:after="120"/>
              <w:jc w:val="both"/>
              <w:rPr>
                <w:rFonts w:ascii="Arial" w:hAnsi="Arial" w:cs="Arial"/>
                <w:b/>
              </w:rPr>
            </w:pPr>
            <w:r w:rsidRPr="00A406E5">
              <w:rPr>
                <w:rFonts w:ascii="Arial" w:hAnsi="Arial" w:cs="Arial"/>
                <w:b/>
              </w:rPr>
              <w:t xml:space="preserve">Alternative submission method (if applicable): </w:t>
            </w:r>
          </w:p>
          <w:p w:rsidR="006A3ADC" w:rsidRPr="00A406E5" w:rsidRDefault="006A3ADC" w:rsidP="00FB45DD">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6A3ADC" w:rsidRPr="00A406E5" w:rsidTr="00FB45DD">
        <w:tc>
          <w:tcPr>
            <w:tcW w:w="2093" w:type="dxa"/>
            <w:shd w:val="pct15" w:color="auto" w:fill="auto"/>
          </w:tcPr>
          <w:p w:rsidR="006A3ADC" w:rsidRPr="00A406E5" w:rsidRDefault="006A3ADC" w:rsidP="00FB45DD">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rsidR="006A3ADC" w:rsidRPr="00A406E5" w:rsidRDefault="006A3ADC" w:rsidP="00FB45DD">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rsidR="006A3ADC" w:rsidRPr="00A406E5" w:rsidRDefault="006A3ADC" w:rsidP="006A3ADC">
      <w:pPr>
        <w:rPr>
          <w:rFonts w:ascii="Arial" w:hAnsi="Arial" w:cs="Arial"/>
          <w:sz w:val="32"/>
        </w:rPr>
      </w:pPr>
    </w:p>
    <w:p w:rsidR="006A3ADC" w:rsidRPr="00A406E5" w:rsidRDefault="006A3ADC" w:rsidP="006A3ADC">
      <w:pPr>
        <w:rPr>
          <w:rFonts w:ascii="Arial" w:hAnsi="Arial" w:cs="Arial"/>
          <w:sz w:val="32"/>
        </w:rPr>
      </w:pPr>
    </w:p>
    <w:p w:rsidR="006A3ADC" w:rsidRPr="00A406E5" w:rsidRDefault="006A3ADC" w:rsidP="006A3ADC">
      <w:pPr>
        <w:rPr>
          <w:rFonts w:ascii="Arial" w:hAnsi="Arial" w:cs="Arial"/>
          <w:sz w:val="32"/>
        </w:rPr>
      </w:pPr>
    </w:p>
    <w:p w:rsidR="001951C5" w:rsidRPr="006A3ADC" w:rsidRDefault="001951C5" w:rsidP="001951C5">
      <w:pPr>
        <w:spacing w:after="120" w:line="360" w:lineRule="auto"/>
        <w:jc w:val="center"/>
        <w:rPr>
          <w:rFonts w:ascii="Times New Roman" w:hAnsi="Times New Roman" w:cs="Times New Roman"/>
          <w:b/>
          <w:sz w:val="24"/>
          <w:szCs w:val="24"/>
          <w:lang w:val="en-GB"/>
        </w:rPr>
      </w:pPr>
    </w:p>
    <w:p w:rsidR="001951C5" w:rsidRDefault="001951C5" w:rsidP="001951C5">
      <w:pPr>
        <w:spacing w:after="120" w:line="360" w:lineRule="auto"/>
        <w:jc w:val="center"/>
        <w:rPr>
          <w:rFonts w:ascii="Times New Roman" w:hAnsi="Times New Roman" w:cs="Times New Roman"/>
          <w:b/>
          <w:sz w:val="24"/>
          <w:szCs w:val="24"/>
        </w:rPr>
      </w:pPr>
    </w:p>
    <w:p w:rsidR="001951C5" w:rsidRDefault="001951C5" w:rsidP="001951C5">
      <w:pPr>
        <w:spacing w:after="120" w:line="360" w:lineRule="auto"/>
        <w:jc w:val="center"/>
        <w:rPr>
          <w:rFonts w:ascii="Times New Roman" w:hAnsi="Times New Roman" w:cs="Times New Roman"/>
          <w:b/>
          <w:sz w:val="24"/>
          <w:szCs w:val="24"/>
        </w:rPr>
      </w:pPr>
    </w:p>
    <w:p w:rsidR="001951C5" w:rsidRDefault="001951C5" w:rsidP="001951C5">
      <w:pPr>
        <w:spacing w:after="120" w:line="360" w:lineRule="auto"/>
        <w:jc w:val="center"/>
        <w:rPr>
          <w:rFonts w:ascii="Times New Roman" w:hAnsi="Times New Roman" w:cs="Times New Roman"/>
          <w:b/>
          <w:sz w:val="24"/>
          <w:szCs w:val="24"/>
        </w:rPr>
      </w:pPr>
    </w:p>
    <w:p w:rsidR="001951C5" w:rsidRDefault="001951C5" w:rsidP="001951C5">
      <w:pPr>
        <w:spacing w:after="120" w:line="360" w:lineRule="auto"/>
        <w:jc w:val="center"/>
        <w:rPr>
          <w:rFonts w:ascii="Times New Roman" w:hAnsi="Times New Roman" w:cs="Times New Roman"/>
          <w:b/>
          <w:sz w:val="24"/>
          <w:szCs w:val="24"/>
        </w:rPr>
      </w:pPr>
    </w:p>
    <w:p w:rsidR="001951C5" w:rsidRPr="006C5705" w:rsidRDefault="001951C5" w:rsidP="001951C5">
      <w:pPr>
        <w:spacing w:after="120" w:line="360" w:lineRule="auto"/>
        <w:jc w:val="center"/>
        <w:rPr>
          <w:rFonts w:ascii="Times New Roman" w:hAnsi="Times New Roman" w:cs="Times New Roman"/>
          <w:b/>
          <w:sz w:val="24"/>
          <w:szCs w:val="24"/>
        </w:rPr>
      </w:pPr>
      <w:r w:rsidRPr="006C5705">
        <w:rPr>
          <w:rFonts w:ascii="Times New Roman" w:hAnsi="Times New Roman" w:cs="Times New Roman"/>
          <w:b/>
          <w:sz w:val="24"/>
          <w:szCs w:val="24"/>
        </w:rPr>
        <w:t>University of Wales Trinity Saint David</w:t>
      </w:r>
    </w:p>
    <w:p w:rsidR="001951C5" w:rsidRDefault="001951C5" w:rsidP="001951C5">
      <w:pPr>
        <w:spacing w:after="120" w:line="360" w:lineRule="auto"/>
        <w:jc w:val="center"/>
        <w:rPr>
          <w:rFonts w:ascii="Times New Roman" w:hAnsi="Times New Roman" w:cs="Times New Roman"/>
          <w:b/>
          <w:sz w:val="24"/>
          <w:szCs w:val="24"/>
        </w:rPr>
      </w:pPr>
      <w:r>
        <w:rPr>
          <w:rFonts w:ascii="Times New Roman" w:hAnsi="Times New Roman" w:cs="Times New Roman"/>
          <w:b/>
          <w:sz w:val="24"/>
          <w:szCs w:val="24"/>
        </w:rPr>
        <w:t>HKBM7004 Quantitative Research Methods</w:t>
      </w:r>
    </w:p>
    <w:p w:rsidR="001951C5" w:rsidRDefault="001951C5" w:rsidP="001951C5">
      <w:pPr>
        <w:spacing w:after="120" w:line="360" w:lineRule="auto"/>
        <w:jc w:val="center"/>
        <w:rPr>
          <w:rFonts w:ascii="Times New Roman" w:hAnsi="Times New Roman" w:cs="Times New Roman"/>
          <w:sz w:val="24"/>
          <w:szCs w:val="24"/>
        </w:rPr>
      </w:pPr>
      <w:r>
        <w:rPr>
          <w:rFonts w:ascii="Times New Roman" w:hAnsi="Times New Roman" w:cs="Times New Roman"/>
          <w:b/>
          <w:sz w:val="24"/>
          <w:szCs w:val="24"/>
        </w:rPr>
        <w:t>Project Report</w:t>
      </w:r>
    </w:p>
    <w:p w:rsidR="001951C5" w:rsidRPr="00B368B8" w:rsidRDefault="00967FDE" w:rsidP="00967FDE">
      <w:pPr>
        <w:spacing w:after="120" w:line="360" w:lineRule="auto"/>
        <w:rPr>
          <w:rFonts w:ascii="Times New Roman" w:hAnsi="Times New Roman" w:cs="Times New Roman"/>
          <w:sz w:val="24"/>
          <w:szCs w:val="24"/>
        </w:rPr>
      </w:pPr>
      <w:r>
        <w:rPr>
          <w:rFonts w:ascii="Times New Roman" w:hAnsi="Times New Roman" w:cs="Times New Roman"/>
          <w:sz w:val="24"/>
          <w:szCs w:val="24"/>
        </w:rPr>
        <w:t xml:space="preserve">Title: </w:t>
      </w:r>
      <w:r w:rsidR="001951C5">
        <w:rPr>
          <w:rFonts w:ascii="Times New Roman" w:hAnsi="Times New Roman" w:cs="Times New Roman"/>
          <w:sz w:val="24"/>
          <w:szCs w:val="24"/>
        </w:rPr>
        <w:t xml:space="preserve">A quantitative </w:t>
      </w:r>
      <w:r w:rsidR="001951C5" w:rsidRPr="00B368B8">
        <w:rPr>
          <w:rFonts w:ascii="Times New Roman" w:hAnsi="Times New Roman" w:cs="Times New Roman"/>
          <w:sz w:val="24"/>
          <w:szCs w:val="24"/>
        </w:rPr>
        <w:t>analysis of corporate governance in Hong Kong</w:t>
      </w:r>
    </w:p>
    <w:p w:rsidR="001951C5" w:rsidRPr="00B368B8" w:rsidRDefault="001951C5" w:rsidP="001951C5">
      <w:pPr>
        <w:spacing w:after="120" w:line="360" w:lineRule="auto"/>
        <w:rPr>
          <w:rFonts w:ascii="Times New Roman" w:hAnsi="Times New Roman" w:cs="Times New Roman"/>
          <w:sz w:val="24"/>
          <w:szCs w:val="24"/>
        </w:rPr>
      </w:pPr>
      <w:r w:rsidRPr="00B368B8">
        <w:rPr>
          <w:rFonts w:ascii="Times New Roman" w:hAnsi="Times New Roman" w:cs="Times New Roman"/>
          <w:sz w:val="24"/>
          <w:szCs w:val="24"/>
        </w:rPr>
        <w:t>Student Name: Leung Kelvin Yiu Fai</w:t>
      </w:r>
    </w:p>
    <w:p w:rsidR="001951C5" w:rsidRPr="00B368B8" w:rsidRDefault="001951C5" w:rsidP="001951C5">
      <w:pPr>
        <w:spacing w:after="120" w:line="360" w:lineRule="auto"/>
        <w:rPr>
          <w:rFonts w:ascii="Times New Roman" w:hAnsi="Times New Roman" w:cs="Times New Roman"/>
          <w:sz w:val="24"/>
          <w:szCs w:val="24"/>
        </w:rPr>
      </w:pPr>
      <w:r w:rsidRPr="00B368B8">
        <w:rPr>
          <w:rFonts w:ascii="Times New Roman" w:hAnsi="Times New Roman" w:cs="Times New Roman"/>
          <w:sz w:val="24"/>
          <w:szCs w:val="24"/>
        </w:rPr>
        <w:t>Student ID Number: 1916077</w:t>
      </w:r>
    </w:p>
    <w:p w:rsidR="001951C5" w:rsidRPr="00B368B8" w:rsidRDefault="001951C5" w:rsidP="001951C5">
      <w:pPr>
        <w:spacing w:after="120" w:line="360" w:lineRule="auto"/>
        <w:rPr>
          <w:rFonts w:ascii="Times New Roman" w:hAnsi="Times New Roman" w:cs="Times New Roman"/>
          <w:sz w:val="24"/>
          <w:szCs w:val="24"/>
        </w:rPr>
      </w:pPr>
      <w:r>
        <w:rPr>
          <w:rFonts w:ascii="Times New Roman" w:hAnsi="Times New Roman" w:cs="Times New Roman"/>
          <w:sz w:val="24"/>
          <w:szCs w:val="24"/>
        </w:rPr>
        <w:t xml:space="preserve">Date: 15 December </w:t>
      </w:r>
      <w:r w:rsidRPr="00B368B8">
        <w:rPr>
          <w:rFonts w:ascii="Times New Roman" w:hAnsi="Times New Roman" w:cs="Times New Roman"/>
          <w:sz w:val="24"/>
          <w:szCs w:val="24"/>
        </w:rPr>
        <w:t>2020</w:t>
      </w:r>
    </w:p>
    <w:p w:rsidR="001951C5" w:rsidRDefault="001951C5" w:rsidP="001951C5">
      <w:pPr>
        <w:spacing w:after="120" w:line="360" w:lineRule="auto"/>
        <w:rPr>
          <w:rFonts w:ascii="Times New Roman" w:hAnsi="Times New Roman" w:cs="Times New Roman"/>
          <w:sz w:val="24"/>
          <w:szCs w:val="24"/>
        </w:rPr>
      </w:pPr>
      <w:r>
        <w:rPr>
          <w:rFonts w:ascii="Times New Roman" w:hAnsi="Times New Roman" w:cs="Times New Roman"/>
          <w:sz w:val="24"/>
          <w:szCs w:val="24"/>
        </w:rPr>
        <w:t>Number of words: 7,746</w:t>
      </w:r>
      <w:r w:rsidRPr="00B368B8">
        <w:rPr>
          <w:rFonts w:ascii="Times New Roman" w:hAnsi="Times New Roman" w:cs="Times New Roman"/>
          <w:sz w:val="24"/>
          <w:szCs w:val="24"/>
        </w:rPr>
        <w:t xml:space="preserve"> (excluding cover s</w:t>
      </w:r>
      <w:r>
        <w:rPr>
          <w:rFonts w:ascii="Times New Roman" w:hAnsi="Times New Roman" w:cs="Times New Roman"/>
          <w:sz w:val="24"/>
          <w:szCs w:val="24"/>
        </w:rPr>
        <w:t xml:space="preserve">heets, </w:t>
      </w:r>
      <w:r w:rsidR="008C7CB9">
        <w:rPr>
          <w:rFonts w:ascii="Times New Roman" w:hAnsi="Times New Roman" w:cs="Times New Roman"/>
          <w:sz w:val="24"/>
          <w:szCs w:val="24"/>
        </w:rPr>
        <w:t>tables and bibliography</w:t>
      </w:r>
      <w:r w:rsidRPr="00B368B8">
        <w:rPr>
          <w:rFonts w:ascii="Times New Roman" w:hAnsi="Times New Roman" w:cs="Times New Roman"/>
          <w:sz w:val="24"/>
          <w:szCs w:val="24"/>
        </w:rPr>
        <w:t>)</w:t>
      </w:r>
    </w:p>
    <w:p w:rsidR="001951C5" w:rsidRDefault="001951C5">
      <w:pPr>
        <w:rPr>
          <w:rFonts w:ascii="Times New Roman" w:hAnsi="Times New Roman" w:cs="Times New Roman"/>
          <w:sz w:val="24"/>
          <w:szCs w:val="24"/>
        </w:rPr>
      </w:pPr>
      <w:r>
        <w:rPr>
          <w:rFonts w:ascii="Times New Roman" w:hAnsi="Times New Roman" w:cs="Times New Roman"/>
          <w:sz w:val="24"/>
          <w:szCs w:val="24"/>
        </w:rPr>
        <w:br w:type="page"/>
      </w:r>
    </w:p>
    <w:p w:rsidR="005E6F17" w:rsidRPr="00B506CF" w:rsidRDefault="003A6A34" w:rsidP="003330C9">
      <w:pPr>
        <w:pStyle w:val="ListParagraph"/>
        <w:numPr>
          <w:ilvl w:val="0"/>
          <w:numId w:val="2"/>
        </w:numPr>
        <w:spacing w:after="0" w:line="360" w:lineRule="auto"/>
        <w:ind w:left="284" w:hanging="284"/>
        <w:rPr>
          <w:rFonts w:ascii="Times New Roman" w:hAnsi="Times New Roman" w:cs="Times New Roman"/>
          <w:b/>
          <w:sz w:val="24"/>
          <w:szCs w:val="24"/>
        </w:rPr>
      </w:pPr>
      <w:r w:rsidRPr="00B506CF">
        <w:rPr>
          <w:rFonts w:ascii="Times New Roman" w:hAnsi="Times New Roman" w:cs="Times New Roman"/>
          <w:b/>
          <w:sz w:val="24"/>
          <w:szCs w:val="24"/>
        </w:rPr>
        <w:lastRenderedPageBreak/>
        <w:t>INTRODUCTION</w:t>
      </w:r>
    </w:p>
    <w:p w:rsidR="005E6F17" w:rsidRDefault="005E6F17" w:rsidP="003330C9">
      <w:pPr>
        <w:spacing w:after="0" w:line="360" w:lineRule="auto"/>
        <w:rPr>
          <w:rFonts w:ascii="Times New Roman" w:hAnsi="Times New Roman" w:cs="Times New Roman"/>
          <w:sz w:val="24"/>
          <w:szCs w:val="24"/>
        </w:rPr>
      </w:pPr>
    </w:p>
    <w:p w:rsidR="00227745" w:rsidRPr="00B506CF" w:rsidRDefault="00027538" w:rsidP="003330C9">
      <w:pPr>
        <w:pStyle w:val="ListParagraph"/>
        <w:numPr>
          <w:ilvl w:val="1"/>
          <w:numId w:val="2"/>
        </w:numPr>
        <w:spacing w:after="0" w:line="360" w:lineRule="auto"/>
        <w:ind w:left="426" w:hanging="426"/>
        <w:rPr>
          <w:rFonts w:ascii="Times New Roman" w:hAnsi="Times New Roman" w:cs="Times New Roman"/>
          <w:b/>
          <w:sz w:val="24"/>
          <w:szCs w:val="24"/>
        </w:rPr>
      </w:pPr>
      <w:r w:rsidRPr="00B506CF">
        <w:rPr>
          <w:rFonts w:ascii="Times New Roman" w:hAnsi="Times New Roman" w:cs="Times New Roman"/>
          <w:b/>
          <w:sz w:val="24"/>
          <w:szCs w:val="24"/>
        </w:rPr>
        <w:t>Definition and importance of good corporate governance</w:t>
      </w:r>
    </w:p>
    <w:p w:rsidR="00CA5089" w:rsidRPr="00B506CF" w:rsidRDefault="00CA5089" w:rsidP="003330C9">
      <w:pPr>
        <w:spacing w:after="0" w:line="360" w:lineRule="auto"/>
        <w:rPr>
          <w:rFonts w:ascii="Times New Roman" w:hAnsi="Times New Roman" w:cs="Times New Roman"/>
          <w:b/>
          <w:sz w:val="24"/>
          <w:szCs w:val="24"/>
        </w:rPr>
      </w:pPr>
    </w:p>
    <w:p w:rsidR="00CA5089" w:rsidRPr="00CA5089" w:rsidRDefault="00CA5089"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Corporate governance describes the rules and practices put in place within a company to deal with the relationships between the shareholders, directors and the management. It is concerned with how companies are controlled and the accountability and control mechanisms to which they are subjected. </w:t>
      </w:r>
      <w:r w:rsidR="00882B1F">
        <w:rPr>
          <w:rFonts w:ascii="Times New Roman" w:hAnsi="Times New Roman" w:cs="Times New Roman"/>
          <w:sz w:val="24"/>
          <w:szCs w:val="24"/>
        </w:rPr>
        <w:t xml:space="preserve">These mechanisms aim to ensure that directors are accountable to shareholders and the management is accountable to directors </w:t>
      </w:r>
      <w:r w:rsidR="00535597">
        <w:rPr>
          <w:rFonts w:ascii="Times New Roman" w:hAnsi="Times New Roman" w:cs="Times New Roman"/>
          <w:noProof/>
          <w:sz w:val="24"/>
          <w:szCs w:val="24"/>
        </w:rPr>
        <w:t xml:space="preserve">(Lipton </w:t>
      </w:r>
      <w:r w:rsidR="00535597" w:rsidRPr="00535597">
        <w:rPr>
          <w:rFonts w:ascii="Times New Roman" w:hAnsi="Times New Roman" w:cs="Times New Roman"/>
          <w:i/>
          <w:noProof/>
          <w:sz w:val="24"/>
          <w:szCs w:val="24"/>
        </w:rPr>
        <w:t>et al</w:t>
      </w:r>
      <w:r w:rsidR="00535597">
        <w:rPr>
          <w:rFonts w:ascii="Times New Roman" w:hAnsi="Times New Roman" w:cs="Times New Roman"/>
          <w:noProof/>
          <w:sz w:val="24"/>
          <w:szCs w:val="24"/>
        </w:rPr>
        <w:t>.</w:t>
      </w:r>
      <w:r w:rsidR="00535597" w:rsidRPr="00192B74">
        <w:rPr>
          <w:rFonts w:ascii="Times New Roman" w:hAnsi="Times New Roman" w:cs="Times New Roman"/>
          <w:noProof/>
          <w:sz w:val="24"/>
          <w:szCs w:val="24"/>
        </w:rPr>
        <w:t xml:space="preserve"> 2019, pp. 400-401)</w:t>
      </w:r>
      <w:r w:rsidR="00156520">
        <w:rPr>
          <w:rFonts w:ascii="Times New Roman" w:hAnsi="Times New Roman" w:cs="Times New Roman"/>
          <w:sz w:val="24"/>
          <w:szCs w:val="24"/>
        </w:rPr>
        <w:t>.</w:t>
      </w:r>
    </w:p>
    <w:p w:rsidR="008E4113" w:rsidRDefault="008E4113" w:rsidP="003330C9">
      <w:pPr>
        <w:spacing w:after="0" w:line="360" w:lineRule="auto"/>
        <w:rPr>
          <w:rFonts w:ascii="Times New Roman" w:hAnsi="Times New Roman" w:cs="Times New Roman"/>
          <w:sz w:val="24"/>
          <w:szCs w:val="24"/>
        </w:rPr>
      </w:pPr>
    </w:p>
    <w:p w:rsidR="008E4113" w:rsidRDefault="005415C6"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 Organisation for Economic Cooperation and Development </w:t>
      </w:r>
      <w:r w:rsidR="00EA7278">
        <w:rPr>
          <w:rFonts w:ascii="Times New Roman" w:hAnsi="Times New Roman" w:cs="Times New Roman"/>
          <w:sz w:val="24"/>
          <w:szCs w:val="24"/>
        </w:rPr>
        <w:t xml:space="preserve">(“OECD”) </w:t>
      </w:r>
      <w:r>
        <w:rPr>
          <w:rFonts w:ascii="Times New Roman" w:hAnsi="Times New Roman" w:cs="Times New Roman"/>
          <w:sz w:val="24"/>
          <w:szCs w:val="24"/>
        </w:rPr>
        <w:t xml:space="preserve">states that corporate </w:t>
      </w:r>
      <w:r w:rsidR="008E4113">
        <w:rPr>
          <w:rFonts w:ascii="Times New Roman" w:hAnsi="Times New Roman" w:cs="Times New Roman"/>
          <w:sz w:val="24"/>
          <w:szCs w:val="24"/>
        </w:rPr>
        <w:t>governance is an important global issue:</w:t>
      </w:r>
    </w:p>
    <w:p w:rsidR="008E4113" w:rsidRDefault="008E4113" w:rsidP="003330C9">
      <w:pPr>
        <w:spacing w:after="0" w:line="360" w:lineRule="auto"/>
        <w:rPr>
          <w:rFonts w:ascii="Times New Roman" w:hAnsi="Times New Roman" w:cs="Times New Roman"/>
          <w:sz w:val="24"/>
          <w:szCs w:val="24"/>
        </w:rPr>
      </w:pPr>
    </w:p>
    <w:p w:rsidR="008E4113" w:rsidRDefault="008E4113" w:rsidP="003330C9">
      <w:pPr>
        <w:spacing w:after="0" w:line="360" w:lineRule="auto"/>
        <w:ind w:left="720" w:right="804"/>
        <w:rPr>
          <w:rFonts w:ascii="Times New Roman" w:hAnsi="Times New Roman" w:cs="Times New Roman"/>
          <w:sz w:val="24"/>
          <w:szCs w:val="24"/>
        </w:rPr>
      </w:pPr>
      <w:r>
        <w:rPr>
          <w:rFonts w:ascii="Times New Roman" w:hAnsi="Times New Roman" w:cs="Times New Roman"/>
          <w:sz w:val="24"/>
          <w:szCs w:val="24"/>
        </w:rPr>
        <w:t>The quality of corporate governance affects the cost for corporations to access capital for growth and the confidence with which those that provide capital – directly or indirectly – can participate and share in their value-creatio</w:t>
      </w:r>
      <w:r w:rsidR="00C51C00">
        <w:rPr>
          <w:rFonts w:ascii="Times New Roman" w:hAnsi="Times New Roman" w:cs="Times New Roman"/>
          <w:sz w:val="24"/>
          <w:szCs w:val="24"/>
        </w:rPr>
        <w:t xml:space="preserve">n on fair and equitable terms. </w:t>
      </w:r>
      <w:r w:rsidR="00C51C00" w:rsidRPr="00C51C00">
        <w:rPr>
          <w:rFonts w:ascii="Times New Roman" w:hAnsi="Times New Roman" w:cs="Times New Roman"/>
          <w:sz w:val="24"/>
          <w:szCs w:val="24"/>
        </w:rPr>
        <w:t>Together, the body of corporate governance rules and practices therefore provides a framework that helps to bridge the gap between household savings and investment in the real economy.</w:t>
      </w:r>
      <w:r w:rsidR="00C51C00">
        <w:t xml:space="preserve"> </w:t>
      </w:r>
      <w:r>
        <w:rPr>
          <w:rFonts w:ascii="Times New Roman" w:hAnsi="Times New Roman" w:cs="Times New Roman"/>
          <w:sz w:val="24"/>
          <w:szCs w:val="24"/>
        </w:rPr>
        <w:t>As a consequence, good corporate governance will reassure shareholders and other stakeholders that their rights are protected and make it possible for corporations to decrease the cost of capital and to facilitate the</w:t>
      </w:r>
      <w:r w:rsidR="005415C6">
        <w:rPr>
          <w:rFonts w:ascii="Times New Roman" w:hAnsi="Times New Roman" w:cs="Times New Roman"/>
          <w:sz w:val="24"/>
          <w:szCs w:val="24"/>
        </w:rPr>
        <w:t xml:space="preserve">ir access to the capital market </w:t>
      </w:r>
      <w:r w:rsidR="00535597" w:rsidRPr="005415C6">
        <w:rPr>
          <w:rFonts w:ascii="Times New Roman" w:hAnsi="Times New Roman" w:cs="Times New Roman"/>
          <w:noProof/>
          <w:sz w:val="24"/>
          <w:szCs w:val="24"/>
        </w:rPr>
        <w:t>(Organisation for Economic Cooperation and Development, 2015, p. 10)</w:t>
      </w:r>
      <w:r w:rsidR="00EA7278">
        <w:rPr>
          <w:rFonts w:ascii="Times New Roman" w:hAnsi="Times New Roman" w:cs="Times New Roman"/>
          <w:sz w:val="24"/>
          <w:szCs w:val="24"/>
        </w:rPr>
        <w:t>.</w:t>
      </w:r>
    </w:p>
    <w:p w:rsidR="008E4113" w:rsidRDefault="008E4113" w:rsidP="003330C9">
      <w:pPr>
        <w:spacing w:after="0" w:line="360" w:lineRule="auto"/>
        <w:ind w:right="804"/>
        <w:rPr>
          <w:rFonts w:ascii="Times New Roman" w:hAnsi="Times New Roman" w:cs="Times New Roman"/>
          <w:sz w:val="24"/>
          <w:szCs w:val="24"/>
        </w:rPr>
      </w:pPr>
    </w:p>
    <w:p w:rsidR="001D7D4B" w:rsidRDefault="001D7D4B" w:rsidP="003330C9">
      <w:pPr>
        <w:spacing w:after="0" w:line="360" w:lineRule="auto"/>
        <w:ind w:right="804"/>
        <w:rPr>
          <w:rFonts w:ascii="Times New Roman" w:hAnsi="Times New Roman" w:cs="Times New Roman"/>
          <w:sz w:val="24"/>
          <w:szCs w:val="24"/>
        </w:rPr>
      </w:pPr>
      <w:r>
        <w:rPr>
          <w:rFonts w:ascii="Times New Roman" w:hAnsi="Times New Roman" w:cs="Times New Roman"/>
          <w:sz w:val="24"/>
          <w:szCs w:val="24"/>
        </w:rPr>
        <w:t xml:space="preserve">Good corporate governance as a critical means to sustaining regional economic growth is evident in the organisation of five annual meetings of the Asian Roundtable on Corporate Governance, which were held between 1999 and 2003, by the OECD. It is argued that “good corporate governance practices contribute towards the overall well-being of a financial system” </w:t>
      </w:r>
      <w:r w:rsidR="003A76A7" w:rsidRPr="001D7D4B">
        <w:rPr>
          <w:rFonts w:ascii="Times New Roman" w:hAnsi="Times New Roman" w:cs="Times New Roman"/>
          <w:noProof/>
          <w:sz w:val="24"/>
          <w:szCs w:val="24"/>
        </w:rPr>
        <w:t>(Low, 2004, pp. 165-166)</w:t>
      </w:r>
      <w:r>
        <w:rPr>
          <w:rFonts w:ascii="Times New Roman" w:hAnsi="Times New Roman" w:cs="Times New Roman"/>
          <w:sz w:val="24"/>
          <w:szCs w:val="24"/>
        </w:rPr>
        <w:t>. Being one of the major international financial centres in the world, good corporate governance practices in Hong Kong are particularly important.</w:t>
      </w:r>
    </w:p>
    <w:p w:rsidR="001D7D4B" w:rsidRDefault="001D7D4B" w:rsidP="003330C9">
      <w:pPr>
        <w:spacing w:after="0" w:line="360" w:lineRule="auto"/>
        <w:ind w:right="804"/>
        <w:rPr>
          <w:rFonts w:ascii="Times New Roman" w:hAnsi="Times New Roman" w:cs="Times New Roman"/>
          <w:sz w:val="24"/>
          <w:szCs w:val="24"/>
        </w:rPr>
      </w:pPr>
    </w:p>
    <w:p w:rsidR="003146A1" w:rsidRPr="00B506CF" w:rsidRDefault="005E6F17" w:rsidP="003330C9">
      <w:pPr>
        <w:spacing w:after="0" w:line="360" w:lineRule="auto"/>
        <w:rPr>
          <w:rFonts w:ascii="Times New Roman" w:hAnsi="Times New Roman" w:cs="Times New Roman"/>
          <w:b/>
          <w:sz w:val="24"/>
          <w:szCs w:val="24"/>
        </w:rPr>
      </w:pPr>
      <w:r w:rsidRPr="00B506CF">
        <w:rPr>
          <w:rFonts w:ascii="Times New Roman" w:hAnsi="Times New Roman" w:cs="Times New Roman"/>
          <w:b/>
          <w:sz w:val="24"/>
          <w:szCs w:val="24"/>
        </w:rPr>
        <w:lastRenderedPageBreak/>
        <w:t>1.2</w:t>
      </w:r>
      <w:r w:rsidR="003146A1" w:rsidRPr="00B506CF">
        <w:rPr>
          <w:rFonts w:ascii="Times New Roman" w:hAnsi="Times New Roman" w:cs="Times New Roman"/>
          <w:b/>
          <w:sz w:val="24"/>
          <w:szCs w:val="24"/>
        </w:rPr>
        <w:t xml:space="preserve"> Background to the research</w:t>
      </w:r>
      <w:r w:rsidR="00027538" w:rsidRPr="00B506CF">
        <w:rPr>
          <w:rFonts w:ascii="Times New Roman" w:hAnsi="Times New Roman" w:cs="Times New Roman"/>
          <w:b/>
          <w:sz w:val="24"/>
          <w:szCs w:val="24"/>
        </w:rPr>
        <w:t xml:space="preserve"> – </w:t>
      </w:r>
      <w:r w:rsidR="003B7F58" w:rsidRPr="00B506CF">
        <w:rPr>
          <w:rFonts w:ascii="Times New Roman" w:hAnsi="Times New Roman" w:cs="Times New Roman"/>
          <w:b/>
          <w:sz w:val="24"/>
          <w:szCs w:val="24"/>
        </w:rPr>
        <w:t xml:space="preserve">The </w:t>
      </w:r>
      <w:r w:rsidR="00027538" w:rsidRPr="00B506CF">
        <w:rPr>
          <w:rFonts w:ascii="Times New Roman" w:hAnsi="Times New Roman" w:cs="Times New Roman"/>
          <w:b/>
          <w:sz w:val="24"/>
          <w:szCs w:val="24"/>
        </w:rPr>
        <w:t>“comply or explain” approach</w:t>
      </w:r>
      <w:r w:rsidR="003B7F58" w:rsidRPr="00B506CF">
        <w:rPr>
          <w:rFonts w:ascii="Times New Roman" w:hAnsi="Times New Roman" w:cs="Times New Roman"/>
          <w:b/>
          <w:sz w:val="24"/>
          <w:szCs w:val="24"/>
        </w:rPr>
        <w:t xml:space="preserve"> to corporate governance in Hong Kong</w:t>
      </w:r>
    </w:p>
    <w:p w:rsidR="003F767B" w:rsidRDefault="003F767B" w:rsidP="003330C9">
      <w:pPr>
        <w:spacing w:after="0" w:line="360" w:lineRule="auto"/>
        <w:rPr>
          <w:rFonts w:ascii="Times New Roman" w:hAnsi="Times New Roman" w:cs="Times New Roman"/>
          <w:sz w:val="24"/>
          <w:szCs w:val="24"/>
        </w:rPr>
      </w:pPr>
    </w:p>
    <w:p w:rsidR="003B7F58" w:rsidRDefault="003B7F58" w:rsidP="003330C9">
      <w:pPr>
        <w:spacing w:after="0" w:line="360" w:lineRule="auto"/>
        <w:ind w:right="804"/>
        <w:rPr>
          <w:rFonts w:ascii="Times New Roman" w:hAnsi="Times New Roman" w:cs="Times New Roman"/>
          <w:sz w:val="24"/>
          <w:szCs w:val="24"/>
        </w:rPr>
      </w:pPr>
      <w:r>
        <w:rPr>
          <w:rFonts w:ascii="Times New Roman" w:hAnsi="Times New Roman" w:cs="Times New Roman"/>
          <w:sz w:val="24"/>
          <w:szCs w:val="24"/>
        </w:rPr>
        <w:t xml:space="preserve">The “comply or explain” approach to corporate governance </w:t>
      </w:r>
      <w:r w:rsidR="00343918">
        <w:rPr>
          <w:rFonts w:ascii="Times New Roman" w:hAnsi="Times New Roman" w:cs="Times New Roman"/>
          <w:sz w:val="24"/>
          <w:szCs w:val="24"/>
        </w:rPr>
        <w:t xml:space="preserve">firstly </w:t>
      </w:r>
      <w:r>
        <w:rPr>
          <w:rFonts w:ascii="Times New Roman" w:hAnsi="Times New Roman" w:cs="Times New Roman"/>
          <w:sz w:val="24"/>
          <w:szCs w:val="24"/>
        </w:rPr>
        <w:t xml:space="preserve">introduced in the United Kingdom in 1992 in response to a number of corporate scandals </w:t>
      </w:r>
      <w:r w:rsidR="00331E48" w:rsidRPr="006C3797">
        <w:rPr>
          <w:rFonts w:ascii="Times New Roman" w:hAnsi="Times New Roman" w:cs="Times New Roman"/>
          <w:noProof/>
          <w:sz w:val="24"/>
          <w:szCs w:val="24"/>
        </w:rPr>
        <w:t>(Cadbury, 1992)</w:t>
      </w:r>
      <w:r>
        <w:rPr>
          <w:rFonts w:ascii="Times New Roman" w:hAnsi="Times New Roman" w:cs="Times New Roman"/>
          <w:sz w:val="24"/>
          <w:szCs w:val="24"/>
        </w:rPr>
        <w:t xml:space="preserve">. Nowadays, this approach has been adopted by many common law jurisdictions including Hong Kong and become the benchmark approach to corporate governance regulations for listed companies </w:t>
      </w:r>
      <w:r w:rsidR="003A76A7">
        <w:rPr>
          <w:rFonts w:ascii="Times New Roman" w:hAnsi="Times New Roman" w:cs="Times New Roman"/>
          <w:noProof/>
          <w:sz w:val="24"/>
          <w:szCs w:val="24"/>
        </w:rPr>
        <w:t>(Wang and</w:t>
      </w:r>
      <w:r w:rsidR="003A76A7" w:rsidRPr="00055D9F">
        <w:rPr>
          <w:rFonts w:ascii="Times New Roman" w:hAnsi="Times New Roman" w:cs="Times New Roman"/>
          <w:noProof/>
          <w:sz w:val="24"/>
          <w:szCs w:val="24"/>
        </w:rPr>
        <w:t xml:space="preserve"> Ong, 2005)</w:t>
      </w:r>
      <w:r>
        <w:rPr>
          <w:rFonts w:ascii="Times New Roman" w:hAnsi="Times New Roman" w:cs="Times New Roman"/>
          <w:sz w:val="24"/>
          <w:szCs w:val="24"/>
        </w:rPr>
        <w:t xml:space="preserve">. The “comply or explain” approach is characterised by voluntary compliance with the code provisions and with mandatory disclosure of any deviation from compliance together with reasons for such deviation. This approach is consistent with the generally accepted view that there is no “one-size-fits-all” concept </w:t>
      </w:r>
      <w:r w:rsidR="003A76A7">
        <w:rPr>
          <w:rFonts w:ascii="Times New Roman" w:hAnsi="Times New Roman" w:cs="Times New Roman"/>
          <w:noProof/>
          <w:sz w:val="24"/>
          <w:szCs w:val="24"/>
        </w:rPr>
        <w:t xml:space="preserve">(Arcot </w:t>
      </w:r>
      <w:r w:rsidR="003A76A7" w:rsidRPr="003A76A7">
        <w:rPr>
          <w:rFonts w:ascii="Times New Roman" w:hAnsi="Times New Roman" w:cs="Times New Roman"/>
          <w:i/>
          <w:noProof/>
          <w:sz w:val="24"/>
          <w:szCs w:val="24"/>
        </w:rPr>
        <w:t>et al</w:t>
      </w:r>
      <w:r w:rsidR="003A76A7">
        <w:rPr>
          <w:rFonts w:ascii="Times New Roman" w:hAnsi="Times New Roman" w:cs="Times New Roman"/>
          <w:noProof/>
          <w:sz w:val="24"/>
          <w:szCs w:val="24"/>
        </w:rPr>
        <w:t>.</w:t>
      </w:r>
      <w:r w:rsidR="003A76A7" w:rsidRPr="007A1E26">
        <w:rPr>
          <w:rFonts w:ascii="Times New Roman" w:hAnsi="Times New Roman" w:cs="Times New Roman"/>
          <w:noProof/>
          <w:sz w:val="24"/>
          <w:szCs w:val="24"/>
        </w:rPr>
        <w:t xml:space="preserve"> 2010)</w:t>
      </w:r>
      <w:r>
        <w:rPr>
          <w:rFonts w:ascii="Times New Roman" w:hAnsi="Times New Roman" w:cs="Times New Roman"/>
          <w:sz w:val="24"/>
          <w:szCs w:val="24"/>
        </w:rPr>
        <w:t>.</w:t>
      </w:r>
    </w:p>
    <w:p w:rsidR="003B7F58" w:rsidRDefault="003B7F58" w:rsidP="003330C9">
      <w:pPr>
        <w:spacing w:after="0" w:line="360" w:lineRule="auto"/>
        <w:rPr>
          <w:rFonts w:ascii="Times New Roman" w:hAnsi="Times New Roman" w:cs="Times New Roman"/>
          <w:sz w:val="24"/>
          <w:szCs w:val="24"/>
        </w:rPr>
      </w:pPr>
    </w:p>
    <w:p w:rsidR="006D6E01" w:rsidRDefault="006D6E01"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 corporate governance regime for companies listed on the Main Board of The Stock Exchange of Hong Kong Limited (the “SEHK”) is the Corporate Governance Code (the “CG Code”) and Corporate Governance Report in Appendix 14 to the </w:t>
      </w:r>
      <w:r w:rsidRPr="003554B3">
        <w:rPr>
          <w:rFonts w:ascii="Times New Roman" w:hAnsi="Times New Roman" w:cs="Times New Roman"/>
          <w:sz w:val="24"/>
          <w:szCs w:val="24"/>
        </w:rPr>
        <w:t>Rules Governing the Listing of Securities on The Stock Exchange of Hong Kong Limited (the “Listing Rules”)</w:t>
      </w:r>
      <w:r>
        <w:rPr>
          <w:rFonts w:ascii="Times New Roman" w:hAnsi="Times New Roman" w:cs="Times New Roman"/>
          <w:sz w:val="24"/>
          <w:szCs w:val="24"/>
        </w:rPr>
        <w:t>. The existing regulatory framework for corporate governance in Hong Kong is based on the CG Code and Listing Rules.</w:t>
      </w:r>
      <w:r w:rsidR="003B7F58">
        <w:rPr>
          <w:rFonts w:ascii="Times New Roman" w:hAnsi="Times New Roman" w:cs="Times New Roman"/>
          <w:sz w:val="24"/>
          <w:szCs w:val="24"/>
        </w:rPr>
        <w:t xml:space="preserve"> </w:t>
      </w:r>
    </w:p>
    <w:p w:rsidR="00165809" w:rsidRDefault="00165809" w:rsidP="003330C9">
      <w:pPr>
        <w:spacing w:after="0" w:line="360" w:lineRule="auto"/>
        <w:rPr>
          <w:rFonts w:ascii="Times New Roman" w:hAnsi="Times New Roman" w:cs="Times New Roman"/>
          <w:sz w:val="24"/>
          <w:szCs w:val="24"/>
        </w:rPr>
      </w:pPr>
    </w:p>
    <w:p w:rsidR="000925D9" w:rsidRDefault="006D6E01"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The CG Code</w:t>
      </w:r>
      <w:r w:rsidRPr="003554B3">
        <w:rPr>
          <w:rFonts w:ascii="Times New Roman" w:hAnsi="Times New Roman" w:cs="Times New Roman"/>
          <w:sz w:val="24"/>
          <w:szCs w:val="24"/>
        </w:rPr>
        <w:t xml:space="preserve"> sets out the principles of good corporate governance </w:t>
      </w:r>
      <w:r>
        <w:rPr>
          <w:rFonts w:ascii="Times New Roman" w:hAnsi="Times New Roman" w:cs="Times New Roman"/>
          <w:sz w:val="24"/>
          <w:szCs w:val="24"/>
        </w:rPr>
        <w:t>followed by th</w:t>
      </w:r>
      <w:r w:rsidRPr="003554B3">
        <w:rPr>
          <w:rFonts w:ascii="Times New Roman" w:hAnsi="Times New Roman" w:cs="Times New Roman"/>
          <w:sz w:val="24"/>
          <w:szCs w:val="24"/>
        </w:rPr>
        <w:t xml:space="preserve">e code provisions and recommended best practices. </w:t>
      </w:r>
      <w:r>
        <w:rPr>
          <w:rFonts w:ascii="Times New Roman" w:hAnsi="Times New Roman" w:cs="Times New Roman"/>
          <w:sz w:val="24"/>
          <w:szCs w:val="24"/>
        </w:rPr>
        <w:t>Appendix 14 to the Listing Rules provides that the CG Code operates on a “comply o</w:t>
      </w:r>
      <w:r w:rsidR="00BE69DE">
        <w:rPr>
          <w:rFonts w:ascii="Times New Roman" w:hAnsi="Times New Roman" w:cs="Times New Roman"/>
          <w:sz w:val="24"/>
          <w:szCs w:val="24"/>
        </w:rPr>
        <w:t>r explain” approach</w:t>
      </w:r>
      <w:r w:rsidR="006A0859">
        <w:rPr>
          <w:rFonts w:ascii="Times New Roman" w:hAnsi="Times New Roman" w:cs="Times New Roman"/>
          <w:sz w:val="24"/>
          <w:szCs w:val="24"/>
        </w:rPr>
        <w:t xml:space="preserve"> as the SEHK does not envisage a “one size fits all” approach</w:t>
      </w:r>
      <w:r w:rsidR="00BE69DE">
        <w:rPr>
          <w:rFonts w:ascii="Times New Roman" w:hAnsi="Times New Roman" w:cs="Times New Roman"/>
          <w:sz w:val="24"/>
          <w:szCs w:val="24"/>
        </w:rPr>
        <w:t>. Consequently</w:t>
      </w:r>
      <w:r>
        <w:rPr>
          <w:rFonts w:ascii="Times New Roman" w:hAnsi="Times New Roman" w:cs="Times New Roman"/>
          <w:sz w:val="24"/>
          <w:szCs w:val="24"/>
        </w:rPr>
        <w:t xml:space="preserve">, </w:t>
      </w:r>
      <w:r w:rsidR="003B38D8">
        <w:rPr>
          <w:rFonts w:ascii="Times New Roman" w:hAnsi="Times New Roman" w:cs="Times New Roman"/>
          <w:sz w:val="24"/>
          <w:szCs w:val="24"/>
        </w:rPr>
        <w:t>a listed company is</w:t>
      </w:r>
      <w:r>
        <w:rPr>
          <w:rFonts w:ascii="Times New Roman" w:hAnsi="Times New Roman" w:cs="Times New Roman"/>
          <w:sz w:val="24"/>
          <w:szCs w:val="24"/>
        </w:rPr>
        <w:t xml:space="preserve"> required to comply with the code provisions but may </w:t>
      </w:r>
      <w:r w:rsidR="003B38D8">
        <w:rPr>
          <w:rFonts w:ascii="Times New Roman" w:hAnsi="Times New Roman" w:cs="Times New Roman"/>
          <w:sz w:val="24"/>
          <w:szCs w:val="24"/>
        </w:rPr>
        <w:t>choose to deviate from them</w:t>
      </w:r>
      <w:r w:rsidR="00BE69DE">
        <w:rPr>
          <w:rFonts w:ascii="Times New Roman" w:hAnsi="Times New Roman" w:cs="Times New Roman"/>
          <w:sz w:val="24"/>
          <w:szCs w:val="24"/>
        </w:rPr>
        <w:t xml:space="preserve">. </w:t>
      </w:r>
      <w:r w:rsidR="00003292">
        <w:rPr>
          <w:rFonts w:ascii="Times New Roman" w:hAnsi="Times New Roman" w:cs="Times New Roman"/>
          <w:sz w:val="24"/>
          <w:szCs w:val="24"/>
        </w:rPr>
        <w:t>D</w:t>
      </w:r>
      <w:r w:rsidR="00BE69DE">
        <w:rPr>
          <w:rFonts w:ascii="Times New Roman" w:hAnsi="Times New Roman" w:cs="Times New Roman"/>
          <w:sz w:val="24"/>
          <w:szCs w:val="24"/>
        </w:rPr>
        <w:t xml:space="preserve">eviations from code provisions are </w:t>
      </w:r>
      <w:r w:rsidR="000925D9">
        <w:rPr>
          <w:rFonts w:ascii="Times New Roman" w:hAnsi="Times New Roman" w:cs="Times New Roman"/>
          <w:sz w:val="24"/>
          <w:szCs w:val="24"/>
        </w:rPr>
        <w:t>allowable</w:t>
      </w:r>
      <w:r w:rsidR="00BE69DE">
        <w:rPr>
          <w:rFonts w:ascii="Times New Roman" w:hAnsi="Times New Roman" w:cs="Times New Roman"/>
          <w:sz w:val="24"/>
          <w:szCs w:val="24"/>
        </w:rPr>
        <w:t xml:space="preserve"> provided that the listed company gives considered reasons for deviations in its annual reports, Corporate Governance reports and interim reports in t</w:t>
      </w:r>
      <w:r w:rsidR="006A0859">
        <w:rPr>
          <w:rFonts w:ascii="Times New Roman" w:hAnsi="Times New Roman" w:cs="Times New Roman"/>
          <w:sz w:val="24"/>
          <w:szCs w:val="24"/>
        </w:rPr>
        <w:t>he event that</w:t>
      </w:r>
      <w:r w:rsidR="00BE69DE">
        <w:rPr>
          <w:rFonts w:ascii="Times New Roman" w:hAnsi="Times New Roman" w:cs="Times New Roman"/>
          <w:sz w:val="24"/>
          <w:szCs w:val="24"/>
        </w:rPr>
        <w:t xml:space="preserve"> it considers there are more suitable ways for it to comply with the principles</w:t>
      </w:r>
      <w:r w:rsidR="00DB4412">
        <w:rPr>
          <w:rFonts w:ascii="Times New Roman" w:hAnsi="Times New Roman" w:cs="Times New Roman"/>
          <w:sz w:val="24"/>
          <w:szCs w:val="24"/>
        </w:rPr>
        <w:t xml:space="preserve"> of good corporate governance</w:t>
      </w:r>
      <w:r w:rsidR="00BE69DE">
        <w:rPr>
          <w:rFonts w:ascii="Times New Roman" w:hAnsi="Times New Roman" w:cs="Times New Roman"/>
          <w:sz w:val="24"/>
          <w:szCs w:val="24"/>
        </w:rPr>
        <w:t xml:space="preserve">. </w:t>
      </w:r>
    </w:p>
    <w:p w:rsidR="001C36D8" w:rsidRDefault="001C36D8" w:rsidP="003330C9">
      <w:pPr>
        <w:spacing w:after="0" w:line="360" w:lineRule="auto"/>
        <w:rPr>
          <w:rFonts w:ascii="Times New Roman" w:hAnsi="Times New Roman" w:cs="Times New Roman"/>
          <w:sz w:val="24"/>
          <w:szCs w:val="24"/>
        </w:rPr>
      </w:pPr>
    </w:p>
    <w:p w:rsidR="006D6E01" w:rsidRDefault="00BE69DE"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 existing corporate governance in Hong Kong is </w:t>
      </w:r>
      <w:r w:rsidR="00DB4412">
        <w:rPr>
          <w:rFonts w:ascii="Times New Roman" w:hAnsi="Times New Roman" w:cs="Times New Roman"/>
          <w:sz w:val="24"/>
          <w:szCs w:val="24"/>
        </w:rPr>
        <w:t xml:space="preserve">basically </w:t>
      </w:r>
      <w:r>
        <w:rPr>
          <w:rFonts w:ascii="Times New Roman" w:hAnsi="Times New Roman" w:cs="Times New Roman"/>
          <w:sz w:val="24"/>
          <w:szCs w:val="24"/>
        </w:rPr>
        <w:t>regulated based on a “comply or explain” approach</w:t>
      </w:r>
      <w:r w:rsidR="00186B80">
        <w:rPr>
          <w:rFonts w:ascii="Times New Roman" w:hAnsi="Times New Roman" w:cs="Times New Roman"/>
          <w:sz w:val="24"/>
          <w:szCs w:val="24"/>
        </w:rPr>
        <w:t xml:space="preserve">. As the CG Code </w:t>
      </w:r>
      <w:r w:rsidR="006D6E01">
        <w:rPr>
          <w:rFonts w:ascii="Times New Roman" w:hAnsi="Times New Roman" w:cs="Times New Roman"/>
          <w:sz w:val="24"/>
          <w:szCs w:val="24"/>
        </w:rPr>
        <w:t>does not envisage a “one size fits all” approach</w:t>
      </w:r>
      <w:r w:rsidR="00186B80">
        <w:rPr>
          <w:rFonts w:ascii="Times New Roman" w:hAnsi="Times New Roman" w:cs="Times New Roman"/>
          <w:sz w:val="24"/>
          <w:szCs w:val="24"/>
        </w:rPr>
        <w:t xml:space="preserve"> and </w:t>
      </w:r>
      <w:r w:rsidR="006D6E01">
        <w:rPr>
          <w:rFonts w:ascii="Times New Roman" w:hAnsi="Times New Roman" w:cs="Times New Roman"/>
          <w:sz w:val="24"/>
          <w:szCs w:val="24"/>
        </w:rPr>
        <w:t>the recommended best practices are not mandatory rules but for guida</w:t>
      </w:r>
      <w:r w:rsidR="00186B80">
        <w:rPr>
          <w:rFonts w:ascii="Times New Roman" w:hAnsi="Times New Roman" w:cs="Times New Roman"/>
          <w:sz w:val="24"/>
          <w:szCs w:val="24"/>
        </w:rPr>
        <w:t xml:space="preserve">nce only, </w:t>
      </w:r>
      <w:r w:rsidR="006D6E01">
        <w:rPr>
          <w:rFonts w:ascii="Times New Roman" w:hAnsi="Times New Roman" w:cs="Times New Roman"/>
          <w:sz w:val="24"/>
          <w:szCs w:val="24"/>
        </w:rPr>
        <w:t xml:space="preserve">different listed companies may have different levels of </w:t>
      </w:r>
      <w:r w:rsidR="000925D9">
        <w:rPr>
          <w:rFonts w:ascii="Times New Roman" w:hAnsi="Times New Roman" w:cs="Times New Roman"/>
          <w:sz w:val="24"/>
          <w:szCs w:val="24"/>
        </w:rPr>
        <w:t>corporate governance compliance as a result.</w:t>
      </w:r>
    </w:p>
    <w:p w:rsidR="003146A1" w:rsidRPr="00B506CF" w:rsidRDefault="005E6F17" w:rsidP="003330C9">
      <w:pPr>
        <w:spacing w:line="360" w:lineRule="auto"/>
        <w:rPr>
          <w:rFonts w:ascii="Times New Roman" w:hAnsi="Times New Roman" w:cs="Times New Roman"/>
          <w:b/>
          <w:sz w:val="24"/>
          <w:szCs w:val="24"/>
        </w:rPr>
      </w:pPr>
      <w:r w:rsidRPr="00B506CF">
        <w:rPr>
          <w:rFonts w:ascii="Times New Roman" w:hAnsi="Times New Roman" w:cs="Times New Roman"/>
          <w:b/>
          <w:sz w:val="24"/>
          <w:szCs w:val="24"/>
        </w:rPr>
        <w:lastRenderedPageBreak/>
        <w:t>1.3</w:t>
      </w:r>
      <w:r w:rsidR="003146A1" w:rsidRPr="00B506CF">
        <w:rPr>
          <w:rFonts w:ascii="Times New Roman" w:hAnsi="Times New Roman" w:cs="Times New Roman"/>
          <w:b/>
          <w:sz w:val="24"/>
          <w:szCs w:val="24"/>
        </w:rPr>
        <w:t xml:space="preserve"> Research aims and objectives</w:t>
      </w:r>
    </w:p>
    <w:p w:rsidR="00682EA1" w:rsidRDefault="00682EA1"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The research</w:t>
      </w:r>
      <w:r w:rsidR="001A1F44">
        <w:rPr>
          <w:rFonts w:ascii="Times New Roman" w:hAnsi="Times New Roman" w:cs="Times New Roman"/>
          <w:sz w:val="24"/>
          <w:szCs w:val="24"/>
        </w:rPr>
        <w:t xml:space="preserve"> aims </w:t>
      </w:r>
      <w:r w:rsidR="00085993">
        <w:rPr>
          <w:rFonts w:ascii="Times New Roman" w:hAnsi="Times New Roman" w:cs="Times New Roman"/>
          <w:sz w:val="24"/>
          <w:szCs w:val="24"/>
        </w:rPr>
        <w:t xml:space="preserve">and </w:t>
      </w:r>
      <w:r w:rsidR="001A1F44">
        <w:rPr>
          <w:rFonts w:ascii="Times New Roman" w:hAnsi="Times New Roman" w:cs="Times New Roman"/>
          <w:sz w:val="24"/>
          <w:szCs w:val="24"/>
        </w:rPr>
        <w:t>objectives of this study</w:t>
      </w:r>
      <w:r>
        <w:rPr>
          <w:rFonts w:ascii="Times New Roman" w:hAnsi="Times New Roman" w:cs="Times New Roman"/>
          <w:sz w:val="24"/>
          <w:szCs w:val="24"/>
        </w:rPr>
        <w:t xml:space="preserve"> are as follows:</w:t>
      </w:r>
    </w:p>
    <w:p w:rsidR="00682EA1" w:rsidRDefault="003F767B" w:rsidP="003330C9">
      <w:pPr>
        <w:pStyle w:val="ListParagraph"/>
        <w:numPr>
          <w:ilvl w:val="0"/>
          <w:numId w:val="9"/>
        </w:numPr>
        <w:spacing w:line="360" w:lineRule="auto"/>
        <w:ind w:hanging="720"/>
        <w:rPr>
          <w:rFonts w:ascii="Times New Roman" w:hAnsi="Times New Roman" w:cs="Times New Roman"/>
          <w:sz w:val="24"/>
          <w:szCs w:val="24"/>
        </w:rPr>
      </w:pPr>
      <w:r>
        <w:rPr>
          <w:rFonts w:ascii="Times New Roman" w:hAnsi="Times New Roman" w:cs="Times New Roman"/>
          <w:sz w:val="24"/>
          <w:szCs w:val="24"/>
        </w:rPr>
        <w:t xml:space="preserve">To </w:t>
      </w:r>
      <w:r w:rsidR="00682EA1">
        <w:rPr>
          <w:rFonts w:ascii="Times New Roman" w:hAnsi="Times New Roman" w:cs="Times New Roman"/>
          <w:sz w:val="24"/>
          <w:szCs w:val="24"/>
        </w:rPr>
        <w:t xml:space="preserve">examine whether there is any relationship between the level of corporate governance compliance and the </w:t>
      </w:r>
      <w:r w:rsidR="00085993">
        <w:rPr>
          <w:rFonts w:ascii="Times New Roman" w:hAnsi="Times New Roman" w:cs="Times New Roman"/>
          <w:sz w:val="24"/>
          <w:szCs w:val="24"/>
        </w:rPr>
        <w:t>board independence</w:t>
      </w:r>
      <w:r w:rsidR="00682EA1">
        <w:rPr>
          <w:rFonts w:ascii="Times New Roman" w:hAnsi="Times New Roman" w:cs="Times New Roman"/>
          <w:sz w:val="24"/>
          <w:szCs w:val="24"/>
        </w:rPr>
        <w:t>;</w:t>
      </w:r>
    </w:p>
    <w:p w:rsidR="00682EA1" w:rsidRDefault="003F767B" w:rsidP="003330C9">
      <w:pPr>
        <w:pStyle w:val="ListParagraph"/>
        <w:numPr>
          <w:ilvl w:val="0"/>
          <w:numId w:val="9"/>
        </w:numPr>
        <w:spacing w:line="360" w:lineRule="auto"/>
        <w:ind w:hanging="720"/>
        <w:rPr>
          <w:rFonts w:ascii="Times New Roman" w:hAnsi="Times New Roman" w:cs="Times New Roman"/>
          <w:sz w:val="24"/>
          <w:szCs w:val="24"/>
        </w:rPr>
      </w:pPr>
      <w:r>
        <w:rPr>
          <w:rFonts w:ascii="Times New Roman" w:hAnsi="Times New Roman" w:cs="Times New Roman"/>
          <w:sz w:val="24"/>
          <w:szCs w:val="24"/>
        </w:rPr>
        <w:t xml:space="preserve">To </w:t>
      </w:r>
      <w:r w:rsidR="00682EA1">
        <w:rPr>
          <w:rFonts w:ascii="Times New Roman" w:hAnsi="Times New Roman" w:cs="Times New Roman"/>
          <w:sz w:val="24"/>
          <w:szCs w:val="24"/>
        </w:rPr>
        <w:t>examine whe</w:t>
      </w:r>
      <w:r w:rsidR="00A853AC">
        <w:rPr>
          <w:rFonts w:ascii="Times New Roman" w:hAnsi="Times New Roman" w:cs="Times New Roman"/>
          <w:sz w:val="24"/>
          <w:szCs w:val="24"/>
        </w:rPr>
        <w:t xml:space="preserve">ther there is any relationship between </w:t>
      </w:r>
      <w:r w:rsidR="00012A4D">
        <w:rPr>
          <w:rFonts w:ascii="Times New Roman" w:hAnsi="Times New Roman" w:cs="Times New Roman"/>
          <w:sz w:val="24"/>
          <w:szCs w:val="24"/>
        </w:rPr>
        <w:t>the financial performance</w:t>
      </w:r>
      <w:r w:rsidR="00A853AC">
        <w:rPr>
          <w:rFonts w:ascii="Times New Roman" w:hAnsi="Times New Roman" w:cs="Times New Roman"/>
          <w:sz w:val="24"/>
          <w:szCs w:val="24"/>
        </w:rPr>
        <w:t xml:space="preserve"> and the level of corporate governance</w:t>
      </w:r>
      <w:r w:rsidR="00682EA1">
        <w:rPr>
          <w:rFonts w:ascii="Times New Roman" w:hAnsi="Times New Roman" w:cs="Times New Roman"/>
          <w:sz w:val="24"/>
          <w:szCs w:val="24"/>
        </w:rPr>
        <w:t>; and</w:t>
      </w:r>
    </w:p>
    <w:p w:rsidR="00682EA1" w:rsidRDefault="003F767B" w:rsidP="003330C9">
      <w:pPr>
        <w:pStyle w:val="ListParagraph"/>
        <w:numPr>
          <w:ilvl w:val="0"/>
          <w:numId w:val="9"/>
        </w:numPr>
        <w:spacing w:after="240" w:line="360" w:lineRule="auto"/>
        <w:ind w:hanging="720"/>
        <w:rPr>
          <w:rFonts w:ascii="Times New Roman" w:hAnsi="Times New Roman" w:cs="Times New Roman"/>
          <w:sz w:val="24"/>
          <w:szCs w:val="24"/>
        </w:rPr>
      </w:pPr>
      <w:r>
        <w:rPr>
          <w:rFonts w:ascii="Times New Roman" w:hAnsi="Times New Roman" w:cs="Times New Roman"/>
          <w:sz w:val="24"/>
          <w:szCs w:val="24"/>
        </w:rPr>
        <w:t xml:space="preserve">To </w:t>
      </w:r>
      <w:r w:rsidR="00682EA1">
        <w:rPr>
          <w:rFonts w:ascii="Times New Roman" w:hAnsi="Times New Roman" w:cs="Times New Roman"/>
          <w:sz w:val="24"/>
          <w:szCs w:val="24"/>
        </w:rPr>
        <w:t xml:space="preserve">examine whether there is any relationship between the </w:t>
      </w:r>
      <w:r w:rsidR="00A853AC">
        <w:rPr>
          <w:rFonts w:ascii="Times New Roman" w:hAnsi="Times New Roman" w:cs="Times New Roman"/>
          <w:sz w:val="24"/>
          <w:szCs w:val="24"/>
        </w:rPr>
        <w:t xml:space="preserve">annualised share price volatility and the </w:t>
      </w:r>
      <w:r w:rsidR="00682EA1">
        <w:rPr>
          <w:rFonts w:ascii="Times New Roman" w:hAnsi="Times New Roman" w:cs="Times New Roman"/>
          <w:sz w:val="24"/>
          <w:szCs w:val="24"/>
        </w:rPr>
        <w:t>level of corporate governance complianc</w:t>
      </w:r>
      <w:r w:rsidR="00A853AC">
        <w:rPr>
          <w:rFonts w:ascii="Times New Roman" w:hAnsi="Times New Roman" w:cs="Times New Roman"/>
          <w:sz w:val="24"/>
          <w:szCs w:val="24"/>
        </w:rPr>
        <w:t>e</w:t>
      </w:r>
      <w:r w:rsidR="00682EA1">
        <w:rPr>
          <w:rFonts w:ascii="Times New Roman" w:hAnsi="Times New Roman" w:cs="Times New Roman"/>
          <w:sz w:val="24"/>
          <w:szCs w:val="24"/>
        </w:rPr>
        <w:t>.</w:t>
      </w:r>
    </w:p>
    <w:p w:rsidR="003146A1" w:rsidRPr="00B506CF" w:rsidRDefault="005E6F17" w:rsidP="003330C9">
      <w:pPr>
        <w:spacing w:after="0" w:line="360" w:lineRule="auto"/>
        <w:rPr>
          <w:rFonts w:ascii="Times New Roman" w:hAnsi="Times New Roman" w:cs="Times New Roman"/>
          <w:b/>
          <w:sz w:val="24"/>
          <w:szCs w:val="24"/>
        </w:rPr>
      </w:pPr>
      <w:r w:rsidRPr="00B506CF">
        <w:rPr>
          <w:rFonts w:ascii="Times New Roman" w:hAnsi="Times New Roman" w:cs="Times New Roman"/>
          <w:b/>
          <w:sz w:val="24"/>
          <w:szCs w:val="24"/>
        </w:rPr>
        <w:t>1.4</w:t>
      </w:r>
      <w:r w:rsidR="003146A1" w:rsidRPr="00B506CF">
        <w:rPr>
          <w:rFonts w:ascii="Times New Roman" w:hAnsi="Times New Roman" w:cs="Times New Roman"/>
          <w:b/>
          <w:sz w:val="24"/>
          <w:szCs w:val="24"/>
        </w:rPr>
        <w:t xml:space="preserve"> Contributions</w:t>
      </w:r>
    </w:p>
    <w:p w:rsidR="000B5AFC" w:rsidRDefault="000B5AFC" w:rsidP="003330C9">
      <w:pPr>
        <w:spacing w:after="0" w:line="360" w:lineRule="auto"/>
        <w:rPr>
          <w:rFonts w:ascii="Times New Roman" w:hAnsi="Times New Roman" w:cs="Times New Roman"/>
          <w:sz w:val="24"/>
          <w:szCs w:val="24"/>
        </w:rPr>
      </w:pPr>
    </w:p>
    <w:p w:rsidR="000B5AFC" w:rsidRDefault="000B5AFC"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This study contributes to the current corporate governance debates by providing some </w:t>
      </w:r>
      <w:r w:rsidR="008E47D5">
        <w:rPr>
          <w:rFonts w:ascii="Times New Roman" w:hAnsi="Times New Roman" w:cs="Times New Roman"/>
          <w:sz w:val="24"/>
          <w:szCs w:val="24"/>
        </w:rPr>
        <w:t xml:space="preserve">quantitative </w:t>
      </w:r>
      <w:r w:rsidR="00085993">
        <w:rPr>
          <w:rFonts w:ascii="Times New Roman" w:hAnsi="Times New Roman" w:cs="Times New Roman"/>
          <w:sz w:val="24"/>
          <w:szCs w:val="24"/>
        </w:rPr>
        <w:t xml:space="preserve">investigations </w:t>
      </w:r>
      <w:r>
        <w:rPr>
          <w:rFonts w:ascii="Times New Roman" w:hAnsi="Times New Roman" w:cs="Times New Roman"/>
          <w:sz w:val="24"/>
          <w:szCs w:val="24"/>
        </w:rPr>
        <w:t xml:space="preserve">of </w:t>
      </w:r>
      <w:r w:rsidR="005E6F17">
        <w:rPr>
          <w:rFonts w:ascii="Times New Roman" w:hAnsi="Times New Roman" w:cs="Times New Roman"/>
          <w:sz w:val="24"/>
          <w:szCs w:val="24"/>
        </w:rPr>
        <w:t xml:space="preserve">the </w:t>
      </w:r>
      <w:r w:rsidR="00860BA3">
        <w:rPr>
          <w:rFonts w:ascii="Times New Roman" w:hAnsi="Times New Roman" w:cs="Times New Roman"/>
          <w:sz w:val="24"/>
          <w:szCs w:val="24"/>
        </w:rPr>
        <w:t>relationship</w:t>
      </w:r>
      <w:r w:rsidR="005E6F17">
        <w:rPr>
          <w:rFonts w:ascii="Times New Roman" w:hAnsi="Times New Roman" w:cs="Times New Roman"/>
          <w:sz w:val="24"/>
          <w:szCs w:val="24"/>
        </w:rPr>
        <w:t>, if any,</w:t>
      </w:r>
      <w:r w:rsidR="00860BA3">
        <w:rPr>
          <w:rFonts w:ascii="Times New Roman" w:hAnsi="Times New Roman" w:cs="Times New Roman"/>
          <w:sz w:val="24"/>
          <w:szCs w:val="24"/>
        </w:rPr>
        <w:t xml:space="preserve"> between </w:t>
      </w:r>
      <w:r w:rsidR="009B7F3D">
        <w:rPr>
          <w:rFonts w:ascii="Times New Roman" w:hAnsi="Times New Roman" w:cs="Times New Roman"/>
          <w:sz w:val="24"/>
          <w:szCs w:val="24"/>
        </w:rPr>
        <w:t xml:space="preserve">the level of </w:t>
      </w:r>
      <w:r>
        <w:rPr>
          <w:rFonts w:ascii="Times New Roman" w:hAnsi="Times New Roman" w:cs="Times New Roman"/>
          <w:sz w:val="24"/>
          <w:szCs w:val="24"/>
        </w:rPr>
        <w:t xml:space="preserve">corporate governance </w:t>
      </w:r>
      <w:r w:rsidR="005E6F17">
        <w:rPr>
          <w:rFonts w:ascii="Times New Roman" w:hAnsi="Times New Roman" w:cs="Times New Roman"/>
          <w:sz w:val="24"/>
          <w:szCs w:val="24"/>
        </w:rPr>
        <w:t xml:space="preserve">compliance </w:t>
      </w:r>
      <w:r>
        <w:rPr>
          <w:rFonts w:ascii="Times New Roman" w:hAnsi="Times New Roman" w:cs="Times New Roman"/>
          <w:sz w:val="24"/>
          <w:szCs w:val="24"/>
        </w:rPr>
        <w:t>and</w:t>
      </w:r>
      <w:r w:rsidR="005E6F17">
        <w:rPr>
          <w:rFonts w:ascii="Times New Roman" w:hAnsi="Times New Roman" w:cs="Times New Roman"/>
          <w:sz w:val="24"/>
          <w:szCs w:val="24"/>
        </w:rPr>
        <w:t xml:space="preserve"> board structure &amp; composition, financial performance and annualised shar</w:t>
      </w:r>
      <w:r w:rsidR="00AD1D62">
        <w:rPr>
          <w:rFonts w:ascii="Times New Roman" w:hAnsi="Times New Roman" w:cs="Times New Roman"/>
          <w:sz w:val="24"/>
          <w:szCs w:val="24"/>
        </w:rPr>
        <w:t>e price volatility</w:t>
      </w:r>
      <w:r w:rsidR="005E6F17">
        <w:rPr>
          <w:rFonts w:ascii="Times New Roman" w:hAnsi="Times New Roman" w:cs="Times New Roman"/>
          <w:sz w:val="24"/>
          <w:szCs w:val="24"/>
        </w:rPr>
        <w:t>.</w:t>
      </w:r>
    </w:p>
    <w:p w:rsidR="000B5AFC" w:rsidRDefault="000B5AFC" w:rsidP="003330C9">
      <w:pPr>
        <w:spacing w:after="0" w:line="360" w:lineRule="auto"/>
        <w:rPr>
          <w:rFonts w:ascii="Times New Roman" w:hAnsi="Times New Roman" w:cs="Times New Roman"/>
          <w:sz w:val="24"/>
          <w:szCs w:val="24"/>
        </w:rPr>
      </w:pPr>
    </w:p>
    <w:p w:rsidR="003146A1" w:rsidRPr="00B506CF" w:rsidRDefault="003A6A34" w:rsidP="003330C9">
      <w:pPr>
        <w:spacing w:after="0" w:line="360" w:lineRule="auto"/>
        <w:rPr>
          <w:rFonts w:ascii="Times New Roman" w:hAnsi="Times New Roman" w:cs="Times New Roman"/>
          <w:b/>
          <w:sz w:val="24"/>
          <w:szCs w:val="24"/>
        </w:rPr>
      </w:pPr>
      <w:r w:rsidRPr="00B506CF">
        <w:rPr>
          <w:rFonts w:ascii="Times New Roman" w:hAnsi="Times New Roman" w:cs="Times New Roman"/>
          <w:b/>
          <w:sz w:val="24"/>
          <w:szCs w:val="24"/>
        </w:rPr>
        <w:t>2. LITERATURE REVIEW</w:t>
      </w:r>
    </w:p>
    <w:p w:rsidR="0065754F" w:rsidRDefault="0065754F" w:rsidP="003330C9">
      <w:pPr>
        <w:spacing w:after="0" w:line="360" w:lineRule="auto"/>
        <w:rPr>
          <w:rFonts w:ascii="Times New Roman" w:hAnsi="Times New Roman" w:cs="Times New Roman"/>
          <w:sz w:val="24"/>
          <w:szCs w:val="24"/>
        </w:rPr>
      </w:pPr>
    </w:p>
    <w:p w:rsidR="0065754F" w:rsidRDefault="0065754F"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Corporate governance has arisen to prominence after the issuance of the Cadbury Report in </w:t>
      </w:r>
      <w:r w:rsidR="002F3D98">
        <w:rPr>
          <w:rFonts w:ascii="Times New Roman" w:hAnsi="Times New Roman" w:cs="Times New Roman"/>
          <w:sz w:val="24"/>
          <w:szCs w:val="24"/>
        </w:rPr>
        <w:t xml:space="preserve">the United Kingdom in </w:t>
      </w:r>
      <w:r>
        <w:rPr>
          <w:rFonts w:ascii="Times New Roman" w:hAnsi="Times New Roman" w:cs="Times New Roman"/>
          <w:sz w:val="24"/>
          <w:szCs w:val="24"/>
        </w:rPr>
        <w:t xml:space="preserve">1992 </w:t>
      </w:r>
      <w:r w:rsidR="00262D2C">
        <w:rPr>
          <w:rFonts w:ascii="Times New Roman" w:hAnsi="Times New Roman" w:cs="Times New Roman"/>
          <w:noProof/>
          <w:sz w:val="24"/>
          <w:szCs w:val="24"/>
        </w:rPr>
        <w:t xml:space="preserve">(Cadbury, </w:t>
      </w:r>
      <w:r w:rsidR="001518C8" w:rsidRPr="006C3797">
        <w:rPr>
          <w:rFonts w:ascii="Times New Roman" w:hAnsi="Times New Roman" w:cs="Times New Roman"/>
          <w:noProof/>
          <w:sz w:val="24"/>
          <w:szCs w:val="24"/>
        </w:rPr>
        <w:t>1992)</w:t>
      </w:r>
      <w:r>
        <w:rPr>
          <w:rFonts w:ascii="Times New Roman" w:hAnsi="Times New Roman" w:cs="Times New Roman"/>
          <w:sz w:val="24"/>
          <w:szCs w:val="24"/>
        </w:rPr>
        <w:t xml:space="preserve"> and thereafter there have been a lot of discussions in academic literature and professional articles particularly the “comply or explain” approach to corporate governance. The major impetus for this drive appears to be the regulatory bodies to seek to make the corporate governance practice</w:t>
      </w:r>
      <w:r w:rsidR="00705AD8">
        <w:rPr>
          <w:rFonts w:ascii="Times New Roman" w:hAnsi="Times New Roman" w:cs="Times New Roman"/>
          <w:sz w:val="24"/>
          <w:szCs w:val="24"/>
        </w:rPr>
        <w:t>s</w:t>
      </w:r>
      <w:r>
        <w:rPr>
          <w:rFonts w:ascii="Times New Roman" w:hAnsi="Times New Roman" w:cs="Times New Roman"/>
          <w:sz w:val="24"/>
          <w:szCs w:val="24"/>
        </w:rPr>
        <w:t xml:space="preserve"> more effective in part of corporate governance scandals but also to attract investors in major financial centres </w:t>
      </w:r>
      <w:r w:rsidR="001518C8">
        <w:rPr>
          <w:rFonts w:ascii="Times New Roman" w:hAnsi="Times New Roman" w:cs="Times New Roman"/>
          <w:noProof/>
          <w:sz w:val="24"/>
          <w:szCs w:val="24"/>
        </w:rPr>
        <w:t>(Aguilera and</w:t>
      </w:r>
      <w:r w:rsidR="001518C8" w:rsidRPr="004C6BD1">
        <w:rPr>
          <w:rFonts w:ascii="Times New Roman" w:hAnsi="Times New Roman" w:cs="Times New Roman"/>
          <w:noProof/>
          <w:sz w:val="24"/>
          <w:szCs w:val="24"/>
        </w:rPr>
        <w:t xml:space="preserve"> Cuervo-Cazurra, 2009)</w:t>
      </w:r>
      <w:r w:rsidR="004C6BD1">
        <w:rPr>
          <w:rFonts w:ascii="Times New Roman" w:hAnsi="Times New Roman" w:cs="Times New Roman"/>
          <w:sz w:val="24"/>
          <w:szCs w:val="24"/>
        </w:rPr>
        <w:t xml:space="preserve">. </w:t>
      </w:r>
    </w:p>
    <w:p w:rsidR="00D1362B" w:rsidRDefault="00D1362B" w:rsidP="003330C9">
      <w:pPr>
        <w:spacing w:after="0" w:line="360" w:lineRule="auto"/>
        <w:rPr>
          <w:rFonts w:ascii="Times New Roman" w:hAnsi="Times New Roman" w:cs="Times New Roman"/>
          <w:sz w:val="24"/>
          <w:szCs w:val="24"/>
        </w:rPr>
      </w:pPr>
    </w:p>
    <w:p w:rsidR="00D1362B" w:rsidRDefault="00D1362B"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Jensen and Meckling are key researchers in the development of agency theory </w:t>
      </w:r>
      <w:r w:rsidR="001518C8" w:rsidRPr="00C53F03">
        <w:rPr>
          <w:rFonts w:ascii="Times New Roman" w:hAnsi="Times New Roman" w:cs="Times New Roman"/>
          <w:noProof/>
          <w:sz w:val="24"/>
          <w:szCs w:val="24"/>
        </w:rPr>
        <w:t>(Deegan, 2014, p. 279)</w:t>
      </w:r>
      <w:r>
        <w:rPr>
          <w:rFonts w:ascii="Times New Roman" w:hAnsi="Times New Roman" w:cs="Times New Roman"/>
          <w:sz w:val="24"/>
          <w:szCs w:val="24"/>
        </w:rPr>
        <w:t xml:space="preserve">. Agency theory explains the relationship between principals and agents. In the context of companies, the shareholders appoints and delegates the board of directors to perform work in the best interests of the shareholders. The delegation of authority can lead to a loss of efficiency and consequently increases costs namely agency costs. As such, companies are characterised by the separation of ownership and control, goal divergence and conflict of interests. </w:t>
      </w:r>
      <w:r w:rsidR="001518C8">
        <w:rPr>
          <w:rFonts w:ascii="Times New Roman" w:hAnsi="Times New Roman" w:cs="Times New Roman"/>
          <w:noProof/>
          <w:sz w:val="24"/>
          <w:szCs w:val="24"/>
        </w:rPr>
        <w:t>(Jensen and</w:t>
      </w:r>
      <w:r w:rsidR="001518C8" w:rsidRPr="00A63AE7">
        <w:rPr>
          <w:rFonts w:ascii="Times New Roman" w:hAnsi="Times New Roman" w:cs="Times New Roman"/>
          <w:noProof/>
          <w:sz w:val="24"/>
          <w:szCs w:val="24"/>
        </w:rPr>
        <w:t xml:space="preserve"> Meckling, 1976)</w:t>
      </w:r>
      <w:r>
        <w:rPr>
          <w:rFonts w:ascii="Times New Roman" w:hAnsi="Times New Roman" w:cs="Times New Roman"/>
          <w:sz w:val="24"/>
          <w:szCs w:val="24"/>
        </w:rPr>
        <w:t xml:space="preserve">. Arguably, the agency problem that arises </w:t>
      </w:r>
      <w:r>
        <w:rPr>
          <w:rFonts w:ascii="Times New Roman" w:hAnsi="Times New Roman" w:cs="Times New Roman"/>
          <w:sz w:val="24"/>
          <w:szCs w:val="24"/>
        </w:rPr>
        <w:lastRenderedPageBreak/>
        <w:t xml:space="preserve">from the separation of ownership and control raises the fundamental issue in corporate governance </w:t>
      </w:r>
      <w:r w:rsidR="001518C8">
        <w:rPr>
          <w:rFonts w:ascii="Times New Roman" w:hAnsi="Times New Roman" w:cs="Times New Roman"/>
          <w:noProof/>
          <w:sz w:val="24"/>
          <w:szCs w:val="24"/>
        </w:rPr>
        <w:t>(Goo and</w:t>
      </w:r>
      <w:r w:rsidR="001518C8" w:rsidRPr="00D8297C">
        <w:rPr>
          <w:rFonts w:ascii="Times New Roman" w:hAnsi="Times New Roman" w:cs="Times New Roman"/>
          <w:noProof/>
          <w:sz w:val="24"/>
          <w:szCs w:val="24"/>
        </w:rPr>
        <w:t xml:space="preserve"> Carver, 2003, p. 202)</w:t>
      </w:r>
      <w:r>
        <w:rPr>
          <w:rFonts w:ascii="Times New Roman" w:hAnsi="Times New Roman" w:cs="Times New Roman"/>
          <w:sz w:val="24"/>
          <w:szCs w:val="24"/>
        </w:rPr>
        <w:t xml:space="preserve">. </w:t>
      </w:r>
    </w:p>
    <w:p w:rsidR="00D1362B" w:rsidRDefault="00D1362B" w:rsidP="003330C9">
      <w:pPr>
        <w:spacing w:after="0" w:line="360" w:lineRule="auto"/>
        <w:rPr>
          <w:rFonts w:ascii="Times New Roman" w:hAnsi="Times New Roman" w:cs="Times New Roman"/>
          <w:sz w:val="24"/>
          <w:szCs w:val="24"/>
        </w:rPr>
      </w:pPr>
    </w:p>
    <w:p w:rsidR="00C321EF" w:rsidRDefault="00C321EF"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Previous studies examining board effectiveness focus mainly on the effects of board structure. Some researchers argue that board effectiveness in terms of the monitoring role is determined by its composition, independence and size and a board consists of a higher proportion of outside directors is perceived to be more independent resulting in more effective in governing the company </w:t>
      </w:r>
      <w:r w:rsidR="001518C8">
        <w:rPr>
          <w:rFonts w:ascii="Times New Roman" w:hAnsi="Times New Roman" w:cs="Times New Roman"/>
          <w:noProof/>
          <w:sz w:val="24"/>
          <w:szCs w:val="24"/>
        </w:rPr>
        <w:t>(John and</w:t>
      </w:r>
      <w:r w:rsidR="001518C8" w:rsidRPr="00662BE7">
        <w:rPr>
          <w:rFonts w:ascii="Times New Roman" w:hAnsi="Times New Roman" w:cs="Times New Roman"/>
          <w:noProof/>
          <w:sz w:val="24"/>
          <w:szCs w:val="24"/>
        </w:rPr>
        <w:t xml:space="preserve"> Senbet, 1998)</w:t>
      </w:r>
      <w:r>
        <w:rPr>
          <w:rFonts w:ascii="Times New Roman" w:hAnsi="Times New Roman" w:cs="Times New Roman"/>
          <w:sz w:val="24"/>
          <w:szCs w:val="24"/>
        </w:rPr>
        <w:t>.</w:t>
      </w:r>
    </w:p>
    <w:p w:rsidR="000D0E27" w:rsidRDefault="000D0E27" w:rsidP="003330C9">
      <w:pPr>
        <w:spacing w:after="0" w:line="360" w:lineRule="auto"/>
        <w:rPr>
          <w:rFonts w:ascii="Times New Roman" w:hAnsi="Times New Roman" w:cs="Times New Roman"/>
          <w:sz w:val="24"/>
          <w:szCs w:val="24"/>
        </w:rPr>
      </w:pPr>
    </w:p>
    <w:p w:rsidR="00C321EF" w:rsidRDefault="000D0E27"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 principles of good </w:t>
      </w:r>
      <w:r w:rsidR="00705AD8">
        <w:rPr>
          <w:rFonts w:ascii="Times New Roman" w:hAnsi="Times New Roman" w:cs="Times New Roman"/>
          <w:sz w:val="24"/>
          <w:szCs w:val="24"/>
        </w:rPr>
        <w:t xml:space="preserve">corporate </w:t>
      </w:r>
      <w:r>
        <w:rPr>
          <w:rFonts w:ascii="Times New Roman" w:hAnsi="Times New Roman" w:cs="Times New Roman"/>
          <w:sz w:val="24"/>
          <w:szCs w:val="24"/>
        </w:rPr>
        <w:t xml:space="preserve">governance and code provisions state a range of structural attributes of good corporate governance. These structural attributes are primarily centred on the board of directors. </w:t>
      </w:r>
      <w:r w:rsidR="00520B11">
        <w:rPr>
          <w:rFonts w:ascii="Times New Roman" w:hAnsi="Times New Roman" w:cs="Times New Roman"/>
          <w:sz w:val="24"/>
          <w:szCs w:val="24"/>
        </w:rPr>
        <w:t>The focus of corporate governance is largely on the roles and functions of the board of directors.</w:t>
      </w:r>
      <w:r w:rsidR="00362189">
        <w:rPr>
          <w:rFonts w:ascii="Times New Roman" w:hAnsi="Times New Roman" w:cs="Times New Roman"/>
          <w:sz w:val="24"/>
          <w:szCs w:val="24"/>
        </w:rPr>
        <w:t xml:space="preserve"> </w:t>
      </w:r>
      <w:r w:rsidR="00C321EF">
        <w:rPr>
          <w:rFonts w:ascii="Times New Roman" w:hAnsi="Times New Roman" w:cs="Times New Roman"/>
          <w:sz w:val="24"/>
          <w:szCs w:val="24"/>
        </w:rPr>
        <w:t>Although the board consists of executive directors, non-executive directors and independent non-executive directors, all different types of directors owe the same directors’ duties to the listed company under section 465 of the Companies Ordinance (Cap. 622) but they have different roles and functions in corporate governance.</w:t>
      </w:r>
    </w:p>
    <w:p w:rsidR="00520B11" w:rsidRDefault="00520B11" w:rsidP="003330C9">
      <w:pPr>
        <w:spacing w:after="0" w:line="360" w:lineRule="auto"/>
        <w:rPr>
          <w:rFonts w:ascii="Times New Roman" w:hAnsi="Times New Roman" w:cs="Times New Roman"/>
          <w:sz w:val="24"/>
          <w:szCs w:val="24"/>
        </w:rPr>
      </w:pPr>
    </w:p>
    <w:p w:rsidR="00AE3E46" w:rsidRDefault="004625B1"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It is argued that a board of directors with a majority or significant proportion of independent non-executive directors assures that managers behave in the best interest of shareholders as a whole as it counterbalances the power of the management in decision-making </w:t>
      </w:r>
      <w:r w:rsidR="001518C8">
        <w:rPr>
          <w:rFonts w:ascii="Times New Roman" w:hAnsi="Times New Roman" w:cs="Times New Roman"/>
          <w:noProof/>
          <w:sz w:val="24"/>
          <w:szCs w:val="24"/>
        </w:rPr>
        <w:t>(Fama and</w:t>
      </w:r>
      <w:r w:rsidR="001518C8" w:rsidRPr="00C75CD4">
        <w:rPr>
          <w:rFonts w:ascii="Times New Roman" w:hAnsi="Times New Roman" w:cs="Times New Roman"/>
          <w:noProof/>
          <w:sz w:val="24"/>
          <w:szCs w:val="24"/>
        </w:rPr>
        <w:t xml:space="preserve"> Jensen, 1983)</w:t>
      </w:r>
      <w:r w:rsidR="00C75CD4">
        <w:rPr>
          <w:rFonts w:ascii="Times New Roman" w:hAnsi="Times New Roman" w:cs="Times New Roman"/>
          <w:sz w:val="24"/>
          <w:szCs w:val="24"/>
        </w:rPr>
        <w:t xml:space="preserve">. </w:t>
      </w:r>
      <w:r w:rsidR="00AE3E46">
        <w:rPr>
          <w:rFonts w:ascii="Times New Roman" w:hAnsi="Times New Roman" w:cs="Times New Roman"/>
          <w:sz w:val="24"/>
          <w:szCs w:val="24"/>
        </w:rPr>
        <w:t xml:space="preserve">It is also argued that the proportion of independent non-executive directors on the board for many family-owned listed companies in Hong Kong is not adequate if it is concluded the increase in independent non-executive directors will be effective partly based on the implications of agency theory </w:t>
      </w:r>
      <w:r w:rsidR="001518C8" w:rsidRPr="00211FF8">
        <w:rPr>
          <w:rFonts w:ascii="Times New Roman" w:hAnsi="Times New Roman" w:cs="Times New Roman"/>
          <w:noProof/>
          <w:sz w:val="24"/>
          <w:szCs w:val="24"/>
        </w:rPr>
        <w:t>(Miller, 1998)</w:t>
      </w:r>
      <w:r w:rsidR="00AE3E46">
        <w:rPr>
          <w:rFonts w:ascii="Times New Roman" w:hAnsi="Times New Roman" w:cs="Times New Roman"/>
          <w:sz w:val="24"/>
          <w:szCs w:val="24"/>
        </w:rPr>
        <w:t>.</w:t>
      </w:r>
    </w:p>
    <w:p w:rsidR="00AE3E46" w:rsidRDefault="00AE3E46" w:rsidP="003330C9">
      <w:pPr>
        <w:spacing w:after="0" w:line="360" w:lineRule="auto"/>
        <w:rPr>
          <w:rFonts w:ascii="Times New Roman" w:hAnsi="Times New Roman" w:cs="Times New Roman"/>
          <w:sz w:val="24"/>
          <w:szCs w:val="24"/>
        </w:rPr>
      </w:pPr>
    </w:p>
    <w:p w:rsidR="000D0E27" w:rsidRDefault="00C75CD4"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 role of the board of directors is to ensure the management particularly chief executive to carry out the duties in the best interest of shareholders as a whole. </w:t>
      </w:r>
      <w:r w:rsidR="00AE3E46">
        <w:rPr>
          <w:rFonts w:ascii="Times New Roman" w:hAnsi="Times New Roman" w:cs="Times New Roman"/>
          <w:sz w:val="24"/>
          <w:szCs w:val="24"/>
        </w:rPr>
        <w:t xml:space="preserve">It is argued that the separation of chairman and chief executive increases accountability and recognises that combining the two roles in one person may give rise to an undesirable concentration of power and lead to conflicts of interest </w:t>
      </w:r>
      <w:r w:rsidR="001518C8">
        <w:rPr>
          <w:rFonts w:ascii="Times New Roman" w:hAnsi="Times New Roman" w:cs="Times New Roman"/>
          <w:noProof/>
          <w:sz w:val="24"/>
          <w:szCs w:val="24"/>
        </w:rPr>
        <w:t xml:space="preserve">(Lipton </w:t>
      </w:r>
      <w:r w:rsidR="001518C8" w:rsidRPr="001518C8">
        <w:rPr>
          <w:rFonts w:ascii="Times New Roman" w:hAnsi="Times New Roman" w:cs="Times New Roman"/>
          <w:i/>
          <w:noProof/>
          <w:sz w:val="24"/>
          <w:szCs w:val="24"/>
        </w:rPr>
        <w:t>et al</w:t>
      </w:r>
      <w:r w:rsidR="001518C8">
        <w:rPr>
          <w:rFonts w:ascii="Times New Roman" w:hAnsi="Times New Roman" w:cs="Times New Roman"/>
          <w:noProof/>
          <w:sz w:val="24"/>
          <w:szCs w:val="24"/>
        </w:rPr>
        <w:t>.</w:t>
      </w:r>
      <w:r w:rsidR="001518C8" w:rsidRPr="00192B74">
        <w:rPr>
          <w:rFonts w:ascii="Times New Roman" w:hAnsi="Times New Roman" w:cs="Times New Roman"/>
          <w:noProof/>
          <w:sz w:val="24"/>
          <w:szCs w:val="24"/>
        </w:rPr>
        <w:t xml:space="preserve"> 2019, p. 407)</w:t>
      </w:r>
      <w:r w:rsidR="00AE3E46">
        <w:rPr>
          <w:rFonts w:ascii="Times New Roman" w:hAnsi="Times New Roman" w:cs="Times New Roman"/>
          <w:sz w:val="24"/>
          <w:szCs w:val="24"/>
        </w:rPr>
        <w:t xml:space="preserve">. </w:t>
      </w:r>
      <w:r>
        <w:rPr>
          <w:rFonts w:ascii="Times New Roman" w:hAnsi="Times New Roman" w:cs="Times New Roman"/>
          <w:sz w:val="24"/>
          <w:szCs w:val="24"/>
        </w:rPr>
        <w:t>As such, the role of the board of directors would be compromised if the chairman assumes the role of chief executive as well. In addition, it is argued that if the chairman is an ind</w:t>
      </w:r>
      <w:r w:rsidR="00362189">
        <w:rPr>
          <w:rFonts w:ascii="Times New Roman" w:hAnsi="Times New Roman" w:cs="Times New Roman"/>
          <w:sz w:val="24"/>
          <w:szCs w:val="24"/>
        </w:rPr>
        <w:t>ependent non-executive director</w:t>
      </w:r>
      <w:r>
        <w:rPr>
          <w:rFonts w:ascii="Times New Roman" w:hAnsi="Times New Roman" w:cs="Times New Roman"/>
          <w:sz w:val="24"/>
          <w:szCs w:val="24"/>
        </w:rPr>
        <w:t xml:space="preserve">, the capacity of the board of directors would be enhanced to keep in check the decision making of management particularly chief executive </w:t>
      </w:r>
      <w:r w:rsidR="001518C8">
        <w:rPr>
          <w:rFonts w:ascii="Times New Roman" w:hAnsi="Times New Roman" w:cs="Times New Roman"/>
          <w:noProof/>
          <w:sz w:val="24"/>
          <w:szCs w:val="24"/>
        </w:rPr>
        <w:t>(Edwards and</w:t>
      </w:r>
      <w:r w:rsidR="001518C8" w:rsidRPr="00006029">
        <w:rPr>
          <w:rFonts w:ascii="Times New Roman" w:hAnsi="Times New Roman" w:cs="Times New Roman"/>
          <w:noProof/>
          <w:sz w:val="24"/>
          <w:szCs w:val="24"/>
        </w:rPr>
        <w:t xml:space="preserve"> Clough, 2005)</w:t>
      </w:r>
      <w:r w:rsidR="00006029">
        <w:rPr>
          <w:rFonts w:ascii="Times New Roman" w:hAnsi="Times New Roman" w:cs="Times New Roman"/>
          <w:sz w:val="24"/>
          <w:szCs w:val="24"/>
        </w:rPr>
        <w:t>.</w:t>
      </w:r>
    </w:p>
    <w:p w:rsidR="00C321EF" w:rsidRDefault="00B41EC7"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Corporate governance is viewed as a process by which the board of directors controls and directs the management of a company in order to achieve the best returns to shareholders </w:t>
      </w:r>
      <w:r w:rsidR="001518C8">
        <w:rPr>
          <w:rFonts w:ascii="Times New Roman" w:hAnsi="Times New Roman" w:cs="Times New Roman"/>
          <w:noProof/>
          <w:sz w:val="24"/>
          <w:szCs w:val="24"/>
        </w:rPr>
        <w:t xml:space="preserve">(Wong and </w:t>
      </w:r>
      <w:r w:rsidR="001518C8" w:rsidRPr="00C94D8F">
        <w:rPr>
          <w:rFonts w:ascii="Times New Roman" w:hAnsi="Times New Roman" w:cs="Times New Roman"/>
          <w:noProof/>
          <w:sz w:val="24"/>
          <w:szCs w:val="24"/>
        </w:rPr>
        <w:t>Yeung, 2000)</w:t>
      </w:r>
      <w:r>
        <w:rPr>
          <w:rFonts w:ascii="Times New Roman" w:hAnsi="Times New Roman" w:cs="Times New Roman"/>
          <w:sz w:val="24"/>
          <w:szCs w:val="24"/>
        </w:rPr>
        <w:t>.</w:t>
      </w:r>
      <w:r w:rsidR="00AA27A3">
        <w:rPr>
          <w:rFonts w:ascii="Times New Roman" w:hAnsi="Times New Roman" w:cs="Times New Roman"/>
          <w:sz w:val="24"/>
          <w:szCs w:val="24"/>
        </w:rPr>
        <w:t xml:space="preserve"> </w:t>
      </w:r>
      <w:r w:rsidR="00C321EF">
        <w:rPr>
          <w:rFonts w:ascii="Times New Roman" w:hAnsi="Times New Roman" w:cs="Times New Roman"/>
          <w:sz w:val="24"/>
          <w:szCs w:val="24"/>
        </w:rPr>
        <w:t>It has been found in previous studies that the effects of board composition on corporate financial performance seen to be mixed. While Barnhart and Rosenstein (1998) provide weak evidence on this relation, Hermalin and Weisbach (1991) do not find such a relation. In order to examine the effect of corporate gov</w:t>
      </w:r>
      <w:r w:rsidR="00AE3E46">
        <w:rPr>
          <w:rFonts w:ascii="Times New Roman" w:hAnsi="Times New Roman" w:cs="Times New Roman"/>
          <w:sz w:val="24"/>
          <w:szCs w:val="24"/>
        </w:rPr>
        <w:t>ernance on a company’s financial</w:t>
      </w:r>
      <w:r w:rsidR="00C321EF">
        <w:rPr>
          <w:rFonts w:ascii="Times New Roman" w:hAnsi="Times New Roman" w:cs="Times New Roman"/>
          <w:sz w:val="24"/>
          <w:szCs w:val="24"/>
        </w:rPr>
        <w:t xml:space="preserve"> performance, it has been found in a previous study that there is a positive relationship between co</w:t>
      </w:r>
      <w:r w:rsidR="00AE3E46">
        <w:rPr>
          <w:rFonts w:ascii="Times New Roman" w:hAnsi="Times New Roman" w:cs="Times New Roman"/>
          <w:sz w:val="24"/>
          <w:szCs w:val="24"/>
        </w:rPr>
        <w:t>rporate governance and financial</w:t>
      </w:r>
      <w:r w:rsidR="00C321EF">
        <w:rPr>
          <w:rFonts w:ascii="Times New Roman" w:hAnsi="Times New Roman" w:cs="Times New Roman"/>
          <w:sz w:val="24"/>
          <w:szCs w:val="24"/>
        </w:rPr>
        <w:t xml:space="preserve"> performance </w:t>
      </w:r>
      <w:r w:rsidR="001518C8" w:rsidRPr="007D4763">
        <w:rPr>
          <w:rFonts w:ascii="Times New Roman" w:hAnsi="Times New Roman" w:cs="Times New Roman"/>
          <w:noProof/>
          <w:sz w:val="24"/>
          <w:szCs w:val="24"/>
        </w:rPr>
        <w:t>(Lama, 2012)</w:t>
      </w:r>
      <w:r w:rsidR="00C321EF">
        <w:rPr>
          <w:rFonts w:ascii="Times New Roman" w:hAnsi="Times New Roman" w:cs="Times New Roman"/>
          <w:sz w:val="24"/>
          <w:szCs w:val="24"/>
        </w:rPr>
        <w:t xml:space="preserve">. </w:t>
      </w:r>
    </w:p>
    <w:p w:rsidR="00B3054F" w:rsidRDefault="001108A8"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In the USA</w:t>
      </w:r>
      <w:r w:rsidR="00B3054F">
        <w:rPr>
          <w:rFonts w:ascii="Times New Roman" w:hAnsi="Times New Roman" w:cs="Times New Roman"/>
          <w:sz w:val="24"/>
          <w:szCs w:val="24"/>
        </w:rPr>
        <w:t xml:space="preserve">, evidence of the association between the corporate governance attributes and its financial performance is mixed </w:t>
      </w:r>
      <w:r w:rsidR="001518C8">
        <w:rPr>
          <w:rFonts w:ascii="Times New Roman" w:hAnsi="Times New Roman" w:cs="Times New Roman"/>
          <w:noProof/>
          <w:sz w:val="24"/>
          <w:szCs w:val="24"/>
        </w:rPr>
        <w:t xml:space="preserve">(Cheung </w:t>
      </w:r>
      <w:r w:rsidR="001518C8" w:rsidRPr="001518C8">
        <w:rPr>
          <w:rFonts w:ascii="Times New Roman" w:hAnsi="Times New Roman" w:cs="Times New Roman"/>
          <w:i/>
          <w:noProof/>
          <w:sz w:val="24"/>
          <w:szCs w:val="24"/>
        </w:rPr>
        <w:t>et al</w:t>
      </w:r>
      <w:r w:rsidR="001518C8">
        <w:rPr>
          <w:rFonts w:ascii="Times New Roman" w:hAnsi="Times New Roman" w:cs="Times New Roman"/>
          <w:noProof/>
          <w:sz w:val="24"/>
          <w:szCs w:val="24"/>
        </w:rPr>
        <w:t>.</w:t>
      </w:r>
      <w:r w:rsidR="001518C8" w:rsidRPr="003F0AE5">
        <w:rPr>
          <w:rFonts w:ascii="Times New Roman" w:hAnsi="Times New Roman" w:cs="Times New Roman"/>
          <w:noProof/>
          <w:sz w:val="24"/>
          <w:szCs w:val="24"/>
        </w:rPr>
        <w:t xml:space="preserve"> 2010)</w:t>
      </w:r>
      <w:r w:rsidR="00B3054F">
        <w:rPr>
          <w:rFonts w:ascii="Times New Roman" w:hAnsi="Times New Roman" w:cs="Times New Roman"/>
          <w:sz w:val="24"/>
          <w:szCs w:val="24"/>
        </w:rPr>
        <w:t xml:space="preserve">. On the one hand, it was found that no significant relationship between board independence and long-term performance </w:t>
      </w:r>
      <w:r w:rsidR="001518C8">
        <w:rPr>
          <w:rFonts w:ascii="Times New Roman" w:hAnsi="Times New Roman" w:cs="Times New Roman"/>
          <w:noProof/>
          <w:sz w:val="24"/>
          <w:szCs w:val="24"/>
        </w:rPr>
        <w:t>(Bhagat and Black</w:t>
      </w:r>
      <w:r w:rsidR="001518C8" w:rsidRPr="008E6DA0">
        <w:rPr>
          <w:rFonts w:ascii="Times New Roman" w:hAnsi="Times New Roman" w:cs="Times New Roman"/>
          <w:noProof/>
          <w:sz w:val="24"/>
          <w:szCs w:val="24"/>
        </w:rPr>
        <w:t>, 2002)</w:t>
      </w:r>
      <w:r w:rsidR="00B3054F">
        <w:rPr>
          <w:rFonts w:ascii="Times New Roman" w:hAnsi="Times New Roman" w:cs="Times New Roman"/>
          <w:sz w:val="24"/>
          <w:szCs w:val="24"/>
        </w:rPr>
        <w:t xml:space="preserve">. Another study also found that no association between board committee structure and firm value </w:t>
      </w:r>
      <w:r w:rsidR="000740B0" w:rsidRPr="00BD2E69">
        <w:rPr>
          <w:rFonts w:ascii="Times New Roman" w:hAnsi="Times New Roman" w:cs="Times New Roman"/>
          <w:noProof/>
          <w:sz w:val="24"/>
          <w:szCs w:val="24"/>
        </w:rPr>
        <w:t>(Klein, 1998)</w:t>
      </w:r>
      <w:r w:rsidR="00B3054F">
        <w:rPr>
          <w:rFonts w:ascii="Times New Roman" w:hAnsi="Times New Roman" w:cs="Times New Roman"/>
          <w:sz w:val="24"/>
          <w:szCs w:val="24"/>
        </w:rPr>
        <w:t xml:space="preserve">. On the other hand, it was found in the other studies that corporate governance is to have important effect on firm value </w:t>
      </w:r>
      <w:r w:rsidR="000740B0" w:rsidRPr="00513776">
        <w:rPr>
          <w:rFonts w:ascii="Times New Roman" w:hAnsi="Times New Roman" w:cs="Times New Roman"/>
          <w:noProof/>
          <w:sz w:val="24"/>
          <w:szCs w:val="24"/>
        </w:rPr>
        <w:t>(Bhagat</w:t>
      </w:r>
      <w:r w:rsidR="000740B0">
        <w:rPr>
          <w:rFonts w:ascii="Times New Roman" w:hAnsi="Times New Roman" w:cs="Times New Roman"/>
          <w:noProof/>
          <w:sz w:val="24"/>
          <w:szCs w:val="24"/>
        </w:rPr>
        <w:t xml:space="preserve"> </w:t>
      </w:r>
      <w:r w:rsidR="000740B0" w:rsidRPr="000740B0">
        <w:rPr>
          <w:rFonts w:ascii="Times New Roman" w:hAnsi="Times New Roman" w:cs="Times New Roman"/>
          <w:i/>
          <w:noProof/>
          <w:sz w:val="24"/>
          <w:szCs w:val="24"/>
        </w:rPr>
        <w:t>et al</w:t>
      </w:r>
      <w:r w:rsidR="000740B0">
        <w:rPr>
          <w:rFonts w:ascii="Times New Roman" w:hAnsi="Times New Roman" w:cs="Times New Roman"/>
          <w:noProof/>
          <w:sz w:val="24"/>
          <w:szCs w:val="24"/>
        </w:rPr>
        <w:t>.</w:t>
      </w:r>
      <w:r w:rsidR="000740B0" w:rsidRPr="00513776">
        <w:rPr>
          <w:rFonts w:ascii="Times New Roman" w:hAnsi="Times New Roman" w:cs="Times New Roman"/>
          <w:noProof/>
          <w:sz w:val="24"/>
          <w:szCs w:val="24"/>
        </w:rPr>
        <w:t xml:space="preserve"> 2004)</w:t>
      </w:r>
      <w:r w:rsidR="00B3054F">
        <w:rPr>
          <w:rFonts w:ascii="Times New Roman" w:hAnsi="Times New Roman" w:cs="Times New Roman"/>
          <w:sz w:val="24"/>
          <w:szCs w:val="24"/>
        </w:rPr>
        <w:t xml:space="preserve"> </w:t>
      </w:r>
      <w:r w:rsidR="000740B0">
        <w:rPr>
          <w:rFonts w:ascii="Times New Roman" w:hAnsi="Times New Roman" w:cs="Times New Roman"/>
          <w:noProof/>
          <w:sz w:val="24"/>
          <w:szCs w:val="24"/>
        </w:rPr>
        <w:t xml:space="preserve">(Carleton </w:t>
      </w:r>
      <w:r w:rsidR="000740B0" w:rsidRPr="000740B0">
        <w:rPr>
          <w:rFonts w:ascii="Times New Roman" w:hAnsi="Times New Roman" w:cs="Times New Roman"/>
          <w:i/>
          <w:noProof/>
          <w:sz w:val="24"/>
          <w:szCs w:val="24"/>
        </w:rPr>
        <w:t>et al</w:t>
      </w:r>
      <w:r w:rsidR="000740B0">
        <w:rPr>
          <w:rFonts w:ascii="Times New Roman" w:hAnsi="Times New Roman" w:cs="Times New Roman"/>
          <w:noProof/>
          <w:sz w:val="24"/>
          <w:szCs w:val="24"/>
        </w:rPr>
        <w:t>.</w:t>
      </w:r>
      <w:r w:rsidR="000740B0" w:rsidRPr="00513776">
        <w:rPr>
          <w:rFonts w:ascii="Times New Roman" w:hAnsi="Times New Roman" w:cs="Times New Roman"/>
          <w:noProof/>
          <w:sz w:val="24"/>
          <w:szCs w:val="24"/>
        </w:rPr>
        <w:t xml:space="preserve"> 1998)</w:t>
      </w:r>
      <w:r w:rsidR="00B3054F">
        <w:rPr>
          <w:rFonts w:ascii="Times New Roman" w:hAnsi="Times New Roman" w:cs="Times New Roman"/>
          <w:sz w:val="24"/>
          <w:szCs w:val="24"/>
        </w:rPr>
        <w:t xml:space="preserve">. In addition, some empirical evidence has been found to support the notion that the changes in corporate governance are associated with changes in future financial performance </w:t>
      </w:r>
      <w:r w:rsidR="000740B0">
        <w:rPr>
          <w:rFonts w:ascii="Times New Roman" w:hAnsi="Times New Roman" w:cs="Times New Roman"/>
          <w:noProof/>
          <w:sz w:val="24"/>
          <w:szCs w:val="24"/>
        </w:rPr>
        <w:t xml:space="preserve">(Cheung </w:t>
      </w:r>
      <w:r w:rsidR="000740B0" w:rsidRPr="000740B0">
        <w:rPr>
          <w:rFonts w:ascii="Times New Roman" w:hAnsi="Times New Roman" w:cs="Times New Roman"/>
          <w:i/>
          <w:noProof/>
          <w:sz w:val="24"/>
          <w:szCs w:val="24"/>
        </w:rPr>
        <w:t>et al</w:t>
      </w:r>
      <w:r w:rsidR="000740B0">
        <w:rPr>
          <w:rFonts w:ascii="Times New Roman" w:hAnsi="Times New Roman" w:cs="Times New Roman"/>
          <w:noProof/>
          <w:sz w:val="24"/>
          <w:szCs w:val="24"/>
        </w:rPr>
        <w:t>.</w:t>
      </w:r>
      <w:r w:rsidR="000740B0" w:rsidRPr="009D7328">
        <w:rPr>
          <w:rFonts w:ascii="Times New Roman" w:hAnsi="Times New Roman" w:cs="Times New Roman"/>
          <w:noProof/>
          <w:sz w:val="24"/>
          <w:szCs w:val="24"/>
        </w:rPr>
        <w:t xml:space="preserve"> 2011)</w:t>
      </w:r>
      <w:r w:rsidR="00B3054F">
        <w:rPr>
          <w:rFonts w:ascii="Times New Roman" w:hAnsi="Times New Roman" w:cs="Times New Roman"/>
          <w:sz w:val="24"/>
          <w:szCs w:val="24"/>
        </w:rPr>
        <w:t>.</w:t>
      </w:r>
    </w:p>
    <w:p w:rsidR="00C81F65" w:rsidRDefault="00C81F65" w:rsidP="003330C9">
      <w:pPr>
        <w:spacing w:after="0" w:line="360" w:lineRule="auto"/>
        <w:rPr>
          <w:rFonts w:ascii="Times New Roman" w:hAnsi="Times New Roman" w:cs="Times New Roman"/>
          <w:sz w:val="24"/>
          <w:szCs w:val="24"/>
        </w:rPr>
      </w:pPr>
    </w:p>
    <w:p w:rsidR="007065E2" w:rsidRDefault="00C81F65"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INEDs act in th</w:t>
      </w:r>
      <w:r w:rsidR="007065E2">
        <w:rPr>
          <w:rFonts w:ascii="Times New Roman" w:hAnsi="Times New Roman" w:cs="Times New Roman"/>
          <w:sz w:val="24"/>
          <w:szCs w:val="24"/>
        </w:rPr>
        <w:t>e best interests of the company</w:t>
      </w:r>
      <w:r>
        <w:rPr>
          <w:rFonts w:ascii="Times New Roman" w:hAnsi="Times New Roman" w:cs="Times New Roman"/>
          <w:sz w:val="24"/>
          <w:szCs w:val="24"/>
        </w:rPr>
        <w:t xml:space="preserve"> at law and are expected to exercise independent judgement and oversee and guard against conflicts of interest. Hence, they play an important role in assuring investor confidence. Various proposals have been made by the SEHK to enhance the independence criteria in assessing potential INED candidates </w:t>
      </w:r>
      <w:r w:rsidR="00464FFE" w:rsidRPr="008B05FF">
        <w:rPr>
          <w:rFonts w:ascii="Times New Roman" w:hAnsi="Times New Roman" w:cs="Times New Roman"/>
          <w:noProof/>
          <w:sz w:val="24"/>
          <w:szCs w:val="24"/>
        </w:rPr>
        <w:t>(The Stock Exchange of Hong Kong Limited, 2017)</w:t>
      </w:r>
      <w:r w:rsidR="00B3054F">
        <w:rPr>
          <w:rFonts w:ascii="Times New Roman" w:hAnsi="Times New Roman" w:cs="Times New Roman"/>
          <w:sz w:val="24"/>
          <w:szCs w:val="24"/>
        </w:rPr>
        <w:t xml:space="preserve">. </w:t>
      </w:r>
      <w:r w:rsidR="007065E2">
        <w:rPr>
          <w:rFonts w:ascii="Times New Roman" w:hAnsi="Times New Roman" w:cs="Times New Roman"/>
          <w:sz w:val="24"/>
          <w:szCs w:val="24"/>
        </w:rPr>
        <w:t>Board independence is an area of investor focus particularly in the context of family-controlled companies in Hong Kong</w:t>
      </w:r>
      <w:r w:rsidR="00D24ECB">
        <w:rPr>
          <w:rFonts w:ascii="Times New Roman" w:hAnsi="Times New Roman" w:cs="Times New Roman"/>
          <w:sz w:val="24"/>
          <w:szCs w:val="24"/>
        </w:rPr>
        <w:t xml:space="preserve"> </w:t>
      </w:r>
      <w:r w:rsidR="00464FFE" w:rsidRPr="00D24ECB">
        <w:rPr>
          <w:rFonts w:ascii="Times New Roman" w:hAnsi="Times New Roman" w:cs="Times New Roman"/>
          <w:noProof/>
          <w:sz w:val="24"/>
          <w:szCs w:val="24"/>
        </w:rPr>
        <w:t>(Hong Kong Institute of Certified Public Accountants, 2014)</w:t>
      </w:r>
      <w:r w:rsidR="00D24ECB">
        <w:rPr>
          <w:rFonts w:ascii="Times New Roman" w:hAnsi="Times New Roman" w:cs="Times New Roman"/>
          <w:sz w:val="24"/>
          <w:szCs w:val="24"/>
        </w:rPr>
        <w:t>.</w:t>
      </w:r>
    </w:p>
    <w:p w:rsidR="00D25426" w:rsidRDefault="00D25426" w:rsidP="003330C9">
      <w:pPr>
        <w:spacing w:after="0" w:line="360" w:lineRule="auto"/>
        <w:rPr>
          <w:rFonts w:ascii="Times New Roman" w:hAnsi="Times New Roman" w:cs="Times New Roman"/>
          <w:sz w:val="24"/>
          <w:szCs w:val="24"/>
        </w:rPr>
      </w:pPr>
    </w:p>
    <w:p w:rsidR="00B3054F" w:rsidRDefault="00E614C9"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It is argued that good corporate governance will enhance investor confidence </w:t>
      </w:r>
      <w:r w:rsidR="000740B0">
        <w:rPr>
          <w:rFonts w:ascii="Times New Roman" w:hAnsi="Times New Roman" w:cs="Times New Roman"/>
          <w:noProof/>
          <w:sz w:val="24"/>
          <w:szCs w:val="24"/>
        </w:rPr>
        <w:t xml:space="preserve">(La Porta </w:t>
      </w:r>
      <w:r w:rsidR="000740B0" w:rsidRPr="000740B0">
        <w:rPr>
          <w:rFonts w:ascii="Times New Roman" w:hAnsi="Times New Roman" w:cs="Times New Roman"/>
          <w:i/>
          <w:noProof/>
          <w:sz w:val="24"/>
          <w:szCs w:val="24"/>
        </w:rPr>
        <w:t>et al</w:t>
      </w:r>
      <w:r w:rsidR="000740B0">
        <w:rPr>
          <w:rFonts w:ascii="Times New Roman" w:hAnsi="Times New Roman" w:cs="Times New Roman"/>
          <w:noProof/>
          <w:sz w:val="24"/>
          <w:szCs w:val="24"/>
        </w:rPr>
        <w:t>.</w:t>
      </w:r>
      <w:r w:rsidR="000740B0" w:rsidRPr="00B861FD">
        <w:rPr>
          <w:rFonts w:ascii="Times New Roman" w:hAnsi="Times New Roman" w:cs="Times New Roman"/>
          <w:noProof/>
          <w:sz w:val="24"/>
          <w:szCs w:val="24"/>
        </w:rPr>
        <w:t xml:space="preserve"> 2000)</w:t>
      </w:r>
      <w:r w:rsidR="00B861FD">
        <w:rPr>
          <w:rFonts w:ascii="Times New Roman" w:hAnsi="Times New Roman" w:cs="Times New Roman"/>
          <w:sz w:val="24"/>
          <w:szCs w:val="24"/>
        </w:rPr>
        <w:t xml:space="preserve">. </w:t>
      </w:r>
      <w:r w:rsidR="00107BC1">
        <w:rPr>
          <w:rFonts w:ascii="Times New Roman" w:hAnsi="Times New Roman" w:cs="Times New Roman"/>
          <w:sz w:val="24"/>
          <w:szCs w:val="24"/>
        </w:rPr>
        <w:t xml:space="preserve">An increase in investor confidence means that more people are willing to invest in the share market resulting in a strong and stable financial market with less share price volatility </w:t>
      </w:r>
      <w:r w:rsidR="000740B0">
        <w:rPr>
          <w:rFonts w:ascii="Times New Roman" w:hAnsi="Times New Roman" w:cs="Times New Roman"/>
          <w:noProof/>
          <w:sz w:val="24"/>
          <w:szCs w:val="24"/>
        </w:rPr>
        <w:t>(Lee and</w:t>
      </w:r>
      <w:r w:rsidR="000740B0" w:rsidRPr="00107BC1">
        <w:rPr>
          <w:rFonts w:ascii="Times New Roman" w:hAnsi="Times New Roman" w:cs="Times New Roman"/>
          <w:noProof/>
          <w:sz w:val="24"/>
          <w:szCs w:val="24"/>
        </w:rPr>
        <w:t xml:space="preserve"> Shailer, 2005)</w:t>
      </w:r>
      <w:r w:rsidR="00107BC1">
        <w:rPr>
          <w:rFonts w:ascii="Times New Roman" w:hAnsi="Times New Roman" w:cs="Times New Roman"/>
          <w:sz w:val="24"/>
          <w:szCs w:val="24"/>
        </w:rPr>
        <w:t>.</w:t>
      </w:r>
      <w:r w:rsidR="00B861FD">
        <w:rPr>
          <w:rFonts w:ascii="Times New Roman" w:hAnsi="Times New Roman" w:cs="Times New Roman"/>
          <w:sz w:val="24"/>
          <w:szCs w:val="24"/>
        </w:rPr>
        <w:t xml:space="preserve"> It is well accepted that institutional investors play an important role in corporate governance </w:t>
      </w:r>
      <w:r w:rsidR="000740B0">
        <w:rPr>
          <w:rFonts w:ascii="Times New Roman" w:hAnsi="Times New Roman" w:cs="Times New Roman"/>
          <w:noProof/>
          <w:sz w:val="24"/>
          <w:szCs w:val="24"/>
        </w:rPr>
        <w:t>(Ashworth and</w:t>
      </w:r>
      <w:r w:rsidR="000740B0" w:rsidRPr="00107BC1">
        <w:rPr>
          <w:rFonts w:ascii="Times New Roman" w:hAnsi="Times New Roman" w:cs="Times New Roman"/>
          <w:noProof/>
          <w:sz w:val="24"/>
          <w:szCs w:val="24"/>
        </w:rPr>
        <w:t xml:space="preserve"> Mo, 2020)</w:t>
      </w:r>
      <w:r w:rsidR="00B861FD">
        <w:rPr>
          <w:rFonts w:ascii="Times New Roman" w:hAnsi="Times New Roman" w:cs="Times New Roman"/>
          <w:sz w:val="24"/>
          <w:szCs w:val="24"/>
        </w:rPr>
        <w:t>.</w:t>
      </w:r>
      <w:r w:rsidR="00B3054F">
        <w:rPr>
          <w:rFonts w:ascii="Times New Roman" w:hAnsi="Times New Roman" w:cs="Times New Roman"/>
          <w:sz w:val="24"/>
          <w:szCs w:val="24"/>
        </w:rPr>
        <w:t xml:space="preserve"> It was found that improvements in corporate governance lead to higher market valuations and investment in Hong Kong companies </w:t>
      </w:r>
      <w:r w:rsidR="000740B0">
        <w:rPr>
          <w:rFonts w:ascii="Times New Roman" w:hAnsi="Times New Roman" w:cs="Times New Roman"/>
          <w:noProof/>
          <w:sz w:val="24"/>
          <w:szCs w:val="24"/>
        </w:rPr>
        <w:t>(Michael and</w:t>
      </w:r>
      <w:r w:rsidR="000740B0" w:rsidRPr="00E91172">
        <w:rPr>
          <w:rFonts w:ascii="Times New Roman" w:hAnsi="Times New Roman" w:cs="Times New Roman"/>
          <w:noProof/>
          <w:sz w:val="24"/>
          <w:szCs w:val="24"/>
        </w:rPr>
        <w:t xml:space="preserve"> Goo, 2015)</w:t>
      </w:r>
      <w:r w:rsidR="00B3054F">
        <w:rPr>
          <w:rFonts w:ascii="Times New Roman" w:hAnsi="Times New Roman" w:cs="Times New Roman"/>
          <w:sz w:val="24"/>
          <w:szCs w:val="24"/>
        </w:rPr>
        <w:t>.</w:t>
      </w:r>
    </w:p>
    <w:p w:rsidR="00B3054F" w:rsidRDefault="00B3054F" w:rsidP="003330C9">
      <w:pPr>
        <w:spacing w:after="0" w:line="360" w:lineRule="auto"/>
        <w:rPr>
          <w:rFonts w:ascii="Times New Roman" w:hAnsi="Times New Roman" w:cs="Times New Roman"/>
          <w:sz w:val="24"/>
          <w:szCs w:val="24"/>
        </w:rPr>
      </w:pPr>
    </w:p>
    <w:p w:rsidR="00B3054F" w:rsidRDefault="00B3054F" w:rsidP="003330C9">
      <w:pPr>
        <w:spacing w:after="0" w:line="360" w:lineRule="auto"/>
        <w:ind w:right="-46"/>
        <w:rPr>
          <w:rFonts w:ascii="Times New Roman" w:hAnsi="Times New Roman" w:cs="Times New Roman"/>
          <w:sz w:val="24"/>
          <w:szCs w:val="24"/>
        </w:rPr>
      </w:pPr>
      <w:r>
        <w:rPr>
          <w:rFonts w:ascii="Times New Roman" w:hAnsi="Times New Roman" w:cs="Times New Roman"/>
          <w:sz w:val="24"/>
          <w:szCs w:val="24"/>
        </w:rPr>
        <w:lastRenderedPageBreak/>
        <w:t xml:space="preserve">The “comply or explain” approach to corporate governance has had some critics. It is argued that such approach is not prescriptive enough and gives too many rooms for non-compliance justifications </w:t>
      </w:r>
      <w:r w:rsidR="000B19EA" w:rsidRPr="008B05FF">
        <w:rPr>
          <w:rFonts w:ascii="Times New Roman" w:hAnsi="Times New Roman" w:cs="Times New Roman"/>
          <w:noProof/>
          <w:sz w:val="24"/>
          <w:szCs w:val="24"/>
        </w:rPr>
        <w:t>(Proimos, 2005)</w:t>
      </w:r>
      <w:r>
        <w:rPr>
          <w:rFonts w:ascii="Times New Roman" w:hAnsi="Times New Roman" w:cs="Times New Roman"/>
          <w:sz w:val="24"/>
          <w:szCs w:val="24"/>
        </w:rPr>
        <w:t xml:space="preserve">. It is also argued that if the code provisions are best practices, companies should strictly comply with all and any deviation from them even with reasons for such deviation may lead investors to draw negative conclusions and ultimately affecting investor confidence and increase the share price volatility </w:t>
      </w:r>
      <w:r w:rsidR="000B19EA" w:rsidRPr="009676CA">
        <w:rPr>
          <w:rFonts w:ascii="Times New Roman" w:hAnsi="Times New Roman" w:cs="Times New Roman"/>
          <w:noProof/>
          <w:sz w:val="24"/>
          <w:szCs w:val="24"/>
        </w:rPr>
        <w:t>(Zadkovich, 2007)</w:t>
      </w:r>
      <w:r>
        <w:rPr>
          <w:rFonts w:ascii="Times New Roman" w:hAnsi="Times New Roman" w:cs="Times New Roman"/>
          <w:sz w:val="24"/>
          <w:szCs w:val="24"/>
        </w:rPr>
        <w:t>.</w:t>
      </w:r>
    </w:p>
    <w:p w:rsidR="00B3054F" w:rsidRDefault="00B3054F" w:rsidP="003330C9">
      <w:pPr>
        <w:spacing w:after="0" w:line="360" w:lineRule="auto"/>
        <w:ind w:right="-46"/>
        <w:rPr>
          <w:rFonts w:ascii="Times New Roman" w:hAnsi="Times New Roman" w:cs="Times New Roman"/>
          <w:sz w:val="24"/>
          <w:szCs w:val="24"/>
        </w:rPr>
      </w:pPr>
    </w:p>
    <w:p w:rsidR="003146A1" w:rsidRPr="00B506CF" w:rsidRDefault="003A6A34" w:rsidP="003330C9">
      <w:pPr>
        <w:spacing w:after="0" w:line="360" w:lineRule="auto"/>
        <w:rPr>
          <w:rFonts w:ascii="Times New Roman" w:hAnsi="Times New Roman" w:cs="Times New Roman"/>
          <w:b/>
          <w:sz w:val="24"/>
          <w:szCs w:val="24"/>
        </w:rPr>
      </w:pPr>
      <w:r w:rsidRPr="00B506CF">
        <w:rPr>
          <w:rFonts w:ascii="Times New Roman" w:hAnsi="Times New Roman" w:cs="Times New Roman"/>
          <w:b/>
          <w:sz w:val="24"/>
          <w:szCs w:val="24"/>
        </w:rPr>
        <w:t>3. METHODOLOGY</w:t>
      </w:r>
    </w:p>
    <w:p w:rsidR="00565DAE" w:rsidRDefault="00565DAE" w:rsidP="003330C9">
      <w:pPr>
        <w:spacing w:after="0" w:line="360" w:lineRule="auto"/>
        <w:rPr>
          <w:rFonts w:ascii="Times New Roman" w:hAnsi="Times New Roman" w:cs="Times New Roman"/>
          <w:sz w:val="24"/>
          <w:szCs w:val="24"/>
        </w:rPr>
      </w:pPr>
    </w:p>
    <w:p w:rsidR="00986CC7" w:rsidRPr="00B506CF" w:rsidRDefault="00986CC7" w:rsidP="003330C9">
      <w:pPr>
        <w:spacing w:after="0" w:line="360" w:lineRule="auto"/>
        <w:rPr>
          <w:rFonts w:ascii="Times New Roman" w:hAnsi="Times New Roman" w:cs="Times New Roman"/>
          <w:b/>
          <w:sz w:val="24"/>
          <w:szCs w:val="24"/>
        </w:rPr>
      </w:pPr>
      <w:r w:rsidRPr="00B506CF">
        <w:rPr>
          <w:rFonts w:ascii="Times New Roman" w:hAnsi="Times New Roman" w:cs="Times New Roman"/>
          <w:b/>
          <w:sz w:val="24"/>
          <w:szCs w:val="24"/>
        </w:rPr>
        <w:t>3.1 Research design</w:t>
      </w:r>
    </w:p>
    <w:p w:rsidR="00986CC7" w:rsidRDefault="00986CC7" w:rsidP="003330C9">
      <w:pPr>
        <w:spacing w:after="0" w:line="360" w:lineRule="auto"/>
        <w:rPr>
          <w:rFonts w:ascii="Times New Roman" w:hAnsi="Times New Roman" w:cs="Times New Roman"/>
          <w:sz w:val="24"/>
          <w:szCs w:val="24"/>
        </w:rPr>
      </w:pPr>
    </w:p>
    <w:p w:rsidR="00F95819" w:rsidRPr="00B506CF" w:rsidRDefault="00F95819" w:rsidP="003330C9">
      <w:pPr>
        <w:spacing w:after="0" w:line="360" w:lineRule="auto"/>
        <w:rPr>
          <w:rFonts w:ascii="Times New Roman" w:hAnsi="Times New Roman" w:cs="Times New Roman"/>
          <w:b/>
          <w:sz w:val="24"/>
          <w:szCs w:val="24"/>
        </w:rPr>
      </w:pPr>
      <w:r w:rsidRPr="00B506CF">
        <w:rPr>
          <w:rFonts w:ascii="Times New Roman" w:hAnsi="Times New Roman" w:cs="Times New Roman"/>
          <w:b/>
          <w:sz w:val="24"/>
          <w:szCs w:val="24"/>
        </w:rPr>
        <w:t>Data collection methods</w:t>
      </w:r>
    </w:p>
    <w:p w:rsidR="00F95819" w:rsidRDefault="00F95819" w:rsidP="003330C9">
      <w:pPr>
        <w:spacing w:after="0" w:line="360" w:lineRule="auto"/>
        <w:rPr>
          <w:rFonts w:ascii="Times New Roman" w:hAnsi="Times New Roman" w:cs="Times New Roman"/>
          <w:sz w:val="24"/>
          <w:szCs w:val="24"/>
        </w:rPr>
      </w:pPr>
    </w:p>
    <w:p w:rsidR="00F95819" w:rsidRDefault="00F95819"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Sending a questionnaire to a listed company requesting for info</w:t>
      </w:r>
      <w:r w:rsidR="00230E4F">
        <w:rPr>
          <w:rFonts w:ascii="Times New Roman" w:hAnsi="Times New Roman" w:cs="Times New Roman"/>
          <w:sz w:val="24"/>
          <w:szCs w:val="24"/>
        </w:rPr>
        <w:t xml:space="preserve">rmation and/or interviewing </w:t>
      </w:r>
      <w:r>
        <w:rPr>
          <w:rFonts w:ascii="Times New Roman" w:hAnsi="Times New Roman" w:cs="Times New Roman"/>
          <w:sz w:val="24"/>
          <w:szCs w:val="24"/>
        </w:rPr>
        <w:t>senior executive</w:t>
      </w:r>
      <w:r w:rsidR="00230E4F">
        <w:rPr>
          <w:rFonts w:ascii="Times New Roman" w:hAnsi="Times New Roman" w:cs="Times New Roman"/>
          <w:sz w:val="24"/>
          <w:szCs w:val="24"/>
        </w:rPr>
        <w:t>s</w:t>
      </w:r>
      <w:r>
        <w:rPr>
          <w:rFonts w:ascii="Times New Roman" w:hAnsi="Times New Roman" w:cs="Times New Roman"/>
          <w:sz w:val="24"/>
          <w:szCs w:val="24"/>
        </w:rPr>
        <w:t xml:space="preserve"> of a listed company are not good options for data collection purposes </w:t>
      </w:r>
      <w:r w:rsidR="00230E4F">
        <w:rPr>
          <w:rFonts w:ascii="Times New Roman" w:hAnsi="Times New Roman" w:cs="Times New Roman"/>
          <w:sz w:val="24"/>
          <w:szCs w:val="24"/>
        </w:rPr>
        <w:t xml:space="preserve">within the timeframe of this </w:t>
      </w:r>
      <w:r>
        <w:rPr>
          <w:rFonts w:ascii="Times New Roman" w:hAnsi="Times New Roman" w:cs="Times New Roman"/>
          <w:sz w:val="24"/>
          <w:szCs w:val="24"/>
        </w:rPr>
        <w:t>study. The expected rates of data collection using questionnaire</w:t>
      </w:r>
      <w:r w:rsidR="00230E4F">
        <w:rPr>
          <w:rFonts w:ascii="Times New Roman" w:hAnsi="Times New Roman" w:cs="Times New Roman"/>
          <w:sz w:val="24"/>
          <w:szCs w:val="24"/>
        </w:rPr>
        <w:t xml:space="preserve">s and interviews are </w:t>
      </w:r>
      <w:r>
        <w:rPr>
          <w:rFonts w:ascii="Times New Roman" w:hAnsi="Times New Roman" w:cs="Times New Roman"/>
          <w:sz w:val="24"/>
          <w:szCs w:val="24"/>
        </w:rPr>
        <w:t>expected to be very low due to the following reasons:</w:t>
      </w:r>
    </w:p>
    <w:p w:rsidR="00F95819" w:rsidRDefault="00F95819" w:rsidP="003330C9">
      <w:pPr>
        <w:spacing w:after="0" w:line="360" w:lineRule="auto"/>
        <w:rPr>
          <w:rFonts w:ascii="Times New Roman" w:hAnsi="Times New Roman" w:cs="Times New Roman"/>
          <w:sz w:val="24"/>
          <w:szCs w:val="24"/>
        </w:rPr>
      </w:pPr>
    </w:p>
    <w:p w:rsidR="00F95819" w:rsidRPr="00B11EEF" w:rsidRDefault="00F95819" w:rsidP="003330C9">
      <w:pPr>
        <w:pStyle w:val="ListParagraph"/>
        <w:numPr>
          <w:ilvl w:val="0"/>
          <w:numId w:val="4"/>
        </w:numPr>
        <w:spacing w:after="0" w:line="360" w:lineRule="auto"/>
        <w:rPr>
          <w:rFonts w:ascii="Times New Roman" w:hAnsi="Times New Roman" w:cs="Times New Roman"/>
          <w:sz w:val="24"/>
          <w:szCs w:val="24"/>
        </w:rPr>
      </w:pPr>
      <w:r>
        <w:rPr>
          <w:rFonts w:ascii="Times New Roman" w:hAnsi="Times New Roman" w:cs="Times New Roman"/>
          <w:sz w:val="24"/>
          <w:szCs w:val="24"/>
        </w:rPr>
        <w:t>Most of the corporate governance, financial and non-financial data are price sensitive information and the listed company is unable to provide such information;</w:t>
      </w:r>
    </w:p>
    <w:p w:rsidR="00F95819" w:rsidRDefault="00F95819" w:rsidP="003330C9">
      <w:pPr>
        <w:pStyle w:val="ListParagraph"/>
        <w:numPr>
          <w:ilvl w:val="0"/>
          <w:numId w:val="4"/>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It is very hard, if not impossible, to identify who is the person with </w:t>
      </w:r>
      <w:r w:rsidR="007D1CB3">
        <w:rPr>
          <w:rFonts w:ascii="Times New Roman" w:hAnsi="Times New Roman" w:cs="Times New Roman"/>
          <w:sz w:val="24"/>
          <w:szCs w:val="24"/>
        </w:rPr>
        <w:t xml:space="preserve">a </w:t>
      </w:r>
      <w:r>
        <w:rPr>
          <w:rFonts w:ascii="Times New Roman" w:hAnsi="Times New Roman" w:cs="Times New Roman"/>
          <w:sz w:val="24"/>
          <w:szCs w:val="24"/>
        </w:rPr>
        <w:t>proper authority to represent a listed company to complete the questionnaire;</w:t>
      </w:r>
    </w:p>
    <w:p w:rsidR="00F95819" w:rsidRDefault="00F95819" w:rsidP="003330C9">
      <w:pPr>
        <w:pStyle w:val="ListParagraph"/>
        <w:numPr>
          <w:ilvl w:val="0"/>
          <w:numId w:val="4"/>
        </w:numPr>
        <w:spacing w:after="0" w:line="360" w:lineRule="auto"/>
        <w:rPr>
          <w:rFonts w:ascii="Times New Roman" w:hAnsi="Times New Roman" w:cs="Times New Roman"/>
          <w:sz w:val="24"/>
          <w:szCs w:val="24"/>
        </w:rPr>
      </w:pPr>
      <w:r>
        <w:rPr>
          <w:rFonts w:ascii="Times New Roman" w:hAnsi="Times New Roman" w:cs="Times New Roman"/>
          <w:sz w:val="24"/>
          <w:szCs w:val="24"/>
        </w:rPr>
        <w:t>The respondents may have an intention to exaggerate some favourable information whereas to hidden some unfavourable information in order to protect the interests of the listed company as a whole; and</w:t>
      </w:r>
    </w:p>
    <w:p w:rsidR="00F95819" w:rsidRDefault="00F95819" w:rsidP="003330C9">
      <w:pPr>
        <w:pStyle w:val="ListParagraph"/>
        <w:numPr>
          <w:ilvl w:val="0"/>
          <w:numId w:val="4"/>
        </w:numPr>
        <w:spacing w:after="0" w:line="360" w:lineRule="auto"/>
        <w:rPr>
          <w:rFonts w:ascii="Times New Roman" w:hAnsi="Times New Roman" w:cs="Times New Roman"/>
          <w:sz w:val="24"/>
          <w:szCs w:val="24"/>
        </w:rPr>
      </w:pPr>
      <w:r>
        <w:rPr>
          <w:rFonts w:ascii="Times New Roman" w:hAnsi="Times New Roman" w:cs="Times New Roman"/>
          <w:sz w:val="24"/>
          <w:szCs w:val="24"/>
        </w:rPr>
        <w:t>The informat</w:t>
      </w:r>
      <w:r w:rsidR="007D1CB3">
        <w:rPr>
          <w:rFonts w:ascii="Times New Roman" w:hAnsi="Times New Roman" w:cs="Times New Roman"/>
          <w:sz w:val="24"/>
          <w:szCs w:val="24"/>
        </w:rPr>
        <w:t>ion provided by the respondents</w:t>
      </w:r>
      <w:r>
        <w:rPr>
          <w:rFonts w:ascii="Times New Roman" w:hAnsi="Times New Roman" w:cs="Times New Roman"/>
          <w:sz w:val="24"/>
          <w:szCs w:val="24"/>
        </w:rPr>
        <w:t xml:space="preserve"> may be subjective and bias.</w:t>
      </w:r>
    </w:p>
    <w:p w:rsidR="00F95819" w:rsidRPr="00AF4A3C" w:rsidRDefault="00F95819" w:rsidP="003330C9">
      <w:pPr>
        <w:pStyle w:val="ListParagraph"/>
        <w:spacing w:after="0" w:line="360" w:lineRule="auto"/>
        <w:rPr>
          <w:rFonts w:ascii="Times New Roman" w:hAnsi="Times New Roman" w:cs="Times New Roman"/>
          <w:sz w:val="24"/>
          <w:szCs w:val="24"/>
        </w:rPr>
      </w:pPr>
    </w:p>
    <w:p w:rsidR="00F95819" w:rsidRDefault="00F95819"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As such, this study uses the following secondary data for data collection purposes. </w:t>
      </w:r>
    </w:p>
    <w:p w:rsidR="00F95819" w:rsidRDefault="00F95819" w:rsidP="003330C9">
      <w:pPr>
        <w:spacing w:after="0" w:line="360" w:lineRule="auto"/>
        <w:rPr>
          <w:rFonts w:ascii="Times New Roman" w:hAnsi="Times New Roman" w:cs="Times New Roman"/>
          <w:sz w:val="24"/>
          <w:szCs w:val="24"/>
        </w:rPr>
      </w:pPr>
    </w:p>
    <w:p w:rsidR="00F95819" w:rsidRDefault="00F95819" w:rsidP="003330C9">
      <w:pPr>
        <w:pStyle w:val="ListParagraph"/>
        <w:numPr>
          <w:ilvl w:val="0"/>
          <w:numId w:val="5"/>
        </w:numPr>
        <w:spacing w:after="0" w:line="360" w:lineRule="auto"/>
        <w:rPr>
          <w:rFonts w:ascii="Times New Roman" w:hAnsi="Times New Roman" w:cs="Times New Roman"/>
          <w:sz w:val="24"/>
          <w:szCs w:val="24"/>
        </w:rPr>
      </w:pPr>
      <w:r w:rsidRPr="00B11EEF">
        <w:rPr>
          <w:rFonts w:ascii="Times New Roman" w:hAnsi="Times New Roman" w:cs="Times New Roman"/>
          <w:sz w:val="24"/>
          <w:szCs w:val="24"/>
        </w:rPr>
        <w:t>Corporate governance, financial and non-financial data are sourced from the latest annual reports of the sample listed compani</w:t>
      </w:r>
      <w:r>
        <w:rPr>
          <w:rFonts w:ascii="Times New Roman" w:hAnsi="Times New Roman" w:cs="Times New Roman"/>
          <w:sz w:val="24"/>
          <w:szCs w:val="24"/>
        </w:rPr>
        <w:t xml:space="preserve">es in the Hang Seng Composite Index </w:t>
      </w:r>
      <w:r w:rsidR="000B19EA" w:rsidRPr="003E316F">
        <w:rPr>
          <w:rFonts w:ascii="Times New Roman" w:hAnsi="Times New Roman" w:cs="Times New Roman"/>
          <w:noProof/>
          <w:sz w:val="24"/>
          <w:szCs w:val="24"/>
        </w:rPr>
        <w:t>(Hang Seng Indexes, 2020)</w:t>
      </w:r>
      <w:r>
        <w:rPr>
          <w:rFonts w:ascii="Times New Roman" w:hAnsi="Times New Roman" w:cs="Times New Roman"/>
          <w:sz w:val="24"/>
          <w:szCs w:val="24"/>
        </w:rPr>
        <w:t>;</w:t>
      </w:r>
    </w:p>
    <w:p w:rsidR="00F95819" w:rsidRDefault="00F95819" w:rsidP="003330C9">
      <w:pPr>
        <w:pStyle w:val="ListParagraph"/>
        <w:numPr>
          <w:ilvl w:val="0"/>
          <w:numId w:val="5"/>
        </w:numPr>
        <w:spacing w:after="0" w:line="360" w:lineRule="auto"/>
        <w:rPr>
          <w:rFonts w:ascii="Times New Roman" w:hAnsi="Times New Roman" w:cs="Times New Roman"/>
          <w:sz w:val="24"/>
          <w:szCs w:val="24"/>
        </w:rPr>
      </w:pPr>
      <w:r w:rsidRPr="00B11EEF">
        <w:rPr>
          <w:rFonts w:ascii="Times New Roman" w:hAnsi="Times New Roman" w:cs="Times New Roman"/>
          <w:sz w:val="24"/>
          <w:szCs w:val="24"/>
        </w:rPr>
        <w:lastRenderedPageBreak/>
        <w:t xml:space="preserve">Historical share price data of those sample listed companies are downloaded from the website of the Hong Kong </w:t>
      </w:r>
      <w:r>
        <w:rPr>
          <w:rFonts w:ascii="Times New Roman" w:hAnsi="Times New Roman" w:cs="Times New Roman"/>
          <w:sz w:val="24"/>
          <w:szCs w:val="24"/>
        </w:rPr>
        <w:t>Exchanges and Clearing Limited at www.hkex.com.hk; and</w:t>
      </w:r>
    </w:p>
    <w:p w:rsidR="00F95819" w:rsidRPr="00B11EEF" w:rsidRDefault="00F95819" w:rsidP="003330C9">
      <w:pPr>
        <w:pStyle w:val="ListParagraph"/>
        <w:numPr>
          <w:ilvl w:val="0"/>
          <w:numId w:val="5"/>
        </w:numPr>
        <w:spacing w:after="0" w:line="360" w:lineRule="auto"/>
        <w:rPr>
          <w:rFonts w:ascii="Times New Roman" w:hAnsi="Times New Roman" w:cs="Times New Roman"/>
          <w:sz w:val="24"/>
          <w:szCs w:val="24"/>
        </w:rPr>
      </w:pPr>
      <w:r w:rsidRPr="00B11EEF">
        <w:rPr>
          <w:rFonts w:ascii="Times New Roman" w:hAnsi="Times New Roman" w:cs="Times New Roman"/>
          <w:sz w:val="24"/>
          <w:szCs w:val="24"/>
        </w:rPr>
        <w:t>Further information is sourced from other public available information such as the websites of the sample listed companies, pro</w:t>
      </w:r>
      <w:r>
        <w:rPr>
          <w:rFonts w:ascii="Times New Roman" w:hAnsi="Times New Roman" w:cs="Times New Roman"/>
          <w:sz w:val="24"/>
          <w:szCs w:val="24"/>
        </w:rPr>
        <w:t xml:space="preserve">fessional associations, regulatory bodies </w:t>
      </w:r>
      <w:r w:rsidRPr="00B11EEF">
        <w:rPr>
          <w:rFonts w:ascii="Times New Roman" w:hAnsi="Times New Roman" w:cs="Times New Roman"/>
          <w:sz w:val="24"/>
          <w:szCs w:val="24"/>
        </w:rPr>
        <w:t>and professional practisin</w:t>
      </w:r>
      <w:r>
        <w:rPr>
          <w:rFonts w:ascii="Times New Roman" w:hAnsi="Times New Roman" w:cs="Times New Roman"/>
          <w:sz w:val="24"/>
          <w:szCs w:val="24"/>
        </w:rPr>
        <w:t>g firms.</w:t>
      </w:r>
    </w:p>
    <w:p w:rsidR="00F95819" w:rsidRDefault="00F95819" w:rsidP="003330C9">
      <w:pPr>
        <w:spacing w:after="0" w:line="360" w:lineRule="auto"/>
        <w:rPr>
          <w:rFonts w:ascii="Times New Roman" w:hAnsi="Times New Roman" w:cs="Times New Roman"/>
          <w:sz w:val="24"/>
          <w:szCs w:val="24"/>
        </w:rPr>
      </w:pPr>
    </w:p>
    <w:p w:rsidR="00F95819" w:rsidRDefault="00C425F3"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T</w:t>
      </w:r>
      <w:r w:rsidR="00F95819">
        <w:rPr>
          <w:rFonts w:ascii="Times New Roman" w:hAnsi="Times New Roman" w:cs="Times New Roman"/>
          <w:sz w:val="24"/>
          <w:szCs w:val="24"/>
        </w:rPr>
        <w:t xml:space="preserve">he advantages of using secondary data for quantitative research studies include but not limited to low costs, time savings, breadth and scale of data sets available and easier replication </w:t>
      </w:r>
      <w:r w:rsidR="000B19EA" w:rsidRPr="00F908D7">
        <w:rPr>
          <w:rFonts w:ascii="Times New Roman" w:hAnsi="Times New Roman" w:cs="Times New Roman"/>
          <w:noProof/>
          <w:sz w:val="24"/>
          <w:szCs w:val="24"/>
        </w:rPr>
        <w:t>(Gray, 2017, p. 557)</w:t>
      </w:r>
      <w:r w:rsidR="00F95819">
        <w:rPr>
          <w:rFonts w:ascii="Times New Roman" w:hAnsi="Times New Roman" w:cs="Times New Roman"/>
          <w:sz w:val="24"/>
          <w:szCs w:val="24"/>
        </w:rPr>
        <w:t>. Given the aforesaid issues and limitations in questionnaires and interviews f</w:t>
      </w:r>
      <w:r w:rsidR="00F7166F">
        <w:rPr>
          <w:rFonts w:ascii="Times New Roman" w:hAnsi="Times New Roman" w:cs="Times New Roman"/>
          <w:sz w:val="24"/>
          <w:szCs w:val="24"/>
        </w:rPr>
        <w:t>or data collection, this study</w:t>
      </w:r>
      <w:r w:rsidR="00F95819">
        <w:rPr>
          <w:rFonts w:ascii="Times New Roman" w:hAnsi="Times New Roman" w:cs="Times New Roman"/>
          <w:sz w:val="24"/>
          <w:szCs w:val="24"/>
        </w:rPr>
        <w:t xml:space="preserve"> uses the secondary data for quantitative research analysis.</w:t>
      </w:r>
    </w:p>
    <w:p w:rsidR="00F95819" w:rsidRDefault="00F95819" w:rsidP="003330C9">
      <w:pPr>
        <w:spacing w:after="0" w:line="360" w:lineRule="auto"/>
        <w:rPr>
          <w:rFonts w:ascii="Times New Roman" w:hAnsi="Times New Roman" w:cs="Times New Roman"/>
          <w:sz w:val="24"/>
          <w:szCs w:val="24"/>
        </w:rPr>
      </w:pPr>
    </w:p>
    <w:p w:rsidR="00F95819" w:rsidRPr="00B506CF" w:rsidRDefault="00F95819" w:rsidP="003330C9">
      <w:pPr>
        <w:spacing w:after="0" w:line="360" w:lineRule="auto"/>
        <w:rPr>
          <w:rFonts w:ascii="Times New Roman" w:hAnsi="Times New Roman" w:cs="Times New Roman"/>
          <w:b/>
          <w:sz w:val="24"/>
          <w:szCs w:val="24"/>
        </w:rPr>
      </w:pPr>
      <w:r w:rsidRPr="00B506CF">
        <w:rPr>
          <w:rFonts w:ascii="Times New Roman" w:hAnsi="Times New Roman" w:cs="Times New Roman"/>
          <w:b/>
          <w:sz w:val="24"/>
          <w:szCs w:val="24"/>
        </w:rPr>
        <w:t>Target population</w:t>
      </w:r>
    </w:p>
    <w:p w:rsidR="00F95819" w:rsidRDefault="00F95819" w:rsidP="003330C9">
      <w:pPr>
        <w:spacing w:after="0" w:line="360" w:lineRule="auto"/>
        <w:rPr>
          <w:rFonts w:ascii="Times New Roman" w:hAnsi="Times New Roman" w:cs="Times New Roman"/>
          <w:sz w:val="24"/>
          <w:szCs w:val="24"/>
        </w:rPr>
      </w:pPr>
    </w:p>
    <w:p w:rsidR="00F95819" w:rsidRDefault="00F95819"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 Hang Seng Composite Index (“HSCI”) </w:t>
      </w:r>
      <w:r w:rsidRPr="00A04063">
        <w:rPr>
          <w:rFonts w:ascii="Times New Roman" w:hAnsi="Times New Roman" w:cs="Times New Roman"/>
          <w:sz w:val="24"/>
          <w:szCs w:val="24"/>
        </w:rPr>
        <w:t>offers a comprehensive Hong Kong market be</w:t>
      </w:r>
      <w:r>
        <w:rPr>
          <w:rFonts w:ascii="Times New Roman" w:hAnsi="Times New Roman" w:cs="Times New Roman"/>
          <w:sz w:val="24"/>
          <w:szCs w:val="24"/>
        </w:rPr>
        <w:t>nc</w:t>
      </w:r>
      <w:r w:rsidRPr="00A04063">
        <w:rPr>
          <w:rFonts w:ascii="Times New Roman" w:hAnsi="Times New Roman" w:cs="Times New Roman"/>
          <w:sz w:val="24"/>
          <w:szCs w:val="24"/>
        </w:rPr>
        <w:t>hmark that cove</w:t>
      </w:r>
      <w:r>
        <w:rPr>
          <w:rFonts w:ascii="Times New Roman" w:hAnsi="Times New Roman" w:cs="Times New Roman"/>
          <w:sz w:val="24"/>
          <w:szCs w:val="24"/>
        </w:rPr>
        <w:t>rs about the top 95%</w:t>
      </w:r>
      <w:r w:rsidRPr="00A04063">
        <w:rPr>
          <w:rFonts w:ascii="Times New Roman" w:hAnsi="Times New Roman" w:cs="Times New Roman"/>
          <w:sz w:val="24"/>
          <w:szCs w:val="24"/>
        </w:rPr>
        <w:t xml:space="preserve"> of the total market capitalisation of companies </w:t>
      </w:r>
      <w:r>
        <w:rPr>
          <w:rFonts w:ascii="Times New Roman" w:hAnsi="Times New Roman" w:cs="Times New Roman"/>
          <w:sz w:val="24"/>
          <w:szCs w:val="24"/>
        </w:rPr>
        <w:t xml:space="preserve">listed on the Main Board. </w:t>
      </w:r>
      <w:r w:rsidRPr="00621772">
        <w:rPr>
          <w:rFonts w:ascii="Times New Roman" w:hAnsi="Times New Roman" w:cs="Times New Roman"/>
          <w:noProof/>
          <w:sz w:val="24"/>
          <w:szCs w:val="24"/>
        </w:rPr>
        <w:t>(Hang Seng Indexes, 2020)</w:t>
      </w:r>
      <w:r w:rsidRPr="00A04063">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2A5886">
        <w:rPr>
          <w:rFonts w:ascii="Times New Roman" w:hAnsi="Times New Roman" w:cs="Times New Roman"/>
          <w:sz w:val="24"/>
          <w:szCs w:val="24"/>
        </w:rPr>
        <w:t xml:space="preserve">target population of this study </w:t>
      </w:r>
      <w:r>
        <w:rPr>
          <w:rFonts w:ascii="Times New Roman" w:hAnsi="Times New Roman" w:cs="Times New Roman"/>
          <w:sz w:val="24"/>
          <w:szCs w:val="24"/>
        </w:rPr>
        <w:t>is composed of all 485 listed companies in t</w:t>
      </w:r>
      <w:r w:rsidRPr="00A04063">
        <w:rPr>
          <w:rFonts w:ascii="Times New Roman" w:hAnsi="Times New Roman" w:cs="Times New Roman"/>
          <w:sz w:val="24"/>
          <w:szCs w:val="24"/>
        </w:rPr>
        <w:t xml:space="preserve">he </w:t>
      </w:r>
      <w:r>
        <w:rPr>
          <w:rFonts w:ascii="Times New Roman" w:hAnsi="Times New Roman" w:cs="Times New Roman"/>
          <w:sz w:val="24"/>
          <w:szCs w:val="24"/>
        </w:rPr>
        <w:t>HSCI.</w:t>
      </w:r>
    </w:p>
    <w:p w:rsidR="00DE51FE" w:rsidRDefault="00DE51FE" w:rsidP="003330C9">
      <w:pPr>
        <w:spacing w:after="0" w:line="360" w:lineRule="auto"/>
        <w:rPr>
          <w:rFonts w:ascii="Times New Roman" w:hAnsi="Times New Roman" w:cs="Times New Roman"/>
          <w:sz w:val="24"/>
          <w:szCs w:val="24"/>
        </w:rPr>
      </w:pPr>
    </w:p>
    <w:p w:rsidR="00F95819" w:rsidRPr="009F3EC2" w:rsidRDefault="002765ED" w:rsidP="003330C9">
      <w:pPr>
        <w:spacing w:line="360" w:lineRule="auto"/>
        <w:rPr>
          <w:rFonts w:ascii="Times New Roman" w:hAnsi="Times New Roman" w:cs="Times New Roman"/>
          <w:b/>
          <w:sz w:val="24"/>
          <w:szCs w:val="24"/>
        </w:rPr>
      </w:pPr>
      <w:r>
        <w:rPr>
          <w:rFonts w:ascii="Times New Roman" w:hAnsi="Times New Roman" w:cs="Times New Roman"/>
          <w:b/>
          <w:sz w:val="24"/>
          <w:szCs w:val="24"/>
        </w:rPr>
        <w:t>Sampling method</w:t>
      </w:r>
    </w:p>
    <w:p w:rsidR="00F95819" w:rsidRDefault="00F95819"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According to S</w:t>
      </w:r>
      <w:r w:rsidR="004E1D3A">
        <w:rPr>
          <w:rFonts w:ascii="Times New Roman" w:hAnsi="Times New Roman" w:cs="Times New Roman"/>
          <w:sz w:val="24"/>
          <w:szCs w:val="24"/>
        </w:rPr>
        <w:t>elvanathan and Selvanathan (2011</w:t>
      </w:r>
      <w:r>
        <w:rPr>
          <w:rFonts w:ascii="Times New Roman" w:hAnsi="Times New Roman" w:cs="Times New Roman"/>
          <w:sz w:val="24"/>
          <w:szCs w:val="24"/>
        </w:rPr>
        <w:t xml:space="preserve">, pp. 242-247), there are several different sampling methods under the probability samples namely a simple random sampling, a stratified random sampling and a cluster sampling. As discussed earlier, the target population of this project is all 485 listed companies in the HSCI. The HSCI is sub-divided into 12 Hang Seng Composite Industry Indexes (“HSCII”) namely Energy, Materials, Industrials, Consumer Discretionary, Consumer Staples, Healthcare, Telecommunications, Utilities, Financials, Properties &amp; Construction, Information Technology and Conglomerates </w:t>
      </w:r>
      <w:r w:rsidRPr="00621772">
        <w:rPr>
          <w:rFonts w:ascii="Times New Roman" w:hAnsi="Times New Roman" w:cs="Times New Roman"/>
          <w:noProof/>
          <w:sz w:val="24"/>
          <w:szCs w:val="24"/>
        </w:rPr>
        <w:t>(Hang Seng Indexes, 2020)</w:t>
      </w:r>
      <w:r>
        <w:rPr>
          <w:rFonts w:ascii="Times New Roman" w:hAnsi="Times New Roman" w:cs="Times New Roman"/>
          <w:noProof/>
          <w:sz w:val="24"/>
          <w:szCs w:val="24"/>
        </w:rPr>
        <w:t xml:space="preserve">. As such, </w:t>
      </w:r>
      <w:r>
        <w:rPr>
          <w:rFonts w:ascii="Times New Roman" w:hAnsi="Times New Roman" w:cs="Times New Roman"/>
          <w:sz w:val="24"/>
          <w:szCs w:val="24"/>
        </w:rPr>
        <w:t>a stratified random sampling method is used in this project.</w:t>
      </w:r>
    </w:p>
    <w:p w:rsidR="00DE51FE" w:rsidRDefault="00DE51FE" w:rsidP="003330C9">
      <w:pPr>
        <w:spacing w:after="0" w:line="360" w:lineRule="auto"/>
        <w:rPr>
          <w:rFonts w:ascii="Times New Roman" w:hAnsi="Times New Roman" w:cs="Times New Roman"/>
          <w:sz w:val="24"/>
          <w:szCs w:val="24"/>
        </w:rPr>
      </w:pPr>
    </w:p>
    <w:p w:rsidR="00F95819" w:rsidRPr="00B506CF" w:rsidRDefault="00F95819" w:rsidP="003330C9">
      <w:pPr>
        <w:spacing w:line="360" w:lineRule="auto"/>
        <w:rPr>
          <w:rFonts w:ascii="Times New Roman" w:hAnsi="Times New Roman" w:cs="Times New Roman"/>
          <w:b/>
          <w:sz w:val="24"/>
          <w:szCs w:val="24"/>
        </w:rPr>
      </w:pPr>
      <w:r w:rsidRPr="00B506CF">
        <w:rPr>
          <w:rFonts w:ascii="Times New Roman" w:hAnsi="Times New Roman" w:cs="Times New Roman"/>
          <w:b/>
          <w:sz w:val="24"/>
          <w:szCs w:val="24"/>
        </w:rPr>
        <w:t>Sample Size</w:t>
      </w:r>
    </w:p>
    <w:p w:rsidR="00986CC7" w:rsidRDefault="00F95819"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To compute the minimum required sample size, three factors have to be considered namely the desired confidence level, acceptable sampling error and proportion </w:t>
      </w:r>
      <w:r w:rsidR="008A4BD0">
        <w:rPr>
          <w:rFonts w:ascii="Times New Roman" w:hAnsi="Times New Roman" w:cs="Times New Roman"/>
          <w:noProof/>
          <w:sz w:val="24"/>
          <w:szCs w:val="24"/>
        </w:rPr>
        <w:t xml:space="preserve">(Levine </w:t>
      </w:r>
      <w:r w:rsidR="008A4BD0" w:rsidRPr="008A4BD0">
        <w:rPr>
          <w:rFonts w:ascii="Times New Roman" w:hAnsi="Times New Roman" w:cs="Times New Roman"/>
          <w:i/>
          <w:noProof/>
          <w:sz w:val="24"/>
          <w:szCs w:val="24"/>
        </w:rPr>
        <w:t>et al</w:t>
      </w:r>
      <w:r w:rsidR="008A4BD0">
        <w:rPr>
          <w:rFonts w:ascii="Times New Roman" w:hAnsi="Times New Roman" w:cs="Times New Roman"/>
          <w:noProof/>
          <w:sz w:val="24"/>
          <w:szCs w:val="24"/>
        </w:rPr>
        <w:t>.</w:t>
      </w:r>
      <w:r w:rsidR="008A4BD0" w:rsidRPr="0082737D">
        <w:rPr>
          <w:rFonts w:ascii="Times New Roman" w:hAnsi="Times New Roman" w:cs="Times New Roman"/>
          <w:noProof/>
          <w:sz w:val="24"/>
          <w:szCs w:val="24"/>
        </w:rPr>
        <w:t xml:space="preserve"> 2011, p. </w:t>
      </w:r>
      <w:r w:rsidR="008A4BD0" w:rsidRPr="0082737D">
        <w:rPr>
          <w:rFonts w:ascii="Times New Roman" w:hAnsi="Times New Roman" w:cs="Times New Roman"/>
          <w:noProof/>
          <w:sz w:val="24"/>
          <w:szCs w:val="24"/>
        </w:rPr>
        <w:lastRenderedPageBreak/>
        <w:t>300)</w:t>
      </w:r>
      <w:r>
        <w:rPr>
          <w:rFonts w:ascii="Times New Roman" w:hAnsi="Times New Roman" w:cs="Times New Roman"/>
          <w:sz w:val="24"/>
          <w:szCs w:val="24"/>
        </w:rPr>
        <w:t xml:space="preserve">. According to the “Table for Determining Minimum Returned Sample Size for a Given Population Size for Continuous and Categorical Data” developed by Bartlett, Kotrlik and Higgins (2001), for categorical data with a population size of 500 (485 </w:t>
      </w:r>
      <w:r w:rsidR="00E62D3B">
        <w:rPr>
          <w:rFonts w:ascii="Times New Roman" w:hAnsi="Times New Roman" w:cs="Times New Roman"/>
          <w:sz w:val="24"/>
          <w:szCs w:val="24"/>
        </w:rPr>
        <w:t>listed companies in this study</w:t>
      </w:r>
      <w:r>
        <w:rPr>
          <w:rFonts w:ascii="Times New Roman" w:hAnsi="Times New Roman" w:cs="Times New Roman"/>
          <w:sz w:val="24"/>
          <w:szCs w:val="24"/>
        </w:rPr>
        <w:t>), a margin of error=0.05, p=0.50 and t=1.96, the minimum sample returned sample size is equal to 218</w:t>
      </w:r>
      <w:r w:rsidR="00A2614B">
        <w:rPr>
          <w:rFonts w:ascii="Times New Roman" w:hAnsi="Times New Roman" w:cs="Times New Roman"/>
          <w:sz w:val="24"/>
          <w:szCs w:val="24"/>
        </w:rPr>
        <w:t xml:space="preserve"> </w:t>
      </w:r>
      <w:r w:rsidR="008A4BD0">
        <w:rPr>
          <w:rFonts w:ascii="Times New Roman" w:hAnsi="Times New Roman" w:cs="Times New Roman"/>
          <w:noProof/>
          <w:sz w:val="24"/>
          <w:szCs w:val="24"/>
        </w:rPr>
        <w:t xml:space="preserve">(Bartlett </w:t>
      </w:r>
      <w:r w:rsidR="008A4BD0" w:rsidRPr="008A4BD0">
        <w:rPr>
          <w:rFonts w:ascii="Times New Roman" w:hAnsi="Times New Roman" w:cs="Times New Roman"/>
          <w:i/>
          <w:noProof/>
          <w:sz w:val="24"/>
          <w:szCs w:val="24"/>
        </w:rPr>
        <w:t>et al</w:t>
      </w:r>
      <w:r w:rsidR="008A4BD0">
        <w:rPr>
          <w:rFonts w:ascii="Times New Roman" w:hAnsi="Times New Roman" w:cs="Times New Roman"/>
          <w:noProof/>
          <w:sz w:val="24"/>
          <w:szCs w:val="24"/>
        </w:rPr>
        <w:t>.</w:t>
      </w:r>
      <w:r w:rsidR="008A4BD0" w:rsidRPr="00A2614B">
        <w:rPr>
          <w:rFonts w:ascii="Times New Roman" w:hAnsi="Times New Roman" w:cs="Times New Roman"/>
          <w:noProof/>
          <w:sz w:val="24"/>
          <w:szCs w:val="24"/>
        </w:rPr>
        <w:t xml:space="preserve"> 2001)</w:t>
      </w:r>
      <w:r>
        <w:rPr>
          <w:rFonts w:ascii="Times New Roman" w:hAnsi="Times New Roman" w:cs="Times New Roman"/>
          <w:sz w:val="24"/>
          <w:szCs w:val="24"/>
        </w:rPr>
        <w:t>. The number &amp; percentage of listed companies in the 12 different industry sectors under the HSCII and the number of samples in each industry sector to be selected are calculated. Each listed company under the HSCII is allocated a code of three-digit numbers starting from “001” to “485”. Having determined the number of samples in each industry sector, the corresponding random samples are generated by MS Excel based on the codes of three-digit numbers.</w:t>
      </w:r>
      <w:r w:rsidR="00711CC1">
        <w:rPr>
          <w:rFonts w:ascii="Times New Roman" w:hAnsi="Times New Roman" w:cs="Times New Roman"/>
          <w:sz w:val="24"/>
          <w:szCs w:val="24"/>
        </w:rPr>
        <w:t xml:space="preserve"> The details are shown in Table 1.</w:t>
      </w:r>
    </w:p>
    <w:p w:rsidR="001D3C9C" w:rsidRDefault="001D3C9C" w:rsidP="003330C9">
      <w:pPr>
        <w:spacing w:after="0" w:line="360" w:lineRule="auto"/>
        <w:rPr>
          <w:rFonts w:ascii="Times New Roman" w:hAnsi="Times New Roman" w:cs="Times New Roman"/>
          <w:sz w:val="24"/>
          <w:szCs w:val="24"/>
        </w:rPr>
      </w:pPr>
    </w:p>
    <w:p w:rsidR="001D3C9C" w:rsidRDefault="00FD2EA6"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Table 1</w:t>
      </w:r>
      <w:r w:rsidR="009C7E77">
        <w:rPr>
          <w:rFonts w:ascii="Times New Roman" w:hAnsi="Times New Roman" w:cs="Times New Roman"/>
          <w:sz w:val="24"/>
          <w:szCs w:val="24"/>
        </w:rPr>
        <w:t>: Stratified random sampling</w:t>
      </w:r>
    </w:p>
    <w:p w:rsidR="004B3619" w:rsidRDefault="004B3619" w:rsidP="003330C9">
      <w:pPr>
        <w:spacing w:after="0" w:line="360" w:lineRule="auto"/>
        <w:rPr>
          <w:rFonts w:ascii="Times New Roman" w:hAnsi="Times New Roman" w:cs="Times New Roman"/>
          <w:sz w:val="24"/>
          <w:szCs w:val="24"/>
        </w:rPr>
      </w:pPr>
      <w:r w:rsidRPr="004B3619">
        <w:rPr>
          <w:noProof/>
        </w:rPr>
        <w:drawing>
          <wp:inline distT="0" distB="0" distL="0" distR="0">
            <wp:extent cx="5581650" cy="48323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81650" cy="4832350"/>
                    </a:xfrm>
                    <a:prstGeom prst="rect">
                      <a:avLst/>
                    </a:prstGeom>
                    <a:noFill/>
                    <a:ln>
                      <a:noFill/>
                    </a:ln>
                  </pic:spPr>
                </pic:pic>
              </a:graphicData>
            </a:graphic>
          </wp:inline>
        </w:drawing>
      </w:r>
    </w:p>
    <w:p w:rsidR="00C91D42" w:rsidRDefault="00C91D42" w:rsidP="003330C9">
      <w:pPr>
        <w:spacing w:after="0" w:line="360" w:lineRule="auto"/>
        <w:rPr>
          <w:rFonts w:ascii="Times New Roman" w:hAnsi="Times New Roman" w:cs="Times New Roman"/>
          <w:sz w:val="24"/>
          <w:szCs w:val="24"/>
        </w:rPr>
      </w:pPr>
    </w:p>
    <w:p w:rsidR="00D1362B" w:rsidRDefault="00D1362B"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Given the time constraint for this study (HKBM7004 Quantitative Research Methods) to be completed in a month, 3 samples for each industry sector are randomly selected for the pilot </w:t>
      </w:r>
      <w:r>
        <w:rPr>
          <w:rFonts w:ascii="Times New Roman" w:hAnsi="Times New Roman" w:cs="Times New Roman"/>
          <w:sz w:val="24"/>
          <w:szCs w:val="24"/>
        </w:rPr>
        <w:lastRenderedPageBreak/>
        <w:t>test. That is, a total of 36 sample listed companies are selected. In the DBA thesis, 224 samples will be randomly selected subject to the consent of the doctoral thesis supervisors</w:t>
      </w:r>
      <w:r w:rsidR="00E62D3B">
        <w:rPr>
          <w:rFonts w:ascii="Times New Roman" w:hAnsi="Times New Roman" w:cs="Times New Roman"/>
          <w:sz w:val="24"/>
          <w:szCs w:val="24"/>
        </w:rPr>
        <w:t xml:space="preserve"> in the future</w:t>
      </w:r>
      <w:r>
        <w:rPr>
          <w:rFonts w:ascii="Times New Roman" w:hAnsi="Times New Roman" w:cs="Times New Roman"/>
          <w:sz w:val="24"/>
          <w:szCs w:val="24"/>
        </w:rPr>
        <w:t>.</w:t>
      </w:r>
    </w:p>
    <w:p w:rsidR="00D1362B" w:rsidRPr="00C91D42" w:rsidRDefault="00D1362B" w:rsidP="003330C9">
      <w:pPr>
        <w:spacing w:after="0" w:line="360" w:lineRule="auto"/>
        <w:rPr>
          <w:rFonts w:ascii="Times New Roman" w:hAnsi="Times New Roman" w:cs="Times New Roman"/>
          <w:sz w:val="24"/>
          <w:szCs w:val="24"/>
        </w:rPr>
      </w:pPr>
    </w:p>
    <w:p w:rsidR="003146A1" w:rsidRPr="00B506CF" w:rsidRDefault="00986CC7" w:rsidP="003330C9">
      <w:pPr>
        <w:spacing w:after="0" w:line="360" w:lineRule="auto"/>
        <w:rPr>
          <w:rFonts w:ascii="Times New Roman" w:hAnsi="Times New Roman" w:cs="Times New Roman"/>
          <w:b/>
          <w:sz w:val="24"/>
          <w:szCs w:val="24"/>
        </w:rPr>
      </w:pPr>
      <w:r w:rsidRPr="00B506CF">
        <w:rPr>
          <w:rFonts w:ascii="Times New Roman" w:hAnsi="Times New Roman" w:cs="Times New Roman"/>
          <w:b/>
          <w:sz w:val="24"/>
          <w:szCs w:val="24"/>
        </w:rPr>
        <w:t xml:space="preserve">3.2 Research question one </w:t>
      </w:r>
      <w:r w:rsidR="00565DAE" w:rsidRPr="00B506CF">
        <w:rPr>
          <w:rFonts w:ascii="Times New Roman" w:hAnsi="Times New Roman" w:cs="Times New Roman"/>
          <w:b/>
          <w:sz w:val="24"/>
          <w:szCs w:val="24"/>
        </w:rPr>
        <w:t>and hypotheses testing</w:t>
      </w:r>
    </w:p>
    <w:p w:rsidR="00E86608" w:rsidRDefault="00E86608" w:rsidP="003330C9">
      <w:pPr>
        <w:spacing w:after="0" w:line="360" w:lineRule="auto"/>
        <w:rPr>
          <w:rFonts w:ascii="Times New Roman" w:hAnsi="Times New Roman" w:cs="Times New Roman"/>
          <w:sz w:val="24"/>
          <w:szCs w:val="24"/>
        </w:rPr>
      </w:pPr>
    </w:p>
    <w:p w:rsidR="00582F75" w:rsidRDefault="00582F75"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The board of directors is more likely to be an effective monitor if it is not associated with the management of the company. As such, a board of directors with a majority or significant proportion of INEDs, separation of the roles of chairman and chief executive as well as the board of directors chaired by an INED are viewed as good board structure and composition which have been debated in academic literature and professional articles. As such, this study firstly investigate whether the level of board independence affected the level of corporate governance.</w:t>
      </w:r>
    </w:p>
    <w:p w:rsidR="00582F75" w:rsidRDefault="00582F75" w:rsidP="003330C9">
      <w:pPr>
        <w:spacing w:after="0" w:line="360" w:lineRule="auto"/>
        <w:rPr>
          <w:rFonts w:ascii="Times New Roman" w:hAnsi="Times New Roman" w:cs="Times New Roman"/>
          <w:sz w:val="24"/>
          <w:szCs w:val="24"/>
        </w:rPr>
      </w:pPr>
    </w:p>
    <w:p w:rsidR="00C46759" w:rsidRDefault="00565DAE" w:rsidP="003330C9">
      <w:pPr>
        <w:spacing w:after="0" w:line="360" w:lineRule="auto"/>
        <w:rPr>
          <w:rFonts w:ascii="Times New Roman" w:hAnsi="Times New Roman" w:cs="Times New Roman"/>
          <w:sz w:val="24"/>
          <w:szCs w:val="24"/>
        </w:rPr>
      </w:pPr>
      <w:r w:rsidRPr="00C46759">
        <w:rPr>
          <w:rFonts w:ascii="Times New Roman" w:hAnsi="Times New Roman" w:cs="Times New Roman"/>
          <w:b/>
          <w:sz w:val="24"/>
          <w:szCs w:val="24"/>
        </w:rPr>
        <w:t>Research Question 1</w:t>
      </w:r>
    </w:p>
    <w:p w:rsidR="00C46759" w:rsidRDefault="00C46759" w:rsidP="003330C9">
      <w:pPr>
        <w:spacing w:after="0" w:line="360" w:lineRule="auto"/>
        <w:rPr>
          <w:rFonts w:ascii="Times New Roman" w:hAnsi="Times New Roman" w:cs="Times New Roman"/>
          <w:sz w:val="24"/>
          <w:szCs w:val="24"/>
        </w:rPr>
      </w:pPr>
    </w:p>
    <w:p w:rsidR="0066657B" w:rsidRDefault="0066657B"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Has the level of board independence affected the level of corporate governance compliance?</w:t>
      </w:r>
    </w:p>
    <w:p w:rsidR="00D23C38" w:rsidRDefault="00D23C38" w:rsidP="003330C9">
      <w:pPr>
        <w:spacing w:after="0" w:line="360" w:lineRule="auto"/>
        <w:rPr>
          <w:rFonts w:ascii="Times New Roman" w:hAnsi="Times New Roman" w:cs="Times New Roman"/>
          <w:sz w:val="24"/>
          <w:szCs w:val="24"/>
        </w:rPr>
      </w:pPr>
    </w:p>
    <w:p w:rsidR="0066657B" w:rsidRDefault="0066657B"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In order to address to Research Question 1, </w:t>
      </w:r>
      <w:r w:rsidR="00565DAE">
        <w:rPr>
          <w:rFonts w:ascii="Times New Roman" w:hAnsi="Times New Roman" w:cs="Times New Roman"/>
          <w:sz w:val="24"/>
          <w:szCs w:val="24"/>
        </w:rPr>
        <w:t>va</w:t>
      </w:r>
      <w:r w:rsidR="00582F75">
        <w:rPr>
          <w:rFonts w:ascii="Times New Roman" w:hAnsi="Times New Roman" w:cs="Times New Roman"/>
          <w:sz w:val="24"/>
          <w:szCs w:val="24"/>
        </w:rPr>
        <w:t>rious descriptive statistics would be</w:t>
      </w:r>
      <w:r w:rsidR="00565DAE">
        <w:rPr>
          <w:rFonts w:ascii="Times New Roman" w:hAnsi="Times New Roman" w:cs="Times New Roman"/>
          <w:sz w:val="24"/>
          <w:szCs w:val="24"/>
        </w:rPr>
        <w:t xml:space="preserve"> examined and </w:t>
      </w:r>
      <w:r w:rsidR="006F18B0">
        <w:rPr>
          <w:rFonts w:ascii="Times New Roman" w:hAnsi="Times New Roman" w:cs="Times New Roman"/>
          <w:sz w:val="24"/>
          <w:szCs w:val="24"/>
        </w:rPr>
        <w:t xml:space="preserve">the </w:t>
      </w:r>
      <w:r>
        <w:rPr>
          <w:rFonts w:ascii="Times New Roman" w:hAnsi="Times New Roman" w:cs="Times New Roman"/>
          <w:sz w:val="24"/>
          <w:szCs w:val="24"/>
        </w:rPr>
        <w:t>coefficient of correlation, coefficient of determination and mu</w:t>
      </w:r>
      <w:r w:rsidR="006F18B0">
        <w:rPr>
          <w:rFonts w:ascii="Times New Roman" w:hAnsi="Times New Roman" w:cs="Times New Roman"/>
          <w:sz w:val="24"/>
          <w:szCs w:val="24"/>
        </w:rPr>
        <w:t>ltiple regression model are analysed</w:t>
      </w:r>
      <w:r>
        <w:rPr>
          <w:rFonts w:ascii="Times New Roman" w:hAnsi="Times New Roman" w:cs="Times New Roman"/>
          <w:sz w:val="24"/>
          <w:szCs w:val="24"/>
        </w:rPr>
        <w:t xml:space="preserve"> to examine whether there is any positive relationship between the level of corporate governa</w:t>
      </w:r>
      <w:r w:rsidR="00565DAE">
        <w:rPr>
          <w:rFonts w:ascii="Times New Roman" w:hAnsi="Times New Roman" w:cs="Times New Roman"/>
          <w:sz w:val="24"/>
          <w:szCs w:val="24"/>
        </w:rPr>
        <w:t xml:space="preserve">nce compliance and the level </w:t>
      </w:r>
      <w:r>
        <w:rPr>
          <w:rFonts w:ascii="Times New Roman" w:hAnsi="Times New Roman" w:cs="Times New Roman"/>
          <w:sz w:val="24"/>
          <w:szCs w:val="24"/>
        </w:rPr>
        <w:t xml:space="preserve">board independence. </w:t>
      </w:r>
    </w:p>
    <w:p w:rsidR="00582F75" w:rsidRDefault="00582F75" w:rsidP="003330C9">
      <w:pPr>
        <w:spacing w:after="0" w:line="360" w:lineRule="auto"/>
        <w:rPr>
          <w:rFonts w:ascii="Times New Roman" w:hAnsi="Times New Roman" w:cs="Times New Roman"/>
          <w:sz w:val="24"/>
          <w:szCs w:val="24"/>
        </w:rPr>
      </w:pPr>
    </w:p>
    <w:p w:rsidR="0066657B" w:rsidRPr="00C46759" w:rsidRDefault="00767BAF" w:rsidP="003330C9">
      <w:pPr>
        <w:spacing w:after="0" w:line="360" w:lineRule="auto"/>
        <w:rPr>
          <w:rFonts w:ascii="Times New Roman" w:hAnsi="Times New Roman" w:cs="Times New Roman"/>
          <w:b/>
          <w:sz w:val="24"/>
          <w:szCs w:val="24"/>
        </w:rPr>
      </w:pPr>
      <w:r w:rsidRPr="00C46759">
        <w:rPr>
          <w:rFonts w:ascii="Times New Roman" w:hAnsi="Times New Roman" w:cs="Times New Roman"/>
          <w:b/>
          <w:sz w:val="24"/>
          <w:szCs w:val="24"/>
        </w:rPr>
        <w:t>Dependent variable</w:t>
      </w:r>
    </w:p>
    <w:p w:rsidR="000527EA" w:rsidRDefault="000527EA" w:rsidP="003330C9">
      <w:pPr>
        <w:spacing w:after="0" w:line="360" w:lineRule="auto"/>
        <w:rPr>
          <w:rFonts w:ascii="Times New Roman" w:hAnsi="Times New Roman" w:cs="Times New Roman"/>
          <w:sz w:val="24"/>
          <w:szCs w:val="24"/>
        </w:rPr>
      </w:pPr>
    </w:p>
    <w:p w:rsidR="000527EA" w:rsidRDefault="000527EA"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 role of the board of directors has been argued to be the most important mechanisms of corporate governance in terms of board composition, structures and leadership </w:t>
      </w:r>
      <w:r w:rsidR="008A4BD0" w:rsidRPr="00285704">
        <w:rPr>
          <w:rFonts w:ascii="Times New Roman" w:hAnsi="Times New Roman" w:cs="Times New Roman"/>
          <w:noProof/>
          <w:sz w:val="24"/>
          <w:szCs w:val="24"/>
        </w:rPr>
        <w:t>(Nordberg, 2011, p. 38)</w:t>
      </w:r>
      <w:r>
        <w:rPr>
          <w:rFonts w:ascii="Times New Roman" w:hAnsi="Times New Roman" w:cs="Times New Roman"/>
          <w:sz w:val="24"/>
          <w:szCs w:val="24"/>
        </w:rPr>
        <w:t>. C</w:t>
      </w:r>
      <w:r w:rsidR="00C46759">
        <w:rPr>
          <w:rFonts w:ascii="Times New Roman" w:hAnsi="Times New Roman" w:cs="Times New Roman"/>
          <w:sz w:val="24"/>
          <w:szCs w:val="24"/>
        </w:rPr>
        <w:t xml:space="preserve">onsequently, the corporate governance </w:t>
      </w:r>
      <w:r>
        <w:rPr>
          <w:rFonts w:ascii="Times New Roman" w:hAnsi="Times New Roman" w:cs="Times New Roman"/>
          <w:sz w:val="24"/>
          <w:szCs w:val="24"/>
        </w:rPr>
        <w:t>code provisions under “Part A – Directors” are especially worthy of research attention as they are the core mechanisms of the corporate governance.</w:t>
      </w:r>
    </w:p>
    <w:p w:rsidR="00D27987" w:rsidRDefault="00D27987" w:rsidP="003330C9">
      <w:pPr>
        <w:spacing w:after="0" w:line="360" w:lineRule="auto"/>
        <w:rPr>
          <w:rFonts w:ascii="Times New Roman" w:hAnsi="Times New Roman" w:cs="Times New Roman"/>
          <w:sz w:val="24"/>
          <w:szCs w:val="24"/>
        </w:rPr>
      </w:pPr>
    </w:p>
    <w:p w:rsidR="00582F75" w:rsidRDefault="00D27987"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 dependent variable is the corporate governance compliance index score. </w:t>
      </w:r>
      <w:r w:rsidR="00004092">
        <w:rPr>
          <w:rFonts w:ascii="Times New Roman" w:hAnsi="Times New Roman" w:cs="Times New Roman"/>
          <w:sz w:val="24"/>
          <w:szCs w:val="24"/>
        </w:rPr>
        <w:t>In this study, t</w:t>
      </w:r>
      <w:r w:rsidR="00582F75">
        <w:rPr>
          <w:rFonts w:ascii="Times New Roman" w:hAnsi="Times New Roman" w:cs="Times New Roman"/>
          <w:sz w:val="24"/>
          <w:szCs w:val="24"/>
        </w:rPr>
        <w:t>he measure</w:t>
      </w:r>
      <w:r w:rsidR="00004092">
        <w:rPr>
          <w:rFonts w:ascii="Times New Roman" w:hAnsi="Times New Roman" w:cs="Times New Roman"/>
          <w:sz w:val="24"/>
          <w:szCs w:val="24"/>
        </w:rPr>
        <w:t xml:space="preserve"> of such index score is</w:t>
      </w:r>
      <w:r w:rsidR="00582F75">
        <w:rPr>
          <w:rFonts w:ascii="Times New Roman" w:hAnsi="Times New Roman" w:cs="Times New Roman"/>
          <w:sz w:val="24"/>
          <w:szCs w:val="24"/>
        </w:rPr>
        <w:t xml:space="preserve"> </w:t>
      </w:r>
      <w:r w:rsidR="00C46759">
        <w:rPr>
          <w:rFonts w:ascii="Times New Roman" w:hAnsi="Times New Roman" w:cs="Times New Roman"/>
          <w:sz w:val="24"/>
          <w:szCs w:val="24"/>
        </w:rPr>
        <w:t xml:space="preserve">determined </w:t>
      </w:r>
      <w:r w:rsidR="00582F75">
        <w:rPr>
          <w:rFonts w:ascii="Times New Roman" w:hAnsi="Times New Roman" w:cs="Times New Roman"/>
          <w:sz w:val="24"/>
          <w:szCs w:val="24"/>
        </w:rPr>
        <w:t>as follows:</w:t>
      </w:r>
    </w:p>
    <w:p w:rsidR="00582F75" w:rsidRDefault="00582F75" w:rsidP="003330C9">
      <w:pPr>
        <w:spacing w:after="0" w:line="360" w:lineRule="auto"/>
        <w:rPr>
          <w:rFonts w:ascii="Times New Roman" w:hAnsi="Times New Roman" w:cs="Times New Roman"/>
          <w:sz w:val="24"/>
          <w:szCs w:val="24"/>
        </w:rPr>
      </w:pPr>
    </w:p>
    <w:p w:rsidR="00582F75" w:rsidRDefault="00582F75"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There are seven subdivisions under “Part A – Directors” of Appendix 14 </w:t>
      </w:r>
      <w:r w:rsidR="00D34E9E">
        <w:rPr>
          <w:rFonts w:ascii="Times New Roman" w:hAnsi="Times New Roman" w:cs="Times New Roman"/>
          <w:sz w:val="24"/>
          <w:szCs w:val="24"/>
        </w:rPr>
        <w:t xml:space="preserve">to the Listing Rules. </w:t>
      </w:r>
      <w:r>
        <w:rPr>
          <w:rFonts w:ascii="Times New Roman" w:hAnsi="Times New Roman" w:cs="Times New Roman"/>
          <w:sz w:val="24"/>
          <w:szCs w:val="24"/>
        </w:rPr>
        <w:t>There are various corporate governance code provisions under each subdivision. A dichotomous categorical outcome namely “Yes” (Compliance) or “No” (Non-comp</w:t>
      </w:r>
      <w:r w:rsidR="00C46759">
        <w:rPr>
          <w:rFonts w:ascii="Times New Roman" w:hAnsi="Times New Roman" w:cs="Times New Roman"/>
          <w:sz w:val="24"/>
          <w:szCs w:val="24"/>
        </w:rPr>
        <w:t xml:space="preserve">liance) is constructed. The </w:t>
      </w:r>
      <w:r>
        <w:rPr>
          <w:rFonts w:ascii="Times New Roman" w:hAnsi="Times New Roman" w:cs="Times New Roman"/>
          <w:sz w:val="24"/>
          <w:szCs w:val="24"/>
        </w:rPr>
        <w:t xml:space="preserve">research instrument </w:t>
      </w:r>
      <w:r w:rsidR="00C46759">
        <w:rPr>
          <w:rFonts w:ascii="Times New Roman" w:hAnsi="Times New Roman" w:cs="Times New Roman"/>
          <w:sz w:val="24"/>
          <w:szCs w:val="24"/>
        </w:rPr>
        <w:t xml:space="preserve">in Table 2 </w:t>
      </w:r>
      <w:r>
        <w:rPr>
          <w:rFonts w:ascii="Times New Roman" w:hAnsi="Times New Roman" w:cs="Times New Roman"/>
          <w:sz w:val="24"/>
          <w:szCs w:val="24"/>
        </w:rPr>
        <w:t>is to be used for data collection.</w:t>
      </w:r>
    </w:p>
    <w:p w:rsidR="00A973BE" w:rsidRDefault="00A973BE" w:rsidP="003330C9">
      <w:pPr>
        <w:spacing w:after="0" w:line="360" w:lineRule="auto"/>
        <w:rPr>
          <w:rFonts w:ascii="Times New Roman" w:hAnsi="Times New Roman" w:cs="Times New Roman"/>
          <w:sz w:val="24"/>
          <w:szCs w:val="24"/>
        </w:rPr>
      </w:pPr>
    </w:p>
    <w:p w:rsidR="00A973BE" w:rsidRDefault="00A973BE"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Table 2</w:t>
      </w:r>
      <w:r w:rsidR="007F3F61">
        <w:rPr>
          <w:rFonts w:ascii="Times New Roman" w:hAnsi="Times New Roman" w:cs="Times New Roman"/>
          <w:sz w:val="24"/>
          <w:szCs w:val="24"/>
        </w:rPr>
        <w:t>: Data collection of compliance and non-compliance</w:t>
      </w:r>
    </w:p>
    <w:p w:rsidR="00A973BE" w:rsidRDefault="00A973BE" w:rsidP="003330C9">
      <w:pPr>
        <w:spacing w:after="0" w:line="360" w:lineRule="auto"/>
        <w:rPr>
          <w:rFonts w:ascii="Times New Roman" w:hAnsi="Times New Roman" w:cs="Times New Roman"/>
          <w:sz w:val="24"/>
          <w:szCs w:val="24"/>
        </w:rPr>
      </w:pPr>
      <w:r w:rsidRPr="00A973BE">
        <w:rPr>
          <w:noProof/>
        </w:rPr>
        <w:drawing>
          <wp:inline distT="0" distB="0" distL="0" distR="0">
            <wp:extent cx="5289550" cy="1917700"/>
            <wp:effectExtent l="0" t="0" r="635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89550" cy="1917700"/>
                    </a:xfrm>
                    <a:prstGeom prst="rect">
                      <a:avLst/>
                    </a:prstGeom>
                    <a:noFill/>
                    <a:ln>
                      <a:noFill/>
                    </a:ln>
                  </pic:spPr>
                </pic:pic>
              </a:graphicData>
            </a:graphic>
          </wp:inline>
        </w:drawing>
      </w:r>
    </w:p>
    <w:p w:rsidR="00582F75" w:rsidRDefault="00582F75" w:rsidP="003330C9">
      <w:pPr>
        <w:spacing w:after="0" w:line="360" w:lineRule="auto"/>
        <w:rPr>
          <w:rFonts w:ascii="Times New Roman" w:hAnsi="Times New Roman" w:cs="Times New Roman"/>
          <w:sz w:val="24"/>
          <w:szCs w:val="24"/>
        </w:rPr>
      </w:pPr>
    </w:p>
    <w:p w:rsidR="00582F75" w:rsidRDefault="00582F75"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In the event that a listed company has complied with all corporate governance code provisions of a subdivision, a score of “1” is to be given for that subdivision. Otherwise, a score of “0” is to be given. As such, a corporate governance compliance index score ranging from zero to seven would be constructed. The index score is used as a proxy for the level of corporate governance compliance which reflects the corporate governance quality of a company. Such inde</w:t>
      </w:r>
      <w:r w:rsidR="003919B7">
        <w:rPr>
          <w:rFonts w:ascii="Times New Roman" w:hAnsi="Times New Roman" w:cs="Times New Roman"/>
          <w:sz w:val="24"/>
          <w:szCs w:val="24"/>
        </w:rPr>
        <w:t xml:space="preserve">x scores are considered to be </w:t>
      </w:r>
      <w:r>
        <w:rPr>
          <w:rFonts w:ascii="Times New Roman" w:hAnsi="Times New Roman" w:cs="Times New Roman"/>
          <w:sz w:val="24"/>
          <w:szCs w:val="24"/>
        </w:rPr>
        <w:t xml:space="preserve">proper and reliable </w:t>
      </w:r>
      <w:r w:rsidR="003919B7">
        <w:rPr>
          <w:rFonts w:ascii="Times New Roman" w:hAnsi="Times New Roman" w:cs="Times New Roman"/>
          <w:sz w:val="24"/>
          <w:szCs w:val="24"/>
        </w:rPr>
        <w:t>measurement</w:t>
      </w:r>
      <w:r w:rsidR="00BE7B8F">
        <w:rPr>
          <w:rFonts w:ascii="Times New Roman" w:hAnsi="Times New Roman" w:cs="Times New Roman"/>
          <w:sz w:val="24"/>
          <w:szCs w:val="24"/>
        </w:rPr>
        <w:t>s</w:t>
      </w:r>
      <w:r w:rsidR="003919B7">
        <w:rPr>
          <w:rFonts w:ascii="Times New Roman" w:hAnsi="Times New Roman" w:cs="Times New Roman"/>
          <w:sz w:val="24"/>
          <w:szCs w:val="24"/>
        </w:rPr>
        <w:t xml:space="preserve"> of corporate governance </w:t>
      </w:r>
      <w:r>
        <w:rPr>
          <w:rFonts w:ascii="Times New Roman" w:hAnsi="Times New Roman" w:cs="Times New Roman"/>
          <w:sz w:val="24"/>
          <w:szCs w:val="24"/>
        </w:rPr>
        <w:t xml:space="preserve">because they are objectively prepared based on publicly disclosed information pertaining to the existence of the board structure and composition in the annual reports and are free from any personal biases in assessing a company’s level of corporate governance compliance. </w:t>
      </w:r>
    </w:p>
    <w:p w:rsidR="0075369F" w:rsidRDefault="0075369F" w:rsidP="003330C9">
      <w:pPr>
        <w:spacing w:after="0" w:line="360" w:lineRule="auto"/>
        <w:rPr>
          <w:rFonts w:ascii="Times New Roman" w:hAnsi="Times New Roman" w:cs="Times New Roman"/>
          <w:sz w:val="24"/>
          <w:szCs w:val="24"/>
        </w:rPr>
      </w:pPr>
    </w:p>
    <w:p w:rsidR="0066657B" w:rsidRPr="00C46759" w:rsidRDefault="0066657B" w:rsidP="003330C9">
      <w:pPr>
        <w:spacing w:after="0" w:line="360" w:lineRule="auto"/>
        <w:rPr>
          <w:rFonts w:ascii="Times New Roman" w:hAnsi="Times New Roman" w:cs="Times New Roman"/>
          <w:b/>
          <w:sz w:val="24"/>
          <w:szCs w:val="24"/>
        </w:rPr>
      </w:pPr>
      <w:r w:rsidRPr="00C46759">
        <w:rPr>
          <w:rFonts w:ascii="Times New Roman" w:hAnsi="Times New Roman" w:cs="Times New Roman"/>
          <w:b/>
          <w:sz w:val="24"/>
          <w:szCs w:val="24"/>
        </w:rPr>
        <w:t>Independent variable</w:t>
      </w:r>
    </w:p>
    <w:p w:rsidR="0066657B" w:rsidRDefault="0066657B" w:rsidP="003330C9">
      <w:pPr>
        <w:spacing w:after="0" w:line="360" w:lineRule="auto"/>
        <w:rPr>
          <w:rFonts w:ascii="Times New Roman" w:hAnsi="Times New Roman" w:cs="Times New Roman"/>
          <w:sz w:val="24"/>
          <w:szCs w:val="24"/>
        </w:rPr>
      </w:pPr>
    </w:p>
    <w:p w:rsidR="006A08DF" w:rsidRDefault="00A74741"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For Research Question 1</w:t>
      </w:r>
      <w:r w:rsidR="006A08DF">
        <w:rPr>
          <w:rFonts w:ascii="Times New Roman" w:hAnsi="Times New Roman" w:cs="Times New Roman"/>
          <w:sz w:val="24"/>
          <w:szCs w:val="24"/>
        </w:rPr>
        <w:t>, three independent variables have been identified as important elements for determining the board independence namely the proportion of</w:t>
      </w:r>
      <w:r w:rsidR="00C46759">
        <w:rPr>
          <w:rFonts w:ascii="Times New Roman" w:hAnsi="Times New Roman" w:cs="Times New Roman"/>
          <w:sz w:val="24"/>
          <w:szCs w:val="24"/>
        </w:rPr>
        <w:t xml:space="preserve"> INEDs</w:t>
      </w:r>
      <w:r w:rsidR="006A08DF">
        <w:rPr>
          <w:rFonts w:ascii="Times New Roman" w:hAnsi="Times New Roman" w:cs="Times New Roman"/>
          <w:sz w:val="24"/>
          <w:szCs w:val="24"/>
        </w:rPr>
        <w:t xml:space="preserve">, </w:t>
      </w:r>
      <w:r w:rsidR="00C46759">
        <w:rPr>
          <w:rFonts w:ascii="Times New Roman" w:hAnsi="Times New Roman" w:cs="Times New Roman"/>
          <w:sz w:val="24"/>
          <w:szCs w:val="24"/>
        </w:rPr>
        <w:t xml:space="preserve">roles of chairman and chief executive to be performed by the same individual and chairman to be an INED. </w:t>
      </w:r>
      <w:r w:rsidR="002B0D21">
        <w:rPr>
          <w:rFonts w:ascii="Times New Roman" w:hAnsi="Times New Roman" w:cs="Times New Roman"/>
          <w:sz w:val="24"/>
          <w:szCs w:val="24"/>
        </w:rPr>
        <w:t>Three testable hypotheses are construed for Research Question 1.</w:t>
      </w:r>
    </w:p>
    <w:p w:rsidR="00336412" w:rsidRDefault="00336412" w:rsidP="003330C9">
      <w:pPr>
        <w:spacing w:after="0" w:line="360" w:lineRule="auto"/>
        <w:rPr>
          <w:rFonts w:ascii="Times New Roman" w:hAnsi="Times New Roman" w:cs="Times New Roman"/>
          <w:sz w:val="24"/>
          <w:szCs w:val="24"/>
        </w:rPr>
      </w:pPr>
    </w:p>
    <w:p w:rsidR="00336412" w:rsidRPr="00DE51FE" w:rsidRDefault="00336412" w:rsidP="003330C9">
      <w:pPr>
        <w:spacing w:after="0" w:line="360" w:lineRule="auto"/>
        <w:rPr>
          <w:rFonts w:ascii="Times New Roman" w:hAnsi="Times New Roman" w:cs="Times New Roman"/>
          <w:sz w:val="24"/>
          <w:szCs w:val="24"/>
          <w:u w:val="single"/>
        </w:rPr>
      </w:pPr>
      <w:r w:rsidRPr="00DE51FE">
        <w:rPr>
          <w:rFonts w:ascii="Times New Roman" w:hAnsi="Times New Roman" w:cs="Times New Roman"/>
          <w:sz w:val="24"/>
          <w:szCs w:val="24"/>
          <w:u w:val="single"/>
        </w:rPr>
        <w:t>(1A) Proportion of</w:t>
      </w:r>
      <w:r w:rsidR="00C46759" w:rsidRPr="00DE51FE">
        <w:rPr>
          <w:rFonts w:ascii="Times New Roman" w:hAnsi="Times New Roman" w:cs="Times New Roman"/>
          <w:sz w:val="24"/>
          <w:szCs w:val="24"/>
          <w:u w:val="single"/>
        </w:rPr>
        <w:t xml:space="preserve"> INEDs </w:t>
      </w:r>
    </w:p>
    <w:p w:rsidR="006A08DF" w:rsidRDefault="00336412"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According to Listing Rule 3.10, every board of directors must include at least three INEDs and at least one of them must have appropriate professional qualifications or accounting or related financial management expertise. In addition to the requirements of the number and qualifications of INEDs, Listing Rule 3.10A provides that a company must appoint INEDs representing at least one-third of the board of directors. </w:t>
      </w:r>
    </w:p>
    <w:p w:rsidR="0036456F" w:rsidRDefault="0036456F" w:rsidP="003330C9">
      <w:pPr>
        <w:spacing w:after="0" w:line="360" w:lineRule="auto"/>
        <w:rPr>
          <w:rFonts w:ascii="Times New Roman" w:hAnsi="Times New Roman" w:cs="Times New Roman"/>
          <w:sz w:val="24"/>
          <w:szCs w:val="24"/>
        </w:rPr>
      </w:pPr>
    </w:p>
    <w:p w:rsidR="0036456F" w:rsidRDefault="00C46759"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T</w:t>
      </w:r>
      <w:r w:rsidR="0036456F">
        <w:rPr>
          <w:rFonts w:ascii="Times New Roman" w:hAnsi="Times New Roman" w:cs="Times New Roman"/>
          <w:sz w:val="24"/>
          <w:szCs w:val="24"/>
        </w:rPr>
        <w:t xml:space="preserve">he number and proportion of INEDs are important as they can effectively exercise independent judgement based on their skills, knowledge and experience. A higher proportion of INEDs indicates a greater degree of board independence </w:t>
      </w:r>
      <w:r w:rsidR="00004092">
        <w:rPr>
          <w:rFonts w:ascii="Times New Roman" w:hAnsi="Times New Roman" w:cs="Times New Roman"/>
          <w:sz w:val="24"/>
          <w:szCs w:val="24"/>
        </w:rPr>
        <w:t>which may result</w:t>
      </w:r>
      <w:r w:rsidR="0036456F">
        <w:rPr>
          <w:rFonts w:ascii="Times New Roman" w:hAnsi="Times New Roman" w:cs="Times New Roman"/>
          <w:sz w:val="24"/>
          <w:szCs w:val="24"/>
        </w:rPr>
        <w:t xml:space="preserve"> in better corporate governance with proper checks and balances</w:t>
      </w:r>
      <w:r w:rsidR="00004092">
        <w:rPr>
          <w:rFonts w:ascii="Times New Roman" w:hAnsi="Times New Roman" w:cs="Times New Roman"/>
          <w:sz w:val="24"/>
          <w:szCs w:val="24"/>
        </w:rPr>
        <w:t>.</w:t>
      </w:r>
      <w:r w:rsidR="008A4BD0">
        <w:rPr>
          <w:rFonts w:ascii="Times New Roman" w:hAnsi="Times New Roman" w:cs="Times New Roman"/>
          <w:noProof/>
          <w:sz w:val="24"/>
          <w:szCs w:val="24"/>
        </w:rPr>
        <w:t xml:space="preserve"> (Lei and</w:t>
      </w:r>
      <w:r w:rsidR="008A4BD0" w:rsidRPr="0036456F">
        <w:rPr>
          <w:rFonts w:ascii="Times New Roman" w:hAnsi="Times New Roman" w:cs="Times New Roman"/>
          <w:noProof/>
          <w:sz w:val="24"/>
          <w:szCs w:val="24"/>
        </w:rPr>
        <w:t xml:space="preserve"> Song, 2012)</w:t>
      </w:r>
      <w:r w:rsidR="0036456F">
        <w:rPr>
          <w:rFonts w:ascii="Times New Roman" w:hAnsi="Times New Roman" w:cs="Times New Roman"/>
          <w:sz w:val="24"/>
          <w:szCs w:val="24"/>
        </w:rPr>
        <w:t>.</w:t>
      </w:r>
    </w:p>
    <w:p w:rsidR="00307C3A" w:rsidRDefault="00307C3A" w:rsidP="003330C9">
      <w:pPr>
        <w:spacing w:after="0" w:line="360" w:lineRule="auto"/>
        <w:rPr>
          <w:rFonts w:ascii="Times New Roman" w:hAnsi="Times New Roman" w:cs="Times New Roman"/>
          <w:sz w:val="24"/>
          <w:szCs w:val="24"/>
        </w:rPr>
      </w:pPr>
    </w:p>
    <w:p w:rsidR="00307C3A" w:rsidRDefault="00307C3A"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X</w:t>
      </w:r>
      <w:r w:rsidRPr="00307C3A">
        <w:rPr>
          <w:rFonts w:ascii="Times New Roman" w:hAnsi="Times New Roman" w:cs="Times New Roman"/>
          <w:sz w:val="24"/>
          <w:szCs w:val="24"/>
          <w:vertAlign w:val="subscript"/>
        </w:rPr>
        <w:t>1</w:t>
      </w:r>
      <w:r>
        <w:rPr>
          <w:rFonts w:ascii="Times New Roman" w:hAnsi="Times New Roman" w:cs="Times New Roman"/>
          <w:sz w:val="24"/>
          <w:szCs w:val="24"/>
        </w:rPr>
        <w:t xml:space="preserve"> = proportion of </w:t>
      </w:r>
      <w:r w:rsidR="00C46759">
        <w:rPr>
          <w:rFonts w:ascii="Times New Roman" w:hAnsi="Times New Roman" w:cs="Times New Roman"/>
          <w:sz w:val="24"/>
          <w:szCs w:val="24"/>
        </w:rPr>
        <w:t>INEDs</w:t>
      </w:r>
    </w:p>
    <w:p w:rsidR="00336412" w:rsidRDefault="00336412" w:rsidP="003330C9">
      <w:pPr>
        <w:spacing w:after="0" w:line="360" w:lineRule="auto"/>
        <w:rPr>
          <w:rFonts w:ascii="Times New Roman" w:hAnsi="Times New Roman" w:cs="Times New Roman"/>
          <w:sz w:val="24"/>
          <w:szCs w:val="24"/>
        </w:rPr>
      </w:pPr>
    </w:p>
    <w:p w:rsidR="00C46759" w:rsidRDefault="0066657B" w:rsidP="003330C9">
      <w:pPr>
        <w:spacing w:after="0" w:line="360" w:lineRule="auto"/>
        <w:rPr>
          <w:rFonts w:ascii="Times New Roman" w:hAnsi="Times New Roman" w:cs="Times New Roman"/>
          <w:sz w:val="24"/>
          <w:szCs w:val="24"/>
        </w:rPr>
      </w:pPr>
      <w:r w:rsidRPr="00C46759">
        <w:rPr>
          <w:rFonts w:ascii="Times New Roman" w:hAnsi="Times New Roman" w:cs="Times New Roman"/>
          <w:b/>
          <w:sz w:val="24"/>
          <w:szCs w:val="24"/>
        </w:rPr>
        <w:t>Hypothesis 1A</w:t>
      </w:r>
      <w:r>
        <w:rPr>
          <w:rFonts w:ascii="Times New Roman" w:hAnsi="Times New Roman" w:cs="Times New Roman"/>
          <w:sz w:val="24"/>
          <w:szCs w:val="24"/>
        </w:rPr>
        <w:t xml:space="preserve"> </w:t>
      </w:r>
    </w:p>
    <w:p w:rsidR="00C46759" w:rsidRDefault="00C46759" w:rsidP="003330C9">
      <w:pPr>
        <w:spacing w:after="0" w:line="360" w:lineRule="auto"/>
        <w:rPr>
          <w:rFonts w:ascii="Times New Roman" w:hAnsi="Times New Roman" w:cs="Times New Roman"/>
          <w:sz w:val="24"/>
          <w:szCs w:val="24"/>
        </w:rPr>
      </w:pPr>
    </w:p>
    <w:p w:rsidR="0066657B" w:rsidRDefault="0066657B"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The level of corporate governance compliance increases with an increase in the proportion of INEDs on the board of directors.</w:t>
      </w:r>
    </w:p>
    <w:p w:rsidR="00192B74" w:rsidRDefault="00192B74" w:rsidP="003330C9">
      <w:pPr>
        <w:spacing w:after="0" w:line="360" w:lineRule="auto"/>
        <w:rPr>
          <w:rFonts w:ascii="Times New Roman" w:hAnsi="Times New Roman" w:cs="Times New Roman"/>
          <w:sz w:val="24"/>
          <w:szCs w:val="24"/>
        </w:rPr>
      </w:pPr>
    </w:p>
    <w:p w:rsidR="00192B74" w:rsidRPr="00DE51FE" w:rsidRDefault="00C46759" w:rsidP="003330C9">
      <w:pPr>
        <w:spacing w:after="0" w:line="360" w:lineRule="auto"/>
        <w:rPr>
          <w:rFonts w:ascii="Times New Roman" w:hAnsi="Times New Roman" w:cs="Times New Roman"/>
          <w:sz w:val="24"/>
          <w:szCs w:val="24"/>
          <w:u w:val="single"/>
        </w:rPr>
      </w:pPr>
      <w:r w:rsidRPr="00DE51FE">
        <w:rPr>
          <w:rFonts w:ascii="Times New Roman" w:hAnsi="Times New Roman" w:cs="Times New Roman"/>
          <w:sz w:val="24"/>
          <w:szCs w:val="24"/>
          <w:u w:val="single"/>
        </w:rPr>
        <w:t xml:space="preserve">(1B) Roles </w:t>
      </w:r>
      <w:r w:rsidR="00192B74" w:rsidRPr="00DE51FE">
        <w:rPr>
          <w:rFonts w:ascii="Times New Roman" w:hAnsi="Times New Roman" w:cs="Times New Roman"/>
          <w:sz w:val="24"/>
          <w:szCs w:val="24"/>
          <w:u w:val="single"/>
        </w:rPr>
        <w:t>of chairman and chief executive</w:t>
      </w:r>
      <w:r w:rsidRPr="00DE51FE">
        <w:rPr>
          <w:rFonts w:ascii="Times New Roman" w:hAnsi="Times New Roman" w:cs="Times New Roman"/>
          <w:sz w:val="24"/>
          <w:szCs w:val="24"/>
          <w:u w:val="single"/>
        </w:rPr>
        <w:t xml:space="preserve"> to be performed by the same individual</w:t>
      </w:r>
    </w:p>
    <w:p w:rsidR="00192B74" w:rsidRDefault="00192B74" w:rsidP="003330C9">
      <w:pPr>
        <w:spacing w:after="0" w:line="360" w:lineRule="auto"/>
        <w:rPr>
          <w:rFonts w:ascii="Times New Roman" w:hAnsi="Times New Roman" w:cs="Times New Roman"/>
          <w:sz w:val="24"/>
          <w:szCs w:val="24"/>
        </w:rPr>
      </w:pPr>
    </w:p>
    <w:p w:rsidR="005851D7" w:rsidRDefault="00192B74"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According to the code provision A.2.1 of Appendix 14 to the Listing Rules, the roles of chairman and chief executive should be separate and should not be performed by the same individual. </w:t>
      </w:r>
      <w:r w:rsidR="005E15D1">
        <w:rPr>
          <w:rFonts w:ascii="Times New Roman" w:hAnsi="Times New Roman" w:cs="Times New Roman"/>
          <w:sz w:val="24"/>
          <w:szCs w:val="24"/>
        </w:rPr>
        <w:t>It is</w:t>
      </w:r>
      <w:r>
        <w:rPr>
          <w:rFonts w:ascii="Times New Roman" w:hAnsi="Times New Roman" w:cs="Times New Roman"/>
          <w:sz w:val="24"/>
          <w:szCs w:val="24"/>
        </w:rPr>
        <w:t xml:space="preserve"> argued that the separation of </w:t>
      </w:r>
      <w:r w:rsidR="00307C3A">
        <w:rPr>
          <w:rFonts w:ascii="Times New Roman" w:hAnsi="Times New Roman" w:cs="Times New Roman"/>
          <w:sz w:val="24"/>
          <w:szCs w:val="24"/>
        </w:rPr>
        <w:t xml:space="preserve">the roles of </w:t>
      </w:r>
      <w:r>
        <w:rPr>
          <w:rFonts w:ascii="Times New Roman" w:hAnsi="Times New Roman" w:cs="Times New Roman"/>
          <w:sz w:val="24"/>
          <w:szCs w:val="24"/>
        </w:rPr>
        <w:t xml:space="preserve">chairman and chief executive increases accountability and recognises that combining the two roles in one person may give rise to an undesirable concentration of power and lead to conflicts of interest </w:t>
      </w:r>
      <w:r w:rsidR="008A4BD0">
        <w:rPr>
          <w:rFonts w:ascii="Times New Roman" w:hAnsi="Times New Roman" w:cs="Times New Roman"/>
          <w:noProof/>
          <w:sz w:val="24"/>
          <w:szCs w:val="24"/>
        </w:rPr>
        <w:t xml:space="preserve">(Lipton </w:t>
      </w:r>
      <w:r w:rsidR="008A4BD0" w:rsidRPr="008A4BD0">
        <w:rPr>
          <w:rFonts w:ascii="Times New Roman" w:hAnsi="Times New Roman" w:cs="Times New Roman"/>
          <w:i/>
          <w:noProof/>
          <w:sz w:val="24"/>
          <w:szCs w:val="24"/>
        </w:rPr>
        <w:t>et al</w:t>
      </w:r>
      <w:r w:rsidR="008A4BD0">
        <w:rPr>
          <w:rFonts w:ascii="Times New Roman" w:hAnsi="Times New Roman" w:cs="Times New Roman"/>
          <w:noProof/>
          <w:sz w:val="24"/>
          <w:szCs w:val="24"/>
        </w:rPr>
        <w:t>.</w:t>
      </w:r>
      <w:r w:rsidR="008A4BD0" w:rsidRPr="00192B74">
        <w:rPr>
          <w:rFonts w:ascii="Times New Roman" w:hAnsi="Times New Roman" w:cs="Times New Roman"/>
          <w:noProof/>
          <w:sz w:val="24"/>
          <w:szCs w:val="24"/>
        </w:rPr>
        <w:t xml:space="preserve"> 2019, p. 407)</w:t>
      </w:r>
      <w:r>
        <w:rPr>
          <w:rFonts w:ascii="Times New Roman" w:hAnsi="Times New Roman" w:cs="Times New Roman"/>
          <w:sz w:val="24"/>
          <w:szCs w:val="24"/>
        </w:rPr>
        <w:t>.</w:t>
      </w:r>
    </w:p>
    <w:p w:rsidR="005851D7" w:rsidRDefault="005851D7" w:rsidP="003330C9">
      <w:pPr>
        <w:spacing w:after="0" w:line="360" w:lineRule="auto"/>
        <w:rPr>
          <w:rFonts w:ascii="Times New Roman" w:hAnsi="Times New Roman" w:cs="Times New Roman"/>
          <w:sz w:val="24"/>
          <w:szCs w:val="24"/>
        </w:rPr>
      </w:pPr>
    </w:p>
    <w:p w:rsidR="005851D7" w:rsidRDefault="005851D7"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 existence of duality of chairman and chief executive is a categorical variable. To include a categorical independent variable in a </w:t>
      </w:r>
      <w:r w:rsidR="001B0FD5">
        <w:rPr>
          <w:rFonts w:ascii="Times New Roman" w:hAnsi="Times New Roman" w:cs="Times New Roman"/>
          <w:sz w:val="24"/>
          <w:szCs w:val="24"/>
        </w:rPr>
        <w:t xml:space="preserve">multiple </w:t>
      </w:r>
      <w:r>
        <w:rPr>
          <w:rFonts w:ascii="Times New Roman" w:hAnsi="Times New Roman" w:cs="Times New Roman"/>
          <w:sz w:val="24"/>
          <w:szCs w:val="24"/>
        </w:rPr>
        <w:t xml:space="preserve">regression model, a dummy variable is to be used. A dummy variable recodes the categories of a categorical independent variable using the numerical values “0” and “1” </w:t>
      </w:r>
      <w:r w:rsidR="008A4BD0">
        <w:rPr>
          <w:rFonts w:ascii="Times New Roman" w:hAnsi="Times New Roman" w:cs="Times New Roman"/>
          <w:noProof/>
          <w:sz w:val="24"/>
          <w:szCs w:val="24"/>
        </w:rPr>
        <w:t xml:space="preserve">(Levine </w:t>
      </w:r>
      <w:r w:rsidR="008A4BD0" w:rsidRPr="008A4BD0">
        <w:rPr>
          <w:rFonts w:ascii="Times New Roman" w:hAnsi="Times New Roman" w:cs="Times New Roman"/>
          <w:i/>
          <w:noProof/>
          <w:sz w:val="24"/>
          <w:szCs w:val="24"/>
        </w:rPr>
        <w:t>et al</w:t>
      </w:r>
      <w:r w:rsidR="008A4BD0">
        <w:rPr>
          <w:rFonts w:ascii="Times New Roman" w:hAnsi="Times New Roman" w:cs="Times New Roman"/>
          <w:noProof/>
          <w:sz w:val="24"/>
          <w:szCs w:val="24"/>
        </w:rPr>
        <w:t>.</w:t>
      </w:r>
      <w:r w:rsidR="008A4BD0" w:rsidRPr="005851D7">
        <w:rPr>
          <w:rFonts w:ascii="Times New Roman" w:hAnsi="Times New Roman" w:cs="Times New Roman"/>
          <w:noProof/>
          <w:sz w:val="24"/>
          <w:szCs w:val="24"/>
        </w:rPr>
        <w:t xml:space="preserve"> 2011, pp. 576-578)</w:t>
      </w:r>
      <w:r>
        <w:rPr>
          <w:rFonts w:ascii="Times New Roman" w:hAnsi="Times New Roman" w:cs="Times New Roman"/>
          <w:sz w:val="24"/>
          <w:szCs w:val="24"/>
        </w:rPr>
        <w:t xml:space="preserve">. </w:t>
      </w:r>
      <w:r w:rsidR="00F65C35">
        <w:rPr>
          <w:rFonts w:ascii="Times New Roman" w:hAnsi="Times New Roman" w:cs="Times New Roman"/>
          <w:sz w:val="24"/>
          <w:szCs w:val="24"/>
        </w:rPr>
        <w:t>T</w:t>
      </w:r>
      <w:r>
        <w:rPr>
          <w:rFonts w:ascii="Times New Roman" w:hAnsi="Times New Roman" w:cs="Times New Roman"/>
          <w:sz w:val="24"/>
          <w:szCs w:val="24"/>
        </w:rPr>
        <w:t>here are two categorical independent variables namely:</w:t>
      </w:r>
    </w:p>
    <w:p w:rsidR="005851D7" w:rsidRDefault="005851D7" w:rsidP="003330C9">
      <w:pPr>
        <w:spacing w:after="0" w:line="360" w:lineRule="auto"/>
        <w:rPr>
          <w:rFonts w:ascii="Times New Roman" w:hAnsi="Times New Roman" w:cs="Times New Roman"/>
          <w:sz w:val="24"/>
          <w:szCs w:val="24"/>
        </w:rPr>
      </w:pPr>
    </w:p>
    <w:p w:rsidR="005851D7" w:rsidRDefault="005851D7" w:rsidP="003330C9">
      <w:pPr>
        <w:pStyle w:val="ListParagraph"/>
        <w:numPr>
          <w:ilvl w:val="0"/>
          <w:numId w:val="13"/>
        </w:num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roles of chairman and chief executive are </w:t>
      </w:r>
      <w:r w:rsidR="00670628">
        <w:rPr>
          <w:rFonts w:ascii="Times New Roman" w:hAnsi="Times New Roman" w:cs="Times New Roman"/>
          <w:sz w:val="24"/>
          <w:szCs w:val="24"/>
        </w:rPr>
        <w:t xml:space="preserve">not </w:t>
      </w:r>
      <w:r>
        <w:rPr>
          <w:rFonts w:ascii="Times New Roman" w:hAnsi="Times New Roman" w:cs="Times New Roman"/>
          <w:sz w:val="24"/>
          <w:szCs w:val="24"/>
        </w:rPr>
        <w:t>performed by the same individual</w:t>
      </w:r>
      <w:r w:rsidR="00670628">
        <w:rPr>
          <w:rFonts w:ascii="Times New Roman" w:hAnsi="Times New Roman" w:cs="Times New Roman"/>
          <w:sz w:val="24"/>
          <w:szCs w:val="24"/>
        </w:rPr>
        <w:t>;</w:t>
      </w:r>
    </w:p>
    <w:p w:rsidR="00670628" w:rsidRDefault="00670628" w:rsidP="003330C9">
      <w:pPr>
        <w:pStyle w:val="ListParagraph"/>
        <w:numPr>
          <w:ilvl w:val="0"/>
          <w:numId w:val="13"/>
        </w:numPr>
        <w:spacing w:after="0" w:line="360" w:lineRule="auto"/>
        <w:rPr>
          <w:rFonts w:ascii="Times New Roman" w:hAnsi="Times New Roman" w:cs="Times New Roman"/>
          <w:sz w:val="24"/>
          <w:szCs w:val="24"/>
        </w:rPr>
      </w:pPr>
      <w:r>
        <w:rPr>
          <w:rFonts w:ascii="Times New Roman" w:hAnsi="Times New Roman" w:cs="Times New Roman"/>
          <w:sz w:val="24"/>
          <w:szCs w:val="24"/>
        </w:rPr>
        <w:t>The roles of chairman and chief executive are performed by the same individual.</w:t>
      </w:r>
    </w:p>
    <w:p w:rsidR="00670628" w:rsidRDefault="00670628" w:rsidP="003330C9">
      <w:pPr>
        <w:spacing w:after="0" w:line="360" w:lineRule="auto"/>
        <w:rPr>
          <w:rFonts w:ascii="Times New Roman" w:hAnsi="Times New Roman" w:cs="Times New Roman"/>
          <w:sz w:val="24"/>
          <w:szCs w:val="24"/>
        </w:rPr>
      </w:pPr>
    </w:p>
    <w:p w:rsidR="00670628" w:rsidRDefault="00670628"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As such, a dummy variable X</w:t>
      </w:r>
      <w:r w:rsidRPr="00670628">
        <w:rPr>
          <w:rFonts w:ascii="Times New Roman" w:hAnsi="Times New Roman" w:cs="Times New Roman"/>
          <w:sz w:val="24"/>
          <w:szCs w:val="24"/>
          <w:vertAlign w:val="subscript"/>
        </w:rPr>
        <w:t>2</w:t>
      </w:r>
      <w:r>
        <w:rPr>
          <w:rFonts w:ascii="Times New Roman" w:hAnsi="Times New Roman" w:cs="Times New Roman"/>
          <w:sz w:val="24"/>
          <w:szCs w:val="24"/>
          <w:vertAlign w:val="subscript"/>
        </w:rPr>
        <w:t xml:space="preserve"> </w:t>
      </w:r>
      <w:r>
        <w:rPr>
          <w:rFonts w:ascii="Times New Roman" w:hAnsi="Times New Roman" w:cs="Times New Roman"/>
          <w:sz w:val="24"/>
          <w:szCs w:val="24"/>
        </w:rPr>
        <w:t>is defined as follows:</w:t>
      </w:r>
    </w:p>
    <w:p w:rsidR="00670628" w:rsidRDefault="00670628" w:rsidP="003330C9">
      <w:pPr>
        <w:spacing w:after="0" w:line="360" w:lineRule="auto"/>
        <w:rPr>
          <w:rFonts w:ascii="Times New Roman" w:hAnsi="Times New Roman" w:cs="Times New Roman"/>
          <w:sz w:val="24"/>
          <w:szCs w:val="24"/>
        </w:rPr>
      </w:pPr>
    </w:p>
    <w:p w:rsidR="00670628" w:rsidRDefault="00670628"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X</w:t>
      </w:r>
      <w:r w:rsidRPr="00670628">
        <w:rPr>
          <w:rFonts w:ascii="Times New Roman" w:hAnsi="Times New Roman" w:cs="Times New Roman"/>
          <w:sz w:val="24"/>
          <w:szCs w:val="24"/>
          <w:vertAlign w:val="subscript"/>
        </w:rPr>
        <w:t>2</w:t>
      </w:r>
      <w:r>
        <w:rPr>
          <w:rFonts w:ascii="Times New Roman" w:hAnsi="Times New Roman" w:cs="Times New Roman"/>
          <w:sz w:val="24"/>
          <w:szCs w:val="24"/>
        </w:rPr>
        <w:t xml:space="preserve"> = 0 in the event that the roles of chairman and chief executive are not performed by the same individual;</w:t>
      </w:r>
    </w:p>
    <w:p w:rsidR="00670628" w:rsidRPr="00670628" w:rsidRDefault="00670628"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X</w:t>
      </w:r>
      <w:r w:rsidRPr="00670628">
        <w:rPr>
          <w:rFonts w:ascii="Times New Roman" w:hAnsi="Times New Roman" w:cs="Times New Roman"/>
          <w:sz w:val="24"/>
          <w:szCs w:val="24"/>
          <w:vertAlign w:val="subscript"/>
        </w:rPr>
        <w:t>2</w:t>
      </w:r>
      <w:r>
        <w:rPr>
          <w:rFonts w:ascii="Times New Roman" w:hAnsi="Times New Roman" w:cs="Times New Roman"/>
          <w:sz w:val="24"/>
          <w:szCs w:val="24"/>
        </w:rPr>
        <w:t xml:space="preserve"> = 1 in the event that the roles of chairman and chief executive are performed by the same individual.</w:t>
      </w:r>
    </w:p>
    <w:p w:rsidR="0066657B" w:rsidRDefault="0066657B" w:rsidP="003330C9">
      <w:pPr>
        <w:spacing w:after="0" w:line="360" w:lineRule="auto"/>
        <w:rPr>
          <w:rFonts w:ascii="Times New Roman" w:hAnsi="Times New Roman" w:cs="Times New Roman"/>
          <w:sz w:val="24"/>
          <w:szCs w:val="24"/>
        </w:rPr>
      </w:pPr>
    </w:p>
    <w:p w:rsidR="001B0FD5" w:rsidRPr="001B0FD5" w:rsidRDefault="0066657B" w:rsidP="003330C9">
      <w:pPr>
        <w:spacing w:after="0" w:line="360" w:lineRule="auto"/>
        <w:rPr>
          <w:rFonts w:ascii="Times New Roman" w:hAnsi="Times New Roman" w:cs="Times New Roman"/>
          <w:b/>
          <w:sz w:val="24"/>
          <w:szCs w:val="24"/>
        </w:rPr>
      </w:pPr>
      <w:r w:rsidRPr="001B0FD5">
        <w:rPr>
          <w:rFonts w:ascii="Times New Roman" w:hAnsi="Times New Roman" w:cs="Times New Roman"/>
          <w:b/>
          <w:sz w:val="24"/>
          <w:szCs w:val="24"/>
        </w:rPr>
        <w:t xml:space="preserve">Hypothesis 1B </w:t>
      </w:r>
    </w:p>
    <w:p w:rsidR="001B0FD5" w:rsidRDefault="001B0FD5" w:rsidP="003330C9">
      <w:pPr>
        <w:spacing w:after="0" w:line="360" w:lineRule="auto"/>
        <w:rPr>
          <w:rFonts w:ascii="Times New Roman" w:hAnsi="Times New Roman" w:cs="Times New Roman"/>
          <w:sz w:val="24"/>
          <w:szCs w:val="24"/>
        </w:rPr>
      </w:pPr>
    </w:p>
    <w:p w:rsidR="0066657B" w:rsidRDefault="0066657B"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The level of corporate governance compliance</w:t>
      </w:r>
      <w:r w:rsidR="00C116B0">
        <w:rPr>
          <w:rFonts w:ascii="Times New Roman" w:hAnsi="Times New Roman" w:cs="Times New Roman"/>
          <w:sz w:val="24"/>
          <w:szCs w:val="24"/>
        </w:rPr>
        <w:t xml:space="preserve"> decreases in the event that</w:t>
      </w:r>
      <w:r>
        <w:rPr>
          <w:rFonts w:ascii="Times New Roman" w:hAnsi="Times New Roman" w:cs="Times New Roman"/>
          <w:sz w:val="24"/>
          <w:szCs w:val="24"/>
        </w:rPr>
        <w:t xml:space="preserve"> the roles of chairman and chief executives are performed by the same individual.</w:t>
      </w:r>
    </w:p>
    <w:p w:rsidR="00670628" w:rsidRDefault="00670628" w:rsidP="003330C9">
      <w:pPr>
        <w:spacing w:after="0" w:line="360" w:lineRule="auto"/>
        <w:rPr>
          <w:rFonts w:ascii="Times New Roman" w:hAnsi="Times New Roman" w:cs="Times New Roman"/>
          <w:sz w:val="24"/>
          <w:szCs w:val="24"/>
        </w:rPr>
      </w:pPr>
    </w:p>
    <w:p w:rsidR="00670628" w:rsidRPr="00DE51FE" w:rsidRDefault="001B0FD5" w:rsidP="003330C9">
      <w:pPr>
        <w:spacing w:after="0" w:line="360" w:lineRule="auto"/>
        <w:rPr>
          <w:rFonts w:ascii="Times New Roman" w:hAnsi="Times New Roman" w:cs="Times New Roman"/>
          <w:sz w:val="24"/>
          <w:szCs w:val="24"/>
          <w:u w:val="single"/>
        </w:rPr>
      </w:pPr>
      <w:r w:rsidRPr="00DE51FE">
        <w:rPr>
          <w:rFonts w:ascii="Times New Roman" w:hAnsi="Times New Roman" w:cs="Times New Roman"/>
          <w:sz w:val="24"/>
          <w:szCs w:val="24"/>
          <w:u w:val="single"/>
        </w:rPr>
        <w:t>(1C) Chairman to be</w:t>
      </w:r>
      <w:r w:rsidR="00670628" w:rsidRPr="00DE51FE">
        <w:rPr>
          <w:rFonts w:ascii="Times New Roman" w:hAnsi="Times New Roman" w:cs="Times New Roman"/>
          <w:sz w:val="24"/>
          <w:szCs w:val="24"/>
          <w:u w:val="single"/>
        </w:rPr>
        <w:t xml:space="preserve"> an INED</w:t>
      </w:r>
    </w:p>
    <w:p w:rsidR="00307C3A" w:rsidRDefault="00307C3A" w:rsidP="003330C9">
      <w:pPr>
        <w:spacing w:after="0" w:line="360" w:lineRule="auto"/>
        <w:rPr>
          <w:rFonts w:ascii="Times New Roman" w:hAnsi="Times New Roman" w:cs="Times New Roman"/>
          <w:sz w:val="24"/>
          <w:szCs w:val="24"/>
        </w:rPr>
      </w:pPr>
    </w:p>
    <w:p w:rsidR="00670628" w:rsidRDefault="00670628"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It has been argued that a chairman who is an INED may contribute to the culture of openness and constructive challenge that allows for a diversity of views to be considered by the board of directors</w:t>
      </w:r>
      <w:r w:rsidR="00794897">
        <w:rPr>
          <w:rFonts w:ascii="Times New Roman" w:hAnsi="Times New Roman" w:cs="Times New Roman"/>
          <w:sz w:val="24"/>
          <w:szCs w:val="24"/>
        </w:rPr>
        <w:t>. As such, the responsibilities of chairman are best carried out if the chairman is an INED</w:t>
      </w:r>
      <w:r>
        <w:rPr>
          <w:rFonts w:ascii="Times New Roman" w:hAnsi="Times New Roman" w:cs="Times New Roman"/>
          <w:sz w:val="24"/>
          <w:szCs w:val="24"/>
        </w:rPr>
        <w:t xml:space="preserve"> </w:t>
      </w:r>
      <w:r w:rsidR="008A4BD0">
        <w:rPr>
          <w:rFonts w:ascii="Times New Roman" w:hAnsi="Times New Roman" w:cs="Times New Roman"/>
          <w:noProof/>
          <w:sz w:val="24"/>
          <w:szCs w:val="24"/>
        </w:rPr>
        <w:t xml:space="preserve">(Lipton </w:t>
      </w:r>
      <w:r w:rsidR="008A4BD0" w:rsidRPr="008A4BD0">
        <w:rPr>
          <w:rFonts w:ascii="Times New Roman" w:hAnsi="Times New Roman" w:cs="Times New Roman"/>
          <w:i/>
          <w:noProof/>
          <w:sz w:val="24"/>
          <w:szCs w:val="24"/>
        </w:rPr>
        <w:t>et al</w:t>
      </w:r>
      <w:r w:rsidR="008A4BD0">
        <w:rPr>
          <w:rFonts w:ascii="Times New Roman" w:hAnsi="Times New Roman" w:cs="Times New Roman"/>
          <w:noProof/>
          <w:sz w:val="24"/>
          <w:szCs w:val="24"/>
        </w:rPr>
        <w:t>.</w:t>
      </w:r>
      <w:r w:rsidR="008A4BD0" w:rsidRPr="00670628">
        <w:rPr>
          <w:rFonts w:ascii="Times New Roman" w:hAnsi="Times New Roman" w:cs="Times New Roman"/>
          <w:noProof/>
          <w:sz w:val="24"/>
          <w:szCs w:val="24"/>
        </w:rPr>
        <w:t xml:space="preserve"> 2019, p. 407)</w:t>
      </w:r>
      <w:r>
        <w:rPr>
          <w:rFonts w:ascii="Times New Roman" w:hAnsi="Times New Roman" w:cs="Times New Roman"/>
          <w:sz w:val="24"/>
          <w:szCs w:val="24"/>
        </w:rPr>
        <w:t>.</w:t>
      </w:r>
      <w:r w:rsidR="00794897">
        <w:rPr>
          <w:rFonts w:ascii="Times New Roman" w:hAnsi="Times New Roman" w:cs="Times New Roman"/>
          <w:sz w:val="24"/>
          <w:szCs w:val="24"/>
        </w:rPr>
        <w:t xml:space="preserve"> In the event that the chairman who is not an INED may have </w:t>
      </w:r>
      <w:r w:rsidR="00307C3A">
        <w:rPr>
          <w:rFonts w:ascii="Times New Roman" w:hAnsi="Times New Roman" w:cs="Times New Roman"/>
          <w:sz w:val="24"/>
          <w:szCs w:val="24"/>
        </w:rPr>
        <w:t xml:space="preserve">negative </w:t>
      </w:r>
      <w:r w:rsidR="00794897">
        <w:rPr>
          <w:rFonts w:ascii="Times New Roman" w:hAnsi="Times New Roman" w:cs="Times New Roman"/>
          <w:sz w:val="24"/>
          <w:szCs w:val="24"/>
        </w:rPr>
        <w:t>impacts on the level of corporate governance compliance.</w:t>
      </w:r>
    </w:p>
    <w:p w:rsidR="00794897" w:rsidRDefault="00794897" w:rsidP="003330C9">
      <w:pPr>
        <w:spacing w:after="0" w:line="360" w:lineRule="auto"/>
        <w:rPr>
          <w:rFonts w:ascii="Times New Roman" w:hAnsi="Times New Roman" w:cs="Times New Roman"/>
          <w:sz w:val="24"/>
          <w:szCs w:val="24"/>
        </w:rPr>
      </w:pPr>
    </w:p>
    <w:p w:rsidR="00794897" w:rsidRDefault="00794897"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Whether the chairman who is an INED is a categorical variable. To include a categorical independent variable in a regression model, a dummy variable is to be used. A dummy variable recodes the categories of a categorical independent variable using the numerical values “0” and “1” </w:t>
      </w:r>
      <w:r w:rsidR="008A4BD0">
        <w:rPr>
          <w:rFonts w:ascii="Times New Roman" w:hAnsi="Times New Roman" w:cs="Times New Roman"/>
          <w:noProof/>
          <w:sz w:val="24"/>
          <w:szCs w:val="24"/>
        </w:rPr>
        <w:t xml:space="preserve">(Levine </w:t>
      </w:r>
      <w:r w:rsidR="008A4BD0" w:rsidRPr="008A4BD0">
        <w:rPr>
          <w:rFonts w:ascii="Times New Roman" w:hAnsi="Times New Roman" w:cs="Times New Roman"/>
          <w:i/>
          <w:noProof/>
          <w:sz w:val="24"/>
          <w:szCs w:val="24"/>
        </w:rPr>
        <w:t>et al</w:t>
      </w:r>
      <w:r w:rsidR="008A4BD0">
        <w:rPr>
          <w:rFonts w:ascii="Times New Roman" w:hAnsi="Times New Roman" w:cs="Times New Roman"/>
          <w:noProof/>
          <w:sz w:val="24"/>
          <w:szCs w:val="24"/>
        </w:rPr>
        <w:t>.</w:t>
      </w:r>
      <w:r w:rsidR="008A4BD0" w:rsidRPr="005851D7">
        <w:rPr>
          <w:rFonts w:ascii="Times New Roman" w:hAnsi="Times New Roman" w:cs="Times New Roman"/>
          <w:noProof/>
          <w:sz w:val="24"/>
          <w:szCs w:val="24"/>
        </w:rPr>
        <w:t xml:space="preserve"> 2011, pp. 576-578)</w:t>
      </w:r>
      <w:r>
        <w:rPr>
          <w:rFonts w:ascii="Times New Roman" w:hAnsi="Times New Roman" w:cs="Times New Roman"/>
          <w:sz w:val="24"/>
          <w:szCs w:val="24"/>
        </w:rPr>
        <w:t xml:space="preserve">. </w:t>
      </w:r>
      <w:r w:rsidR="00F65C35">
        <w:rPr>
          <w:rFonts w:ascii="Times New Roman" w:hAnsi="Times New Roman" w:cs="Times New Roman"/>
          <w:sz w:val="24"/>
          <w:szCs w:val="24"/>
        </w:rPr>
        <w:t>T</w:t>
      </w:r>
      <w:r>
        <w:rPr>
          <w:rFonts w:ascii="Times New Roman" w:hAnsi="Times New Roman" w:cs="Times New Roman"/>
          <w:sz w:val="24"/>
          <w:szCs w:val="24"/>
        </w:rPr>
        <w:t>here are two categorical independent variables namely:</w:t>
      </w:r>
    </w:p>
    <w:p w:rsidR="00794897" w:rsidRDefault="00794897" w:rsidP="003330C9">
      <w:pPr>
        <w:spacing w:after="0" w:line="360" w:lineRule="auto"/>
        <w:rPr>
          <w:rFonts w:ascii="Times New Roman" w:hAnsi="Times New Roman" w:cs="Times New Roman"/>
          <w:sz w:val="24"/>
          <w:szCs w:val="24"/>
        </w:rPr>
      </w:pPr>
    </w:p>
    <w:p w:rsidR="00794897" w:rsidRDefault="00794897" w:rsidP="003330C9">
      <w:pPr>
        <w:pStyle w:val="ListParagraph"/>
        <w:numPr>
          <w:ilvl w:val="0"/>
          <w:numId w:val="15"/>
        </w:numPr>
        <w:spacing w:after="0" w:line="360" w:lineRule="auto"/>
        <w:rPr>
          <w:rFonts w:ascii="Times New Roman" w:hAnsi="Times New Roman" w:cs="Times New Roman"/>
          <w:sz w:val="24"/>
          <w:szCs w:val="24"/>
        </w:rPr>
      </w:pPr>
      <w:r w:rsidRPr="00794897">
        <w:rPr>
          <w:rFonts w:ascii="Times New Roman" w:hAnsi="Times New Roman" w:cs="Times New Roman"/>
          <w:sz w:val="24"/>
          <w:szCs w:val="24"/>
        </w:rPr>
        <w:t xml:space="preserve">The chairman </w:t>
      </w:r>
      <w:r>
        <w:rPr>
          <w:rFonts w:ascii="Times New Roman" w:hAnsi="Times New Roman" w:cs="Times New Roman"/>
          <w:sz w:val="24"/>
          <w:szCs w:val="24"/>
        </w:rPr>
        <w:t>is not an INED;</w:t>
      </w:r>
    </w:p>
    <w:p w:rsidR="00794897" w:rsidRPr="00794897" w:rsidRDefault="00794897" w:rsidP="003330C9">
      <w:pPr>
        <w:pStyle w:val="ListParagraph"/>
        <w:numPr>
          <w:ilvl w:val="0"/>
          <w:numId w:val="15"/>
        </w:numPr>
        <w:spacing w:after="0" w:line="360" w:lineRule="auto"/>
        <w:rPr>
          <w:rFonts w:ascii="Times New Roman" w:hAnsi="Times New Roman" w:cs="Times New Roman"/>
          <w:sz w:val="24"/>
          <w:szCs w:val="24"/>
        </w:rPr>
      </w:pPr>
      <w:r>
        <w:rPr>
          <w:rFonts w:ascii="Times New Roman" w:hAnsi="Times New Roman" w:cs="Times New Roman"/>
          <w:sz w:val="24"/>
          <w:szCs w:val="24"/>
        </w:rPr>
        <w:t>The chairman is an INED.</w:t>
      </w:r>
    </w:p>
    <w:p w:rsidR="00794897" w:rsidRDefault="00794897" w:rsidP="003330C9">
      <w:pPr>
        <w:spacing w:after="0" w:line="360" w:lineRule="auto"/>
        <w:rPr>
          <w:rFonts w:ascii="Times New Roman" w:hAnsi="Times New Roman" w:cs="Times New Roman"/>
          <w:sz w:val="24"/>
          <w:szCs w:val="24"/>
        </w:rPr>
      </w:pPr>
    </w:p>
    <w:p w:rsidR="00794897" w:rsidRDefault="00794897"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As such, a dummy variable X</w:t>
      </w:r>
      <w:r>
        <w:rPr>
          <w:rFonts w:ascii="Times New Roman" w:hAnsi="Times New Roman" w:cs="Times New Roman"/>
          <w:sz w:val="24"/>
          <w:szCs w:val="24"/>
          <w:vertAlign w:val="subscript"/>
        </w:rPr>
        <w:t xml:space="preserve">3 </w:t>
      </w:r>
      <w:r>
        <w:rPr>
          <w:rFonts w:ascii="Times New Roman" w:hAnsi="Times New Roman" w:cs="Times New Roman"/>
          <w:sz w:val="24"/>
          <w:szCs w:val="24"/>
        </w:rPr>
        <w:t>is defined as follows:</w:t>
      </w:r>
    </w:p>
    <w:p w:rsidR="00794897" w:rsidRDefault="00794897" w:rsidP="003330C9">
      <w:pPr>
        <w:spacing w:after="0" w:line="360" w:lineRule="auto"/>
        <w:rPr>
          <w:rFonts w:ascii="Times New Roman" w:hAnsi="Times New Roman" w:cs="Times New Roman"/>
          <w:sz w:val="24"/>
          <w:szCs w:val="24"/>
        </w:rPr>
      </w:pPr>
    </w:p>
    <w:p w:rsidR="00794897" w:rsidRDefault="00794897"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X</w:t>
      </w:r>
      <w:r>
        <w:rPr>
          <w:rFonts w:ascii="Times New Roman" w:hAnsi="Times New Roman" w:cs="Times New Roman"/>
          <w:sz w:val="24"/>
          <w:szCs w:val="24"/>
          <w:vertAlign w:val="subscript"/>
        </w:rPr>
        <w:t>3</w:t>
      </w:r>
      <w:r>
        <w:rPr>
          <w:rFonts w:ascii="Times New Roman" w:hAnsi="Times New Roman" w:cs="Times New Roman"/>
          <w:sz w:val="24"/>
          <w:szCs w:val="24"/>
        </w:rPr>
        <w:t xml:space="preserve"> = 0 in the event that the chairman is not an INED;</w:t>
      </w:r>
    </w:p>
    <w:p w:rsidR="00794897" w:rsidRPr="00670628" w:rsidRDefault="00794897"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X</w:t>
      </w:r>
      <w:r>
        <w:rPr>
          <w:rFonts w:ascii="Times New Roman" w:hAnsi="Times New Roman" w:cs="Times New Roman"/>
          <w:sz w:val="24"/>
          <w:szCs w:val="24"/>
          <w:vertAlign w:val="subscript"/>
        </w:rPr>
        <w:t>3</w:t>
      </w:r>
      <w:r>
        <w:rPr>
          <w:rFonts w:ascii="Times New Roman" w:hAnsi="Times New Roman" w:cs="Times New Roman"/>
          <w:sz w:val="24"/>
          <w:szCs w:val="24"/>
        </w:rPr>
        <w:t xml:space="preserve"> = 1 in the event that the chairman is an INED.</w:t>
      </w:r>
    </w:p>
    <w:p w:rsidR="00794897" w:rsidRDefault="00794897" w:rsidP="003330C9">
      <w:pPr>
        <w:spacing w:after="0" w:line="360" w:lineRule="auto"/>
        <w:rPr>
          <w:rFonts w:ascii="Times New Roman" w:hAnsi="Times New Roman" w:cs="Times New Roman"/>
          <w:sz w:val="24"/>
          <w:szCs w:val="24"/>
        </w:rPr>
      </w:pPr>
    </w:p>
    <w:p w:rsidR="001B0FD5" w:rsidRPr="001B0FD5" w:rsidRDefault="001B0FD5" w:rsidP="003330C9">
      <w:pPr>
        <w:spacing w:after="0" w:line="360" w:lineRule="auto"/>
        <w:rPr>
          <w:rFonts w:ascii="Times New Roman" w:hAnsi="Times New Roman" w:cs="Times New Roman"/>
          <w:b/>
          <w:sz w:val="24"/>
          <w:szCs w:val="24"/>
        </w:rPr>
      </w:pPr>
      <w:r w:rsidRPr="001B0FD5">
        <w:rPr>
          <w:rFonts w:ascii="Times New Roman" w:hAnsi="Times New Roman" w:cs="Times New Roman"/>
          <w:b/>
          <w:sz w:val="24"/>
          <w:szCs w:val="24"/>
        </w:rPr>
        <w:t>Hypothesis 1C</w:t>
      </w:r>
    </w:p>
    <w:p w:rsidR="001B0FD5" w:rsidRDefault="001B0FD5" w:rsidP="003330C9">
      <w:pPr>
        <w:spacing w:after="0" w:line="360" w:lineRule="auto"/>
        <w:rPr>
          <w:rFonts w:ascii="Times New Roman" w:hAnsi="Times New Roman" w:cs="Times New Roman"/>
          <w:sz w:val="24"/>
          <w:szCs w:val="24"/>
        </w:rPr>
      </w:pPr>
    </w:p>
    <w:p w:rsidR="0066657B" w:rsidRDefault="0066657B"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The level of corporate governance compliance</w:t>
      </w:r>
      <w:r w:rsidR="00C116B0">
        <w:rPr>
          <w:rFonts w:ascii="Times New Roman" w:hAnsi="Times New Roman" w:cs="Times New Roman"/>
          <w:sz w:val="24"/>
          <w:szCs w:val="24"/>
        </w:rPr>
        <w:t xml:space="preserve"> increases in the event that </w:t>
      </w:r>
      <w:r>
        <w:rPr>
          <w:rFonts w:ascii="Times New Roman" w:hAnsi="Times New Roman" w:cs="Times New Roman"/>
          <w:sz w:val="24"/>
          <w:szCs w:val="24"/>
        </w:rPr>
        <w:t>the chairman is an INED.</w:t>
      </w:r>
    </w:p>
    <w:p w:rsidR="0066657B" w:rsidRDefault="0066657B" w:rsidP="003330C9">
      <w:pPr>
        <w:spacing w:after="0" w:line="360" w:lineRule="auto"/>
        <w:rPr>
          <w:rFonts w:ascii="Times New Roman" w:hAnsi="Times New Roman" w:cs="Times New Roman"/>
          <w:sz w:val="24"/>
          <w:szCs w:val="24"/>
        </w:rPr>
      </w:pPr>
    </w:p>
    <w:p w:rsidR="00986CC7" w:rsidRPr="00B506CF" w:rsidRDefault="00986CC7" w:rsidP="003330C9">
      <w:pPr>
        <w:spacing w:after="0" w:line="360" w:lineRule="auto"/>
        <w:rPr>
          <w:rFonts w:ascii="Times New Roman" w:hAnsi="Times New Roman" w:cs="Times New Roman"/>
          <w:b/>
          <w:sz w:val="24"/>
          <w:szCs w:val="24"/>
        </w:rPr>
      </w:pPr>
      <w:r w:rsidRPr="00B506CF">
        <w:rPr>
          <w:rFonts w:ascii="Times New Roman" w:hAnsi="Times New Roman" w:cs="Times New Roman"/>
          <w:b/>
          <w:sz w:val="24"/>
          <w:szCs w:val="24"/>
        </w:rPr>
        <w:t>3.3 Research question two and hypothesis testing</w:t>
      </w:r>
    </w:p>
    <w:p w:rsidR="00986CC7" w:rsidRDefault="00986CC7" w:rsidP="003330C9">
      <w:pPr>
        <w:spacing w:after="0" w:line="360" w:lineRule="auto"/>
        <w:rPr>
          <w:rFonts w:ascii="Times New Roman" w:hAnsi="Times New Roman" w:cs="Times New Roman"/>
          <w:sz w:val="24"/>
          <w:szCs w:val="24"/>
        </w:rPr>
      </w:pPr>
    </w:p>
    <w:p w:rsidR="001B0FD5" w:rsidRPr="001B0FD5" w:rsidRDefault="001B0FD5" w:rsidP="003330C9">
      <w:pPr>
        <w:spacing w:after="0" w:line="360" w:lineRule="auto"/>
        <w:rPr>
          <w:rFonts w:ascii="Times New Roman" w:hAnsi="Times New Roman" w:cs="Times New Roman"/>
          <w:b/>
          <w:sz w:val="24"/>
          <w:szCs w:val="24"/>
        </w:rPr>
      </w:pPr>
      <w:r w:rsidRPr="001B0FD5">
        <w:rPr>
          <w:rFonts w:ascii="Times New Roman" w:hAnsi="Times New Roman" w:cs="Times New Roman"/>
          <w:b/>
          <w:sz w:val="24"/>
          <w:szCs w:val="24"/>
        </w:rPr>
        <w:t>Research Question 2</w:t>
      </w:r>
    </w:p>
    <w:p w:rsidR="001B0FD5" w:rsidRDefault="001B0FD5" w:rsidP="003330C9">
      <w:pPr>
        <w:spacing w:after="0" w:line="360" w:lineRule="auto"/>
        <w:rPr>
          <w:rFonts w:ascii="Times New Roman" w:hAnsi="Times New Roman" w:cs="Times New Roman"/>
          <w:sz w:val="24"/>
          <w:szCs w:val="24"/>
        </w:rPr>
      </w:pPr>
    </w:p>
    <w:p w:rsidR="00F42BC3" w:rsidRDefault="00F42BC3"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Has the level of corporate governance complian</w:t>
      </w:r>
      <w:r w:rsidR="006346C4">
        <w:rPr>
          <w:rFonts w:ascii="Times New Roman" w:hAnsi="Times New Roman" w:cs="Times New Roman"/>
          <w:sz w:val="24"/>
          <w:szCs w:val="24"/>
        </w:rPr>
        <w:t>ce affected the financial performance</w:t>
      </w:r>
      <w:r>
        <w:rPr>
          <w:rFonts w:ascii="Times New Roman" w:hAnsi="Times New Roman" w:cs="Times New Roman"/>
          <w:sz w:val="24"/>
          <w:szCs w:val="24"/>
        </w:rPr>
        <w:t>?</w:t>
      </w:r>
    </w:p>
    <w:p w:rsidR="00F42BC3" w:rsidRDefault="00F42BC3" w:rsidP="003330C9">
      <w:pPr>
        <w:spacing w:after="0" w:line="360" w:lineRule="auto"/>
        <w:rPr>
          <w:rFonts w:ascii="Times New Roman" w:hAnsi="Times New Roman" w:cs="Times New Roman"/>
          <w:sz w:val="24"/>
          <w:szCs w:val="24"/>
        </w:rPr>
      </w:pPr>
    </w:p>
    <w:p w:rsidR="00F42BC3" w:rsidRDefault="00620BE2"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In order to address to Research Question 2, </w:t>
      </w:r>
      <w:r w:rsidR="00307C3A">
        <w:rPr>
          <w:rFonts w:ascii="Times New Roman" w:hAnsi="Times New Roman" w:cs="Times New Roman"/>
          <w:sz w:val="24"/>
          <w:szCs w:val="24"/>
        </w:rPr>
        <w:t xml:space="preserve">various descriptive statistics would be examined and </w:t>
      </w:r>
      <w:r w:rsidR="001B0FD5">
        <w:rPr>
          <w:rFonts w:ascii="Times New Roman" w:hAnsi="Times New Roman" w:cs="Times New Roman"/>
          <w:sz w:val="24"/>
          <w:szCs w:val="24"/>
        </w:rPr>
        <w:t xml:space="preserve">the </w:t>
      </w:r>
      <w:r>
        <w:rPr>
          <w:rFonts w:ascii="Times New Roman" w:hAnsi="Times New Roman" w:cs="Times New Roman"/>
          <w:sz w:val="24"/>
          <w:szCs w:val="24"/>
        </w:rPr>
        <w:t>coefficient of correlation, coefficient of determinati</w:t>
      </w:r>
      <w:r w:rsidR="001B0FD5">
        <w:rPr>
          <w:rFonts w:ascii="Times New Roman" w:hAnsi="Times New Roman" w:cs="Times New Roman"/>
          <w:sz w:val="24"/>
          <w:szCs w:val="24"/>
        </w:rPr>
        <w:t xml:space="preserve">on and </w:t>
      </w:r>
      <w:r w:rsidR="00B93F9B">
        <w:rPr>
          <w:rFonts w:ascii="Times New Roman" w:hAnsi="Times New Roman" w:cs="Times New Roman"/>
          <w:sz w:val="24"/>
          <w:szCs w:val="24"/>
        </w:rPr>
        <w:t xml:space="preserve">simple </w:t>
      </w:r>
      <w:r w:rsidR="001B0FD5">
        <w:rPr>
          <w:rFonts w:ascii="Times New Roman" w:hAnsi="Times New Roman" w:cs="Times New Roman"/>
          <w:sz w:val="24"/>
          <w:szCs w:val="24"/>
        </w:rPr>
        <w:t>regression model are assessed</w:t>
      </w:r>
      <w:r>
        <w:rPr>
          <w:rFonts w:ascii="Times New Roman" w:hAnsi="Times New Roman" w:cs="Times New Roman"/>
          <w:sz w:val="24"/>
          <w:szCs w:val="24"/>
        </w:rPr>
        <w:t xml:space="preserve"> to examine whether there is any </w:t>
      </w:r>
      <w:r w:rsidR="0050247C">
        <w:rPr>
          <w:rFonts w:ascii="Times New Roman" w:hAnsi="Times New Roman" w:cs="Times New Roman"/>
          <w:sz w:val="24"/>
          <w:szCs w:val="24"/>
        </w:rPr>
        <w:t xml:space="preserve">positive </w:t>
      </w:r>
      <w:r>
        <w:rPr>
          <w:rFonts w:ascii="Times New Roman" w:hAnsi="Times New Roman" w:cs="Times New Roman"/>
          <w:sz w:val="24"/>
          <w:szCs w:val="24"/>
        </w:rPr>
        <w:t>relationship be</w:t>
      </w:r>
      <w:r w:rsidR="006346C4">
        <w:rPr>
          <w:rFonts w:ascii="Times New Roman" w:hAnsi="Times New Roman" w:cs="Times New Roman"/>
          <w:sz w:val="24"/>
          <w:szCs w:val="24"/>
        </w:rPr>
        <w:t>tween the financial performance</w:t>
      </w:r>
      <w:r>
        <w:rPr>
          <w:rFonts w:ascii="Times New Roman" w:hAnsi="Times New Roman" w:cs="Times New Roman"/>
          <w:sz w:val="24"/>
          <w:szCs w:val="24"/>
        </w:rPr>
        <w:t xml:space="preserve"> and the level of corporate governance compliance.</w:t>
      </w:r>
    </w:p>
    <w:p w:rsidR="00EC79A7" w:rsidRDefault="00EC79A7" w:rsidP="003330C9">
      <w:pPr>
        <w:spacing w:after="0" w:line="360" w:lineRule="auto"/>
        <w:rPr>
          <w:rFonts w:ascii="Times New Roman" w:hAnsi="Times New Roman" w:cs="Times New Roman"/>
          <w:sz w:val="24"/>
          <w:szCs w:val="24"/>
        </w:rPr>
      </w:pPr>
    </w:p>
    <w:p w:rsidR="00EC79A7" w:rsidRPr="001B0FD5" w:rsidRDefault="00EC79A7" w:rsidP="003330C9">
      <w:pPr>
        <w:spacing w:after="0" w:line="360" w:lineRule="auto"/>
        <w:rPr>
          <w:rFonts w:ascii="Times New Roman" w:hAnsi="Times New Roman" w:cs="Times New Roman"/>
          <w:b/>
          <w:sz w:val="24"/>
          <w:szCs w:val="24"/>
        </w:rPr>
      </w:pPr>
      <w:r w:rsidRPr="001B0FD5">
        <w:rPr>
          <w:rFonts w:ascii="Times New Roman" w:hAnsi="Times New Roman" w:cs="Times New Roman"/>
          <w:b/>
          <w:sz w:val="24"/>
          <w:szCs w:val="24"/>
        </w:rPr>
        <w:t>Dependent variable</w:t>
      </w:r>
    </w:p>
    <w:p w:rsidR="00C55B1E" w:rsidRDefault="00C55B1E" w:rsidP="003330C9">
      <w:pPr>
        <w:spacing w:after="0" w:line="360" w:lineRule="auto"/>
        <w:rPr>
          <w:rFonts w:ascii="Times New Roman" w:hAnsi="Times New Roman" w:cs="Times New Roman"/>
          <w:sz w:val="24"/>
          <w:szCs w:val="24"/>
        </w:rPr>
      </w:pPr>
    </w:p>
    <w:p w:rsidR="00D84791" w:rsidRPr="003817D4" w:rsidRDefault="00144F56"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In this study, t</w:t>
      </w:r>
      <w:r w:rsidR="00C55B1E">
        <w:rPr>
          <w:rFonts w:ascii="Times New Roman" w:hAnsi="Times New Roman" w:cs="Times New Roman"/>
          <w:sz w:val="24"/>
          <w:szCs w:val="24"/>
        </w:rPr>
        <w:t xml:space="preserve">he dependent variable is the </w:t>
      </w:r>
      <w:r w:rsidR="006346C4">
        <w:rPr>
          <w:rFonts w:ascii="Times New Roman" w:hAnsi="Times New Roman" w:cs="Times New Roman"/>
          <w:sz w:val="24"/>
          <w:szCs w:val="24"/>
        </w:rPr>
        <w:t xml:space="preserve">financial performance which is measured by the </w:t>
      </w:r>
      <w:r w:rsidR="00C55B1E">
        <w:rPr>
          <w:rFonts w:ascii="Times New Roman" w:hAnsi="Times New Roman" w:cs="Times New Roman"/>
          <w:sz w:val="24"/>
          <w:szCs w:val="24"/>
        </w:rPr>
        <w:t xml:space="preserve">return on equity (“ROE”). ROE is determined by dividing the profit attributable to shareholders of the company by the average equity attributable to shareholders of the company during the accounting period </w:t>
      </w:r>
      <w:r w:rsidR="008A4BD0">
        <w:rPr>
          <w:rFonts w:ascii="Times New Roman" w:hAnsi="Times New Roman" w:cs="Times New Roman"/>
          <w:noProof/>
          <w:sz w:val="24"/>
          <w:szCs w:val="24"/>
        </w:rPr>
        <w:t xml:space="preserve">(Cunningham </w:t>
      </w:r>
      <w:r w:rsidR="008A4BD0" w:rsidRPr="008A4BD0">
        <w:rPr>
          <w:rFonts w:ascii="Times New Roman" w:hAnsi="Times New Roman" w:cs="Times New Roman"/>
          <w:i/>
          <w:noProof/>
          <w:sz w:val="24"/>
          <w:szCs w:val="24"/>
        </w:rPr>
        <w:t>et al</w:t>
      </w:r>
      <w:r w:rsidR="008A4BD0">
        <w:rPr>
          <w:rFonts w:ascii="Times New Roman" w:hAnsi="Times New Roman" w:cs="Times New Roman"/>
          <w:noProof/>
          <w:sz w:val="24"/>
          <w:szCs w:val="24"/>
        </w:rPr>
        <w:t>.</w:t>
      </w:r>
      <w:r w:rsidR="008A4BD0" w:rsidRPr="006E08B2">
        <w:rPr>
          <w:rFonts w:ascii="Times New Roman" w:hAnsi="Times New Roman" w:cs="Times New Roman"/>
          <w:noProof/>
          <w:sz w:val="24"/>
          <w:szCs w:val="24"/>
        </w:rPr>
        <w:t xml:space="preserve"> 2019, p. 345)</w:t>
      </w:r>
      <w:r w:rsidR="001B0FD5">
        <w:rPr>
          <w:rFonts w:ascii="Times New Roman" w:hAnsi="Times New Roman" w:cs="Times New Roman"/>
          <w:sz w:val="24"/>
          <w:szCs w:val="24"/>
        </w:rPr>
        <w:t xml:space="preserve">. </w:t>
      </w:r>
      <w:r w:rsidR="00D84791">
        <w:rPr>
          <w:rFonts w:ascii="Times New Roman" w:hAnsi="Times New Roman" w:cs="Times New Roman"/>
          <w:sz w:val="24"/>
          <w:szCs w:val="24"/>
        </w:rPr>
        <w:t xml:space="preserve">It measures the return earned by the management on the funds contributed by shareholders. </w:t>
      </w:r>
    </w:p>
    <w:p w:rsidR="00D84791" w:rsidRDefault="00D84791" w:rsidP="003330C9">
      <w:pPr>
        <w:spacing w:after="0" w:line="360" w:lineRule="auto"/>
        <w:rPr>
          <w:rFonts w:ascii="Times New Roman" w:hAnsi="Times New Roman" w:cs="Times New Roman"/>
          <w:sz w:val="24"/>
          <w:szCs w:val="24"/>
        </w:rPr>
      </w:pPr>
    </w:p>
    <w:p w:rsidR="00EC79A7" w:rsidRPr="001B0FD5" w:rsidRDefault="00EC79A7" w:rsidP="003330C9">
      <w:pPr>
        <w:spacing w:after="0" w:line="360" w:lineRule="auto"/>
        <w:rPr>
          <w:rFonts w:ascii="Times New Roman" w:hAnsi="Times New Roman" w:cs="Times New Roman"/>
          <w:b/>
          <w:sz w:val="24"/>
          <w:szCs w:val="24"/>
        </w:rPr>
      </w:pPr>
      <w:r w:rsidRPr="001B0FD5">
        <w:rPr>
          <w:rFonts w:ascii="Times New Roman" w:hAnsi="Times New Roman" w:cs="Times New Roman"/>
          <w:b/>
          <w:sz w:val="24"/>
          <w:szCs w:val="24"/>
        </w:rPr>
        <w:t>Independent variable</w:t>
      </w:r>
    </w:p>
    <w:p w:rsidR="00EC79A7" w:rsidRDefault="00EC79A7" w:rsidP="003330C9">
      <w:pPr>
        <w:spacing w:after="0" w:line="360" w:lineRule="auto"/>
        <w:rPr>
          <w:rFonts w:ascii="Times New Roman" w:hAnsi="Times New Roman" w:cs="Times New Roman"/>
          <w:sz w:val="24"/>
          <w:szCs w:val="24"/>
        </w:rPr>
      </w:pPr>
    </w:p>
    <w:p w:rsidR="00144F56" w:rsidRDefault="00EC79A7"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 independent variable is the corporate governance compliance index score. </w:t>
      </w:r>
      <w:r w:rsidR="00144F56">
        <w:rPr>
          <w:rFonts w:ascii="Times New Roman" w:hAnsi="Times New Roman" w:cs="Times New Roman"/>
          <w:sz w:val="24"/>
          <w:szCs w:val="24"/>
        </w:rPr>
        <w:t>Such index score is measured in the same way as stated and discussed previously in Res</w:t>
      </w:r>
      <w:r w:rsidR="001B0FD5">
        <w:rPr>
          <w:rFonts w:ascii="Times New Roman" w:hAnsi="Times New Roman" w:cs="Times New Roman"/>
          <w:sz w:val="24"/>
          <w:szCs w:val="24"/>
        </w:rPr>
        <w:t>earch Question 1 under “Part 3.2</w:t>
      </w:r>
      <w:r w:rsidR="00144F56">
        <w:rPr>
          <w:rFonts w:ascii="Times New Roman" w:hAnsi="Times New Roman" w:cs="Times New Roman"/>
          <w:sz w:val="24"/>
          <w:szCs w:val="24"/>
        </w:rPr>
        <w:t xml:space="preserve"> </w:t>
      </w:r>
      <w:r w:rsidR="001B0FD5">
        <w:rPr>
          <w:rFonts w:ascii="Times New Roman" w:hAnsi="Times New Roman" w:cs="Times New Roman"/>
          <w:sz w:val="24"/>
          <w:szCs w:val="24"/>
        </w:rPr>
        <w:t>Research question one and hypothesi</w:t>
      </w:r>
      <w:r w:rsidR="00144F56">
        <w:rPr>
          <w:rFonts w:ascii="Times New Roman" w:hAnsi="Times New Roman" w:cs="Times New Roman"/>
          <w:sz w:val="24"/>
          <w:szCs w:val="24"/>
        </w:rPr>
        <w:t>s testing” in this study.</w:t>
      </w:r>
    </w:p>
    <w:p w:rsidR="00EC79A7" w:rsidRDefault="00EC79A7" w:rsidP="003330C9">
      <w:pPr>
        <w:spacing w:after="0" w:line="360" w:lineRule="auto"/>
        <w:rPr>
          <w:rFonts w:ascii="Times New Roman" w:hAnsi="Times New Roman" w:cs="Times New Roman"/>
          <w:sz w:val="24"/>
          <w:szCs w:val="24"/>
        </w:rPr>
      </w:pPr>
    </w:p>
    <w:p w:rsidR="001B0FD5" w:rsidRPr="001B0FD5" w:rsidRDefault="0015548F" w:rsidP="003330C9">
      <w:pPr>
        <w:spacing w:after="0" w:line="360" w:lineRule="auto"/>
        <w:rPr>
          <w:rFonts w:ascii="Times New Roman" w:hAnsi="Times New Roman" w:cs="Times New Roman"/>
          <w:b/>
          <w:sz w:val="24"/>
          <w:szCs w:val="24"/>
        </w:rPr>
      </w:pPr>
      <w:r w:rsidRPr="001B0FD5">
        <w:rPr>
          <w:rFonts w:ascii="Times New Roman" w:hAnsi="Times New Roman" w:cs="Times New Roman"/>
          <w:b/>
          <w:sz w:val="24"/>
          <w:szCs w:val="24"/>
        </w:rPr>
        <w:lastRenderedPageBreak/>
        <w:t>Hypothesis 2</w:t>
      </w:r>
    </w:p>
    <w:p w:rsidR="001B0FD5" w:rsidRDefault="001B0FD5" w:rsidP="003330C9">
      <w:pPr>
        <w:spacing w:after="0" w:line="360" w:lineRule="auto"/>
        <w:rPr>
          <w:rFonts w:ascii="Times New Roman" w:hAnsi="Times New Roman" w:cs="Times New Roman"/>
          <w:sz w:val="24"/>
          <w:szCs w:val="24"/>
        </w:rPr>
      </w:pPr>
    </w:p>
    <w:p w:rsidR="00EC79A7" w:rsidRDefault="00A20CEA"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The financial performance in terms of return on equity</w:t>
      </w:r>
      <w:r w:rsidR="00EC79A7">
        <w:rPr>
          <w:rFonts w:ascii="Times New Roman" w:hAnsi="Times New Roman" w:cs="Times New Roman"/>
          <w:sz w:val="24"/>
          <w:szCs w:val="24"/>
        </w:rPr>
        <w:t xml:space="preserve"> increases with an increase in the level corporate governance compliance.</w:t>
      </w:r>
    </w:p>
    <w:p w:rsidR="00EC79A7" w:rsidRDefault="00EC79A7" w:rsidP="003330C9">
      <w:pPr>
        <w:spacing w:after="0" w:line="360" w:lineRule="auto"/>
        <w:rPr>
          <w:rFonts w:ascii="Times New Roman" w:hAnsi="Times New Roman" w:cs="Times New Roman"/>
          <w:sz w:val="24"/>
          <w:szCs w:val="24"/>
        </w:rPr>
      </w:pPr>
    </w:p>
    <w:p w:rsidR="00986CC7" w:rsidRPr="00B506CF" w:rsidRDefault="00986CC7" w:rsidP="003330C9">
      <w:pPr>
        <w:spacing w:after="0" w:line="360" w:lineRule="auto"/>
        <w:rPr>
          <w:rFonts w:ascii="Times New Roman" w:hAnsi="Times New Roman" w:cs="Times New Roman"/>
          <w:b/>
          <w:sz w:val="24"/>
          <w:szCs w:val="24"/>
        </w:rPr>
      </w:pPr>
      <w:r w:rsidRPr="00B506CF">
        <w:rPr>
          <w:rFonts w:ascii="Times New Roman" w:hAnsi="Times New Roman" w:cs="Times New Roman"/>
          <w:b/>
          <w:sz w:val="24"/>
          <w:szCs w:val="24"/>
        </w:rPr>
        <w:t>3.4 Research question three and hypothesis testing</w:t>
      </w:r>
    </w:p>
    <w:p w:rsidR="00986CC7" w:rsidRDefault="00986CC7" w:rsidP="003330C9">
      <w:pPr>
        <w:spacing w:after="0" w:line="360" w:lineRule="auto"/>
        <w:rPr>
          <w:rFonts w:ascii="Times New Roman" w:hAnsi="Times New Roman" w:cs="Times New Roman"/>
          <w:sz w:val="24"/>
          <w:szCs w:val="24"/>
        </w:rPr>
      </w:pPr>
    </w:p>
    <w:p w:rsidR="00B93F9B" w:rsidRPr="00B93F9B" w:rsidRDefault="00B93F9B" w:rsidP="003330C9">
      <w:pPr>
        <w:spacing w:after="0" w:line="360" w:lineRule="auto"/>
        <w:rPr>
          <w:rFonts w:ascii="Times New Roman" w:hAnsi="Times New Roman" w:cs="Times New Roman"/>
          <w:b/>
          <w:sz w:val="24"/>
          <w:szCs w:val="24"/>
        </w:rPr>
      </w:pPr>
      <w:r w:rsidRPr="00B93F9B">
        <w:rPr>
          <w:rFonts w:ascii="Times New Roman" w:hAnsi="Times New Roman" w:cs="Times New Roman"/>
          <w:b/>
          <w:sz w:val="24"/>
          <w:szCs w:val="24"/>
        </w:rPr>
        <w:t>Research Question 3</w:t>
      </w:r>
    </w:p>
    <w:p w:rsidR="00B93F9B" w:rsidRDefault="00B93F9B" w:rsidP="003330C9">
      <w:pPr>
        <w:spacing w:after="0" w:line="360" w:lineRule="auto"/>
        <w:rPr>
          <w:rFonts w:ascii="Times New Roman" w:hAnsi="Times New Roman" w:cs="Times New Roman"/>
          <w:sz w:val="24"/>
          <w:szCs w:val="24"/>
        </w:rPr>
      </w:pPr>
    </w:p>
    <w:p w:rsidR="00E86608" w:rsidRDefault="00E86608"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Has the level of corporate governance compliance affected the share price volatility?</w:t>
      </w:r>
    </w:p>
    <w:p w:rsidR="00E86608" w:rsidRDefault="00E86608" w:rsidP="003330C9">
      <w:pPr>
        <w:spacing w:after="0" w:line="360" w:lineRule="auto"/>
        <w:rPr>
          <w:rFonts w:ascii="Times New Roman" w:hAnsi="Times New Roman" w:cs="Times New Roman"/>
          <w:sz w:val="24"/>
          <w:szCs w:val="24"/>
        </w:rPr>
      </w:pPr>
    </w:p>
    <w:p w:rsidR="00E86608" w:rsidRDefault="00E86608"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In order to address to Resea</w:t>
      </w:r>
      <w:r w:rsidR="00F42BC3">
        <w:rPr>
          <w:rFonts w:ascii="Times New Roman" w:hAnsi="Times New Roman" w:cs="Times New Roman"/>
          <w:sz w:val="24"/>
          <w:szCs w:val="24"/>
        </w:rPr>
        <w:t xml:space="preserve">rch Question 3, </w:t>
      </w:r>
      <w:r w:rsidR="00144F56">
        <w:rPr>
          <w:rFonts w:ascii="Times New Roman" w:hAnsi="Times New Roman" w:cs="Times New Roman"/>
          <w:sz w:val="24"/>
          <w:szCs w:val="24"/>
        </w:rPr>
        <w:t xml:space="preserve">various descriptive statistics would be examined and </w:t>
      </w:r>
      <w:r w:rsidR="00620BE2">
        <w:rPr>
          <w:rFonts w:ascii="Times New Roman" w:hAnsi="Times New Roman" w:cs="Times New Roman"/>
          <w:sz w:val="24"/>
          <w:szCs w:val="24"/>
        </w:rPr>
        <w:t xml:space="preserve">the </w:t>
      </w:r>
      <w:r w:rsidR="00F42BC3">
        <w:rPr>
          <w:rFonts w:ascii="Times New Roman" w:hAnsi="Times New Roman" w:cs="Times New Roman"/>
          <w:sz w:val="24"/>
          <w:szCs w:val="24"/>
        </w:rPr>
        <w:t xml:space="preserve">coefficient of correlation, coefficient of determination and </w:t>
      </w:r>
      <w:r w:rsidR="00B93F9B">
        <w:rPr>
          <w:rFonts w:ascii="Times New Roman" w:hAnsi="Times New Roman" w:cs="Times New Roman"/>
          <w:sz w:val="24"/>
          <w:szCs w:val="24"/>
        </w:rPr>
        <w:t xml:space="preserve">simple </w:t>
      </w:r>
      <w:r w:rsidR="00F42BC3">
        <w:rPr>
          <w:rFonts w:ascii="Times New Roman" w:hAnsi="Times New Roman" w:cs="Times New Roman"/>
          <w:sz w:val="24"/>
          <w:szCs w:val="24"/>
        </w:rPr>
        <w:t xml:space="preserve">regression model are </w:t>
      </w:r>
      <w:r w:rsidR="00B93F9B">
        <w:rPr>
          <w:rFonts w:ascii="Times New Roman" w:hAnsi="Times New Roman" w:cs="Times New Roman"/>
          <w:sz w:val="24"/>
          <w:szCs w:val="24"/>
        </w:rPr>
        <w:t>assessed</w:t>
      </w:r>
      <w:r>
        <w:rPr>
          <w:rFonts w:ascii="Times New Roman" w:hAnsi="Times New Roman" w:cs="Times New Roman"/>
          <w:sz w:val="24"/>
          <w:szCs w:val="24"/>
        </w:rPr>
        <w:t xml:space="preserve"> to examine whether there is any </w:t>
      </w:r>
      <w:r w:rsidR="0050247C">
        <w:rPr>
          <w:rFonts w:ascii="Times New Roman" w:hAnsi="Times New Roman" w:cs="Times New Roman"/>
          <w:sz w:val="24"/>
          <w:szCs w:val="24"/>
        </w:rPr>
        <w:t xml:space="preserve">negative </w:t>
      </w:r>
      <w:r>
        <w:rPr>
          <w:rFonts w:ascii="Times New Roman" w:hAnsi="Times New Roman" w:cs="Times New Roman"/>
          <w:sz w:val="24"/>
          <w:szCs w:val="24"/>
        </w:rPr>
        <w:t xml:space="preserve">relationship between the share price volatility and the level of corporate governance compliance. </w:t>
      </w:r>
    </w:p>
    <w:p w:rsidR="00E86608" w:rsidRDefault="00E86608" w:rsidP="003330C9">
      <w:pPr>
        <w:spacing w:after="0" w:line="360" w:lineRule="auto"/>
        <w:rPr>
          <w:rFonts w:ascii="Times New Roman" w:hAnsi="Times New Roman" w:cs="Times New Roman"/>
          <w:sz w:val="24"/>
          <w:szCs w:val="24"/>
        </w:rPr>
      </w:pPr>
    </w:p>
    <w:p w:rsidR="00E86608" w:rsidRPr="00023F1D" w:rsidRDefault="00E86608" w:rsidP="003330C9">
      <w:pPr>
        <w:spacing w:after="0" w:line="360" w:lineRule="auto"/>
        <w:rPr>
          <w:rFonts w:ascii="Times New Roman" w:hAnsi="Times New Roman" w:cs="Times New Roman"/>
          <w:b/>
          <w:sz w:val="24"/>
          <w:szCs w:val="24"/>
        </w:rPr>
      </w:pPr>
      <w:r w:rsidRPr="00023F1D">
        <w:rPr>
          <w:rFonts w:ascii="Times New Roman" w:hAnsi="Times New Roman" w:cs="Times New Roman"/>
          <w:b/>
          <w:sz w:val="24"/>
          <w:szCs w:val="24"/>
        </w:rPr>
        <w:t>Dependent variable</w:t>
      </w:r>
    </w:p>
    <w:p w:rsidR="000C371E" w:rsidRDefault="000C371E" w:rsidP="003330C9">
      <w:pPr>
        <w:spacing w:after="0" w:line="360" w:lineRule="auto"/>
        <w:rPr>
          <w:rFonts w:ascii="Times New Roman" w:hAnsi="Times New Roman" w:cs="Times New Roman"/>
          <w:sz w:val="24"/>
          <w:szCs w:val="24"/>
        </w:rPr>
      </w:pPr>
    </w:p>
    <w:p w:rsidR="000C371E" w:rsidRDefault="00DB5111"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To calculate the share price volatility, historical closing share prices are required for a company during a particular period. </w:t>
      </w:r>
      <w:r w:rsidR="000C371E">
        <w:rPr>
          <w:rFonts w:ascii="Times New Roman" w:hAnsi="Times New Roman" w:cs="Times New Roman"/>
          <w:sz w:val="24"/>
          <w:szCs w:val="24"/>
        </w:rPr>
        <w:t xml:space="preserve">In this study, we have used the daily closing </w:t>
      </w:r>
      <w:r>
        <w:rPr>
          <w:rFonts w:ascii="Times New Roman" w:hAnsi="Times New Roman" w:cs="Times New Roman"/>
          <w:sz w:val="24"/>
          <w:szCs w:val="24"/>
        </w:rPr>
        <w:t xml:space="preserve">share </w:t>
      </w:r>
      <w:r w:rsidR="000C371E">
        <w:rPr>
          <w:rFonts w:ascii="Times New Roman" w:hAnsi="Times New Roman" w:cs="Times New Roman"/>
          <w:sz w:val="24"/>
          <w:szCs w:val="24"/>
        </w:rPr>
        <w:t>prices of each trading day for the sample companies in the latest one year from 1 Dec 2019 to 30 Nov 2020. The number of trading days during the captioned period was 246.</w:t>
      </w:r>
      <w:r w:rsidR="003D51B7">
        <w:rPr>
          <w:rFonts w:ascii="Times New Roman" w:hAnsi="Times New Roman" w:cs="Times New Roman"/>
          <w:sz w:val="24"/>
          <w:szCs w:val="24"/>
        </w:rPr>
        <w:t xml:space="preserve"> Historical share price data are downloaded from the website of the Hong Kong Exchanges and Clearing Limited. </w:t>
      </w:r>
    </w:p>
    <w:p w:rsidR="00E86608" w:rsidRDefault="00E86608" w:rsidP="003330C9">
      <w:pPr>
        <w:spacing w:after="0" w:line="360" w:lineRule="auto"/>
        <w:rPr>
          <w:rFonts w:ascii="Times New Roman" w:hAnsi="Times New Roman" w:cs="Times New Roman"/>
          <w:sz w:val="24"/>
          <w:szCs w:val="24"/>
        </w:rPr>
      </w:pPr>
    </w:p>
    <w:p w:rsidR="00E86608" w:rsidRDefault="000C371E"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D</w:t>
      </w:r>
      <w:r w:rsidR="00E86608">
        <w:rPr>
          <w:rFonts w:ascii="Times New Roman" w:hAnsi="Times New Roman" w:cs="Times New Roman"/>
          <w:sz w:val="24"/>
          <w:szCs w:val="24"/>
        </w:rPr>
        <w:t xml:space="preserve">aily </w:t>
      </w:r>
      <w:r>
        <w:rPr>
          <w:rFonts w:ascii="Times New Roman" w:hAnsi="Times New Roman" w:cs="Times New Roman"/>
          <w:sz w:val="24"/>
          <w:szCs w:val="24"/>
        </w:rPr>
        <w:t>change in share price</w:t>
      </w:r>
      <w:r w:rsidR="00E86608">
        <w:rPr>
          <w:rFonts w:ascii="Times New Roman" w:hAnsi="Times New Roman" w:cs="Times New Roman"/>
          <w:sz w:val="24"/>
          <w:szCs w:val="24"/>
        </w:rPr>
        <w:t xml:space="preserve"> is calculated as follows:</w:t>
      </w:r>
    </w:p>
    <w:p w:rsidR="00E86608" w:rsidRDefault="00E86608" w:rsidP="003330C9">
      <w:pPr>
        <w:spacing w:after="0" w:line="360" w:lineRule="auto"/>
        <w:rPr>
          <w:rFonts w:ascii="Times New Roman" w:hAnsi="Times New Roman" w:cs="Times New Roman"/>
          <w:sz w:val="24"/>
          <w:szCs w:val="24"/>
        </w:rPr>
      </w:pPr>
    </w:p>
    <w:p w:rsidR="00E86608" w:rsidRDefault="00EF3B54" w:rsidP="003330C9">
      <w:pPr>
        <w:spacing w:after="0" w:line="360" w:lineRule="auto"/>
        <w:rPr>
          <w:rFonts w:ascii="Times New Roman" w:hAnsi="Times New Roman" w:cs="Times New Roman"/>
          <w:sz w:val="24"/>
          <w:szCs w:val="24"/>
          <w:vertAlign w:val="subscript"/>
        </w:rPr>
      </w:pPr>
      <w:r>
        <w:rPr>
          <w:rFonts w:ascii="Times New Roman" w:hAnsi="Times New Roman" w:cs="Times New Roman"/>
          <w:sz w:val="24"/>
          <w:szCs w:val="24"/>
        </w:rPr>
        <w:t>(</w:t>
      </w:r>
      <w:r w:rsidR="00144F56">
        <w:rPr>
          <w:rFonts w:ascii="Times New Roman" w:hAnsi="Times New Roman" w:cs="Times New Roman"/>
          <w:sz w:val="24"/>
          <w:szCs w:val="24"/>
        </w:rPr>
        <w:t xml:space="preserve">closing share price </w:t>
      </w:r>
      <w:r w:rsidR="00E86608" w:rsidRPr="00E86608">
        <w:rPr>
          <w:rFonts w:ascii="Times New Roman" w:hAnsi="Times New Roman" w:cs="Times New Roman"/>
          <w:sz w:val="24"/>
          <w:szCs w:val="24"/>
          <w:vertAlign w:val="subscript"/>
        </w:rPr>
        <w:t>t</w:t>
      </w:r>
      <w:r w:rsidR="00E86608">
        <w:rPr>
          <w:rFonts w:ascii="Times New Roman" w:hAnsi="Times New Roman" w:cs="Times New Roman"/>
          <w:sz w:val="24"/>
          <w:szCs w:val="24"/>
        </w:rPr>
        <w:t xml:space="preserve"> minus closing share price </w:t>
      </w:r>
      <w:r w:rsidR="00E86608" w:rsidRPr="00E86608">
        <w:rPr>
          <w:rFonts w:ascii="Times New Roman" w:hAnsi="Times New Roman" w:cs="Times New Roman"/>
          <w:sz w:val="24"/>
          <w:szCs w:val="24"/>
          <w:vertAlign w:val="subscript"/>
        </w:rPr>
        <w:t>t-1</w:t>
      </w:r>
      <w:r w:rsidR="00E86608" w:rsidRPr="00EF3B54">
        <w:rPr>
          <w:rFonts w:ascii="Times New Roman" w:hAnsi="Times New Roman" w:cs="Times New Roman"/>
          <w:sz w:val="24"/>
          <w:szCs w:val="24"/>
        </w:rPr>
        <w:t xml:space="preserve">) </w:t>
      </w:r>
      <w:r w:rsidR="004B5A1C">
        <w:rPr>
          <w:rFonts w:ascii="Times New Roman" w:hAnsi="Times New Roman" w:cs="Times New Roman"/>
          <w:sz w:val="24"/>
          <w:szCs w:val="24"/>
        </w:rPr>
        <w:t xml:space="preserve">/ </w:t>
      </w:r>
      <w:r w:rsidR="00E86608">
        <w:rPr>
          <w:rFonts w:ascii="Times New Roman" w:hAnsi="Times New Roman" w:cs="Times New Roman"/>
          <w:sz w:val="24"/>
          <w:szCs w:val="24"/>
        </w:rPr>
        <w:t xml:space="preserve">closing share price </w:t>
      </w:r>
      <w:r w:rsidR="00E86608" w:rsidRPr="004B5A1C">
        <w:rPr>
          <w:rFonts w:ascii="Times New Roman" w:hAnsi="Times New Roman" w:cs="Times New Roman"/>
          <w:sz w:val="24"/>
          <w:szCs w:val="24"/>
          <w:vertAlign w:val="subscript"/>
        </w:rPr>
        <w:t>t-1</w:t>
      </w:r>
    </w:p>
    <w:p w:rsidR="00EF3B54" w:rsidRDefault="00EF3B54" w:rsidP="003330C9">
      <w:pPr>
        <w:spacing w:after="0" w:line="360" w:lineRule="auto"/>
        <w:rPr>
          <w:rFonts w:ascii="Times New Roman" w:hAnsi="Times New Roman" w:cs="Times New Roman"/>
          <w:sz w:val="24"/>
          <w:szCs w:val="24"/>
        </w:rPr>
      </w:pPr>
    </w:p>
    <w:p w:rsidR="004B5A1C" w:rsidRDefault="00240965"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t: t</w:t>
      </w:r>
      <w:r w:rsidR="004B5A1C">
        <w:rPr>
          <w:rFonts w:ascii="Times New Roman" w:hAnsi="Times New Roman" w:cs="Times New Roman"/>
          <w:sz w:val="24"/>
          <w:szCs w:val="24"/>
        </w:rPr>
        <w:t>rading day</w:t>
      </w:r>
    </w:p>
    <w:p w:rsidR="004B5A1C" w:rsidRDefault="00240965"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t-1: p</w:t>
      </w:r>
      <w:r w:rsidR="004B5A1C">
        <w:rPr>
          <w:rFonts w:ascii="Times New Roman" w:hAnsi="Times New Roman" w:cs="Times New Roman"/>
          <w:sz w:val="24"/>
          <w:szCs w:val="24"/>
        </w:rPr>
        <w:t>revious trading day</w:t>
      </w:r>
    </w:p>
    <w:p w:rsidR="000C371E" w:rsidRDefault="000C371E" w:rsidP="003330C9">
      <w:pPr>
        <w:spacing w:after="0" w:line="360" w:lineRule="auto"/>
        <w:rPr>
          <w:rFonts w:ascii="Times New Roman" w:hAnsi="Times New Roman" w:cs="Times New Roman"/>
          <w:sz w:val="24"/>
          <w:szCs w:val="24"/>
        </w:rPr>
      </w:pPr>
    </w:p>
    <w:p w:rsidR="000C371E" w:rsidRDefault="000C371E"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Daily share price volatility is calculated as</w:t>
      </w:r>
      <w:r w:rsidR="00DB5111">
        <w:rPr>
          <w:rFonts w:ascii="Times New Roman" w:hAnsi="Times New Roman" w:cs="Times New Roman"/>
          <w:sz w:val="24"/>
          <w:szCs w:val="24"/>
        </w:rPr>
        <w:t xml:space="preserve"> the sample standard deviation of daily changes in share price whereas annualised share price volatility is calculated </w:t>
      </w:r>
      <w:r w:rsidR="003D51B7">
        <w:rPr>
          <w:rFonts w:ascii="Times New Roman" w:hAnsi="Times New Roman" w:cs="Times New Roman"/>
          <w:sz w:val="24"/>
          <w:szCs w:val="24"/>
        </w:rPr>
        <w:t xml:space="preserve">as the square root of the </w:t>
      </w:r>
      <w:r w:rsidR="003D51B7">
        <w:rPr>
          <w:rFonts w:ascii="Times New Roman" w:hAnsi="Times New Roman" w:cs="Times New Roman"/>
          <w:sz w:val="24"/>
          <w:szCs w:val="24"/>
        </w:rPr>
        <w:lastRenderedPageBreak/>
        <w:t xml:space="preserve">number of trading days during the year multiplied by the </w:t>
      </w:r>
      <w:r w:rsidR="00DB5111">
        <w:rPr>
          <w:rFonts w:ascii="Times New Roman" w:hAnsi="Times New Roman" w:cs="Times New Roman"/>
          <w:sz w:val="24"/>
          <w:szCs w:val="24"/>
        </w:rPr>
        <w:t xml:space="preserve">daily share price volatility </w:t>
      </w:r>
      <w:r w:rsidR="008A4BD0" w:rsidRPr="00AD10AD">
        <w:rPr>
          <w:rFonts w:ascii="Times New Roman" w:hAnsi="Times New Roman" w:cs="Times New Roman"/>
          <w:noProof/>
          <w:sz w:val="24"/>
          <w:szCs w:val="24"/>
        </w:rPr>
        <w:t>(Boyte-White, 2020)</w:t>
      </w:r>
      <w:r w:rsidR="00AD10AD">
        <w:rPr>
          <w:rFonts w:ascii="Times New Roman" w:hAnsi="Times New Roman" w:cs="Times New Roman"/>
          <w:sz w:val="24"/>
          <w:szCs w:val="24"/>
        </w:rPr>
        <w:t>.</w:t>
      </w:r>
      <w:r w:rsidR="003D51B7">
        <w:rPr>
          <w:rFonts w:ascii="Times New Roman" w:hAnsi="Times New Roman" w:cs="Times New Roman"/>
          <w:sz w:val="24"/>
          <w:szCs w:val="24"/>
        </w:rPr>
        <w:t xml:space="preserve"> The annualised share price volatility is the dependent variable.</w:t>
      </w:r>
    </w:p>
    <w:p w:rsidR="003D51B7" w:rsidRDefault="003D51B7" w:rsidP="003330C9">
      <w:pPr>
        <w:spacing w:after="0" w:line="360" w:lineRule="auto"/>
        <w:rPr>
          <w:rFonts w:ascii="Times New Roman" w:hAnsi="Times New Roman" w:cs="Times New Roman"/>
          <w:sz w:val="24"/>
          <w:szCs w:val="24"/>
        </w:rPr>
      </w:pPr>
    </w:p>
    <w:p w:rsidR="003D51B7" w:rsidRPr="00023F1D" w:rsidRDefault="003D51B7" w:rsidP="003330C9">
      <w:pPr>
        <w:spacing w:after="0" w:line="360" w:lineRule="auto"/>
        <w:rPr>
          <w:rFonts w:ascii="Times New Roman" w:hAnsi="Times New Roman" w:cs="Times New Roman"/>
          <w:b/>
          <w:sz w:val="24"/>
          <w:szCs w:val="24"/>
        </w:rPr>
      </w:pPr>
      <w:r w:rsidRPr="00023F1D">
        <w:rPr>
          <w:rFonts w:ascii="Times New Roman" w:hAnsi="Times New Roman" w:cs="Times New Roman"/>
          <w:b/>
          <w:sz w:val="24"/>
          <w:szCs w:val="24"/>
        </w:rPr>
        <w:t>Independent variable</w:t>
      </w:r>
    </w:p>
    <w:p w:rsidR="003D51B7" w:rsidRDefault="003D51B7" w:rsidP="003330C9">
      <w:pPr>
        <w:spacing w:after="0" w:line="360" w:lineRule="auto"/>
        <w:rPr>
          <w:rFonts w:ascii="Times New Roman" w:hAnsi="Times New Roman" w:cs="Times New Roman"/>
          <w:sz w:val="24"/>
          <w:szCs w:val="24"/>
        </w:rPr>
      </w:pPr>
    </w:p>
    <w:p w:rsidR="00144F56" w:rsidRDefault="003D51B7"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 independent variable is the corporate governance compliance index score. </w:t>
      </w:r>
      <w:r w:rsidR="00144F56">
        <w:rPr>
          <w:rFonts w:ascii="Times New Roman" w:hAnsi="Times New Roman" w:cs="Times New Roman"/>
          <w:sz w:val="24"/>
          <w:szCs w:val="24"/>
        </w:rPr>
        <w:t>Such index score is measured in the same way as stated and discussed previously in Research Q</w:t>
      </w:r>
      <w:r w:rsidR="00023F1D">
        <w:rPr>
          <w:rFonts w:ascii="Times New Roman" w:hAnsi="Times New Roman" w:cs="Times New Roman"/>
          <w:sz w:val="24"/>
          <w:szCs w:val="24"/>
        </w:rPr>
        <w:t>uestion 1 under “Part 3.2 Research question one and hypothesi</w:t>
      </w:r>
      <w:r w:rsidR="00144F56">
        <w:rPr>
          <w:rFonts w:ascii="Times New Roman" w:hAnsi="Times New Roman" w:cs="Times New Roman"/>
          <w:sz w:val="24"/>
          <w:szCs w:val="24"/>
        </w:rPr>
        <w:t>s testing” in this study.</w:t>
      </w:r>
    </w:p>
    <w:p w:rsidR="00F42BC3" w:rsidRDefault="00F42BC3" w:rsidP="003330C9">
      <w:pPr>
        <w:spacing w:after="0" w:line="360" w:lineRule="auto"/>
        <w:rPr>
          <w:rFonts w:ascii="Times New Roman" w:hAnsi="Times New Roman" w:cs="Times New Roman"/>
          <w:sz w:val="24"/>
          <w:szCs w:val="24"/>
        </w:rPr>
      </w:pPr>
    </w:p>
    <w:p w:rsidR="00023F1D" w:rsidRPr="00023F1D" w:rsidRDefault="00023F1D" w:rsidP="003330C9">
      <w:pPr>
        <w:spacing w:after="0" w:line="360" w:lineRule="auto"/>
        <w:rPr>
          <w:rFonts w:ascii="Times New Roman" w:hAnsi="Times New Roman" w:cs="Times New Roman"/>
          <w:b/>
          <w:sz w:val="24"/>
          <w:szCs w:val="24"/>
        </w:rPr>
      </w:pPr>
      <w:r w:rsidRPr="00023F1D">
        <w:rPr>
          <w:rFonts w:ascii="Times New Roman" w:hAnsi="Times New Roman" w:cs="Times New Roman"/>
          <w:b/>
          <w:sz w:val="24"/>
          <w:szCs w:val="24"/>
        </w:rPr>
        <w:t>Hypothesis 3</w:t>
      </w:r>
    </w:p>
    <w:p w:rsidR="00023F1D" w:rsidRDefault="00023F1D" w:rsidP="003330C9">
      <w:pPr>
        <w:spacing w:after="0" w:line="360" w:lineRule="auto"/>
        <w:rPr>
          <w:rFonts w:ascii="Times New Roman" w:hAnsi="Times New Roman" w:cs="Times New Roman"/>
          <w:sz w:val="24"/>
          <w:szCs w:val="24"/>
        </w:rPr>
      </w:pPr>
    </w:p>
    <w:p w:rsidR="00F42BC3" w:rsidRDefault="00F42BC3"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The annualised share price volatility decreases with an increase in the level corporate governance compliance.</w:t>
      </w:r>
    </w:p>
    <w:p w:rsidR="004A6F7E" w:rsidRDefault="004A6F7E" w:rsidP="003330C9">
      <w:pPr>
        <w:spacing w:after="0" w:line="360" w:lineRule="auto"/>
        <w:rPr>
          <w:rFonts w:ascii="Times New Roman" w:hAnsi="Times New Roman" w:cs="Times New Roman"/>
          <w:sz w:val="24"/>
          <w:szCs w:val="24"/>
        </w:rPr>
      </w:pPr>
    </w:p>
    <w:p w:rsidR="00916987" w:rsidRPr="00B729BC" w:rsidRDefault="003A6A34" w:rsidP="003330C9">
      <w:pPr>
        <w:spacing w:after="0" w:line="360" w:lineRule="auto"/>
        <w:rPr>
          <w:rFonts w:ascii="Times New Roman" w:hAnsi="Times New Roman" w:cs="Times New Roman"/>
          <w:b/>
          <w:sz w:val="24"/>
          <w:szCs w:val="24"/>
        </w:rPr>
      </w:pPr>
      <w:r w:rsidRPr="00B729BC">
        <w:rPr>
          <w:rFonts w:ascii="Times New Roman" w:hAnsi="Times New Roman" w:cs="Times New Roman"/>
          <w:b/>
          <w:sz w:val="24"/>
          <w:szCs w:val="24"/>
        </w:rPr>
        <w:t>4. RESULTS AND DISCUSSIONS</w:t>
      </w:r>
    </w:p>
    <w:p w:rsidR="007D1CB3" w:rsidRDefault="007D1CB3" w:rsidP="003330C9">
      <w:pPr>
        <w:spacing w:after="0" w:line="360" w:lineRule="auto"/>
        <w:rPr>
          <w:rFonts w:ascii="Times New Roman" w:hAnsi="Times New Roman" w:cs="Times New Roman"/>
          <w:sz w:val="24"/>
          <w:szCs w:val="24"/>
        </w:rPr>
      </w:pPr>
    </w:p>
    <w:p w:rsidR="007D1CB3" w:rsidRPr="00B729BC" w:rsidRDefault="007D1CB3" w:rsidP="003330C9">
      <w:pPr>
        <w:pStyle w:val="ListParagraph"/>
        <w:numPr>
          <w:ilvl w:val="1"/>
          <w:numId w:val="17"/>
        </w:numPr>
        <w:spacing w:after="0" w:line="360" w:lineRule="auto"/>
        <w:rPr>
          <w:rFonts w:ascii="Times New Roman" w:hAnsi="Times New Roman" w:cs="Times New Roman"/>
          <w:b/>
          <w:sz w:val="24"/>
          <w:szCs w:val="24"/>
        </w:rPr>
      </w:pPr>
      <w:r w:rsidRPr="00B729BC">
        <w:rPr>
          <w:rFonts w:ascii="Times New Roman" w:hAnsi="Times New Roman" w:cs="Times New Roman"/>
          <w:b/>
          <w:sz w:val="24"/>
          <w:szCs w:val="24"/>
        </w:rPr>
        <w:t>Descriptive and inferential statistics</w:t>
      </w:r>
    </w:p>
    <w:p w:rsidR="0075369F" w:rsidRDefault="0075369F" w:rsidP="003330C9">
      <w:pPr>
        <w:spacing w:after="0" w:line="360" w:lineRule="auto"/>
        <w:rPr>
          <w:rFonts w:ascii="Times New Roman" w:hAnsi="Times New Roman" w:cs="Times New Roman"/>
          <w:sz w:val="24"/>
          <w:szCs w:val="24"/>
        </w:rPr>
      </w:pPr>
    </w:p>
    <w:p w:rsidR="007C0D9D" w:rsidRPr="00EA2A29" w:rsidRDefault="007C0D9D" w:rsidP="003330C9">
      <w:pPr>
        <w:spacing w:after="0" w:line="360" w:lineRule="auto"/>
        <w:rPr>
          <w:rFonts w:ascii="Times New Roman" w:hAnsi="Times New Roman" w:cs="Times New Roman"/>
          <w:sz w:val="24"/>
          <w:szCs w:val="24"/>
          <w:u w:val="single"/>
        </w:rPr>
      </w:pPr>
      <w:r w:rsidRPr="00EA2A29">
        <w:rPr>
          <w:rFonts w:ascii="Times New Roman" w:hAnsi="Times New Roman" w:cs="Times New Roman"/>
          <w:sz w:val="24"/>
          <w:szCs w:val="24"/>
          <w:u w:val="single"/>
        </w:rPr>
        <w:t>(i) Descriptive statistics (Corporate governance compliance index)</w:t>
      </w:r>
    </w:p>
    <w:p w:rsidR="007C0D9D" w:rsidRDefault="007C0D9D" w:rsidP="003330C9">
      <w:pPr>
        <w:spacing w:after="0" w:line="360" w:lineRule="auto"/>
        <w:rPr>
          <w:rFonts w:ascii="Times New Roman" w:hAnsi="Times New Roman" w:cs="Times New Roman"/>
          <w:sz w:val="24"/>
          <w:szCs w:val="24"/>
        </w:rPr>
      </w:pPr>
    </w:p>
    <w:p w:rsidR="006C6A4F" w:rsidRPr="007C0D9D" w:rsidRDefault="006C6A4F" w:rsidP="003330C9">
      <w:pPr>
        <w:spacing w:after="0" w:line="360" w:lineRule="auto"/>
        <w:rPr>
          <w:rFonts w:ascii="Times New Roman" w:hAnsi="Times New Roman" w:cs="Times New Roman"/>
          <w:sz w:val="24"/>
          <w:szCs w:val="24"/>
        </w:rPr>
      </w:pPr>
      <w:r w:rsidRPr="007C0D9D">
        <w:rPr>
          <w:rFonts w:ascii="Times New Roman" w:hAnsi="Times New Roman" w:cs="Times New Roman"/>
          <w:sz w:val="24"/>
          <w:szCs w:val="24"/>
        </w:rPr>
        <w:t xml:space="preserve">As shown in Table </w:t>
      </w:r>
      <w:r w:rsidR="006C3AF1">
        <w:rPr>
          <w:rFonts w:ascii="Times New Roman" w:hAnsi="Times New Roman" w:cs="Times New Roman"/>
          <w:sz w:val="24"/>
          <w:szCs w:val="24"/>
        </w:rPr>
        <w:t>3</w:t>
      </w:r>
      <w:r w:rsidRPr="007C0D9D">
        <w:rPr>
          <w:rFonts w:ascii="Times New Roman" w:hAnsi="Times New Roman" w:cs="Times New Roman"/>
          <w:sz w:val="24"/>
          <w:szCs w:val="24"/>
        </w:rPr>
        <w:t>, the mean score of the corporate governance compliance index was</w:t>
      </w:r>
      <w:r w:rsidR="006C3AF1">
        <w:rPr>
          <w:rFonts w:ascii="Times New Roman" w:hAnsi="Times New Roman" w:cs="Times New Roman"/>
          <w:sz w:val="24"/>
          <w:szCs w:val="24"/>
        </w:rPr>
        <w:t xml:space="preserve"> 6.17</w:t>
      </w:r>
      <w:r w:rsidRPr="007C0D9D">
        <w:rPr>
          <w:rFonts w:ascii="Times New Roman" w:hAnsi="Times New Roman" w:cs="Times New Roman"/>
          <w:sz w:val="24"/>
          <w:szCs w:val="24"/>
        </w:rPr>
        <w:t xml:space="preserve"> with a range from 3 to 7.</w:t>
      </w:r>
    </w:p>
    <w:p w:rsidR="006C6A4F" w:rsidRDefault="006C6A4F" w:rsidP="003330C9">
      <w:pPr>
        <w:spacing w:after="0" w:line="360" w:lineRule="auto"/>
        <w:rPr>
          <w:rFonts w:ascii="Times New Roman" w:hAnsi="Times New Roman" w:cs="Times New Roman"/>
          <w:sz w:val="24"/>
          <w:szCs w:val="24"/>
        </w:rPr>
      </w:pPr>
    </w:p>
    <w:p w:rsidR="0075369F" w:rsidRDefault="0075369F"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Table 3: Descriptive statistics (Corporate governance compliance index)</w:t>
      </w:r>
    </w:p>
    <w:p w:rsidR="007C0D9D" w:rsidRDefault="007C0D9D" w:rsidP="003330C9">
      <w:pPr>
        <w:spacing w:after="0" w:line="360" w:lineRule="auto"/>
        <w:rPr>
          <w:rFonts w:ascii="Times New Roman" w:hAnsi="Times New Roman" w:cs="Times New Roman"/>
          <w:sz w:val="24"/>
          <w:szCs w:val="24"/>
        </w:rPr>
      </w:pPr>
    </w:p>
    <w:p w:rsidR="0075369F" w:rsidRDefault="0075369F" w:rsidP="003330C9">
      <w:pPr>
        <w:spacing w:after="0" w:line="360" w:lineRule="auto"/>
        <w:rPr>
          <w:rFonts w:ascii="Times New Roman" w:hAnsi="Times New Roman" w:cs="Times New Roman"/>
          <w:sz w:val="24"/>
          <w:szCs w:val="24"/>
        </w:rPr>
      </w:pPr>
      <w:r w:rsidRPr="0075369F">
        <w:rPr>
          <w:noProof/>
        </w:rPr>
        <w:lastRenderedPageBreak/>
        <w:drawing>
          <wp:inline distT="0" distB="0" distL="0" distR="0">
            <wp:extent cx="2413000" cy="344805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13000" cy="3448050"/>
                    </a:xfrm>
                    <a:prstGeom prst="rect">
                      <a:avLst/>
                    </a:prstGeom>
                    <a:noFill/>
                    <a:ln>
                      <a:noFill/>
                    </a:ln>
                  </pic:spPr>
                </pic:pic>
              </a:graphicData>
            </a:graphic>
          </wp:inline>
        </w:drawing>
      </w:r>
    </w:p>
    <w:p w:rsidR="00DB0E35" w:rsidRDefault="00DB0E35" w:rsidP="003330C9">
      <w:pPr>
        <w:spacing w:after="0" w:line="360" w:lineRule="auto"/>
        <w:rPr>
          <w:rFonts w:ascii="Times New Roman" w:hAnsi="Times New Roman" w:cs="Times New Roman"/>
          <w:sz w:val="24"/>
          <w:szCs w:val="24"/>
        </w:rPr>
      </w:pPr>
    </w:p>
    <w:p w:rsidR="007C0D9D" w:rsidRPr="00EA2A29" w:rsidRDefault="007C0D9D" w:rsidP="003330C9">
      <w:pPr>
        <w:spacing w:after="0" w:line="360" w:lineRule="auto"/>
        <w:rPr>
          <w:rFonts w:ascii="Times New Roman" w:hAnsi="Times New Roman" w:cs="Times New Roman"/>
          <w:sz w:val="24"/>
          <w:szCs w:val="24"/>
          <w:u w:val="single"/>
        </w:rPr>
      </w:pPr>
      <w:r w:rsidRPr="00EA2A29">
        <w:rPr>
          <w:rFonts w:ascii="Times New Roman" w:hAnsi="Times New Roman" w:cs="Times New Roman"/>
          <w:sz w:val="24"/>
          <w:szCs w:val="24"/>
          <w:u w:val="single"/>
        </w:rPr>
        <w:t>(ii) Descriptive statistics (Number of directors per board)</w:t>
      </w:r>
    </w:p>
    <w:p w:rsidR="007C0D9D" w:rsidRDefault="007C0D9D" w:rsidP="003330C9">
      <w:pPr>
        <w:spacing w:after="0" w:line="360" w:lineRule="auto"/>
        <w:rPr>
          <w:rFonts w:ascii="Times New Roman" w:hAnsi="Times New Roman" w:cs="Times New Roman"/>
          <w:sz w:val="24"/>
          <w:szCs w:val="24"/>
        </w:rPr>
      </w:pPr>
    </w:p>
    <w:p w:rsidR="004A650D" w:rsidRDefault="0075369F"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As shown in Table 4</w:t>
      </w:r>
      <w:r w:rsidR="004A650D">
        <w:rPr>
          <w:rFonts w:ascii="Times New Roman" w:hAnsi="Times New Roman" w:cs="Times New Roman"/>
          <w:sz w:val="24"/>
          <w:szCs w:val="24"/>
        </w:rPr>
        <w:t>, there were 9.86 directors (including executive directors, non-executive directors and INEDs) p</w:t>
      </w:r>
      <w:r w:rsidR="006C6A4F">
        <w:rPr>
          <w:rFonts w:ascii="Times New Roman" w:hAnsi="Times New Roman" w:cs="Times New Roman"/>
          <w:sz w:val="24"/>
          <w:szCs w:val="24"/>
        </w:rPr>
        <w:t>er board on average with a range</w:t>
      </w:r>
      <w:r w:rsidR="004A650D">
        <w:rPr>
          <w:rFonts w:ascii="Times New Roman" w:hAnsi="Times New Roman" w:cs="Times New Roman"/>
          <w:sz w:val="24"/>
          <w:szCs w:val="24"/>
        </w:rPr>
        <w:t xml:space="preserve"> from 5 to 18 directors during the latest financial year. </w:t>
      </w:r>
      <w:r w:rsidR="006C3AF1">
        <w:rPr>
          <w:rFonts w:ascii="Times New Roman" w:hAnsi="Times New Roman" w:cs="Times New Roman"/>
          <w:sz w:val="24"/>
          <w:szCs w:val="24"/>
        </w:rPr>
        <w:t>That is, t</w:t>
      </w:r>
      <w:r w:rsidR="004A650D">
        <w:rPr>
          <w:rFonts w:ascii="Times New Roman" w:hAnsi="Times New Roman" w:cs="Times New Roman"/>
          <w:sz w:val="24"/>
          <w:szCs w:val="24"/>
        </w:rPr>
        <w:t>he board size was about 10 directors per board.</w:t>
      </w:r>
    </w:p>
    <w:p w:rsidR="004A650D" w:rsidRDefault="004A650D" w:rsidP="003330C9">
      <w:pPr>
        <w:spacing w:after="0" w:line="360" w:lineRule="auto"/>
        <w:rPr>
          <w:rFonts w:ascii="Times New Roman" w:hAnsi="Times New Roman" w:cs="Times New Roman"/>
          <w:sz w:val="24"/>
          <w:szCs w:val="24"/>
        </w:rPr>
      </w:pPr>
    </w:p>
    <w:p w:rsidR="00916987" w:rsidRDefault="0075369F"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Table 4: Descriptive statistics (N</w:t>
      </w:r>
      <w:r w:rsidR="00DB5862">
        <w:rPr>
          <w:rFonts w:ascii="Times New Roman" w:hAnsi="Times New Roman" w:cs="Times New Roman"/>
          <w:sz w:val="24"/>
          <w:szCs w:val="24"/>
        </w:rPr>
        <w:t>umber of directors per board</w:t>
      </w:r>
      <w:r>
        <w:rPr>
          <w:rFonts w:ascii="Times New Roman" w:hAnsi="Times New Roman" w:cs="Times New Roman"/>
          <w:sz w:val="24"/>
          <w:szCs w:val="24"/>
        </w:rPr>
        <w:t>)</w:t>
      </w:r>
    </w:p>
    <w:p w:rsidR="00916987" w:rsidRDefault="00DB0E35" w:rsidP="003330C9">
      <w:pPr>
        <w:spacing w:after="0" w:line="360" w:lineRule="auto"/>
        <w:rPr>
          <w:rFonts w:ascii="Times New Roman" w:hAnsi="Times New Roman" w:cs="Times New Roman"/>
          <w:sz w:val="24"/>
          <w:szCs w:val="24"/>
        </w:rPr>
      </w:pPr>
      <w:r w:rsidRPr="00DB0E35">
        <w:rPr>
          <w:noProof/>
        </w:rPr>
        <w:drawing>
          <wp:inline distT="0" distB="0" distL="0" distR="0">
            <wp:extent cx="5731510" cy="2898833"/>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898833"/>
                    </a:xfrm>
                    <a:prstGeom prst="rect">
                      <a:avLst/>
                    </a:prstGeom>
                    <a:noFill/>
                    <a:ln>
                      <a:noFill/>
                    </a:ln>
                  </pic:spPr>
                </pic:pic>
              </a:graphicData>
            </a:graphic>
          </wp:inline>
        </w:drawing>
      </w:r>
    </w:p>
    <w:p w:rsidR="007B0887" w:rsidRDefault="007B0887" w:rsidP="003330C9">
      <w:pPr>
        <w:spacing w:after="0" w:line="360" w:lineRule="auto"/>
        <w:rPr>
          <w:rFonts w:ascii="Times New Roman" w:hAnsi="Times New Roman" w:cs="Times New Roman"/>
          <w:sz w:val="24"/>
          <w:szCs w:val="24"/>
        </w:rPr>
      </w:pPr>
    </w:p>
    <w:p w:rsidR="007C0D9D" w:rsidRPr="00EA2A29" w:rsidRDefault="007C0D9D" w:rsidP="003330C9">
      <w:pPr>
        <w:spacing w:after="0" w:line="360" w:lineRule="auto"/>
        <w:rPr>
          <w:rFonts w:ascii="Times New Roman" w:hAnsi="Times New Roman" w:cs="Times New Roman"/>
          <w:sz w:val="24"/>
          <w:szCs w:val="24"/>
          <w:u w:val="single"/>
        </w:rPr>
      </w:pPr>
      <w:r w:rsidRPr="00EA2A29">
        <w:rPr>
          <w:rFonts w:ascii="Times New Roman" w:hAnsi="Times New Roman" w:cs="Times New Roman"/>
          <w:sz w:val="24"/>
          <w:szCs w:val="24"/>
          <w:u w:val="single"/>
        </w:rPr>
        <w:lastRenderedPageBreak/>
        <w:t>(iii) Descriptive statistics (Number and proportion of INEDs per board)</w:t>
      </w:r>
    </w:p>
    <w:p w:rsidR="004A650D" w:rsidRDefault="004A650D" w:rsidP="003330C9">
      <w:pPr>
        <w:spacing w:after="0" w:line="360" w:lineRule="auto"/>
        <w:rPr>
          <w:rFonts w:ascii="Times New Roman" w:hAnsi="Times New Roman" w:cs="Times New Roman"/>
          <w:sz w:val="24"/>
          <w:szCs w:val="24"/>
        </w:rPr>
      </w:pPr>
    </w:p>
    <w:p w:rsidR="004A650D" w:rsidRDefault="0075369F"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As shown in Table 5</w:t>
      </w:r>
      <w:r w:rsidR="004A650D">
        <w:rPr>
          <w:rFonts w:ascii="Times New Roman" w:hAnsi="Times New Roman" w:cs="Times New Roman"/>
          <w:sz w:val="24"/>
          <w:szCs w:val="24"/>
        </w:rPr>
        <w:t>, there were 4.06 INEDs p</w:t>
      </w:r>
      <w:r w:rsidR="006C6A4F">
        <w:rPr>
          <w:rFonts w:ascii="Times New Roman" w:hAnsi="Times New Roman" w:cs="Times New Roman"/>
          <w:sz w:val="24"/>
          <w:szCs w:val="24"/>
        </w:rPr>
        <w:t>er board on average with a range</w:t>
      </w:r>
      <w:r w:rsidR="004A650D">
        <w:rPr>
          <w:rFonts w:ascii="Times New Roman" w:hAnsi="Times New Roman" w:cs="Times New Roman"/>
          <w:sz w:val="24"/>
          <w:szCs w:val="24"/>
        </w:rPr>
        <w:t xml:space="preserve"> from 3 to 8 INEDs during the latest financial year. In addition, the proportion of INEDs per board on average was 41.18%. That is, the majority board members were not INEDs. </w:t>
      </w:r>
    </w:p>
    <w:p w:rsidR="00FD2EA6" w:rsidRDefault="00FD2EA6" w:rsidP="003330C9">
      <w:pPr>
        <w:spacing w:after="0" w:line="360" w:lineRule="auto"/>
        <w:rPr>
          <w:rFonts w:ascii="Times New Roman" w:hAnsi="Times New Roman" w:cs="Times New Roman"/>
          <w:sz w:val="24"/>
          <w:szCs w:val="24"/>
        </w:rPr>
      </w:pPr>
    </w:p>
    <w:p w:rsidR="00F66217" w:rsidRDefault="0075369F"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Table 5: Descriptive statistics (N</w:t>
      </w:r>
      <w:r w:rsidR="00DB5862">
        <w:rPr>
          <w:rFonts w:ascii="Times New Roman" w:hAnsi="Times New Roman" w:cs="Times New Roman"/>
          <w:sz w:val="24"/>
          <w:szCs w:val="24"/>
        </w:rPr>
        <w:t>umber and proportion of INEDs per board</w:t>
      </w:r>
      <w:r>
        <w:rPr>
          <w:rFonts w:ascii="Times New Roman" w:hAnsi="Times New Roman" w:cs="Times New Roman"/>
          <w:sz w:val="24"/>
          <w:szCs w:val="24"/>
        </w:rPr>
        <w:t>)</w:t>
      </w:r>
    </w:p>
    <w:p w:rsidR="00F66217" w:rsidRDefault="00DB0E35" w:rsidP="003330C9">
      <w:pPr>
        <w:spacing w:after="0" w:line="360" w:lineRule="auto"/>
        <w:rPr>
          <w:rFonts w:ascii="Times New Roman" w:hAnsi="Times New Roman" w:cs="Times New Roman"/>
          <w:sz w:val="24"/>
          <w:szCs w:val="24"/>
        </w:rPr>
      </w:pPr>
      <w:r w:rsidRPr="00DB0E35">
        <w:rPr>
          <w:noProof/>
        </w:rPr>
        <w:drawing>
          <wp:inline distT="0" distB="0" distL="0" distR="0">
            <wp:extent cx="5731510" cy="2012081"/>
            <wp:effectExtent l="0" t="0" r="254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012081"/>
                    </a:xfrm>
                    <a:prstGeom prst="rect">
                      <a:avLst/>
                    </a:prstGeom>
                    <a:noFill/>
                    <a:ln>
                      <a:noFill/>
                    </a:ln>
                  </pic:spPr>
                </pic:pic>
              </a:graphicData>
            </a:graphic>
          </wp:inline>
        </w:drawing>
      </w:r>
    </w:p>
    <w:p w:rsidR="00870B1A" w:rsidRDefault="00870B1A" w:rsidP="003330C9">
      <w:pPr>
        <w:spacing w:after="0" w:line="360" w:lineRule="auto"/>
        <w:rPr>
          <w:rFonts w:ascii="Times New Roman" w:hAnsi="Times New Roman" w:cs="Times New Roman"/>
          <w:sz w:val="24"/>
          <w:szCs w:val="24"/>
        </w:rPr>
      </w:pPr>
    </w:p>
    <w:p w:rsidR="007C0D9D" w:rsidRPr="00EA2A29" w:rsidRDefault="007C0D9D" w:rsidP="003330C9">
      <w:pPr>
        <w:spacing w:after="0" w:line="360" w:lineRule="auto"/>
        <w:rPr>
          <w:rFonts w:ascii="Times New Roman" w:hAnsi="Times New Roman" w:cs="Times New Roman"/>
          <w:sz w:val="24"/>
          <w:szCs w:val="24"/>
          <w:u w:val="single"/>
        </w:rPr>
      </w:pPr>
      <w:r w:rsidRPr="00EA2A29">
        <w:rPr>
          <w:rFonts w:ascii="Times New Roman" w:hAnsi="Times New Roman" w:cs="Times New Roman"/>
          <w:sz w:val="24"/>
          <w:szCs w:val="24"/>
          <w:u w:val="single"/>
        </w:rPr>
        <w:t>(iv) Descriptive statistics (Chairman to be chief executive)</w:t>
      </w:r>
    </w:p>
    <w:p w:rsidR="007C0D9D" w:rsidRDefault="007C0D9D" w:rsidP="003330C9">
      <w:pPr>
        <w:spacing w:after="0" w:line="360" w:lineRule="auto"/>
        <w:rPr>
          <w:rFonts w:ascii="Times New Roman" w:hAnsi="Times New Roman" w:cs="Times New Roman"/>
          <w:sz w:val="24"/>
          <w:szCs w:val="24"/>
        </w:rPr>
      </w:pPr>
    </w:p>
    <w:p w:rsidR="00F66217" w:rsidRDefault="00474E00"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Based on the information provided in the </w:t>
      </w:r>
      <w:r w:rsidR="00853406">
        <w:rPr>
          <w:rFonts w:ascii="Times New Roman" w:hAnsi="Times New Roman" w:cs="Times New Roman"/>
          <w:sz w:val="24"/>
          <w:szCs w:val="24"/>
        </w:rPr>
        <w:t>corporate governance r</w:t>
      </w:r>
      <w:r>
        <w:rPr>
          <w:rFonts w:ascii="Times New Roman" w:hAnsi="Times New Roman" w:cs="Times New Roman"/>
          <w:sz w:val="24"/>
          <w:szCs w:val="24"/>
        </w:rPr>
        <w:t>eport</w:t>
      </w:r>
      <w:r w:rsidR="00853406">
        <w:rPr>
          <w:rFonts w:ascii="Times New Roman" w:hAnsi="Times New Roman" w:cs="Times New Roman"/>
          <w:sz w:val="24"/>
          <w:szCs w:val="24"/>
        </w:rPr>
        <w:t>s</w:t>
      </w:r>
      <w:r>
        <w:rPr>
          <w:rFonts w:ascii="Times New Roman" w:hAnsi="Times New Roman" w:cs="Times New Roman"/>
          <w:sz w:val="24"/>
          <w:szCs w:val="24"/>
        </w:rPr>
        <w:t xml:space="preserve"> in the latest financial report</w:t>
      </w:r>
      <w:r w:rsidR="00853406">
        <w:rPr>
          <w:rFonts w:ascii="Times New Roman" w:hAnsi="Times New Roman" w:cs="Times New Roman"/>
          <w:sz w:val="24"/>
          <w:szCs w:val="24"/>
        </w:rPr>
        <w:t xml:space="preserve">s </w:t>
      </w:r>
      <w:r w:rsidR="00F66217">
        <w:rPr>
          <w:rFonts w:ascii="Times New Roman" w:hAnsi="Times New Roman" w:cs="Times New Roman"/>
          <w:sz w:val="24"/>
          <w:szCs w:val="24"/>
        </w:rPr>
        <w:t xml:space="preserve">of </w:t>
      </w:r>
      <w:r w:rsidR="00853406">
        <w:rPr>
          <w:rFonts w:ascii="Times New Roman" w:hAnsi="Times New Roman" w:cs="Times New Roman"/>
          <w:sz w:val="24"/>
          <w:szCs w:val="24"/>
        </w:rPr>
        <w:t xml:space="preserve">the </w:t>
      </w:r>
      <w:r w:rsidR="00F66217">
        <w:rPr>
          <w:rFonts w:ascii="Times New Roman" w:hAnsi="Times New Roman" w:cs="Times New Roman"/>
          <w:sz w:val="24"/>
          <w:szCs w:val="24"/>
        </w:rPr>
        <w:t xml:space="preserve">36 sample </w:t>
      </w:r>
      <w:r w:rsidR="00F26F80">
        <w:rPr>
          <w:rFonts w:ascii="Times New Roman" w:hAnsi="Times New Roman" w:cs="Times New Roman"/>
          <w:sz w:val="24"/>
          <w:szCs w:val="24"/>
        </w:rPr>
        <w:t xml:space="preserve">listed </w:t>
      </w:r>
      <w:r w:rsidR="00F66217">
        <w:rPr>
          <w:rFonts w:ascii="Times New Roman" w:hAnsi="Times New Roman" w:cs="Times New Roman"/>
          <w:sz w:val="24"/>
          <w:szCs w:val="24"/>
        </w:rPr>
        <w:t xml:space="preserve">companies, there are 14 companies in which the roles of chairman and chief executive </w:t>
      </w:r>
      <w:r w:rsidR="00F26F80">
        <w:rPr>
          <w:rFonts w:ascii="Times New Roman" w:hAnsi="Times New Roman" w:cs="Times New Roman"/>
          <w:sz w:val="24"/>
          <w:szCs w:val="24"/>
        </w:rPr>
        <w:t>were performed by the sa</w:t>
      </w:r>
      <w:r w:rsidR="00853406">
        <w:rPr>
          <w:rFonts w:ascii="Times New Roman" w:hAnsi="Times New Roman" w:cs="Times New Roman"/>
          <w:sz w:val="24"/>
          <w:szCs w:val="24"/>
        </w:rPr>
        <w:t>me individual.</w:t>
      </w:r>
    </w:p>
    <w:p w:rsidR="007C0D9D" w:rsidRDefault="007C0D9D" w:rsidP="003330C9">
      <w:pPr>
        <w:spacing w:after="0" w:line="360" w:lineRule="auto"/>
        <w:rPr>
          <w:rFonts w:ascii="Times New Roman" w:hAnsi="Times New Roman" w:cs="Times New Roman"/>
          <w:sz w:val="24"/>
          <w:szCs w:val="24"/>
        </w:rPr>
      </w:pPr>
    </w:p>
    <w:p w:rsidR="007C0D9D" w:rsidRPr="009F3EC2" w:rsidRDefault="007C0D9D" w:rsidP="003330C9">
      <w:pPr>
        <w:spacing w:after="0" w:line="360" w:lineRule="auto"/>
        <w:rPr>
          <w:rFonts w:ascii="Times New Roman" w:hAnsi="Times New Roman" w:cs="Times New Roman"/>
          <w:sz w:val="24"/>
          <w:szCs w:val="24"/>
          <w:u w:val="single"/>
        </w:rPr>
      </w:pPr>
      <w:r w:rsidRPr="009F3EC2">
        <w:rPr>
          <w:rFonts w:ascii="Times New Roman" w:hAnsi="Times New Roman" w:cs="Times New Roman"/>
          <w:sz w:val="24"/>
          <w:szCs w:val="24"/>
          <w:u w:val="single"/>
        </w:rPr>
        <w:t>(v) Descriptive statistics (Chairman to be an INED)</w:t>
      </w:r>
    </w:p>
    <w:p w:rsidR="007C0D9D" w:rsidRDefault="007C0D9D" w:rsidP="003330C9">
      <w:pPr>
        <w:spacing w:after="0" w:line="360" w:lineRule="auto"/>
        <w:rPr>
          <w:rFonts w:ascii="Times New Roman" w:hAnsi="Times New Roman" w:cs="Times New Roman"/>
          <w:sz w:val="24"/>
          <w:szCs w:val="24"/>
        </w:rPr>
      </w:pPr>
    </w:p>
    <w:p w:rsidR="00F26F80" w:rsidRDefault="00853406"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Based on the information provided in the corporate governance reports in the latest financial reports of the 36 sample listed companies,</w:t>
      </w:r>
      <w:r w:rsidR="00F26F80">
        <w:rPr>
          <w:rFonts w:ascii="Times New Roman" w:hAnsi="Times New Roman" w:cs="Times New Roman"/>
          <w:sz w:val="24"/>
          <w:szCs w:val="24"/>
        </w:rPr>
        <w:t xml:space="preserve"> there are 2 companies in which the chairman was an independent non-executive director during the latest financial year.</w:t>
      </w:r>
    </w:p>
    <w:p w:rsidR="007C0D9D" w:rsidRDefault="007C0D9D" w:rsidP="003330C9">
      <w:pPr>
        <w:spacing w:after="0" w:line="360" w:lineRule="auto"/>
        <w:rPr>
          <w:rFonts w:ascii="Times New Roman" w:hAnsi="Times New Roman" w:cs="Times New Roman"/>
          <w:sz w:val="24"/>
          <w:szCs w:val="24"/>
        </w:rPr>
      </w:pPr>
    </w:p>
    <w:p w:rsidR="007C0D9D" w:rsidRPr="009F3EC2" w:rsidRDefault="007C0D9D" w:rsidP="003330C9">
      <w:pPr>
        <w:spacing w:after="0" w:line="360" w:lineRule="auto"/>
        <w:rPr>
          <w:rFonts w:ascii="Times New Roman" w:hAnsi="Times New Roman" w:cs="Times New Roman"/>
          <w:sz w:val="24"/>
          <w:szCs w:val="24"/>
          <w:u w:val="single"/>
        </w:rPr>
      </w:pPr>
      <w:r w:rsidRPr="009F3EC2">
        <w:rPr>
          <w:rFonts w:ascii="Times New Roman" w:hAnsi="Times New Roman" w:cs="Times New Roman"/>
          <w:sz w:val="24"/>
          <w:szCs w:val="24"/>
          <w:u w:val="single"/>
        </w:rPr>
        <w:t>(vi) Descriptive statistics (Top five code provision non-compliance rate)</w:t>
      </w:r>
    </w:p>
    <w:p w:rsidR="00F26F80" w:rsidRDefault="00F26F80" w:rsidP="003330C9">
      <w:pPr>
        <w:spacing w:after="0" w:line="360" w:lineRule="auto"/>
        <w:rPr>
          <w:rFonts w:ascii="Times New Roman" w:hAnsi="Times New Roman" w:cs="Times New Roman"/>
          <w:sz w:val="24"/>
          <w:szCs w:val="24"/>
        </w:rPr>
      </w:pPr>
    </w:p>
    <w:p w:rsidR="004A650D" w:rsidRDefault="0075369F"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As shown in Table 6</w:t>
      </w:r>
      <w:r w:rsidR="004A650D">
        <w:rPr>
          <w:rFonts w:ascii="Times New Roman" w:hAnsi="Times New Roman" w:cs="Times New Roman"/>
          <w:sz w:val="24"/>
          <w:szCs w:val="24"/>
        </w:rPr>
        <w:t xml:space="preserve">, the highest code provision non-compliance was A2.1. 14 of the 36 sample listed companies (i.e. 39% of the samples), the roles of chairman and chief executive were performed by the same individual. Generally speaking, the most common reason for departure from code provision A.2.1 was that vesting the roles of chairman and chief </w:t>
      </w:r>
      <w:r w:rsidR="004A650D">
        <w:rPr>
          <w:rFonts w:ascii="Times New Roman" w:hAnsi="Times New Roman" w:cs="Times New Roman"/>
          <w:sz w:val="24"/>
          <w:szCs w:val="24"/>
        </w:rPr>
        <w:lastRenderedPageBreak/>
        <w:t xml:space="preserve">executive by the same individual provided the companies with strong and consistent leadership as well as allowed for more effective formulation and implementation of business strategies. </w:t>
      </w:r>
    </w:p>
    <w:p w:rsidR="007C0D9D" w:rsidRDefault="007C0D9D" w:rsidP="003330C9">
      <w:pPr>
        <w:spacing w:after="0" w:line="360" w:lineRule="auto"/>
        <w:rPr>
          <w:rFonts w:ascii="Times New Roman" w:hAnsi="Times New Roman" w:cs="Times New Roman"/>
          <w:sz w:val="24"/>
          <w:szCs w:val="24"/>
        </w:rPr>
      </w:pPr>
    </w:p>
    <w:p w:rsidR="003A6A34" w:rsidRDefault="0075369F"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Table 6</w:t>
      </w:r>
      <w:r w:rsidR="00853406">
        <w:rPr>
          <w:rFonts w:ascii="Times New Roman" w:hAnsi="Times New Roman" w:cs="Times New Roman"/>
          <w:sz w:val="24"/>
          <w:szCs w:val="24"/>
        </w:rPr>
        <w:t xml:space="preserve">: </w:t>
      </w:r>
      <w:r w:rsidR="007C0D9D">
        <w:rPr>
          <w:rFonts w:ascii="Times New Roman" w:hAnsi="Times New Roman" w:cs="Times New Roman"/>
          <w:sz w:val="24"/>
          <w:szCs w:val="24"/>
        </w:rPr>
        <w:t>Descriptive statistics (</w:t>
      </w:r>
      <w:r w:rsidR="00853406">
        <w:rPr>
          <w:rFonts w:ascii="Times New Roman" w:hAnsi="Times New Roman" w:cs="Times New Roman"/>
          <w:sz w:val="24"/>
          <w:szCs w:val="24"/>
        </w:rPr>
        <w:t>Top five code provision non-compliance rate</w:t>
      </w:r>
      <w:r w:rsidR="00B67895">
        <w:rPr>
          <w:rFonts w:ascii="Times New Roman" w:hAnsi="Times New Roman" w:cs="Times New Roman"/>
          <w:sz w:val="24"/>
          <w:szCs w:val="24"/>
        </w:rPr>
        <w:t>s</w:t>
      </w:r>
      <w:r w:rsidR="007C0D9D">
        <w:rPr>
          <w:rFonts w:ascii="Times New Roman" w:hAnsi="Times New Roman" w:cs="Times New Roman"/>
          <w:sz w:val="24"/>
          <w:szCs w:val="24"/>
        </w:rPr>
        <w:t>)</w:t>
      </w:r>
    </w:p>
    <w:p w:rsidR="003A6A34" w:rsidRDefault="00B67895" w:rsidP="003330C9">
      <w:pPr>
        <w:spacing w:after="0" w:line="360" w:lineRule="auto"/>
        <w:rPr>
          <w:rFonts w:ascii="Times New Roman" w:hAnsi="Times New Roman" w:cs="Times New Roman"/>
          <w:sz w:val="24"/>
          <w:szCs w:val="24"/>
        </w:rPr>
      </w:pPr>
      <w:r w:rsidRPr="00B67895">
        <w:rPr>
          <w:noProof/>
        </w:rPr>
        <w:drawing>
          <wp:inline distT="0" distB="0" distL="0" distR="0">
            <wp:extent cx="5731510" cy="275149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751490"/>
                    </a:xfrm>
                    <a:prstGeom prst="rect">
                      <a:avLst/>
                    </a:prstGeom>
                    <a:noFill/>
                    <a:ln>
                      <a:noFill/>
                    </a:ln>
                  </pic:spPr>
                </pic:pic>
              </a:graphicData>
            </a:graphic>
          </wp:inline>
        </w:drawing>
      </w:r>
    </w:p>
    <w:p w:rsidR="003A6A34" w:rsidRDefault="003A6A34" w:rsidP="003330C9">
      <w:pPr>
        <w:spacing w:after="0" w:line="360" w:lineRule="auto"/>
        <w:rPr>
          <w:rFonts w:ascii="Times New Roman" w:hAnsi="Times New Roman" w:cs="Times New Roman"/>
          <w:sz w:val="24"/>
          <w:szCs w:val="24"/>
        </w:rPr>
      </w:pPr>
    </w:p>
    <w:p w:rsidR="000504DD" w:rsidRPr="009F3EC2" w:rsidRDefault="007C0D9D" w:rsidP="003330C9">
      <w:pPr>
        <w:spacing w:after="0" w:line="360" w:lineRule="auto"/>
        <w:rPr>
          <w:rFonts w:ascii="Times New Roman" w:hAnsi="Times New Roman" w:cs="Times New Roman"/>
          <w:sz w:val="24"/>
          <w:szCs w:val="24"/>
          <w:u w:val="single"/>
        </w:rPr>
      </w:pPr>
      <w:r w:rsidRPr="009F3EC2">
        <w:rPr>
          <w:rFonts w:ascii="Times New Roman" w:hAnsi="Times New Roman" w:cs="Times New Roman"/>
          <w:sz w:val="24"/>
          <w:szCs w:val="24"/>
          <w:u w:val="single"/>
        </w:rPr>
        <w:t xml:space="preserve">(vii) Inferential statistics - </w:t>
      </w:r>
      <w:r w:rsidR="000504DD" w:rsidRPr="009F3EC2">
        <w:rPr>
          <w:rFonts w:ascii="Times New Roman" w:hAnsi="Times New Roman" w:cs="Times New Roman"/>
          <w:sz w:val="24"/>
          <w:szCs w:val="24"/>
          <w:u w:val="single"/>
        </w:rPr>
        <w:t>Coefficient of correlation analysis</w:t>
      </w:r>
      <w:r w:rsidRPr="009F3EC2">
        <w:rPr>
          <w:rFonts w:ascii="Times New Roman" w:hAnsi="Times New Roman" w:cs="Times New Roman"/>
          <w:sz w:val="24"/>
          <w:szCs w:val="24"/>
          <w:u w:val="single"/>
        </w:rPr>
        <w:t xml:space="preserve"> </w:t>
      </w:r>
      <w:r w:rsidR="00A40919" w:rsidRPr="009F3EC2">
        <w:rPr>
          <w:rFonts w:ascii="Times New Roman" w:hAnsi="Times New Roman" w:cs="Times New Roman"/>
          <w:sz w:val="24"/>
          <w:szCs w:val="24"/>
          <w:u w:val="single"/>
        </w:rPr>
        <w:t xml:space="preserve">related to </w:t>
      </w:r>
      <w:r w:rsidRPr="009F3EC2">
        <w:rPr>
          <w:rFonts w:ascii="Times New Roman" w:hAnsi="Times New Roman" w:cs="Times New Roman"/>
          <w:sz w:val="24"/>
          <w:szCs w:val="24"/>
          <w:u w:val="single"/>
        </w:rPr>
        <w:t xml:space="preserve">Research Question </w:t>
      </w:r>
      <w:r w:rsidR="00A40919" w:rsidRPr="009F3EC2">
        <w:rPr>
          <w:rFonts w:ascii="Times New Roman" w:hAnsi="Times New Roman" w:cs="Times New Roman"/>
          <w:sz w:val="24"/>
          <w:szCs w:val="24"/>
          <w:u w:val="single"/>
        </w:rPr>
        <w:t>1</w:t>
      </w:r>
    </w:p>
    <w:p w:rsidR="000504DD" w:rsidRDefault="000504DD" w:rsidP="003330C9">
      <w:pPr>
        <w:spacing w:after="0" w:line="360" w:lineRule="auto"/>
        <w:rPr>
          <w:rFonts w:ascii="Times New Roman" w:hAnsi="Times New Roman" w:cs="Times New Roman"/>
          <w:sz w:val="24"/>
          <w:szCs w:val="24"/>
        </w:rPr>
      </w:pPr>
    </w:p>
    <w:p w:rsidR="000504DD" w:rsidRDefault="000504DD"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As shown in Table </w:t>
      </w:r>
      <w:r w:rsidR="0075369F">
        <w:rPr>
          <w:rFonts w:ascii="Times New Roman" w:hAnsi="Times New Roman" w:cs="Times New Roman"/>
          <w:sz w:val="24"/>
          <w:szCs w:val="24"/>
        </w:rPr>
        <w:t>7</w:t>
      </w:r>
      <w:r>
        <w:rPr>
          <w:rFonts w:ascii="Times New Roman" w:hAnsi="Times New Roman" w:cs="Times New Roman"/>
          <w:sz w:val="24"/>
          <w:szCs w:val="24"/>
        </w:rPr>
        <w:t>, the coefficient o</w:t>
      </w:r>
      <w:r w:rsidR="00707469">
        <w:rPr>
          <w:rFonts w:ascii="Times New Roman" w:hAnsi="Times New Roman" w:cs="Times New Roman"/>
          <w:sz w:val="24"/>
          <w:szCs w:val="24"/>
        </w:rPr>
        <w:t>f correlation (r) is 0.68</w:t>
      </w:r>
      <w:r>
        <w:rPr>
          <w:rFonts w:ascii="Times New Roman" w:hAnsi="Times New Roman" w:cs="Times New Roman"/>
          <w:sz w:val="24"/>
          <w:szCs w:val="24"/>
        </w:rPr>
        <w:t xml:space="preserve"> which is closer to +1 and the coefficient of determination (r</w:t>
      </w:r>
      <w:r w:rsidRPr="001C6BC8">
        <w:rPr>
          <w:rFonts w:ascii="Times New Roman" w:hAnsi="Times New Roman" w:cs="Times New Roman"/>
          <w:sz w:val="24"/>
          <w:szCs w:val="24"/>
          <w:vertAlign w:val="superscript"/>
        </w:rPr>
        <w:t>2</w:t>
      </w:r>
      <w:r w:rsidR="00707469">
        <w:rPr>
          <w:rFonts w:ascii="Times New Roman" w:hAnsi="Times New Roman" w:cs="Times New Roman"/>
          <w:sz w:val="24"/>
          <w:szCs w:val="24"/>
        </w:rPr>
        <w:t>) is 0.4</w:t>
      </w:r>
      <w:r w:rsidR="004847C5">
        <w:rPr>
          <w:rFonts w:ascii="Times New Roman" w:hAnsi="Times New Roman" w:cs="Times New Roman"/>
          <w:sz w:val="24"/>
          <w:szCs w:val="24"/>
        </w:rPr>
        <w:t>7</w:t>
      </w:r>
      <w:r>
        <w:rPr>
          <w:rFonts w:ascii="Times New Roman" w:hAnsi="Times New Roman" w:cs="Times New Roman"/>
          <w:sz w:val="24"/>
          <w:szCs w:val="24"/>
        </w:rPr>
        <w:t xml:space="preserve">. </w:t>
      </w:r>
      <w:r w:rsidR="00EB37B6">
        <w:rPr>
          <w:rFonts w:ascii="Times New Roman" w:hAnsi="Times New Roman" w:cs="Times New Roman"/>
          <w:sz w:val="24"/>
          <w:szCs w:val="24"/>
        </w:rPr>
        <w:t>The coefficient of correlation (r)</w:t>
      </w:r>
      <w:r>
        <w:rPr>
          <w:rFonts w:ascii="Times New Roman" w:hAnsi="Times New Roman" w:cs="Times New Roman"/>
          <w:sz w:val="24"/>
          <w:szCs w:val="24"/>
        </w:rPr>
        <w:t xml:space="preserve"> indicates that there is strong positive relationship between the dependent variable (corporate governance compliance index) and independent variabl</w:t>
      </w:r>
      <w:r w:rsidR="00D90CC6">
        <w:rPr>
          <w:rFonts w:ascii="Times New Roman" w:hAnsi="Times New Roman" w:cs="Times New Roman"/>
          <w:sz w:val="24"/>
          <w:szCs w:val="24"/>
        </w:rPr>
        <w:t>es (proportion of INEDs</w:t>
      </w:r>
      <w:r>
        <w:rPr>
          <w:rFonts w:ascii="Times New Roman" w:hAnsi="Times New Roman" w:cs="Times New Roman"/>
          <w:sz w:val="24"/>
          <w:szCs w:val="24"/>
        </w:rPr>
        <w:t>, whether the roles of INEDs to be performed by the same individual and whether Chairman to be an INED).</w:t>
      </w:r>
    </w:p>
    <w:p w:rsidR="000504DD" w:rsidRDefault="000504DD" w:rsidP="003330C9">
      <w:pPr>
        <w:spacing w:after="0" w:line="360" w:lineRule="auto"/>
        <w:rPr>
          <w:rFonts w:ascii="Times New Roman" w:hAnsi="Times New Roman" w:cs="Times New Roman"/>
          <w:sz w:val="24"/>
          <w:szCs w:val="24"/>
        </w:rPr>
      </w:pPr>
    </w:p>
    <w:p w:rsidR="000504DD" w:rsidRDefault="000504DD"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To test the coefficient of correlation, we construct the following hypotheses:</w:t>
      </w:r>
    </w:p>
    <w:p w:rsidR="000504DD" w:rsidRDefault="000504DD" w:rsidP="003330C9">
      <w:pPr>
        <w:spacing w:after="0" w:line="360" w:lineRule="auto"/>
        <w:rPr>
          <w:rFonts w:ascii="Times New Roman" w:hAnsi="Times New Roman" w:cs="Times New Roman"/>
          <w:sz w:val="24"/>
          <w:szCs w:val="24"/>
        </w:rPr>
      </w:pPr>
    </w:p>
    <w:p w:rsidR="000504DD" w:rsidRDefault="000504DD"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H</w:t>
      </w:r>
      <w:r w:rsidRPr="00CC69F3">
        <w:rPr>
          <w:rFonts w:ascii="Times New Roman" w:hAnsi="Times New Roman" w:cs="Times New Roman"/>
          <w:sz w:val="24"/>
          <w:szCs w:val="24"/>
          <w:vertAlign w:val="subscript"/>
        </w:rPr>
        <w:t>0</w:t>
      </w:r>
      <w:r>
        <w:rPr>
          <w:rFonts w:ascii="Times New Roman" w:hAnsi="Times New Roman" w:cs="Times New Roman"/>
          <w:sz w:val="24"/>
          <w:szCs w:val="24"/>
        </w:rPr>
        <w:t>: ρ</w:t>
      </w:r>
      <w:r w:rsidRPr="000504DD">
        <w:rPr>
          <w:rFonts w:ascii="Times New Roman" w:hAnsi="Times New Roman" w:cs="Times New Roman"/>
          <w:sz w:val="24"/>
          <w:szCs w:val="24"/>
          <w:vertAlign w:val="subscript"/>
        </w:rPr>
        <w:t>1</w:t>
      </w:r>
      <w:r>
        <w:rPr>
          <w:rFonts w:ascii="Times New Roman" w:hAnsi="Times New Roman" w:cs="Times New Roman"/>
          <w:sz w:val="24"/>
          <w:szCs w:val="24"/>
        </w:rPr>
        <w:t xml:space="preserve"> = ρ</w:t>
      </w:r>
      <w:r w:rsidRPr="000504DD">
        <w:rPr>
          <w:rFonts w:ascii="Times New Roman" w:hAnsi="Times New Roman" w:cs="Times New Roman"/>
          <w:sz w:val="24"/>
          <w:szCs w:val="24"/>
          <w:vertAlign w:val="subscript"/>
        </w:rPr>
        <w:t>2</w:t>
      </w:r>
      <w:r>
        <w:rPr>
          <w:rFonts w:ascii="Times New Roman" w:hAnsi="Times New Roman" w:cs="Times New Roman"/>
          <w:sz w:val="24"/>
          <w:szCs w:val="24"/>
        </w:rPr>
        <w:t xml:space="preserve"> = ρ</w:t>
      </w:r>
      <w:r w:rsidRPr="000504DD">
        <w:rPr>
          <w:rFonts w:ascii="Times New Roman" w:hAnsi="Times New Roman" w:cs="Times New Roman"/>
          <w:sz w:val="24"/>
          <w:szCs w:val="24"/>
          <w:vertAlign w:val="subscript"/>
        </w:rPr>
        <w:t>3</w:t>
      </w:r>
      <w:r>
        <w:rPr>
          <w:rFonts w:ascii="Times New Roman" w:hAnsi="Times New Roman" w:cs="Times New Roman"/>
          <w:sz w:val="24"/>
          <w:szCs w:val="24"/>
        </w:rPr>
        <w:t xml:space="preserve"> = 0</w:t>
      </w:r>
    </w:p>
    <w:p w:rsidR="000504DD" w:rsidRDefault="000504DD"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H</w:t>
      </w:r>
      <w:r w:rsidRPr="00CC69F3">
        <w:rPr>
          <w:rFonts w:ascii="Times New Roman" w:hAnsi="Times New Roman" w:cs="Times New Roman"/>
          <w:sz w:val="24"/>
          <w:szCs w:val="24"/>
          <w:vertAlign w:val="subscript"/>
        </w:rPr>
        <w:t>1</w:t>
      </w:r>
      <w:r>
        <w:rPr>
          <w:rFonts w:ascii="Times New Roman" w:hAnsi="Times New Roman" w:cs="Times New Roman"/>
          <w:sz w:val="24"/>
          <w:szCs w:val="24"/>
        </w:rPr>
        <w:t>: At least one ρ is not equal to 0</w:t>
      </w:r>
    </w:p>
    <w:p w:rsidR="000504DD" w:rsidRDefault="000504DD" w:rsidP="003330C9">
      <w:pPr>
        <w:spacing w:after="0" w:line="360" w:lineRule="auto"/>
        <w:rPr>
          <w:rFonts w:ascii="Times New Roman" w:hAnsi="Times New Roman" w:cs="Times New Roman"/>
          <w:sz w:val="24"/>
          <w:szCs w:val="24"/>
        </w:rPr>
      </w:pPr>
    </w:p>
    <w:p w:rsidR="000504DD" w:rsidRDefault="000504DD"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As the p-value for coefficie</w:t>
      </w:r>
      <w:r w:rsidR="004847C5">
        <w:rPr>
          <w:rFonts w:ascii="Times New Roman" w:hAnsi="Times New Roman" w:cs="Times New Roman"/>
          <w:sz w:val="24"/>
          <w:szCs w:val="24"/>
        </w:rPr>
        <w:t>nt of correlation is 0.000143699</w:t>
      </w:r>
      <w:r>
        <w:rPr>
          <w:rFonts w:ascii="Times New Roman" w:hAnsi="Times New Roman" w:cs="Times New Roman"/>
          <w:sz w:val="24"/>
          <w:szCs w:val="24"/>
        </w:rPr>
        <w:t xml:space="preserve">, which is smaller than </w:t>
      </w:r>
      <w:r w:rsidR="00707469">
        <w:rPr>
          <w:rFonts w:ascii="Times New Roman" w:hAnsi="Times New Roman" w:cs="Times New Roman"/>
          <w:sz w:val="24"/>
          <w:szCs w:val="24"/>
        </w:rPr>
        <w:t xml:space="preserve">the </w:t>
      </w:r>
      <w:r>
        <w:rPr>
          <w:rFonts w:ascii="Times New Roman" w:hAnsi="Times New Roman" w:cs="Times New Roman"/>
          <w:sz w:val="24"/>
          <w:szCs w:val="24"/>
        </w:rPr>
        <w:t>alpha (α) of 0.05, we reject H</w:t>
      </w:r>
      <w:r w:rsidRPr="00CD5049">
        <w:rPr>
          <w:rFonts w:ascii="Times New Roman" w:hAnsi="Times New Roman" w:cs="Times New Roman"/>
          <w:sz w:val="24"/>
          <w:szCs w:val="24"/>
          <w:vertAlign w:val="subscript"/>
        </w:rPr>
        <w:t>0</w:t>
      </w:r>
      <w:r>
        <w:rPr>
          <w:rFonts w:ascii="Times New Roman" w:hAnsi="Times New Roman" w:cs="Times New Roman"/>
          <w:sz w:val="24"/>
          <w:szCs w:val="24"/>
        </w:rPr>
        <w:t>. The result is statistically significant</w:t>
      </w:r>
      <w:r w:rsidR="009D084B" w:rsidRPr="009D084B">
        <w:rPr>
          <w:rFonts w:ascii="Times New Roman" w:hAnsi="Times New Roman" w:cs="Times New Roman"/>
          <w:sz w:val="24"/>
          <w:szCs w:val="24"/>
        </w:rPr>
        <w:t xml:space="preserve"> </w:t>
      </w:r>
      <w:r w:rsidR="009D084B">
        <w:rPr>
          <w:rFonts w:ascii="Times New Roman" w:hAnsi="Times New Roman" w:cs="Times New Roman"/>
          <w:sz w:val="24"/>
          <w:szCs w:val="24"/>
        </w:rPr>
        <w:t>at the 5% level of significance</w:t>
      </w:r>
      <w:r>
        <w:rPr>
          <w:rFonts w:ascii="Times New Roman" w:hAnsi="Times New Roman" w:cs="Times New Roman"/>
          <w:sz w:val="24"/>
          <w:szCs w:val="24"/>
        </w:rPr>
        <w:t xml:space="preserve">. As such, there is </w:t>
      </w:r>
      <w:r w:rsidR="000F336A">
        <w:rPr>
          <w:rFonts w:ascii="Times New Roman" w:hAnsi="Times New Roman" w:cs="Times New Roman"/>
          <w:sz w:val="24"/>
          <w:szCs w:val="24"/>
        </w:rPr>
        <w:t>evidence to infer</w:t>
      </w:r>
      <w:r>
        <w:rPr>
          <w:rFonts w:ascii="Times New Roman" w:hAnsi="Times New Roman" w:cs="Times New Roman"/>
          <w:sz w:val="24"/>
          <w:szCs w:val="24"/>
        </w:rPr>
        <w:t xml:space="preserve"> that there is a linear relationship between the dependent variable and independent variables.</w:t>
      </w:r>
    </w:p>
    <w:p w:rsidR="00A40919" w:rsidRPr="009F3EC2" w:rsidRDefault="00A40919" w:rsidP="003330C9">
      <w:pPr>
        <w:spacing w:after="0" w:line="360" w:lineRule="auto"/>
        <w:rPr>
          <w:rFonts w:ascii="Times New Roman" w:hAnsi="Times New Roman" w:cs="Times New Roman"/>
          <w:sz w:val="24"/>
          <w:szCs w:val="24"/>
          <w:u w:val="single"/>
        </w:rPr>
      </w:pPr>
      <w:r w:rsidRPr="009F3EC2">
        <w:rPr>
          <w:rFonts w:ascii="Times New Roman" w:hAnsi="Times New Roman" w:cs="Times New Roman"/>
          <w:sz w:val="24"/>
          <w:szCs w:val="24"/>
          <w:u w:val="single"/>
        </w:rPr>
        <w:lastRenderedPageBreak/>
        <w:t>(viii) Inferential statistics - Multiple regression model analysis related to Research Question 1</w:t>
      </w:r>
    </w:p>
    <w:p w:rsidR="00333AE8" w:rsidRDefault="00333AE8" w:rsidP="003330C9">
      <w:pPr>
        <w:spacing w:after="0" w:line="360" w:lineRule="auto"/>
        <w:rPr>
          <w:rFonts w:ascii="Times New Roman" w:hAnsi="Times New Roman" w:cs="Times New Roman"/>
          <w:sz w:val="24"/>
          <w:szCs w:val="24"/>
        </w:rPr>
      </w:pPr>
    </w:p>
    <w:p w:rsidR="00333AE8" w:rsidRDefault="00333AE8"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Research Question 1 is to examine whether there is any relationship between the corporate governance compliance index and proportion of INEDs, chairman to be chief executive and chairman to be an INED. As such, a multiple regression equation is constructed as follows:</w:t>
      </w:r>
    </w:p>
    <w:p w:rsidR="00333AE8" w:rsidRDefault="00333AE8" w:rsidP="003330C9">
      <w:pPr>
        <w:spacing w:after="0" w:line="360" w:lineRule="auto"/>
        <w:rPr>
          <w:rFonts w:ascii="Times New Roman" w:hAnsi="Times New Roman" w:cs="Times New Roman"/>
          <w:sz w:val="24"/>
          <w:szCs w:val="24"/>
        </w:rPr>
      </w:pPr>
    </w:p>
    <w:p w:rsidR="00333AE8" w:rsidRDefault="00333AE8" w:rsidP="003330C9">
      <w:pPr>
        <w:spacing w:after="0" w:line="360" w:lineRule="auto"/>
        <w:rPr>
          <w:rFonts w:ascii="Times New Roman" w:hAnsi="Times New Roman" w:cs="Times New Roman"/>
          <w:sz w:val="24"/>
          <w:szCs w:val="24"/>
          <w:vertAlign w:val="subscript"/>
        </w:rPr>
      </w:pPr>
      <w:r>
        <w:rPr>
          <w:rFonts w:ascii="Times New Roman" w:hAnsi="Times New Roman" w:cs="Times New Roman"/>
          <w:sz w:val="24"/>
          <w:szCs w:val="24"/>
        </w:rPr>
        <w:t>Ŷ = b</w:t>
      </w:r>
      <w:r w:rsidRPr="002936E4">
        <w:rPr>
          <w:rFonts w:ascii="Times New Roman" w:hAnsi="Times New Roman" w:cs="Times New Roman"/>
          <w:sz w:val="24"/>
          <w:szCs w:val="24"/>
          <w:vertAlign w:val="subscript"/>
        </w:rPr>
        <w:t>0</w:t>
      </w:r>
      <w:r>
        <w:rPr>
          <w:rFonts w:ascii="Times New Roman" w:hAnsi="Times New Roman" w:cs="Times New Roman"/>
          <w:sz w:val="24"/>
          <w:szCs w:val="24"/>
        </w:rPr>
        <w:t xml:space="preserve"> + b</w:t>
      </w:r>
      <w:r w:rsidRPr="002936E4">
        <w:rPr>
          <w:rFonts w:ascii="Times New Roman" w:hAnsi="Times New Roman" w:cs="Times New Roman"/>
          <w:sz w:val="24"/>
          <w:szCs w:val="24"/>
          <w:vertAlign w:val="subscript"/>
        </w:rPr>
        <w:t>1</w:t>
      </w:r>
      <w:r>
        <w:rPr>
          <w:rFonts w:ascii="Times New Roman" w:hAnsi="Times New Roman" w:cs="Times New Roman"/>
          <w:sz w:val="24"/>
          <w:szCs w:val="24"/>
        </w:rPr>
        <w:t>X</w:t>
      </w:r>
      <w:r>
        <w:rPr>
          <w:rFonts w:ascii="Times New Roman" w:hAnsi="Times New Roman" w:cs="Times New Roman"/>
          <w:sz w:val="24"/>
          <w:szCs w:val="24"/>
          <w:vertAlign w:val="subscript"/>
        </w:rPr>
        <w:t xml:space="preserve">1 </w:t>
      </w:r>
      <w:r>
        <w:rPr>
          <w:rFonts w:ascii="Times New Roman" w:hAnsi="Times New Roman" w:cs="Times New Roman"/>
          <w:sz w:val="24"/>
          <w:szCs w:val="24"/>
        </w:rPr>
        <w:t>+ b</w:t>
      </w:r>
      <w:r>
        <w:rPr>
          <w:rFonts w:ascii="Times New Roman" w:hAnsi="Times New Roman" w:cs="Times New Roman"/>
          <w:sz w:val="24"/>
          <w:szCs w:val="24"/>
          <w:vertAlign w:val="subscript"/>
        </w:rPr>
        <w:t>2</w:t>
      </w:r>
      <w:r>
        <w:rPr>
          <w:rFonts w:ascii="Times New Roman" w:hAnsi="Times New Roman" w:cs="Times New Roman"/>
          <w:sz w:val="24"/>
          <w:szCs w:val="24"/>
        </w:rPr>
        <w:t>X</w:t>
      </w:r>
      <w:r>
        <w:rPr>
          <w:rFonts w:ascii="Times New Roman" w:hAnsi="Times New Roman" w:cs="Times New Roman"/>
          <w:sz w:val="24"/>
          <w:szCs w:val="24"/>
          <w:vertAlign w:val="subscript"/>
        </w:rPr>
        <w:t xml:space="preserve">2 </w:t>
      </w:r>
      <w:r>
        <w:rPr>
          <w:rFonts w:ascii="Times New Roman" w:hAnsi="Times New Roman" w:cs="Times New Roman"/>
          <w:sz w:val="24"/>
          <w:szCs w:val="24"/>
        </w:rPr>
        <w:t>+ b</w:t>
      </w:r>
      <w:r>
        <w:rPr>
          <w:rFonts w:ascii="Times New Roman" w:hAnsi="Times New Roman" w:cs="Times New Roman"/>
          <w:sz w:val="24"/>
          <w:szCs w:val="24"/>
          <w:vertAlign w:val="subscript"/>
        </w:rPr>
        <w:t>3</w:t>
      </w:r>
      <w:r>
        <w:rPr>
          <w:rFonts w:ascii="Times New Roman" w:hAnsi="Times New Roman" w:cs="Times New Roman"/>
          <w:sz w:val="24"/>
          <w:szCs w:val="24"/>
        </w:rPr>
        <w:t>X</w:t>
      </w:r>
      <w:r>
        <w:rPr>
          <w:rFonts w:ascii="Times New Roman" w:hAnsi="Times New Roman" w:cs="Times New Roman"/>
          <w:sz w:val="24"/>
          <w:szCs w:val="24"/>
          <w:vertAlign w:val="subscript"/>
        </w:rPr>
        <w:t>3</w:t>
      </w:r>
    </w:p>
    <w:p w:rsidR="00333AE8" w:rsidRDefault="00333AE8" w:rsidP="003330C9">
      <w:pPr>
        <w:spacing w:after="0" w:line="360" w:lineRule="auto"/>
        <w:rPr>
          <w:rFonts w:ascii="Times New Roman" w:hAnsi="Times New Roman" w:cs="Times New Roman"/>
          <w:sz w:val="24"/>
          <w:szCs w:val="24"/>
        </w:rPr>
      </w:pPr>
    </w:p>
    <w:p w:rsidR="00333AE8" w:rsidRDefault="00333AE8"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Ŷ</w:t>
      </w:r>
      <w:r>
        <w:rPr>
          <w:rFonts w:ascii="Times New Roman" w:hAnsi="Times New Roman" w:cs="Times New Roman"/>
          <w:sz w:val="24"/>
          <w:szCs w:val="24"/>
          <w:vertAlign w:val="subscript"/>
        </w:rPr>
        <w:t xml:space="preserve"> </w:t>
      </w:r>
      <w:r w:rsidR="005122AB">
        <w:rPr>
          <w:rFonts w:ascii="Times New Roman" w:hAnsi="Times New Roman" w:cs="Times New Roman"/>
          <w:sz w:val="24"/>
          <w:szCs w:val="24"/>
        </w:rPr>
        <w:t>= v</w:t>
      </w:r>
      <w:r>
        <w:rPr>
          <w:rFonts w:ascii="Times New Roman" w:hAnsi="Times New Roman" w:cs="Times New Roman"/>
          <w:sz w:val="24"/>
          <w:szCs w:val="24"/>
        </w:rPr>
        <w:t xml:space="preserve">alue of Y (corporate governance compliance index) </w:t>
      </w:r>
    </w:p>
    <w:p w:rsidR="00333AE8" w:rsidRDefault="00333AE8"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b</w:t>
      </w:r>
      <w:r w:rsidRPr="002936E4">
        <w:rPr>
          <w:rFonts w:ascii="Times New Roman" w:hAnsi="Times New Roman" w:cs="Times New Roman"/>
          <w:sz w:val="24"/>
          <w:szCs w:val="24"/>
          <w:vertAlign w:val="subscript"/>
        </w:rPr>
        <w:t>0</w:t>
      </w:r>
      <w:r>
        <w:rPr>
          <w:rFonts w:ascii="Times New Roman" w:hAnsi="Times New Roman" w:cs="Times New Roman"/>
          <w:sz w:val="24"/>
          <w:szCs w:val="24"/>
        </w:rPr>
        <w:t xml:space="preserve"> = sample Y intercept</w:t>
      </w:r>
    </w:p>
    <w:p w:rsidR="00333AE8" w:rsidRDefault="00333AE8" w:rsidP="003330C9">
      <w:pPr>
        <w:spacing w:after="0" w:line="360" w:lineRule="auto"/>
        <w:rPr>
          <w:rFonts w:ascii="Times New Roman" w:hAnsi="Times New Roman" w:cs="Times New Roman"/>
          <w:sz w:val="24"/>
          <w:szCs w:val="24"/>
          <w:vertAlign w:val="subscript"/>
        </w:rPr>
      </w:pPr>
      <w:r>
        <w:rPr>
          <w:rFonts w:ascii="Times New Roman" w:hAnsi="Times New Roman" w:cs="Times New Roman"/>
          <w:sz w:val="24"/>
          <w:szCs w:val="24"/>
        </w:rPr>
        <w:t>b</w:t>
      </w:r>
      <w:r w:rsidRPr="002936E4">
        <w:rPr>
          <w:rFonts w:ascii="Times New Roman" w:hAnsi="Times New Roman" w:cs="Times New Roman"/>
          <w:sz w:val="24"/>
          <w:szCs w:val="24"/>
          <w:vertAlign w:val="subscript"/>
        </w:rPr>
        <w:t>1</w:t>
      </w:r>
      <w:r>
        <w:rPr>
          <w:rFonts w:ascii="Times New Roman" w:hAnsi="Times New Roman" w:cs="Times New Roman"/>
          <w:sz w:val="24"/>
          <w:szCs w:val="24"/>
        </w:rPr>
        <w:t xml:space="preserve"> = sample slope for X</w:t>
      </w:r>
      <w:r w:rsidRPr="00333AE8">
        <w:rPr>
          <w:rFonts w:ascii="Times New Roman" w:hAnsi="Times New Roman" w:cs="Times New Roman"/>
          <w:sz w:val="24"/>
          <w:szCs w:val="24"/>
          <w:vertAlign w:val="subscript"/>
        </w:rPr>
        <w:t>1</w:t>
      </w:r>
    </w:p>
    <w:p w:rsidR="00333AE8" w:rsidRDefault="00333AE8" w:rsidP="003330C9">
      <w:pPr>
        <w:spacing w:after="0" w:line="360" w:lineRule="auto"/>
        <w:rPr>
          <w:rFonts w:ascii="Times New Roman" w:hAnsi="Times New Roman" w:cs="Times New Roman"/>
          <w:sz w:val="24"/>
          <w:szCs w:val="24"/>
          <w:vertAlign w:val="subscript"/>
        </w:rPr>
      </w:pPr>
      <w:r>
        <w:rPr>
          <w:rFonts w:ascii="Times New Roman" w:hAnsi="Times New Roman" w:cs="Times New Roman"/>
          <w:sz w:val="24"/>
          <w:szCs w:val="24"/>
        </w:rPr>
        <w:t>b</w:t>
      </w:r>
      <w:r>
        <w:rPr>
          <w:rFonts w:ascii="Times New Roman" w:hAnsi="Times New Roman" w:cs="Times New Roman"/>
          <w:sz w:val="24"/>
          <w:szCs w:val="24"/>
          <w:vertAlign w:val="subscript"/>
        </w:rPr>
        <w:t>2</w:t>
      </w:r>
      <w:r>
        <w:rPr>
          <w:rFonts w:ascii="Times New Roman" w:hAnsi="Times New Roman" w:cs="Times New Roman"/>
          <w:sz w:val="24"/>
          <w:szCs w:val="24"/>
        </w:rPr>
        <w:t xml:space="preserve"> = sample slope for X</w:t>
      </w:r>
      <w:r>
        <w:rPr>
          <w:rFonts w:ascii="Times New Roman" w:hAnsi="Times New Roman" w:cs="Times New Roman"/>
          <w:sz w:val="24"/>
          <w:szCs w:val="24"/>
          <w:vertAlign w:val="subscript"/>
        </w:rPr>
        <w:t>2</w:t>
      </w:r>
    </w:p>
    <w:p w:rsidR="00333AE8" w:rsidRDefault="00333AE8" w:rsidP="003330C9">
      <w:pPr>
        <w:spacing w:after="0" w:line="360" w:lineRule="auto"/>
        <w:rPr>
          <w:rFonts w:ascii="Times New Roman" w:hAnsi="Times New Roman" w:cs="Times New Roman"/>
          <w:sz w:val="24"/>
          <w:szCs w:val="24"/>
          <w:vertAlign w:val="subscript"/>
        </w:rPr>
      </w:pPr>
      <w:r>
        <w:rPr>
          <w:rFonts w:ascii="Times New Roman" w:hAnsi="Times New Roman" w:cs="Times New Roman"/>
          <w:sz w:val="24"/>
          <w:szCs w:val="24"/>
        </w:rPr>
        <w:t>b</w:t>
      </w:r>
      <w:r>
        <w:rPr>
          <w:rFonts w:ascii="Times New Roman" w:hAnsi="Times New Roman" w:cs="Times New Roman"/>
          <w:sz w:val="24"/>
          <w:szCs w:val="24"/>
          <w:vertAlign w:val="subscript"/>
        </w:rPr>
        <w:t>3</w:t>
      </w:r>
      <w:r>
        <w:rPr>
          <w:rFonts w:ascii="Times New Roman" w:hAnsi="Times New Roman" w:cs="Times New Roman"/>
          <w:sz w:val="24"/>
          <w:szCs w:val="24"/>
        </w:rPr>
        <w:t xml:space="preserve"> = sample slope for X</w:t>
      </w:r>
      <w:r>
        <w:rPr>
          <w:rFonts w:ascii="Times New Roman" w:hAnsi="Times New Roman" w:cs="Times New Roman"/>
          <w:sz w:val="24"/>
          <w:szCs w:val="24"/>
          <w:vertAlign w:val="subscript"/>
        </w:rPr>
        <w:t>3</w:t>
      </w:r>
    </w:p>
    <w:p w:rsidR="00333AE8" w:rsidRDefault="00333AE8"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X</w:t>
      </w:r>
      <w:r>
        <w:rPr>
          <w:rFonts w:ascii="Times New Roman" w:hAnsi="Times New Roman" w:cs="Times New Roman"/>
          <w:sz w:val="24"/>
          <w:szCs w:val="24"/>
          <w:vertAlign w:val="subscript"/>
        </w:rPr>
        <w:t>1</w:t>
      </w:r>
      <w:r>
        <w:rPr>
          <w:rFonts w:ascii="Times New Roman" w:hAnsi="Times New Roman" w:cs="Times New Roman"/>
          <w:sz w:val="24"/>
          <w:szCs w:val="24"/>
        </w:rPr>
        <w:t xml:space="preserve"> = value of X</w:t>
      </w:r>
      <w:r w:rsidRPr="00333AE8">
        <w:rPr>
          <w:rFonts w:ascii="Times New Roman" w:hAnsi="Times New Roman" w:cs="Times New Roman"/>
          <w:sz w:val="24"/>
          <w:szCs w:val="24"/>
          <w:vertAlign w:val="subscript"/>
        </w:rPr>
        <w:t>1</w:t>
      </w:r>
      <w:r>
        <w:rPr>
          <w:rFonts w:ascii="Times New Roman" w:hAnsi="Times New Roman" w:cs="Times New Roman"/>
          <w:sz w:val="24"/>
          <w:szCs w:val="24"/>
        </w:rPr>
        <w:t xml:space="preserve"> (proportion of INEDs)</w:t>
      </w:r>
    </w:p>
    <w:p w:rsidR="00333AE8" w:rsidRDefault="00333AE8"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X</w:t>
      </w:r>
      <w:r>
        <w:rPr>
          <w:rFonts w:ascii="Times New Roman" w:hAnsi="Times New Roman" w:cs="Times New Roman"/>
          <w:sz w:val="24"/>
          <w:szCs w:val="24"/>
          <w:vertAlign w:val="subscript"/>
        </w:rPr>
        <w:t>2</w:t>
      </w:r>
      <w:r>
        <w:rPr>
          <w:rFonts w:ascii="Times New Roman" w:hAnsi="Times New Roman" w:cs="Times New Roman"/>
          <w:sz w:val="24"/>
          <w:szCs w:val="24"/>
        </w:rPr>
        <w:t xml:space="preserve"> = value of X</w:t>
      </w:r>
      <w:r>
        <w:rPr>
          <w:rFonts w:ascii="Times New Roman" w:hAnsi="Times New Roman" w:cs="Times New Roman"/>
          <w:sz w:val="24"/>
          <w:szCs w:val="24"/>
          <w:vertAlign w:val="subscript"/>
        </w:rPr>
        <w:t>2</w:t>
      </w:r>
      <w:r>
        <w:rPr>
          <w:rFonts w:ascii="Times New Roman" w:hAnsi="Times New Roman" w:cs="Times New Roman"/>
          <w:sz w:val="24"/>
          <w:szCs w:val="24"/>
        </w:rPr>
        <w:t xml:space="preserve"> (chairman to be chief executive)</w:t>
      </w:r>
    </w:p>
    <w:p w:rsidR="00333AE8" w:rsidRDefault="00333AE8"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X</w:t>
      </w:r>
      <w:r>
        <w:rPr>
          <w:rFonts w:ascii="Times New Roman" w:hAnsi="Times New Roman" w:cs="Times New Roman"/>
          <w:sz w:val="24"/>
          <w:szCs w:val="24"/>
          <w:vertAlign w:val="subscript"/>
        </w:rPr>
        <w:t>3</w:t>
      </w:r>
      <w:r>
        <w:rPr>
          <w:rFonts w:ascii="Times New Roman" w:hAnsi="Times New Roman" w:cs="Times New Roman"/>
          <w:sz w:val="24"/>
          <w:szCs w:val="24"/>
        </w:rPr>
        <w:t xml:space="preserve"> = value of X</w:t>
      </w:r>
      <w:r>
        <w:rPr>
          <w:rFonts w:ascii="Times New Roman" w:hAnsi="Times New Roman" w:cs="Times New Roman"/>
          <w:sz w:val="24"/>
          <w:szCs w:val="24"/>
          <w:vertAlign w:val="subscript"/>
        </w:rPr>
        <w:t>3</w:t>
      </w:r>
      <w:r>
        <w:rPr>
          <w:rFonts w:ascii="Times New Roman" w:hAnsi="Times New Roman" w:cs="Times New Roman"/>
          <w:sz w:val="24"/>
          <w:szCs w:val="24"/>
        </w:rPr>
        <w:t xml:space="preserve"> (chairman to be an INED)</w:t>
      </w:r>
    </w:p>
    <w:p w:rsidR="00333AE8" w:rsidRDefault="00333AE8" w:rsidP="003330C9">
      <w:pPr>
        <w:spacing w:after="0" w:line="360" w:lineRule="auto"/>
        <w:rPr>
          <w:rFonts w:ascii="Times New Roman" w:hAnsi="Times New Roman" w:cs="Times New Roman"/>
          <w:sz w:val="24"/>
          <w:szCs w:val="24"/>
        </w:rPr>
      </w:pPr>
    </w:p>
    <w:p w:rsidR="00C67B02" w:rsidRDefault="00C67B02"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F-test of analysis of variance is used to assess the multiple regre</w:t>
      </w:r>
      <w:r w:rsidR="001B0769">
        <w:rPr>
          <w:rFonts w:ascii="Times New Roman" w:hAnsi="Times New Roman" w:cs="Times New Roman"/>
          <w:sz w:val="24"/>
          <w:szCs w:val="24"/>
        </w:rPr>
        <w:t>ssion model. As shown in Table 7</w:t>
      </w:r>
      <w:r>
        <w:rPr>
          <w:rFonts w:ascii="Times New Roman" w:hAnsi="Times New Roman" w:cs="Times New Roman"/>
          <w:sz w:val="24"/>
          <w:szCs w:val="24"/>
        </w:rPr>
        <w:t>, the value of the test statistic for testing the overall utility of the multiple regression mode</w:t>
      </w:r>
      <w:r w:rsidR="004847C5">
        <w:rPr>
          <w:rFonts w:ascii="Times New Roman" w:hAnsi="Times New Roman" w:cs="Times New Roman"/>
          <w:sz w:val="24"/>
          <w:szCs w:val="24"/>
        </w:rPr>
        <w:t>l, F = 9.30</w:t>
      </w:r>
      <w:r>
        <w:rPr>
          <w:rFonts w:ascii="Times New Roman" w:hAnsi="Times New Roman" w:cs="Times New Roman"/>
          <w:sz w:val="24"/>
          <w:szCs w:val="24"/>
        </w:rPr>
        <w:t xml:space="preserve"> and p</w:t>
      </w:r>
      <w:r w:rsidR="004847C5">
        <w:rPr>
          <w:rFonts w:ascii="Times New Roman" w:hAnsi="Times New Roman" w:cs="Times New Roman"/>
          <w:sz w:val="24"/>
          <w:szCs w:val="24"/>
        </w:rPr>
        <w:t>-value of the test = 0.000143699</w:t>
      </w:r>
      <w:r>
        <w:rPr>
          <w:rFonts w:ascii="Times New Roman" w:hAnsi="Times New Roman" w:cs="Times New Roman"/>
          <w:sz w:val="24"/>
          <w:szCs w:val="24"/>
        </w:rPr>
        <w:t xml:space="preserve"> which is smaller than </w:t>
      </w:r>
      <w:r w:rsidR="00707469">
        <w:rPr>
          <w:rFonts w:ascii="Times New Roman" w:hAnsi="Times New Roman" w:cs="Times New Roman"/>
          <w:sz w:val="24"/>
          <w:szCs w:val="24"/>
        </w:rPr>
        <w:t xml:space="preserve">the </w:t>
      </w:r>
      <w:r>
        <w:rPr>
          <w:rFonts w:ascii="Times New Roman" w:hAnsi="Times New Roman" w:cs="Times New Roman"/>
          <w:sz w:val="24"/>
          <w:szCs w:val="24"/>
        </w:rPr>
        <w:t>alpha (α) of 0.05. As such, there is evidence to infer that the multiple regression model is useful at the 5% level of significance.</w:t>
      </w:r>
    </w:p>
    <w:p w:rsidR="00F14D2B" w:rsidRDefault="00F14D2B" w:rsidP="003330C9">
      <w:pPr>
        <w:spacing w:after="0" w:line="360" w:lineRule="auto"/>
        <w:rPr>
          <w:rFonts w:ascii="Times New Roman" w:hAnsi="Times New Roman" w:cs="Times New Roman"/>
          <w:sz w:val="24"/>
          <w:szCs w:val="24"/>
        </w:rPr>
      </w:pPr>
    </w:p>
    <w:p w:rsidR="00F14D2B" w:rsidRDefault="001B0769"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As shown in Table 7</w:t>
      </w:r>
      <w:r w:rsidR="00F14D2B">
        <w:rPr>
          <w:rFonts w:ascii="Times New Roman" w:hAnsi="Times New Roman" w:cs="Times New Roman"/>
          <w:sz w:val="24"/>
          <w:szCs w:val="24"/>
        </w:rPr>
        <w:t>, the y-intercept is b</w:t>
      </w:r>
      <w:r w:rsidR="00F14D2B" w:rsidRPr="00F14D2B">
        <w:rPr>
          <w:rFonts w:ascii="Times New Roman" w:hAnsi="Times New Roman" w:cs="Times New Roman"/>
          <w:sz w:val="24"/>
          <w:szCs w:val="24"/>
          <w:vertAlign w:val="subscript"/>
        </w:rPr>
        <w:t>0</w:t>
      </w:r>
      <w:r w:rsidR="004847C5">
        <w:rPr>
          <w:rFonts w:ascii="Times New Roman" w:hAnsi="Times New Roman" w:cs="Times New Roman"/>
          <w:sz w:val="24"/>
          <w:szCs w:val="24"/>
        </w:rPr>
        <w:t xml:space="preserve"> = 6.28</w:t>
      </w:r>
      <w:r w:rsidR="00F14D2B">
        <w:rPr>
          <w:rFonts w:ascii="Times New Roman" w:hAnsi="Times New Roman" w:cs="Times New Roman"/>
          <w:sz w:val="24"/>
          <w:szCs w:val="24"/>
        </w:rPr>
        <w:t>. That is the corporate governance compliance index when all the independent varia</w:t>
      </w:r>
      <w:r w:rsidR="00707469">
        <w:rPr>
          <w:rFonts w:ascii="Times New Roman" w:hAnsi="Times New Roman" w:cs="Times New Roman"/>
          <w:sz w:val="24"/>
          <w:szCs w:val="24"/>
        </w:rPr>
        <w:t>bles are zeros. It is useless</w:t>
      </w:r>
      <w:r w:rsidR="00F14D2B">
        <w:rPr>
          <w:rFonts w:ascii="Times New Roman" w:hAnsi="Times New Roman" w:cs="Times New Roman"/>
          <w:sz w:val="24"/>
          <w:szCs w:val="24"/>
        </w:rPr>
        <w:t xml:space="preserve"> to interpret this value as zero is outside the range of the values of the independent variables.</w:t>
      </w:r>
    </w:p>
    <w:p w:rsidR="00AD14F8" w:rsidRDefault="00AD14F8" w:rsidP="003330C9">
      <w:pPr>
        <w:spacing w:after="0" w:line="360" w:lineRule="auto"/>
        <w:rPr>
          <w:rFonts w:ascii="Times New Roman" w:hAnsi="Times New Roman" w:cs="Times New Roman"/>
          <w:sz w:val="24"/>
          <w:szCs w:val="24"/>
        </w:rPr>
      </w:pPr>
    </w:p>
    <w:p w:rsidR="00AD14F8" w:rsidRDefault="00AD14F8"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 relationship between the corporate governance compliance index </w:t>
      </w:r>
      <w:r w:rsidR="00BF24F0">
        <w:rPr>
          <w:rFonts w:ascii="Times New Roman" w:hAnsi="Times New Roman" w:cs="Times New Roman"/>
          <w:sz w:val="24"/>
          <w:szCs w:val="24"/>
        </w:rPr>
        <w:t>and proportion of INEDs</w:t>
      </w:r>
      <w:r>
        <w:rPr>
          <w:rFonts w:ascii="Times New Roman" w:hAnsi="Times New Roman" w:cs="Times New Roman"/>
          <w:sz w:val="24"/>
          <w:szCs w:val="24"/>
        </w:rPr>
        <w:t xml:space="preserve"> is described by b</w:t>
      </w:r>
      <w:r w:rsidRPr="00AD14F8">
        <w:rPr>
          <w:rFonts w:ascii="Times New Roman" w:hAnsi="Times New Roman" w:cs="Times New Roman"/>
          <w:sz w:val="24"/>
          <w:szCs w:val="24"/>
          <w:vertAlign w:val="subscript"/>
        </w:rPr>
        <w:t>1</w:t>
      </w:r>
      <w:r w:rsidR="004847C5">
        <w:rPr>
          <w:rFonts w:ascii="Times New Roman" w:hAnsi="Times New Roman" w:cs="Times New Roman"/>
          <w:sz w:val="24"/>
          <w:szCs w:val="24"/>
        </w:rPr>
        <w:t xml:space="preserve"> = 1.02</w:t>
      </w:r>
      <w:r>
        <w:rPr>
          <w:rFonts w:ascii="Times New Roman" w:hAnsi="Times New Roman" w:cs="Times New Roman"/>
          <w:sz w:val="24"/>
          <w:szCs w:val="24"/>
        </w:rPr>
        <w:t xml:space="preserve">. Based on the this result, for one percent increase in </w:t>
      </w:r>
      <w:r w:rsidR="00BF24F0">
        <w:rPr>
          <w:rFonts w:ascii="Times New Roman" w:hAnsi="Times New Roman" w:cs="Times New Roman"/>
          <w:sz w:val="24"/>
          <w:szCs w:val="24"/>
        </w:rPr>
        <w:t>the proportion of INEDs</w:t>
      </w:r>
      <w:r>
        <w:rPr>
          <w:rFonts w:ascii="Times New Roman" w:hAnsi="Times New Roman" w:cs="Times New Roman"/>
          <w:sz w:val="24"/>
          <w:szCs w:val="24"/>
        </w:rPr>
        <w:t>, the corporate governance compli</w:t>
      </w:r>
      <w:r w:rsidR="004847C5">
        <w:rPr>
          <w:rFonts w:ascii="Times New Roman" w:hAnsi="Times New Roman" w:cs="Times New Roman"/>
          <w:sz w:val="24"/>
          <w:szCs w:val="24"/>
        </w:rPr>
        <w:t>ance index increases by 1.02</w:t>
      </w:r>
      <w:r>
        <w:rPr>
          <w:rFonts w:ascii="Times New Roman" w:hAnsi="Times New Roman" w:cs="Times New Roman"/>
          <w:sz w:val="24"/>
          <w:szCs w:val="24"/>
        </w:rPr>
        <w:t xml:space="preserve"> assuming that the other two independent variables are held constant.</w:t>
      </w:r>
    </w:p>
    <w:p w:rsidR="00AD14F8" w:rsidRDefault="00AD14F8" w:rsidP="003330C9">
      <w:pPr>
        <w:spacing w:after="0" w:line="360" w:lineRule="auto"/>
        <w:rPr>
          <w:rFonts w:ascii="Times New Roman" w:hAnsi="Times New Roman" w:cs="Times New Roman"/>
          <w:sz w:val="24"/>
          <w:szCs w:val="24"/>
        </w:rPr>
      </w:pPr>
    </w:p>
    <w:p w:rsidR="00AD14F8" w:rsidRDefault="00AD14F8"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 relationship between the corporate governance compliance index and </w:t>
      </w:r>
      <w:r w:rsidR="003F1AFF">
        <w:rPr>
          <w:rFonts w:ascii="Times New Roman" w:hAnsi="Times New Roman" w:cs="Times New Roman"/>
          <w:sz w:val="24"/>
          <w:szCs w:val="24"/>
        </w:rPr>
        <w:t xml:space="preserve">whether </w:t>
      </w:r>
      <w:r>
        <w:rPr>
          <w:rFonts w:ascii="Times New Roman" w:hAnsi="Times New Roman" w:cs="Times New Roman"/>
          <w:sz w:val="24"/>
          <w:szCs w:val="24"/>
        </w:rPr>
        <w:t>the roles of chairman and chief executive to be performed by the same individual is described by b</w:t>
      </w:r>
      <w:r>
        <w:rPr>
          <w:rFonts w:ascii="Times New Roman" w:hAnsi="Times New Roman" w:cs="Times New Roman"/>
          <w:sz w:val="24"/>
          <w:szCs w:val="24"/>
          <w:vertAlign w:val="subscript"/>
        </w:rPr>
        <w:t>2</w:t>
      </w:r>
      <w:r>
        <w:rPr>
          <w:rFonts w:ascii="Times New Roman" w:hAnsi="Times New Roman" w:cs="Times New Roman"/>
          <w:sz w:val="24"/>
          <w:szCs w:val="24"/>
        </w:rPr>
        <w:t xml:space="preserve"> = -</w:t>
      </w:r>
      <w:r w:rsidR="004847C5">
        <w:rPr>
          <w:rFonts w:ascii="Times New Roman" w:hAnsi="Times New Roman" w:cs="Times New Roman"/>
          <w:sz w:val="24"/>
          <w:szCs w:val="24"/>
        </w:rPr>
        <w:lastRenderedPageBreak/>
        <w:t>1.35</w:t>
      </w:r>
      <w:r>
        <w:rPr>
          <w:rFonts w:ascii="Times New Roman" w:hAnsi="Times New Roman" w:cs="Times New Roman"/>
          <w:sz w:val="24"/>
          <w:szCs w:val="24"/>
        </w:rPr>
        <w:t>. Based on this result, if the roles of chairman and chief executive are performed by the same individual, the corporate governance complianc</w:t>
      </w:r>
      <w:r w:rsidR="004847C5">
        <w:rPr>
          <w:rFonts w:ascii="Times New Roman" w:hAnsi="Times New Roman" w:cs="Times New Roman"/>
          <w:sz w:val="24"/>
          <w:szCs w:val="24"/>
        </w:rPr>
        <w:t>e index decreases by 1.35</w:t>
      </w:r>
      <w:r>
        <w:rPr>
          <w:rFonts w:ascii="Times New Roman" w:hAnsi="Times New Roman" w:cs="Times New Roman"/>
          <w:sz w:val="24"/>
          <w:szCs w:val="24"/>
        </w:rPr>
        <w:t xml:space="preserve"> assuming that the other two independent variables are held constant.</w:t>
      </w:r>
    </w:p>
    <w:p w:rsidR="00AD14F8" w:rsidRDefault="00AD14F8" w:rsidP="003330C9">
      <w:pPr>
        <w:spacing w:after="0" w:line="360" w:lineRule="auto"/>
        <w:rPr>
          <w:rFonts w:ascii="Times New Roman" w:hAnsi="Times New Roman" w:cs="Times New Roman"/>
          <w:sz w:val="24"/>
          <w:szCs w:val="24"/>
        </w:rPr>
      </w:pPr>
    </w:p>
    <w:p w:rsidR="003F1AFF" w:rsidRDefault="003F1AFF"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The relationship between the corporate governance compliance index and whether chairman to be an INED is described by b</w:t>
      </w:r>
      <w:r>
        <w:rPr>
          <w:rFonts w:ascii="Times New Roman" w:hAnsi="Times New Roman" w:cs="Times New Roman"/>
          <w:sz w:val="24"/>
          <w:szCs w:val="24"/>
          <w:vertAlign w:val="subscript"/>
        </w:rPr>
        <w:t>3</w:t>
      </w:r>
      <w:r w:rsidR="004847C5">
        <w:rPr>
          <w:rFonts w:ascii="Times New Roman" w:hAnsi="Times New Roman" w:cs="Times New Roman"/>
          <w:sz w:val="24"/>
          <w:szCs w:val="24"/>
        </w:rPr>
        <w:t xml:space="preserve"> = -0.21</w:t>
      </w:r>
      <w:r>
        <w:rPr>
          <w:rFonts w:ascii="Times New Roman" w:hAnsi="Times New Roman" w:cs="Times New Roman"/>
          <w:sz w:val="24"/>
          <w:szCs w:val="24"/>
        </w:rPr>
        <w:t>. Based on the this result, if chairman is an INED, the corporate governance complianc</w:t>
      </w:r>
      <w:r w:rsidR="004847C5">
        <w:rPr>
          <w:rFonts w:ascii="Times New Roman" w:hAnsi="Times New Roman" w:cs="Times New Roman"/>
          <w:sz w:val="24"/>
          <w:szCs w:val="24"/>
        </w:rPr>
        <w:t>e index decreases by 0.21</w:t>
      </w:r>
      <w:r>
        <w:rPr>
          <w:rFonts w:ascii="Times New Roman" w:hAnsi="Times New Roman" w:cs="Times New Roman"/>
          <w:sz w:val="24"/>
          <w:szCs w:val="24"/>
        </w:rPr>
        <w:t xml:space="preserve"> assuming that the other two independent variables are held constant.</w:t>
      </w:r>
    </w:p>
    <w:p w:rsidR="000B2CC8" w:rsidRDefault="000B2CC8" w:rsidP="003330C9">
      <w:pPr>
        <w:spacing w:after="0" w:line="360" w:lineRule="auto"/>
        <w:rPr>
          <w:rFonts w:ascii="Times New Roman" w:hAnsi="Times New Roman" w:cs="Times New Roman"/>
          <w:sz w:val="24"/>
          <w:szCs w:val="24"/>
        </w:rPr>
      </w:pPr>
    </w:p>
    <w:p w:rsidR="000B2CC8" w:rsidRDefault="000B2CC8"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We are going to test to determine whether there is sufficie</w:t>
      </w:r>
      <w:r w:rsidR="00707469">
        <w:rPr>
          <w:rFonts w:ascii="Times New Roman" w:hAnsi="Times New Roman" w:cs="Times New Roman"/>
          <w:sz w:val="24"/>
          <w:szCs w:val="24"/>
        </w:rPr>
        <w:t xml:space="preserve">nt evidence to infer that the </w:t>
      </w:r>
      <w:r>
        <w:rPr>
          <w:rFonts w:ascii="Times New Roman" w:hAnsi="Times New Roman" w:cs="Times New Roman"/>
          <w:sz w:val="24"/>
          <w:szCs w:val="24"/>
        </w:rPr>
        <w:t>dependent variable and independent variables are linearly related. In the multiple regression model, there are more than one independent variable. For each independent variable, we can test to determine whether there is sufficient evidence of a</w:t>
      </w:r>
      <w:r w:rsidR="00707469">
        <w:rPr>
          <w:rFonts w:ascii="Times New Roman" w:hAnsi="Times New Roman" w:cs="Times New Roman"/>
          <w:sz w:val="24"/>
          <w:szCs w:val="24"/>
        </w:rPr>
        <w:t xml:space="preserve"> linear relationship between each of the independent variable </w:t>
      </w:r>
      <w:r>
        <w:rPr>
          <w:rFonts w:ascii="Times New Roman" w:hAnsi="Times New Roman" w:cs="Times New Roman"/>
          <w:sz w:val="24"/>
          <w:szCs w:val="24"/>
        </w:rPr>
        <w:t>and the dependent variable.</w:t>
      </w:r>
    </w:p>
    <w:p w:rsidR="000B2CC8" w:rsidRDefault="000B2CC8" w:rsidP="003330C9">
      <w:pPr>
        <w:spacing w:after="0" w:line="360" w:lineRule="auto"/>
        <w:rPr>
          <w:rFonts w:ascii="Times New Roman" w:hAnsi="Times New Roman" w:cs="Times New Roman"/>
          <w:sz w:val="24"/>
          <w:szCs w:val="24"/>
        </w:rPr>
      </w:pPr>
    </w:p>
    <w:p w:rsidR="000B2CC8" w:rsidRDefault="00530A69"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Testing </w:t>
      </w:r>
      <w:r w:rsidR="000B2CC8">
        <w:rPr>
          <w:rFonts w:ascii="Times New Roman" w:hAnsi="Times New Roman" w:cs="Times New Roman"/>
          <w:sz w:val="24"/>
          <w:szCs w:val="24"/>
        </w:rPr>
        <w:t>the coefficient of the independent variable X</w:t>
      </w:r>
      <w:r w:rsidR="000B2CC8" w:rsidRPr="00530A69">
        <w:rPr>
          <w:rFonts w:ascii="Times New Roman" w:hAnsi="Times New Roman" w:cs="Times New Roman"/>
          <w:sz w:val="24"/>
          <w:szCs w:val="24"/>
          <w:vertAlign w:val="subscript"/>
        </w:rPr>
        <w:t>1</w:t>
      </w:r>
      <w:r w:rsidR="00707469">
        <w:rPr>
          <w:rFonts w:ascii="Times New Roman" w:hAnsi="Times New Roman" w:cs="Times New Roman"/>
          <w:sz w:val="24"/>
          <w:szCs w:val="24"/>
        </w:rPr>
        <w:t xml:space="preserve"> (Proportion of IN</w:t>
      </w:r>
      <w:r w:rsidR="000B2CC8">
        <w:rPr>
          <w:rFonts w:ascii="Times New Roman" w:hAnsi="Times New Roman" w:cs="Times New Roman"/>
          <w:sz w:val="24"/>
          <w:szCs w:val="24"/>
        </w:rPr>
        <w:t>E</w:t>
      </w:r>
      <w:r w:rsidR="00707469">
        <w:rPr>
          <w:rFonts w:ascii="Times New Roman" w:hAnsi="Times New Roman" w:cs="Times New Roman"/>
          <w:sz w:val="24"/>
          <w:szCs w:val="24"/>
        </w:rPr>
        <w:t>D</w:t>
      </w:r>
      <w:r w:rsidR="000B2CC8">
        <w:rPr>
          <w:rFonts w:ascii="Times New Roman" w:hAnsi="Times New Roman" w:cs="Times New Roman"/>
          <w:sz w:val="24"/>
          <w:szCs w:val="24"/>
        </w:rPr>
        <w:t>s)</w:t>
      </w:r>
    </w:p>
    <w:p w:rsidR="000B2CC8" w:rsidRDefault="000B2CC8" w:rsidP="003330C9">
      <w:pPr>
        <w:spacing w:after="0" w:line="360" w:lineRule="auto"/>
        <w:rPr>
          <w:rFonts w:ascii="Times New Roman" w:hAnsi="Times New Roman" w:cs="Times New Roman"/>
          <w:sz w:val="24"/>
          <w:szCs w:val="24"/>
        </w:rPr>
      </w:pPr>
    </w:p>
    <w:p w:rsidR="000B2CC8" w:rsidRDefault="000B2CC8"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H</w:t>
      </w:r>
      <w:r w:rsidRPr="000B2CC8">
        <w:rPr>
          <w:rFonts w:ascii="Times New Roman" w:hAnsi="Times New Roman" w:cs="Times New Roman"/>
          <w:sz w:val="24"/>
          <w:szCs w:val="24"/>
          <w:vertAlign w:val="subscript"/>
        </w:rPr>
        <w:t>0</w:t>
      </w:r>
      <w:r>
        <w:rPr>
          <w:rFonts w:ascii="Times New Roman" w:hAnsi="Times New Roman" w:cs="Times New Roman"/>
          <w:sz w:val="24"/>
          <w:szCs w:val="24"/>
        </w:rPr>
        <w:t>: β</w:t>
      </w:r>
      <w:r w:rsidRPr="000B2CC8">
        <w:rPr>
          <w:rFonts w:ascii="Times New Roman" w:hAnsi="Times New Roman" w:cs="Times New Roman"/>
          <w:sz w:val="24"/>
          <w:szCs w:val="24"/>
          <w:vertAlign w:val="subscript"/>
        </w:rPr>
        <w:t>1</w:t>
      </w:r>
      <w:r>
        <w:rPr>
          <w:rFonts w:ascii="Times New Roman" w:hAnsi="Times New Roman" w:cs="Times New Roman"/>
          <w:sz w:val="24"/>
          <w:szCs w:val="24"/>
        </w:rPr>
        <w:t xml:space="preserve"> = 0</w:t>
      </w:r>
    </w:p>
    <w:p w:rsidR="000B2CC8" w:rsidRDefault="000B2CC8"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H</w:t>
      </w:r>
      <w:r w:rsidRPr="000B2CC8">
        <w:rPr>
          <w:rFonts w:ascii="Times New Roman" w:hAnsi="Times New Roman" w:cs="Times New Roman"/>
          <w:sz w:val="24"/>
          <w:szCs w:val="24"/>
          <w:vertAlign w:val="subscript"/>
        </w:rPr>
        <w:t>1</w:t>
      </w:r>
      <w:r>
        <w:rPr>
          <w:rFonts w:ascii="Times New Roman" w:hAnsi="Times New Roman" w:cs="Times New Roman"/>
          <w:sz w:val="24"/>
          <w:szCs w:val="24"/>
        </w:rPr>
        <w:t>: β</w:t>
      </w:r>
      <w:r w:rsidRPr="000B2CC8">
        <w:rPr>
          <w:rFonts w:ascii="Times New Roman" w:hAnsi="Times New Roman" w:cs="Times New Roman"/>
          <w:sz w:val="24"/>
          <w:szCs w:val="24"/>
          <w:vertAlign w:val="subscript"/>
        </w:rPr>
        <w:t>1</w:t>
      </w:r>
      <w:r>
        <w:rPr>
          <w:rFonts w:ascii="Times New Roman" w:hAnsi="Times New Roman" w:cs="Times New Roman"/>
          <w:sz w:val="24"/>
          <w:szCs w:val="24"/>
        </w:rPr>
        <w:t xml:space="preserve"> ≠ 0</w:t>
      </w:r>
    </w:p>
    <w:p w:rsidR="000B2CC8" w:rsidRDefault="000B2CC8" w:rsidP="003330C9">
      <w:pPr>
        <w:spacing w:after="0" w:line="360" w:lineRule="auto"/>
        <w:rPr>
          <w:rFonts w:ascii="Times New Roman" w:hAnsi="Times New Roman" w:cs="Times New Roman"/>
          <w:sz w:val="24"/>
          <w:szCs w:val="24"/>
        </w:rPr>
      </w:pPr>
    </w:p>
    <w:p w:rsidR="000B2CC8" w:rsidRDefault="000B2CC8"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As shown in Table 7, p-value </w:t>
      </w:r>
      <w:r w:rsidR="00F704B9">
        <w:rPr>
          <w:rFonts w:ascii="Times New Roman" w:hAnsi="Times New Roman" w:cs="Times New Roman"/>
          <w:sz w:val="24"/>
          <w:szCs w:val="24"/>
        </w:rPr>
        <w:t>for X</w:t>
      </w:r>
      <w:r w:rsidR="00F704B9" w:rsidRPr="00530A69">
        <w:rPr>
          <w:rFonts w:ascii="Times New Roman" w:hAnsi="Times New Roman" w:cs="Times New Roman"/>
          <w:sz w:val="24"/>
          <w:szCs w:val="24"/>
          <w:vertAlign w:val="subscript"/>
        </w:rPr>
        <w:t>1</w:t>
      </w:r>
      <w:r w:rsidR="00F704B9">
        <w:rPr>
          <w:rFonts w:ascii="Times New Roman" w:hAnsi="Times New Roman" w:cs="Times New Roman"/>
          <w:sz w:val="24"/>
          <w:szCs w:val="24"/>
          <w:vertAlign w:val="subscript"/>
        </w:rPr>
        <w:t xml:space="preserve"> </w:t>
      </w:r>
      <w:r w:rsidR="004847C5">
        <w:rPr>
          <w:rFonts w:ascii="Times New Roman" w:hAnsi="Times New Roman" w:cs="Times New Roman"/>
          <w:sz w:val="24"/>
          <w:szCs w:val="24"/>
        </w:rPr>
        <w:t>= 0.48</w:t>
      </w:r>
      <w:r>
        <w:rPr>
          <w:rFonts w:ascii="Times New Roman" w:hAnsi="Times New Roman" w:cs="Times New Roman"/>
          <w:sz w:val="24"/>
          <w:szCs w:val="24"/>
        </w:rPr>
        <w:t xml:space="preserve"> which</w:t>
      </w:r>
      <w:r w:rsidR="00530A69">
        <w:rPr>
          <w:rFonts w:ascii="Times New Roman" w:hAnsi="Times New Roman" w:cs="Times New Roman"/>
          <w:sz w:val="24"/>
          <w:szCs w:val="24"/>
        </w:rPr>
        <w:t xml:space="preserve"> is larger</w:t>
      </w:r>
      <w:r>
        <w:rPr>
          <w:rFonts w:ascii="Times New Roman" w:hAnsi="Times New Roman" w:cs="Times New Roman"/>
          <w:sz w:val="24"/>
          <w:szCs w:val="24"/>
        </w:rPr>
        <w:t xml:space="preserve"> than </w:t>
      </w:r>
      <w:r w:rsidR="00707469">
        <w:rPr>
          <w:rFonts w:ascii="Times New Roman" w:hAnsi="Times New Roman" w:cs="Times New Roman"/>
          <w:sz w:val="24"/>
          <w:szCs w:val="24"/>
        </w:rPr>
        <w:t xml:space="preserve">the </w:t>
      </w:r>
      <w:r>
        <w:rPr>
          <w:rFonts w:ascii="Times New Roman" w:hAnsi="Times New Roman" w:cs="Times New Roman"/>
          <w:sz w:val="24"/>
          <w:szCs w:val="24"/>
        </w:rPr>
        <w:t xml:space="preserve">alpha (α) of 0.05. </w:t>
      </w:r>
      <w:r w:rsidR="00530A69">
        <w:rPr>
          <w:rFonts w:ascii="Times New Roman" w:hAnsi="Times New Roman" w:cs="Times New Roman"/>
          <w:sz w:val="24"/>
          <w:szCs w:val="24"/>
        </w:rPr>
        <w:t>As such, we do not reject H</w:t>
      </w:r>
      <w:r w:rsidR="00530A69" w:rsidRPr="000B2CC8">
        <w:rPr>
          <w:rFonts w:ascii="Times New Roman" w:hAnsi="Times New Roman" w:cs="Times New Roman"/>
          <w:sz w:val="24"/>
          <w:szCs w:val="24"/>
          <w:vertAlign w:val="subscript"/>
        </w:rPr>
        <w:t>0</w:t>
      </w:r>
      <w:r w:rsidR="00530A69">
        <w:rPr>
          <w:rFonts w:ascii="Times New Roman" w:hAnsi="Times New Roman" w:cs="Times New Roman"/>
          <w:sz w:val="24"/>
          <w:szCs w:val="24"/>
          <w:vertAlign w:val="subscript"/>
        </w:rPr>
        <w:t>.</w:t>
      </w:r>
      <w:r w:rsidR="00530A69">
        <w:rPr>
          <w:rFonts w:ascii="Times New Roman" w:hAnsi="Times New Roman" w:cs="Times New Roman"/>
          <w:sz w:val="24"/>
          <w:szCs w:val="24"/>
        </w:rPr>
        <w:t xml:space="preserve"> Hence, there is no sufficient evidence to infer that the corporate governance compliance index and proportion of INEDs are linearly related.</w:t>
      </w:r>
    </w:p>
    <w:p w:rsidR="00530A69" w:rsidRDefault="00530A69" w:rsidP="003330C9">
      <w:pPr>
        <w:spacing w:after="0" w:line="360" w:lineRule="auto"/>
        <w:rPr>
          <w:rFonts w:ascii="Times New Roman" w:hAnsi="Times New Roman" w:cs="Times New Roman"/>
          <w:sz w:val="24"/>
          <w:szCs w:val="24"/>
        </w:rPr>
      </w:pPr>
    </w:p>
    <w:p w:rsidR="00530A69" w:rsidRDefault="00530A69"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Testing the coefficient of the independent variable X</w:t>
      </w:r>
      <w:r w:rsidRPr="00530A69">
        <w:rPr>
          <w:rFonts w:ascii="Times New Roman" w:hAnsi="Times New Roman" w:cs="Times New Roman"/>
          <w:sz w:val="24"/>
          <w:szCs w:val="24"/>
          <w:vertAlign w:val="subscript"/>
        </w:rPr>
        <w:t>2</w:t>
      </w:r>
      <w:r w:rsidR="00702302">
        <w:rPr>
          <w:rFonts w:ascii="Times New Roman" w:hAnsi="Times New Roman" w:cs="Times New Roman"/>
          <w:sz w:val="24"/>
          <w:szCs w:val="24"/>
        </w:rPr>
        <w:t xml:space="preserve"> (Chairman to be </w:t>
      </w:r>
      <w:r>
        <w:rPr>
          <w:rFonts w:ascii="Times New Roman" w:hAnsi="Times New Roman" w:cs="Times New Roman"/>
          <w:sz w:val="24"/>
          <w:szCs w:val="24"/>
        </w:rPr>
        <w:t>chief executive)</w:t>
      </w:r>
    </w:p>
    <w:p w:rsidR="00530A69" w:rsidRDefault="00530A69" w:rsidP="003330C9">
      <w:pPr>
        <w:spacing w:after="0" w:line="360" w:lineRule="auto"/>
        <w:rPr>
          <w:rFonts w:ascii="Times New Roman" w:hAnsi="Times New Roman" w:cs="Times New Roman"/>
          <w:sz w:val="24"/>
          <w:szCs w:val="24"/>
        </w:rPr>
      </w:pPr>
    </w:p>
    <w:p w:rsidR="00530A69" w:rsidRDefault="00530A69"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H</w:t>
      </w:r>
      <w:r w:rsidRPr="000B2CC8">
        <w:rPr>
          <w:rFonts w:ascii="Times New Roman" w:hAnsi="Times New Roman" w:cs="Times New Roman"/>
          <w:sz w:val="24"/>
          <w:szCs w:val="24"/>
          <w:vertAlign w:val="subscript"/>
        </w:rPr>
        <w:t>0</w:t>
      </w:r>
      <w:r>
        <w:rPr>
          <w:rFonts w:ascii="Times New Roman" w:hAnsi="Times New Roman" w:cs="Times New Roman"/>
          <w:sz w:val="24"/>
          <w:szCs w:val="24"/>
        </w:rPr>
        <w:t>: β</w:t>
      </w:r>
      <w:r>
        <w:rPr>
          <w:rFonts w:ascii="Times New Roman" w:hAnsi="Times New Roman" w:cs="Times New Roman"/>
          <w:sz w:val="24"/>
          <w:szCs w:val="24"/>
          <w:vertAlign w:val="subscript"/>
        </w:rPr>
        <w:t>2</w:t>
      </w:r>
      <w:r>
        <w:rPr>
          <w:rFonts w:ascii="Times New Roman" w:hAnsi="Times New Roman" w:cs="Times New Roman"/>
          <w:sz w:val="24"/>
          <w:szCs w:val="24"/>
        </w:rPr>
        <w:t xml:space="preserve"> = 0</w:t>
      </w:r>
    </w:p>
    <w:p w:rsidR="00530A69" w:rsidRDefault="00530A69"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H</w:t>
      </w:r>
      <w:r w:rsidRPr="000B2CC8">
        <w:rPr>
          <w:rFonts w:ascii="Times New Roman" w:hAnsi="Times New Roman" w:cs="Times New Roman"/>
          <w:sz w:val="24"/>
          <w:szCs w:val="24"/>
          <w:vertAlign w:val="subscript"/>
        </w:rPr>
        <w:t>1</w:t>
      </w:r>
      <w:r>
        <w:rPr>
          <w:rFonts w:ascii="Times New Roman" w:hAnsi="Times New Roman" w:cs="Times New Roman"/>
          <w:sz w:val="24"/>
          <w:szCs w:val="24"/>
        </w:rPr>
        <w:t>: β</w:t>
      </w:r>
      <w:r>
        <w:rPr>
          <w:rFonts w:ascii="Times New Roman" w:hAnsi="Times New Roman" w:cs="Times New Roman"/>
          <w:sz w:val="24"/>
          <w:szCs w:val="24"/>
          <w:vertAlign w:val="subscript"/>
        </w:rPr>
        <w:t>2</w:t>
      </w:r>
      <w:r>
        <w:rPr>
          <w:rFonts w:ascii="Times New Roman" w:hAnsi="Times New Roman" w:cs="Times New Roman"/>
          <w:sz w:val="24"/>
          <w:szCs w:val="24"/>
        </w:rPr>
        <w:t xml:space="preserve"> ≠ 0</w:t>
      </w:r>
    </w:p>
    <w:p w:rsidR="00530A69" w:rsidRDefault="00530A69" w:rsidP="003330C9">
      <w:pPr>
        <w:spacing w:after="0" w:line="360" w:lineRule="auto"/>
        <w:rPr>
          <w:rFonts w:ascii="Times New Roman" w:hAnsi="Times New Roman" w:cs="Times New Roman"/>
          <w:sz w:val="24"/>
          <w:szCs w:val="24"/>
        </w:rPr>
      </w:pPr>
    </w:p>
    <w:p w:rsidR="00530A69" w:rsidRDefault="00530A69"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As shown in Table 7, p-value </w:t>
      </w:r>
      <w:r w:rsidR="00F704B9">
        <w:rPr>
          <w:rFonts w:ascii="Times New Roman" w:hAnsi="Times New Roman" w:cs="Times New Roman"/>
          <w:sz w:val="24"/>
          <w:szCs w:val="24"/>
        </w:rPr>
        <w:t>for X</w:t>
      </w:r>
      <w:r w:rsidR="00F704B9" w:rsidRPr="00530A69">
        <w:rPr>
          <w:rFonts w:ascii="Times New Roman" w:hAnsi="Times New Roman" w:cs="Times New Roman"/>
          <w:sz w:val="24"/>
          <w:szCs w:val="24"/>
          <w:vertAlign w:val="subscript"/>
        </w:rPr>
        <w:t>2</w:t>
      </w:r>
      <w:r w:rsidR="00F704B9">
        <w:rPr>
          <w:rFonts w:ascii="Times New Roman" w:hAnsi="Times New Roman" w:cs="Times New Roman"/>
          <w:sz w:val="24"/>
          <w:szCs w:val="24"/>
          <w:vertAlign w:val="subscript"/>
        </w:rPr>
        <w:t xml:space="preserve"> </w:t>
      </w:r>
      <w:r>
        <w:rPr>
          <w:rFonts w:ascii="Times New Roman" w:hAnsi="Times New Roman" w:cs="Times New Roman"/>
          <w:sz w:val="24"/>
          <w:szCs w:val="24"/>
        </w:rPr>
        <w:t xml:space="preserve">= 0 (the value printed in the summary output is in scientific notation, </w:t>
      </w:r>
      <w:r w:rsidR="004847C5">
        <w:rPr>
          <w:rFonts w:ascii="Times New Roman" w:hAnsi="Times New Roman" w:cs="Times New Roman"/>
          <w:sz w:val="24"/>
          <w:szCs w:val="24"/>
        </w:rPr>
        <w:t>1.09741</w:t>
      </w:r>
      <w:r w:rsidR="00702302">
        <w:rPr>
          <w:rFonts w:ascii="Times New Roman" w:hAnsi="Times New Roman" w:cs="Times New Roman"/>
          <w:sz w:val="24"/>
          <w:szCs w:val="24"/>
        </w:rPr>
        <w:t>E-05, which is very close to 0)</w:t>
      </w:r>
      <w:r>
        <w:rPr>
          <w:rFonts w:ascii="Times New Roman" w:hAnsi="Times New Roman" w:cs="Times New Roman"/>
          <w:sz w:val="24"/>
          <w:szCs w:val="24"/>
        </w:rPr>
        <w:t xml:space="preserve"> which is smaller than </w:t>
      </w:r>
      <w:r w:rsidR="00707469">
        <w:rPr>
          <w:rFonts w:ascii="Times New Roman" w:hAnsi="Times New Roman" w:cs="Times New Roman"/>
          <w:sz w:val="24"/>
          <w:szCs w:val="24"/>
        </w:rPr>
        <w:t xml:space="preserve">the </w:t>
      </w:r>
      <w:r>
        <w:rPr>
          <w:rFonts w:ascii="Times New Roman" w:hAnsi="Times New Roman" w:cs="Times New Roman"/>
          <w:sz w:val="24"/>
          <w:szCs w:val="24"/>
        </w:rPr>
        <w:t>alpha (α) of 0.05. As such, we reject H</w:t>
      </w:r>
      <w:r w:rsidRPr="000B2CC8">
        <w:rPr>
          <w:rFonts w:ascii="Times New Roman" w:hAnsi="Times New Roman" w:cs="Times New Roman"/>
          <w:sz w:val="24"/>
          <w:szCs w:val="24"/>
          <w:vertAlign w:val="subscript"/>
        </w:rPr>
        <w:t>0</w:t>
      </w:r>
      <w:r>
        <w:rPr>
          <w:rFonts w:ascii="Times New Roman" w:hAnsi="Times New Roman" w:cs="Times New Roman"/>
          <w:sz w:val="24"/>
          <w:szCs w:val="24"/>
          <w:vertAlign w:val="subscript"/>
        </w:rPr>
        <w:t>.</w:t>
      </w:r>
      <w:r>
        <w:rPr>
          <w:rFonts w:ascii="Times New Roman" w:hAnsi="Times New Roman" w:cs="Times New Roman"/>
          <w:sz w:val="24"/>
          <w:szCs w:val="24"/>
        </w:rPr>
        <w:t xml:space="preserve"> Hence, there is </w:t>
      </w:r>
      <w:r w:rsidR="00702302">
        <w:rPr>
          <w:rFonts w:ascii="Times New Roman" w:hAnsi="Times New Roman" w:cs="Times New Roman"/>
          <w:sz w:val="24"/>
          <w:szCs w:val="24"/>
        </w:rPr>
        <w:t xml:space="preserve">sufficient </w:t>
      </w:r>
      <w:r>
        <w:rPr>
          <w:rFonts w:ascii="Times New Roman" w:hAnsi="Times New Roman" w:cs="Times New Roman"/>
          <w:sz w:val="24"/>
          <w:szCs w:val="24"/>
        </w:rPr>
        <w:t>evidence to infer that the corporate governance complianc</w:t>
      </w:r>
      <w:r w:rsidR="00702302">
        <w:rPr>
          <w:rFonts w:ascii="Times New Roman" w:hAnsi="Times New Roman" w:cs="Times New Roman"/>
          <w:sz w:val="24"/>
          <w:szCs w:val="24"/>
        </w:rPr>
        <w:t xml:space="preserve">e index and chairman to be chief executive </w:t>
      </w:r>
      <w:r>
        <w:rPr>
          <w:rFonts w:ascii="Times New Roman" w:hAnsi="Times New Roman" w:cs="Times New Roman"/>
          <w:sz w:val="24"/>
          <w:szCs w:val="24"/>
        </w:rPr>
        <w:t>are linearly related.</w:t>
      </w:r>
    </w:p>
    <w:p w:rsidR="00530A69" w:rsidRPr="00530A69" w:rsidRDefault="00530A69" w:rsidP="003330C9">
      <w:pPr>
        <w:spacing w:after="0" w:line="360" w:lineRule="auto"/>
        <w:rPr>
          <w:rFonts w:ascii="Times New Roman" w:hAnsi="Times New Roman" w:cs="Times New Roman"/>
          <w:sz w:val="24"/>
          <w:szCs w:val="24"/>
        </w:rPr>
      </w:pPr>
    </w:p>
    <w:p w:rsidR="00586D05" w:rsidRDefault="00586D05"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Testing the coefficient of the independent variable X</w:t>
      </w:r>
      <w:r>
        <w:rPr>
          <w:rFonts w:ascii="Times New Roman" w:hAnsi="Times New Roman" w:cs="Times New Roman"/>
          <w:sz w:val="24"/>
          <w:szCs w:val="24"/>
          <w:vertAlign w:val="subscript"/>
        </w:rPr>
        <w:t>3</w:t>
      </w:r>
      <w:r>
        <w:rPr>
          <w:rFonts w:ascii="Times New Roman" w:hAnsi="Times New Roman" w:cs="Times New Roman"/>
          <w:sz w:val="24"/>
          <w:szCs w:val="24"/>
        </w:rPr>
        <w:t xml:space="preserve"> (Chairman to be an INED)</w:t>
      </w:r>
    </w:p>
    <w:p w:rsidR="00586D05" w:rsidRDefault="00586D05" w:rsidP="003330C9">
      <w:pPr>
        <w:spacing w:after="0" w:line="360" w:lineRule="auto"/>
        <w:rPr>
          <w:rFonts w:ascii="Times New Roman" w:hAnsi="Times New Roman" w:cs="Times New Roman"/>
          <w:sz w:val="24"/>
          <w:szCs w:val="24"/>
        </w:rPr>
      </w:pPr>
    </w:p>
    <w:p w:rsidR="00586D05" w:rsidRDefault="00586D05"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H</w:t>
      </w:r>
      <w:r w:rsidRPr="000B2CC8">
        <w:rPr>
          <w:rFonts w:ascii="Times New Roman" w:hAnsi="Times New Roman" w:cs="Times New Roman"/>
          <w:sz w:val="24"/>
          <w:szCs w:val="24"/>
          <w:vertAlign w:val="subscript"/>
        </w:rPr>
        <w:t>0</w:t>
      </w:r>
      <w:r>
        <w:rPr>
          <w:rFonts w:ascii="Times New Roman" w:hAnsi="Times New Roman" w:cs="Times New Roman"/>
          <w:sz w:val="24"/>
          <w:szCs w:val="24"/>
        </w:rPr>
        <w:t>: β</w:t>
      </w:r>
      <w:r>
        <w:rPr>
          <w:rFonts w:ascii="Times New Roman" w:hAnsi="Times New Roman" w:cs="Times New Roman"/>
          <w:sz w:val="24"/>
          <w:szCs w:val="24"/>
          <w:vertAlign w:val="subscript"/>
        </w:rPr>
        <w:t>3</w:t>
      </w:r>
      <w:r>
        <w:rPr>
          <w:rFonts w:ascii="Times New Roman" w:hAnsi="Times New Roman" w:cs="Times New Roman"/>
          <w:sz w:val="24"/>
          <w:szCs w:val="24"/>
        </w:rPr>
        <w:t xml:space="preserve"> = 0</w:t>
      </w:r>
    </w:p>
    <w:p w:rsidR="00586D05" w:rsidRDefault="00586D05"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H</w:t>
      </w:r>
      <w:r w:rsidRPr="000B2CC8">
        <w:rPr>
          <w:rFonts w:ascii="Times New Roman" w:hAnsi="Times New Roman" w:cs="Times New Roman"/>
          <w:sz w:val="24"/>
          <w:szCs w:val="24"/>
          <w:vertAlign w:val="subscript"/>
        </w:rPr>
        <w:t>1</w:t>
      </w:r>
      <w:r>
        <w:rPr>
          <w:rFonts w:ascii="Times New Roman" w:hAnsi="Times New Roman" w:cs="Times New Roman"/>
          <w:sz w:val="24"/>
          <w:szCs w:val="24"/>
        </w:rPr>
        <w:t>: β</w:t>
      </w:r>
      <w:r>
        <w:rPr>
          <w:rFonts w:ascii="Times New Roman" w:hAnsi="Times New Roman" w:cs="Times New Roman"/>
          <w:sz w:val="24"/>
          <w:szCs w:val="24"/>
          <w:vertAlign w:val="subscript"/>
        </w:rPr>
        <w:t>3</w:t>
      </w:r>
      <w:r>
        <w:rPr>
          <w:rFonts w:ascii="Times New Roman" w:hAnsi="Times New Roman" w:cs="Times New Roman"/>
          <w:sz w:val="24"/>
          <w:szCs w:val="24"/>
        </w:rPr>
        <w:t xml:space="preserve"> ≠ 0</w:t>
      </w:r>
    </w:p>
    <w:p w:rsidR="00586D05" w:rsidRDefault="00586D05" w:rsidP="003330C9">
      <w:pPr>
        <w:spacing w:after="0" w:line="360" w:lineRule="auto"/>
        <w:rPr>
          <w:rFonts w:ascii="Times New Roman" w:hAnsi="Times New Roman" w:cs="Times New Roman"/>
          <w:sz w:val="24"/>
          <w:szCs w:val="24"/>
        </w:rPr>
      </w:pPr>
    </w:p>
    <w:p w:rsidR="00586D05" w:rsidRDefault="00586D05"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As shown in Table 7, p-value </w:t>
      </w:r>
      <w:r w:rsidR="00F704B9">
        <w:rPr>
          <w:rFonts w:ascii="Times New Roman" w:hAnsi="Times New Roman" w:cs="Times New Roman"/>
          <w:sz w:val="24"/>
          <w:szCs w:val="24"/>
        </w:rPr>
        <w:t>for X</w:t>
      </w:r>
      <w:r w:rsidR="00F704B9">
        <w:rPr>
          <w:rFonts w:ascii="Times New Roman" w:hAnsi="Times New Roman" w:cs="Times New Roman"/>
          <w:sz w:val="24"/>
          <w:szCs w:val="24"/>
          <w:vertAlign w:val="subscript"/>
        </w:rPr>
        <w:t xml:space="preserve">3 </w:t>
      </w:r>
      <w:r w:rsidR="00707469">
        <w:rPr>
          <w:rFonts w:ascii="Times New Roman" w:hAnsi="Times New Roman" w:cs="Times New Roman"/>
          <w:sz w:val="24"/>
          <w:szCs w:val="24"/>
        </w:rPr>
        <w:t>= 0.71</w:t>
      </w:r>
      <w:r>
        <w:rPr>
          <w:rFonts w:ascii="Times New Roman" w:hAnsi="Times New Roman" w:cs="Times New Roman"/>
          <w:sz w:val="24"/>
          <w:szCs w:val="24"/>
        </w:rPr>
        <w:t xml:space="preserve"> which is larger than </w:t>
      </w:r>
      <w:r w:rsidR="00707469">
        <w:rPr>
          <w:rFonts w:ascii="Times New Roman" w:hAnsi="Times New Roman" w:cs="Times New Roman"/>
          <w:sz w:val="24"/>
          <w:szCs w:val="24"/>
        </w:rPr>
        <w:t xml:space="preserve">the </w:t>
      </w:r>
      <w:r>
        <w:rPr>
          <w:rFonts w:ascii="Times New Roman" w:hAnsi="Times New Roman" w:cs="Times New Roman"/>
          <w:sz w:val="24"/>
          <w:szCs w:val="24"/>
        </w:rPr>
        <w:t>alpha (α) of 0.05. As such, we do not reject H</w:t>
      </w:r>
      <w:r w:rsidRPr="000B2CC8">
        <w:rPr>
          <w:rFonts w:ascii="Times New Roman" w:hAnsi="Times New Roman" w:cs="Times New Roman"/>
          <w:sz w:val="24"/>
          <w:szCs w:val="24"/>
          <w:vertAlign w:val="subscript"/>
        </w:rPr>
        <w:t>0</w:t>
      </w:r>
      <w:r>
        <w:rPr>
          <w:rFonts w:ascii="Times New Roman" w:hAnsi="Times New Roman" w:cs="Times New Roman"/>
          <w:sz w:val="24"/>
          <w:szCs w:val="24"/>
          <w:vertAlign w:val="subscript"/>
        </w:rPr>
        <w:t>.</w:t>
      </w:r>
      <w:r>
        <w:rPr>
          <w:rFonts w:ascii="Times New Roman" w:hAnsi="Times New Roman" w:cs="Times New Roman"/>
          <w:sz w:val="24"/>
          <w:szCs w:val="24"/>
        </w:rPr>
        <w:t xml:space="preserve"> Hence, there is no sufficient evidence to infer that the corporate governance compliance index and chairman to be an INED are linearly related.</w:t>
      </w:r>
    </w:p>
    <w:p w:rsidR="000504DD" w:rsidRDefault="000504DD" w:rsidP="003330C9">
      <w:pPr>
        <w:spacing w:after="0" w:line="360" w:lineRule="auto"/>
        <w:rPr>
          <w:rFonts w:ascii="Times New Roman" w:hAnsi="Times New Roman" w:cs="Times New Roman"/>
          <w:sz w:val="24"/>
          <w:szCs w:val="24"/>
        </w:rPr>
      </w:pPr>
    </w:p>
    <w:p w:rsidR="00EA2DF8" w:rsidRDefault="0075369F"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Table 7</w:t>
      </w:r>
      <w:r w:rsidR="00EA2DF8">
        <w:rPr>
          <w:rFonts w:ascii="Times New Roman" w:hAnsi="Times New Roman" w:cs="Times New Roman"/>
          <w:sz w:val="24"/>
          <w:szCs w:val="24"/>
        </w:rPr>
        <w:t xml:space="preserve"> – </w:t>
      </w:r>
      <w:r w:rsidR="006F4582">
        <w:rPr>
          <w:rFonts w:ascii="Times New Roman" w:hAnsi="Times New Roman" w:cs="Times New Roman"/>
          <w:sz w:val="24"/>
          <w:szCs w:val="24"/>
        </w:rPr>
        <w:t>Coefficient of correlation and m</w:t>
      </w:r>
      <w:r w:rsidR="00EA2DF8">
        <w:rPr>
          <w:rFonts w:ascii="Times New Roman" w:hAnsi="Times New Roman" w:cs="Times New Roman"/>
          <w:sz w:val="24"/>
          <w:szCs w:val="24"/>
        </w:rPr>
        <w:t>ultiple regression (Corporate governance compliance index and board independence)</w:t>
      </w:r>
    </w:p>
    <w:p w:rsidR="0000046F" w:rsidRDefault="004847C5" w:rsidP="003330C9">
      <w:pPr>
        <w:spacing w:after="0" w:line="360" w:lineRule="auto"/>
        <w:rPr>
          <w:rFonts w:ascii="Times New Roman" w:hAnsi="Times New Roman" w:cs="Times New Roman"/>
          <w:sz w:val="24"/>
          <w:szCs w:val="24"/>
        </w:rPr>
      </w:pPr>
      <w:r w:rsidRPr="004847C5">
        <w:rPr>
          <w:noProof/>
        </w:rPr>
        <w:drawing>
          <wp:inline distT="0" distB="0" distL="0" distR="0">
            <wp:extent cx="5731510" cy="2406466"/>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2406466"/>
                    </a:xfrm>
                    <a:prstGeom prst="rect">
                      <a:avLst/>
                    </a:prstGeom>
                    <a:noFill/>
                    <a:ln>
                      <a:noFill/>
                    </a:ln>
                  </pic:spPr>
                </pic:pic>
              </a:graphicData>
            </a:graphic>
          </wp:inline>
        </w:drawing>
      </w:r>
    </w:p>
    <w:p w:rsidR="0021407A" w:rsidRDefault="0021407A" w:rsidP="003330C9">
      <w:pPr>
        <w:spacing w:after="0" w:line="360" w:lineRule="auto"/>
        <w:rPr>
          <w:rFonts w:ascii="Times New Roman" w:hAnsi="Times New Roman" w:cs="Times New Roman"/>
          <w:sz w:val="24"/>
          <w:szCs w:val="24"/>
        </w:rPr>
      </w:pPr>
    </w:p>
    <w:p w:rsidR="00A40919" w:rsidRPr="009F3EC2" w:rsidRDefault="00A40919" w:rsidP="003330C9">
      <w:pPr>
        <w:spacing w:after="0" w:line="360" w:lineRule="auto"/>
        <w:rPr>
          <w:rFonts w:ascii="Times New Roman" w:hAnsi="Times New Roman" w:cs="Times New Roman"/>
          <w:sz w:val="24"/>
          <w:szCs w:val="24"/>
          <w:u w:val="single"/>
        </w:rPr>
      </w:pPr>
      <w:r w:rsidRPr="009F3EC2">
        <w:rPr>
          <w:rFonts w:ascii="Times New Roman" w:hAnsi="Times New Roman" w:cs="Times New Roman"/>
          <w:sz w:val="24"/>
          <w:szCs w:val="24"/>
          <w:u w:val="single"/>
        </w:rPr>
        <w:t>(ix) Descriptive statistics (Return on equity)</w:t>
      </w:r>
    </w:p>
    <w:p w:rsidR="00A40919" w:rsidRDefault="00A40919" w:rsidP="003330C9">
      <w:pPr>
        <w:spacing w:after="0" w:line="360" w:lineRule="auto"/>
        <w:rPr>
          <w:rFonts w:ascii="Times New Roman" w:hAnsi="Times New Roman" w:cs="Times New Roman"/>
          <w:sz w:val="24"/>
          <w:szCs w:val="24"/>
        </w:rPr>
      </w:pPr>
    </w:p>
    <w:p w:rsidR="004A650D" w:rsidRDefault="0075369F"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As shown in Table 8</w:t>
      </w:r>
      <w:r w:rsidR="004A650D">
        <w:rPr>
          <w:rFonts w:ascii="Times New Roman" w:hAnsi="Times New Roman" w:cs="Times New Roman"/>
          <w:sz w:val="24"/>
          <w:szCs w:val="24"/>
        </w:rPr>
        <w:t>, the return on equity was 9.48</w:t>
      </w:r>
      <w:r w:rsidR="00D520AB">
        <w:rPr>
          <w:rFonts w:ascii="Times New Roman" w:hAnsi="Times New Roman" w:cs="Times New Roman"/>
          <w:sz w:val="24"/>
          <w:szCs w:val="24"/>
        </w:rPr>
        <w:t xml:space="preserve">% on average with ranging from </w:t>
      </w:r>
      <w:r w:rsidR="009E6C81">
        <w:rPr>
          <w:rFonts w:ascii="Times New Roman" w:hAnsi="Times New Roman" w:cs="Times New Roman"/>
          <w:sz w:val="24"/>
          <w:szCs w:val="24"/>
        </w:rPr>
        <w:t>-2.49% to 24.68</w:t>
      </w:r>
      <w:r w:rsidR="004A650D">
        <w:rPr>
          <w:rFonts w:ascii="Times New Roman" w:hAnsi="Times New Roman" w:cs="Times New Roman"/>
          <w:sz w:val="24"/>
          <w:szCs w:val="24"/>
        </w:rPr>
        <w:t>% during the latest financial year.</w:t>
      </w:r>
    </w:p>
    <w:p w:rsidR="004A650D" w:rsidRDefault="004A650D" w:rsidP="003330C9">
      <w:pPr>
        <w:spacing w:after="0" w:line="360" w:lineRule="auto"/>
        <w:rPr>
          <w:rFonts w:ascii="Times New Roman" w:hAnsi="Times New Roman" w:cs="Times New Roman"/>
          <w:sz w:val="24"/>
          <w:szCs w:val="24"/>
        </w:rPr>
      </w:pPr>
    </w:p>
    <w:p w:rsidR="009B1CD3" w:rsidRDefault="0075369F"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Table 8</w:t>
      </w:r>
      <w:r w:rsidR="00A40919">
        <w:rPr>
          <w:rFonts w:ascii="Times New Roman" w:hAnsi="Times New Roman" w:cs="Times New Roman"/>
          <w:sz w:val="24"/>
          <w:szCs w:val="24"/>
        </w:rPr>
        <w:t>: Description statistics (R</w:t>
      </w:r>
      <w:r w:rsidR="001D3693">
        <w:rPr>
          <w:rFonts w:ascii="Times New Roman" w:hAnsi="Times New Roman" w:cs="Times New Roman"/>
          <w:sz w:val="24"/>
          <w:szCs w:val="24"/>
        </w:rPr>
        <w:t>eturn on equity</w:t>
      </w:r>
      <w:r w:rsidR="00A40919">
        <w:rPr>
          <w:rFonts w:ascii="Times New Roman" w:hAnsi="Times New Roman" w:cs="Times New Roman"/>
          <w:sz w:val="24"/>
          <w:szCs w:val="24"/>
        </w:rPr>
        <w:t>)</w:t>
      </w:r>
    </w:p>
    <w:p w:rsidR="00E06DF5" w:rsidRDefault="00E06DF5" w:rsidP="003330C9">
      <w:pPr>
        <w:spacing w:after="0" w:line="360" w:lineRule="auto"/>
        <w:rPr>
          <w:rFonts w:ascii="Times New Roman" w:hAnsi="Times New Roman" w:cs="Times New Roman"/>
          <w:sz w:val="24"/>
          <w:szCs w:val="24"/>
        </w:rPr>
      </w:pPr>
      <w:r w:rsidRPr="00E06DF5">
        <w:rPr>
          <w:noProof/>
        </w:rPr>
        <w:lastRenderedPageBreak/>
        <w:drawing>
          <wp:inline distT="0" distB="0" distL="0" distR="0">
            <wp:extent cx="2413000" cy="344805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13000" cy="3448050"/>
                    </a:xfrm>
                    <a:prstGeom prst="rect">
                      <a:avLst/>
                    </a:prstGeom>
                    <a:noFill/>
                    <a:ln>
                      <a:noFill/>
                    </a:ln>
                  </pic:spPr>
                </pic:pic>
              </a:graphicData>
            </a:graphic>
          </wp:inline>
        </w:drawing>
      </w:r>
    </w:p>
    <w:p w:rsidR="002C3AAB" w:rsidRDefault="002C3AAB" w:rsidP="003330C9">
      <w:pPr>
        <w:spacing w:after="0" w:line="360" w:lineRule="auto"/>
        <w:rPr>
          <w:rFonts w:ascii="Times New Roman" w:hAnsi="Times New Roman" w:cs="Times New Roman"/>
          <w:sz w:val="24"/>
          <w:szCs w:val="24"/>
        </w:rPr>
      </w:pPr>
    </w:p>
    <w:p w:rsidR="007106AD" w:rsidRPr="009F3EC2" w:rsidRDefault="00A40919" w:rsidP="003330C9">
      <w:pPr>
        <w:spacing w:after="0" w:line="360" w:lineRule="auto"/>
        <w:rPr>
          <w:rFonts w:ascii="Times New Roman" w:hAnsi="Times New Roman" w:cs="Times New Roman"/>
          <w:sz w:val="24"/>
          <w:szCs w:val="24"/>
          <w:u w:val="single"/>
        </w:rPr>
      </w:pPr>
      <w:r w:rsidRPr="009F3EC2">
        <w:rPr>
          <w:rFonts w:ascii="Times New Roman" w:hAnsi="Times New Roman" w:cs="Times New Roman"/>
          <w:sz w:val="24"/>
          <w:szCs w:val="24"/>
          <w:u w:val="single"/>
        </w:rPr>
        <w:t>(x) Inferential statistics - Coefficient of correlation analysis related to Research Question 2</w:t>
      </w:r>
    </w:p>
    <w:p w:rsidR="007106AD" w:rsidRDefault="007106AD" w:rsidP="003330C9">
      <w:pPr>
        <w:spacing w:after="0" w:line="360" w:lineRule="auto"/>
        <w:rPr>
          <w:rFonts w:ascii="Times New Roman" w:hAnsi="Times New Roman" w:cs="Times New Roman"/>
          <w:sz w:val="24"/>
          <w:szCs w:val="24"/>
        </w:rPr>
      </w:pPr>
    </w:p>
    <w:p w:rsidR="00BD622F" w:rsidRDefault="003E318E"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Research Question 2 is to examine whether there is any relationship between the return on equity and level of corporate governance compliance. </w:t>
      </w:r>
      <w:r w:rsidR="00BD622F">
        <w:rPr>
          <w:rFonts w:ascii="Times New Roman" w:hAnsi="Times New Roman" w:cs="Times New Roman"/>
          <w:sz w:val="24"/>
          <w:szCs w:val="24"/>
        </w:rPr>
        <w:t>As shown in Table 9, the coefficient of correlation</w:t>
      </w:r>
      <w:r w:rsidR="001C6BC8">
        <w:rPr>
          <w:rFonts w:ascii="Times New Roman" w:hAnsi="Times New Roman" w:cs="Times New Roman"/>
          <w:sz w:val="24"/>
          <w:szCs w:val="24"/>
        </w:rPr>
        <w:t xml:space="preserve"> (r)</w:t>
      </w:r>
      <w:r w:rsidR="00543BEC">
        <w:rPr>
          <w:rFonts w:ascii="Times New Roman" w:hAnsi="Times New Roman" w:cs="Times New Roman"/>
          <w:sz w:val="24"/>
          <w:szCs w:val="24"/>
        </w:rPr>
        <w:t xml:space="preserve"> is 0.08</w:t>
      </w:r>
      <w:r w:rsidR="00BD622F">
        <w:rPr>
          <w:rFonts w:ascii="Times New Roman" w:hAnsi="Times New Roman" w:cs="Times New Roman"/>
          <w:sz w:val="24"/>
          <w:szCs w:val="24"/>
        </w:rPr>
        <w:t xml:space="preserve"> which is near zero</w:t>
      </w:r>
      <w:r w:rsidR="001C6BC8">
        <w:rPr>
          <w:rFonts w:ascii="Times New Roman" w:hAnsi="Times New Roman" w:cs="Times New Roman"/>
          <w:sz w:val="24"/>
          <w:szCs w:val="24"/>
        </w:rPr>
        <w:t xml:space="preserve"> and the coefficient of determination (r</w:t>
      </w:r>
      <w:r w:rsidR="001C6BC8" w:rsidRPr="001C6BC8">
        <w:rPr>
          <w:rFonts w:ascii="Times New Roman" w:hAnsi="Times New Roman" w:cs="Times New Roman"/>
          <w:sz w:val="24"/>
          <w:szCs w:val="24"/>
          <w:vertAlign w:val="superscript"/>
        </w:rPr>
        <w:t>2</w:t>
      </w:r>
      <w:r w:rsidR="00543BEC">
        <w:rPr>
          <w:rFonts w:ascii="Times New Roman" w:hAnsi="Times New Roman" w:cs="Times New Roman"/>
          <w:sz w:val="24"/>
          <w:szCs w:val="24"/>
        </w:rPr>
        <w:t>) is 0.006846004</w:t>
      </w:r>
      <w:r w:rsidR="00BD622F">
        <w:rPr>
          <w:rFonts w:ascii="Times New Roman" w:hAnsi="Times New Roman" w:cs="Times New Roman"/>
          <w:sz w:val="24"/>
          <w:szCs w:val="24"/>
        </w:rPr>
        <w:t>. It indicates that there is little or no linear relationship between the two numerical variables.</w:t>
      </w:r>
    </w:p>
    <w:p w:rsidR="00BD622F" w:rsidRDefault="00BD622F" w:rsidP="003330C9">
      <w:pPr>
        <w:spacing w:after="0" w:line="360" w:lineRule="auto"/>
        <w:rPr>
          <w:rFonts w:ascii="Times New Roman" w:hAnsi="Times New Roman" w:cs="Times New Roman"/>
          <w:sz w:val="24"/>
          <w:szCs w:val="24"/>
        </w:rPr>
      </w:pPr>
    </w:p>
    <w:p w:rsidR="00BD622F" w:rsidRDefault="00BD622F"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To test the coefficient of correlation, we construct the following hypotheses:</w:t>
      </w:r>
    </w:p>
    <w:p w:rsidR="00BD622F" w:rsidRDefault="00BD622F" w:rsidP="003330C9">
      <w:pPr>
        <w:spacing w:after="0" w:line="360" w:lineRule="auto"/>
        <w:rPr>
          <w:rFonts w:ascii="Times New Roman" w:hAnsi="Times New Roman" w:cs="Times New Roman"/>
          <w:sz w:val="24"/>
          <w:szCs w:val="24"/>
        </w:rPr>
      </w:pPr>
    </w:p>
    <w:p w:rsidR="00BD622F" w:rsidRDefault="00BD622F"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H</w:t>
      </w:r>
      <w:r w:rsidRPr="00CC69F3">
        <w:rPr>
          <w:rFonts w:ascii="Times New Roman" w:hAnsi="Times New Roman" w:cs="Times New Roman"/>
          <w:sz w:val="24"/>
          <w:szCs w:val="24"/>
          <w:vertAlign w:val="subscript"/>
        </w:rPr>
        <w:t>0</w:t>
      </w:r>
      <w:r>
        <w:rPr>
          <w:rFonts w:ascii="Times New Roman" w:hAnsi="Times New Roman" w:cs="Times New Roman"/>
          <w:sz w:val="24"/>
          <w:szCs w:val="24"/>
        </w:rPr>
        <w:t>: ρ = 0</w:t>
      </w:r>
    </w:p>
    <w:p w:rsidR="00BD622F" w:rsidRDefault="00BD622F"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H</w:t>
      </w:r>
      <w:r w:rsidRPr="00CC69F3">
        <w:rPr>
          <w:rFonts w:ascii="Times New Roman" w:hAnsi="Times New Roman" w:cs="Times New Roman"/>
          <w:sz w:val="24"/>
          <w:szCs w:val="24"/>
          <w:vertAlign w:val="subscript"/>
        </w:rPr>
        <w:t>1</w:t>
      </w:r>
      <w:r>
        <w:rPr>
          <w:rFonts w:ascii="Times New Roman" w:hAnsi="Times New Roman" w:cs="Times New Roman"/>
          <w:sz w:val="24"/>
          <w:szCs w:val="24"/>
        </w:rPr>
        <w:t>: ρ ≠ 0</w:t>
      </w:r>
    </w:p>
    <w:p w:rsidR="00BD622F" w:rsidRDefault="00BD622F" w:rsidP="003330C9">
      <w:pPr>
        <w:spacing w:after="0" w:line="360" w:lineRule="auto"/>
        <w:rPr>
          <w:rFonts w:ascii="Times New Roman" w:hAnsi="Times New Roman" w:cs="Times New Roman"/>
          <w:sz w:val="24"/>
          <w:szCs w:val="24"/>
        </w:rPr>
      </w:pPr>
    </w:p>
    <w:p w:rsidR="00BD622F" w:rsidRDefault="00BD622F"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As the p-value for coeffic</w:t>
      </w:r>
      <w:r w:rsidR="008D13F4">
        <w:rPr>
          <w:rFonts w:ascii="Times New Roman" w:hAnsi="Times New Roman" w:cs="Times New Roman"/>
          <w:sz w:val="24"/>
          <w:szCs w:val="24"/>
        </w:rPr>
        <w:t>ient of correlation is 0.63</w:t>
      </w:r>
      <w:r w:rsidR="0013290D">
        <w:rPr>
          <w:rFonts w:ascii="Times New Roman" w:hAnsi="Times New Roman" w:cs="Times New Roman"/>
          <w:sz w:val="24"/>
          <w:szCs w:val="24"/>
        </w:rPr>
        <w:t xml:space="preserve"> which is larger than </w:t>
      </w:r>
      <w:r w:rsidR="008D13F4">
        <w:rPr>
          <w:rFonts w:ascii="Times New Roman" w:hAnsi="Times New Roman" w:cs="Times New Roman"/>
          <w:sz w:val="24"/>
          <w:szCs w:val="24"/>
        </w:rPr>
        <w:t xml:space="preserve">the </w:t>
      </w:r>
      <w:r w:rsidR="0013290D">
        <w:rPr>
          <w:rFonts w:ascii="Times New Roman" w:hAnsi="Times New Roman" w:cs="Times New Roman"/>
          <w:sz w:val="24"/>
          <w:szCs w:val="24"/>
        </w:rPr>
        <w:t>alpha (</w:t>
      </w:r>
      <w:r>
        <w:rPr>
          <w:rFonts w:ascii="Times New Roman" w:hAnsi="Times New Roman" w:cs="Times New Roman"/>
          <w:sz w:val="24"/>
          <w:szCs w:val="24"/>
        </w:rPr>
        <w:t>α</w:t>
      </w:r>
      <w:r w:rsidR="0013290D">
        <w:rPr>
          <w:rFonts w:ascii="Times New Roman" w:hAnsi="Times New Roman" w:cs="Times New Roman"/>
          <w:sz w:val="24"/>
          <w:szCs w:val="24"/>
        </w:rPr>
        <w:t>) of 0.05</w:t>
      </w:r>
      <w:r>
        <w:rPr>
          <w:rFonts w:ascii="Times New Roman" w:hAnsi="Times New Roman" w:cs="Times New Roman"/>
          <w:sz w:val="24"/>
          <w:szCs w:val="24"/>
        </w:rPr>
        <w:t>, we do not reject H</w:t>
      </w:r>
      <w:r w:rsidRPr="00CD5049">
        <w:rPr>
          <w:rFonts w:ascii="Times New Roman" w:hAnsi="Times New Roman" w:cs="Times New Roman"/>
          <w:sz w:val="24"/>
          <w:szCs w:val="24"/>
          <w:vertAlign w:val="subscript"/>
        </w:rPr>
        <w:t>0</w:t>
      </w:r>
      <w:r>
        <w:rPr>
          <w:rFonts w:ascii="Times New Roman" w:hAnsi="Times New Roman" w:cs="Times New Roman"/>
          <w:sz w:val="24"/>
          <w:szCs w:val="24"/>
        </w:rPr>
        <w:t>. The result is not statistically significant</w:t>
      </w:r>
      <w:r w:rsidR="00D520AB">
        <w:rPr>
          <w:rFonts w:ascii="Times New Roman" w:hAnsi="Times New Roman" w:cs="Times New Roman"/>
          <w:sz w:val="24"/>
          <w:szCs w:val="24"/>
        </w:rPr>
        <w:t xml:space="preserve"> at the 5% level of significance</w:t>
      </w:r>
      <w:r>
        <w:rPr>
          <w:rFonts w:ascii="Times New Roman" w:hAnsi="Times New Roman" w:cs="Times New Roman"/>
          <w:sz w:val="24"/>
          <w:szCs w:val="24"/>
        </w:rPr>
        <w:t xml:space="preserve">. As such, </w:t>
      </w:r>
      <w:r w:rsidR="008D13F4">
        <w:rPr>
          <w:rFonts w:ascii="Times New Roman" w:hAnsi="Times New Roman" w:cs="Times New Roman"/>
          <w:sz w:val="24"/>
          <w:szCs w:val="24"/>
        </w:rPr>
        <w:t xml:space="preserve">there is no </w:t>
      </w:r>
      <w:r w:rsidR="00A713FB">
        <w:rPr>
          <w:rFonts w:ascii="Times New Roman" w:hAnsi="Times New Roman" w:cs="Times New Roman"/>
          <w:sz w:val="24"/>
          <w:szCs w:val="24"/>
        </w:rPr>
        <w:t xml:space="preserve">sufficient evidence to infer </w:t>
      </w:r>
      <w:r w:rsidR="00F0284F">
        <w:rPr>
          <w:rFonts w:ascii="Times New Roman" w:hAnsi="Times New Roman" w:cs="Times New Roman"/>
          <w:sz w:val="24"/>
          <w:szCs w:val="24"/>
        </w:rPr>
        <w:t>that there is a linear relationship between the return on equity and corporate governance compliance index.</w:t>
      </w:r>
    </w:p>
    <w:p w:rsidR="00711F1F" w:rsidRDefault="00711F1F" w:rsidP="003330C9">
      <w:pPr>
        <w:spacing w:after="0" w:line="360" w:lineRule="auto"/>
        <w:rPr>
          <w:rFonts w:ascii="Times New Roman" w:hAnsi="Times New Roman" w:cs="Times New Roman"/>
          <w:sz w:val="24"/>
          <w:szCs w:val="24"/>
        </w:rPr>
      </w:pPr>
    </w:p>
    <w:p w:rsidR="00801780" w:rsidRPr="009F3EC2" w:rsidRDefault="00801780" w:rsidP="003330C9">
      <w:pPr>
        <w:spacing w:after="0" w:line="360" w:lineRule="auto"/>
        <w:rPr>
          <w:rFonts w:ascii="Times New Roman" w:hAnsi="Times New Roman" w:cs="Times New Roman"/>
          <w:sz w:val="24"/>
          <w:szCs w:val="24"/>
          <w:u w:val="single"/>
        </w:rPr>
      </w:pPr>
      <w:r w:rsidRPr="009F3EC2">
        <w:rPr>
          <w:rFonts w:ascii="Times New Roman" w:hAnsi="Times New Roman" w:cs="Times New Roman"/>
          <w:sz w:val="24"/>
          <w:szCs w:val="24"/>
          <w:u w:val="single"/>
        </w:rPr>
        <w:t>(xi) Inferential statistics – Linear regression model analysis related to Research Question 2</w:t>
      </w:r>
    </w:p>
    <w:p w:rsidR="00C24F91" w:rsidRDefault="00C24F91"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Research Question 2 is to examine whether there is any relationship between the return on equity and level of corporate governance compliance. As such, a linear regression equation is constructed as follows:</w:t>
      </w:r>
    </w:p>
    <w:p w:rsidR="00711F1F" w:rsidRDefault="00711F1F" w:rsidP="003330C9">
      <w:pPr>
        <w:spacing w:after="0" w:line="360" w:lineRule="auto"/>
        <w:rPr>
          <w:rFonts w:ascii="Times New Roman" w:hAnsi="Times New Roman" w:cs="Times New Roman"/>
          <w:sz w:val="24"/>
          <w:szCs w:val="24"/>
        </w:rPr>
      </w:pPr>
    </w:p>
    <w:p w:rsidR="00711F1F" w:rsidRDefault="002936E4" w:rsidP="003330C9">
      <w:pPr>
        <w:spacing w:after="0" w:line="360" w:lineRule="auto"/>
        <w:rPr>
          <w:rFonts w:ascii="Times New Roman" w:hAnsi="Times New Roman" w:cs="Times New Roman"/>
          <w:sz w:val="24"/>
          <w:szCs w:val="24"/>
          <w:vertAlign w:val="subscript"/>
        </w:rPr>
      </w:pPr>
      <w:r>
        <w:rPr>
          <w:rFonts w:ascii="Times New Roman" w:hAnsi="Times New Roman" w:cs="Times New Roman"/>
          <w:sz w:val="24"/>
          <w:szCs w:val="24"/>
        </w:rPr>
        <w:t>Ŷ = b</w:t>
      </w:r>
      <w:r w:rsidRPr="002936E4">
        <w:rPr>
          <w:rFonts w:ascii="Times New Roman" w:hAnsi="Times New Roman" w:cs="Times New Roman"/>
          <w:sz w:val="24"/>
          <w:szCs w:val="24"/>
          <w:vertAlign w:val="subscript"/>
        </w:rPr>
        <w:t>0</w:t>
      </w:r>
      <w:r>
        <w:rPr>
          <w:rFonts w:ascii="Times New Roman" w:hAnsi="Times New Roman" w:cs="Times New Roman"/>
          <w:sz w:val="24"/>
          <w:szCs w:val="24"/>
        </w:rPr>
        <w:t xml:space="preserve"> +b</w:t>
      </w:r>
      <w:r w:rsidRPr="002936E4">
        <w:rPr>
          <w:rFonts w:ascii="Times New Roman" w:hAnsi="Times New Roman" w:cs="Times New Roman"/>
          <w:sz w:val="24"/>
          <w:szCs w:val="24"/>
          <w:vertAlign w:val="subscript"/>
        </w:rPr>
        <w:t>1</w:t>
      </w:r>
      <w:r>
        <w:rPr>
          <w:rFonts w:ascii="Times New Roman" w:hAnsi="Times New Roman" w:cs="Times New Roman"/>
          <w:sz w:val="24"/>
          <w:szCs w:val="24"/>
        </w:rPr>
        <w:t>X</w:t>
      </w:r>
      <w:r w:rsidR="00A11A9F">
        <w:rPr>
          <w:rFonts w:ascii="Times New Roman" w:hAnsi="Times New Roman" w:cs="Times New Roman"/>
          <w:sz w:val="24"/>
          <w:szCs w:val="24"/>
          <w:vertAlign w:val="subscript"/>
        </w:rPr>
        <w:t>1</w:t>
      </w:r>
    </w:p>
    <w:p w:rsidR="002936E4" w:rsidRDefault="002936E4" w:rsidP="003330C9">
      <w:pPr>
        <w:spacing w:after="0" w:line="360" w:lineRule="auto"/>
        <w:rPr>
          <w:rFonts w:ascii="Times New Roman" w:hAnsi="Times New Roman" w:cs="Times New Roman"/>
          <w:sz w:val="24"/>
          <w:szCs w:val="24"/>
        </w:rPr>
      </w:pPr>
    </w:p>
    <w:p w:rsidR="002936E4" w:rsidRDefault="002936E4"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Ŷ</w:t>
      </w:r>
      <w:r w:rsidRPr="002936E4">
        <w:rPr>
          <w:rFonts w:ascii="Times New Roman" w:hAnsi="Times New Roman" w:cs="Times New Roman"/>
          <w:sz w:val="24"/>
          <w:szCs w:val="24"/>
          <w:vertAlign w:val="subscript"/>
        </w:rPr>
        <w:t xml:space="preserve"> </w:t>
      </w:r>
      <w:r w:rsidR="00A11A9F">
        <w:rPr>
          <w:rFonts w:ascii="Times New Roman" w:hAnsi="Times New Roman" w:cs="Times New Roman"/>
          <w:sz w:val="24"/>
          <w:szCs w:val="24"/>
        </w:rPr>
        <w:t xml:space="preserve">= </w:t>
      </w:r>
      <w:r>
        <w:rPr>
          <w:rFonts w:ascii="Times New Roman" w:hAnsi="Times New Roman" w:cs="Times New Roman"/>
          <w:sz w:val="24"/>
          <w:szCs w:val="24"/>
        </w:rPr>
        <w:t xml:space="preserve">value of Y </w:t>
      </w:r>
      <w:r w:rsidR="00A11A9F">
        <w:rPr>
          <w:rFonts w:ascii="Times New Roman" w:hAnsi="Times New Roman" w:cs="Times New Roman"/>
          <w:sz w:val="24"/>
          <w:szCs w:val="24"/>
        </w:rPr>
        <w:t>(return on equity)</w:t>
      </w:r>
    </w:p>
    <w:p w:rsidR="002936E4" w:rsidRDefault="002936E4"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b</w:t>
      </w:r>
      <w:r w:rsidRPr="002936E4">
        <w:rPr>
          <w:rFonts w:ascii="Times New Roman" w:hAnsi="Times New Roman" w:cs="Times New Roman"/>
          <w:sz w:val="24"/>
          <w:szCs w:val="24"/>
          <w:vertAlign w:val="subscript"/>
        </w:rPr>
        <w:t>0</w:t>
      </w:r>
      <w:r>
        <w:rPr>
          <w:rFonts w:ascii="Times New Roman" w:hAnsi="Times New Roman" w:cs="Times New Roman"/>
          <w:sz w:val="24"/>
          <w:szCs w:val="24"/>
        </w:rPr>
        <w:t xml:space="preserve"> = sample Y intercept</w:t>
      </w:r>
    </w:p>
    <w:p w:rsidR="002936E4" w:rsidRDefault="002936E4"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b</w:t>
      </w:r>
      <w:r w:rsidRPr="002936E4">
        <w:rPr>
          <w:rFonts w:ascii="Times New Roman" w:hAnsi="Times New Roman" w:cs="Times New Roman"/>
          <w:sz w:val="24"/>
          <w:szCs w:val="24"/>
          <w:vertAlign w:val="subscript"/>
        </w:rPr>
        <w:t>1</w:t>
      </w:r>
      <w:r>
        <w:rPr>
          <w:rFonts w:ascii="Times New Roman" w:hAnsi="Times New Roman" w:cs="Times New Roman"/>
          <w:sz w:val="24"/>
          <w:szCs w:val="24"/>
        </w:rPr>
        <w:t xml:space="preserve"> = sample slope</w:t>
      </w:r>
    </w:p>
    <w:p w:rsidR="002936E4" w:rsidRDefault="002936E4"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X</w:t>
      </w:r>
      <w:r w:rsidR="00A11A9F">
        <w:rPr>
          <w:rFonts w:ascii="Times New Roman" w:hAnsi="Times New Roman" w:cs="Times New Roman"/>
          <w:sz w:val="24"/>
          <w:szCs w:val="24"/>
          <w:vertAlign w:val="subscript"/>
        </w:rPr>
        <w:t>1</w:t>
      </w:r>
      <w:r>
        <w:rPr>
          <w:rFonts w:ascii="Times New Roman" w:hAnsi="Times New Roman" w:cs="Times New Roman"/>
          <w:sz w:val="24"/>
          <w:szCs w:val="24"/>
        </w:rPr>
        <w:t xml:space="preserve"> = value of X</w:t>
      </w:r>
      <w:r w:rsidR="00A11A9F" w:rsidRPr="00A11A9F">
        <w:rPr>
          <w:rFonts w:ascii="Times New Roman" w:hAnsi="Times New Roman" w:cs="Times New Roman"/>
          <w:sz w:val="24"/>
          <w:szCs w:val="24"/>
          <w:vertAlign w:val="subscript"/>
        </w:rPr>
        <w:t>1</w:t>
      </w:r>
      <w:r>
        <w:rPr>
          <w:rFonts w:ascii="Times New Roman" w:hAnsi="Times New Roman" w:cs="Times New Roman"/>
          <w:sz w:val="24"/>
          <w:szCs w:val="24"/>
        </w:rPr>
        <w:t xml:space="preserve"> </w:t>
      </w:r>
      <w:r w:rsidR="008D21A1">
        <w:rPr>
          <w:rFonts w:ascii="Times New Roman" w:hAnsi="Times New Roman" w:cs="Times New Roman"/>
          <w:sz w:val="24"/>
          <w:szCs w:val="24"/>
        </w:rPr>
        <w:t>(corpora</w:t>
      </w:r>
      <w:r w:rsidR="00A11A9F">
        <w:rPr>
          <w:rFonts w:ascii="Times New Roman" w:hAnsi="Times New Roman" w:cs="Times New Roman"/>
          <w:sz w:val="24"/>
          <w:szCs w:val="24"/>
        </w:rPr>
        <w:t>te governance compliance index)</w:t>
      </w:r>
    </w:p>
    <w:p w:rsidR="006B4254" w:rsidRDefault="006B4254" w:rsidP="003330C9">
      <w:pPr>
        <w:spacing w:after="0" w:line="360" w:lineRule="auto"/>
        <w:rPr>
          <w:rFonts w:ascii="Times New Roman" w:hAnsi="Times New Roman" w:cs="Times New Roman"/>
          <w:sz w:val="24"/>
          <w:szCs w:val="24"/>
        </w:rPr>
      </w:pPr>
    </w:p>
    <w:p w:rsidR="008D21A1" w:rsidRDefault="006B4254"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As shown in Table 9, b</w:t>
      </w:r>
      <w:r w:rsidRPr="002936E4">
        <w:rPr>
          <w:rFonts w:ascii="Times New Roman" w:hAnsi="Times New Roman" w:cs="Times New Roman"/>
          <w:sz w:val="24"/>
          <w:szCs w:val="24"/>
          <w:vertAlign w:val="subscript"/>
        </w:rPr>
        <w:t>0</w:t>
      </w:r>
      <w:r>
        <w:rPr>
          <w:rFonts w:ascii="Times New Roman" w:hAnsi="Times New Roman" w:cs="Times New Roman"/>
          <w:sz w:val="24"/>
          <w:szCs w:val="24"/>
          <w:vertAlign w:val="subscript"/>
        </w:rPr>
        <w:t xml:space="preserve"> </w:t>
      </w:r>
      <w:r w:rsidR="002A6636">
        <w:rPr>
          <w:rFonts w:ascii="Times New Roman" w:hAnsi="Times New Roman" w:cs="Times New Roman"/>
          <w:sz w:val="24"/>
          <w:szCs w:val="24"/>
        </w:rPr>
        <w:t>= 0.15</w:t>
      </w:r>
      <w:r>
        <w:rPr>
          <w:rFonts w:ascii="Times New Roman" w:hAnsi="Times New Roman" w:cs="Times New Roman"/>
          <w:sz w:val="24"/>
          <w:szCs w:val="24"/>
        </w:rPr>
        <w:t xml:space="preserve"> and b</w:t>
      </w:r>
      <w:r w:rsidRPr="002936E4">
        <w:rPr>
          <w:rFonts w:ascii="Times New Roman" w:hAnsi="Times New Roman" w:cs="Times New Roman"/>
          <w:sz w:val="24"/>
          <w:szCs w:val="24"/>
          <w:vertAlign w:val="subscript"/>
        </w:rPr>
        <w:t>1</w:t>
      </w:r>
      <w:r>
        <w:rPr>
          <w:rFonts w:ascii="Times New Roman" w:hAnsi="Times New Roman" w:cs="Times New Roman"/>
          <w:sz w:val="24"/>
          <w:szCs w:val="24"/>
          <w:vertAlign w:val="subscript"/>
        </w:rPr>
        <w:t xml:space="preserve"> </w:t>
      </w:r>
      <w:r>
        <w:rPr>
          <w:rFonts w:ascii="Times New Roman" w:hAnsi="Times New Roman" w:cs="Times New Roman"/>
          <w:sz w:val="24"/>
          <w:szCs w:val="24"/>
        </w:rPr>
        <w:t>= -0.008267969</w:t>
      </w:r>
      <w:r w:rsidR="00196AD7">
        <w:rPr>
          <w:rFonts w:ascii="Times New Roman" w:hAnsi="Times New Roman" w:cs="Times New Roman"/>
          <w:sz w:val="24"/>
          <w:szCs w:val="24"/>
        </w:rPr>
        <w:t xml:space="preserve">. Both coefficients are very small. </w:t>
      </w:r>
      <w:r w:rsidR="008D21A1">
        <w:rPr>
          <w:rFonts w:ascii="Times New Roman" w:hAnsi="Times New Roman" w:cs="Times New Roman"/>
          <w:sz w:val="24"/>
          <w:szCs w:val="24"/>
        </w:rPr>
        <w:t>To determine whether a linear regression model should be employed, it is important to assess how well the linear regression model fits the data</w:t>
      </w:r>
      <w:r w:rsidR="00196AD7">
        <w:rPr>
          <w:rFonts w:ascii="Times New Roman" w:hAnsi="Times New Roman" w:cs="Times New Roman"/>
          <w:sz w:val="24"/>
          <w:szCs w:val="24"/>
        </w:rPr>
        <w:t xml:space="preserve"> because there may be in fact no</w:t>
      </w:r>
      <w:r w:rsidR="008D21A1">
        <w:rPr>
          <w:rFonts w:ascii="Times New Roman" w:hAnsi="Times New Roman" w:cs="Times New Roman"/>
          <w:sz w:val="24"/>
          <w:szCs w:val="24"/>
        </w:rPr>
        <w:t xml:space="preserve"> relationship between the two variables. As such, the following two hypotheses are constructed:</w:t>
      </w:r>
    </w:p>
    <w:p w:rsidR="008D21A1" w:rsidRDefault="008D21A1" w:rsidP="003330C9">
      <w:pPr>
        <w:spacing w:after="0" w:line="360" w:lineRule="auto"/>
        <w:rPr>
          <w:rFonts w:ascii="Times New Roman" w:hAnsi="Times New Roman" w:cs="Times New Roman"/>
          <w:sz w:val="24"/>
          <w:szCs w:val="24"/>
        </w:rPr>
      </w:pPr>
    </w:p>
    <w:p w:rsidR="008D21A1" w:rsidRDefault="008D21A1"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H</w:t>
      </w:r>
      <w:r w:rsidRPr="00CC69F3">
        <w:rPr>
          <w:rFonts w:ascii="Times New Roman" w:hAnsi="Times New Roman" w:cs="Times New Roman"/>
          <w:sz w:val="24"/>
          <w:szCs w:val="24"/>
          <w:vertAlign w:val="subscript"/>
        </w:rPr>
        <w:t>0</w:t>
      </w:r>
      <w:r>
        <w:rPr>
          <w:rFonts w:ascii="Times New Roman" w:hAnsi="Times New Roman" w:cs="Times New Roman"/>
          <w:sz w:val="24"/>
          <w:szCs w:val="24"/>
        </w:rPr>
        <w:t>: β</w:t>
      </w:r>
      <w:r w:rsidRPr="008D21A1">
        <w:rPr>
          <w:rFonts w:ascii="Times New Roman" w:hAnsi="Times New Roman" w:cs="Times New Roman"/>
          <w:sz w:val="24"/>
          <w:szCs w:val="24"/>
          <w:vertAlign w:val="subscript"/>
        </w:rPr>
        <w:t>1</w:t>
      </w:r>
      <w:r>
        <w:rPr>
          <w:rFonts w:ascii="Times New Roman" w:hAnsi="Times New Roman" w:cs="Times New Roman"/>
          <w:sz w:val="24"/>
          <w:szCs w:val="24"/>
        </w:rPr>
        <w:t xml:space="preserve"> = 0</w:t>
      </w:r>
    </w:p>
    <w:p w:rsidR="008D21A1" w:rsidRDefault="008D21A1"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H</w:t>
      </w:r>
      <w:r w:rsidRPr="00CC69F3">
        <w:rPr>
          <w:rFonts w:ascii="Times New Roman" w:hAnsi="Times New Roman" w:cs="Times New Roman"/>
          <w:sz w:val="24"/>
          <w:szCs w:val="24"/>
          <w:vertAlign w:val="subscript"/>
        </w:rPr>
        <w:t>1</w:t>
      </w:r>
      <w:r>
        <w:rPr>
          <w:rFonts w:ascii="Times New Roman" w:hAnsi="Times New Roman" w:cs="Times New Roman"/>
          <w:sz w:val="24"/>
          <w:szCs w:val="24"/>
        </w:rPr>
        <w:t>: β</w:t>
      </w:r>
      <w:r w:rsidRPr="008D21A1">
        <w:rPr>
          <w:rFonts w:ascii="Times New Roman" w:hAnsi="Times New Roman" w:cs="Times New Roman"/>
          <w:sz w:val="24"/>
          <w:szCs w:val="24"/>
          <w:vertAlign w:val="subscript"/>
        </w:rPr>
        <w:t>1</w:t>
      </w:r>
      <w:r>
        <w:rPr>
          <w:rFonts w:ascii="Times New Roman" w:hAnsi="Times New Roman" w:cs="Times New Roman"/>
          <w:sz w:val="24"/>
          <w:szCs w:val="24"/>
        </w:rPr>
        <w:t xml:space="preserve"> ≠ 0</w:t>
      </w:r>
    </w:p>
    <w:p w:rsidR="008D21A1" w:rsidRDefault="008D21A1" w:rsidP="003330C9">
      <w:pPr>
        <w:spacing w:after="0" w:line="360" w:lineRule="auto"/>
        <w:rPr>
          <w:rFonts w:ascii="Times New Roman" w:hAnsi="Times New Roman" w:cs="Times New Roman"/>
          <w:sz w:val="24"/>
          <w:szCs w:val="24"/>
        </w:rPr>
      </w:pPr>
    </w:p>
    <w:p w:rsidR="0013290D" w:rsidRDefault="008D21A1"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As shown in Table 9, the p-</w:t>
      </w:r>
      <w:r w:rsidR="006B4254">
        <w:rPr>
          <w:rFonts w:ascii="Times New Roman" w:hAnsi="Times New Roman" w:cs="Times New Roman"/>
          <w:sz w:val="24"/>
          <w:szCs w:val="24"/>
        </w:rPr>
        <w:t>value for</w:t>
      </w:r>
      <w:r w:rsidR="006B4254" w:rsidRPr="006B4254">
        <w:rPr>
          <w:rFonts w:ascii="Times New Roman" w:hAnsi="Times New Roman" w:cs="Times New Roman"/>
          <w:sz w:val="24"/>
          <w:szCs w:val="24"/>
        </w:rPr>
        <w:t xml:space="preserve"> </w:t>
      </w:r>
      <w:r w:rsidR="006B4254">
        <w:rPr>
          <w:rFonts w:ascii="Times New Roman" w:hAnsi="Times New Roman" w:cs="Times New Roman"/>
          <w:sz w:val="24"/>
          <w:szCs w:val="24"/>
        </w:rPr>
        <w:t>b</w:t>
      </w:r>
      <w:r w:rsidR="006B4254" w:rsidRPr="002936E4">
        <w:rPr>
          <w:rFonts w:ascii="Times New Roman" w:hAnsi="Times New Roman" w:cs="Times New Roman"/>
          <w:sz w:val="24"/>
          <w:szCs w:val="24"/>
          <w:vertAlign w:val="subscript"/>
        </w:rPr>
        <w:t>1</w:t>
      </w:r>
      <w:r>
        <w:rPr>
          <w:rFonts w:ascii="Times New Roman" w:hAnsi="Times New Roman" w:cs="Times New Roman"/>
          <w:sz w:val="24"/>
          <w:szCs w:val="24"/>
        </w:rPr>
        <w:t xml:space="preserve"> </w:t>
      </w:r>
      <w:r w:rsidR="002A6636">
        <w:rPr>
          <w:rFonts w:ascii="Times New Roman" w:hAnsi="Times New Roman" w:cs="Times New Roman"/>
          <w:sz w:val="24"/>
          <w:szCs w:val="24"/>
        </w:rPr>
        <w:t xml:space="preserve">is 0.63 </w:t>
      </w:r>
      <w:r w:rsidR="0013290D">
        <w:rPr>
          <w:rFonts w:ascii="Times New Roman" w:hAnsi="Times New Roman" w:cs="Times New Roman"/>
          <w:sz w:val="24"/>
          <w:szCs w:val="24"/>
        </w:rPr>
        <w:t xml:space="preserve">which is larger than </w:t>
      </w:r>
      <w:r w:rsidR="002A6636">
        <w:rPr>
          <w:rFonts w:ascii="Times New Roman" w:hAnsi="Times New Roman" w:cs="Times New Roman"/>
          <w:sz w:val="24"/>
          <w:szCs w:val="24"/>
        </w:rPr>
        <w:t xml:space="preserve">the </w:t>
      </w:r>
      <w:r w:rsidR="0013290D">
        <w:rPr>
          <w:rFonts w:ascii="Times New Roman" w:hAnsi="Times New Roman" w:cs="Times New Roman"/>
          <w:sz w:val="24"/>
          <w:szCs w:val="24"/>
        </w:rPr>
        <w:t>alpha (α) of 0.05, we do not reject H</w:t>
      </w:r>
      <w:r w:rsidR="0013290D" w:rsidRPr="00CC69F3">
        <w:rPr>
          <w:rFonts w:ascii="Times New Roman" w:hAnsi="Times New Roman" w:cs="Times New Roman"/>
          <w:sz w:val="24"/>
          <w:szCs w:val="24"/>
          <w:vertAlign w:val="subscript"/>
        </w:rPr>
        <w:t>0</w:t>
      </w:r>
      <w:r w:rsidR="0013290D">
        <w:rPr>
          <w:rFonts w:ascii="Times New Roman" w:hAnsi="Times New Roman" w:cs="Times New Roman"/>
          <w:sz w:val="24"/>
          <w:szCs w:val="24"/>
          <w:vertAlign w:val="subscript"/>
        </w:rPr>
        <w:t xml:space="preserve">. </w:t>
      </w:r>
      <w:r w:rsidR="006B4254">
        <w:rPr>
          <w:rFonts w:ascii="Times New Roman" w:hAnsi="Times New Roman" w:cs="Times New Roman"/>
          <w:sz w:val="24"/>
          <w:szCs w:val="24"/>
        </w:rPr>
        <w:t xml:space="preserve">There is no </w:t>
      </w:r>
      <w:r w:rsidR="002A6636">
        <w:rPr>
          <w:rFonts w:ascii="Times New Roman" w:hAnsi="Times New Roman" w:cs="Times New Roman"/>
          <w:sz w:val="24"/>
          <w:szCs w:val="24"/>
        </w:rPr>
        <w:t xml:space="preserve">sufficient </w:t>
      </w:r>
      <w:r w:rsidR="006B4254">
        <w:rPr>
          <w:rFonts w:ascii="Times New Roman" w:hAnsi="Times New Roman" w:cs="Times New Roman"/>
          <w:sz w:val="24"/>
          <w:szCs w:val="24"/>
        </w:rPr>
        <w:t>evidence to infer that β</w:t>
      </w:r>
      <w:r w:rsidR="006B4254" w:rsidRPr="008D21A1">
        <w:rPr>
          <w:rFonts w:ascii="Times New Roman" w:hAnsi="Times New Roman" w:cs="Times New Roman"/>
          <w:sz w:val="24"/>
          <w:szCs w:val="24"/>
          <w:vertAlign w:val="subscript"/>
        </w:rPr>
        <w:t>1</w:t>
      </w:r>
      <w:r w:rsidR="006B4254">
        <w:rPr>
          <w:rFonts w:ascii="Times New Roman" w:hAnsi="Times New Roman" w:cs="Times New Roman"/>
          <w:sz w:val="24"/>
          <w:szCs w:val="24"/>
        </w:rPr>
        <w:t xml:space="preserve"> ≠ 0</w:t>
      </w:r>
      <w:r w:rsidR="00F6143F" w:rsidRPr="00F6143F">
        <w:rPr>
          <w:rFonts w:ascii="Times New Roman" w:hAnsi="Times New Roman" w:cs="Times New Roman"/>
          <w:sz w:val="24"/>
          <w:szCs w:val="24"/>
        </w:rPr>
        <w:t xml:space="preserve"> </w:t>
      </w:r>
      <w:r w:rsidR="00F6143F">
        <w:rPr>
          <w:rFonts w:ascii="Times New Roman" w:hAnsi="Times New Roman" w:cs="Times New Roman"/>
          <w:sz w:val="24"/>
          <w:szCs w:val="24"/>
        </w:rPr>
        <w:t>at the 5% level of significance</w:t>
      </w:r>
      <w:r w:rsidR="006B4254">
        <w:rPr>
          <w:rFonts w:ascii="Times New Roman" w:hAnsi="Times New Roman" w:cs="Times New Roman"/>
          <w:sz w:val="24"/>
          <w:szCs w:val="24"/>
        </w:rPr>
        <w:t xml:space="preserve">. </w:t>
      </w:r>
      <w:r w:rsidR="0013290D">
        <w:rPr>
          <w:rFonts w:ascii="Times New Roman" w:hAnsi="Times New Roman" w:cs="Times New Roman"/>
          <w:sz w:val="24"/>
          <w:szCs w:val="24"/>
        </w:rPr>
        <w:t xml:space="preserve">As such, there is </w:t>
      </w:r>
      <w:r w:rsidR="002A6636">
        <w:rPr>
          <w:rFonts w:ascii="Times New Roman" w:hAnsi="Times New Roman" w:cs="Times New Roman"/>
          <w:sz w:val="24"/>
          <w:szCs w:val="24"/>
        </w:rPr>
        <w:t xml:space="preserve">no </w:t>
      </w:r>
      <w:r w:rsidR="00A713FB">
        <w:rPr>
          <w:rFonts w:ascii="Times New Roman" w:hAnsi="Times New Roman" w:cs="Times New Roman"/>
          <w:sz w:val="24"/>
          <w:szCs w:val="24"/>
        </w:rPr>
        <w:t>sufficient evidence to infer</w:t>
      </w:r>
      <w:r w:rsidR="0013290D">
        <w:rPr>
          <w:rFonts w:ascii="Times New Roman" w:hAnsi="Times New Roman" w:cs="Times New Roman"/>
          <w:sz w:val="24"/>
          <w:szCs w:val="24"/>
        </w:rPr>
        <w:t xml:space="preserve"> that there is a linear relationship between the return on equity and corporate governance compliance index.</w:t>
      </w:r>
    </w:p>
    <w:p w:rsidR="002C3AAB" w:rsidRDefault="002C3AAB" w:rsidP="003330C9">
      <w:pPr>
        <w:spacing w:after="0" w:line="360" w:lineRule="auto"/>
        <w:rPr>
          <w:rFonts w:ascii="Times New Roman" w:hAnsi="Times New Roman" w:cs="Times New Roman"/>
          <w:sz w:val="24"/>
          <w:szCs w:val="24"/>
        </w:rPr>
      </w:pPr>
    </w:p>
    <w:p w:rsidR="0000046F" w:rsidRDefault="00DB5862"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Table 9</w:t>
      </w:r>
      <w:r w:rsidR="0054140D">
        <w:rPr>
          <w:rFonts w:ascii="Times New Roman" w:hAnsi="Times New Roman" w:cs="Times New Roman"/>
          <w:sz w:val="24"/>
          <w:szCs w:val="24"/>
        </w:rPr>
        <w:t xml:space="preserve"> – Linear regression (Return on equity and corporate governance compliance index)</w:t>
      </w:r>
    </w:p>
    <w:p w:rsidR="002C3AAB" w:rsidRDefault="002A6636" w:rsidP="003330C9">
      <w:pPr>
        <w:spacing w:after="0" w:line="360" w:lineRule="auto"/>
        <w:rPr>
          <w:rFonts w:ascii="Times New Roman" w:hAnsi="Times New Roman" w:cs="Times New Roman"/>
          <w:sz w:val="24"/>
          <w:szCs w:val="24"/>
        </w:rPr>
      </w:pPr>
      <w:r w:rsidRPr="002A6636">
        <w:rPr>
          <w:noProof/>
        </w:rPr>
        <w:drawing>
          <wp:inline distT="0" distB="0" distL="0" distR="0">
            <wp:extent cx="5731510" cy="2139348"/>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139348"/>
                    </a:xfrm>
                    <a:prstGeom prst="rect">
                      <a:avLst/>
                    </a:prstGeom>
                    <a:noFill/>
                    <a:ln>
                      <a:noFill/>
                    </a:ln>
                  </pic:spPr>
                </pic:pic>
              </a:graphicData>
            </a:graphic>
          </wp:inline>
        </w:drawing>
      </w:r>
    </w:p>
    <w:p w:rsidR="00801780" w:rsidRPr="009F3EC2" w:rsidRDefault="00801780" w:rsidP="003330C9">
      <w:pPr>
        <w:spacing w:after="0" w:line="360" w:lineRule="auto"/>
        <w:rPr>
          <w:rFonts w:ascii="Times New Roman" w:hAnsi="Times New Roman" w:cs="Times New Roman"/>
          <w:sz w:val="24"/>
          <w:szCs w:val="24"/>
          <w:u w:val="single"/>
        </w:rPr>
      </w:pPr>
      <w:r w:rsidRPr="009F3EC2">
        <w:rPr>
          <w:rFonts w:ascii="Times New Roman" w:hAnsi="Times New Roman" w:cs="Times New Roman"/>
          <w:sz w:val="24"/>
          <w:szCs w:val="24"/>
          <w:u w:val="single"/>
        </w:rPr>
        <w:lastRenderedPageBreak/>
        <w:t xml:space="preserve">(xii) Description statistics (Annualised share price volatility) </w:t>
      </w:r>
    </w:p>
    <w:p w:rsidR="00801780" w:rsidRDefault="00801780" w:rsidP="003330C9">
      <w:pPr>
        <w:spacing w:after="0" w:line="360" w:lineRule="auto"/>
        <w:rPr>
          <w:rFonts w:ascii="Times New Roman" w:hAnsi="Times New Roman" w:cs="Times New Roman"/>
          <w:sz w:val="24"/>
          <w:szCs w:val="24"/>
        </w:rPr>
      </w:pPr>
    </w:p>
    <w:p w:rsidR="00F0284F" w:rsidRDefault="00F0284F"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As shown in Table 1</w:t>
      </w:r>
      <w:r w:rsidR="002A6636">
        <w:rPr>
          <w:rFonts w:ascii="Times New Roman" w:hAnsi="Times New Roman" w:cs="Times New Roman"/>
          <w:sz w:val="24"/>
          <w:szCs w:val="24"/>
        </w:rPr>
        <w:t>0</w:t>
      </w:r>
      <w:r>
        <w:rPr>
          <w:rFonts w:ascii="Times New Roman" w:hAnsi="Times New Roman" w:cs="Times New Roman"/>
          <w:sz w:val="24"/>
          <w:szCs w:val="24"/>
        </w:rPr>
        <w:t>, the annualised share price volatility was 39.58% on average with a range of 23.79% to 60.79% during the period from 1 Dec 2019 to 30 Nov 2020.</w:t>
      </w:r>
    </w:p>
    <w:p w:rsidR="00F0284F" w:rsidRDefault="00F0284F" w:rsidP="003330C9">
      <w:pPr>
        <w:spacing w:after="0" w:line="360" w:lineRule="auto"/>
        <w:rPr>
          <w:rFonts w:ascii="Times New Roman" w:hAnsi="Times New Roman" w:cs="Times New Roman"/>
          <w:sz w:val="24"/>
          <w:szCs w:val="24"/>
        </w:rPr>
      </w:pPr>
    </w:p>
    <w:p w:rsidR="0021407A" w:rsidRDefault="00DB5862"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Table 10</w:t>
      </w:r>
      <w:r w:rsidR="00801780">
        <w:rPr>
          <w:rFonts w:ascii="Times New Roman" w:hAnsi="Times New Roman" w:cs="Times New Roman"/>
          <w:sz w:val="24"/>
          <w:szCs w:val="24"/>
        </w:rPr>
        <w:t>: Descriptive statistics (A</w:t>
      </w:r>
      <w:r w:rsidR="00E06DF5">
        <w:rPr>
          <w:rFonts w:ascii="Times New Roman" w:hAnsi="Times New Roman" w:cs="Times New Roman"/>
          <w:sz w:val="24"/>
          <w:szCs w:val="24"/>
        </w:rPr>
        <w:t>nnualised share price volatility</w:t>
      </w:r>
      <w:r w:rsidR="00801780">
        <w:rPr>
          <w:rFonts w:ascii="Times New Roman" w:hAnsi="Times New Roman" w:cs="Times New Roman"/>
          <w:sz w:val="24"/>
          <w:szCs w:val="24"/>
        </w:rPr>
        <w:t>)</w:t>
      </w:r>
    </w:p>
    <w:p w:rsidR="00E06DF5" w:rsidRDefault="00E06DF5" w:rsidP="003330C9">
      <w:pPr>
        <w:spacing w:after="0" w:line="360" w:lineRule="auto"/>
        <w:rPr>
          <w:rFonts w:ascii="Times New Roman" w:hAnsi="Times New Roman" w:cs="Times New Roman"/>
          <w:sz w:val="24"/>
          <w:szCs w:val="24"/>
        </w:rPr>
      </w:pPr>
      <w:r w:rsidRPr="00E06DF5">
        <w:rPr>
          <w:noProof/>
        </w:rPr>
        <w:drawing>
          <wp:inline distT="0" distB="0" distL="0" distR="0">
            <wp:extent cx="2362200" cy="34480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62200" cy="3448050"/>
                    </a:xfrm>
                    <a:prstGeom prst="rect">
                      <a:avLst/>
                    </a:prstGeom>
                    <a:noFill/>
                    <a:ln>
                      <a:noFill/>
                    </a:ln>
                  </pic:spPr>
                </pic:pic>
              </a:graphicData>
            </a:graphic>
          </wp:inline>
        </w:drawing>
      </w:r>
    </w:p>
    <w:p w:rsidR="0021407A" w:rsidRDefault="0021407A" w:rsidP="003330C9">
      <w:pPr>
        <w:spacing w:after="0" w:line="360" w:lineRule="auto"/>
        <w:rPr>
          <w:noProof/>
        </w:rPr>
      </w:pPr>
    </w:p>
    <w:p w:rsidR="007106AD" w:rsidRPr="009F3EC2" w:rsidRDefault="00801780" w:rsidP="003330C9">
      <w:pPr>
        <w:spacing w:after="0" w:line="360" w:lineRule="auto"/>
        <w:rPr>
          <w:rFonts w:ascii="Times New Roman" w:hAnsi="Times New Roman" w:cs="Times New Roman"/>
          <w:sz w:val="24"/>
          <w:szCs w:val="24"/>
          <w:u w:val="single"/>
        </w:rPr>
      </w:pPr>
      <w:r w:rsidRPr="009F3EC2">
        <w:rPr>
          <w:rFonts w:ascii="Times New Roman" w:hAnsi="Times New Roman" w:cs="Times New Roman"/>
          <w:sz w:val="24"/>
          <w:szCs w:val="24"/>
          <w:u w:val="single"/>
        </w:rPr>
        <w:t>(xiii) Inferential statistics - Coefficient of correlation analysis related to Research Question 3</w:t>
      </w:r>
    </w:p>
    <w:p w:rsidR="007106AD" w:rsidRDefault="007106AD" w:rsidP="003330C9">
      <w:pPr>
        <w:spacing w:after="0" w:line="360" w:lineRule="auto"/>
        <w:rPr>
          <w:rFonts w:ascii="Times New Roman" w:hAnsi="Times New Roman" w:cs="Times New Roman"/>
          <w:sz w:val="24"/>
          <w:szCs w:val="24"/>
        </w:rPr>
      </w:pPr>
    </w:p>
    <w:p w:rsidR="00F0284F" w:rsidRDefault="00F0284F"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As shown in Table 11, the coefficient of correlation </w:t>
      </w:r>
      <w:r w:rsidR="001C6BC8">
        <w:rPr>
          <w:rFonts w:ascii="Times New Roman" w:hAnsi="Times New Roman" w:cs="Times New Roman"/>
          <w:sz w:val="24"/>
          <w:szCs w:val="24"/>
        </w:rPr>
        <w:t xml:space="preserve">(r) </w:t>
      </w:r>
      <w:r w:rsidR="002A6636">
        <w:rPr>
          <w:rFonts w:ascii="Times New Roman" w:hAnsi="Times New Roman" w:cs="Times New Roman"/>
          <w:sz w:val="24"/>
          <w:szCs w:val="24"/>
        </w:rPr>
        <w:t>is 0.08</w:t>
      </w:r>
      <w:r>
        <w:rPr>
          <w:rFonts w:ascii="Times New Roman" w:hAnsi="Times New Roman" w:cs="Times New Roman"/>
          <w:sz w:val="24"/>
          <w:szCs w:val="24"/>
        </w:rPr>
        <w:t xml:space="preserve"> which is near zero</w:t>
      </w:r>
      <w:r w:rsidR="001C6BC8">
        <w:rPr>
          <w:rFonts w:ascii="Times New Roman" w:hAnsi="Times New Roman" w:cs="Times New Roman"/>
          <w:sz w:val="24"/>
          <w:szCs w:val="24"/>
        </w:rPr>
        <w:t xml:space="preserve"> and the coefficient of determination (r</w:t>
      </w:r>
      <w:r w:rsidR="001C6BC8" w:rsidRPr="001C6BC8">
        <w:rPr>
          <w:rFonts w:ascii="Times New Roman" w:hAnsi="Times New Roman" w:cs="Times New Roman"/>
          <w:sz w:val="24"/>
          <w:szCs w:val="24"/>
          <w:vertAlign w:val="superscript"/>
        </w:rPr>
        <w:t>2</w:t>
      </w:r>
      <w:r w:rsidR="002A6636">
        <w:rPr>
          <w:rFonts w:ascii="Times New Roman" w:hAnsi="Times New Roman" w:cs="Times New Roman"/>
          <w:sz w:val="24"/>
          <w:szCs w:val="24"/>
        </w:rPr>
        <w:t>) is 0.006578208</w:t>
      </w:r>
      <w:r w:rsidR="001C6BC8">
        <w:rPr>
          <w:rFonts w:ascii="Times New Roman" w:hAnsi="Times New Roman" w:cs="Times New Roman"/>
          <w:sz w:val="24"/>
          <w:szCs w:val="24"/>
        </w:rPr>
        <w:t>.</w:t>
      </w:r>
      <w:r>
        <w:rPr>
          <w:rFonts w:ascii="Times New Roman" w:hAnsi="Times New Roman" w:cs="Times New Roman"/>
          <w:sz w:val="24"/>
          <w:szCs w:val="24"/>
        </w:rPr>
        <w:t xml:space="preserve"> It indicates that there is little or no linear relationship between the two numerical variables.</w:t>
      </w:r>
    </w:p>
    <w:p w:rsidR="00F0284F" w:rsidRDefault="00F0284F" w:rsidP="003330C9">
      <w:pPr>
        <w:spacing w:after="0" w:line="360" w:lineRule="auto"/>
        <w:rPr>
          <w:rFonts w:ascii="Times New Roman" w:hAnsi="Times New Roman" w:cs="Times New Roman"/>
          <w:sz w:val="24"/>
          <w:szCs w:val="24"/>
        </w:rPr>
      </w:pPr>
    </w:p>
    <w:p w:rsidR="00F0284F" w:rsidRDefault="00F0284F"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To test the coefficient of correlation, we construct the following hypotheses:</w:t>
      </w:r>
    </w:p>
    <w:p w:rsidR="00F0284F" w:rsidRDefault="00F0284F" w:rsidP="003330C9">
      <w:pPr>
        <w:spacing w:after="0" w:line="360" w:lineRule="auto"/>
        <w:rPr>
          <w:rFonts w:ascii="Times New Roman" w:hAnsi="Times New Roman" w:cs="Times New Roman"/>
          <w:sz w:val="24"/>
          <w:szCs w:val="24"/>
        </w:rPr>
      </w:pPr>
    </w:p>
    <w:p w:rsidR="00F0284F" w:rsidRDefault="00F0284F"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H</w:t>
      </w:r>
      <w:r w:rsidRPr="00CC69F3">
        <w:rPr>
          <w:rFonts w:ascii="Times New Roman" w:hAnsi="Times New Roman" w:cs="Times New Roman"/>
          <w:sz w:val="24"/>
          <w:szCs w:val="24"/>
          <w:vertAlign w:val="subscript"/>
        </w:rPr>
        <w:t>0</w:t>
      </w:r>
      <w:r>
        <w:rPr>
          <w:rFonts w:ascii="Times New Roman" w:hAnsi="Times New Roman" w:cs="Times New Roman"/>
          <w:sz w:val="24"/>
          <w:szCs w:val="24"/>
        </w:rPr>
        <w:t>: ρ = 0</w:t>
      </w:r>
    </w:p>
    <w:p w:rsidR="00F0284F" w:rsidRDefault="00F0284F"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H</w:t>
      </w:r>
      <w:r w:rsidRPr="00CC69F3">
        <w:rPr>
          <w:rFonts w:ascii="Times New Roman" w:hAnsi="Times New Roman" w:cs="Times New Roman"/>
          <w:sz w:val="24"/>
          <w:szCs w:val="24"/>
          <w:vertAlign w:val="subscript"/>
        </w:rPr>
        <w:t>1</w:t>
      </w:r>
      <w:r>
        <w:rPr>
          <w:rFonts w:ascii="Times New Roman" w:hAnsi="Times New Roman" w:cs="Times New Roman"/>
          <w:sz w:val="24"/>
          <w:szCs w:val="24"/>
        </w:rPr>
        <w:t>: ρ ≠ 0</w:t>
      </w:r>
    </w:p>
    <w:p w:rsidR="00F0284F" w:rsidRDefault="00F0284F" w:rsidP="003330C9">
      <w:pPr>
        <w:spacing w:after="0" w:line="360" w:lineRule="auto"/>
        <w:rPr>
          <w:rFonts w:ascii="Times New Roman" w:hAnsi="Times New Roman" w:cs="Times New Roman"/>
          <w:sz w:val="24"/>
          <w:szCs w:val="24"/>
        </w:rPr>
      </w:pPr>
    </w:p>
    <w:p w:rsidR="00F0284F" w:rsidRDefault="00F0284F"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As the p-value for coefficie</w:t>
      </w:r>
      <w:r w:rsidR="002A6636">
        <w:rPr>
          <w:rFonts w:ascii="Times New Roman" w:hAnsi="Times New Roman" w:cs="Times New Roman"/>
          <w:sz w:val="24"/>
          <w:szCs w:val="24"/>
        </w:rPr>
        <w:t xml:space="preserve">nt of correlation is 0.64 </w:t>
      </w:r>
      <w:r>
        <w:rPr>
          <w:rFonts w:ascii="Times New Roman" w:hAnsi="Times New Roman" w:cs="Times New Roman"/>
          <w:sz w:val="24"/>
          <w:szCs w:val="24"/>
        </w:rPr>
        <w:t xml:space="preserve">which is larger than </w:t>
      </w:r>
      <w:r w:rsidR="002A6636">
        <w:rPr>
          <w:rFonts w:ascii="Times New Roman" w:hAnsi="Times New Roman" w:cs="Times New Roman"/>
          <w:sz w:val="24"/>
          <w:szCs w:val="24"/>
        </w:rPr>
        <w:t xml:space="preserve">the </w:t>
      </w:r>
      <w:r>
        <w:rPr>
          <w:rFonts w:ascii="Times New Roman" w:hAnsi="Times New Roman" w:cs="Times New Roman"/>
          <w:sz w:val="24"/>
          <w:szCs w:val="24"/>
        </w:rPr>
        <w:t>alpha (α</w:t>
      </w:r>
      <w:r w:rsidR="00724129">
        <w:rPr>
          <w:rFonts w:ascii="Times New Roman" w:hAnsi="Times New Roman" w:cs="Times New Roman"/>
          <w:sz w:val="24"/>
          <w:szCs w:val="24"/>
        </w:rPr>
        <w:t>) of 0.05</w:t>
      </w:r>
      <w:r>
        <w:rPr>
          <w:rFonts w:ascii="Times New Roman" w:hAnsi="Times New Roman" w:cs="Times New Roman"/>
          <w:sz w:val="24"/>
          <w:szCs w:val="24"/>
        </w:rPr>
        <w:t>, we do not reject H</w:t>
      </w:r>
      <w:r w:rsidRPr="00CD5049">
        <w:rPr>
          <w:rFonts w:ascii="Times New Roman" w:hAnsi="Times New Roman" w:cs="Times New Roman"/>
          <w:sz w:val="24"/>
          <w:szCs w:val="24"/>
          <w:vertAlign w:val="subscript"/>
        </w:rPr>
        <w:t>0</w:t>
      </w:r>
      <w:r>
        <w:rPr>
          <w:rFonts w:ascii="Times New Roman" w:hAnsi="Times New Roman" w:cs="Times New Roman"/>
          <w:sz w:val="24"/>
          <w:szCs w:val="24"/>
        </w:rPr>
        <w:t>. The result is not statistically significant</w:t>
      </w:r>
      <w:r w:rsidR="00D520AB" w:rsidRPr="00D520AB">
        <w:rPr>
          <w:rFonts w:ascii="Times New Roman" w:hAnsi="Times New Roman" w:cs="Times New Roman"/>
          <w:sz w:val="24"/>
          <w:szCs w:val="24"/>
        </w:rPr>
        <w:t xml:space="preserve"> </w:t>
      </w:r>
      <w:r w:rsidR="00F6143F">
        <w:rPr>
          <w:rFonts w:ascii="Times New Roman" w:hAnsi="Times New Roman" w:cs="Times New Roman"/>
          <w:sz w:val="24"/>
          <w:szCs w:val="24"/>
        </w:rPr>
        <w:t>at the 5% level of signific</w:t>
      </w:r>
      <w:r w:rsidR="00D520AB">
        <w:rPr>
          <w:rFonts w:ascii="Times New Roman" w:hAnsi="Times New Roman" w:cs="Times New Roman"/>
          <w:sz w:val="24"/>
          <w:szCs w:val="24"/>
        </w:rPr>
        <w:t>ance</w:t>
      </w:r>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As such, there is </w:t>
      </w:r>
      <w:r w:rsidR="002A6636">
        <w:rPr>
          <w:rFonts w:ascii="Times New Roman" w:hAnsi="Times New Roman" w:cs="Times New Roman"/>
          <w:sz w:val="24"/>
          <w:szCs w:val="24"/>
        </w:rPr>
        <w:t xml:space="preserve">no </w:t>
      </w:r>
      <w:r w:rsidR="00A713FB">
        <w:rPr>
          <w:rFonts w:ascii="Times New Roman" w:hAnsi="Times New Roman" w:cs="Times New Roman"/>
          <w:sz w:val="24"/>
          <w:szCs w:val="24"/>
        </w:rPr>
        <w:t>sufficient evidence to infer</w:t>
      </w:r>
      <w:r>
        <w:rPr>
          <w:rFonts w:ascii="Times New Roman" w:hAnsi="Times New Roman" w:cs="Times New Roman"/>
          <w:sz w:val="24"/>
          <w:szCs w:val="24"/>
        </w:rPr>
        <w:t xml:space="preserve"> that there is a linear relationship between the annualised share price volatility and corporate governance compliance index.</w:t>
      </w:r>
    </w:p>
    <w:p w:rsidR="00196AD7" w:rsidRDefault="00196AD7" w:rsidP="003330C9">
      <w:pPr>
        <w:spacing w:after="0" w:line="360" w:lineRule="auto"/>
        <w:rPr>
          <w:rFonts w:ascii="Times New Roman" w:hAnsi="Times New Roman" w:cs="Times New Roman"/>
          <w:sz w:val="24"/>
          <w:szCs w:val="24"/>
        </w:rPr>
      </w:pPr>
    </w:p>
    <w:p w:rsidR="00196AD7" w:rsidRPr="009F3EC2" w:rsidRDefault="00C07CFB" w:rsidP="003330C9">
      <w:pPr>
        <w:spacing w:after="0" w:line="360" w:lineRule="auto"/>
        <w:rPr>
          <w:rFonts w:ascii="Times New Roman" w:hAnsi="Times New Roman" w:cs="Times New Roman"/>
          <w:sz w:val="24"/>
          <w:szCs w:val="24"/>
          <w:u w:val="single"/>
        </w:rPr>
      </w:pPr>
      <w:r w:rsidRPr="009F3EC2">
        <w:rPr>
          <w:rFonts w:ascii="Times New Roman" w:hAnsi="Times New Roman" w:cs="Times New Roman"/>
          <w:sz w:val="24"/>
          <w:szCs w:val="24"/>
          <w:u w:val="single"/>
        </w:rPr>
        <w:t>(xiv) Inferential statistics – Linear regression model analysis related to Research Question 3</w:t>
      </w:r>
    </w:p>
    <w:p w:rsidR="00196AD7" w:rsidRDefault="00196AD7" w:rsidP="003330C9">
      <w:pPr>
        <w:spacing w:after="0" w:line="360" w:lineRule="auto"/>
        <w:rPr>
          <w:rFonts w:ascii="Times New Roman" w:hAnsi="Times New Roman" w:cs="Times New Roman"/>
          <w:sz w:val="24"/>
          <w:szCs w:val="24"/>
        </w:rPr>
      </w:pPr>
    </w:p>
    <w:p w:rsidR="00196AD7" w:rsidRDefault="00B8338A"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Research Question 3 is to examine whether there is any relationship between the annualised share price volatility and level of corporate governance compliance. As such, a </w:t>
      </w:r>
      <w:r w:rsidR="00196AD7">
        <w:rPr>
          <w:rFonts w:ascii="Times New Roman" w:hAnsi="Times New Roman" w:cs="Times New Roman"/>
          <w:sz w:val="24"/>
          <w:szCs w:val="24"/>
        </w:rPr>
        <w:t xml:space="preserve">linear regression </w:t>
      </w:r>
      <w:r>
        <w:rPr>
          <w:rFonts w:ascii="Times New Roman" w:hAnsi="Times New Roman" w:cs="Times New Roman"/>
          <w:sz w:val="24"/>
          <w:szCs w:val="24"/>
        </w:rPr>
        <w:t>equation is constructed as follows:</w:t>
      </w:r>
    </w:p>
    <w:p w:rsidR="00196AD7" w:rsidRDefault="00196AD7" w:rsidP="003330C9">
      <w:pPr>
        <w:spacing w:after="0" w:line="360" w:lineRule="auto"/>
        <w:rPr>
          <w:rFonts w:ascii="Times New Roman" w:hAnsi="Times New Roman" w:cs="Times New Roman"/>
          <w:sz w:val="24"/>
          <w:szCs w:val="24"/>
        </w:rPr>
      </w:pPr>
    </w:p>
    <w:p w:rsidR="00196AD7" w:rsidRDefault="00196AD7" w:rsidP="003330C9">
      <w:pPr>
        <w:spacing w:after="0" w:line="360" w:lineRule="auto"/>
        <w:rPr>
          <w:rFonts w:ascii="Times New Roman" w:hAnsi="Times New Roman" w:cs="Times New Roman"/>
          <w:sz w:val="24"/>
          <w:szCs w:val="24"/>
          <w:vertAlign w:val="subscript"/>
        </w:rPr>
      </w:pPr>
      <w:r>
        <w:rPr>
          <w:rFonts w:ascii="Times New Roman" w:hAnsi="Times New Roman" w:cs="Times New Roman"/>
          <w:sz w:val="24"/>
          <w:szCs w:val="24"/>
        </w:rPr>
        <w:t>Ŷ = b</w:t>
      </w:r>
      <w:r w:rsidRPr="002936E4">
        <w:rPr>
          <w:rFonts w:ascii="Times New Roman" w:hAnsi="Times New Roman" w:cs="Times New Roman"/>
          <w:sz w:val="24"/>
          <w:szCs w:val="24"/>
          <w:vertAlign w:val="subscript"/>
        </w:rPr>
        <w:t>0</w:t>
      </w:r>
      <w:r>
        <w:rPr>
          <w:rFonts w:ascii="Times New Roman" w:hAnsi="Times New Roman" w:cs="Times New Roman"/>
          <w:sz w:val="24"/>
          <w:szCs w:val="24"/>
        </w:rPr>
        <w:t xml:space="preserve"> +b</w:t>
      </w:r>
      <w:r w:rsidRPr="002936E4">
        <w:rPr>
          <w:rFonts w:ascii="Times New Roman" w:hAnsi="Times New Roman" w:cs="Times New Roman"/>
          <w:sz w:val="24"/>
          <w:szCs w:val="24"/>
          <w:vertAlign w:val="subscript"/>
        </w:rPr>
        <w:t>1</w:t>
      </w:r>
      <w:r>
        <w:rPr>
          <w:rFonts w:ascii="Times New Roman" w:hAnsi="Times New Roman" w:cs="Times New Roman"/>
          <w:sz w:val="24"/>
          <w:szCs w:val="24"/>
        </w:rPr>
        <w:t>X</w:t>
      </w:r>
      <w:r w:rsidR="00A11A9F">
        <w:rPr>
          <w:rFonts w:ascii="Times New Roman" w:hAnsi="Times New Roman" w:cs="Times New Roman"/>
          <w:sz w:val="24"/>
          <w:szCs w:val="24"/>
          <w:vertAlign w:val="subscript"/>
        </w:rPr>
        <w:t>1</w:t>
      </w:r>
    </w:p>
    <w:p w:rsidR="00196AD7" w:rsidRDefault="00196AD7" w:rsidP="003330C9">
      <w:pPr>
        <w:spacing w:after="0" w:line="360" w:lineRule="auto"/>
        <w:rPr>
          <w:rFonts w:ascii="Times New Roman" w:hAnsi="Times New Roman" w:cs="Times New Roman"/>
          <w:sz w:val="24"/>
          <w:szCs w:val="24"/>
        </w:rPr>
      </w:pPr>
    </w:p>
    <w:p w:rsidR="00196AD7" w:rsidRDefault="00196AD7"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Ŷ</w:t>
      </w:r>
      <w:r w:rsidR="00A11A9F">
        <w:rPr>
          <w:rFonts w:ascii="Times New Roman" w:hAnsi="Times New Roman" w:cs="Times New Roman"/>
          <w:sz w:val="24"/>
          <w:szCs w:val="24"/>
          <w:vertAlign w:val="subscript"/>
        </w:rPr>
        <w:t xml:space="preserve"> </w:t>
      </w:r>
      <w:r>
        <w:rPr>
          <w:rFonts w:ascii="Times New Roman" w:hAnsi="Times New Roman" w:cs="Times New Roman"/>
          <w:sz w:val="24"/>
          <w:szCs w:val="24"/>
        </w:rPr>
        <w:t>= predicted value of Y (annualised share pri</w:t>
      </w:r>
      <w:r w:rsidR="00A11A9F">
        <w:rPr>
          <w:rFonts w:ascii="Times New Roman" w:hAnsi="Times New Roman" w:cs="Times New Roman"/>
          <w:sz w:val="24"/>
          <w:szCs w:val="24"/>
        </w:rPr>
        <w:t>ce volatility)</w:t>
      </w:r>
    </w:p>
    <w:p w:rsidR="00196AD7" w:rsidRDefault="00196AD7"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b</w:t>
      </w:r>
      <w:r w:rsidRPr="002936E4">
        <w:rPr>
          <w:rFonts w:ascii="Times New Roman" w:hAnsi="Times New Roman" w:cs="Times New Roman"/>
          <w:sz w:val="24"/>
          <w:szCs w:val="24"/>
          <w:vertAlign w:val="subscript"/>
        </w:rPr>
        <w:t>0</w:t>
      </w:r>
      <w:r>
        <w:rPr>
          <w:rFonts w:ascii="Times New Roman" w:hAnsi="Times New Roman" w:cs="Times New Roman"/>
          <w:sz w:val="24"/>
          <w:szCs w:val="24"/>
        </w:rPr>
        <w:t xml:space="preserve"> = sample Y intercept</w:t>
      </w:r>
    </w:p>
    <w:p w:rsidR="00196AD7" w:rsidRDefault="00196AD7"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b</w:t>
      </w:r>
      <w:r w:rsidRPr="002936E4">
        <w:rPr>
          <w:rFonts w:ascii="Times New Roman" w:hAnsi="Times New Roman" w:cs="Times New Roman"/>
          <w:sz w:val="24"/>
          <w:szCs w:val="24"/>
          <w:vertAlign w:val="subscript"/>
        </w:rPr>
        <w:t>1</w:t>
      </w:r>
      <w:r>
        <w:rPr>
          <w:rFonts w:ascii="Times New Roman" w:hAnsi="Times New Roman" w:cs="Times New Roman"/>
          <w:sz w:val="24"/>
          <w:szCs w:val="24"/>
        </w:rPr>
        <w:t xml:space="preserve"> = sample slope</w:t>
      </w:r>
    </w:p>
    <w:p w:rsidR="00196AD7" w:rsidRDefault="00196AD7"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X</w:t>
      </w:r>
      <w:r w:rsidR="00A11A9F">
        <w:rPr>
          <w:rFonts w:ascii="Times New Roman" w:hAnsi="Times New Roman" w:cs="Times New Roman"/>
          <w:sz w:val="24"/>
          <w:szCs w:val="24"/>
          <w:vertAlign w:val="subscript"/>
        </w:rPr>
        <w:t>1</w:t>
      </w:r>
      <w:r>
        <w:rPr>
          <w:rFonts w:ascii="Times New Roman" w:hAnsi="Times New Roman" w:cs="Times New Roman"/>
          <w:sz w:val="24"/>
          <w:szCs w:val="24"/>
        </w:rPr>
        <w:t xml:space="preserve"> = value of X</w:t>
      </w:r>
      <w:r w:rsidR="00A11A9F" w:rsidRPr="00A11A9F">
        <w:rPr>
          <w:rFonts w:ascii="Times New Roman" w:hAnsi="Times New Roman" w:cs="Times New Roman"/>
          <w:sz w:val="24"/>
          <w:szCs w:val="24"/>
          <w:vertAlign w:val="subscript"/>
        </w:rPr>
        <w:t>1</w:t>
      </w:r>
      <w:r>
        <w:rPr>
          <w:rFonts w:ascii="Times New Roman" w:hAnsi="Times New Roman" w:cs="Times New Roman"/>
          <w:sz w:val="24"/>
          <w:szCs w:val="24"/>
        </w:rPr>
        <w:t xml:space="preserve"> (corporate governance com</w:t>
      </w:r>
      <w:r w:rsidR="00A11A9F">
        <w:rPr>
          <w:rFonts w:ascii="Times New Roman" w:hAnsi="Times New Roman" w:cs="Times New Roman"/>
          <w:sz w:val="24"/>
          <w:szCs w:val="24"/>
        </w:rPr>
        <w:t>pliance index)</w:t>
      </w:r>
    </w:p>
    <w:p w:rsidR="00196AD7" w:rsidRDefault="00196AD7" w:rsidP="003330C9">
      <w:pPr>
        <w:spacing w:after="0" w:line="360" w:lineRule="auto"/>
        <w:rPr>
          <w:rFonts w:ascii="Times New Roman" w:hAnsi="Times New Roman" w:cs="Times New Roman"/>
          <w:sz w:val="24"/>
          <w:szCs w:val="24"/>
        </w:rPr>
      </w:pPr>
    </w:p>
    <w:p w:rsidR="00196AD7" w:rsidRDefault="00196AD7"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As shown in Table 11, b</w:t>
      </w:r>
      <w:r w:rsidRPr="002936E4">
        <w:rPr>
          <w:rFonts w:ascii="Times New Roman" w:hAnsi="Times New Roman" w:cs="Times New Roman"/>
          <w:sz w:val="24"/>
          <w:szCs w:val="24"/>
          <w:vertAlign w:val="subscript"/>
        </w:rPr>
        <w:t>0</w:t>
      </w:r>
      <w:r>
        <w:rPr>
          <w:rFonts w:ascii="Times New Roman" w:hAnsi="Times New Roman" w:cs="Times New Roman"/>
          <w:sz w:val="24"/>
          <w:szCs w:val="24"/>
          <w:vertAlign w:val="subscript"/>
        </w:rPr>
        <w:t xml:space="preserve"> </w:t>
      </w:r>
      <w:r w:rsidR="002A6636">
        <w:rPr>
          <w:rFonts w:ascii="Times New Roman" w:hAnsi="Times New Roman" w:cs="Times New Roman"/>
          <w:sz w:val="24"/>
          <w:szCs w:val="24"/>
        </w:rPr>
        <w:t>= 0.45</w:t>
      </w:r>
      <w:r>
        <w:rPr>
          <w:rFonts w:ascii="Times New Roman" w:hAnsi="Times New Roman" w:cs="Times New Roman"/>
          <w:sz w:val="24"/>
          <w:szCs w:val="24"/>
        </w:rPr>
        <w:t xml:space="preserve"> and b</w:t>
      </w:r>
      <w:r w:rsidRPr="002936E4">
        <w:rPr>
          <w:rFonts w:ascii="Times New Roman" w:hAnsi="Times New Roman" w:cs="Times New Roman"/>
          <w:sz w:val="24"/>
          <w:szCs w:val="24"/>
          <w:vertAlign w:val="subscript"/>
        </w:rPr>
        <w:t>1</w:t>
      </w:r>
      <w:r>
        <w:rPr>
          <w:rFonts w:ascii="Times New Roman" w:hAnsi="Times New Roman" w:cs="Times New Roman"/>
          <w:sz w:val="24"/>
          <w:szCs w:val="24"/>
          <w:vertAlign w:val="subscript"/>
        </w:rPr>
        <w:t xml:space="preserve"> </w:t>
      </w:r>
      <w:r>
        <w:rPr>
          <w:rFonts w:ascii="Times New Roman" w:hAnsi="Times New Roman" w:cs="Times New Roman"/>
          <w:sz w:val="24"/>
          <w:szCs w:val="24"/>
        </w:rPr>
        <w:t>= -0.007975409. Both coefficients are very small. To determine whether a linear regression model should be employed, it is important to assess how well the linear regression model fits the data because there may be in fact no relationship between the two variables. As such, the following two hypotheses are constructed:</w:t>
      </w:r>
    </w:p>
    <w:p w:rsidR="00196AD7" w:rsidRDefault="00196AD7" w:rsidP="003330C9">
      <w:pPr>
        <w:spacing w:after="0" w:line="360" w:lineRule="auto"/>
        <w:rPr>
          <w:rFonts w:ascii="Times New Roman" w:hAnsi="Times New Roman" w:cs="Times New Roman"/>
          <w:sz w:val="24"/>
          <w:szCs w:val="24"/>
        </w:rPr>
      </w:pPr>
    </w:p>
    <w:p w:rsidR="00196AD7" w:rsidRDefault="00196AD7"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H</w:t>
      </w:r>
      <w:r w:rsidRPr="00CC69F3">
        <w:rPr>
          <w:rFonts w:ascii="Times New Roman" w:hAnsi="Times New Roman" w:cs="Times New Roman"/>
          <w:sz w:val="24"/>
          <w:szCs w:val="24"/>
          <w:vertAlign w:val="subscript"/>
        </w:rPr>
        <w:t>0</w:t>
      </w:r>
      <w:r>
        <w:rPr>
          <w:rFonts w:ascii="Times New Roman" w:hAnsi="Times New Roman" w:cs="Times New Roman"/>
          <w:sz w:val="24"/>
          <w:szCs w:val="24"/>
        </w:rPr>
        <w:t>: β</w:t>
      </w:r>
      <w:r w:rsidRPr="008D21A1">
        <w:rPr>
          <w:rFonts w:ascii="Times New Roman" w:hAnsi="Times New Roman" w:cs="Times New Roman"/>
          <w:sz w:val="24"/>
          <w:szCs w:val="24"/>
          <w:vertAlign w:val="subscript"/>
        </w:rPr>
        <w:t>1</w:t>
      </w:r>
      <w:r>
        <w:rPr>
          <w:rFonts w:ascii="Times New Roman" w:hAnsi="Times New Roman" w:cs="Times New Roman"/>
          <w:sz w:val="24"/>
          <w:szCs w:val="24"/>
        </w:rPr>
        <w:t xml:space="preserve"> = 0</w:t>
      </w:r>
    </w:p>
    <w:p w:rsidR="00196AD7" w:rsidRDefault="00196AD7"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H</w:t>
      </w:r>
      <w:r w:rsidRPr="00CC69F3">
        <w:rPr>
          <w:rFonts w:ascii="Times New Roman" w:hAnsi="Times New Roman" w:cs="Times New Roman"/>
          <w:sz w:val="24"/>
          <w:szCs w:val="24"/>
          <w:vertAlign w:val="subscript"/>
        </w:rPr>
        <w:t>1</w:t>
      </w:r>
      <w:r>
        <w:rPr>
          <w:rFonts w:ascii="Times New Roman" w:hAnsi="Times New Roman" w:cs="Times New Roman"/>
          <w:sz w:val="24"/>
          <w:szCs w:val="24"/>
        </w:rPr>
        <w:t>: β</w:t>
      </w:r>
      <w:r w:rsidRPr="008D21A1">
        <w:rPr>
          <w:rFonts w:ascii="Times New Roman" w:hAnsi="Times New Roman" w:cs="Times New Roman"/>
          <w:sz w:val="24"/>
          <w:szCs w:val="24"/>
          <w:vertAlign w:val="subscript"/>
        </w:rPr>
        <w:t>1</w:t>
      </w:r>
      <w:r>
        <w:rPr>
          <w:rFonts w:ascii="Times New Roman" w:hAnsi="Times New Roman" w:cs="Times New Roman"/>
          <w:sz w:val="24"/>
          <w:szCs w:val="24"/>
        </w:rPr>
        <w:t xml:space="preserve"> ≠ 0</w:t>
      </w:r>
    </w:p>
    <w:p w:rsidR="00196AD7" w:rsidRDefault="0075369F"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As shown in Table 11</w:t>
      </w:r>
      <w:r w:rsidR="00196AD7">
        <w:rPr>
          <w:rFonts w:ascii="Times New Roman" w:hAnsi="Times New Roman" w:cs="Times New Roman"/>
          <w:sz w:val="24"/>
          <w:szCs w:val="24"/>
        </w:rPr>
        <w:t>, the p-value for</w:t>
      </w:r>
      <w:r w:rsidR="00196AD7" w:rsidRPr="006B4254">
        <w:rPr>
          <w:rFonts w:ascii="Times New Roman" w:hAnsi="Times New Roman" w:cs="Times New Roman"/>
          <w:sz w:val="24"/>
          <w:szCs w:val="24"/>
        </w:rPr>
        <w:t xml:space="preserve"> </w:t>
      </w:r>
      <w:r w:rsidR="00196AD7">
        <w:rPr>
          <w:rFonts w:ascii="Times New Roman" w:hAnsi="Times New Roman" w:cs="Times New Roman"/>
          <w:sz w:val="24"/>
          <w:szCs w:val="24"/>
        </w:rPr>
        <w:t>b</w:t>
      </w:r>
      <w:r w:rsidR="00196AD7" w:rsidRPr="002936E4">
        <w:rPr>
          <w:rFonts w:ascii="Times New Roman" w:hAnsi="Times New Roman" w:cs="Times New Roman"/>
          <w:sz w:val="24"/>
          <w:szCs w:val="24"/>
          <w:vertAlign w:val="subscript"/>
        </w:rPr>
        <w:t>1</w:t>
      </w:r>
      <w:r w:rsidR="002A6636">
        <w:rPr>
          <w:rFonts w:ascii="Times New Roman" w:hAnsi="Times New Roman" w:cs="Times New Roman"/>
          <w:sz w:val="24"/>
          <w:szCs w:val="24"/>
        </w:rPr>
        <w:t xml:space="preserve"> is 0.64</w:t>
      </w:r>
      <w:r w:rsidR="00196AD7">
        <w:rPr>
          <w:rFonts w:ascii="Times New Roman" w:hAnsi="Times New Roman" w:cs="Times New Roman"/>
          <w:sz w:val="24"/>
          <w:szCs w:val="24"/>
        </w:rPr>
        <w:t xml:space="preserve"> which is larger than </w:t>
      </w:r>
      <w:r w:rsidR="002A6636">
        <w:rPr>
          <w:rFonts w:ascii="Times New Roman" w:hAnsi="Times New Roman" w:cs="Times New Roman"/>
          <w:sz w:val="24"/>
          <w:szCs w:val="24"/>
        </w:rPr>
        <w:t xml:space="preserve">the </w:t>
      </w:r>
      <w:r w:rsidR="00196AD7">
        <w:rPr>
          <w:rFonts w:ascii="Times New Roman" w:hAnsi="Times New Roman" w:cs="Times New Roman"/>
          <w:sz w:val="24"/>
          <w:szCs w:val="24"/>
        </w:rPr>
        <w:t>alpha (α) of 0.05, we do not reject H</w:t>
      </w:r>
      <w:r w:rsidR="00196AD7" w:rsidRPr="00CC69F3">
        <w:rPr>
          <w:rFonts w:ascii="Times New Roman" w:hAnsi="Times New Roman" w:cs="Times New Roman"/>
          <w:sz w:val="24"/>
          <w:szCs w:val="24"/>
          <w:vertAlign w:val="subscript"/>
        </w:rPr>
        <w:t>0</w:t>
      </w:r>
      <w:r w:rsidR="00196AD7">
        <w:rPr>
          <w:rFonts w:ascii="Times New Roman" w:hAnsi="Times New Roman" w:cs="Times New Roman"/>
          <w:sz w:val="24"/>
          <w:szCs w:val="24"/>
          <w:vertAlign w:val="subscript"/>
        </w:rPr>
        <w:t xml:space="preserve">. </w:t>
      </w:r>
      <w:r w:rsidR="00196AD7">
        <w:rPr>
          <w:rFonts w:ascii="Times New Roman" w:hAnsi="Times New Roman" w:cs="Times New Roman"/>
          <w:sz w:val="24"/>
          <w:szCs w:val="24"/>
        </w:rPr>
        <w:t xml:space="preserve">There is no </w:t>
      </w:r>
      <w:r w:rsidR="002A6636">
        <w:rPr>
          <w:rFonts w:ascii="Times New Roman" w:hAnsi="Times New Roman" w:cs="Times New Roman"/>
          <w:sz w:val="24"/>
          <w:szCs w:val="24"/>
        </w:rPr>
        <w:t xml:space="preserve">sufficient </w:t>
      </w:r>
      <w:r w:rsidR="00196AD7">
        <w:rPr>
          <w:rFonts w:ascii="Times New Roman" w:hAnsi="Times New Roman" w:cs="Times New Roman"/>
          <w:sz w:val="24"/>
          <w:szCs w:val="24"/>
        </w:rPr>
        <w:t>evidence to infer that β</w:t>
      </w:r>
      <w:r w:rsidR="00196AD7" w:rsidRPr="008D21A1">
        <w:rPr>
          <w:rFonts w:ascii="Times New Roman" w:hAnsi="Times New Roman" w:cs="Times New Roman"/>
          <w:sz w:val="24"/>
          <w:szCs w:val="24"/>
          <w:vertAlign w:val="subscript"/>
        </w:rPr>
        <w:t>1</w:t>
      </w:r>
      <w:r w:rsidR="00196AD7">
        <w:rPr>
          <w:rFonts w:ascii="Times New Roman" w:hAnsi="Times New Roman" w:cs="Times New Roman"/>
          <w:sz w:val="24"/>
          <w:szCs w:val="24"/>
        </w:rPr>
        <w:t xml:space="preserve"> ≠ 0</w:t>
      </w:r>
      <w:r w:rsidR="00F6143F" w:rsidRPr="00F6143F">
        <w:rPr>
          <w:rFonts w:ascii="Times New Roman" w:hAnsi="Times New Roman" w:cs="Times New Roman"/>
          <w:sz w:val="24"/>
          <w:szCs w:val="24"/>
        </w:rPr>
        <w:t xml:space="preserve"> </w:t>
      </w:r>
      <w:r w:rsidR="00F6143F">
        <w:rPr>
          <w:rFonts w:ascii="Times New Roman" w:hAnsi="Times New Roman" w:cs="Times New Roman"/>
          <w:sz w:val="24"/>
          <w:szCs w:val="24"/>
        </w:rPr>
        <w:t>at the 5% level of significance</w:t>
      </w:r>
      <w:r w:rsidR="009658BE">
        <w:rPr>
          <w:rFonts w:ascii="Times New Roman" w:hAnsi="Times New Roman" w:cs="Times New Roman"/>
          <w:sz w:val="24"/>
          <w:szCs w:val="24"/>
        </w:rPr>
        <w:t xml:space="preserve">. As such, there is no </w:t>
      </w:r>
      <w:r w:rsidR="00A713FB">
        <w:rPr>
          <w:rFonts w:ascii="Times New Roman" w:hAnsi="Times New Roman" w:cs="Times New Roman"/>
          <w:sz w:val="24"/>
          <w:szCs w:val="24"/>
        </w:rPr>
        <w:t>sufficient evidence to infer</w:t>
      </w:r>
      <w:r w:rsidR="00196AD7">
        <w:rPr>
          <w:rFonts w:ascii="Times New Roman" w:hAnsi="Times New Roman" w:cs="Times New Roman"/>
          <w:sz w:val="24"/>
          <w:szCs w:val="24"/>
        </w:rPr>
        <w:t xml:space="preserve"> that there is a linear relationship between the annualised share price volatility and corporate governance compliance index.</w:t>
      </w:r>
    </w:p>
    <w:p w:rsidR="00196AD7" w:rsidRDefault="00196AD7" w:rsidP="003330C9">
      <w:pPr>
        <w:spacing w:after="0" w:line="360" w:lineRule="auto"/>
        <w:rPr>
          <w:rFonts w:ascii="Times New Roman" w:hAnsi="Times New Roman" w:cs="Times New Roman"/>
          <w:sz w:val="24"/>
          <w:szCs w:val="24"/>
        </w:rPr>
      </w:pPr>
    </w:p>
    <w:p w:rsidR="001C54DE" w:rsidRDefault="00F0284F"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Table 11</w:t>
      </w:r>
      <w:r w:rsidR="001C54DE">
        <w:rPr>
          <w:rFonts w:ascii="Times New Roman" w:hAnsi="Times New Roman" w:cs="Times New Roman"/>
          <w:sz w:val="24"/>
          <w:szCs w:val="24"/>
        </w:rPr>
        <w:t xml:space="preserve"> – Linear regression (Annualised share price volatility and corporate governance compliance index)</w:t>
      </w:r>
    </w:p>
    <w:p w:rsidR="0021407A" w:rsidRDefault="006060E8" w:rsidP="003330C9">
      <w:pPr>
        <w:spacing w:after="0" w:line="360" w:lineRule="auto"/>
        <w:rPr>
          <w:rFonts w:ascii="Times New Roman" w:hAnsi="Times New Roman" w:cs="Times New Roman"/>
          <w:sz w:val="24"/>
          <w:szCs w:val="24"/>
        </w:rPr>
      </w:pPr>
      <w:r w:rsidRPr="006060E8">
        <w:rPr>
          <w:noProof/>
        </w:rPr>
        <w:lastRenderedPageBreak/>
        <w:drawing>
          <wp:inline distT="0" distB="0" distL="0" distR="0">
            <wp:extent cx="5731510" cy="2148446"/>
            <wp:effectExtent l="0" t="0" r="254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148446"/>
                    </a:xfrm>
                    <a:prstGeom prst="rect">
                      <a:avLst/>
                    </a:prstGeom>
                    <a:noFill/>
                    <a:ln>
                      <a:noFill/>
                    </a:ln>
                  </pic:spPr>
                </pic:pic>
              </a:graphicData>
            </a:graphic>
          </wp:inline>
        </w:drawing>
      </w:r>
    </w:p>
    <w:p w:rsidR="00A23D15" w:rsidRDefault="00A23D15" w:rsidP="003330C9">
      <w:pPr>
        <w:spacing w:after="0" w:line="360" w:lineRule="auto"/>
        <w:rPr>
          <w:rFonts w:ascii="Times New Roman" w:hAnsi="Times New Roman" w:cs="Times New Roman"/>
          <w:sz w:val="24"/>
          <w:szCs w:val="24"/>
        </w:rPr>
      </w:pPr>
    </w:p>
    <w:p w:rsidR="00CB4D75" w:rsidRPr="009F3EC2" w:rsidRDefault="007D1CB3" w:rsidP="003330C9">
      <w:pPr>
        <w:spacing w:line="360" w:lineRule="auto"/>
        <w:rPr>
          <w:rFonts w:ascii="Times New Roman" w:hAnsi="Times New Roman" w:cs="Times New Roman"/>
          <w:b/>
          <w:sz w:val="24"/>
          <w:szCs w:val="24"/>
        </w:rPr>
      </w:pPr>
      <w:r w:rsidRPr="009F3EC2">
        <w:rPr>
          <w:rFonts w:ascii="Times New Roman" w:hAnsi="Times New Roman" w:cs="Times New Roman"/>
          <w:b/>
          <w:sz w:val="24"/>
          <w:szCs w:val="24"/>
        </w:rPr>
        <w:t xml:space="preserve">4.2 </w:t>
      </w:r>
      <w:r w:rsidR="00E905C9" w:rsidRPr="009F3EC2">
        <w:rPr>
          <w:rFonts w:ascii="Times New Roman" w:hAnsi="Times New Roman" w:cs="Times New Roman"/>
          <w:b/>
          <w:sz w:val="24"/>
          <w:szCs w:val="24"/>
        </w:rPr>
        <w:t xml:space="preserve">Measurement of Constructs - </w:t>
      </w:r>
      <w:r w:rsidR="00CB4D75" w:rsidRPr="009F3EC2">
        <w:rPr>
          <w:rFonts w:ascii="Times New Roman" w:hAnsi="Times New Roman" w:cs="Times New Roman"/>
          <w:b/>
          <w:sz w:val="24"/>
          <w:szCs w:val="24"/>
        </w:rPr>
        <w:t>Reliability and Validity</w:t>
      </w:r>
    </w:p>
    <w:p w:rsidR="00EA727E" w:rsidRDefault="00CB4D75"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Reliability is a degree to which a research instrume</w:t>
      </w:r>
      <w:r w:rsidR="00E905C9">
        <w:rPr>
          <w:rFonts w:ascii="Times New Roman" w:hAnsi="Times New Roman" w:cs="Times New Roman"/>
          <w:sz w:val="24"/>
          <w:szCs w:val="24"/>
        </w:rPr>
        <w:t xml:space="preserve">nt produces consistent results. </w:t>
      </w:r>
      <w:r w:rsidR="00A33B46">
        <w:rPr>
          <w:rFonts w:ascii="Times New Roman" w:hAnsi="Times New Roman" w:cs="Times New Roman"/>
          <w:sz w:val="24"/>
          <w:szCs w:val="24"/>
        </w:rPr>
        <w:t xml:space="preserve">It is fundamentally concerned with issues of consistency measures. </w:t>
      </w:r>
      <w:r w:rsidR="00EA727E">
        <w:rPr>
          <w:rFonts w:ascii="Times New Roman" w:hAnsi="Times New Roman" w:cs="Times New Roman"/>
          <w:sz w:val="24"/>
          <w:szCs w:val="24"/>
        </w:rPr>
        <w:t>According to Black (1999), reliability is an indication of consistency between two measures of the same thing. These measures could be:</w:t>
      </w:r>
    </w:p>
    <w:p w:rsidR="00EA727E" w:rsidRPr="00EA727E" w:rsidRDefault="00EA727E" w:rsidP="003330C9">
      <w:pPr>
        <w:pStyle w:val="ListParagraph"/>
        <w:numPr>
          <w:ilvl w:val="0"/>
          <w:numId w:val="7"/>
        </w:numPr>
        <w:spacing w:after="0" w:line="360" w:lineRule="auto"/>
        <w:rPr>
          <w:rFonts w:ascii="Times New Roman" w:hAnsi="Times New Roman" w:cs="Times New Roman"/>
          <w:sz w:val="24"/>
          <w:szCs w:val="24"/>
        </w:rPr>
      </w:pPr>
      <w:r w:rsidRPr="00EA727E">
        <w:rPr>
          <w:rFonts w:ascii="Times New Roman" w:hAnsi="Times New Roman" w:cs="Times New Roman"/>
          <w:sz w:val="24"/>
          <w:szCs w:val="24"/>
        </w:rPr>
        <w:t>Two separate research instruments.</w:t>
      </w:r>
    </w:p>
    <w:p w:rsidR="00EA727E" w:rsidRPr="00EA727E" w:rsidRDefault="00EA727E" w:rsidP="003330C9">
      <w:pPr>
        <w:pStyle w:val="ListParagraph"/>
        <w:numPr>
          <w:ilvl w:val="0"/>
          <w:numId w:val="7"/>
        </w:numPr>
        <w:spacing w:after="0" w:line="360" w:lineRule="auto"/>
        <w:rPr>
          <w:rFonts w:ascii="Times New Roman" w:hAnsi="Times New Roman" w:cs="Times New Roman"/>
          <w:sz w:val="24"/>
          <w:szCs w:val="24"/>
        </w:rPr>
      </w:pPr>
      <w:r w:rsidRPr="00EA727E">
        <w:rPr>
          <w:rFonts w:ascii="Times New Roman" w:hAnsi="Times New Roman" w:cs="Times New Roman"/>
          <w:sz w:val="24"/>
          <w:szCs w:val="24"/>
        </w:rPr>
        <w:t>Two similar halves of a research instrument (eg two halves of a questionnaire).</w:t>
      </w:r>
    </w:p>
    <w:p w:rsidR="00EA727E" w:rsidRPr="00EA727E" w:rsidRDefault="00EA727E" w:rsidP="003330C9">
      <w:pPr>
        <w:pStyle w:val="ListParagraph"/>
        <w:numPr>
          <w:ilvl w:val="0"/>
          <w:numId w:val="7"/>
        </w:numPr>
        <w:spacing w:after="0" w:line="360" w:lineRule="auto"/>
        <w:rPr>
          <w:rFonts w:ascii="Times New Roman" w:hAnsi="Times New Roman" w:cs="Times New Roman"/>
          <w:sz w:val="24"/>
          <w:szCs w:val="24"/>
        </w:rPr>
      </w:pPr>
      <w:r w:rsidRPr="00EA727E">
        <w:rPr>
          <w:rFonts w:ascii="Times New Roman" w:hAnsi="Times New Roman" w:cs="Times New Roman"/>
          <w:sz w:val="24"/>
          <w:szCs w:val="24"/>
        </w:rPr>
        <w:t>The same research instrument applied on two occasions.</w:t>
      </w:r>
    </w:p>
    <w:p w:rsidR="00EA727E" w:rsidRPr="00EA727E" w:rsidRDefault="00EA727E" w:rsidP="003330C9">
      <w:pPr>
        <w:pStyle w:val="ListParagraph"/>
        <w:numPr>
          <w:ilvl w:val="0"/>
          <w:numId w:val="7"/>
        </w:numPr>
        <w:spacing w:after="0" w:line="360" w:lineRule="auto"/>
        <w:rPr>
          <w:rFonts w:ascii="Times New Roman" w:hAnsi="Times New Roman" w:cs="Times New Roman"/>
          <w:sz w:val="24"/>
          <w:szCs w:val="24"/>
        </w:rPr>
      </w:pPr>
      <w:r w:rsidRPr="00EA727E">
        <w:rPr>
          <w:rFonts w:ascii="Times New Roman" w:hAnsi="Times New Roman" w:cs="Times New Roman"/>
          <w:sz w:val="24"/>
          <w:szCs w:val="24"/>
        </w:rPr>
        <w:t>The same research instrument administered by two different people.</w:t>
      </w:r>
    </w:p>
    <w:p w:rsidR="00EA727E" w:rsidRDefault="00EA727E" w:rsidP="003330C9">
      <w:pPr>
        <w:spacing w:after="0" w:line="360" w:lineRule="auto"/>
        <w:rPr>
          <w:rFonts w:ascii="Times New Roman" w:hAnsi="Times New Roman" w:cs="Times New Roman"/>
          <w:sz w:val="24"/>
          <w:szCs w:val="24"/>
        </w:rPr>
      </w:pPr>
    </w:p>
    <w:p w:rsidR="0039055A" w:rsidRDefault="0039055A"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There are several ways of determining reliability, with test-retest </w:t>
      </w:r>
      <w:r w:rsidR="00A74091">
        <w:rPr>
          <w:rFonts w:ascii="Times New Roman" w:hAnsi="Times New Roman" w:cs="Times New Roman"/>
          <w:sz w:val="24"/>
          <w:szCs w:val="24"/>
        </w:rPr>
        <w:t xml:space="preserve">reliability </w:t>
      </w:r>
      <w:r>
        <w:rPr>
          <w:rFonts w:ascii="Times New Roman" w:hAnsi="Times New Roman" w:cs="Times New Roman"/>
          <w:sz w:val="24"/>
          <w:szCs w:val="24"/>
        </w:rPr>
        <w:t xml:space="preserve">and internal consistency </w:t>
      </w:r>
      <w:r w:rsidR="00A74091">
        <w:rPr>
          <w:rFonts w:ascii="Times New Roman" w:hAnsi="Times New Roman" w:cs="Times New Roman"/>
          <w:sz w:val="24"/>
          <w:szCs w:val="24"/>
        </w:rPr>
        <w:t xml:space="preserve">reliability </w:t>
      </w:r>
      <w:r>
        <w:rPr>
          <w:rFonts w:ascii="Times New Roman" w:hAnsi="Times New Roman" w:cs="Times New Roman"/>
          <w:sz w:val="24"/>
          <w:szCs w:val="24"/>
        </w:rPr>
        <w:t>being among the most frequently employed and reported in research</w:t>
      </w:r>
      <w:r w:rsidR="00A74091">
        <w:rPr>
          <w:rFonts w:ascii="Times New Roman" w:hAnsi="Times New Roman" w:cs="Times New Roman"/>
          <w:sz w:val="24"/>
          <w:szCs w:val="24"/>
        </w:rPr>
        <w:t xml:space="preserve"> conducted in the organisational sciences</w:t>
      </w:r>
      <w:r>
        <w:rPr>
          <w:rFonts w:ascii="Times New Roman" w:hAnsi="Times New Roman" w:cs="Times New Roman"/>
          <w:sz w:val="24"/>
          <w:szCs w:val="24"/>
        </w:rPr>
        <w:t xml:space="preserve"> </w:t>
      </w:r>
      <w:r w:rsidR="0000046F">
        <w:rPr>
          <w:rFonts w:ascii="Times New Roman" w:hAnsi="Times New Roman" w:cs="Times New Roman"/>
          <w:noProof/>
          <w:sz w:val="24"/>
          <w:szCs w:val="24"/>
        </w:rPr>
        <w:t>(Pierce and</w:t>
      </w:r>
      <w:r w:rsidR="0000046F" w:rsidRPr="00A74091">
        <w:rPr>
          <w:rFonts w:ascii="Times New Roman" w:hAnsi="Times New Roman" w:cs="Times New Roman"/>
          <w:noProof/>
          <w:sz w:val="24"/>
          <w:szCs w:val="24"/>
        </w:rPr>
        <w:t xml:space="preserve"> Gardner, 2011)</w:t>
      </w:r>
      <w:r w:rsidR="00A74091">
        <w:rPr>
          <w:rFonts w:ascii="Times New Roman" w:hAnsi="Times New Roman" w:cs="Times New Roman"/>
          <w:sz w:val="24"/>
          <w:szCs w:val="24"/>
        </w:rPr>
        <w:t xml:space="preserve"> as well as inter-judge reliability </w:t>
      </w:r>
      <w:r w:rsidR="00114CF5" w:rsidRPr="00A74091">
        <w:rPr>
          <w:rFonts w:ascii="Times New Roman" w:hAnsi="Times New Roman" w:cs="Times New Roman"/>
          <w:noProof/>
          <w:sz w:val="24"/>
          <w:szCs w:val="24"/>
        </w:rPr>
        <w:t>(Gray, 2017, p. 163)</w:t>
      </w:r>
      <w:r w:rsidR="00A74091">
        <w:rPr>
          <w:rFonts w:ascii="Times New Roman" w:hAnsi="Times New Roman" w:cs="Times New Roman"/>
          <w:sz w:val="24"/>
          <w:szCs w:val="24"/>
        </w:rPr>
        <w:t>.</w:t>
      </w:r>
    </w:p>
    <w:p w:rsidR="00A74091" w:rsidRDefault="00A74091" w:rsidP="003330C9">
      <w:pPr>
        <w:spacing w:after="0" w:line="360" w:lineRule="auto"/>
        <w:rPr>
          <w:rFonts w:ascii="Times New Roman" w:hAnsi="Times New Roman" w:cs="Times New Roman"/>
          <w:sz w:val="24"/>
          <w:szCs w:val="24"/>
        </w:rPr>
      </w:pPr>
    </w:p>
    <w:p w:rsidR="00A74091" w:rsidRDefault="009012AD"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 </w:t>
      </w:r>
      <w:r w:rsidR="00A74091">
        <w:rPr>
          <w:rFonts w:ascii="Times New Roman" w:hAnsi="Times New Roman" w:cs="Times New Roman"/>
          <w:sz w:val="24"/>
          <w:szCs w:val="24"/>
        </w:rPr>
        <w:t xml:space="preserve">Test-retest reliability: It reflects the administration and re-administration of the same research instrument to the same sample together with the examination of the strength of the correlation between these two sets of sample data. If the two sets of sample data are </w:t>
      </w:r>
      <w:r w:rsidR="006E6033">
        <w:rPr>
          <w:rFonts w:ascii="Times New Roman" w:hAnsi="Times New Roman" w:cs="Times New Roman"/>
          <w:sz w:val="24"/>
          <w:szCs w:val="24"/>
        </w:rPr>
        <w:t xml:space="preserve">quite high </w:t>
      </w:r>
      <w:r w:rsidR="00A74091">
        <w:rPr>
          <w:rFonts w:ascii="Times New Roman" w:hAnsi="Times New Roman" w:cs="Times New Roman"/>
          <w:sz w:val="24"/>
          <w:szCs w:val="24"/>
        </w:rPr>
        <w:t>statistically significant</w:t>
      </w:r>
      <w:r w:rsidR="006E6033">
        <w:rPr>
          <w:rFonts w:ascii="Times New Roman" w:hAnsi="Times New Roman" w:cs="Times New Roman"/>
          <w:sz w:val="24"/>
          <w:szCs w:val="24"/>
        </w:rPr>
        <w:t xml:space="preserve">, it may conclude that there is a reasonably strong test-re-test reliability </w:t>
      </w:r>
      <w:r w:rsidR="0000046F">
        <w:rPr>
          <w:rFonts w:ascii="Times New Roman" w:hAnsi="Times New Roman" w:cs="Times New Roman"/>
          <w:noProof/>
          <w:sz w:val="24"/>
          <w:szCs w:val="24"/>
        </w:rPr>
        <w:t>(Pierce and</w:t>
      </w:r>
      <w:r w:rsidR="0000046F" w:rsidRPr="006E6033">
        <w:rPr>
          <w:rFonts w:ascii="Times New Roman" w:hAnsi="Times New Roman" w:cs="Times New Roman"/>
          <w:noProof/>
          <w:sz w:val="24"/>
          <w:szCs w:val="24"/>
        </w:rPr>
        <w:t xml:space="preserve"> Gardner, 2011)</w:t>
      </w:r>
      <w:r w:rsidR="006E6033">
        <w:rPr>
          <w:rFonts w:ascii="Times New Roman" w:hAnsi="Times New Roman" w:cs="Times New Roman"/>
          <w:sz w:val="24"/>
          <w:szCs w:val="24"/>
        </w:rPr>
        <w:t>.</w:t>
      </w:r>
    </w:p>
    <w:p w:rsidR="006E6033" w:rsidRDefault="006E6033" w:rsidP="003330C9">
      <w:pPr>
        <w:spacing w:after="0" w:line="360" w:lineRule="auto"/>
        <w:rPr>
          <w:rFonts w:ascii="Times New Roman" w:hAnsi="Times New Roman" w:cs="Times New Roman"/>
          <w:sz w:val="24"/>
          <w:szCs w:val="24"/>
        </w:rPr>
      </w:pPr>
    </w:p>
    <w:p w:rsidR="00A66548" w:rsidRPr="006E6033" w:rsidRDefault="009012AD"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(ii) </w:t>
      </w:r>
      <w:r w:rsidR="006E6033">
        <w:rPr>
          <w:rFonts w:ascii="Times New Roman" w:hAnsi="Times New Roman" w:cs="Times New Roman"/>
          <w:sz w:val="24"/>
          <w:szCs w:val="24"/>
        </w:rPr>
        <w:t>Internal consistency reliability: It tests the</w:t>
      </w:r>
      <w:r w:rsidR="006E6033" w:rsidRPr="006E6033">
        <w:rPr>
          <w:rFonts w:ascii="Times New Roman" w:hAnsi="Times New Roman" w:cs="Times New Roman"/>
          <w:sz w:val="24"/>
          <w:szCs w:val="24"/>
        </w:rPr>
        <w:t xml:space="preserve"> </w:t>
      </w:r>
      <w:r w:rsidR="006E6033">
        <w:rPr>
          <w:rFonts w:ascii="Times New Roman" w:hAnsi="Times New Roman" w:cs="Times New Roman"/>
          <w:sz w:val="24"/>
          <w:szCs w:val="24"/>
        </w:rPr>
        <w:t xml:space="preserve">homogeneity of the items in a research instrument. </w:t>
      </w:r>
      <w:r w:rsidR="00D32A28" w:rsidRPr="006E6033">
        <w:rPr>
          <w:rFonts w:ascii="Times New Roman" w:hAnsi="Times New Roman" w:cs="Times New Roman"/>
          <w:sz w:val="24"/>
          <w:szCs w:val="24"/>
        </w:rPr>
        <w:t xml:space="preserve">It seeks to measure the extent to which the items on a research instrument ‘hang </w:t>
      </w:r>
      <w:r w:rsidR="00D32A28" w:rsidRPr="006E6033">
        <w:rPr>
          <w:rFonts w:ascii="Times New Roman" w:hAnsi="Times New Roman" w:cs="Times New Roman"/>
          <w:sz w:val="24"/>
          <w:szCs w:val="24"/>
        </w:rPr>
        <w:lastRenderedPageBreak/>
        <w:t xml:space="preserve">together’ </w:t>
      </w:r>
      <w:r w:rsidR="00371100">
        <w:rPr>
          <w:rFonts w:ascii="Times New Roman" w:hAnsi="Times New Roman" w:cs="Times New Roman"/>
          <w:noProof/>
          <w:sz w:val="24"/>
          <w:szCs w:val="24"/>
        </w:rPr>
        <w:t>(Sakaran and</w:t>
      </w:r>
      <w:r w:rsidR="00371100" w:rsidRPr="006E6033">
        <w:rPr>
          <w:rFonts w:ascii="Times New Roman" w:hAnsi="Times New Roman" w:cs="Times New Roman"/>
          <w:noProof/>
          <w:sz w:val="24"/>
          <w:szCs w:val="24"/>
        </w:rPr>
        <w:t xml:space="preserve"> Bougie, 2013)</w:t>
      </w:r>
      <w:r w:rsidR="00D32A28" w:rsidRPr="006E6033">
        <w:rPr>
          <w:rFonts w:ascii="Times New Roman" w:hAnsi="Times New Roman" w:cs="Times New Roman"/>
          <w:sz w:val="24"/>
          <w:szCs w:val="24"/>
        </w:rPr>
        <w:t xml:space="preserve">. </w:t>
      </w:r>
      <w:r w:rsidR="00B70A51" w:rsidRPr="006E6033">
        <w:rPr>
          <w:rFonts w:ascii="Times New Roman" w:hAnsi="Times New Roman" w:cs="Times New Roman"/>
          <w:sz w:val="24"/>
          <w:szCs w:val="24"/>
        </w:rPr>
        <w:t>Cronbach’s alpha is a commonly used test of internal reliability which</w:t>
      </w:r>
      <w:r w:rsidR="00D32A28" w:rsidRPr="006E6033">
        <w:rPr>
          <w:rFonts w:ascii="Times New Roman" w:hAnsi="Times New Roman" w:cs="Times New Roman"/>
          <w:sz w:val="24"/>
          <w:szCs w:val="24"/>
        </w:rPr>
        <w:t xml:space="preserve"> varies between 1 (</w:t>
      </w:r>
      <w:r w:rsidR="00A33B46" w:rsidRPr="006E6033">
        <w:rPr>
          <w:rFonts w:ascii="Times New Roman" w:hAnsi="Times New Roman" w:cs="Times New Roman"/>
          <w:sz w:val="24"/>
          <w:szCs w:val="24"/>
        </w:rPr>
        <w:t xml:space="preserve">denoting </w:t>
      </w:r>
      <w:r w:rsidR="00D32A28" w:rsidRPr="006E6033">
        <w:rPr>
          <w:rFonts w:ascii="Times New Roman" w:hAnsi="Times New Roman" w:cs="Times New Roman"/>
          <w:sz w:val="24"/>
          <w:szCs w:val="24"/>
        </w:rPr>
        <w:t>perfect internal reliability) to 0 (</w:t>
      </w:r>
      <w:r w:rsidR="00A33B46" w:rsidRPr="006E6033">
        <w:rPr>
          <w:rFonts w:ascii="Times New Roman" w:hAnsi="Times New Roman" w:cs="Times New Roman"/>
          <w:sz w:val="24"/>
          <w:szCs w:val="24"/>
        </w:rPr>
        <w:t xml:space="preserve">denoting </w:t>
      </w:r>
      <w:r w:rsidR="00D32A28" w:rsidRPr="006E6033">
        <w:rPr>
          <w:rFonts w:ascii="Times New Roman" w:hAnsi="Times New Roman" w:cs="Times New Roman"/>
          <w:sz w:val="24"/>
          <w:szCs w:val="24"/>
        </w:rPr>
        <w:t>no internal reliability)</w:t>
      </w:r>
      <w:r w:rsidR="00B70A51" w:rsidRPr="006E6033">
        <w:rPr>
          <w:rFonts w:ascii="Times New Roman" w:hAnsi="Times New Roman" w:cs="Times New Roman"/>
          <w:sz w:val="24"/>
          <w:szCs w:val="24"/>
        </w:rPr>
        <w:t xml:space="preserve"> </w:t>
      </w:r>
      <w:r w:rsidR="00371100">
        <w:rPr>
          <w:rFonts w:ascii="Times New Roman" w:hAnsi="Times New Roman" w:cs="Times New Roman"/>
          <w:noProof/>
          <w:sz w:val="24"/>
          <w:szCs w:val="24"/>
        </w:rPr>
        <w:t>(Bryman and</w:t>
      </w:r>
      <w:r w:rsidR="00371100" w:rsidRPr="00294575">
        <w:rPr>
          <w:rFonts w:ascii="Times New Roman" w:hAnsi="Times New Roman" w:cs="Times New Roman"/>
          <w:noProof/>
          <w:sz w:val="24"/>
          <w:szCs w:val="24"/>
        </w:rPr>
        <w:t xml:space="preserve"> Bell , 2015, p. 169)</w:t>
      </w:r>
      <w:r w:rsidR="00D32A28" w:rsidRPr="006E6033">
        <w:rPr>
          <w:rFonts w:ascii="Times New Roman" w:hAnsi="Times New Roman" w:cs="Times New Roman"/>
          <w:sz w:val="24"/>
          <w:szCs w:val="24"/>
        </w:rPr>
        <w:t xml:space="preserve">. As a rule of thumb, </w:t>
      </w:r>
      <w:r w:rsidR="00A33B46" w:rsidRPr="006E6033">
        <w:rPr>
          <w:rFonts w:ascii="Times New Roman" w:hAnsi="Times New Roman" w:cs="Times New Roman"/>
          <w:sz w:val="24"/>
          <w:szCs w:val="24"/>
        </w:rPr>
        <w:t xml:space="preserve">some researcher argues that Cronbach’s alpha of 0.7 or above is considered </w:t>
      </w:r>
      <w:r w:rsidR="00D32A28" w:rsidRPr="006E6033">
        <w:rPr>
          <w:rFonts w:ascii="Times New Roman" w:hAnsi="Times New Roman" w:cs="Times New Roman"/>
          <w:sz w:val="24"/>
          <w:szCs w:val="24"/>
        </w:rPr>
        <w:t>to be acceptable</w:t>
      </w:r>
      <w:r w:rsidR="00A33B46" w:rsidRPr="006E6033">
        <w:rPr>
          <w:rFonts w:ascii="Times New Roman" w:hAnsi="Times New Roman" w:cs="Times New Roman"/>
          <w:sz w:val="24"/>
          <w:szCs w:val="24"/>
        </w:rPr>
        <w:t xml:space="preserve"> and efficient </w:t>
      </w:r>
      <w:r w:rsidR="00371100">
        <w:rPr>
          <w:rFonts w:ascii="Times New Roman" w:hAnsi="Times New Roman" w:cs="Times New Roman"/>
          <w:noProof/>
          <w:sz w:val="24"/>
          <w:szCs w:val="24"/>
        </w:rPr>
        <w:t xml:space="preserve">(Schutte </w:t>
      </w:r>
      <w:r w:rsidR="00371100" w:rsidRPr="00371100">
        <w:rPr>
          <w:rFonts w:ascii="Times New Roman" w:hAnsi="Times New Roman" w:cs="Times New Roman"/>
          <w:i/>
          <w:noProof/>
          <w:sz w:val="24"/>
          <w:szCs w:val="24"/>
        </w:rPr>
        <w:t>et al</w:t>
      </w:r>
      <w:r w:rsidR="00371100">
        <w:rPr>
          <w:rFonts w:ascii="Times New Roman" w:hAnsi="Times New Roman" w:cs="Times New Roman"/>
          <w:noProof/>
          <w:sz w:val="24"/>
          <w:szCs w:val="24"/>
        </w:rPr>
        <w:t>.</w:t>
      </w:r>
      <w:r w:rsidR="00371100" w:rsidRPr="008B05FF">
        <w:rPr>
          <w:rFonts w:ascii="Times New Roman" w:hAnsi="Times New Roman" w:cs="Times New Roman"/>
          <w:noProof/>
          <w:sz w:val="24"/>
          <w:szCs w:val="24"/>
        </w:rPr>
        <w:t xml:space="preserve"> 2000)</w:t>
      </w:r>
      <w:r w:rsidR="00A33B46" w:rsidRPr="006E6033">
        <w:rPr>
          <w:rFonts w:ascii="Times New Roman" w:hAnsi="Times New Roman" w:cs="Times New Roman"/>
          <w:sz w:val="24"/>
          <w:szCs w:val="24"/>
        </w:rPr>
        <w:t>.</w:t>
      </w:r>
      <w:r w:rsidR="00A66548">
        <w:rPr>
          <w:rFonts w:ascii="Times New Roman" w:hAnsi="Times New Roman" w:cs="Times New Roman"/>
          <w:sz w:val="24"/>
          <w:szCs w:val="24"/>
        </w:rPr>
        <w:t xml:space="preserve"> </w:t>
      </w:r>
    </w:p>
    <w:p w:rsidR="006E6033" w:rsidRDefault="006E6033" w:rsidP="003330C9">
      <w:pPr>
        <w:spacing w:after="0" w:line="360" w:lineRule="auto"/>
        <w:rPr>
          <w:rFonts w:ascii="Times New Roman" w:hAnsi="Times New Roman" w:cs="Times New Roman"/>
          <w:sz w:val="24"/>
          <w:szCs w:val="24"/>
        </w:rPr>
      </w:pPr>
    </w:p>
    <w:p w:rsidR="00EA727E" w:rsidRDefault="009012AD"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(iii) </w:t>
      </w:r>
      <w:r w:rsidR="00EA727E" w:rsidRPr="006E6033">
        <w:rPr>
          <w:rFonts w:ascii="Times New Roman" w:hAnsi="Times New Roman" w:cs="Times New Roman"/>
          <w:sz w:val="24"/>
          <w:szCs w:val="24"/>
        </w:rPr>
        <w:t>Inter-judge reliability</w:t>
      </w:r>
      <w:r w:rsidR="00D32A28" w:rsidRPr="006E6033">
        <w:rPr>
          <w:rFonts w:ascii="Times New Roman" w:hAnsi="Times New Roman" w:cs="Times New Roman"/>
          <w:sz w:val="24"/>
          <w:szCs w:val="24"/>
        </w:rPr>
        <w:t xml:space="preserve"> </w:t>
      </w:r>
      <w:r w:rsidR="00980012" w:rsidRPr="006E6033">
        <w:rPr>
          <w:rFonts w:ascii="Times New Roman" w:hAnsi="Times New Roman" w:cs="Times New Roman"/>
          <w:sz w:val="24"/>
          <w:szCs w:val="24"/>
        </w:rPr>
        <w:t>–</w:t>
      </w:r>
      <w:r w:rsidR="00D32A28" w:rsidRPr="006E6033">
        <w:rPr>
          <w:rFonts w:ascii="Times New Roman" w:hAnsi="Times New Roman" w:cs="Times New Roman"/>
          <w:sz w:val="24"/>
          <w:szCs w:val="24"/>
        </w:rPr>
        <w:t xml:space="preserve"> </w:t>
      </w:r>
      <w:r w:rsidR="00980012" w:rsidRPr="006E6033">
        <w:rPr>
          <w:rFonts w:ascii="Times New Roman" w:hAnsi="Times New Roman" w:cs="Times New Roman"/>
          <w:sz w:val="24"/>
          <w:szCs w:val="24"/>
        </w:rPr>
        <w:t>It compares the consistency of observations when m</w:t>
      </w:r>
      <w:r w:rsidR="00371761" w:rsidRPr="006E6033">
        <w:rPr>
          <w:rFonts w:ascii="Times New Roman" w:hAnsi="Times New Roman" w:cs="Times New Roman"/>
          <w:sz w:val="24"/>
          <w:szCs w:val="24"/>
        </w:rPr>
        <w:t>ore than one person is judging in order to avoid an observer error</w:t>
      </w:r>
      <w:r w:rsidR="00980012" w:rsidRPr="006E6033">
        <w:rPr>
          <w:rFonts w:ascii="Times New Roman" w:hAnsi="Times New Roman" w:cs="Times New Roman"/>
          <w:sz w:val="24"/>
          <w:szCs w:val="24"/>
        </w:rPr>
        <w:t>.</w:t>
      </w:r>
      <w:r w:rsidR="006E6033">
        <w:rPr>
          <w:rFonts w:ascii="Times New Roman" w:hAnsi="Times New Roman" w:cs="Times New Roman"/>
          <w:sz w:val="24"/>
          <w:szCs w:val="24"/>
        </w:rPr>
        <w:t xml:space="preserve"> A useful way of measuring inter-judge reliability is through the use of the Kappa score which compares the level of agreement between two people against what might have been predicted by chance </w:t>
      </w:r>
      <w:r w:rsidR="00371100" w:rsidRPr="006E6033">
        <w:rPr>
          <w:rFonts w:ascii="Times New Roman" w:hAnsi="Times New Roman" w:cs="Times New Roman"/>
          <w:noProof/>
          <w:sz w:val="24"/>
          <w:szCs w:val="24"/>
        </w:rPr>
        <w:t>(Gray, 2017, p. 163)</w:t>
      </w:r>
      <w:r w:rsidR="006E6033">
        <w:rPr>
          <w:rFonts w:ascii="Times New Roman" w:hAnsi="Times New Roman" w:cs="Times New Roman"/>
          <w:sz w:val="24"/>
          <w:szCs w:val="24"/>
        </w:rPr>
        <w:t>.</w:t>
      </w:r>
    </w:p>
    <w:p w:rsidR="006E6033" w:rsidRPr="006E6033" w:rsidRDefault="006E6033" w:rsidP="003330C9">
      <w:pPr>
        <w:spacing w:after="0" w:line="360" w:lineRule="auto"/>
        <w:rPr>
          <w:rFonts w:ascii="Times New Roman" w:hAnsi="Times New Roman" w:cs="Times New Roman"/>
          <w:sz w:val="24"/>
          <w:szCs w:val="24"/>
        </w:rPr>
      </w:pPr>
    </w:p>
    <w:p w:rsidR="00F8663B" w:rsidRDefault="00FF587D"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Although scales and indexes yield some numerical scores representing a construct of interest, they are different in many ways. Firstly, scales typically involve a set of similar items that use the same rating scales such as Likert scale whereas indexes often comprise of components that are very different from each other and are measured in different ways. Secondly, scales are designed to assess subjective or judgmental constructs whereas indexes often combine objectively measureable values.</w:t>
      </w:r>
      <w:r w:rsidR="00371100">
        <w:rPr>
          <w:rFonts w:ascii="Times New Roman" w:hAnsi="Times New Roman" w:cs="Times New Roman"/>
          <w:noProof/>
          <w:sz w:val="24"/>
          <w:szCs w:val="24"/>
        </w:rPr>
        <w:t xml:space="preserve"> </w:t>
      </w:r>
      <w:r w:rsidR="00371100" w:rsidRPr="000D448F">
        <w:rPr>
          <w:rFonts w:ascii="Times New Roman" w:hAnsi="Times New Roman" w:cs="Times New Roman"/>
          <w:noProof/>
          <w:sz w:val="24"/>
          <w:szCs w:val="24"/>
        </w:rPr>
        <w:t>(Pelz, 2020)</w:t>
      </w:r>
      <w:r>
        <w:rPr>
          <w:rFonts w:ascii="Times New Roman" w:hAnsi="Times New Roman" w:cs="Times New Roman"/>
          <w:sz w:val="24"/>
          <w:szCs w:val="24"/>
        </w:rPr>
        <w:t xml:space="preserve">. </w:t>
      </w:r>
    </w:p>
    <w:p w:rsidR="00F8663B" w:rsidRDefault="00F8663B" w:rsidP="003330C9">
      <w:pPr>
        <w:spacing w:after="0" w:line="360" w:lineRule="auto"/>
        <w:rPr>
          <w:rFonts w:ascii="Times New Roman" w:hAnsi="Times New Roman" w:cs="Times New Roman"/>
          <w:sz w:val="24"/>
          <w:szCs w:val="24"/>
        </w:rPr>
      </w:pPr>
    </w:p>
    <w:p w:rsidR="004E0C84" w:rsidRDefault="004E0C84"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In this study, </w:t>
      </w:r>
      <w:r w:rsidR="00F8663B">
        <w:rPr>
          <w:rFonts w:ascii="Times New Roman" w:hAnsi="Times New Roman" w:cs="Times New Roman"/>
          <w:sz w:val="24"/>
          <w:szCs w:val="24"/>
        </w:rPr>
        <w:t>the dependent and independent variables namely the corporate governance compliance index scores, proportion of INEDs on board, whether the roles of c</w:t>
      </w:r>
      <w:r w:rsidR="00B02192">
        <w:rPr>
          <w:rFonts w:ascii="Times New Roman" w:hAnsi="Times New Roman" w:cs="Times New Roman"/>
          <w:sz w:val="24"/>
          <w:szCs w:val="24"/>
        </w:rPr>
        <w:t xml:space="preserve">hairman and chief executive to be </w:t>
      </w:r>
      <w:r w:rsidR="00F8663B">
        <w:rPr>
          <w:rFonts w:ascii="Times New Roman" w:hAnsi="Times New Roman" w:cs="Times New Roman"/>
          <w:sz w:val="24"/>
          <w:szCs w:val="24"/>
        </w:rPr>
        <w:t>performed by the same ind</w:t>
      </w:r>
      <w:r w:rsidR="00B02192">
        <w:rPr>
          <w:rFonts w:ascii="Times New Roman" w:hAnsi="Times New Roman" w:cs="Times New Roman"/>
          <w:sz w:val="24"/>
          <w:szCs w:val="24"/>
        </w:rPr>
        <w:t>ividual, whether the chairman to be</w:t>
      </w:r>
      <w:r w:rsidR="00F8663B">
        <w:rPr>
          <w:rFonts w:ascii="Times New Roman" w:hAnsi="Times New Roman" w:cs="Times New Roman"/>
          <w:sz w:val="24"/>
          <w:szCs w:val="24"/>
        </w:rPr>
        <w:t xml:space="preserve"> an INED, return on equity and annualised share price volatility are indexes but not scales. As such, reliability testing is not applicable. Therefore, </w:t>
      </w:r>
      <w:r w:rsidR="00943A6F">
        <w:rPr>
          <w:rFonts w:ascii="Times New Roman" w:hAnsi="Times New Roman" w:cs="Times New Roman"/>
          <w:sz w:val="24"/>
          <w:szCs w:val="24"/>
        </w:rPr>
        <w:t xml:space="preserve">the </w:t>
      </w:r>
      <w:r w:rsidR="00F8663B">
        <w:rPr>
          <w:rFonts w:ascii="Times New Roman" w:hAnsi="Times New Roman" w:cs="Times New Roman"/>
          <w:sz w:val="24"/>
          <w:szCs w:val="24"/>
        </w:rPr>
        <w:t>calculation of Cronbach’s a</w:t>
      </w:r>
      <w:r w:rsidR="00943A6F">
        <w:rPr>
          <w:rFonts w:ascii="Times New Roman" w:hAnsi="Times New Roman" w:cs="Times New Roman"/>
          <w:sz w:val="24"/>
          <w:szCs w:val="24"/>
        </w:rPr>
        <w:t>lp</w:t>
      </w:r>
      <w:r w:rsidR="005956B8">
        <w:rPr>
          <w:rFonts w:ascii="Times New Roman" w:hAnsi="Times New Roman" w:cs="Times New Roman"/>
          <w:sz w:val="24"/>
          <w:szCs w:val="24"/>
        </w:rPr>
        <w:t>ha for the items in the measurement</w:t>
      </w:r>
      <w:r w:rsidR="00943A6F">
        <w:rPr>
          <w:rFonts w:ascii="Times New Roman" w:hAnsi="Times New Roman" w:cs="Times New Roman"/>
          <w:sz w:val="24"/>
          <w:szCs w:val="24"/>
        </w:rPr>
        <w:t xml:space="preserve"> instrument</w:t>
      </w:r>
      <w:r w:rsidR="00F8663B">
        <w:rPr>
          <w:rFonts w:ascii="Times New Roman" w:hAnsi="Times New Roman" w:cs="Times New Roman"/>
          <w:sz w:val="24"/>
          <w:szCs w:val="24"/>
        </w:rPr>
        <w:t xml:space="preserve"> is </w:t>
      </w:r>
      <w:r w:rsidR="009866FE">
        <w:rPr>
          <w:rFonts w:ascii="Times New Roman" w:hAnsi="Times New Roman" w:cs="Times New Roman"/>
          <w:sz w:val="24"/>
          <w:szCs w:val="24"/>
        </w:rPr>
        <w:t>not applicable</w:t>
      </w:r>
      <w:r w:rsidR="00943A6F">
        <w:rPr>
          <w:rFonts w:ascii="Times New Roman" w:hAnsi="Times New Roman" w:cs="Times New Roman"/>
          <w:sz w:val="24"/>
          <w:szCs w:val="24"/>
        </w:rPr>
        <w:t xml:space="preserve"> as they</w:t>
      </w:r>
      <w:r w:rsidR="00710C46">
        <w:rPr>
          <w:rFonts w:ascii="Times New Roman" w:hAnsi="Times New Roman" w:cs="Times New Roman"/>
          <w:sz w:val="24"/>
          <w:szCs w:val="24"/>
        </w:rPr>
        <w:t xml:space="preserve"> are not interrelated in this study.</w:t>
      </w:r>
    </w:p>
    <w:p w:rsidR="00B02192" w:rsidRDefault="00B02192" w:rsidP="003330C9">
      <w:pPr>
        <w:spacing w:after="0" w:line="360" w:lineRule="auto"/>
        <w:rPr>
          <w:rFonts w:ascii="Times New Roman" w:hAnsi="Times New Roman" w:cs="Times New Roman"/>
          <w:sz w:val="24"/>
          <w:szCs w:val="24"/>
        </w:rPr>
      </w:pPr>
    </w:p>
    <w:p w:rsidR="00CB4D75" w:rsidRDefault="00CB4D75"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Validity is how accurate a research instrument is at measuring what it is trying to measure.</w:t>
      </w:r>
      <w:r w:rsidR="00D97B5D">
        <w:rPr>
          <w:rFonts w:ascii="Times New Roman" w:hAnsi="Times New Roman" w:cs="Times New Roman"/>
          <w:sz w:val="24"/>
          <w:szCs w:val="24"/>
        </w:rPr>
        <w:t xml:space="preserve"> When discussing the validity of a research instrument, researchers often refer to cont</w:t>
      </w:r>
      <w:r w:rsidR="005940B0">
        <w:rPr>
          <w:rFonts w:ascii="Times New Roman" w:hAnsi="Times New Roman" w:cs="Times New Roman"/>
          <w:sz w:val="24"/>
          <w:szCs w:val="24"/>
        </w:rPr>
        <w:t xml:space="preserve">ent validity, criterion </w:t>
      </w:r>
      <w:r w:rsidR="00D97B5D">
        <w:rPr>
          <w:rFonts w:ascii="Times New Roman" w:hAnsi="Times New Roman" w:cs="Times New Roman"/>
          <w:sz w:val="24"/>
          <w:szCs w:val="24"/>
        </w:rPr>
        <w:t>validity and construct validity.</w:t>
      </w:r>
    </w:p>
    <w:p w:rsidR="00D97B5D" w:rsidRDefault="00D97B5D" w:rsidP="003330C9">
      <w:pPr>
        <w:spacing w:after="0" w:line="360" w:lineRule="auto"/>
        <w:rPr>
          <w:rFonts w:ascii="Times New Roman" w:hAnsi="Times New Roman" w:cs="Times New Roman"/>
          <w:sz w:val="24"/>
          <w:szCs w:val="24"/>
        </w:rPr>
      </w:pPr>
    </w:p>
    <w:p w:rsidR="00D97B5D" w:rsidRPr="00A13158" w:rsidRDefault="00A13158"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 </w:t>
      </w:r>
      <w:r w:rsidR="00D97B5D" w:rsidRPr="00A13158">
        <w:rPr>
          <w:rFonts w:ascii="Times New Roman" w:hAnsi="Times New Roman" w:cs="Times New Roman"/>
          <w:sz w:val="24"/>
          <w:szCs w:val="24"/>
        </w:rPr>
        <w:t xml:space="preserve">Content validity refers to the extent to which the research instrument provides adequate coverage of the investigative questions which can be judged in one of the two ways. One is through careful definition of the research through literature reviewed and another is to use a </w:t>
      </w:r>
      <w:r w:rsidR="00D97B5D" w:rsidRPr="00A13158">
        <w:rPr>
          <w:rFonts w:ascii="Times New Roman" w:hAnsi="Times New Roman" w:cs="Times New Roman"/>
          <w:sz w:val="24"/>
          <w:szCs w:val="24"/>
        </w:rPr>
        <w:lastRenderedPageBreak/>
        <w:t xml:space="preserve">panel of individuals to assess each question is the research instrument is ‘essential’, ‘useful but not essential’ or ‘not necessary’ </w:t>
      </w:r>
      <w:r w:rsidR="00371100" w:rsidRPr="00A13158">
        <w:rPr>
          <w:rFonts w:ascii="Times New Roman" w:hAnsi="Times New Roman" w:cs="Times New Roman"/>
          <w:noProof/>
          <w:sz w:val="24"/>
          <w:szCs w:val="24"/>
        </w:rPr>
        <w:t>(Saunders</w:t>
      </w:r>
      <w:r w:rsidR="00371100">
        <w:rPr>
          <w:rFonts w:ascii="Times New Roman" w:hAnsi="Times New Roman" w:cs="Times New Roman"/>
          <w:noProof/>
          <w:sz w:val="24"/>
          <w:szCs w:val="24"/>
        </w:rPr>
        <w:t xml:space="preserve"> </w:t>
      </w:r>
      <w:r w:rsidR="00371100" w:rsidRPr="00371100">
        <w:rPr>
          <w:rFonts w:ascii="Times New Roman" w:hAnsi="Times New Roman" w:cs="Times New Roman"/>
          <w:i/>
          <w:noProof/>
          <w:sz w:val="24"/>
          <w:szCs w:val="24"/>
        </w:rPr>
        <w:t>et al</w:t>
      </w:r>
      <w:r w:rsidR="00371100">
        <w:rPr>
          <w:rFonts w:ascii="Times New Roman" w:hAnsi="Times New Roman" w:cs="Times New Roman"/>
          <w:noProof/>
          <w:sz w:val="24"/>
          <w:szCs w:val="24"/>
        </w:rPr>
        <w:t>.</w:t>
      </w:r>
      <w:r w:rsidR="00371100" w:rsidRPr="00A13158">
        <w:rPr>
          <w:rFonts w:ascii="Times New Roman" w:hAnsi="Times New Roman" w:cs="Times New Roman"/>
          <w:noProof/>
          <w:sz w:val="24"/>
          <w:szCs w:val="24"/>
        </w:rPr>
        <w:t xml:space="preserve"> 2016, p. 450)</w:t>
      </w:r>
      <w:r w:rsidR="00D97B5D" w:rsidRPr="00A13158">
        <w:rPr>
          <w:rFonts w:ascii="Times New Roman" w:hAnsi="Times New Roman" w:cs="Times New Roman"/>
          <w:sz w:val="24"/>
          <w:szCs w:val="24"/>
        </w:rPr>
        <w:t>.</w:t>
      </w:r>
    </w:p>
    <w:p w:rsidR="00A558A7" w:rsidRDefault="00A558A7" w:rsidP="003330C9">
      <w:pPr>
        <w:spacing w:after="0" w:line="360" w:lineRule="auto"/>
        <w:rPr>
          <w:rFonts w:ascii="Times New Roman" w:hAnsi="Times New Roman" w:cs="Times New Roman"/>
          <w:sz w:val="24"/>
          <w:szCs w:val="24"/>
        </w:rPr>
      </w:pPr>
    </w:p>
    <w:p w:rsidR="00A558A7" w:rsidRDefault="00A13158"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(ii) Criterion </w:t>
      </w:r>
      <w:r w:rsidR="00A558A7">
        <w:rPr>
          <w:rFonts w:ascii="Times New Roman" w:hAnsi="Times New Roman" w:cs="Times New Roman"/>
          <w:sz w:val="24"/>
          <w:szCs w:val="24"/>
        </w:rPr>
        <w:t xml:space="preserve">validity is concerned with the ability of the measures to make accurate predictions. In assessing criterion-related validity, researchers compare the data from the research instrument with that specified in the criterion in some way. Often this is done by using statistical analysis such as correlation </w:t>
      </w:r>
      <w:r w:rsidR="00371100">
        <w:rPr>
          <w:rFonts w:ascii="Times New Roman" w:hAnsi="Times New Roman" w:cs="Times New Roman"/>
          <w:noProof/>
          <w:sz w:val="24"/>
          <w:szCs w:val="24"/>
        </w:rPr>
        <w:t xml:space="preserve">(Saunders </w:t>
      </w:r>
      <w:r w:rsidR="00371100" w:rsidRPr="00371100">
        <w:rPr>
          <w:rFonts w:ascii="Times New Roman" w:hAnsi="Times New Roman" w:cs="Times New Roman"/>
          <w:i/>
          <w:noProof/>
          <w:sz w:val="24"/>
          <w:szCs w:val="24"/>
        </w:rPr>
        <w:t>et al</w:t>
      </w:r>
      <w:r w:rsidR="00371100">
        <w:rPr>
          <w:rFonts w:ascii="Times New Roman" w:hAnsi="Times New Roman" w:cs="Times New Roman"/>
          <w:noProof/>
          <w:sz w:val="24"/>
          <w:szCs w:val="24"/>
        </w:rPr>
        <w:t>.</w:t>
      </w:r>
      <w:r w:rsidR="00371100" w:rsidRPr="00A558A7">
        <w:rPr>
          <w:rFonts w:ascii="Times New Roman" w:hAnsi="Times New Roman" w:cs="Times New Roman"/>
          <w:noProof/>
          <w:sz w:val="24"/>
          <w:szCs w:val="24"/>
        </w:rPr>
        <w:t xml:space="preserve"> 2016, p. 450)</w:t>
      </w:r>
      <w:r w:rsidR="00A558A7">
        <w:rPr>
          <w:rFonts w:ascii="Times New Roman" w:hAnsi="Times New Roman" w:cs="Times New Roman"/>
          <w:sz w:val="24"/>
          <w:szCs w:val="24"/>
        </w:rPr>
        <w:t>.</w:t>
      </w:r>
    </w:p>
    <w:p w:rsidR="00A558A7" w:rsidRDefault="00A558A7" w:rsidP="003330C9">
      <w:pPr>
        <w:spacing w:after="0" w:line="360" w:lineRule="auto"/>
        <w:rPr>
          <w:rFonts w:ascii="Times New Roman" w:hAnsi="Times New Roman" w:cs="Times New Roman"/>
          <w:sz w:val="24"/>
          <w:szCs w:val="24"/>
        </w:rPr>
      </w:pPr>
    </w:p>
    <w:p w:rsidR="00A558A7" w:rsidRDefault="00A13158"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(iii) </w:t>
      </w:r>
      <w:r w:rsidR="00A558A7">
        <w:rPr>
          <w:rFonts w:ascii="Times New Roman" w:hAnsi="Times New Roman" w:cs="Times New Roman"/>
          <w:sz w:val="24"/>
          <w:szCs w:val="24"/>
        </w:rPr>
        <w:t xml:space="preserve">Construct validity refers to the extent </w:t>
      </w:r>
      <w:r w:rsidR="007E62BC">
        <w:rPr>
          <w:rFonts w:ascii="Times New Roman" w:hAnsi="Times New Roman" w:cs="Times New Roman"/>
          <w:sz w:val="24"/>
          <w:szCs w:val="24"/>
        </w:rPr>
        <w:t xml:space="preserve">to which a set of questions </w:t>
      </w:r>
      <w:r w:rsidR="00A558A7">
        <w:rPr>
          <w:rFonts w:ascii="Times New Roman" w:hAnsi="Times New Roman" w:cs="Times New Roman"/>
          <w:sz w:val="24"/>
          <w:szCs w:val="24"/>
        </w:rPr>
        <w:t xml:space="preserve">actually measures the presence of the construct. </w:t>
      </w:r>
      <w:r w:rsidR="005149ED">
        <w:rPr>
          <w:rFonts w:ascii="Times New Roman" w:hAnsi="Times New Roman" w:cs="Times New Roman"/>
          <w:sz w:val="24"/>
          <w:szCs w:val="24"/>
        </w:rPr>
        <w:t>Where different scales are used to measure the same construct, the correlation between these scales i</w:t>
      </w:r>
      <w:r w:rsidR="007E62BC">
        <w:rPr>
          <w:rFonts w:ascii="Times New Roman" w:hAnsi="Times New Roman" w:cs="Times New Roman"/>
          <w:sz w:val="24"/>
          <w:szCs w:val="24"/>
        </w:rPr>
        <w:t xml:space="preserve">s known as convergent validity </w:t>
      </w:r>
      <w:r w:rsidR="00371100">
        <w:rPr>
          <w:rFonts w:ascii="Times New Roman" w:hAnsi="Times New Roman" w:cs="Times New Roman"/>
          <w:noProof/>
          <w:sz w:val="24"/>
          <w:szCs w:val="24"/>
        </w:rPr>
        <w:t xml:space="preserve">(Saunders </w:t>
      </w:r>
      <w:r w:rsidR="00371100" w:rsidRPr="00371100">
        <w:rPr>
          <w:rFonts w:ascii="Times New Roman" w:hAnsi="Times New Roman" w:cs="Times New Roman"/>
          <w:i/>
          <w:noProof/>
          <w:sz w:val="24"/>
          <w:szCs w:val="24"/>
        </w:rPr>
        <w:t>et al</w:t>
      </w:r>
      <w:r w:rsidR="00371100">
        <w:rPr>
          <w:rFonts w:ascii="Times New Roman" w:hAnsi="Times New Roman" w:cs="Times New Roman"/>
          <w:noProof/>
          <w:sz w:val="24"/>
          <w:szCs w:val="24"/>
        </w:rPr>
        <w:t>.</w:t>
      </w:r>
      <w:r w:rsidR="00371100" w:rsidRPr="005149ED">
        <w:rPr>
          <w:rFonts w:ascii="Times New Roman" w:hAnsi="Times New Roman" w:cs="Times New Roman"/>
          <w:noProof/>
          <w:sz w:val="24"/>
          <w:szCs w:val="24"/>
        </w:rPr>
        <w:t xml:space="preserve"> 2016, pp. 450-451)</w:t>
      </w:r>
      <w:r w:rsidR="00FE0C86">
        <w:rPr>
          <w:rFonts w:ascii="Times New Roman" w:hAnsi="Times New Roman" w:cs="Times New Roman"/>
          <w:sz w:val="24"/>
          <w:szCs w:val="24"/>
        </w:rPr>
        <w:t>. In this study</w:t>
      </w:r>
      <w:r w:rsidR="005149ED">
        <w:rPr>
          <w:rFonts w:ascii="Times New Roman" w:hAnsi="Times New Roman" w:cs="Times New Roman"/>
          <w:sz w:val="24"/>
          <w:szCs w:val="24"/>
        </w:rPr>
        <w:t>, indexes instead of scales are used. As such, testing of construct validity is irrelevant and not necessary.</w:t>
      </w:r>
    </w:p>
    <w:p w:rsidR="005940B0" w:rsidRDefault="005940B0" w:rsidP="003330C9">
      <w:pPr>
        <w:spacing w:after="0" w:line="360" w:lineRule="auto"/>
        <w:rPr>
          <w:rFonts w:ascii="Times New Roman" w:hAnsi="Times New Roman" w:cs="Times New Roman"/>
          <w:sz w:val="24"/>
          <w:szCs w:val="24"/>
        </w:rPr>
      </w:pPr>
    </w:p>
    <w:p w:rsidR="00C624F6" w:rsidRDefault="00B02192"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In this study, we focus on assessing the content validity by way of careful definition of the research through the literature reviewed </w:t>
      </w:r>
      <w:r w:rsidR="00371100" w:rsidRPr="00B02192">
        <w:rPr>
          <w:rFonts w:ascii="Times New Roman" w:hAnsi="Times New Roman" w:cs="Times New Roman"/>
          <w:noProof/>
          <w:sz w:val="24"/>
          <w:szCs w:val="24"/>
        </w:rPr>
        <w:t>(Saunders</w:t>
      </w:r>
      <w:r w:rsidR="00371100">
        <w:rPr>
          <w:rFonts w:ascii="Times New Roman" w:hAnsi="Times New Roman" w:cs="Times New Roman"/>
          <w:noProof/>
          <w:sz w:val="24"/>
          <w:szCs w:val="24"/>
        </w:rPr>
        <w:t xml:space="preserve"> </w:t>
      </w:r>
      <w:r w:rsidR="00371100" w:rsidRPr="00371100">
        <w:rPr>
          <w:rFonts w:ascii="Times New Roman" w:hAnsi="Times New Roman" w:cs="Times New Roman"/>
          <w:i/>
          <w:noProof/>
          <w:sz w:val="24"/>
          <w:szCs w:val="24"/>
        </w:rPr>
        <w:t>et al</w:t>
      </w:r>
      <w:r w:rsidR="00371100">
        <w:rPr>
          <w:rFonts w:ascii="Times New Roman" w:hAnsi="Times New Roman" w:cs="Times New Roman"/>
          <w:noProof/>
          <w:sz w:val="24"/>
          <w:szCs w:val="24"/>
        </w:rPr>
        <w:t>.</w:t>
      </w:r>
      <w:r w:rsidR="00371100" w:rsidRPr="00B02192">
        <w:rPr>
          <w:rFonts w:ascii="Times New Roman" w:hAnsi="Times New Roman" w:cs="Times New Roman"/>
          <w:noProof/>
          <w:sz w:val="24"/>
          <w:szCs w:val="24"/>
        </w:rPr>
        <w:t xml:space="preserve"> 2016, p. 450)</w:t>
      </w:r>
      <w:r>
        <w:rPr>
          <w:rFonts w:ascii="Times New Roman" w:hAnsi="Times New Roman" w:cs="Times New Roman"/>
          <w:sz w:val="24"/>
          <w:szCs w:val="24"/>
        </w:rPr>
        <w:t xml:space="preserve">. </w:t>
      </w:r>
      <w:r w:rsidR="00590D14">
        <w:rPr>
          <w:rFonts w:ascii="Times New Roman" w:hAnsi="Times New Roman" w:cs="Times New Roman"/>
          <w:sz w:val="24"/>
          <w:szCs w:val="24"/>
        </w:rPr>
        <w:t>For instance, as discussed previously</w:t>
      </w:r>
      <w:r w:rsidR="00C624F6">
        <w:rPr>
          <w:rFonts w:ascii="Times New Roman" w:hAnsi="Times New Roman" w:cs="Times New Roman"/>
          <w:sz w:val="24"/>
          <w:szCs w:val="24"/>
        </w:rPr>
        <w:t xml:space="preserve"> (as shown in Table 6), the highest code provision non-compliance </w:t>
      </w:r>
      <w:r w:rsidR="00D421E1">
        <w:rPr>
          <w:rFonts w:ascii="Times New Roman" w:hAnsi="Times New Roman" w:cs="Times New Roman"/>
          <w:sz w:val="24"/>
          <w:szCs w:val="24"/>
        </w:rPr>
        <w:t xml:space="preserve">rate </w:t>
      </w:r>
      <w:r w:rsidR="00C624F6">
        <w:rPr>
          <w:rFonts w:ascii="Times New Roman" w:hAnsi="Times New Roman" w:cs="Times New Roman"/>
          <w:sz w:val="24"/>
          <w:szCs w:val="24"/>
        </w:rPr>
        <w:t xml:space="preserve">was A2.1. 14 of the 36 sample listed companies (i.e. 39% of the samples), the roles of chairman and chief executive were performed by the same individual. </w:t>
      </w:r>
      <w:r w:rsidR="00442715">
        <w:rPr>
          <w:rFonts w:ascii="Times New Roman" w:hAnsi="Times New Roman" w:cs="Times New Roman"/>
          <w:sz w:val="24"/>
          <w:szCs w:val="24"/>
        </w:rPr>
        <w:t>These finding</w:t>
      </w:r>
      <w:r w:rsidR="00F476D8">
        <w:rPr>
          <w:rFonts w:ascii="Times New Roman" w:hAnsi="Times New Roman" w:cs="Times New Roman"/>
          <w:sz w:val="24"/>
          <w:szCs w:val="24"/>
        </w:rPr>
        <w:t>s</w:t>
      </w:r>
      <w:r w:rsidR="00442715">
        <w:rPr>
          <w:rFonts w:ascii="Times New Roman" w:hAnsi="Times New Roman" w:cs="Times New Roman"/>
          <w:sz w:val="24"/>
          <w:szCs w:val="24"/>
        </w:rPr>
        <w:t xml:space="preserve"> are</w:t>
      </w:r>
      <w:r w:rsidR="00C624F6">
        <w:rPr>
          <w:rFonts w:ascii="Times New Roman" w:hAnsi="Times New Roman" w:cs="Times New Roman"/>
          <w:sz w:val="24"/>
          <w:szCs w:val="24"/>
        </w:rPr>
        <w:t xml:space="preserve"> the same a</w:t>
      </w:r>
      <w:r w:rsidR="00F476D8">
        <w:rPr>
          <w:rFonts w:ascii="Times New Roman" w:hAnsi="Times New Roman" w:cs="Times New Roman"/>
          <w:sz w:val="24"/>
          <w:szCs w:val="24"/>
        </w:rPr>
        <w:t>s those</w:t>
      </w:r>
      <w:r w:rsidR="00C624F6">
        <w:rPr>
          <w:rFonts w:ascii="Times New Roman" w:hAnsi="Times New Roman" w:cs="Times New Roman"/>
          <w:sz w:val="24"/>
          <w:szCs w:val="24"/>
        </w:rPr>
        <w:t xml:space="preserve"> by The Stock Exchange of Hong Kong in its report “Analysis of corporate governance practice disclosure in June and December year-end 2017 and March year-end 2018 annual report” </w:t>
      </w:r>
      <w:r w:rsidR="00371100" w:rsidRPr="00C624F6">
        <w:rPr>
          <w:rFonts w:ascii="Times New Roman" w:hAnsi="Times New Roman" w:cs="Times New Roman"/>
          <w:noProof/>
          <w:sz w:val="24"/>
          <w:szCs w:val="24"/>
        </w:rPr>
        <w:t>(The Stock Exch</w:t>
      </w:r>
      <w:r w:rsidR="00371100">
        <w:rPr>
          <w:rFonts w:ascii="Times New Roman" w:hAnsi="Times New Roman" w:cs="Times New Roman"/>
          <w:noProof/>
          <w:sz w:val="24"/>
          <w:szCs w:val="24"/>
        </w:rPr>
        <w:t>ange of Hong Kong Limited, 2018</w:t>
      </w:r>
      <w:r w:rsidR="00371100" w:rsidRPr="00C624F6">
        <w:rPr>
          <w:rFonts w:ascii="Times New Roman" w:hAnsi="Times New Roman" w:cs="Times New Roman"/>
          <w:noProof/>
          <w:sz w:val="24"/>
          <w:szCs w:val="24"/>
        </w:rPr>
        <w:t>)</w:t>
      </w:r>
      <w:r w:rsidR="00C624F6">
        <w:rPr>
          <w:rFonts w:ascii="Times New Roman" w:hAnsi="Times New Roman" w:cs="Times New Roman"/>
          <w:sz w:val="24"/>
          <w:szCs w:val="24"/>
        </w:rPr>
        <w:t xml:space="preserve"> and can be validated.</w:t>
      </w:r>
      <w:r w:rsidR="004F2389">
        <w:rPr>
          <w:rFonts w:ascii="Times New Roman" w:hAnsi="Times New Roman" w:cs="Times New Roman"/>
          <w:sz w:val="24"/>
          <w:szCs w:val="24"/>
        </w:rPr>
        <w:t xml:space="preserve"> In addition, the content validity can be assessed through previous </w:t>
      </w:r>
      <w:r w:rsidR="00811F3C">
        <w:rPr>
          <w:rFonts w:ascii="Times New Roman" w:hAnsi="Times New Roman" w:cs="Times New Roman"/>
          <w:sz w:val="24"/>
          <w:szCs w:val="24"/>
        </w:rPr>
        <w:t xml:space="preserve">similar </w:t>
      </w:r>
      <w:r w:rsidR="006E2EBE">
        <w:rPr>
          <w:rFonts w:ascii="Times New Roman" w:hAnsi="Times New Roman" w:cs="Times New Roman"/>
          <w:sz w:val="24"/>
          <w:szCs w:val="24"/>
        </w:rPr>
        <w:t xml:space="preserve">academic </w:t>
      </w:r>
      <w:r w:rsidR="004F2389">
        <w:rPr>
          <w:rFonts w:ascii="Times New Roman" w:hAnsi="Times New Roman" w:cs="Times New Roman"/>
          <w:sz w:val="24"/>
          <w:szCs w:val="24"/>
        </w:rPr>
        <w:t xml:space="preserve">studies </w:t>
      </w:r>
      <w:r w:rsidR="00371100">
        <w:rPr>
          <w:rFonts w:ascii="Times New Roman" w:hAnsi="Times New Roman" w:cs="Times New Roman"/>
          <w:noProof/>
          <w:sz w:val="24"/>
          <w:szCs w:val="24"/>
        </w:rPr>
        <w:t xml:space="preserve">(Cheng </w:t>
      </w:r>
      <w:r w:rsidR="00371100" w:rsidRPr="00371100">
        <w:rPr>
          <w:rFonts w:ascii="Times New Roman" w:hAnsi="Times New Roman" w:cs="Times New Roman"/>
          <w:i/>
          <w:noProof/>
          <w:sz w:val="24"/>
          <w:szCs w:val="24"/>
        </w:rPr>
        <w:t>et al</w:t>
      </w:r>
      <w:r w:rsidR="00371100">
        <w:rPr>
          <w:rFonts w:ascii="Times New Roman" w:hAnsi="Times New Roman" w:cs="Times New Roman"/>
          <w:noProof/>
          <w:sz w:val="24"/>
          <w:szCs w:val="24"/>
        </w:rPr>
        <w:t xml:space="preserve">. 2015; Lei and Song, 2012; Cheung </w:t>
      </w:r>
      <w:r w:rsidR="00371100" w:rsidRPr="00371100">
        <w:rPr>
          <w:rFonts w:ascii="Times New Roman" w:hAnsi="Times New Roman" w:cs="Times New Roman"/>
          <w:i/>
          <w:noProof/>
          <w:sz w:val="24"/>
          <w:szCs w:val="24"/>
        </w:rPr>
        <w:t>et al</w:t>
      </w:r>
      <w:r w:rsidR="00371100">
        <w:rPr>
          <w:rFonts w:ascii="Times New Roman" w:hAnsi="Times New Roman" w:cs="Times New Roman"/>
          <w:noProof/>
          <w:sz w:val="24"/>
          <w:szCs w:val="24"/>
        </w:rPr>
        <w:t xml:space="preserve">. 2011; Cheung </w:t>
      </w:r>
      <w:r w:rsidR="00371100" w:rsidRPr="00371100">
        <w:rPr>
          <w:rFonts w:ascii="Times New Roman" w:hAnsi="Times New Roman" w:cs="Times New Roman"/>
          <w:i/>
          <w:noProof/>
          <w:sz w:val="24"/>
          <w:szCs w:val="24"/>
        </w:rPr>
        <w:t>et al</w:t>
      </w:r>
      <w:r w:rsidR="00371100">
        <w:rPr>
          <w:rFonts w:ascii="Times New Roman" w:hAnsi="Times New Roman" w:cs="Times New Roman"/>
          <w:noProof/>
          <w:sz w:val="24"/>
          <w:szCs w:val="24"/>
        </w:rPr>
        <w:t xml:space="preserve">. 2010; Li </w:t>
      </w:r>
      <w:r w:rsidR="00371100" w:rsidRPr="00371100">
        <w:rPr>
          <w:rFonts w:ascii="Times New Roman" w:hAnsi="Times New Roman" w:cs="Times New Roman"/>
          <w:i/>
          <w:noProof/>
          <w:sz w:val="24"/>
          <w:szCs w:val="24"/>
        </w:rPr>
        <w:t>et al</w:t>
      </w:r>
      <w:r w:rsidR="00371100">
        <w:rPr>
          <w:rFonts w:ascii="Times New Roman" w:hAnsi="Times New Roman" w:cs="Times New Roman"/>
          <w:noProof/>
          <w:sz w:val="24"/>
          <w:szCs w:val="24"/>
        </w:rPr>
        <w:t>.</w:t>
      </w:r>
      <w:r w:rsidR="00371100" w:rsidRPr="006C44AC">
        <w:rPr>
          <w:rFonts w:ascii="Times New Roman" w:hAnsi="Times New Roman" w:cs="Times New Roman"/>
          <w:noProof/>
          <w:sz w:val="24"/>
          <w:szCs w:val="24"/>
        </w:rPr>
        <w:t xml:space="preserve"> 2006)</w:t>
      </w:r>
      <w:r w:rsidR="006C44AC">
        <w:rPr>
          <w:rFonts w:ascii="Times New Roman" w:hAnsi="Times New Roman" w:cs="Times New Roman"/>
          <w:sz w:val="24"/>
          <w:szCs w:val="24"/>
        </w:rPr>
        <w:t>.</w:t>
      </w:r>
    </w:p>
    <w:p w:rsidR="00C624F6" w:rsidRDefault="00C624F6" w:rsidP="003330C9">
      <w:pPr>
        <w:spacing w:after="0" w:line="360" w:lineRule="auto"/>
        <w:rPr>
          <w:rFonts w:ascii="Times New Roman" w:hAnsi="Times New Roman" w:cs="Times New Roman"/>
          <w:sz w:val="24"/>
          <w:szCs w:val="24"/>
        </w:rPr>
      </w:pPr>
    </w:p>
    <w:p w:rsidR="00D1362B" w:rsidRDefault="00D1362B"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The validity</w:t>
      </w:r>
      <w:r w:rsidR="0043279E">
        <w:rPr>
          <w:rFonts w:ascii="Times New Roman" w:hAnsi="Times New Roman" w:cs="Times New Roman"/>
          <w:sz w:val="24"/>
          <w:szCs w:val="24"/>
        </w:rPr>
        <w:t xml:space="preserve"> of the findings</w:t>
      </w:r>
      <w:r>
        <w:rPr>
          <w:rFonts w:ascii="Times New Roman" w:hAnsi="Times New Roman" w:cs="Times New Roman"/>
          <w:sz w:val="24"/>
          <w:szCs w:val="24"/>
        </w:rPr>
        <w:t xml:space="preserve"> of this nature is the direction of causality which has not been tested in this study. There remains possible that the positive relationship observed in this study because of companies with better financial performance having good corporate governance structure rather than good corporate governance structure causes better financial performance. </w:t>
      </w:r>
    </w:p>
    <w:p w:rsidR="0043279E" w:rsidRDefault="0043279E" w:rsidP="003330C9">
      <w:pPr>
        <w:spacing w:after="0" w:line="360" w:lineRule="auto"/>
        <w:rPr>
          <w:rFonts w:ascii="Times New Roman" w:hAnsi="Times New Roman" w:cs="Times New Roman"/>
          <w:sz w:val="24"/>
          <w:szCs w:val="24"/>
        </w:rPr>
      </w:pPr>
    </w:p>
    <w:p w:rsidR="002B17F9" w:rsidRDefault="002B17F9"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Factor analysis: The best way of determining which groups of items may constitute a unidimensional set is by factor analysis </w:t>
      </w:r>
      <w:r w:rsidR="00371100" w:rsidRPr="00C3423C">
        <w:rPr>
          <w:rFonts w:ascii="Times New Roman" w:hAnsi="Times New Roman" w:cs="Times New Roman"/>
          <w:noProof/>
          <w:sz w:val="24"/>
          <w:szCs w:val="24"/>
        </w:rPr>
        <w:t>(DeVellis, 2003, p. 94)</w:t>
      </w:r>
      <w:r>
        <w:rPr>
          <w:rFonts w:ascii="Times New Roman" w:hAnsi="Times New Roman" w:cs="Times New Roman"/>
          <w:sz w:val="24"/>
          <w:szCs w:val="24"/>
        </w:rPr>
        <w:t xml:space="preserve">. The purpose of factor </w:t>
      </w:r>
      <w:r>
        <w:rPr>
          <w:rFonts w:ascii="Times New Roman" w:hAnsi="Times New Roman" w:cs="Times New Roman"/>
          <w:sz w:val="24"/>
          <w:szCs w:val="24"/>
        </w:rPr>
        <w:lastRenderedPageBreak/>
        <w:t xml:space="preserve">analysis is to analyse scores on several items to see if they can be reduced to underlying dimensions. Those items that at highly related to each other should loan on one factor. As such, some of the variances in the scores can be explained. The results of factor loadings can help researcher determine which items from the scale should be retained or deleted </w:t>
      </w:r>
      <w:r w:rsidR="00371100" w:rsidRPr="00CC61A1">
        <w:rPr>
          <w:rFonts w:ascii="Times New Roman" w:hAnsi="Times New Roman" w:cs="Times New Roman"/>
          <w:noProof/>
          <w:sz w:val="24"/>
          <w:szCs w:val="24"/>
        </w:rPr>
        <w:t>(Kumar, 2015)</w:t>
      </w:r>
      <w:r>
        <w:rPr>
          <w:rFonts w:ascii="Times New Roman" w:hAnsi="Times New Roman" w:cs="Times New Roman"/>
          <w:sz w:val="24"/>
          <w:szCs w:val="24"/>
        </w:rPr>
        <w:t>. In this study, the measurement instruments are indexes. As such, factor analysis is not applicable.</w:t>
      </w:r>
    </w:p>
    <w:p w:rsidR="00AE098E" w:rsidRDefault="00AE098E" w:rsidP="003330C9">
      <w:pPr>
        <w:spacing w:after="0" w:line="360" w:lineRule="auto"/>
        <w:rPr>
          <w:rFonts w:ascii="Times New Roman" w:hAnsi="Times New Roman" w:cs="Times New Roman"/>
          <w:sz w:val="24"/>
          <w:szCs w:val="24"/>
        </w:rPr>
      </w:pPr>
    </w:p>
    <w:p w:rsidR="00AE098E" w:rsidRPr="009F3EC2" w:rsidRDefault="00FC5A68" w:rsidP="003330C9">
      <w:pPr>
        <w:tabs>
          <w:tab w:val="left" w:pos="2210"/>
        </w:tabs>
        <w:spacing w:after="0" w:line="360" w:lineRule="auto"/>
        <w:rPr>
          <w:rFonts w:ascii="Times New Roman" w:hAnsi="Times New Roman" w:cs="Times New Roman"/>
          <w:b/>
          <w:sz w:val="24"/>
          <w:szCs w:val="24"/>
        </w:rPr>
      </w:pPr>
      <w:r w:rsidRPr="009F3EC2">
        <w:rPr>
          <w:rFonts w:ascii="Times New Roman" w:hAnsi="Times New Roman" w:cs="Times New Roman"/>
          <w:b/>
          <w:sz w:val="24"/>
          <w:szCs w:val="24"/>
        </w:rPr>
        <w:t>5. CONCLUSIONS</w:t>
      </w:r>
    </w:p>
    <w:p w:rsidR="00AE098E" w:rsidRDefault="00AE098E" w:rsidP="003330C9">
      <w:pPr>
        <w:spacing w:after="0" w:line="360" w:lineRule="auto"/>
        <w:rPr>
          <w:rFonts w:ascii="Times New Roman" w:hAnsi="Times New Roman" w:cs="Times New Roman"/>
          <w:sz w:val="24"/>
          <w:szCs w:val="24"/>
        </w:rPr>
      </w:pPr>
    </w:p>
    <w:p w:rsidR="00CD26B6" w:rsidRDefault="00AE098E"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Compared to a statutory regime, the “comply or explain” approach </w:t>
      </w:r>
      <w:r w:rsidR="006E2EBE">
        <w:rPr>
          <w:rFonts w:ascii="Times New Roman" w:hAnsi="Times New Roman" w:cs="Times New Roman"/>
          <w:sz w:val="24"/>
          <w:szCs w:val="24"/>
        </w:rPr>
        <w:t>to corporate gover</w:t>
      </w:r>
      <w:r w:rsidR="00605DE9">
        <w:rPr>
          <w:rFonts w:ascii="Times New Roman" w:hAnsi="Times New Roman" w:cs="Times New Roman"/>
          <w:sz w:val="24"/>
          <w:szCs w:val="24"/>
        </w:rPr>
        <w:t>n</w:t>
      </w:r>
      <w:r w:rsidR="006E2EBE">
        <w:rPr>
          <w:rFonts w:ascii="Times New Roman" w:hAnsi="Times New Roman" w:cs="Times New Roman"/>
          <w:sz w:val="24"/>
          <w:szCs w:val="24"/>
        </w:rPr>
        <w:t xml:space="preserve">ance in Hong Kong </w:t>
      </w:r>
      <w:r>
        <w:rPr>
          <w:rFonts w:ascii="Times New Roman" w:hAnsi="Times New Roman" w:cs="Times New Roman"/>
          <w:sz w:val="24"/>
          <w:szCs w:val="24"/>
        </w:rPr>
        <w:t>provides the value of flexibility to corporate govern</w:t>
      </w:r>
      <w:r w:rsidR="00CD26B6">
        <w:rPr>
          <w:rFonts w:ascii="Times New Roman" w:hAnsi="Times New Roman" w:cs="Times New Roman"/>
          <w:sz w:val="24"/>
          <w:szCs w:val="24"/>
        </w:rPr>
        <w:t xml:space="preserve">ance based on the </w:t>
      </w:r>
      <w:r>
        <w:rPr>
          <w:rFonts w:ascii="Times New Roman" w:hAnsi="Times New Roman" w:cs="Times New Roman"/>
          <w:sz w:val="24"/>
          <w:szCs w:val="24"/>
        </w:rPr>
        <w:t>principle of “no one size fits all”. In case of non-compliance, the value of flexibility must be commensurate to meanin</w:t>
      </w:r>
      <w:r w:rsidR="00CD26B6">
        <w:rPr>
          <w:rFonts w:ascii="Times New Roman" w:hAnsi="Times New Roman" w:cs="Times New Roman"/>
          <w:sz w:val="24"/>
          <w:szCs w:val="24"/>
        </w:rPr>
        <w:t xml:space="preserve">gful and detailed explanations. </w:t>
      </w:r>
    </w:p>
    <w:p w:rsidR="00CD26B6" w:rsidRDefault="00CD26B6" w:rsidP="003330C9">
      <w:pPr>
        <w:spacing w:after="0" w:line="360" w:lineRule="auto"/>
        <w:rPr>
          <w:rFonts w:ascii="Times New Roman" w:hAnsi="Times New Roman" w:cs="Times New Roman"/>
          <w:sz w:val="24"/>
          <w:szCs w:val="24"/>
        </w:rPr>
      </w:pPr>
    </w:p>
    <w:p w:rsidR="00AE098E" w:rsidRDefault="00AE098E"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Some academics have casted doubts on the effectiveness of the “comply or explain” approach which puts great emphasis on the role of shareholders to monitor the corporate governance of the company under the assumption of “shareholder primacy” </w:t>
      </w:r>
      <w:r w:rsidR="00371100">
        <w:rPr>
          <w:rFonts w:ascii="Times New Roman" w:hAnsi="Times New Roman" w:cs="Times New Roman"/>
          <w:noProof/>
          <w:sz w:val="24"/>
          <w:szCs w:val="24"/>
        </w:rPr>
        <w:t xml:space="preserve">(Arcot </w:t>
      </w:r>
      <w:r w:rsidR="00371100" w:rsidRPr="00371100">
        <w:rPr>
          <w:rFonts w:ascii="Times New Roman" w:hAnsi="Times New Roman" w:cs="Times New Roman"/>
          <w:i/>
          <w:noProof/>
          <w:sz w:val="24"/>
          <w:szCs w:val="24"/>
        </w:rPr>
        <w:t>et al</w:t>
      </w:r>
      <w:r w:rsidR="00371100">
        <w:rPr>
          <w:rFonts w:ascii="Times New Roman" w:hAnsi="Times New Roman" w:cs="Times New Roman"/>
          <w:noProof/>
          <w:sz w:val="24"/>
          <w:szCs w:val="24"/>
        </w:rPr>
        <w:t>.</w:t>
      </w:r>
      <w:r w:rsidR="00371100" w:rsidRPr="00987B7F">
        <w:rPr>
          <w:rFonts w:ascii="Times New Roman" w:hAnsi="Times New Roman" w:cs="Times New Roman"/>
          <w:noProof/>
          <w:sz w:val="24"/>
          <w:szCs w:val="24"/>
        </w:rPr>
        <w:t xml:space="preserve"> 2010)</w:t>
      </w:r>
      <w:r>
        <w:rPr>
          <w:rFonts w:ascii="Times New Roman" w:hAnsi="Times New Roman" w:cs="Times New Roman"/>
          <w:sz w:val="24"/>
          <w:szCs w:val="24"/>
        </w:rPr>
        <w:t>. In the absence a governmental agency with a proper statutory authority to enforce and monitor the “comply or explain” approach as well as disclosure requirements, the corporate governance regulations remain unsolved and for debate in the future.</w:t>
      </w:r>
    </w:p>
    <w:p w:rsidR="00AE098E" w:rsidRDefault="00AE098E" w:rsidP="003330C9">
      <w:pPr>
        <w:spacing w:after="0" w:line="360" w:lineRule="auto"/>
        <w:rPr>
          <w:rFonts w:ascii="Times New Roman" w:hAnsi="Times New Roman" w:cs="Times New Roman"/>
          <w:sz w:val="24"/>
          <w:szCs w:val="24"/>
        </w:rPr>
      </w:pPr>
    </w:p>
    <w:p w:rsidR="00AE098E" w:rsidRDefault="00AE098E"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 Hong Kong Institute of Chartered Secretaries is of the view that corporate governance is a journey but not a destination. There will not come a point where the regulation of corporate governance and compliance with that regulation cease to strengthen and develop. In the near future, corporate governance requirements are expected to increase substantially </w:t>
      </w:r>
      <w:r w:rsidR="00371100" w:rsidRPr="003274B1">
        <w:rPr>
          <w:rFonts w:ascii="Times New Roman" w:hAnsi="Times New Roman" w:cs="Times New Roman"/>
          <w:noProof/>
          <w:sz w:val="24"/>
          <w:szCs w:val="24"/>
        </w:rPr>
        <w:t>(The Hong Kong Institute of</w:t>
      </w:r>
      <w:r w:rsidR="00371100">
        <w:rPr>
          <w:rFonts w:ascii="Times New Roman" w:hAnsi="Times New Roman" w:cs="Times New Roman"/>
          <w:noProof/>
          <w:sz w:val="24"/>
          <w:szCs w:val="24"/>
        </w:rPr>
        <w:t xml:space="preserve"> Chartered Secretaries, </w:t>
      </w:r>
      <w:r w:rsidR="00371100" w:rsidRPr="003274B1">
        <w:rPr>
          <w:rFonts w:ascii="Times New Roman" w:hAnsi="Times New Roman" w:cs="Times New Roman"/>
          <w:noProof/>
          <w:sz w:val="24"/>
          <w:szCs w:val="24"/>
        </w:rPr>
        <w:t>2019)</w:t>
      </w:r>
      <w:r>
        <w:rPr>
          <w:rFonts w:ascii="Times New Roman" w:hAnsi="Times New Roman" w:cs="Times New Roman"/>
          <w:sz w:val="24"/>
          <w:szCs w:val="24"/>
        </w:rPr>
        <w:t>.</w:t>
      </w:r>
    </w:p>
    <w:p w:rsidR="00AE098E" w:rsidRDefault="00AE098E" w:rsidP="003330C9">
      <w:pPr>
        <w:spacing w:after="0" w:line="360" w:lineRule="auto"/>
        <w:rPr>
          <w:rFonts w:ascii="Times New Roman" w:hAnsi="Times New Roman" w:cs="Times New Roman"/>
          <w:sz w:val="24"/>
          <w:szCs w:val="24"/>
        </w:rPr>
      </w:pPr>
    </w:p>
    <w:p w:rsidR="00AE098E" w:rsidRDefault="00AE098E" w:rsidP="003330C9">
      <w:pPr>
        <w:spacing w:after="0" w:line="360" w:lineRule="auto"/>
        <w:ind w:right="-46"/>
        <w:rPr>
          <w:rFonts w:ascii="Times New Roman" w:hAnsi="Times New Roman" w:cs="Times New Roman"/>
          <w:sz w:val="24"/>
          <w:szCs w:val="24"/>
        </w:rPr>
      </w:pPr>
      <w:r>
        <w:rPr>
          <w:rFonts w:ascii="Times New Roman" w:hAnsi="Times New Roman" w:cs="Times New Roman"/>
          <w:sz w:val="24"/>
          <w:szCs w:val="24"/>
        </w:rPr>
        <w:t xml:space="preserve">Given the changing regulatory environment, advancement of technology and growing complexity of the nature of business, the role of directors becomes more important and complicated </w:t>
      </w:r>
      <w:r w:rsidR="00371100">
        <w:rPr>
          <w:rFonts w:ascii="Times New Roman" w:hAnsi="Times New Roman" w:cs="Times New Roman"/>
          <w:sz w:val="24"/>
          <w:szCs w:val="24"/>
        </w:rPr>
        <w:t>(Chan and</w:t>
      </w:r>
      <w:r w:rsidR="00371100" w:rsidRPr="00D85FD1">
        <w:rPr>
          <w:rFonts w:ascii="Times New Roman" w:hAnsi="Times New Roman" w:cs="Times New Roman"/>
          <w:sz w:val="24"/>
          <w:szCs w:val="24"/>
        </w:rPr>
        <w:t xml:space="preserve"> Lau, 2003)</w:t>
      </w:r>
      <w:r>
        <w:rPr>
          <w:rFonts w:ascii="Times New Roman" w:hAnsi="Times New Roman" w:cs="Times New Roman"/>
          <w:sz w:val="24"/>
          <w:szCs w:val="24"/>
        </w:rPr>
        <w:t xml:space="preserve">. It is argued that corporate governance must evolve to reflect rapid changes on business environment and listed companies should adapt their corporate governance and embrace new technology change in the digital age </w:t>
      </w:r>
      <w:r w:rsidR="00BF5720" w:rsidRPr="00AA27A3">
        <w:rPr>
          <w:rFonts w:ascii="Times New Roman" w:hAnsi="Times New Roman" w:cs="Times New Roman"/>
          <w:sz w:val="24"/>
          <w:szCs w:val="24"/>
        </w:rPr>
        <w:t>(The Hong Kong Institute of Chartered Secretaries, 2018)</w:t>
      </w:r>
      <w:r>
        <w:rPr>
          <w:rFonts w:ascii="Times New Roman" w:hAnsi="Times New Roman" w:cs="Times New Roman"/>
          <w:sz w:val="24"/>
          <w:szCs w:val="24"/>
        </w:rPr>
        <w:t>.</w:t>
      </w:r>
    </w:p>
    <w:p w:rsidR="00AE098E" w:rsidRDefault="00AE098E" w:rsidP="003330C9">
      <w:pPr>
        <w:spacing w:after="0" w:line="360" w:lineRule="auto"/>
        <w:rPr>
          <w:rFonts w:ascii="Times New Roman" w:hAnsi="Times New Roman" w:cs="Times New Roman"/>
          <w:sz w:val="24"/>
          <w:szCs w:val="24"/>
        </w:rPr>
      </w:pPr>
    </w:p>
    <w:p w:rsidR="00FE4F22" w:rsidRDefault="002220F9"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Undoubtedly, this study is not without any challenges and limitations. </w:t>
      </w:r>
      <w:r w:rsidR="00B506CF">
        <w:rPr>
          <w:rFonts w:ascii="Times New Roman" w:hAnsi="Times New Roman" w:cs="Times New Roman"/>
          <w:sz w:val="24"/>
          <w:szCs w:val="24"/>
        </w:rPr>
        <w:t xml:space="preserve">Given the time constraint for this study (HKBM7004 Quantitative Research Methods) to be completed in a month, 3 samples for each industry sector are randomly selected for the pilot test. That is, a total of 36 sample listed companies </w:t>
      </w:r>
      <w:r w:rsidR="00FE4F22">
        <w:rPr>
          <w:rFonts w:ascii="Times New Roman" w:hAnsi="Times New Roman" w:cs="Times New Roman"/>
          <w:sz w:val="24"/>
          <w:szCs w:val="24"/>
        </w:rPr>
        <w:t xml:space="preserve">for 12 industries </w:t>
      </w:r>
      <w:r w:rsidR="00B506CF">
        <w:rPr>
          <w:rFonts w:ascii="Times New Roman" w:hAnsi="Times New Roman" w:cs="Times New Roman"/>
          <w:sz w:val="24"/>
          <w:szCs w:val="24"/>
        </w:rPr>
        <w:t>are selected. As such, the small sample size is a major course of concern in respect of the findings</w:t>
      </w:r>
      <w:r w:rsidR="00605DE9">
        <w:rPr>
          <w:rFonts w:ascii="Times New Roman" w:hAnsi="Times New Roman" w:cs="Times New Roman"/>
          <w:sz w:val="24"/>
          <w:szCs w:val="24"/>
        </w:rPr>
        <w:t xml:space="preserve"> and analyses</w:t>
      </w:r>
      <w:r w:rsidR="00B506CF">
        <w:rPr>
          <w:rFonts w:ascii="Times New Roman" w:hAnsi="Times New Roman" w:cs="Times New Roman"/>
          <w:sz w:val="24"/>
          <w:szCs w:val="24"/>
        </w:rPr>
        <w:t xml:space="preserve">. </w:t>
      </w:r>
      <w:r w:rsidR="00FE4F22">
        <w:rPr>
          <w:rFonts w:ascii="Times New Roman" w:hAnsi="Times New Roman" w:cs="Times New Roman"/>
          <w:sz w:val="24"/>
          <w:szCs w:val="24"/>
        </w:rPr>
        <w:t xml:space="preserve">Furthermore, correlation analysis alone cannot prove that there is a causal effect. Even though in the case that there is a strong correlation, it does not imply a causation effect. It only indicates the tendencies present in the data </w:t>
      </w:r>
      <w:r w:rsidR="00371100">
        <w:rPr>
          <w:rFonts w:ascii="Times New Roman" w:hAnsi="Times New Roman" w:cs="Times New Roman"/>
          <w:noProof/>
          <w:sz w:val="24"/>
          <w:szCs w:val="24"/>
        </w:rPr>
        <w:t xml:space="preserve">(Berenson </w:t>
      </w:r>
      <w:r w:rsidR="00371100" w:rsidRPr="00371100">
        <w:rPr>
          <w:rFonts w:ascii="Times New Roman" w:hAnsi="Times New Roman" w:cs="Times New Roman"/>
          <w:i/>
          <w:noProof/>
          <w:sz w:val="24"/>
          <w:szCs w:val="24"/>
        </w:rPr>
        <w:t>et al</w:t>
      </w:r>
      <w:r w:rsidR="00371100">
        <w:rPr>
          <w:rFonts w:ascii="Times New Roman" w:hAnsi="Times New Roman" w:cs="Times New Roman"/>
          <w:noProof/>
          <w:sz w:val="24"/>
          <w:szCs w:val="24"/>
        </w:rPr>
        <w:t>.</w:t>
      </w:r>
      <w:r w:rsidR="00371100" w:rsidRPr="00797C21">
        <w:rPr>
          <w:rFonts w:ascii="Times New Roman" w:hAnsi="Times New Roman" w:cs="Times New Roman"/>
          <w:noProof/>
          <w:sz w:val="24"/>
          <w:szCs w:val="24"/>
        </w:rPr>
        <w:t xml:space="preserve"> 2009, p. 96)</w:t>
      </w:r>
      <w:r w:rsidR="00FE4F22">
        <w:rPr>
          <w:rFonts w:ascii="Times New Roman" w:hAnsi="Times New Roman" w:cs="Times New Roman"/>
          <w:sz w:val="24"/>
          <w:szCs w:val="24"/>
        </w:rPr>
        <w:t>.</w:t>
      </w:r>
    </w:p>
    <w:p w:rsidR="00FE4F22" w:rsidRDefault="00FE4F22" w:rsidP="003330C9">
      <w:pPr>
        <w:spacing w:after="0" w:line="360" w:lineRule="auto"/>
        <w:rPr>
          <w:rFonts w:ascii="Times New Roman" w:hAnsi="Times New Roman" w:cs="Times New Roman"/>
          <w:sz w:val="24"/>
          <w:szCs w:val="24"/>
        </w:rPr>
      </w:pPr>
    </w:p>
    <w:p w:rsidR="00B506CF" w:rsidRDefault="002220F9"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Moreover, t</w:t>
      </w:r>
      <w:r w:rsidR="00B506CF">
        <w:rPr>
          <w:rFonts w:ascii="Times New Roman" w:hAnsi="Times New Roman" w:cs="Times New Roman"/>
          <w:sz w:val="24"/>
          <w:szCs w:val="24"/>
        </w:rPr>
        <w:t xml:space="preserve">he “comply or explain” approach to corporate governance does not envisage a “one size fits all” approach in Appendix 14 to the Listing Rules </w:t>
      </w:r>
      <w:r w:rsidR="00371100" w:rsidRPr="0056198B">
        <w:rPr>
          <w:rFonts w:ascii="Times New Roman" w:hAnsi="Times New Roman" w:cs="Times New Roman"/>
          <w:noProof/>
          <w:sz w:val="24"/>
          <w:szCs w:val="24"/>
        </w:rPr>
        <w:t>(Hong Kong Exchanges and Clearing Limited, 2020)</w:t>
      </w:r>
      <w:r w:rsidR="00B506CF">
        <w:rPr>
          <w:rFonts w:ascii="Times New Roman" w:hAnsi="Times New Roman" w:cs="Times New Roman"/>
          <w:sz w:val="24"/>
          <w:szCs w:val="24"/>
        </w:rPr>
        <w:t xml:space="preserve">. Hence, it is possible that companies within each Hang Seng Composite Industry Index differ considerably in terms of capital base, risk profile, history, business activity and management and personnel arrangements </w:t>
      </w:r>
      <w:r w:rsidR="00371100">
        <w:rPr>
          <w:rFonts w:ascii="Times New Roman" w:hAnsi="Times New Roman" w:cs="Times New Roman"/>
          <w:noProof/>
          <w:sz w:val="24"/>
          <w:szCs w:val="24"/>
        </w:rPr>
        <w:t>(Brown and</w:t>
      </w:r>
      <w:r w:rsidR="00371100" w:rsidRPr="00285552">
        <w:rPr>
          <w:rFonts w:ascii="Times New Roman" w:hAnsi="Times New Roman" w:cs="Times New Roman"/>
          <w:noProof/>
          <w:sz w:val="24"/>
          <w:szCs w:val="24"/>
        </w:rPr>
        <w:t xml:space="preserve"> Gorgens, 2009)</w:t>
      </w:r>
      <w:r w:rsidR="00B506CF">
        <w:rPr>
          <w:rFonts w:ascii="Times New Roman" w:hAnsi="Times New Roman" w:cs="Times New Roman"/>
          <w:sz w:val="24"/>
          <w:szCs w:val="24"/>
        </w:rPr>
        <w:t>.</w:t>
      </w:r>
    </w:p>
    <w:p w:rsidR="00B506CF" w:rsidRDefault="00B506CF" w:rsidP="003330C9">
      <w:pPr>
        <w:spacing w:after="0" w:line="360" w:lineRule="auto"/>
        <w:rPr>
          <w:rFonts w:ascii="Times New Roman" w:hAnsi="Times New Roman" w:cs="Times New Roman"/>
          <w:sz w:val="24"/>
          <w:szCs w:val="24"/>
        </w:rPr>
      </w:pPr>
    </w:p>
    <w:p w:rsidR="00B506CF" w:rsidRDefault="0036722F" w:rsidP="003330C9">
      <w:pPr>
        <w:spacing w:after="0" w:line="360" w:lineRule="auto"/>
        <w:rPr>
          <w:rFonts w:ascii="Times New Roman" w:hAnsi="Times New Roman" w:cs="Times New Roman"/>
          <w:sz w:val="24"/>
          <w:szCs w:val="24"/>
        </w:rPr>
      </w:pPr>
      <w:r>
        <w:rPr>
          <w:rFonts w:ascii="Times New Roman" w:hAnsi="Times New Roman" w:cs="Times New Roman"/>
          <w:sz w:val="24"/>
          <w:szCs w:val="24"/>
        </w:rPr>
        <w:t>Apart from the level of corporate governance, i</w:t>
      </w:r>
      <w:r w:rsidR="00FE4F22">
        <w:rPr>
          <w:rFonts w:ascii="Times New Roman" w:hAnsi="Times New Roman" w:cs="Times New Roman"/>
          <w:sz w:val="24"/>
          <w:szCs w:val="24"/>
        </w:rPr>
        <w:t xml:space="preserve">t </w:t>
      </w:r>
      <w:r w:rsidR="00B506CF">
        <w:rPr>
          <w:rFonts w:ascii="Times New Roman" w:hAnsi="Times New Roman" w:cs="Times New Roman"/>
          <w:sz w:val="24"/>
          <w:szCs w:val="24"/>
        </w:rPr>
        <w:t xml:space="preserve">is </w:t>
      </w:r>
      <w:r w:rsidR="00FE4F22">
        <w:rPr>
          <w:rFonts w:ascii="Times New Roman" w:hAnsi="Times New Roman" w:cs="Times New Roman"/>
          <w:sz w:val="24"/>
          <w:szCs w:val="24"/>
        </w:rPr>
        <w:t xml:space="preserve">also </w:t>
      </w:r>
      <w:r w:rsidR="00B506CF">
        <w:rPr>
          <w:rFonts w:ascii="Times New Roman" w:hAnsi="Times New Roman" w:cs="Times New Roman"/>
          <w:sz w:val="24"/>
          <w:szCs w:val="24"/>
        </w:rPr>
        <w:t xml:space="preserve">possible </w:t>
      </w:r>
      <w:r>
        <w:rPr>
          <w:rFonts w:ascii="Times New Roman" w:hAnsi="Times New Roman" w:cs="Times New Roman"/>
          <w:sz w:val="24"/>
          <w:szCs w:val="24"/>
        </w:rPr>
        <w:t>that some variables</w:t>
      </w:r>
      <w:r w:rsidR="00B506CF">
        <w:rPr>
          <w:rFonts w:ascii="Times New Roman" w:hAnsi="Times New Roman" w:cs="Times New Roman"/>
          <w:sz w:val="24"/>
          <w:szCs w:val="24"/>
        </w:rPr>
        <w:t xml:space="preserve"> will affect the financial performance </w:t>
      </w:r>
      <w:r w:rsidR="00656DC3">
        <w:rPr>
          <w:rFonts w:ascii="Times New Roman" w:hAnsi="Times New Roman" w:cs="Times New Roman"/>
          <w:sz w:val="24"/>
          <w:szCs w:val="24"/>
        </w:rPr>
        <w:t>and share price volatility</w:t>
      </w:r>
      <w:r>
        <w:rPr>
          <w:rFonts w:ascii="Times New Roman" w:hAnsi="Times New Roman" w:cs="Times New Roman"/>
          <w:sz w:val="24"/>
          <w:szCs w:val="24"/>
        </w:rPr>
        <w:t xml:space="preserve"> such as number of listing years, </w:t>
      </w:r>
      <w:r w:rsidR="00B506CF">
        <w:rPr>
          <w:rFonts w:ascii="Times New Roman" w:hAnsi="Times New Roman" w:cs="Times New Roman"/>
          <w:sz w:val="24"/>
          <w:szCs w:val="24"/>
        </w:rPr>
        <w:t>co</w:t>
      </w:r>
      <w:r>
        <w:rPr>
          <w:rFonts w:ascii="Times New Roman" w:hAnsi="Times New Roman" w:cs="Times New Roman"/>
          <w:sz w:val="24"/>
          <w:szCs w:val="24"/>
        </w:rPr>
        <w:t xml:space="preserve">mpany size, growth rate and </w:t>
      </w:r>
      <w:r w:rsidR="002220F9">
        <w:rPr>
          <w:rFonts w:ascii="Times New Roman" w:hAnsi="Times New Roman" w:cs="Times New Roman"/>
          <w:sz w:val="24"/>
          <w:szCs w:val="24"/>
        </w:rPr>
        <w:t>leverage</w:t>
      </w:r>
      <w:r w:rsidR="00371100">
        <w:rPr>
          <w:rFonts w:ascii="Times New Roman" w:hAnsi="Times New Roman" w:cs="Times New Roman"/>
          <w:sz w:val="24"/>
          <w:szCs w:val="24"/>
        </w:rPr>
        <w:t>. As such</w:t>
      </w:r>
      <w:r w:rsidR="00FE4F22">
        <w:rPr>
          <w:rFonts w:ascii="Times New Roman" w:hAnsi="Times New Roman" w:cs="Times New Roman"/>
          <w:sz w:val="24"/>
          <w:szCs w:val="24"/>
        </w:rPr>
        <w:t>, further research areas can be explored in the future.</w:t>
      </w:r>
    </w:p>
    <w:p w:rsidR="00381BF2" w:rsidRDefault="00381BF2">
      <w:pPr>
        <w:rPr>
          <w:rFonts w:ascii="Times New Roman" w:hAnsi="Times New Roman" w:cs="Times New Roman"/>
          <w:sz w:val="24"/>
          <w:szCs w:val="24"/>
        </w:rPr>
      </w:pPr>
      <w:r>
        <w:rPr>
          <w:rFonts w:ascii="Times New Roman" w:hAnsi="Times New Roman" w:cs="Times New Roman"/>
          <w:sz w:val="24"/>
          <w:szCs w:val="24"/>
        </w:rPr>
        <w:br w:type="page"/>
      </w:r>
    </w:p>
    <w:p w:rsidR="00381BF2" w:rsidRPr="00462371" w:rsidRDefault="00381BF2" w:rsidP="00381BF2">
      <w:pPr>
        <w:rPr>
          <w:rFonts w:ascii="Times New Roman" w:hAnsi="Times New Roman" w:cs="Times New Roman"/>
          <w:b/>
          <w:sz w:val="24"/>
          <w:szCs w:val="24"/>
        </w:rPr>
      </w:pPr>
      <w:r w:rsidRPr="00462371">
        <w:rPr>
          <w:rFonts w:ascii="Times New Roman" w:hAnsi="Times New Roman" w:cs="Times New Roman"/>
          <w:b/>
          <w:sz w:val="24"/>
          <w:szCs w:val="24"/>
        </w:rPr>
        <w:lastRenderedPageBreak/>
        <w:t>BIBLIOGRAPHY</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Adams, K.A. and Lawrence, E.K. (2019) </w:t>
      </w:r>
      <w:r w:rsidRPr="00462371">
        <w:rPr>
          <w:rFonts w:ascii="Times New Roman" w:hAnsi="Times New Roman" w:cs="Times New Roman"/>
          <w:i/>
          <w:sz w:val="24"/>
          <w:szCs w:val="24"/>
        </w:rPr>
        <w:t>Research methods, statistics, and applications</w:t>
      </w:r>
      <w:r w:rsidRPr="00462371">
        <w:rPr>
          <w:rFonts w:ascii="Times New Roman" w:hAnsi="Times New Roman" w:cs="Times New Roman"/>
          <w:sz w:val="24"/>
          <w:szCs w:val="24"/>
        </w:rPr>
        <w:t>. 2</w:t>
      </w:r>
      <w:r w:rsidRPr="00462371">
        <w:rPr>
          <w:rFonts w:ascii="Times New Roman" w:hAnsi="Times New Roman" w:cs="Times New Roman"/>
          <w:sz w:val="24"/>
          <w:szCs w:val="24"/>
          <w:vertAlign w:val="superscript"/>
        </w:rPr>
        <w:t>nd</w:t>
      </w:r>
      <w:r w:rsidRPr="00462371">
        <w:rPr>
          <w:rFonts w:ascii="Times New Roman" w:hAnsi="Times New Roman" w:cs="Times New Roman"/>
          <w:sz w:val="24"/>
          <w:szCs w:val="24"/>
        </w:rPr>
        <w:t xml:space="preserve"> edn. California: SAGE Publications, Inc.</w:t>
      </w:r>
    </w:p>
    <w:p w:rsidR="00381BF2" w:rsidRPr="00462371" w:rsidRDefault="00381BF2" w:rsidP="00381BF2">
      <w:pPr>
        <w:rPr>
          <w:rFonts w:ascii="Times New Roman" w:hAnsi="Times New Roman" w:cs="Times New Roman"/>
          <w:sz w:val="24"/>
          <w:szCs w:val="24"/>
        </w:rPr>
      </w:pPr>
      <w:r>
        <w:rPr>
          <w:rFonts w:ascii="Times New Roman" w:hAnsi="Times New Roman" w:cs="Times New Roman"/>
          <w:sz w:val="24"/>
          <w:szCs w:val="24"/>
        </w:rPr>
        <w:t>Aguilera, R.V. and</w:t>
      </w:r>
      <w:r w:rsidRPr="00462371">
        <w:rPr>
          <w:rFonts w:ascii="Times New Roman" w:hAnsi="Times New Roman" w:cs="Times New Roman"/>
          <w:sz w:val="24"/>
          <w:szCs w:val="24"/>
        </w:rPr>
        <w:t xml:space="preserve"> Cuervo-Cazurra, A. (2009) ‘Codes of good governance’, </w:t>
      </w:r>
      <w:r w:rsidRPr="00462371">
        <w:rPr>
          <w:rFonts w:ascii="Times New Roman" w:hAnsi="Times New Roman" w:cs="Times New Roman"/>
          <w:i/>
          <w:sz w:val="24"/>
          <w:szCs w:val="24"/>
        </w:rPr>
        <w:t>Corporate Governance: An International Review</w:t>
      </w:r>
      <w:r w:rsidRPr="00462371">
        <w:rPr>
          <w:rFonts w:ascii="Times New Roman" w:hAnsi="Times New Roman" w:cs="Times New Roman"/>
          <w:sz w:val="24"/>
          <w:szCs w:val="24"/>
        </w:rPr>
        <w:t>, 17(3), pp. 376-387.</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Arcot, S., Bruno, V. and Faure-Grimaud, A. (2010) ‘Corporate governance in the UK: is the comply or explain approach working?’, </w:t>
      </w:r>
      <w:r w:rsidRPr="00462371">
        <w:rPr>
          <w:rFonts w:ascii="Times New Roman" w:hAnsi="Times New Roman" w:cs="Times New Roman"/>
          <w:i/>
          <w:sz w:val="24"/>
          <w:szCs w:val="24"/>
        </w:rPr>
        <w:t>International Review of Law and Economics</w:t>
      </w:r>
      <w:r w:rsidRPr="00462371">
        <w:rPr>
          <w:rFonts w:ascii="Times New Roman" w:hAnsi="Times New Roman" w:cs="Times New Roman"/>
          <w:sz w:val="24"/>
          <w:szCs w:val="24"/>
        </w:rPr>
        <w:t>, 30(2), pp. 193-201.</w:t>
      </w:r>
    </w:p>
    <w:p w:rsidR="00381BF2" w:rsidRPr="00462371" w:rsidRDefault="00381BF2" w:rsidP="00381BF2">
      <w:pPr>
        <w:spacing w:after="0" w:line="240" w:lineRule="auto"/>
        <w:rPr>
          <w:rFonts w:ascii="Times New Roman" w:hAnsi="Times New Roman" w:cs="Times New Roman"/>
          <w:sz w:val="24"/>
          <w:szCs w:val="24"/>
        </w:rPr>
      </w:pPr>
      <w:r>
        <w:rPr>
          <w:rFonts w:ascii="Times New Roman" w:hAnsi="Times New Roman" w:cs="Times New Roman"/>
          <w:sz w:val="24"/>
          <w:szCs w:val="24"/>
        </w:rPr>
        <w:t>Ashworth, R. and</w:t>
      </w:r>
      <w:r w:rsidRPr="00462371">
        <w:rPr>
          <w:rFonts w:ascii="Times New Roman" w:hAnsi="Times New Roman" w:cs="Times New Roman"/>
          <w:sz w:val="24"/>
          <w:szCs w:val="24"/>
        </w:rPr>
        <w:t xml:space="preserve"> Mo, C., 2020. The Law Reviews. Available at: https://thelawreviews.co.uk/edition/the-corporate-governance-review-edition-10/1222282/hong-kong</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(Accessed 8 December 2020).</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Barnhart, S.W. and Rosenstein, S. (1998) ‘Board composition, managerial ownership, and firm performance: an empirical analysis’, </w:t>
      </w:r>
      <w:r w:rsidRPr="00462371">
        <w:rPr>
          <w:rFonts w:ascii="Times New Roman" w:hAnsi="Times New Roman" w:cs="Times New Roman"/>
          <w:i/>
          <w:sz w:val="24"/>
          <w:szCs w:val="24"/>
        </w:rPr>
        <w:t>The Financial Review</w:t>
      </w:r>
      <w:r w:rsidRPr="00462371">
        <w:rPr>
          <w:rFonts w:ascii="Times New Roman" w:hAnsi="Times New Roman" w:cs="Times New Roman"/>
          <w:sz w:val="24"/>
          <w:szCs w:val="24"/>
        </w:rPr>
        <w:t>, Volume 33, pp. 1-16.</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Bartlett, J.E., Kotrlik, J.W. and Higgins, C.C. (2001) ‘Organizational research: Determining appropriate sample size in survey research’, </w:t>
      </w:r>
      <w:r w:rsidRPr="00462371">
        <w:rPr>
          <w:rFonts w:ascii="Times New Roman" w:hAnsi="Times New Roman" w:cs="Times New Roman"/>
          <w:i/>
          <w:sz w:val="24"/>
          <w:szCs w:val="24"/>
        </w:rPr>
        <w:t>Information Technology, Learning, and Performance Journal</w:t>
      </w:r>
      <w:r w:rsidRPr="00462371">
        <w:rPr>
          <w:rFonts w:ascii="Times New Roman" w:hAnsi="Times New Roman" w:cs="Times New Roman"/>
          <w:sz w:val="24"/>
          <w:szCs w:val="24"/>
        </w:rPr>
        <w:t>, 19(No. 1, Spring), pp. 43-50.</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Berenson, M.L. et al. (2009) </w:t>
      </w:r>
      <w:r w:rsidRPr="00462371">
        <w:rPr>
          <w:rFonts w:ascii="Times New Roman" w:hAnsi="Times New Roman" w:cs="Times New Roman"/>
          <w:i/>
          <w:sz w:val="24"/>
          <w:szCs w:val="24"/>
        </w:rPr>
        <w:t>Business statistics: concepts and applications.</w:t>
      </w:r>
      <w:r w:rsidRPr="00462371">
        <w:rPr>
          <w:rFonts w:ascii="Times New Roman" w:hAnsi="Times New Roman" w:cs="Times New Roman"/>
          <w:sz w:val="24"/>
          <w:szCs w:val="24"/>
        </w:rPr>
        <w:t xml:space="preserve"> Frenchs Forest: Pearson Education Australia.</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Bhagat, S. and Black , B.S. (2002) ‘The non-correlation between board independence and long-term firm performance’, </w:t>
      </w:r>
      <w:r w:rsidRPr="00462371">
        <w:rPr>
          <w:rFonts w:ascii="Times New Roman" w:hAnsi="Times New Roman" w:cs="Times New Roman"/>
          <w:i/>
          <w:sz w:val="24"/>
          <w:szCs w:val="24"/>
        </w:rPr>
        <w:t>Journal of Corporate Law</w:t>
      </w:r>
      <w:r w:rsidRPr="00462371">
        <w:rPr>
          <w:rFonts w:ascii="Times New Roman" w:hAnsi="Times New Roman" w:cs="Times New Roman"/>
          <w:sz w:val="24"/>
          <w:szCs w:val="24"/>
        </w:rPr>
        <w:t>, Volume 27, pp. 231-273.</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Bhagat, S., Black, B. and Blair, M. (2004) ‘Relational investing and firm performance’, </w:t>
      </w:r>
      <w:r w:rsidRPr="00462371">
        <w:rPr>
          <w:rFonts w:ascii="Times New Roman" w:hAnsi="Times New Roman" w:cs="Times New Roman"/>
          <w:i/>
          <w:sz w:val="24"/>
          <w:szCs w:val="24"/>
        </w:rPr>
        <w:t>Journal of Financial Research</w:t>
      </w:r>
      <w:r w:rsidRPr="00462371">
        <w:rPr>
          <w:rFonts w:ascii="Times New Roman" w:hAnsi="Times New Roman" w:cs="Times New Roman"/>
          <w:sz w:val="24"/>
          <w:szCs w:val="24"/>
        </w:rPr>
        <w:t>, Volume 27, pp. 1-30.</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Black, T.R. (1999) </w:t>
      </w:r>
      <w:r w:rsidRPr="00462371">
        <w:rPr>
          <w:rFonts w:ascii="Times New Roman" w:hAnsi="Times New Roman" w:cs="Times New Roman"/>
          <w:i/>
          <w:sz w:val="24"/>
          <w:szCs w:val="24"/>
        </w:rPr>
        <w:t>Doing quantitative research</w:t>
      </w:r>
      <w:r w:rsidRPr="00462371">
        <w:rPr>
          <w:rFonts w:ascii="Times New Roman" w:hAnsi="Times New Roman" w:cs="Times New Roman"/>
          <w:sz w:val="24"/>
          <w:szCs w:val="24"/>
        </w:rPr>
        <w:t>. London: Sage.</w:t>
      </w:r>
    </w:p>
    <w:p w:rsidR="00381BF2" w:rsidRPr="00462371" w:rsidRDefault="00381BF2" w:rsidP="00381BF2">
      <w:pPr>
        <w:spacing w:after="0" w:line="240" w:lineRule="auto"/>
        <w:rPr>
          <w:rFonts w:ascii="Times New Roman" w:hAnsi="Times New Roman" w:cs="Times New Roman"/>
          <w:sz w:val="24"/>
          <w:szCs w:val="24"/>
        </w:rPr>
      </w:pPr>
      <w:r w:rsidRPr="00462371">
        <w:rPr>
          <w:rFonts w:ascii="Times New Roman" w:hAnsi="Times New Roman" w:cs="Times New Roman"/>
          <w:sz w:val="24"/>
          <w:szCs w:val="24"/>
        </w:rPr>
        <w:t xml:space="preserve">Boyte-White, C. (2020) </w:t>
      </w:r>
      <w:r w:rsidRPr="00462371">
        <w:rPr>
          <w:rFonts w:ascii="Times New Roman" w:hAnsi="Times New Roman" w:cs="Times New Roman"/>
          <w:i/>
          <w:sz w:val="24"/>
          <w:szCs w:val="24"/>
        </w:rPr>
        <w:t>Investopedia - Corporate finance &amp; accounting - How do you calculate volatility in excel?</w:t>
      </w:r>
      <w:r w:rsidRPr="00462371">
        <w:rPr>
          <w:rFonts w:ascii="Times New Roman" w:hAnsi="Times New Roman" w:cs="Times New Roman"/>
          <w:sz w:val="24"/>
          <w:szCs w:val="24"/>
        </w:rPr>
        <w:t>. Available at: https://www.investopedia.com/ask/answers/021015/how-can-you-calculate-volatility-excel.asp</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(Accessed 8 December 2020).</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Brown, R. and Gorgens, T. (2009) </w:t>
      </w:r>
      <w:r w:rsidRPr="00462371">
        <w:rPr>
          <w:rFonts w:ascii="Times New Roman" w:hAnsi="Times New Roman" w:cs="Times New Roman"/>
          <w:i/>
          <w:sz w:val="24"/>
          <w:szCs w:val="24"/>
        </w:rPr>
        <w:t>Corporate governance and financial performance in an Australian context.</w:t>
      </w:r>
      <w:r w:rsidRPr="00462371">
        <w:rPr>
          <w:rFonts w:ascii="Times New Roman" w:hAnsi="Times New Roman" w:cs="Times New Roman"/>
          <w:sz w:val="24"/>
          <w:szCs w:val="24"/>
        </w:rPr>
        <w:t xml:space="preserve"> Australia: The Treasury, Australian Government.</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Bryman, A. and Bell, E. (2015) </w:t>
      </w:r>
      <w:r w:rsidRPr="00462371">
        <w:rPr>
          <w:rFonts w:ascii="Times New Roman" w:hAnsi="Times New Roman" w:cs="Times New Roman"/>
          <w:i/>
          <w:sz w:val="24"/>
          <w:szCs w:val="24"/>
        </w:rPr>
        <w:t>Business research methods</w:t>
      </w:r>
      <w:r w:rsidRPr="00462371">
        <w:rPr>
          <w:rFonts w:ascii="Times New Roman" w:hAnsi="Times New Roman" w:cs="Times New Roman"/>
          <w:sz w:val="24"/>
          <w:szCs w:val="24"/>
        </w:rPr>
        <w:t>. 4</w:t>
      </w:r>
      <w:r w:rsidRPr="00462371">
        <w:rPr>
          <w:rFonts w:ascii="Times New Roman" w:hAnsi="Times New Roman" w:cs="Times New Roman"/>
          <w:sz w:val="24"/>
          <w:szCs w:val="24"/>
          <w:vertAlign w:val="superscript"/>
        </w:rPr>
        <w:t>th</w:t>
      </w:r>
      <w:r w:rsidRPr="00462371">
        <w:rPr>
          <w:rFonts w:ascii="Times New Roman" w:hAnsi="Times New Roman" w:cs="Times New Roman"/>
          <w:sz w:val="24"/>
          <w:szCs w:val="24"/>
        </w:rPr>
        <w:t xml:space="preserve"> edn, Oxford: Oxford University Press.</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Cadbury, A. (1992) </w:t>
      </w:r>
      <w:r w:rsidRPr="00462371">
        <w:rPr>
          <w:rFonts w:ascii="Times New Roman" w:hAnsi="Times New Roman" w:cs="Times New Roman"/>
          <w:i/>
          <w:sz w:val="24"/>
          <w:szCs w:val="24"/>
        </w:rPr>
        <w:t xml:space="preserve">Final report of the committee on the financial aspects of corporate governance. </w:t>
      </w:r>
      <w:r w:rsidRPr="00462371">
        <w:rPr>
          <w:rFonts w:ascii="Times New Roman" w:hAnsi="Times New Roman" w:cs="Times New Roman"/>
          <w:sz w:val="24"/>
          <w:szCs w:val="24"/>
        </w:rPr>
        <w:t>London: The Committee on the Financial Aspects of Corporate Governance and Gee and Co Ltd.</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Carleton, W.T., Nelson, J. N. and Weisbach, M.S. (1998) ‘The influence of institutions on corporate governance through private negotiations: evidence from TIAA-CREF’, </w:t>
      </w:r>
      <w:r w:rsidRPr="00462371">
        <w:rPr>
          <w:rFonts w:ascii="Times New Roman" w:hAnsi="Times New Roman" w:cs="Times New Roman"/>
          <w:i/>
          <w:sz w:val="24"/>
          <w:szCs w:val="24"/>
        </w:rPr>
        <w:t>Journal of Finance</w:t>
      </w:r>
      <w:r w:rsidRPr="00462371">
        <w:rPr>
          <w:rFonts w:ascii="Times New Roman" w:hAnsi="Times New Roman" w:cs="Times New Roman"/>
          <w:sz w:val="24"/>
          <w:szCs w:val="24"/>
        </w:rPr>
        <w:t>, Volume 53, pp. 1335-1362.</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lastRenderedPageBreak/>
        <w:t xml:space="preserve">Chan, S.Y. and Lau, A.K.L. (2003) ‘Directors' attributes and corporate governance effectiveness in Hong Kong’, </w:t>
      </w:r>
      <w:r w:rsidRPr="00462371">
        <w:rPr>
          <w:rFonts w:ascii="Times New Roman" w:hAnsi="Times New Roman" w:cs="Times New Roman"/>
          <w:i/>
          <w:sz w:val="24"/>
          <w:szCs w:val="24"/>
        </w:rPr>
        <w:t>Asia Pacific Business Review</w:t>
      </w:r>
      <w:r w:rsidRPr="00462371">
        <w:rPr>
          <w:rFonts w:ascii="Times New Roman" w:hAnsi="Times New Roman" w:cs="Times New Roman"/>
          <w:sz w:val="24"/>
          <w:szCs w:val="24"/>
        </w:rPr>
        <w:t>, 9(No. 3, Spring), pp. 85-104.</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Cheng, S., Lui, G. and Shum, C. (2015) ‘Did corporate governance safeguard investor interest in the global financial crisis? Evidence from Hong Kong SAR’, </w:t>
      </w:r>
      <w:r w:rsidRPr="00462371">
        <w:rPr>
          <w:rFonts w:ascii="Times New Roman" w:hAnsi="Times New Roman" w:cs="Times New Roman"/>
          <w:i/>
          <w:sz w:val="24"/>
          <w:szCs w:val="24"/>
        </w:rPr>
        <w:t>Asia Pacific Business Review</w:t>
      </w:r>
      <w:r w:rsidRPr="00462371">
        <w:rPr>
          <w:rFonts w:ascii="Times New Roman" w:hAnsi="Times New Roman" w:cs="Times New Roman"/>
          <w:sz w:val="24"/>
          <w:szCs w:val="24"/>
        </w:rPr>
        <w:t>, 21(4), pp. 534-550.</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Cheung, Y.L., Connelly, J.T., Jiang, P. and Limpaphayom, P. (2011) ‘Does corporate governance predict future performance? Evidence from Hong Kong’, </w:t>
      </w:r>
      <w:r w:rsidRPr="00462371">
        <w:rPr>
          <w:rFonts w:ascii="Times New Roman" w:hAnsi="Times New Roman" w:cs="Times New Roman"/>
          <w:i/>
          <w:sz w:val="24"/>
          <w:szCs w:val="24"/>
        </w:rPr>
        <w:t>Financial Management</w:t>
      </w:r>
      <w:r w:rsidRPr="00462371">
        <w:rPr>
          <w:rFonts w:ascii="Times New Roman" w:hAnsi="Times New Roman" w:cs="Times New Roman"/>
          <w:sz w:val="24"/>
          <w:szCs w:val="24"/>
        </w:rPr>
        <w:t>, Volume Spring, pp. 159-197.</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Cheung, Y. L., Stouraitis, A. and Tan, W. (2010) ‘Does the quality of corporate governance affect firm valuation and Risk? Evidence from a corporate governance scorecard in Hong Kong’, </w:t>
      </w:r>
      <w:r w:rsidRPr="00462371">
        <w:rPr>
          <w:rFonts w:ascii="Times New Roman" w:hAnsi="Times New Roman" w:cs="Times New Roman"/>
          <w:i/>
          <w:sz w:val="24"/>
          <w:szCs w:val="24"/>
        </w:rPr>
        <w:t>International Review of Finance</w:t>
      </w:r>
      <w:r w:rsidRPr="00462371">
        <w:rPr>
          <w:rFonts w:ascii="Times New Roman" w:hAnsi="Times New Roman" w:cs="Times New Roman"/>
          <w:sz w:val="24"/>
          <w:szCs w:val="24"/>
        </w:rPr>
        <w:t>, 10(4), pp. 403-432.</w:t>
      </w:r>
    </w:p>
    <w:p w:rsidR="00381BF2" w:rsidRPr="00462371" w:rsidRDefault="00381BF2" w:rsidP="00381BF2">
      <w:pPr>
        <w:spacing w:after="0" w:line="240" w:lineRule="auto"/>
        <w:rPr>
          <w:rFonts w:ascii="Times New Roman" w:hAnsi="Times New Roman" w:cs="Times New Roman"/>
          <w:sz w:val="24"/>
          <w:szCs w:val="24"/>
        </w:rPr>
      </w:pPr>
      <w:r w:rsidRPr="00462371">
        <w:rPr>
          <w:rFonts w:ascii="Times New Roman" w:hAnsi="Times New Roman" w:cs="Times New Roman"/>
          <w:i/>
          <w:sz w:val="24"/>
          <w:szCs w:val="24"/>
        </w:rPr>
        <w:t>Companies Ordinance (Cap. 622) Hong Kong e-Legislation</w:t>
      </w:r>
      <w:r w:rsidRPr="00462371">
        <w:rPr>
          <w:rFonts w:ascii="Times New Roman" w:hAnsi="Times New Roman" w:cs="Times New Roman"/>
          <w:sz w:val="24"/>
          <w:szCs w:val="24"/>
        </w:rPr>
        <w:t>. Available at: https://www.elegislation.gov.hk/hk/cap622</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(Accessed 8 December 2020).</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Cunningham, B.M. et al. (2019) </w:t>
      </w:r>
      <w:r w:rsidRPr="00462371">
        <w:rPr>
          <w:rFonts w:ascii="Times New Roman" w:hAnsi="Times New Roman" w:cs="Times New Roman"/>
          <w:i/>
          <w:sz w:val="24"/>
          <w:szCs w:val="24"/>
        </w:rPr>
        <w:t>Accounting: information for business decisions</w:t>
      </w:r>
      <w:r w:rsidRPr="00462371">
        <w:rPr>
          <w:rFonts w:ascii="Times New Roman" w:hAnsi="Times New Roman" w:cs="Times New Roman"/>
          <w:sz w:val="24"/>
          <w:szCs w:val="24"/>
        </w:rPr>
        <w:t>. 3</w:t>
      </w:r>
      <w:r w:rsidRPr="00462371">
        <w:rPr>
          <w:rFonts w:ascii="Times New Roman" w:hAnsi="Times New Roman" w:cs="Times New Roman"/>
          <w:sz w:val="24"/>
          <w:szCs w:val="24"/>
          <w:vertAlign w:val="superscript"/>
        </w:rPr>
        <w:t>rd</w:t>
      </w:r>
      <w:r w:rsidRPr="00462371">
        <w:rPr>
          <w:rFonts w:ascii="Times New Roman" w:hAnsi="Times New Roman" w:cs="Times New Roman"/>
          <w:sz w:val="24"/>
          <w:szCs w:val="24"/>
        </w:rPr>
        <w:t xml:space="preserve"> edn. South Melbourne: Cengage Learning Australia.</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Deegan, C. (2014) </w:t>
      </w:r>
      <w:r w:rsidRPr="00462371">
        <w:rPr>
          <w:rFonts w:ascii="Times New Roman" w:hAnsi="Times New Roman" w:cs="Times New Roman"/>
          <w:i/>
          <w:sz w:val="24"/>
          <w:szCs w:val="24"/>
        </w:rPr>
        <w:t>Financial accounting theory</w:t>
      </w:r>
      <w:r w:rsidRPr="00462371">
        <w:rPr>
          <w:rFonts w:ascii="Times New Roman" w:hAnsi="Times New Roman" w:cs="Times New Roman"/>
          <w:sz w:val="24"/>
          <w:szCs w:val="24"/>
        </w:rPr>
        <w:t>. 4</w:t>
      </w:r>
      <w:r w:rsidRPr="00462371">
        <w:rPr>
          <w:rFonts w:ascii="Times New Roman" w:hAnsi="Times New Roman" w:cs="Times New Roman"/>
          <w:sz w:val="24"/>
          <w:szCs w:val="24"/>
          <w:vertAlign w:val="superscript"/>
        </w:rPr>
        <w:t>th</w:t>
      </w:r>
      <w:r w:rsidRPr="00462371">
        <w:rPr>
          <w:rFonts w:ascii="Times New Roman" w:hAnsi="Times New Roman" w:cs="Times New Roman"/>
          <w:sz w:val="24"/>
          <w:szCs w:val="24"/>
        </w:rPr>
        <w:t xml:space="preserve"> edn. North Ryde: McGraw-Hill Education (Australia) Pty Ltd.</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DeVellis, R. F. (2003) </w:t>
      </w:r>
      <w:r w:rsidRPr="00462371">
        <w:rPr>
          <w:rFonts w:ascii="Times New Roman" w:hAnsi="Times New Roman" w:cs="Times New Roman"/>
          <w:i/>
          <w:sz w:val="24"/>
          <w:szCs w:val="24"/>
        </w:rPr>
        <w:t>Scale development theory and application</w:t>
      </w:r>
      <w:r w:rsidRPr="00462371">
        <w:rPr>
          <w:rFonts w:ascii="Times New Roman" w:hAnsi="Times New Roman" w:cs="Times New Roman"/>
          <w:sz w:val="24"/>
          <w:szCs w:val="24"/>
        </w:rPr>
        <w:t>. 2</w:t>
      </w:r>
      <w:r w:rsidRPr="00462371">
        <w:rPr>
          <w:rFonts w:ascii="Times New Roman" w:hAnsi="Times New Roman" w:cs="Times New Roman"/>
          <w:sz w:val="24"/>
          <w:szCs w:val="24"/>
          <w:vertAlign w:val="superscript"/>
        </w:rPr>
        <w:t xml:space="preserve">nd </w:t>
      </w:r>
      <w:r w:rsidRPr="00462371">
        <w:rPr>
          <w:rFonts w:ascii="Times New Roman" w:hAnsi="Times New Roman" w:cs="Times New Roman"/>
          <w:sz w:val="24"/>
          <w:szCs w:val="24"/>
        </w:rPr>
        <w:t>edn. California: SAGE Publications.</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Edwards, M. and Clough, R. (2005) </w:t>
      </w:r>
      <w:r w:rsidRPr="00462371">
        <w:rPr>
          <w:rFonts w:ascii="Times New Roman" w:hAnsi="Times New Roman" w:cs="Times New Roman"/>
          <w:i/>
          <w:sz w:val="24"/>
          <w:szCs w:val="24"/>
        </w:rPr>
        <w:t>Corporate governance and performance: an exploration of the connection in a public sector context</w:t>
      </w:r>
      <w:r w:rsidRPr="00462371">
        <w:rPr>
          <w:rFonts w:ascii="Times New Roman" w:hAnsi="Times New Roman" w:cs="Times New Roman"/>
          <w:sz w:val="24"/>
          <w:szCs w:val="24"/>
        </w:rPr>
        <w:t>. Canberra: University of Canberra.</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Fama, E.F. and Jensen, M.C. (1983) ‘Separation of ownership and control’, </w:t>
      </w:r>
      <w:r w:rsidRPr="00462371">
        <w:rPr>
          <w:rFonts w:ascii="Times New Roman" w:hAnsi="Times New Roman" w:cs="Times New Roman"/>
          <w:i/>
          <w:sz w:val="24"/>
          <w:szCs w:val="24"/>
        </w:rPr>
        <w:t>The Journal of Law and Economics</w:t>
      </w:r>
      <w:r w:rsidRPr="00462371">
        <w:rPr>
          <w:rFonts w:ascii="Times New Roman" w:hAnsi="Times New Roman" w:cs="Times New Roman"/>
          <w:sz w:val="24"/>
          <w:szCs w:val="24"/>
        </w:rPr>
        <w:t>, Volume 26, pp. 301-325.</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Goo, S.H. and Carver, A. (2003) </w:t>
      </w:r>
      <w:r w:rsidRPr="00462371">
        <w:rPr>
          <w:rFonts w:ascii="Times New Roman" w:hAnsi="Times New Roman" w:cs="Times New Roman"/>
          <w:i/>
          <w:sz w:val="24"/>
          <w:szCs w:val="24"/>
        </w:rPr>
        <w:t>Corporate governance the Hong Kong debate</w:t>
      </w:r>
      <w:r w:rsidRPr="00462371">
        <w:rPr>
          <w:rFonts w:ascii="Times New Roman" w:hAnsi="Times New Roman" w:cs="Times New Roman"/>
          <w:sz w:val="24"/>
          <w:szCs w:val="24"/>
        </w:rPr>
        <w:t>. Hong Kong: Sweet &amp; Maxwell Asia.</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Gray, D.E. (2017) </w:t>
      </w:r>
      <w:r w:rsidRPr="00462371">
        <w:rPr>
          <w:rFonts w:ascii="Times New Roman" w:hAnsi="Times New Roman" w:cs="Times New Roman"/>
          <w:i/>
          <w:sz w:val="24"/>
          <w:szCs w:val="24"/>
        </w:rPr>
        <w:t>Doing research in the business world</w:t>
      </w:r>
      <w:r w:rsidRPr="00462371">
        <w:rPr>
          <w:rFonts w:ascii="Times New Roman" w:hAnsi="Times New Roman" w:cs="Times New Roman"/>
          <w:sz w:val="24"/>
          <w:szCs w:val="24"/>
        </w:rPr>
        <w:t>. London: SAGE Publications Ltd.</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i/>
          <w:sz w:val="24"/>
          <w:szCs w:val="24"/>
        </w:rPr>
        <w:t>Hang Seng Indexes, 2020</w:t>
      </w:r>
      <w:r w:rsidRPr="00462371">
        <w:rPr>
          <w:rFonts w:ascii="Times New Roman" w:hAnsi="Times New Roman" w:cs="Times New Roman"/>
          <w:sz w:val="24"/>
          <w:szCs w:val="24"/>
        </w:rPr>
        <w:t>. Available at: https://www.hsi.com.hk/eng/indexes/all-indexes/hsci (Accessed 18 November 2020).</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Hermalin, B.E. and Weisbach, M.S. (1991) ‘The effects of board composition and direct incentives on firm performance’, </w:t>
      </w:r>
      <w:r w:rsidRPr="00462371">
        <w:rPr>
          <w:rFonts w:ascii="Times New Roman" w:hAnsi="Times New Roman" w:cs="Times New Roman"/>
          <w:i/>
          <w:sz w:val="24"/>
          <w:szCs w:val="24"/>
        </w:rPr>
        <w:t>Financial Management</w:t>
      </w:r>
      <w:r w:rsidRPr="00462371">
        <w:rPr>
          <w:rFonts w:ascii="Times New Roman" w:hAnsi="Times New Roman" w:cs="Times New Roman"/>
          <w:sz w:val="24"/>
          <w:szCs w:val="24"/>
        </w:rPr>
        <w:t>, Issue Winter, pp. 101-112.</w:t>
      </w:r>
    </w:p>
    <w:p w:rsidR="00381BF2" w:rsidRPr="00462371" w:rsidRDefault="00381BF2" w:rsidP="00381BF2">
      <w:pPr>
        <w:spacing w:after="0" w:line="240" w:lineRule="auto"/>
        <w:rPr>
          <w:rFonts w:ascii="Times New Roman" w:hAnsi="Times New Roman" w:cs="Times New Roman"/>
          <w:sz w:val="24"/>
          <w:szCs w:val="24"/>
        </w:rPr>
      </w:pPr>
      <w:r w:rsidRPr="00462371">
        <w:rPr>
          <w:rFonts w:ascii="Times New Roman" w:hAnsi="Times New Roman" w:cs="Times New Roman"/>
          <w:sz w:val="24"/>
          <w:szCs w:val="24"/>
        </w:rPr>
        <w:t xml:space="preserve">Hong Kong Exchanges and Clearing Limited (2020) </w:t>
      </w:r>
      <w:r w:rsidRPr="00462371">
        <w:rPr>
          <w:rFonts w:ascii="Times New Roman" w:hAnsi="Times New Roman" w:cs="Times New Roman"/>
          <w:i/>
          <w:sz w:val="24"/>
          <w:szCs w:val="24"/>
        </w:rPr>
        <w:t>Rules Governing the Listing of Securities on The Stock Exchange of Hong Kong Limited</w:t>
      </w:r>
      <w:r w:rsidRPr="00462371">
        <w:rPr>
          <w:rFonts w:ascii="Times New Roman" w:hAnsi="Times New Roman" w:cs="Times New Roman"/>
          <w:sz w:val="24"/>
          <w:szCs w:val="24"/>
        </w:rPr>
        <w:t>. Available at: https://www.hkex.com.hk/Listing/Rules-and-Guidance/Listing-Rules-Contingency/Main-Board-Listing-Rules/Main-Board-Listing-Rules?sc_lang=en</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(Accessed: 8 December 2020).</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Hong Kong Institute of Certified Public Accountants, 2014. A guide on better corporate governance disclosure, Hong Kong: Hong Kong Institute of Certified Public Accountants.</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lastRenderedPageBreak/>
        <w:t xml:space="preserve">Jensen, M.C. and Meckling, W.H. (1976) ‘Theory of the firm: managerial behaviour, agency costs and ownership structure’, </w:t>
      </w:r>
      <w:r w:rsidRPr="00462371">
        <w:rPr>
          <w:rFonts w:ascii="Times New Roman" w:hAnsi="Times New Roman" w:cs="Times New Roman"/>
          <w:i/>
          <w:sz w:val="24"/>
          <w:szCs w:val="24"/>
        </w:rPr>
        <w:t>Journal of Financial Economics</w:t>
      </w:r>
      <w:r w:rsidRPr="00462371">
        <w:rPr>
          <w:rFonts w:ascii="Times New Roman" w:hAnsi="Times New Roman" w:cs="Times New Roman"/>
          <w:sz w:val="24"/>
          <w:szCs w:val="24"/>
        </w:rPr>
        <w:t>, 3(October), pp. 305-360.</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John, K. and Senbet, L.W. (1998) ‘Corporate governance and board effectiveness’, </w:t>
      </w:r>
      <w:r w:rsidRPr="00462371">
        <w:rPr>
          <w:rFonts w:ascii="Times New Roman" w:hAnsi="Times New Roman" w:cs="Times New Roman"/>
          <w:i/>
          <w:sz w:val="24"/>
          <w:szCs w:val="24"/>
        </w:rPr>
        <w:t>Journal of Banking &amp; Finance</w:t>
      </w:r>
      <w:r w:rsidRPr="00462371">
        <w:rPr>
          <w:rFonts w:ascii="Times New Roman" w:hAnsi="Times New Roman" w:cs="Times New Roman"/>
          <w:sz w:val="24"/>
          <w:szCs w:val="24"/>
        </w:rPr>
        <w:t>, Volume 22, pp. 371-403.</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Klein, A. (1998) ‘Firm performance and board committee structure’</w:t>
      </w:r>
      <w:r w:rsidRPr="00462371">
        <w:rPr>
          <w:rFonts w:ascii="Times New Roman" w:hAnsi="Times New Roman" w:cs="Times New Roman"/>
          <w:i/>
          <w:sz w:val="24"/>
          <w:szCs w:val="24"/>
        </w:rPr>
        <w:t>, Journal of Law and Economics</w:t>
      </w:r>
      <w:r w:rsidRPr="00462371">
        <w:rPr>
          <w:rFonts w:ascii="Times New Roman" w:hAnsi="Times New Roman" w:cs="Times New Roman"/>
          <w:sz w:val="24"/>
          <w:szCs w:val="24"/>
        </w:rPr>
        <w:t>, Volume 41, pp. 275-299.</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Kumar, A. (2015) ‘Review of the steps for development of quantitative research tools’, </w:t>
      </w:r>
      <w:r w:rsidRPr="00462371">
        <w:rPr>
          <w:rFonts w:ascii="Times New Roman" w:hAnsi="Times New Roman" w:cs="Times New Roman"/>
          <w:i/>
          <w:sz w:val="24"/>
          <w:szCs w:val="24"/>
        </w:rPr>
        <w:t>Journal of Advanced Practices in Nursing</w:t>
      </w:r>
      <w:r w:rsidRPr="00462371">
        <w:rPr>
          <w:rFonts w:ascii="Times New Roman" w:hAnsi="Times New Roman" w:cs="Times New Roman"/>
          <w:sz w:val="24"/>
          <w:szCs w:val="24"/>
        </w:rPr>
        <w:t>, 1(1), pp. 1-4.</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La Porta, R., Lopez-de-Silanes, F., Shleifer, A. and Vishny, R.W. (2000) ‘Investor protection and corporate governance’, </w:t>
      </w:r>
      <w:r w:rsidRPr="00462371">
        <w:rPr>
          <w:rFonts w:ascii="Times New Roman" w:hAnsi="Times New Roman" w:cs="Times New Roman"/>
          <w:i/>
          <w:sz w:val="24"/>
          <w:szCs w:val="24"/>
        </w:rPr>
        <w:t>Journal of Financial Economics</w:t>
      </w:r>
      <w:r w:rsidRPr="00462371">
        <w:rPr>
          <w:rFonts w:ascii="Times New Roman" w:hAnsi="Times New Roman" w:cs="Times New Roman"/>
          <w:sz w:val="24"/>
          <w:szCs w:val="24"/>
        </w:rPr>
        <w:t>, 58(1), pp. 3-27.</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Lama, T. B. (2012) ‘Empirical evidence on the link between compliance with governance of best practice and firms' operating results’, </w:t>
      </w:r>
      <w:r w:rsidRPr="00462371">
        <w:rPr>
          <w:rFonts w:ascii="Times New Roman" w:hAnsi="Times New Roman" w:cs="Times New Roman"/>
          <w:i/>
          <w:sz w:val="24"/>
          <w:szCs w:val="24"/>
        </w:rPr>
        <w:t>Australasian Accounting, Business and Finance Journal</w:t>
      </w:r>
      <w:r w:rsidRPr="00462371">
        <w:rPr>
          <w:rFonts w:ascii="Times New Roman" w:hAnsi="Times New Roman" w:cs="Times New Roman"/>
          <w:sz w:val="24"/>
          <w:szCs w:val="24"/>
        </w:rPr>
        <w:t>, 6(5), pp. 63-80.</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Lee, J. and Shailer, G. (2005) ‘Australian corporate governance regulations and investor confidence’, Melbourne, Accounting and Finance of Australia and New Zealand Conference.</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Lei, A.C.H. and Song, F.M. (2012) ‘Board structure, corporate governance and firm value: evidence from Hong Kong’, </w:t>
      </w:r>
      <w:r w:rsidRPr="00462371">
        <w:rPr>
          <w:rFonts w:ascii="Times New Roman" w:hAnsi="Times New Roman" w:cs="Times New Roman"/>
          <w:i/>
          <w:sz w:val="24"/>
          <w:szCs w:val="24"/>
        </w:rPr>
        <w:t>Applied Financial Economics</w:t>
      </w:r>
      <w:r w:rsidRPr="00462371">
        <w:rPr>
          <w:rFonts w:ascii="Times New Roman" w:hAnsi="Times New Roman" w:cs="Times New Roman"/>
          <w:sz w:val="24"/>
          <w:szCs w:val="24"/>
        </w:rPr>
        <w:t>, Volume 22, pp. 1289-1303.</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Levine, D.M., Stephan, D.F., Krehbiel, T.C. and Berenson, M.L. (2011) </w:t>
      </w:r>
      <w:r w:rsidRPr="00462371">
        <w:rPr>
          <w:rFonts w:ascii="Times New Roman" w:hAnsi="Times New Roman" w:cs="Times New Roman"/>
          <w:i/>
          <w:sz w:val="24"/>
          <w:szCs w:val="24"/>
        </w:rPr>
        <w:t>Statistics for managers using microsoft excel</w:t>
      </w:r>
      <w:r w:rsidRPr="00462371">
        <w:rPr>
          <w:rFonts w:ascii="Times New Roman" w:hAnsi="Times New Roman" w:cs="Times New Roman"/>
          <w:sz w:val="24"/>
          <w:szCs w:val="24"/>
        </w:rPr>
        <w:t>. 6</w:t>
      </w:r>
      <w:r w:rsidRPr="00462371">
        <w:rPr>
          <w:rFonts w:ascii="Times New Roman" w:hAnsi="Times New Roman" w:cs="Times New Roman"/>
          <w:sz w:val="24"/>
          <w:szCs w:val="24"/>
          <w:vertAlign w:val="superscript"/>
        </w:rPr>
        <w:t>th</w:t>
      </w:r>
      <w:r w:rsidRPr="00462371">
        <w:rPr>
          <w:rFonts w:ascii="Times New Roman" w:hAnsi="Times New Roman" w:cs="Times New Roman"/>
          <w:sz w:val="24"/>
          <w:szCs w:val="24"/>
        </w:rPr>
        <w:t xml:space="preserve"> edn. New Jersey: Pearson Education Inc.</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Li, J., Lam, K., Qian, G. and Fang, Y. (2006) ‘The effects of institutional ownership on corporate governance and performance: an empirical assessment in Hong Kong’, </w:t>
      </w:r>
      <w:r w:rsidRPr="00462371">
        <w:rPr>
          <w:rFonts w:ascii="Times New Roman" w:hAnsi="Times New Roman" w:cs="Times New Roman"/>
          <w:i/>
          <w:sz w:val="24"/>
          <w:szCs w:val="24"/>
        </w:rPr>
        <w:t>Management International Review</w:t>
      </w:r>
      <w:r w:rsidRPr="00462371">
        <w:rPr>
          <w:rFonts w:ascii="Times New Roman" w:hAnsi="Times New Roman" w:cs="Times New Roman"/>
          <w:sz w:val="24"/>
          <w:szCs w:val="24"/>
        </w:rPr>
        <w:t>, 46(3), pp. 259-276.</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Lipton, P., Herzberg, A. and Welsh, M. (2019) </w:t>
      </w:r>
      <w:r w:rsidRPr="00462371">
        <w:rPr>
          <w:rFonts w:ascii="Times New Roman" w:hAnsi="Times New Roman" w:cs="Times New Roman"/>
          <w:i/>
          <w:sz w:val="24"/>
          <w:szCs w:val="24"/>
        </w:rPr>
        <w:t>Understanding company law</w:t>
      </w:r>
      <w:r w:rsidRPr="00462371">
        <w:rPr>
          <w:rFonts w:ascii="Times New Roman" w:hAnsi="Times New Roman" w:cs="Times New Roman"/>
          <w:sz w:val="24"/>
          <w:szCs w:val="24"/>
        </w:rPr>
        <w:t>. 20</w:t>
      </w:r>
      <w:r w:rsidRPr="00462371">
        <w:rPr>
          <w:rFonts w:ascii="Times New Roman" w:hAnsi="Times New Roman" w:cs="Times New Roman"/>
          <w:sz w:val="24"/>
          <w:szCs w:val="24"/>
          <w:vertAlign w:val="superscript"/>
        </w:rPr>
        <w:t>th</w:t>
      </w:r>
      <w:r w:rsidRPr="00462371">
        <w:rPr>
          <w:rFonts w:ascii="Times New Roman" w:hAnsi="Times New Roman" w:cs="Times New Roman"/>
          <w:sz w:val="24"/>
          <w:szCs w:val="24"/>
        </w:rPr>
        <w:t xml:space="preserve"> edn. Pyrmont: Thomson Reuters.</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Low, C. K. (2004) ‘A road map for corporate governance in East Asia’, </w:t>
      </w:r>
      <w:r w:rsidRPr="00462371">
        <w:rPr>
          <w:rFonts w:ascii="Times New Roman" w:hAnsi="Times New Roman" w:cs="Times New Roman"/>
          <w:i/>
          <w:sz w:val="24"/>
          <w:szCs w:val="24"/>
        </w:rPr>
        <w:t>Northwestern Journal of International Law &amp; Business</w:t>
      </w:r>
      <w:r w:rsidRPr="00462371">
        <w:rPr>
          <w:rFonts w:ascii="Times New Roman" w:hAnsi="Times New Roman" w:cs="Times New Roman"/>
          <w:sz w:val="24"/>
          <w:szCs w:val="24"/>
        </w:rPr>
        <w:t>, 25(1 Fall), pp. 165-203.</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Michael, B. and Goo, S. H. (2015) ‘Corporate governance and its reform in Hong Kong: a study in comparative corporate governance’, </w:t>
      </w:r>
      <w:r w:rsidRPr="00462371">
        <w:rPr>
          <w:rFonts w:ascii="Times New Roman" w:hAnsi="Times New Roman" w:cs="Times New Roman"/>
          <w:i/>
          <w:sz w:val="24"/>
          <w:szCs w:val="24"/>
        </w:rPr>
        <w:t>Corporate Governance</w:t>
      </w:r>
      <w:r w:rsidRPr="00462371">
        <w:rPr>
          <w:rFonts w:ascii="Times New Roman" w:hAnsi="Times New Roman" w:cs="Times New Roman"/>
          <w:sz w:val="24"/>
          <w:szCs w:val="24"/>
        </w:rPr>
        <w:t>, 15(4), pp. 444-475.</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Miller, G. (1998) ‘Corporate governance in Hong Kong: ethical considerations, legal responsibilities and board structure’, </w:t>
      </w:r>
      <w:r w:rsidRPr="00462371">
        <w:rPr>
          <w:rFonts w:ascii="Times New Roman" w:hAnsi="Times New Roman" w:cs="Times New Roman"/>
          <w:i/>
          <w:sz w:val="24"/>
          <w:szCs w:val="24"/>
        </w:rPr>
        <w:t>Academy of Accounting and Financial Studies</w:t>
      </w:r>
      <w:r w:rsidRPr="00462371">
        <w:rPr>
          <w:rFonts w:ascii="Times New Roman" w:hAnsi="Times New Roman" w:cs="Times New Roman"/>
          <w:sz w:val="24"/>
          <w:szCs w:val="24"/>
        </w:rPr>
        <w:t>, 3(2), pp. 159-172.</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Nordberg, D. (2011) </w:t>
      </w:r>
      <w:r w:rsidRPr="00462371">
        <w:rPr>
          <w:rFonts w:ascii="Times New Roman" w:hAnsi="Times New Roman" w:cs="Times New Roman"/>
          <w:i/>
          <w:sz w:val="24"/>
          <w:szCs w:val="24"/>
        </w:rPr>
        <w:t>Corporate governance principles and issues</w:t>
      </w:r>
      <w:r w:rsidRPr="00462371">
        <w:rPr>
          <w:rFonts w:ascii="Times New Roman" w:hAnsi="Times New Roman" w:cs="Times New Roman"/>
          <w:sz w:val="24"/>
          <w:szCs w:val="24"/>
        </w:rPr>
        <w:t>. London: SAGE Publications Ltd.</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Organisation for Economic Cooperation and Development (2015) </w:t>
      </w:r>
      <w:r w:rsidRPr="00462371">
        <w:rPr>
          <w:rFonts w:ascii="Times New Roman" w:hAnsi="Times New Roman" w:cs="Times New Roman"/>
          <w:i/>
          <w:sz w:val="24"/>
          <w:szCs w:val="24"/>
        </w:rPr>
        <w:t>G20/OECD Principles of Corporate Governance</w:t>
      </w:r>
      <w:r w:rsidRPr="00462371">
        <w:rPr>
          <w:rFonts w:ascii="Times New Roman" w:hAnsi="Times New Roman" w:cs="Times New Roman"/>
          <w:sz w:val="24"/>
          <w:szCs w:val="24"/>
        </w:rPr>
        <w:t>. Paris: OECD Publishing.</w:t>
      </w:r>
    </w:p>
    <w:p w:rsidR="00381BF2" w:rsidRPr="00462371" w:rsidRDefault="00381BF2" w:rsidP="00381BF2">
      <w:pPr>
        <w:spacing w:after="0" w:line="240" w:lineRule="auto"/>
        <w:rPr>
          <w:rFonts w:ascii="Times New Roman" w:hAnsi="Times New Roman" w:cs="Times New Roman"/>
          <w:sz w:val="24"/>
          <w:szCs w:val="24"/>
        </w:rPr>
      </w:pPr>
      <w:r w:rsidRPr="00462371">
        <w:rPr>
          <w:rFonts w:ascii="Times New Roman" w:hAnsi="Times New Roman" w:cs="Times New Roman"/>
          <w:sz w:val="24"/>
          <w:szCs w:val="24"/>
        </w:rPr>
        <w:t xml:space="preserve">Pelz, B. (2020) </w:t>
      </w:r>
      <w:r w:rsidRPr="00462371">
        <w:rPr>
          <w:rFonts w:ascii="Times New Roman" w:hAnsi="Times New Roman" w:cs="Times New Roman"/>
          <w:i/>
          <w:sz w:val="24"/>
          <w:szCs w:val="24"/>
        </w:rPr>
        <w:t>ER Services</w:t>
      </w:r>
      <w:r w:rsidRPr="00462371">
        <w:rPr>
          <w:rFonts w:ascii="Times New Roman" w:hAnsi="Times New Roman" w:cs="Times New Roman"/>
          <w:sz w:val="24"/>
          <w:szCs w:val="24"/>
        </w:rPr>
        <w:t>. Available at: https://courses.lumenlearning.com/suny-hccc-research-methods/chapter/chapter-6-measurement-of-constructs/</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(Accessed 11 December 2020).</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lastRenderedPageBreak/>
        <w:t xml:space="preserve">Pierce, J. L. and Gardner, D.G. (2011) ‘A data analysis primer’, in: Pierce, J.L. and J. W. Newstrom, J.W. (ed) </w:t>
      </w:r>
      <w:r w:rsidRPr="00462371">
        <w:rPr>
          <w:rFonts w:ascii="Times New Roman" w:hAnsi="Times New Roman" w:cs="Times New Roman"/>
          <w:i/>
          <w:sz w:val="24"/>
          <w:szCs w:val="24"/>
        </w:rPr>
        <w:t>Leaders and the Leadership Process. New York</w:t>
      </w:r>
      <w:r w:rsidRPr="00462371">
        <w:rPr>
          <w:rFonts w:ascii="Times New Roman" w:hAnsi="Times New Roman" w:cs="Times New Roman"/>
          <w:sz w:val="24"/>
          <w:szCs w:val="24"/>
        </w:rPr>
        <w:t>: McGraw-Hill/Irwin.</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Proimos, A. (2005) ‘Strengthening corporate governance regulation’, </w:t>
      </w:r>
      <w:r w:rsidRPr="00462371">
        <w:rPr>
          <w:rFonts w:ascii="Times New Roman" w:hAnsi="Times New Roman" w:cs="Times New Roman"/>
          <w:i/>
          <w:sz w:val="24"/>
          <w:szCs w:val="24"/>
        </w:rPr>
        <w:t>Journal of Investment Compliance</w:t>
      </w:r>
      <w:r w:rsidRPr="00462371">
        <w:rPr>
          <w:rFonts w:ascii="Times New Roman" w:hAnsi="Times New Roman" w:cs="Times New Roman"/>
          <w:sz w:val="24"/>
          <w:szCs w:val="24"/>
        </w:rPr>
        <w:t>, 6(4), pp. 75-84.</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Sakaran, U. and Bougie, R. (2013) </w:t>
      </w:r>
      <w:r w:rsidRPr="00462371">
        <w:rPr>
          <w:rFonts w:ascii="Times New Roman" w:hAnsi="Times New Roman" w:cs="Times New Roman"/>
          <w:i/>
          <w:sz w:val="24"/>
          <w:szCs w:val="24"/>
        </w:rPr>
        <w:t>Research Methods for Business</w:t>
      </w:r>
      <w:r w:rsidRPr="00462371">
        <w:rPr>
          <w:rFonts w:ascii="Times New Roman" w:hAnsi="Times New Roman" w:cs="Times New Roman"/>
          <w:sz w:val="24"/>
          <w:szCs w:val="24"/>
        </w:rPr>
        <w:t>. 6</w:t>
      </w:r>
      <w:r w:rsidRPr="00462371">
        <w:rPr>
          <w:rFonts w:ascii="Times New Roman" w:hAnsi="Times New Roman" w:cs="Times New Roman"/>
          <w:sz w:val="24"/>
          <w:szCs w:val="24"/>
          <w:vertAlign w:val="superscript"/>
        </w:rPr>
        <w:t>th</w:t>
      </w:r>
      <w:r w:rsidRPr="00462371">
        <w:rPr>
          <w:rFonts w:ascii="Times New Roman" w:hAnsi="Times New Roman" w:cs="Times New Roman"/>
          <w:sz w:val="24"/>
          <w:szCs w:val="24"/>
        </w:rPr>
        <w:t xml:space="preserve"> edn. Chichester: John Wiley &amp; Sons Ltd.</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Saunders, M., Lewis, P. and Thornhill, A. (2016). </w:t>
      </w:r>
      <w:r w:rsidRPr="00462371">
        <w:rPr>
          <w:rFonts w:ascii="Times New Roman" w:hAnsi="Times New Roman" w:cs="Times New Roman"/>
          <w:i/>
          <w:sz w:val="24"/>
          <w:szCs w:val="24"/>
        </w:rPr>
        <w:t>Research methods for business students</w:t>
      </w:r>
      <w:r w:rsidRPr="00462371">
        <w:rPr>
          <w:rFonts w:ascii="Times New Roman" w:hAnsi="Times New Roman" w:cs="Times New Roman"/>
          <w:sz w:val="24"/>
          <w:szCs w:val="24"/>
        </w:rPr>
        <w:t>. 7</w:t>
      </w:r>
      <w:r w:rsidRPr="00462371">
        <w:rPr>
          <w:rFonts w:ascii="Times New Roman" w:hAnsi="Times New Roman" w:cs="Times New Roman"/>
          <w:sz w:val="24"/>
          <w:szCs w:val="24"/>
          <w:vertAlign w:val="superscript"/>
        </w:rPr>
        <w:t>th</w:t>
      </w:r>
      <w:r w:rsidRPr="00462371">
        <w:rPr>
          <w:rFonts w:ascii="Times New Roman" w:hAnsi="Times New Roman" w:cs="Times New Roman"/>
          <w:sz w:val="24"/>
          <w:szCs w:val="24"/>
        </w:rPr>
        <w:t xml:space="preserve"> edn. Essex: Pearson Education Limited.</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Schutte, N., Toppinnen, S., Kolimo, R. and Schaufeli, W. (2000). ‘The factorial validity of the maslach burnout inventory - general survey (MBI-GS) across occupational groups and nations’, </w:t>
      </w:r>
      <w:r w:rsidRPr="00462371">
        <w:rPr>
          <w:rFonts w:ascii="Times New Roman" w:hAnsi="Times New Roman" w:cs="Times New Roman"/>
          <w:i/>
          <w:sz w:val="24"/>
          <w:szCs w:val="24"/>
        </w:rPr>
        <w:t>Journal of Occupational and Organizational Psychology</w:t>
      </w:r>
      <w:r w:rsidRPr="00462371">
        <w:rPr>
          <w:rFonts w:ascii="Times New Roman" w:hAnsi="Times New Roman" w:cs="Times New Roman"/>
          <w:sz w:val="24"/>
          <w:szCs w:val="24"/>
        </w:rPr>
        <w:t>, 73(1), pp. 53-67.</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Selvanathan, E.A. and Selvanathan, S. (2011) </w:t>
      </w:r>
      <w:r w:rsidRPr="00462371">
        <w:rPr>
          <w:rFonts w:ascii="Times New Roman" w:hAnsi="Times New Roman" w:cs="Times New Roman"/>
          <w:i/>
          <w:sz w:val="24"/>
          <w:szCs w:val="24"/>
        </w:rPr>
        <w:t>Business statistics: Australia and New Zealand</w:t>
      </w:r>
      <w:r w:rsidRPr="00462371">
        <w:rPr>
          <w:rFonts w:ascii="Times New Roman" w:hAnsi="Times New Roman" w:cs="Times New Roman"/>
          <w:sz w:val="24"/>
          <w:szCs w:val="24"/>
        </w:rPr>
        <w:t>. 5</w:t>
      </w:r>
      <w:r w:rsidRPr="00462371">
        <w:rPr>
          <w:rFonts w:ascii="Times New Roman" w:hAnsi="Times New Roman" w:cs="Times New Roman"/>
          <w:sz w:val="24"/>
          <w:szCs w:val="24"/>
          <w:vertAlign w:val="superscript"/>
        </w:rPr>
        <w:t>th</w:t>
      </w:r>
      <w:r w:rsidRPr="00462371">
        <w:rPr>
          <w:rFonts w:ascii="Times New Roman" w:hAnsi="Times New Roman" w:cs="Times New Roman"/>
          <w:sz w:val="24"/>
          <w:szCs w:val="24"/>
        </w:rPr>
        <w:t xml:space="preserve"> edn. South Melbourne: Cengage Learning Australia.</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The Hong Kong Institute of Chartered Secretaries (2018) </w:t>
      </w:r>
      <w:r w:rsidRPr="00462371">
        <w:rPr>
          <w:rFonts w:ascii="Times New Roman" w:hAnsi="Times New Roman" w:cs="Times New Roman"/>
          <w:i/>
          <w:sz w:val="24"/>
          <w:szCs w:val="24"/>
        </w:rPr>
        <w:t>Corporate governance paper competition on 'Corporate governance - challenges and opportunities in the digital age'</w:t>
      </w:r>
      <w:r w:rsidRPr="00462371">
        <w:rPr>
          <w:rFonts w:ascii="Times New Roman" w:hAnsi="Times New Roman" w:cs="Times New Roman"/>
          <w:sz w:val="24"/>
          <w:szCs w:val="24"/>
        </w:rPr>
        <w:t>. Hong Kong: The Hong Kong Institute of Chartered Secretaries.</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The Hong Kong Institute of</w:t>
      </w:r>
      <w:r>
        <w:rPr>
          <w:rFonts w:ascii="Times New Roman" w:hAnsi="Times New Roman" w:cs="Times New Roman"/>
          <w:sz w:val="24"/>
          <w:szCs w:val="24"/>
        </w:rPr>
        <w:t xml:space="preserve"> Chartered Secretaries </w:t>
      </w:r>
      <w:r w:rsidRPr="00462371">
        <w:rPr>
          <w:rFonts w:ascii="Times New Roman" w:hAnsi="Times New Roman" w:cs="Times New Roman"/>
          <w:sz w:val="24"/>
          <w:szCs w:val="24"/>
        </w:rPr>
        <w:t xml:space="preserve">(2019) </w:t>
      </w:r>
      <w:r w:rsidRPr="00462371">
        <w:rPr>
          <w:rFonts w:ascii="Times New Roman" w:hAnsi="Times New Roman" w:cs="Times New Roman"/>
          <w:i/>
          <w:sz w:val="24"/>
          <w:szCs w:val="24"/>
        </w:rPr>
        <w:t>Taking the temperature: the state of corporate governance practices in Hong Kong and the Mainland</w:t>
      </w:r>
      <w:r w:rsidRPr="00462371">
        <w:rPr>
          <w:rFonts w:ascii="Times New Roman" w:hAnsi="Times New Roman" w:cs="Times New Roman"/>
          <w:sz w:val="24"/>
          <w:szCs w:val="24"/>
        </w:rPr>
        <w:t>. Hong Kong: The Hong Kong Institute of Chartered Secretaries.</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The Stock Exchange of Hong Kong Limited (2017) </w:t>
      </w:r>
      <w:r w:rsidRPr="00462371">
        <w:rPr>
          <w:rFonts w:ascii="Times New Roman" w:hAnsi="Times New Roman" w:cs="Times New Roman"/>
          <w:i/>
          <w:sz w:val="24"/>
          <w:szCs w:val="24"/>
        </w:rPr>
        <w:t>Consultation paper: review of the corporate governance code and related listing rules</w:t>
      </w:r>
      <w:r w:rsidRPr="00462371">
        <w:rPr>
          <w:rFonts w:ascii="Times New Roman" w:hAnsi="Times New Roman" w:cs="Times New Roman"/>
          <w:sz w:val="24"/>
          <w:szCs w:val="24"/>
        </w:rPr>
        <w:t>. Hong Kong: The Stock Exchange of Hong Kong Limited.</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The Stock Exchange of Hong Kong Limited (2018) </w:t>
      </w:r>
      <w:r w:rsidRPr="00462371">
        <w:rPr>
          <w:rFonts w:ascii="Times New Roman" w:hAnsi="Times New Roman" w:cs="Times New Roman"/>
          <w:i/>
          <w:sz w:val="24"/>
          <w:szCs w:val="24"/>
        </w:rPr>
        <w:t>Analysis of corporate governance practice disclosure in June and December year-end 2017 and March year-end 2018 annual reports.</w:t>
      </w:r>
      <w:r w:rsidRPr="00462371">
        <w:rPr>
          <w:rFonts w:ascii="Times New Roman" w:hAnsi="Times New Roman" w:cs="Times New Roman"/>
          <w:sz w:val="24"/>
          <w:szCs w:val="24"/>
        </w:rPr>
        <w:t xml:space="preserve"> Hong Kong: The Stock Exchange of Hong Kong Limited.</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Wang, D. and Ong, C.H. (2005) ‘Board structure, process and performance: evidence from public-listed companies in Singapore’, </w:t>
      </w:r>
      <w:r w:rsidRPr="00462371">
        <w:rPr>
          <w:rFonts w:ascii="Times New Roman" w:hAnsi="Times New Roman" w:cs="Times New Roman"/>
          <w:i/>
          <w:sz w:val="24"/>
          <w:szCs w:val="24"/>
        </w:rPr>
        <w:t>Corporate Governance: An International Review</w:t>
      </w:r>
      <w:r w:rsidRPr="00462371">
        <w:rPr>
          <w:rFonts w:ascii="Times New Roman" w:hAnsi="Times New Roman" w:cs="Times New Roman"/>
          <w:sz w:val="24"/>
          <w:szCs w:val="24"/>
        </w:rPr>
        <w:t>, 13(2), pp. 277-290.</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Wong, D.W.K. and Yeung, P.S.L. (2000) ‘Corporate governance in Hong Kong’, in: Lethbridge, D.G. and Ng, S.H. (ed) </w:t>
      </w:r>
      <w:r w:rsidRPr="00462371">
        <w:rPr>
          <w:rFonts w:ascii="Times New Roman" w:hAnsi="Times New Roman" w:cs="Times New Roman"/>
          <w:i/>
          <w:sz w:val="24"/>
          <w:szCs w:val="24"/>
        </w:rPr>
        <w:t>The Business Environment in Hong Kong</w:t>
      </w:r>
      <w:r w:rsidRPr="00462371">
        <w:rPr>
          <w:rFonts w:ascii="Times New Roman" w:hAnsi="Times New Roman" w:cs="Times New Roman"/>
          <w:sz w:val="24"/>
          <w:szCs w:val="24"/>
        </w:rPr>
        <w:t>. Hong Kong: Oxford University Press (China) Limited, pp. 143-153.</w:t>
      </w:r>
    </w:p>
    <w:p w:rsidR="00381BF2" w:rsidRPr="00462371" w:rsidRDefault="00381BF2" w:rsidP="00381BF2">
      <w:pPr>
        <w:rPr>
          <w:rFonts w:ascii="Times New Roman" w:hAnsi="Times New Roman" w:cs="Times New Roman"/>
          <w:sz w:val="24"/>
          <w:szCs w:val="24"/>
        </w:rPr>
      </w:pPr>
      <w:r w:rsidRPr="00462371">
        <w:rPr>
          <w:rFonts w:ascii="Times New Roman" w:hAnsi="Times New Roman" w:cs="Times New Roman"/>
          <w:sz w:val="24"/>
          <w:szCs w:val="24"/>
        </w:rPr>
        <w:t xml:space="preserve">Zadkovich, J. (2007) ‘Mandatory requirements, voluntary rules and please explain: a corporate governance quagmire’, </w:t>
      </w:r>
      <w:r w:rsidRPr="00462371">
        <w:rPr>
          <w:rFonts w:ascii="Times New Roman" w:hAnsi="Times New Roman" w:cs="Times New Roman"/>
          <w:i/>
          <w:sz w:val="24"/>
          <w:szCs w:val="24"/>
        </w:rPr>
        <w:t>Deakin Law Review</w:t>
      </w:r>
      <w:r w:rsidRPr="00462371">
        <w:rPr>
          <w:rFonts w:ascii="Times New Roman" w:hAnsi="Times New Roman" w:cs="Times New Roman"/>
          <w:sz w:val="24"/>
          <w:szCs w:val="24"/>
        </w:rPr>
        <w:t>, 12(2), pp. 23-39.</w:t>
      </w:r>
    </w:p>
    <w:p w:rsidR="00B506CF" w:rsidRDefault="00B506CF" w:rsidP="003330C9">
      <w:pPr>
        <w:spacing w:after="0" w:line="360" w:lineRule="auto"/>
        <w:rPr>
          <w:rFonts w:ascii="Times New Roman" w:hAnsi="Times New Roman" w:cs="Times New Roman"/>
          <w:sz w:val="24"/>
          <w:szCs w:val="24"/>
        </w:rPr>
      </w:pPr>
    </w:p>
    <w:p w:rsidR="00B506CF" w:rsidRPr="003146A1" w:rsidRDefault="00B506CF" w:rsidP="003330C9">
      <w:pPr>
        <w:spacing w:after="0" w:line="360" w:lineRule="auto"/>
        <w:rPr>
          <w:rFonts w:ascii="Times New Roman" w:hAnsi="Times New Roman" w:cs="Times New Roman"/>
          <w:sz w:val="24"/>
          <w:szCs w:val="24"/>
        </w:rPr>
      </w:pPr>
    </w:p>
    <w:sectPr w:rsidR="00B506CF" w:rsidRPr="003146A1">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5597" w:rsidRDefault="00535597" w:rsidP="00E57026">
      <w:pPr>
        <w:spacing w:after="0" w:line="240" w:lineRule="auto"/>
      </w:pPr>
      <w:r>
        <w:separator/>
      </w:r>
    </w:p>
  </w:endnote>
  <w:endnote w:type="continuationSeparator" w:id="0">
    <w:p w:rsidR="00535597" w:rsidRDefault="00535597" w:rsidP="00E570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25251694"/>
      <w:docPartObj>
        <w:docPartGallery w:val="Page Numbers (Bottom of Page)"/>
        <w:docPartUnique/>
      </w:docPartObj>
    </w:sdtPr>
    <w:sdtEndPr/>
    <w:sdtContent>
      <w:sdt>
        <w:sdtPr>
          <w:id w:val="1728636285"/>
          <w:docPartObj>
            <w:docPartGallery w:val="Page Numbers (Top of Page)"/>
            <w:docPartUnique/>
          </w:docPartObj>
        </w:sdtPr>
        <w:sdtEndPr/>
        <w:sdtContent>
          <w:p w:rsidR="003330C9" w:rsidRDefault="003330C9">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BA4F7F">
              <w:rPr>
                <w:b/>
                <w:bCs/>
                <w:noProof/>
              </w:rPr>
              <w:t>36</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BA4F7F">
              <w:rPr>
                <w:b/>
                <w:bCs/>
                <w:noProof/>
              </w:rPr>
              <w:t>36</w:t>
            </w:r>
            <w:r>
              <w:rPr>
                <w:b/>
                <w:bCs/>
                <w:sz w:val="24"/>
                <w:szCs w:val="24"/>
              </w:rPr>
              <w:fldChar w:fldCharType="end"/>
            </w:r>
          </w:p>
        </w:sdtContent>
      </w:sdt>
    </w:sdtContent>
  </w:sdt>
  <w:p w:rsidR="003330C9" w:rsidRDefault="003330C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5597" w:rsidRDefault="00535597" w:rsidP="00E57026">
      <w:pPr>
        <w:spacing w:after="0" w:line="240" w:lineRule="auto"/>
      </w:pPr>
      <w:r>
        <w:separator/>
      </w:r>
    </w:p>
  </w:footnote>
  <w:footnote w:type="continuationSeparator" w:id="0">
    <w:p w:rsidR="00535597" w:rsidRDefault="00535597" w:rsidP="00E5702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766CE"/>
    <w:multiLevelType w:val="hybridMultilevel"/>
    <w:tmpl w:val="56EE5A38"/>
    <w:lvl w:ilvl="0" w:tplc="AAE21B6A">
      <w:start w:val="1"/>
      <w:numFmt w:val="bullet"/>
      <w:lvlText w:val=""/>
      <w:lvlJc w:val="left"/>
      <w:pPr>
        <w:ind w:left="720" w:hanging="360"/>
      </w:pPr>
      <w:rPr>
        <w:rFonts w:ascii="Wingdings" w:eastAsiaTheme="minorEastAsia" w:hAnsi="Wingdings"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CB11BDC"/>
    <w:multiLevelType w:val="hybridMultilevel"/>
    <w:tmpl w:val="6268B002"/>
    <w:lvl w:ilvl="0" w:tplc="58F41212">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CE13D30"/>
    <w:multiLevelType w:val="hybridMultilevel"/>
    <w:tmpl w:val="24F4F0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12E40E2"/>
    <w:multiLevelType w:val="hybridMultilevel"/>
    <w:tmpl w:val="FA2C24A0"/>
    <w:lvl w:ilvl="0" w:tplc="AAE21B6A">
      <w:start w:val="1"/>
      <w:numFmt w:val="bullet"/>
      <w:lvlText w:val=""/>
      <w:lvlJc w:val="left"/>
      <w:pPr>
        <w:ind w:left="720" w:hanging="360"/>
      </w:pPr>
      <w:rPr>
        <w:rFonts w:ascii="Wingdings" w:eastAsiaTheme="minorEastAsia" w:hAnsi="Wingdings"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69178BC"/>
    <w:multiLevelType w:val="hybridMultilevel"/>
    <w:tmpl w:val="D9ECCDE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ADB672F"/>
    <w:multiLevelType w:val="hybridMultilevel"/>
    <w:tmpl w:val="3C82D8CC"/>
    <w:lvl w:ilvl="0" w:tplc="C3146482">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31C333D6"/>
    <w:multiLevelType w:val="hybridMultilevel"/>
    <w:tmpl w:val="CB2256F8"/>
    <w:lvl w:ilvl="0" w:tplc="E15ACFA6">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27B49BD"/>
    <w:multiLevelType w:val="hybridMultilevel"/>
    <w:tmpl w:val="2E8E7B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CC51BA0"/>
    <w:multiLevelType w:val="hybridMultilevel"/>
    <w:tmpl w:val="FC3C22DA"/>
    <w:lvl w:ilvl="0" w:tplc="DCF2D17C">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413C559F"/>
    <w:multiLevelType w:val="multilevel"/>
    <w:tmpl w:val="FB0C95F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28D569A"/>
    <w:multiLevelType w:val="multilevel"/>
    <w:tmpl w:val="5B5C57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2D47005"/>
    <w:multiLevelType w:val="hybridMultilevel"/>
    <w:tmpl w:val="72AEE660"/>
    <w:lvl w:ilvl="0" w:tplc="0454654C">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513F35AE"/>
    <w:multiLevelType w:val="hybridMultilevel"/>
    <w:tmpl w:val="66B00C84"/>
    <w:lvl w:ilvl="0" w:tplc="B68CAEC6">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538E2E9D"/>
    <w:multiLevelType w:val="hybridMultilevel"/>
    <w:tmpl w:val="F83EE7CE"/>
    <w:lvl w:ilvl="0" w:tplc="58F41212">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60931F7D"/>
    <w:multiLevelType w:val="hybridMultilevel"/>
    <w:tmpl w:val="F19A612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64765224"/>
    <w:multiLevelType w:val="hybridMultilevel"/>
    <w:tmpl w:val="8EDE718C"/>
    <w:lvl w:ilvl="0" w:tplc="58F41212">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65F1277B"/>
    <w:multiLevelType w:val="hybridMultilevel"/>
    <w:tmpl w:val="145E9A16"/>
    <w:lvl w:ilvl="0" w:tplc="668EAD48">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6D603B90"/>
    <w:multiLevelType w:val="hybridMultilevel"/>
    <w:tmpl w:val="8FC6229C"/>
    <w:lvl w:ilvl="0" w:tplc="736C8ED8">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6E337ACC"/>
    <w:multiLevelType w:val="hybridMultilevel"/>
    <w:tmpl w:val="FDFC5C28"/>
    <w:lvl w:ilvl="0" w:tplc="DF544A70">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4"/>
  </w:num>
  <w:num w:numId="2">
    <w:abstractNumId w:val="10"/>
  </w:num>
  <w:num w:numId="3">
    <w:abstractNumId w:val="3"/>
  </w:num>
  <w:num w:numId="4">
    <w:abstractNumId w:val="5"/>
  </w:num>
  <w:num w:numId="5">
    <w:abstractNumId w:val="18"/>
  </w:num>
  <w:num w:numId="6">
    <w:abstractNumId w:val="0"/>
  </w:num>
  <w:num w:numId="7">
    <w:abstractNumId w:val="7"/>
  </w:num>
  <w:num w:numId="8">
    <w:abstractNumId w:val="2"/>
  </w:num>
  <w:num w:numId="9">
    <w:abstractNumId w:val="6"/>
  </w:num>
  <w:num w:numId="10">
    <w:abstractNumId w:val="11"/>
  </w:num>
  <w:num w:numId="11">
    <w:abstractNumId w:val="12"/>
  </w:num>
  <w:num w:numId="12">
    <w:abstractNumId w:val="16"/>
  </w:num>
  <w:num w:numId="13">
    <w:abstractNumId w:val="13"/>
  </w:num>
  <w:num w:numId="14">
    <w:abstractNumId w:val="15"/>
  </w:num>
  <w:num w:numId="15">
    <w:abstractNumId w:val="1"/>
  </w:num>
  <w:num w:numId="16">
    <w:abstractNumId w:val="8"/>
  </w:num>
  <w:num w:numId="17">
    <w:abstractNumId w:val="9"/>
  </w:num>
  <w:num w:numId="18">
    <w:abstractNumId w:val="17"/>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C8D"/>
    <w:rsid w:val="0000046F"/>
    <w:rsid w:val="00003292"/>
    <w:rsid w:val="00004092"/>
    <w:rsid w:val="00006029"/>
    <w:rsid w:val="00006538"/>
    <w:rsid w:val="00012A4D"/>
    <w:rsid w:val="00023F1D"/>
    <w:rsid w:val="00027538"/>
    <w:rsid w:val="0003308F"/>
    <w:rsid w:val="000352FC"/>
    <w:rsid w:val="00041C5B"/>
    <w:rsid w:val="00043F04"/>
    <w:rsid w:val="000504DD"/>
    <w:rsid w:val="00052113"/>
    <w:rsid w:val="000527EA"/>
    <w:rsid w:val="0005432F"/>
    <w:rsid w:val="00055D9F"/>
    <w:rsid w:val="00071B63"/>
    <w:rsid w:val="00072D50"/>
    <w:rsid w:val="000740B0"/>
    <w:rsid w:val="00077428"/>
    <w:rsid w:val="00085993"/>
    <w:rsid w:val="0008617E"/>
    <w:rsid w:val="00086C1E"/>
    <w:rsid w:val="000878C6"/>
    <w:rsid w:val="00092376"/>
    <w:rsid w:val="000925D9"/>
    <w:rsid w:val="000933E7"/>
    <w:rsid w:val="000B19EA"/>
    <w:rsid w:val="000B2388"/>
    <w:rsid w:val="000B2CC8"/>
    <w:rsid w:val="000B5AFC"/>
    <w:rsid w:val="000B61A0"/>
    <w:rsid w:val="000C0493"/>
    <w:rsid w:val="000C371E"/>
    <w:rsid w:val="000D0E27"/>
    <w:rsid w:val="000D3EFD"/>
    <w:rsid w:val="000D448F"/>
    <w:rsid w:val="000E567E"/>
    <w:rsid w:val="000E7DC7"/>
    <w:rsid w:val="000F01EB"/>
    <w:rsid w:val="000F336A"/>
    <w:rsid w:val="00107BC1"/>
    <w:rsid w:val="00107E98"/>
    <w:rsid w:val="001108A8"/>
    <w:rsid w:val="00114CF5"/>
    <w:rsid w:val="00127195"/>
    <w:rsid w:val="00131C27"/>
    <w:rsid w:val="0013290D"/>
    <w:rsid w:val="00144F56"/>
    <w:rsid w:val="001462F9"/>
    <w:rsid w:val="001518C8"/>
    <w:rsid w:val="00153EA8"/>
    <w:rsid w:val="0015548F"/>
    <w:rsid w:val="00156520"/>
    <w:rsid w:val="00165809"/>
    <w:rsid w:val="0016759E"/>
    <w:rsid w:val="00170B36"/>
    <w:rsid w:val="00172C5C"/>
    <w:rsid w:val="001807A7"/>
    <w:rsid w:val="00186B80"/>
    <w:rsid w:val="00192B74"/>
    <w:rsid w:val="001951C5"/>
    <w:rsid w:val="001964B0"/>
    <w:rsid w:val="00196AD7"/>
    <w:rsid w:val="001971B8"/>
    <w:rsid w:val="001A1F44"/>
    <w:rsid w:val="001B0769"/>
    <w:rsid w:val="001B0FD5"/>
    <w:rsid w:val="001B38C7"/>
    <w:rsid w:val="001B7EEA"/>
    <w:rsid w:val="001C36D8"/>
    <w:rsid w:val="001C54DE"/>
    <w:rsid w:val="001C652F"/>
    <w:rsid w:val="001C6BC8"/>
    <w:rsid w:val="001D1F42"/>
    <w:rsid w:val="001D3693"/>
    <w:rsid w:val="001D3C9C"/>
    <w:rsid w:val="001D7D4B"/>
    <w:rsid w:val="001E5485"/>
    <w:rsid w:val="001F7A95"/>
    <w:rsid w:val="0020685F"/>
    <w:rsid w:val="00206ABC"/>
    <w:rsid w:val="00211FF8"/>
    <w:rsid w:val="0021407A"/>
    <w:rsid w:val="002220F9"/>
    <w:rsid w:val="00224582"/>
    <w:rsid w:val="00227745"/>
    <w:rsid w:val="0022782B"/>
    <w:rsid w:val="00230E4F"/>
    <w:rsid w:val="00240965"/>
    <w:rsid w:val="00262D2C"/>
    <w:rsid w:val="002657C0"/>
    <w:rsid w:val="00266184"/>
    <w:rsid w:val="002765ED"/>
    <w:rsid w:val="002767C5"/>
    <w:rsid w:val="00277BEE"/>
    <w:rsid w:val="00285552"/>
    <w:rsid w:val="00285704"/>
    <w:rsid w:val="0029163E"/>
    <w:rsid w:val="002936E4"/>
    <w:rsid w:val="00294575"/>
    <w:rsid w:val="00294E8A"/>
    <w:rsid w:val="002A5886"/>
    <w:rsid w:val="002A6636"/>
    <w:rsid w:val="002B0D21"/>
    <w:rsid w:val="002B17F9"/>
    <w:rsid w:val="002B3B4A"/>
    <w:rsid w:val="002B5734"/>
    <w:rsid w:val="002B5AC7"/>
    <w:rsid w:val="002C3AAB"/>
    <w:rsid w:val="002D2C4A"/>
    <w:rsid w:val="002D34C3"/>
    <w:rsid w:val="002E586E"/>
    <w:rsid w:val="002F3D98"/>
    <w:rsid w:val="003019F7"/>
    <w:rsid w:val="00307C3A"/>
    <w:rsid w:val="003146A1"/>
    <w:rsid w:val="00315A6E"/>
    <w:rsid w:val="003274B1"/>
    <w:rsid w:val="00331E48"/>
    <w:rsid w:val="003330C9"/>
    <w:rsid w:val="00333AE8"/>
    <w:rsid w:val="00333E8C"/>
    <w:rsid w:val="00334358"/>
    <w:rsid w:val="00336412"/>
    <w:rsid w:val="003436DF"/>
    <w:rsid w:val="00343918"/>
    <w:rsid w:val="003577DB"/>
    <w:rsid w:val="00362189"/>
    <w:rsid w:val="00362611"/>
    <w:rsid w:val="0036456F"/>
    <w:rsid w:val="0036722F"/>
    <w:rsid w:val="00371100"/>
    <w:rsid w:val="00371761"/>
    <w:rsid w:val="00371AAD"/>
    <w:rsid w:val="0037332D"/>
    <w:rsid w:val="00374B37"/>
    <w:rsid w:val="00380B74"/>
    <w:rsid w:val="00380E57"/>
    <w:rsid w:val="003817D4"/>
    <w:rsid w:val="00381BF2"/>
    <w:rsid w:val="0039055A"/>
    <w:rsid w:val="003919B7"/>
    <w:rsid w:val="00396951"/>
    <w:rsid w:val="003A6A34"/>
    <w:rsid w:val="003A76A7"/>
    <w:rsid w:val="003B38D8"/>
    <w:rsid w:val="003B7F58"/>
    <w:rsid w:val="003C3D04"/>
    <w:rsid w:val="003D51B7"/>
    <w:rsid w:val="003E316F"/>
    <w:rsid w:val="003E318E"/>
    <w:rsid w:val="003E46C3"/>
    <w:rsid w:val="003E5C1D"/>
    <w:rsid w:val="003F0AE5"/>
    <w:rsid w:val="003F1AFF"/>
    <w:rsid w:val="003F23F7"/>
    <w:rsid w:val="003F767B"/>
    <w:rsid w:val="00407520"/>
    <w:rsid w:val="00413A39"/>
    <w:rsid w:val="00416C1E"/>
    <w:rsid w:val="004310CA"/>
    <w:rsid w:val="0043279E"/>
    <w:rsid w:val="0043559E"/>
    <w:rsid w:val="00435BDE"/>
    <w:rsid w:val="00436669"/>
    <w:rsid w:val="00442715"/>
    <w:rsid w:val="00450E71"/>
    <w:rsid w:val="00453ECF"/>
    <w:rsid w:val="00455AA9"/>
    <w:rsid w:val="00457D31"/>
    <w:rsid w:val="004625B1"/>
    <w:rsid w:val="00464FFE"/>
    <w:rsid w:val="0047089A"/>
    <w:rsid w:val="0047482A"/>
    <w:rsid w:val="00474E00"/>
    <w:rsid w:val="004847C5"/>
    <w:rsid w:val="0048505C"/>
    <w:rsid w:val="00486644"/>
    <w:rsid w:val="00486E76"/>
    <w:rsid w:val="004929F0"/>
    <w:rsid w:val="00493395"/>
    <w:rsid w:val="00494041"/>
    <w:rsid w:val="004A650D"/>
    <w:rsid w:val="004A6F7E"/>
    <w:rsid w:val="004B3619"/>
    <w:rsid w:val="004B5A1C"/>
    <w:rsid w:val="004B65B6"/>
    <w:rsid w:val="004B730F"/>
    <w:rsid w:val="004C6BD1"/>
    <w:rsid w:val="004D2FCA"/>
    <w:rsid w:val="004D376E"/>
    <w:rsid w:val="004D5172"/>
    <w:rsid w:val="004E0C84"/>
    <w:rsid w:val="004E1D3A"/>
    <w:rsid w:val="004E489B"/>
    <w:rsid w:val="004E678B"/>
    <w:rsid w:val="004E7C93"/>
    <w:rsid w:val="004F2389"/>
    <w:rsid w:val="0050247C"/>
    <w:rsid w:val="005122AB"/>
    <w:rsid w:val="00513017"/>
    <w:rsid w:val="00513776"/>
    <w:rsid w:val="005149ED"/>
    <w:rsid w:val="00520B11"/>
    <w:rsid w:val="00526FF5"/>
    <w:rsid w:val="00530A69"/>
    <w:rsid w:val="00534D47"/>
    <w:rsid w:val="00535597"/>
    <w:rsid w:val="0054140D"/>
    <w:rsid w:val="005415C6"/>
    <w:rsid w:val="00543BEC"/>
    <w:rsid w:val="0055158D"/>
    <w:rsid w:val="0056198B"/>
    <w:rsid w:val="00565DAE"/>
    <w:rsid w:val="00570581"/>
    <w:rsid w:val="00574266"/>
    <w:rsid w:val="00577459"/>
    <w:rsid w:val="00582F75"/>
    <w:rsid w:val="005851D7"/>
    <w:rsid w:val="00586D05"/>
    <w:rsid w:val="00590D14"/>
    <w:rsid w:val="005940B0"/>
    <w:rsid w:val="005956B8"/>
    <w:rsid w:val="005977FD"/>
    <w:rsid w:val="005E15D1"/>
    <w:rsid w:val="005E6F17"/>
    <w:rsid w:val="006012F7"/>
    <w:rsid w:val="00605DE9"/>
    <w:rsid w:val="006060E8"/>
    <w:rsid w:val="00620BE2"/>
    <w:rsid w:val="00625A01"/>
    <w:rsid w:val="00633943"/>
    <w:rsid w:val="00634491"/>
    <w:rsid w:val="006346C4"/>
    <w:rsid w:val="00656DC3"/>
    <w:rsid w:val="0065754F"/>
    <w:rsid w:val="00662BE7"/>
    <w:rsid w:val="0066657B"/>
    <w:rsid w:val="00670628"/>
    <w:rsid w:val="00682EA1"/>
    <w:rsid w:val="00684D00"/>
    <w:rsid w:val="00692E6D"/>
    <w:rsid w:val="006A0859"/>
    <w:rsid w:val="006A08DF"/>
    <w:rsid w:val="006A3ADC"/>
    <w:rsid w:val="006B090A"/>
    <w:rsid w:val="006B4254"/>
    <w:rsid w:val="006B69FD"/>
    <w:rsid w:val="006C0B5A"/>
    <w:rsid w:val="006C3797"/>
    <w:rsid w:val="006C3AF1"/>
    <w:rsid w:val="006C44AC"/>
    <w:rsid w:val="006C6A4F"/>
    <w:rsid w:val="006D6E01"/>
    <w:rsid w:val="006E08B2"/>
    <w:rsid w:val="006E2EBE"/>
    <w:rsid w:val="006E6033"/>
    <w:rsid w:val="006E749B"/>
    <w:rsid w:val="006F18B0"/>
    <w:rsid w:val="006F22D4"/>
    <w:rsid w:val="006F4582"/>
    <w:rsid w:val="00702302"/>
    <w:rsid w:val="00705AD8"/>
    <w:rsid w:val="007065E2"/>
    <w:rsid w:val="00707469"/>
    <w:rsid w:val="007106AD"/>
    <w:rsid w:val="00710C46"/>
    <w:rsid w:val="00711CC1"/>
    <w:rsid w:val="00711F1F"/>
    <w:rsid w:val="007211FF"/>
    <w:rsid w:val="00724129"/>
    <w:rsid w:val="00725310"/>
    <w:rsid w:val="00725731"/>
    <w:rsid w:val="00751B50"/>
    <w:rsid w:val="0075369F"/>
    <w:rsid w:val="00755EEE"/>
    <w:rsid w:val="00757DE6"/>
    <w:rsid w:val="00767BAF"/>
    <w:rsid w:val="00794897"/>
    <w:rsid w:val="00796031"/>
    <w:rsid w:val="00797C21"/>
    <w:rsid w:val="007A1E26"/>
    <w:rsid w:val="007A51A4"/>
    <w:rsid w:val="007A7DF6"/>
    <w:rsid w:val="007B0887"/>
    <w:rsid w:val="007B3F92"/>
    <w:rsid w:val="007B547B"/>
    <w:rsid w:val="007C0D9D"/>
    <w:rsid w:val="007C2CC8"/>
    <w:rsid w:val="007C5C8D"/>
    <w:rsid w:val="007D1CB3"/>
    <w:rsid w:val="007D3D48"/>
    <w:rsid w:val="007D4763"/>
    <w:rsid w:val="007E16EA"/>
    <w:rsid w:val="007E356E"/>
    <w:rsid w:val="007E62BC"/>
    <w:rsid w:val="007E7CDA"/>
    <w:rsid w:val="007F3F61"/>
    <w:rsid w:val="00801780"/>
    <w:rsid w:val="008027B9"/>
    <w:rsid w:val="00807575"/>
    <w:rsid w:val="00811F3C"/>
    <w:rsid w:val="00820EEB"/>
    <w:rsid w:val="0082737D"/>
    <w:rsid w:val="00827833"/>
    <w:rsid w:val="008407AC"/>
    <w:rsid w:val="00853406"/>
    <w:rsid w:val="00860BA3"/>
    <w:rsid w:val="00870B1A"/>
    <w:rsid w:val="00871F05"/>
    <w:rsid w:val="00874829"/>
    <w:rsid w:val="0088291A"/>
    <w:rsid w:val="00882B1F"/>
    <w:rsid w:val="008973BB"/>
    <w:rsid w:val="008A4BD0"/>
    <w:rsid w:val="008B05FF"/>
    <w:rsid w:val="008B1C24"/>
    <w:rsid w:val="008B38AC"/>
    <w:rsid w:val="008B4C53"/>
    <w:rsid w:val="008C347F"/>
    <w:rsid w:val="008C7CB9"/>
    <w:rsid w:val="008D13F4"/>
    <w:rsid w:val="008D21A1"/>
    <w:rsid w:val="008D46F9"/>
    <w:rsid w:val="008D5857"/>
    <w:rsid w:val="008E4113"/>
    <w:rsid w:val="008E47D5"/>
    <w:rsid w:val="008E6DA0"/>
    <w:rsid w:val="008E7D85"/>
    <w:rsid w:val="008F5067"/>
    <w:rsid w:val="009010E4"/>
    <w:rsid w:val="009012AD"/>
    <w:rsid w:val="00901EFB"/>
    <w:rsid w:val="00902AC0"/>
    <w:rsid w:val="009078D5"/>
    <w:rsid w:val="00916987"/>
    <w:rsid w:val="00940FDD"/>
    <w:rsid w:val="0094358D"/>
    <w:rsid w:val="00943A6F"/>
    <w:rsid w:val="009506EE"/>
    <w:rsid w:val="00963FB3"/>
    <w:rsid w:val="009658BE"/>
    <w:rsid w:val="00966611"/>
    <w:rsid w:val="009676CA"/>
    <w:rsid w:val="00967FDE"/>
    <w:rsid w:val="00971970"/>
    <w:rsid w:val="0097401A"/>
    <w:rsid w:val="00980012"/>
    <w:rsid w:val="00984A88"/>
    <w:rsid w:val="0098592D"/>
    <w:rsid w:val="009866FE"/>
    <w:rsid w:val="00986CC7"/>
    <w:rsid w:val="00987B7F"/>
    <w:rsid w:val="009A0333"/>
    <w:rsid w:val="009A0A34"/>
    <w:rsid w:val="009A2FD0"/>
    <w:rsid w:val="009B121E"/>
    <w:rsid w:val="009B1CD3"/>
    <w:rsid w:val="009B3B91"/>
    <w:rsid w:val="009B7F3D"/>
    <w:rsid w:val="009C7E77"/>
    <w:rsid w:val="009D084B"/>
    <w:rsid w:val="009D19BB"/>
    <w:rsid w:val="009D2DCF"/>
    <w:rsid w:val="009D7328"/>
    <w:rsid w:val="009E6C81"/>
    <w:rsid w:val="009F04E3"/>
    <w:rsid w:val="009F3EC2"/>
    <w:rsid w:val="009F4D69"/>
    <w:rsid w:val="00A03624"/>
    <w:rsid w:val="00A04BAE"/>
    <w:rsid w:val="00A06690"/>
    <w:rsid w:val="00A11A9F"/>
    <w:rsid w:val="00A13158"/>
    <w:rsid w:val="00A20CEA"/>
    <w:rsid w:val="00A23D15"/>
    <w:rsid w:val="00A2614B"/>
    <w:rsid w:val="00A33B46"/>
    <w:rsid w:val="00A40919"/>
    <w:rsid w:val="00A43E32"/>
    <w:rsid w:val="00A51027"/>
    <w:rsid w:val="00A558A7"/>
    <w:rsid w:val="00A63AE7"/>
    <w:rsid w:val="00A66548"/>
    <w:rsid w:val="00A713FB"/>
    <w:rsid w:val="00A74091"/>
    <w:rsid w:val="00A74741"/>
    <w:rsid w:val="00A853AC"/>
    <w:rsid w:val="00A87CFA"/>
    <w:rsid w:val="00A92BDA"/>
    <w:rsid w:val="00A973BE"/>
    <w:rsid w:val="00AA27A3"/>
    <w:rsid w:val="00AB4159"/>
    <w:rsid w:val="00AC37B6"/>
    <w:rsid w:val="00AD10AD"/>
    <w:rsid w:val="00AD14F8"/>
    <w:rsid w:val="00AD1D62"/>
    <w:rsid w:val="00AD6091"/>
    <w:rsid w:val="00AD7E1D"/>
    <w:rsid w:val="00AE098E"/>
    <w:rsid w:val="00AE3E46"/>
    <w:rsid w:val="00AE7397"/>
    <w:rsid w:val="00AE7F74"/>
    <w:rsid w:val="00AF2EC5"/>
    <w:rsid w:val="00AF4A3C"/>
    <w:rsid w:val="00AF7948"/>
    <w:rsid w:val="00B02192"/>
    <w:rsid w:val="00B042B6"/>
    <w:rsid w:val="00B11EEF"/>
    <w:rsid w:val="00B12E36"/>
    <w:rsid w:val="00B227F1"/>
    <w:rsid w:val="00B2420F"/>
    <w:rsid w:val="00B24679"/>
    <w:rsid w:val="00B26313"/>
    <w:rsid w:val="00B3054F"/>
    <w:rsid w:val="00B3247B"/>
    <w:rsid w:val="00B41EC7"/>
    <w:rsid w:val="00B506CF"/>
    <w:rsid w:val="00B6316D"/>
    <w:rsid w:val="00B67895"/>
    <w:rsid w:val="00B70A51"/>
    <w:rsid w:val="00B729BC"/>
    <w:rsid w:val="00B74A18"/>
    <w:rsid w:val="00B8338A"/>
    <w:rsid w:val="00B861FD"/>
    <w:rsid w:val="00B93F9B"/>
    <w:rsid w:val="00BA4F7F"/>
    <w:rsid w:val="00BB3A6C"/>
    <w:rsid w:val="00BB3F08"/>
    <w:rsid w:val="00BC0A59"/>
    <w:rsid w:val="00BC6D57"/>
    <w:rsid w:val="00BD2E69"/>
    <w:rsid w:val="00BD4BC7"/>
    <w:rsid w:val="00BD622F"/>
    <w:rsid w:val="00BE337D"/>
    <w:rsid w:val="00BE69DE"/>
    <w:rsid w:val="00BE7B8F"/>
    <w:rsid w:val="00BF24F0"/>
    <w:rsid w:val="00BF3573"/>
    <w:rsid w:val="00BF3A93"/>
    <w:rsid w:val="00BF5720"/>
    <w:rsid w:val="00C069F2"/>
    <w:rsid w:val="00C07CFB"/>
    <w:rsid w:val="00C116B0"/>
    <w:rsid w:val="00C1758B"/>
    <w:rsid w:val="00C21D23"/>
    <w:rsid w:val="00C238F2"/>
    <w:rsid w:val="00C24F91"/>
    <w:rsid w:val="00C26C76"/>
    <w:rsid w:val="00C321EF"/>
    <w:rsid w:val="00C32E53"/>
    <w:rsid w:val="00C3423C"/>
    <w:rsid w:val="00C35682"/>
    <w:rsid w:val="00C425F3"/>
    <w:rsid w:val="00C46759"/>
    <w:rsid w:val="00C51C00"/>
    <w:rsid w:val="00C53F03"/>
    <w:rsid w:val="00C55B1E"/>
    <w:rsid w:val="00C624F6"/>
    <w:rsid w:val="00C6285F"/>
    <w:rsid w:val="00C67267"/>
    <w:rsid w:val="00C67B02"/>
    <w:rsid w:val="00C726D3"/>
    <w:rsid w:val="00C74E02"/>
    <w:rsid w:val="00C75CD4"/>
    <w:rsid w:val="00C816AC"/>
    <w:rsid w:val="00C81F65"/>
    <w:rsid w:val="00C91D42"/>
    <w:rsid w:val="00C93533"/>
    <w:rsid w:val="00C94D8F"/>
    <w:rsid w:val="00C96898"/>
    <w:rsid w:val="00CA5089"/>
    <w:rsid w:val="00CB4D75"/>
    <w:rsid w:val="00CC2193"/>
    <w:rsid w:val="00CC61A1"/>
    <w:rsid w:val="00CC69F3"/>
    <w:rsid w:val="00CD26B6"/>
    <w:rsid w:val="00CD3888"/>
    <w:rsid w:val="00CD4540"/>
    <w:rsid w:val="00CD5049"/>
    <w:rsid w:val="00CD72E9"/>
    <w:rsid w:val="00CE6250"/>
    <w:rsid w:val="00CF3D91"/>
    <w:rsid w:val="00CF477E"/>
    <w:rsid w:val="00CF4F49"/>
    <w:rsid w:val="00D121E3"/>
    <w:rsid w:val="00D13423"/>
    <w:rsid w:val="00D1362B"/>
    <w:rsid w:val="00D23C38"/>
    <w:rsid w:val="00D24ECB"/>
    <w:rsid w:val="00D251FD"/>
    <w:rsid w:val="00D25426"/>
    <w:rsid w:val="00D27987"/>
    <w:rsid w:val="00D32A28"/>
    <w:rsid w:val="00D34E9E"/>
    <w:rsid w:val="00D421E1"/>
    <w:rsid w:val="00D520AB"/>
    <w:rsid w:val="00D63AFC"/>
    <w:rsid w:val="00D63E6B"/>
    <w:rsid w:val="00D7770A"/>
    <w:rsid w:val="00D8297C"/>
    <w:rsid w:val="00D84791"/>
    <w:rsid w:val="00D8490B"/>
    <w:rsid w:val="00D85FD1"/>
    <w:rsid w:val="00D8727D"/>
    <w:rsid w:val="00D90CC6"/>
    <w:rsid w:val="00D97B5D"/>
    <w:rsid w:val="00DA7F46"/>
    <w:rsid w:val="00DB0190"/>
    <w:rsid w:val="00DB0E35"/>
    <w:rsid w:val="00DB14DF"/>
    <w:rsid w:val="00DB4412"/>
    <w:rsid w:val="00DB5111"/>
    <w:rsid w:val="00DB5862"/>
    <w:rsid w:val="00DC60C6"/>
    <w:rsid w:val="00DD103A"/>
    <w:rsid w:val="00DE0EC6"/>
    <w:rsid w:val="00DE51FE"/>
    <w:rsid w:val="00DE554A"/>
    <w:rsid w:val="00DE5A49"/>
    <w:rsid w:val="00E045F7"/>
    <w:rsid w:val="00E06250"/>
    <w:rsid w:val="00E06DF5"/>
    <w:rsid w:val="00E148B8"/>
    <w:rsid w:val="00E2644A"/>
    <w:rsid w:val="00E26811"/>
    <w:rsid w:val="00E3098B"/>
    <w:rsid w:val="00E378B9"/>
    <w:rsid w:val="00E5057D"/>
    <w:rsid w:val="00E54EDC"/>
    <w:rsid w:val="00E57026"/>
    <w:rsid w:val="00E614C9"/>
    <w:rsid w:val="00E62D3B"/>
    <w:rsid w:val="00E82493"/>
    <w:rsid w:val="00E86608"/>
    <w:rsid w:val="00E87EC8"/>
    <w:rsid w:val="00E905C9"/>
    <w:rsid w:val="00E9104D"/>
    <w:rsid w:val="00E91172"/>
    <w:rsid w:val="00E97882"/>
    <w:rsid w:val="00EA2A29"/>
    <w:rsid w:val="00EA2DF8"/>
    <w:rsid w:val="00EA52EE"/>
    <w:rsid w:val="00EA7278"/>
    <w:rsid w:val="00EA727E"/>
    <w:rsid w:val="00EB37B6"/>
    <w:rsid w:val="00EC0E34"/>
    <w:rsid w:val="00EC0EB8"/>
    <w:rsid w:val="00EC4DFE"/>
    <w:rsid w:val="00EC79A7"/>
    <w:rsid w:val="00EE2081"/>
    <w:rsid w:val="00EF3B54"/>
    <w:rsid w:val="00F0284F"/>
    <w:rsid w:val="00F10E90"/>
    <w:rsid w:val="00F14D2B"/>
    <w:rsid w:val="00F26F80"/>
    <w:rsid w:val="00F362A3"/>
    <w:rsid w:val="00F41981"/>
    <w:rsid w:val="00F42BC3"/>
    <w:rsid w:val="00F46B72"/>
    <w:rsid w:val="00F476D8"/>
    <w:rsid w:val="00F509F6"/>
    <w:rsid w:val="00F51D75"/>
    <w:rsid w:val="00F6143F"/>
    <w:rsid w:val="00F62A9A"/>
    <w:rsid w:val="00F65C35"/>
    <w:rsid w:val="00F66217"/>
    <w:rsid w:val="00F704B9"/>
    <w:rsid w:val="00F71508"/>
    <w:rsid w:val="00F7166F"/>
    <w:rsid w:val="00F731F4"/>
    <w:rsid w:val="00F81422"/>
    <w:rsid w:val="00F8188E"/>
    <w:rsid w:val="00F8663B"/>
    <w:rsid w:val="00F908D7"/>
    <w:rsid w:val="00F913A1"/>
    <w:rsid w:val="00F93814"/>
    <w:rsid w:val="00F95819"/>
    <w:rsid w:val="00F9688C"/>
    <w:rsid w:val="00FA0DD9"/>
    <w:rsid w:val="00FA397F"/>
    <w:rsid w:val="00FA4D11"/>
    <w:rsid w:val="00FB2154"/>
    <w:rsid w:val="00FB3651"/>
    <w:rsid w:val="00FB6AB0"/>
    <w:rsid w:val="00FC5A68"/>
    <w:rsid w:val="00FD2EA6"/>
    <w:rsid w:val="00FD4330"/>
    <w:rsid w:val="00FD671C"/>
    <w:rsid w:val="00FE0C86"/>
    <w:rsid w:val="00FE22DF"/>
    <w:rsid w:val="00FE3803"/>
    <w:rsid w:val="00FE4F22"/>
    <w:rsid w:val="00FF587D"/>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A32FEC-D9E7-4725-9B53-A6C861A93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6A3ADC"/>
    <w:pPr>
      <w:keepNext/>
      <w:spacing w:after="0" w:line="240" w:lineRule="auto"/>
      <w:jc w:val="both"/>
      <w:outlineLvl w:val="1"/>
    </w:pPr>
    <w:rPr>
      <w:rFonts w:ascii="Times New Roman" w:eastAsia="PMingLiU" w:hAnsi="Times New Roman" w:cs="Times New Roman"/>
      <w:b/>
      <w:sz w:val="24"/>
      <w:szCs w:val="20"/>
      <w:lang w:val="en-GB" w:eastAsia="en-GB"/>
    </w:rPr>
  </w:style>
  <w:style w:type="paragraph" w:styleId="Heading4">
    <w:name w:val="heading 4"/>
    <w:basedOn w:val="Normal"/>
    <w:next w:val="Normal"/>
    <w:link w:val="Heading4Char"/>
    <w:qFormat/>
    <w:rsid w:val="006A3ADC"/>
    <w:pPr>
      <w:keepNext/>
      <w:spacing w:before="120" w:after="120" w:line="240" w:lineRule="auto"/>
      <w:jc w:val="center"/>
      <w:outlineLvl w:val="3"/>
    </w:pPr>
    <w:rPr>
      <w:rFonts w:ascii="Times New Roman" w:eastAsia="PMingLiU" w:hAnsi="Times New Roman" w:cs="Times New Roman"/>
      <w:sz w:val="4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46A1"/>
    <w:pPr>
      <w:ind w:left="720"/>
      <w:contextualSpacing/>
    </w:pPr>
  </w:style>
  <w:style w:type="table" w:styleId="TableGrid">
    <w:name w:val="Table Grid"/>
    <w:basedOn w:val="TableNormal"/>
    <w:uiPriority w:val="39"/>
    <w:rsid w:val="008075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692E6D"/>
  </w:style>
  <w:style w:type="paragraph" w:styleId="Header">
    <w:name w:val="header"/>
    <w:basedOn w:val="Normal"/>
    <w:link w:val="HeaderChar"/>
    <w:unhideWhenUsed/>
    <w:rsid w:val="00E57026"/>
    <w:pPr>
      <w:tabs>
        <w:tab w:val="center" w:pos="4513"/>
        <w:tab w:val="right" w:pos="9026"/>
      </w:tabs>
      <w:spacing w:after="0" w:line="240" w:lineRule="auto"/>
    </w:pPr>
  </w:style>
  <w:style w:type="character" w:customStyle="1" w:styleId="HeaderChar">
    <w:name w:val="Header Char"/>
    <w:basedOn w:val="DefaultParagraphFont"/>
    <w:link w:val="Header"/>
    <w:rsid w:val="00E57026"/>
  </w:style>
  <w:style w:type="paragraph" w:styleId="Footer">
    <w:name w:val="footer"/>
    <w:basedOn w:val="Normal"/>
    <w:link w:val="FooterChar"/>
    <w:uiPriority w:val="99"/>
    <w:unhideWhenUsed/>
    <w:rsid w:val="00E570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7026"/>
  </w:style>
  <w:style w:type="character" w:styleId="PlaceholderText">
    <w:name w:val="Placeholder Text"/>
    <w:basedOn w:val="DefaultParagraphFont"/>
    <w:uiPriority w:val="99"/>
    <w:semiHidden/>
    <w:rsid w:val="00EF3B54"/>
    <w:rPr>
      <w:color w:val="808080"/>
    </w:rPr>
  </w:style>
  <w:style w:type="paragraph" w:styleId="BalloonText">
    <w:name w:val="Balloon Text"/>
    <w:basedOn w:val="Normal"/>
    <w:link w:val="BalloonTextChar"/>
    <w:uiPriority w:val="99"/>
    <w:semiHidden/>
    <w:unhideWhenUsed/>
    <w:rsid w:val="003B7F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7F58"/>
    <w:rPr>
      <w:rFonts w:ascii="Segoe UI" w:hAnsi="Segoe UI" w:cs="Segoe UI"/>
      <w:sz w:val="18"/>
      <w:szCs w:val="18"/>
    </w:rPr>
  </w:style>
  <w:style w:type="character" w:customStyle="1" w:styleId="Heading2Char">
    <w:name w:val="Heading 2 Char"/>
    <w:basedOn w:val="DefaultParagraphFont"/>
    <w:link w:val="Heading2"/>
    <w:rsid w:val="006A3ADC"/>
    <w:rPr>
      <w:rFonts w:ascii="Times New Roman" w:eastAsia="PMingLiU" w:hAnsi="Times New Roman" w:cs="Times New Roman"/>
      <w:b/>
      <w:sz w:val="24"/>
      <w:szCs w:val="20"/>
      <w:lang w:val="en-GB" w:eastAsia="en-GB"/>
    </w:rPr>
  </w:style>
  <w:style w:type="character" w:customStyle="1" w:styleId="Heading4Char">
    <w:name w:val="Heading 4 Char"/>
    <w:basedOn w:val="DefaultParagraphFont"/>
    <w:link w:val="Heading4"/>
    <w:rsid w:val="006A3ADC"/>
    <w:rPr>
      <w:rFonts w:ascii="Times New Roman" w:eastAsia="PMingLiU" w:hAnsi="Times New Roman" w:cs="Times New Roman"/>
      <w:sz w:val="4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99416">
      <w:bodyDiv w:val="1"/>
      <w:marLeft w:val="0"/>
      <w:marRight w:val="0"/>
      <w:marTop w:val="0"/>
      <w:marBottom w:val="0"/>
      <w:divBdr>
        <w:top w:val="none" w:sz="0" w:space="0" w:color="auto"/>
        <w:left w:val="none" w:sz="0" w:space="0" w:color="auto"/>
        <w:bottom w:val="none" w:sz="0" w:space="0" w:color="auto"/>
        <w:right w:val="none" w:sz="0" w:space="0" w:color="auto"/>
      </w:divBdr>
    </w:div>
    <w:div w:id="19674335">
      <w:bodyDiv w:val="1"/>
      <w:marLeft w:val="0"/>
      <w:marRight w:val="0"/>
      <w:marTop w:val="0"/>
      <w:marBottom w:val="0"/>
      <w:divBdr>
        <w:top w:val="none" w:sz="0" w:space="0" w:color="auto"/>
        <w:left w:val="none" w:sz="0" w:space="0" w:color="auto"/>
        <w:bottom w:val="none" w:sz="0" w:space="0" w:color="auto"/>
        <w:right w:val="none" w:sz="0" w:space="0" w:color="auto"/>
      </w:divBdr>
    </w:div>
    <w:div w:id="42218999">
      <w:bodyDiv w:val="1"/>
      <w:marLeft w:val="0"/>
      <w:marRight w:val="0"/>
      <w:marTop w:val="0"/>
      <w:marBottom w:val="0"/>
      <w:divBdr>
        <w:top w:val="none" w:sz="0" w:space="0" w:color="auto"/>
        <w:left w:val="none" w:sz="0" w:space="0" w:color="auto"/>
        <w:bottom w:val="none" w:sz="0" w:space="0" w:color="auto"/>
        <w:right w:val="none" w:sz="0" w:space="0" w:color="auto"/>
      </w:divBdr>
    </w:div>
    <w:div w:id="42365594">
      <w:bodyDiv w:val="1"/>
      <w:marLeft w:val="0"/>
      <w:marRight w:val="0"/>
      <w:marTop w:val="0"/>
      <w:marBottom w:val="0"/>
      <w:divBdr>
        <w:top w:val="none" w:sz="0" w:space="0" w:color="auto"/>
        <w:left w:val="none" w:sz="0" w:space="0" w:color="auto"/>
        <w:bottom w:val="none" w:sz="0" w:space="0" w:color="auto"/>
        <w:right w:val="none" w:sz="0" w:space="0" w:color="auto"/>
      </w:divBdr>
    </w:div>
    <w:div w:id="51315539">
      <w:bodyDiv w:val="1"/>
      <w:marLeft w:val="0"/>
      <w:marRight w:val="0"/>
      <w:marTop w:val="0"/>
      <w:marBottom w:val="0"/>
      <w:divBdr>
        <w:top w:val="none" w:sz="0" w:space="0" w:color="auto"/>
        <w:left w:val="none" w:sz="0" w:space="0" w:color="auto"/>
        <w:bottom w:val="none" w:sz="0" w:space="0" w:color="auto"/>
        <w:right w:val="none" w:sz="0" w:space="0" w:color="auto"/>
      </w:divBdr>
    </w:div>
    <w:div w:id="53283967">
      <w:bodyDiv w:val="1"/>
      <w:marLeft w:val="0"/>
      <w:marRight w:val="0"/>
      <w:marTop w:val="0"/>
      <w:marBottom w:val="0"/>
      <w:divBdr>
        <w:top w:val="none" w:sz="0" w:space="0" w:color="auto"/>
        <w:left w:val="none" w:sz="0" w:space="0" w:color="auto"/>
        <w:bottom w:val="none" w:sz="0" w:space="0" w:color="auto"/>
        <w:right w:val="none" w:sz="0" w:space="0" w:color="auto"/>
      </w:divBdr>
    </w:div>
    <w:div w:id="54545097">
      <w:bodyDiv w:val="1"/>
      <w:marLeft w:val="0"/>
      <w:marRight w:val="0"/>
      <w:marTop w:val="0"/>
      <w:marBottom w:val="0"/>
      <w:divBdr>
        <w:top w:val="none" w:sz="0" w:space="0" w:color="auto"/>
        <w:left w:val="none" w:sz="0" w:space="0" w:color="auto"/>
        <w:bottom w:val="none" w:sz="0" w:space="0" w:color="auto"/>
        <w:right w:val="none" w:sz="0" w:space="0" w:color="auto"/>
      </w:divBdr>
    </w:div>
    <w:div w:id="74284661">
      <w:bodyDiv w:val="1"/>
      <w:marLeft w:val="0"/>
      <w:marRight w:val="0"/>
      <w:marTop w:val="0"/>
      <w:marBottom w:val="0"/>
      <w:divBdr>
        <w:top w:val="none" w:sz="0" w:space="0" w:color="auto"/>
        <w:left w:val="none" w:sz="0" w:space="0" w:color="auto"/>
        <w:bottom w:val="none" w:sz="0" w:space="0" w:color="auto"/>
        <w:right w:val="none" w:sz="0" w:space="0" w:color="auto"/>
      </w:divBdr>
    </w:div>
    <w:div w:id="103884069">
      <w:bodyDiv w:val="1"/>
      <w:marLeft w:val="0"/>
      <w:marRight w:val="0"/>
      <w:marTop w:val="0"/>
      <w:marBottom w:val="0"/>
      <w:divBdr>
        <w:top w:val="none" w:sz="0" w:space="0" w:color="auto"/>
        <w:left w:val="none" w:sz="0" w:space="0" w:color="auto"/>
        <w:bottom w:val="none" w:sz="0" w:space="0" w:color="auto"/>
        <w:right w:val="none" w:sz="0" w:space="0" w:color="auto"/>
      </w:divBdr>
    </w:div>
    <w:div w:id="132480903">
      <w:bodyDiv w:val="1"/>
      <w:marLeft w:val="0"/>
      <w:marRight w:val="0"/>
      <w:marTop w:val="0"/>
      <w:marBottom w:val="0"/>
      <w:divBdr>
        <w:top w:val="none" w:sz="0" w:space="0" w:color="auto"/>
        <w:left w:val="none" w:sz="0" w:space="0" w:color="auto"/>
        <w:bottom w:val="none" w:sz="0" w:space="0" w:color="auto"/>
        <w:right w:val="none" w:sz="0" w:space="0" w:color="auto"/>
      </w:divBdr>
    </w:div>
    <w:div w:id="136142747">
      <w:bodyDiv w:val="1"/>
      <w:marLeft w:val="0"/>
      <w:marRight w:val="0"/>
      <w:marTop w:val="0"/>
      <w:marBottom w:val="0"/>
      <w:divBdr>
        <w:top w:val="none" w:sz="0" w:space="0" w:color="auto"/>
        <w:left w:val="none" w:sz="0" w:space="0" w:color="auto"/>
        <w:bottom w:val="none" w:sz="0" w:space="0" w:color="auto"/>
        <w:right w:val="none" w:sz="0" w:space="0" w:color="auto"/>
      </w:divBdr>
    </w:div>
    <w:div w:id="146363306">
      <w:bodyDiv w:val="1"/>
      <w:marLeft w:val="0"/>
      <w:marRight w:val="0"/>
      <w:marTop w:val="0"/>
      <w:marBottom w:val="0"/>
      <w:divBdr>
        <w:top w:val="none" w:sz="0" w:space="0" w:color="auto"/>
        <w:left w:val="none" w:sz="0" w:space="0" w:color="auto"/>
        <w:bottom w:val="none" w:sz="0" w:space="0" w:color="auto"/>
        <w:right w:val="none" w:sz="0" w:space="0" w:color="auto"/>
      </w:divBdr>
    </w:div>
    <w:div w:id="148443963">
      <w:bodyDiv w:val="1"/>
      <w:marLeft w:val="0"/>
      <w:marRight w:val="0"/>
      <w:marTop w:val="0"/>
      <w:marBottom w:val="0"/>
      <w:divBdr>
        <w:top w:val="none" w:sz="0" w:space="0" w:color="auto"/>
        <w:left w:val="none" w:sz="0" w:space="0" w:color="auto"/>
        <w:bottom w:val="none" w:sz="0" w:space="0" w:color="auto"/>
        <w:right w:val="none" w:sz="0" w:space="0" w:color="auto"/>
      </w:divBdr>
    </w:div>
    <w:div w:id="163862155">
      <w:bodyDiv w:val="1"/>
      <w:marLeft w:val="0"/>
      <w:marRight w:val="0"/>
      <w:marTop w:val="0"/>
      <w:marBottom w:val="0"/>
      <w:divBdr>
        <w:top w:val="none" w:sz="0" w:space="0" w:color="auto"/>
        <w:left w:val="none" w:sz="0" w:space="0" w:color="auto"/>
        <w:bottom w:val="none" w:sz="0" w:space="0" w:color="auto"/>
        <w:right w:val="none" w:sz="0" w:space="0" w:color="auto"/>
      </w:divBdr>
    </w:div>
    <w:div w:id="164126300">
      <w:bodyDiv w:val="1"/>
      <w:marLeft w:val="0"/>
      <w:marRight w:val="0"/>
      <w:marTop w:val="0"/>
      <w:marBottom w:val="0"/>
      <w:divBdr>
        <w:top w:val="none" w:sz="0" w:space="0" w:color="auto"/>
        <w:left w:val="none" w:sz="0" w:space="0" w:color="auto"/>
        <w:bottom w:val="none" w:sz="0" w:space="0" w:color="auto"/>
        <w:right w:val="none" w:sz="0" w:space="0" w:color="auto"/>
      </w:divBdr>
    </w:div>
    <w:div w:id="164128669">
      <w:bodyDiv w:val="1"/>
      <w:marLeft w:val="0"/>
      <w:marRight w:val="0"/>
      <w:marTop w:val="0"/>
      <w:marBottom w:val="0"/>
      <w:divBdr>
        <w:top w:val="none" w:sz="0" w:space="0" w:color="auto"/>
        <w:left w:val="none" w:sz="0" w:space="0" w:color="auto"/>
        <w:bottom w:val="none" w:sz="0" w:space="0" w:color="auto"/>
        <w:right w:val="none" w:sz="0" w:space="0" w:color="auto"/>
      </w:divBdr>
    </w:div>
    <w:div w:id="171073581">
      <w:bodyDiv w:val="1"/>
      <w:marLeft w:val="0"/>
      <w:marRight w:val="0"/>
      <w:marTop w:val="0"/>
      <w:marBottom w:val="0"/>
      <w:divBdr>
        <w:top w:val="none" w:sz="0" w:space="0" w:color="auto"/>
        <w:left w:val="none" w:sz="0" w:space="0" w:color="auto"/>
        <w:bottom w:val="none" w:sz="0" w:space="0" w:color="auto"/>
        <w:right w:val="none" w:sz="0" w:space="0" w:color="auto"/>
      </w:divBdr>
    </w:div>
    <w:div w:id="179200772">
      <w:bodyDiv w:val="1"/>
      <w:marLeft w:val="0"/>
      <w:marRight w:val="0"/>
      <w:marTop w:val="0"/>
      <w:marBottom w:val="0"/>
      <w:divBdr>
        <w:top w:val="none" w:sz="0" w:space="0" w:color="auto"/>
        <w:left w:val="none" w:sz="0" w:space="0" w:color="auto"/>
        <w:bottom w:val="none" w:sz="0" w:space="0" w:color="auto"/>
        <w:right w:val="none" w:sz="0" w:space="0" w:color="auto"/>
      </w:divBdr>
    </w:div>
    <w:div w:id="192769838">
      <w:bodyDiv w:val="1"/>
      <w:marLeft w:val="0"/>
      <w:marRight w:val="0"/>
      <w:marTop w:val="0"/>
      <w:marBottom w:val="0"/>
      <w:divBdr>
        <w:top w:val="none" w:sz="0" w:space="0" w:color="auto"/>
        <w:left w:val="none" w:sz="0" w:space="0" w:color="auto"/>
        <w:bottom w:val="none" w:sz="0" w:space="0" w:color="auto"/>
        <w:right w:val="none" w:sz="0" w:space="0" w:color="auto"/>
      </w:divBdr>
    </w:div>
    <w:div w:id="270092267">
      <w:bodyDiv w:val="1"/>
      <w:marLeft w:val="0"/>
      <w:marRight w:val="0"/>
      <w:marTop w:val="0"/>
      <w:marBottom w:val="0"/>
      <w:divBdr>
        <w:top w:val="none" w:sz="0" w:space="0" w:color="auto"/>
        <w:left w:val="none" w:sz="0" w:space="0" w:color="auto"/>
        <w:bottom w:val="none" w:sz="0" w:space="0" w:color="auto"/>
        <w:right w:val="none" w:sz="0" w:space="0" w:color="auto"/>
      </w:divBdr>
    </w:div>
    <w:div w:id="283780428">
      <w:bodyDiv w:val="1"/>
      <w:marLeft w:val="0"/>
      <w:marRight w:val="0"/>
      <w:marTop w:val="0"/>
      <w:marBottom w:val="0"/>
      <w:divBdr>
        <w:top w:val="none" w:sz="0" w:space="0" w:color="auto"/>
        <w:left w:val="none" w:sz="0" w:space="0" w:color="auto"/>
        <w:bottom w:val="none" w:sz="0" w:space="0" w:color="auto"/>
        <w:right w:val="none" w:sz="0" w:space="0" w:color="auto"/>
      </w:divBdr>
    </w:div>
    <w:div w:id="284311707">
      <w:bodyDiv w:val="1"/>
      <w:marLeft w:val="0"/>
      <w:marRight w:val="0"/>
      <w:marTop w:val="0"/>
      <w:marBottom w:val="0"/>
      <w:divBdr>
        <w:top w:val="none" w:sz="0" w:space="0" w:color="auto"/>
        <w:left w:val="none" w:sz="0" w:space="0" w:color="auto"/>
        <w:bottom w:val="none" w:sz="0" w:space="0" w:color="auto"/>
        <w:right w:val="none" w:sz="0" w:space="0" w:color="auto"/>
      </w:divBdr>
    </w:div>
    <w:div w:id="293492062">
      <w:bodyDiv w:val="1"/>
      <w:marLeft w:val="0"/>
      <w:marRight w:val="0"/>
      <w:marTop w:val="0"/>
      <w:marBottom w:val="0"/>
      <w:divBdr>
        <w:top w:val="none" w:sz="0" w:space="0" w:color="auto"/>
        <w:left w:val="none" w:sz="0" w:space="0" w:color="auto"/>
        <w:bottom w:val="none" w:sz="0" w:space="0" w:color="auto"/>
        <w:right w:val="none" w:sz="0" w:space="0" w:color="auto"/>
      </w:divBdr>
    </w:div>
    <w:div w:id="300497190">
      <w:bodyDiv w:val="1"/>
      <w:marLeft w:val="0"/>
      <w:marRight w:val="0"/>
      <w:marTop w:val="0"/>
      <w:marBottom w:val="0"/>
      <w:divBdr>
        <w:top w:val="none" w:sz="0" w:space="0" w:color="auto"/>
        <w:left w:val="none" w:sz="0" w:space="0" w:color="auto"/>
        <w:bottom w:val="none" w:sz="0" w:space="0" w:color="auto"/>
        <w:right w:val="none" w:sz="0" w:space="0" w:color="auto"/>
      </w:divBdr>
    </w:div>
    <w:div w:id="329678169">
      <w:bodyDiv w:val="1"/>
      <w:marLeft w:val="0"/>
      <w:marRight w:val="0"/>
      <w:marTop w:val="0"/>
      <w:marBottom w:val="0"/>
      <w:divBdr>
        <w:top w:val="none" w:sz="0" w:space="0" w:color="auto"/>
        <w:left w:val="none" w:sz="0" w:space="0" w:color="auto"/>
        <w:bottom w:val="none" w:sz="0" w:space="0" w:color="auto"/>
        <w:right w:val="none" w:sz="0" w:space="0" w:color="auto"/>
      </w:divBdr>
    </w:div>
    <w:div w:id="383141147">
      <w:bodyDiv w:val="1"/>
      <w:marLeft w:val="0"/>
      <w:marRight w:val="0"/>
      <w:marTop w:val="0"/>
      <w:marBottom w:val="0"/>
      <w:divBdr>
        <w:top w:val="none" w:sz="0" w:space="0" w:color="auto"/>
        <w:left w:val="none" w:sz="0" w:space="0" w:color="auto"/>
        <w:bottom w:val="none" w:sz="0" w:space="0" w:color="auto"/>
        <w:right w:val="none" w:sz="0" w:space="0" w:color="auto"/>
      </w:divBdr>
    </w:div>
    <w:div w:id="385301382">
      <w:bodyDiv w:val="1"/>
      <w:marLeft w:val="0"/>
      <w:marRight w:val="0"/>
      <w:marTop w:val="0"/>
      <w:marBottom w:val="0"/>
      <w:divBdr>
        <w:top w:val="none" w:sz="0" w:space="0" w:color="auto"/>
        <w:left w:val="none" w:sz="0" w:space="0" w:color="auto"/>
        <w:bottom w:val="none" w:sz="0" w:space="0" w:color="auto"/>
        <w:right w:val="none" w:sz="0" w:space="0" w:color="auto"/>
      </w:divBdr>
    </w:div>
    <w:div w:id="387461247">
      <w:bodyDiv w:val="1"/>
      <w:marLeft w:val="0"/>
      <w:marRight w:val="0"/>
      <w:marTop w:val="0"/>
      <w:marBottom w:val="0"/>
      <w:divBdr>
        <w:top w:val="none" w:sz="0" w:space="0" w:color="auto"/>
        <w:left w:val="none" w:sz="0" w:space="0" w:color="auto"/>
        <w:bottom w:val="none" w:sz="0" w:space="0" w:color="auto"/>
        <w:right w:val="none" w:sz="0" w:space="0" w:color="auto"/>
      </w:divBdr>
    </w:div>
    <w:div w:id="392314633">
      <w:bodyDiv w:val="1"/>
      <w:marLeft w:val="0"/>
      <w:marRight w:val="0"/>
      <w:marTop w:val="0"/>
      <w:marBottom w:val="0"/>
      <w:divBdr>
        <w:top w:val="none" w:sz="0" w:space="0" w:color="auto"/>
        <w:left w:val="none" w:sz="0" w:space="0" w:color="auto"/>
        <w:bottom w:val="none" w:sz="0" w:space="0" w:color="auto"/>
        <w:right w:val="none" w:sz="0" w:space="0" w:color="auto"/>
      </w:divBdr>
    </w:div>
    <w:div w:id="406004745">
      <w:bodyDiv w:val="1"/>
      <w:marLeft w:val="0"/>
      <w:marRight w:val="0"/>
      <w:marTop w:val="0"/>
      <w:marBottom w:val="0"/>
      <w:divBdr>
        <w:top w:val="none" w:sz="0" w:space="0" w:color="auto"/>
        <w:left w:val="none" w:sz="0" w:space="0" w:color="auto"/>
        <w:bottom w:val="none" w:sz="0" w:space="0" w:color="auto"/>
        <w:right w:val="none" w:sz="0" w:space="0" w:color="auto"/>
      </w:divBdr>
    </w:div>
    <w:div w:id="408230403">
      <w:bodyDiv w:val="1"/>
      <w:marLeft w:val="0"/>
      <w:marRight w:val="0"/>
      <w:marTop w:val="0"/>
      <w:marBottom w:val="0"/>
      <w:divBdr>
        <w:top w:val="none" w:sz="0" w:space="0" w:color="auto"/>
        <w:left w:val="none" w:sz="0" w:space="0" w:color="auto"/>
        <w:bottom w:val="none" w:sz="0" w:space="0" w:color="auto"/>
        <w:right w:val="none" w:sz="0" w:space="0" w:color="auto"/>
      </w:divBdr>
    </w:div>
    <w:div w:id="434718317">
      <w:bodyDiv w:val="1"/>
      <w:marLeft w:val="0"/>
      <w:marRight w:val="0"/>
      <w:marTop w:val="0"/>
      <w:marBottom w:val="0"/>
      <w:divBdr>
        <w:top w:val="none" w:sz="0" w:space="0" w:color="auto"/>
        <w:left w:val="none" w:sz="0" w:space="0" w:color="auto"/>
        <w:bottom w:val="none" w:sz="0" w:space="0" w:color="auto"/>
        <w:right w:val="none" w:sz="0" w:space="0" w:color="auto"/>
      </w:divBdr>
    </w:div>
    <w:div w:id="449665577">
      <w:bodyDiv w:val="1"/>
      <w:marLeft w:val="0"/>
      <w:marRight w:val="0"/>
      <w:marTop w:val="0"/>
      <w:marBottom w:val="0"/>
      <w:divBdr>
        <w:top w:val="none" w:sz="0" w:space="0" w:color="auto"/>
        <w:left w:val="none" w:sz="0" w:space="0" w:color="auto"/>
        <w:bottom w:val="none" w:sz="0" w:space="0" w:color="auto"/>
        <w:right w:val="none" w:sz="0" w:space="0" w:color="auto"/>
      </w:divBdr>
    </w:div>
    <w:div w:id="467087729">
      <w:bodyDiv w:val="1"/>
      <w:marLeft w:val="0"/>
      <w:marRight w:val="0"/>
      <w:marTop w:val="0"/>
      <w:marBottom w:val="0"/>
      <w:divBdr>
        <w:top w:val="none" w:sz="0" w:space="0" w:color="auto"/>
        <w:left w:val="none" w:sz="0" w:space="0" w:color="auto"/>
        <w:bottom w:val="none" w:sz="0" w:space="0" w:color="auto"/>
        <w:right w:val="none" w:sz="0" w:space="0" w:color="auto"/>
      </w:divBdr>
    </w:div>
    <w:div w:id="470950464">
      <w:bodyDiv w:val="1"/>
      <w:marLeft w:val="0"/>
      <w:marRight w:val="0"/>
      <w:marTop w:val="0"/>
      <w:marBottom w:val="0"/>
      <w:divBdr>
        <w:top w:val="none" w:sz="0" w:space="0" w:color="auto"/>
        <w:left w:val="none" w:sz="0" w:space="0" w:color="auto"/>
        <w:bottom w:val="none" w:sz="0" w:space="0" w:color="auto"/>
        <w:right w:val="none" w:sz="0" w:space="0" w:color="auto"/>
      </w:divBdr>
    </w:div>
    <w:div w:id="483203853">
      <w:bodyDiv w:val="1"/>
      <w:marLeft w:val="0"/>
      <w:marRight w:val="0"/>
      <w:marTop w:val="0"/>
      <w:marBottom w:val="0"/>
      <w:divBdr>
        <w:top w:val="none" w:sz="0" w:space="0" w:color="auto"/>
        <w:left w:val="none" w:sz="0" w:space="0" w:color="auto"/>
        <w:bottom w:val="none" w:sz="0" w:space="0" w:color="auto"/>
        <w:right w:val="none" w:sz="0" w:space="0" w:color="auto"/>
      </w:divBdr>
    </w:div>
    <w:div w:id="492256771">
      <w:bodyDiv w:val="1"/>
      <w:marLeft w:val="0"/>
      <w:marRight w:val="0"/>
      <w:marTop w:val="0"/>
      <w:marBottom w:val="0"/>
      <w:divBdr>
        <w:top w:val="none" w:sz="0" w:space="0" w:color="auto"/>
        <w:left w:val="none" w:sz="0" w:space="0" w:color="auto"/>
        <w:bottom w:val="none" w:sz="0" w:space="0" w:color="auto"/>
        <w:right w:val="none" w:sz="0" w:space="0" w:color="auto"/>
      </w:divBdr>
    </w:div>
    <w:div w:id="503401369">
      <w:bodyDiv w:val="1"/>
      <w:marLeft w:val="0"/>
      <w:marRight w:val="0"/>
      <w:marTop w:val="0"/>
      <w:marBottom w:val="0"/>
      <w:divBdr>
        <w:top w:val="none" w:sz="0" w:space="0" w:color="auto"/>
        <w:left w:val="none" w:sz="0" w:space="0" w:color="auto"/>
        <w:bottom w:val="none" w:sz="0" w:space="0" w:color="auto"/>
        <w:right w:val="none" w:sz="0" w:space="0" w:color="auto"/>
      </w:divBdr>
    </w:div>
    <w:div w:id="513149105">
      <w:bodyDiv w:val="1"/>
      <w:marLeft w:val="0"/>
      <w:marRight w:val="0"/>
      <w:marTop w:val="0"/>
      <w:marBottom w:val="0"/>
      <w:divBdr>
        <w:top w:val="none" w:sz="0" w:space="0" w:color="auto"/>
        <w:left w:val="none" w:sz="0" w:space="0" w:color="auto"/>
        <w:bottom w:val="none" w:sz="0" w:space="0" w:color="auto"/>
        <w:right w:val="none" w:sz="0" w:space="0" w:color="auto"/>
      </w:divBdr>
    </w:div>
    <w:div w:id="519125226">
      <w:bodyDiv w:val="1"/>
      <w:marLeft w:val="0"/>
      <w:marRight w:val="0"/>
      <w:marTop w:val="0"/>
      <w:marBottom w:val="0"/>
      <w:divBdr>
        <w:top w:val="none" w:sz="0" w:space="0" w:color="auto"/>
        <w:left w:val="none" w:sz="0" w:space="0" w:color="auto"/>
        <w:bottom w:val="none" w:sz="0" w:space="0" w:color="auto"/>
        <w:right w:val="none" w:sz="0" w:space="0" w:color="auto"/>
      </w:divBdr>
    </w:div>
    <w:div w:id="520557504">
      <w:bodyDiv w:val="1"/>
      <w:marLeft w:val="0"/>
      <w:marRight w:val="0"/>
      <w:marTop w:val="0"/>
      <w:marBottom w:val="0"/>
      <w:divBdr>
        <w:top w:val="none" w:sz="0" w:space="0" w:color="auto"/>
        <w:left w:val="none" w:sz="0" w:space="0" w:color="auto"/>
        <w:bottom w:val="none" w:sz="0" w:space="0" w:color="auto"/>
        <w:right w:val="none" w:sz="0" w:space="0" w:color="auto"/>
      </w:divBdr>
    </w:div>
    <w:div w:id="539905164">
      <w:bodyDiv w:val="1"/>
      <w:marLeft w:val="0"/>
      <w:marRight w:val="0"/>
      <w:marTop w:val="0"/>
      <w:marBottom w:val="0"/>
      <w:divBdr>
        <w:top w:val="none" w:sz="0" w:space="0" w:color="auto"/>
        <w:left w:val="none" w:sz="0" w:space="0" w:color="auto"/>
        <w:bottom w:val="none" w:sz="0" w:space="0" w:color="auto"/>
        <w:right w:val="none" w:sz="0" w:space="0" w:color="auto"/>
      </w:divBdr>
    </w:div>
    <w:div w:id="552231403">
      <w:bodyDiv w:val="1"/>
      <w:marLeft w:val="0"/>
      <w:marRight w:val="0"/>
      <w:marTop w:val="0"/>
      <w:marBottom w:val="0"/>
      <w:divBdr>
        <w:top w:val="none" w:sz="0" w:space="0" w:color="auto"/>
        <w:left w:val="none" w:sz="0" w:space="0" w:color="auto"/>
        <w:bottom w:val="none" w:sz="0" w:space="0" w:color="auto"/>
        <w:right w:val="none" w:sz="0" w:space="0" w:color="auto"/>
      </w:divBdr>
    </w:div>
    <w:div w:id="562102750">
      <w:bodyDiv w:val="1"/>
      <w:marLeft w:val="0"/>
      <w:marRight w:val="0"/>
      <w:marTop w:val="0"/>
      <w:marBottom w:val="0"/>
      <w:divBdr>
        <w:top w:val="none" w:sz="0" w:space="0" w:color="auto"/>
        <w:left w:val="none" w:sz="0" w:space="0" w:color="auto"/>
        <w:bottom w:val="none" w:sz="0" w:space="0" w:color="auto"/>
        <w:right w:val="none" w:sz="0" w:space="0" w:color="auto"/>
      </w:divBdr>
    </w:div>
    <w:div w:id="572859807">
      <w:bodyDiv w:val="1"/>
      <w:marLeft w:val="0"/>
      <w:marRight w:val="0"/>
      <w:marTop w:val="0"/>
      <w:marBottom w:val="0"/>
      <w:divBdr>
        <w:top w:val="none" w:sz="0" w:space="0" w:color="auto"/>
        <w:left w:val="none" w:sz="0" w:space="0" w:color="auto"/>
        <w:bottom w:val="none" w:sz="0" w:space="0" w:color="auto"/>
        <w:right w:val="none" w:sz="0" w:space="0" w:color="auto"/>
      </w:divBdr>
    </w:div>
    <w:div w:id="583806459">
      <w:bodyDiv w:val="1"/>
      <w:marLeft w:val="0"/>
      <w:marRight w:val="0"/>
      <w:marTop w:val="0"/>
      <w:marBottom w:val="0"/>
      <w:divBdr>
        <w:top w:val="none" w:sz="0" w:space="0" w:color="auto"/>
        <w:left w:val="none" w:sz="0" w:space="0" w:color="auto"/>
        <w:bottom w:val="none" w:sz="0" w:space="0" w:color="auto"/>
        <w:right w:val="none" w:sz="0" w:space="0" w:color="auto"/>
      </w:divBdr>
    </w:div>
    <w:div w:id="586382527">
      <w:bodyDiv w:val="1"/>
      <w:marLeft w:val="0"/>
      <w:marRight w:val="0"/>
      <w:marTop w:val="0"/>
      <w:marBottom w:val="0"/>
      <w:divBdr>
        <w:top w:val="none" w:sz="0" w:space="0" w:color="auto"/>
        <w:left w:val="none" w:sz="0" w:space="0" w:color="auto"/>
        <w:bottom w:val="none" w:sz="0" w:space="0" w:color="auto"/>
        <w:right w:val="none" w:sz="0" w:space="0" w:color="auto"/>
      </w:divBdr>
    </w:div>
    <w:div w:id="600188642">
      <w:bodyDiv w:val="1"/>
      <w:marLeft w:val="0"/>
      <w:marRight w:val="0"/>
      <w:marTop w:val="0"/>
      <w:marBottom w:val="0"/>
      <w:divBdr>
        <w:top w:val="none" w:sz="0" w:space="0" w:color="auto"/>
        <w:left w:val="none" w:sz="0" w:space="0" w:color="auto"/>
        <w:bottom w:val="none" w:sz="0" w:space="0" w:color="auto"/>
        <w:right w:val="none" w:sz="0" w:space="0" w:color="auto"/>
      </w:divBdr>
    </w:div>
    <w:div w:id="616253453">
      <w:bodyDiv w:val="1"/>
      <w:marLeft w:val="0"/>
      <w:marRight w:val="0"/>
      <w:marTop w:val="0"/>
      <w:marBottom w:val="0"/>
      <w:divBdr>
        <w:top w:val="none" w:sz="0" w:space="0" w:color="auto"/>
        <w:left w:val="none" w:sz="0" w:space="0" w:color="auto"/>
        <w:bottom w:val="none" w:sz="0" w:space="0" w:color="auto"/>
        <w:right w:val="none" w:sz="0" w:space="0" w:color="auto"/>
      </w:divBdr>
    </w:div>
    <w:div w:id="627125540">
      <w:bodyDiv w:val="1"/>
      <w:marLeft w:val="0"/>
      <w:marRight w:val="0"/>
      <w:marTop w:val="0"/>
      <w:marBottom w:val="0"/>
      <w:divBdr>
        <w:top w:val="none" w:sz="0" w:space="0" w:color="auto"/>
        <w:left w:val="none" w:sz="0" w:space="0" w:color="auto"/>
        <w:bottom w:val="none" w:sz="0" w:space="0" w:color="auto"/>
        <w:right w:val="none" w:sz="0" w:space="0" w:color="auto"/>
      </w:divBdr>
    </w:div>
    <w:div w:id="629289547">
      <w:bodyDiv w:val="1"/>
      <w:marLeft w:val="0"/>
      <w:marRight w:val="0"/>
      <w:marTop w:val="0"/>
      <w:marBottom w:val="0"/>
      <w:divBdr>
        <w:top w:val="none" w:sz="0" w:space="0" w:color="auto"/>
        <w:left w:val="none" w:sz="0" w:space="0" w:color="auto"/>
        <w:bottom w:val="none" w:sz="0" w:space="0" w:color="auto"/>
        <w:right w:val="none" w:sz="0" w:space="0" w:color="auto"/>
      </w:divBdr>
    </w:div>
    <w:div w:id="629749643">
      <w:bodyDiv w:val="1"/>
      <w:marLeft w:val="0"/>
      <w:marRight w:val="0"/>
      <w:marTop w:val="0"/>
      <w:marBottom w:val="0"/>
      <w:divBdr>
        <w:top w:val="none" w:sz="0" w:space="0" w:color="auto"/>
        <w:left w:val="none" w:sz="0" w:space="0" w:color="auto"/>
        <w:bottom w:val="none" w:sz="0" w:space="0" w:color="auto"/>
        <w:right w:val="none" w:sz="0" w:space="0" w:color="auto"/>
      </w:divBdr>
    </w:div>
    <w:div w:id="632178962">
      <w:bodyDiv w:val="1"/>
      <w:marLeft w:val="0"/>
      <w:marRight w:val="0"/>
      <w:marTop w:val="0"/>
      <w:marBottom w:val="0"/>
      <w:divBdr>
        <w:top w:val="none" w:sz="0" w:space="0" w:color="auto"/>
        <w:left w:val="none" w:sz="0" w:space="0" w:color="auto"/>
        <w:bottom w:val="none" w:sz="0" w:space="0" w:color="auto"/>
        <w:right w:val="none" w:sz="0" w:space="0" w:color="auto"/>
      </w:divBdr>
    </w:div>
    <w:div w:id="640576548">
      <w:bodyDiv w:val="1"/>
      <w:marLeft w:val="0"/>
      <w:marRight w:val="0"/>
      <w:marTop w:val="0"/>
      <w:marBottom w:val="0"/>
      <w:divBdr>
        <w:top w:val="none" w:sz="0" w:space="0" w:color="auto"/>
        <w:left w:val="none" w:sz="0" w:space="0" w:color="auto"/>
        <w:bottom w:val="none" w:sz="0" w:space="0" w:color="auto"/>
        <w:right w:val="none" w:sz="0" w:space="0" w:color="auto"/>
      </w:divBdr>
    </w:div>
    <w:div w:id="674695107">
      <w:bodyDiv w:val="1"/>
      <w:marLeft w:val="0"/>
      <w:marRight w:val="0"/>
      <w:marTop w:val="0"/>
      <w:marBottom w:val="0"/>
      <w:divBdr>
        <w:top w:val="none" w:sz="0" w:space="0" w:color="auto"/>
        <w:left w:val="none" w:sz="0" w:space="0" w:color="auto"/>
        <w:bottom w:val="none" w:sz="0" w:space="0" w:color="auto"/>
        <w:right w:val="none" w:sz="0" w:space="0" w:color="auto"/>
      </w:divBdr>
    </w:div>
    <w:div w:id="674763652">
      <w:bodyDiv w:val="1"/>
      <w:marLeft w:val="0"/>
      <w:marRight w:val="0"/>
      <w:marTop w:val="0"/>
      <w:marBottom w:val="0"/>
      <w:divBdr>
        <w:top w:val="none" w:sz="0" w:space="0" w:color="auto"/>
        <w:left w:val="none" w:sz="0" w:space="0" w:color="auto"/>
        <w:bottom w:val="none" w:sz="0" w:space="0" w:color="auto"/>
        <w:right w:val="none" w:sz="0" w:space="0" w:color="auto"/>
      </w:divBdr>
    </w:div>
    <w:div w:id="677854047">
      <w:bodyDiv w:val="1"/>
      <w:marLeft w:val="0"/>
      <w:marRight w:val="0"/>
      <w:marTop w:val="0"/>
      <w:marBottom w:val="0"/>
      <w:divBdr>
        <w:top w:val="none" w:sz="0" w:space="0" w:color="auto"/>
        <w:left w:val="none" w:sz="0" w:space="0" w:color="auto"/>
        <w:bottom w:val="none" w:sz="0" w:space="0" w:color="auto"/>
        <w:right w:val="none" w:sz="0" w:space="0" w:color="auto"/>
      </w:divBdr>
    </w:div>
    <w:div w:id="754589527">
      <w:bodyDiv w:val="1"/>
      <w:marLeft w:val="0"/>
      <w:marRight w:val="0"/>
      <w:marTop w:val="0"/>
      <w:marBottom w:val="0"/>
      <w:divBdr>
        <w:top w:val="none" w:sz="0" w:space="0" w:color="auto"/>
        <w:left w:val="none" w:sz="0" w:space="0" w:color="auto"/>
        <w:bottom w:val="none" w:sz="0" w:space="0" w:color="auto"/>
        <w:right w:val="none" w:sz="0" w:space="0" w:color="auto"/>
      </w:divBdr>
    </w:div>
    <w:div w:id="758336200">
      <w:bodyDiv w:val="1"/>
      <w:marLeft w:val="0"/>
      <w:marRight w:val="0"/>
      <w:marTop w:val="0"/>
      <w:marBottom w:val="0"/>
      <w:divBdr>
        <w:top w:val="none" w:sz="0" w:space="0" w:color="auto"/>
        <w:left w:val="none" w:sz="0" w:space="0" w:color="auto"/>
        <w:bottom w:val="none" w:sz="0" w:space="0" w:color="auto"/>
        <w:right w:val="none" w:sz="0" w:space="0" w:color="auto"/>
      </w:divBdr>
    </w:div>
    <w:div w:id="760565312">
      <w:bodyDiv w:val="1"/>
      <w:marLeft w:val="0"/>
      <w:marRight w:val="0"/>
      <w:marTop w:val="0"/>
      <w:marBottom w:val="0"/>
      <w:divBdr>
        <w:top w:val="none" w:sz="0" w:space="0" w:color="auto"/>
        <w:left w:val="none" w:sz="0" w:space="0" w:color="auto"/>
        <w:bottom w:val="none" w:sz="0" w:space="0" w:color="auto"/>
        <w:right w:val="none" w:sz="0" w:space="0" w:color="auto"/>
      </w:divBdr>
    </w:div>
    <w:div w:id="779031526">
      <w:bodyDiv w:val="1"/>
      <w:marLeft w:val="0"/>
      <w:marRight w:val="0"/>
      <w:marTop w:val="0"/>
      <w:marBottom w:val="0"/>
      <w:divBdr>
        <w:top w:val="none" w:sz="0" w:space="0" w:color="auto"/>
        <w:left w:val="none" w:sz="0" w:space="0" w:color="auto"/>
        <w:bottom w:val="none" w:sz="0" w:space="0" w:color="auto"/>
        <w:right w:val="none" w:sz="0" w:space="0" w:color="auto"/>
      </w:divBdr>
    </w:div>
    <w:div w:id="784079498">
      <w:bodyDiv w:val="1"/>
      <w:marLeft w:val="0"/>
      <w:marRight w:val="0"/>
      <w:marTop w:val="0"/>
      <w:marBottom w:val="0"/>
      <w:divBdr>
        <w:top w:val="none" w:sz="0" w:space="0" w:color="auto"/>
        <w:left w:val="none" w:sz="0" w:space="0" w:color="auto"/>
        <w:bottom w:val="none" w:sz="0" w:space="0" w:color="auto"/>
        <w:right w:val="none" w:sz="0" w:space="0" w:color="auto"/>
      </w:divBdr>
    </w:div>
    <w:div w:id="786850367">
      <w:bodyDiv w:val="1"/>
      <w:marLeft w:val="0"/>
      <w:marRight w:val="0"/>
      <w:marTop w:val="0"/>
      <w:marBottom w:val="0"/>
      <w:divBdr>
        <w:top w:val="none" w:sz="0" w:space="0" w:color="auto"/>
        <w:left w:val="none" w:sz="0" w:space="0" w:color="auto"/>
        <w:bottom w:val="none" w:sz="0" w:space="0" w:color="auto"/>
        <w:right w:val="none" w:sz="0" w:space="0" w:color="auto"/>
      </w:divBdr>
    </w:div>
    <w:div w:id="789251050">
      <w:bodyDiv w:val="1"/>
      <w:marLeft w:val="0"/>
      <w:marRight w:val="0"/>
      <w:marTop w:val="0"/>
      <w:marBottom w:val="0"/>
      <w:divBdr>
        <w:top w:val="none" w:sz="0" w:space="0" w:color="auto"/>
        <w:left w:val="none" w:sz="0" w:space="0" w:color="auto"/>
        <w:bottom w:val="none" w:sz="0" w:space="0" w:color="auto"/>
        <w:right w:val="none" w:sz="0" w:space="0" w:color="auto"/>
      </w:divBdr>
    </w:div>
    <w:div w:id="790979180">
      <w:bodyDiv w:val="1"/>
      <w:marLeft w:val="0"/>
      <w:marRight w:val="0"/>
      <w:marTop w:val="0"/>
      <w:marBottom w:val="0"/>
      <w:divBdr>
        <w:top w:val="none" w:sz="0" w:space="0" w:color="auto"/>
        <w:left w:val="none" w:sz="0" w:space="0" w:color="auto"/>
        <w:bottom w:val="none" w:sz="0" w:space="0" w:color="auto"/>
        <w:right w:val="none" w:sz="0" w:space="0" w:color="auto"/>
      </w:divBdr>
    </w:div>
    <w:div w:id="800345954">
      <w:bodyDiv w:val="1"/>
      <w:marLeft w:val="0"/>
      <w:marRight w:val="0"/>
      <w:marTop w:val="0"/>
      <w:marBottom w:val="0"/>
      <w:divBdr>
        <w:top w:val="none" w:sz="0" w:space="0" w:color="auto"/>
        <w:left w:val="none" w:sz="0" w:space="0" w:color="auto"/>
        <w:bottom w:val="none" w:sz="0" w:space="0" w:color="auto"/>
        <w:right w:val="none" w:sz="0" w:space="0" w:color="auto"/>
      </w:divBdr>
    </w:div>
    <w:div w:id="812020386">
      <w:bodyDiv w:val="1"/>
      <w:marLeft w:val="0"/>
      <w:marRight w:val="0"/>
      <w:marTop w:val="0"/>
      <w:marBottom w:val="0"/>
      <w:divBdr>
        <w:top w:val="none" w:sz="0" w:space="0" w:color="auto"/>
        <w:left w:val="none" w:sz="0" w:space="0" w:color="auto"/>
        <w:bottom w:val="none" w:sz="0" w:space="0" w:color="auto"/>
        <w:right w:val="none" w:sz="0" w:space="0" w:color="auto"/>
      </w:divBdr>
    </w:div>
    <w:div w:id="812871144">
      <w:bodyDiv w:val="1"/>
      <w:marLeft w:val="0"/>
      <w:marRight w:val="0"/>
      <w:marTop w:val="0"/>
      <w:marBottom w:val="0"/>
      <w:divBdr>
        <w:top w:val="none" w:sz="0" w:space="0" w:color="auto"/>
        <w:left w:val="none" w:sz="0" w:space="0" w:color="auto"/>
        <w:bottom w:val="none" w:sz="0" w:space="0" w:color="auto"/>
        <w:right w:val="none" w:sz="0" w:space="0" w:color="auto"/>
      </w:divBdr>
    </w:div>
    <w:div w:id="830754472">
      <w:bodyDiv w:val="1"/>
      <w:marLeft w:val="0"/>
      <w:marRight w:val="0"/>
      <w:marTop w:val="0"/>
      <w:marBottom w:val="0"/>
      <w:divBdr>
        <w:top w:val="none" w:sz="0" w:space="0" w:color="auto"/>
        <w:left w:val="none" w:sz="0" w:space="0" w:color="auto"/>
        <w:bottom w:val="none" w:sz="0" w:space="0" w:color="auto"/>
        <w:right w:val="none" w:sz="0" w:space="0" w:color="auto"/>
      </w:divBdr>
    </w:div>
    <w:div w:id="831143105">
      <w:bodyDiv w:val="1"/>
      <w:marLeft w:val="0"/>
      <w:marRight w:val="0"/>
      <w:marTop w:val="0"/>
      <w:marBottom w:val="0"/>
      <w:divBdr>
        <w:top w:val="none" w:sz="0" w:space="0" w:color="auto"/>
        <w:left w:val="none" w:sz="0" w:space="0" w:color="auto"/>
        <w:bottom w:val="none" w:sz="0" w:space="0" w:color="auto"/>
        <w:right w:val="none" w:sz="0" w:space="0" w:color="auto"/>
      </w:divBdr>
    </w:div>
    <w:div w:id="853299471">
      <w:bodyDiv w:val="1"/>
      <w:marLeft w:val="0"/>
      <w:marRight w:val="0"/>
      <w:marTop w:val="0"/>
      <w:marBottom w:val="0"/>
      <w:divBdr>
        <w:top w:val="none" w:sz="0" w:space="0" w:color="auto"/>
        <w:left w:val="none" w:sz="0" w:space="0" w:color="auto"/>
        <w:bottom w:val="none" w:sz="0" w:space="0" w:color="auto"/>
        <w:right w:val="none" w:sz="0" w:space="0" w:color="auto"/>
      </w:divBdr>
    </w:div>
    <w:div w:id="884871341">
      <w:bodyDiv w:val="1"/>
      <w:marLeft w:val="0"/>
      <w:marRight w:val="0"/>
      <w:marTop w:val="0"/>
      <w:marBottom w:val="0"/>
      <w:divBdr>
        <w:top w:val="none" w:sz="0" w:space="0" w:color="auto"/>
        <w:left w:val="none" w:sz="0" w:space="0" w:color="auto"/>
        <w:bottom w:val="none" w:sz="0" w:space="0" w:color="auto"/>
        <w:right w:val="none" w:sz="0" w:space="0" w:color="auto"/>
      </w:divBdr>
    </w:div>
    <w:div w:id="918366098">
      <w:bodyDiv w:val="1"/>
      <w:marLeft w:val="0"/>
      <w:marRight w:val="0"/>
      <w:marTop w:val="0"/>
      <w:marBottom w:val="0"/>
      <w:divBdr>
        <w:top w:val="none" w:sz="0" w:space="0" w:color="auto"/>
        <w:left w:val="none" w:sz="0" w:space="0" w:color="auto"/>
        <w:bottom w:val="none" w:sz="0" w:space="0" w:color="auto"/>
        <w:right w:val="none" w:sz="0" w:space="0" w:color="auto"/>
      </w:divBdr>
    </w:div>
    <w:div w:id="921598153">
      <w:bodyDiv w:val="1"/>
      <w:marLeft w:val="0"/>
      <w:marRight w:val="0"/>
      <w:marTop w:val="0"/>
      <w:marBottom w:val="0"/>
      <w:divBdr>
        <w:top w:val="none" w:sz="0" w:space="0" w:color="auto"/>
        <w:left w:val="none" w:sz="0" w:space="0" w:color="auto"/>
        <w:bottom w:val="none" w:sz="0" w:space="0" w:color="auto"/>
        <w:right w:val="none" w:sz="0" w:space="0" w:color="auto"/>
      </w:divBdr>
    </w:div>
    <w:div w:id="927618185">
      <w:bodyDiv w:val="1"/>
      <w:marLeft w:val="0"/>
      <w:marRight w:val="0"/>
      <w:marTop w:val="0"/>
      <w:marBottom w:val="0"/>
      <w:divBdr>
        <w:top w:val="none" w:sz="0" w:space="0" w:color="auto"/>
        <w:left w:val="none" w:sz="0" w:space="0" w:color="auto"/>
        <w:bottom w:val="none" w:sz="0" w:space="0" w:color="auto"/>
        <w:right w:val="none" w:sz="0" w:space="0" w:color="auto"/>
      </w:divBdr>
    </w:div>
    <w:div w:id="927889877">
      <w:bodyDiv w:val="1"/>
      <w:marLeft w:val="0"/>
      <w:marRight w:val="0"/>
      <w:marTop w:val="0"/>
      <w:marBottom w:val="0"/>
      <w:divBdr>
        <w:top w:val="none" w:sz="0" w:space="0" w:color="auto"/>
        <w:left w:val="none" w:sz="0" w:space="0" w:color="auto"/>
        <w:bottom w:val="none" w:sz="0" w:space="0" w:color="auto"/>
        <w:right w:val="none" w:sz="0" w:space="0" w:color="auto"/>
      </w:divBdr>
    </w:div>
    <w:div w:id="932663415">
      <w:bodyDiv w:val="1"/>
      <w:marLeft w:val="0"/>
      <w:marRight w:val="0"/>
      <w:marTop w:val="0"/>
      <w:marBottom w:val="0"/>
      <w:divBdr>
        <w:top w:val="none" w:sz="0" w:space="0" w:color="auto"/>
        <w:left w:val="none" w:sz="0" w:space="0" w:color="auto"/>
        <w:bottom w:val="none" w:sz="0" w:space="0" w:color="auto"/>
        <w:right w:val="none" w:sz="0" w:space="0" w:color="auto"/>
      </w:divBdr>
    </w:div>
    <w:div w:id="944583377">
      <w:bodyDiv w:val="1"/>
      <w:marLeft w:val="0"/>
      <w:marRight w:val="0"/>
      <w:marTop w:val="0"/>
      <w:marBottom w:val="0"/>
      <w:divBdr>
        <w:top w:val="none" w:sz="0" w:space="0" w:color="auto"/>
        <w:left w:val="none" w:sz="0" w:space="0" w:color="auto"/>
        <w:bottom w:val="none" w:sz="0" w:space="0" w:color="auto"/>
        <w:right w:val="none" w:sz="0" w:space="0" w:color="auto"/>
      </w:divBdr>
    </w:div>
    <w:div w:id="945237347">
      <w:bodyDiv w:val="1"/>
      <w:marLeft w:val="0"/>
      <w:marRight w:val="0"/>
      <w:marTop w:val="0"/>
      <w:marBottom w:val="0"/>
      <w:divBdr>
        <w:top w:val="none" w:sz="0" w:space="0" w:color="auto"/>
        <w:left w:val="none" w:sz="0" w:space="0" w:color="auto"/>
        <w:bottom w:val="none" w:sz="0" w:space="0" w:color="auto"/>
        <w:right w:val="none" w:sz="0" w:space="0" w:color="auto"/>
      </w:divBdr>
    </w:div>
    <w:div w:id="950480174">
      <w:bodyDiv w:val="1"/>
      <w:marLeft w:val="0"/>
      <w:marRight w:val="0"/>
      <w:marTop w:val="0"/>
      <w:marBottom w:val="0"/>
      <w:divBdr>
        <w:top w:val="none" w:sz="0" w:space="0" w:color="auto"/>
        <w:left w:val="none" w:sz="0" w:space="0" w:color="auto"/>
        <w:bottom w:val="none" w:sz="0" w:space="0" w:color="auto"/>
        <w:right w:val="none" w:sz="0" w:space="0" w:color="auto"/>
      </w:divBdr>
    </w:div>
    <w:div w:id="989214484">
      <w:bodyDiv w:val="1"/>
      <w:marLeft w:val="0"/>
      <w:marRight w:val="0"/>
      <w:marTop w:val="0"/>
      <w:marBottom w:val="0"/>
      <w:divBdr>
        <w:top w:val="none" w:sz="0" w:space="0" w:color="auto"/>
        <w:left w:val="none" w:sz="0" w:space="0" w:color="auto"/>
        <w:bottom w:val="none" w:sz="0" w:space="0" w:color="auto"/>
        <w:right w:val="none" w:sz="0" w:space="0" w:color="auto"/>
      </w:divBdr>
    </w:div>
    <w:div w:id="1001930498">
      <w:bodyDiv w:val="1"/>
      <w:marLeft w:val="0"/>
      <w:marRight w:val="0"/>
      <w:marTop w:val="0"/>
      <w:marBottom w:val="0"/>
      <w:divBdr>
        <w:top w:val="none" w:sz="0" w:space="0" w:color="auto"/>
        <w:left w:val="none" w:sz="0" w:space="0" w:color="auto"/>
        <w:bottom w:val="none" w:sz="0" w:space="0" w:color="auto"/>
        <w:right w:val="none" w:sz="0" w:space="0" w:color="auto"/>
      </w:divBdr>
    </w:div>
    <w:div w:id="1004093970">
      <w:bodyDiv w:val="1"/>
      <w:marLeft w:val="0"/>
      <w:marRight w:val="0"/>
      <w:marTop w:val="0"/>
      <w:marBottom w:val="0"/>
      <w:divBdr>
        <w:top w:val="none" w:sz="0" w:space="0" w:color="auto"/>
        <w:left w:val="none" w:sz="0" w:space="0" w:color="auto"/>
        <w:bottom w:val="none" w:sz="0" w:space="0" w:color="auto"/>
        <w:right w:val="none" w:sz="0" w:space="0" w:color="auto"/>
      </w:divBdr>
    </w:div>
    <w:div w:id="1014379635">
      <w:bodyDiv w:val="1"/>
      <w:marLeft w:val="0"/>
      <w:marRight w:val="0"/>
      <w:marTop w:val="0"/>
      <w:marBottom w:val="0"/>
      <w:divBdr>
        <w:top w:val="none" w:sz="0" w:space="0" w:color="auto"/>
        <w:left w:val="none" w:sz="0" w:space="0" w:color="auto"/>
        <w:bottom w:val="none" w:sz="0" w:space="0" w:color="auto"/>
        <w:right w:val="none" w:sz="0" w:space="0" w:color="auto"/>
      </w:divBdr>
    </w:div>
    <w:div w:id="1026831810">
      <w:bodyDiv w:val="1"/>
      <w:marLeft w:val="0"/>
      <w:marRight w:val="0"/>
      <w:marTop w:val="0"/>
      <w:marBottom w:val="0"/>
      <w:divBdr>
        <w:top w:val="none" w:sz="0" w:space="0" w:color="auto"/>
        <w:left w:val="none" w:sz="0" w:space="0" w:color="auto"/>
        <w:bottom w:val="none" w:sz="0" w:space="0" w:color="auto"/>
        <w:right w:val="none" w:sz="0" w:space="0" w:color="auto"/>
      </w:divBdr>
    </w:div>
    <w:div w:id="1034185687">
      <w:bodyDiv w:val="1"/>
      <w:marLeft w:val="0"/>
      <w:marRight w:val="0"/>
      <w:marTop w:val="0"/>
      <w:marBottom w:val="0"/>
      <w:divBdr>
        <w:top w:val="none" w:sz="0" w:space="0" w:color="auto"/>
        <w:left w:val="none" w:sz="0" w:space="0" w:color="auto"/>
        <w:bottom w:val="none" w:sz="0" w:space="0" w:color="auto"/>
        <w:right w:val="none" w:sz="0" w:space="0" w:color="auto"/>
      </w:divBdr>
    </w:div>
    <w:div w:id="1044914543">
      <w:bodyDiv w:val="1"/>
      <w:marLeft w:val="0"/>
      <w:marRight w:val="0"/>
      <w:marTop w:val="0"/>
      <w:marBottom w:val="0"/>
      <w:divBdr>
        <w:top w:val="none" w:sz="0" w:space="0" w:color="auto"/>
        <w:left w:val="none" w:sz="0" w:space="0" w:color="auto"/>
        <w:bottom w:val="none" w:sz="0" w:space="0" w:color="auto"/>
        <w:right w:val="none" w:sz="0" w:space="0" w:color="auto"/>
      </w:divBdr>
    </w:div>
    <w:div w:id="1053238958">
      <w:bodyDiv w:val="1"/>
      <w:marLeft w:val="0"/>
      <w:marRight w:val="0"/>
      <w:marTop w:val="0"/>
      <w:marBottom w:val="0"/>
      <w:divBdr>
        <w:top w:val="none" w:sz="0" w:space="0" w:color="auto"/>
        <w:left w:val="none" w:sz="0" w:space="0" w:color="auto"/>
        <w:bottom w:val="none" w:sz="0" w:space="0" w:color="auto"/>
        <w:right w:val="none" w:sz="0" w:space="0" w:color="auto"/>
      </w:divBdr>
    </w:div>
    <w:div w:id="1068304726">
      <w:bodyDiv w:val="1"/>
      <w:marLeft w:val="0"/>
      <w:marRight w:val="0"/>
      <w:marTop w:val="0"/>
      <w:marBottom w:val="0"/>
      <w:divBdr>
        <w:top w:val="none" w:sz="0" w:space="0" w:color="auto"/>
        <w:left w:val="none" w:sz="0" w:space="0" w:color="auto"/>
        <w:bottom w:val="none" w:sz="0" w:space="0" w:color="auto"/>
        <w:right w:val="none" w:sz="0" w:space="0" w:color="auto"/>
      </w:divBdr>
    </w:div>
    <w:div w:id="1069302661">
      <w:bodyDiv w:val="1"/>
      <w:marLeft w:val="0"/>
      <w:marRight w:val="0"/>
      <w:marTop w:val="0"/>
      <w:marBottom w:val="0"/>
      <w:divBdr>
        <w:top w:val="none" w:sz="0" w:space="0" w:color="auto"/>
        <w:left w:val="none" w:sz="0" w:space="0" w:color="auto"/>
        <w:bottom w:val="none" w:sz="0" w:space="0" w:color="auto"/>
        <w:right w:val="none" w:sz="0" w:space="0" w:color="auto"/>
      </w:divBdr>
    </w:div>
    <w:div w:id="1075476043">
      <w:bodyDiv w:val="1"/>
      <w:marLeft w:val="0"/>
      <w:marRight w:val="0"/>
      <w:marTop w:val="0"/>
      <w:marBottom w:val="0"/>
      <w:divBdr>
        <w:top w:val="none" w:sz="0" w:space="0" w:color="auto"/>
        <w:left w:val="none" w:sz="0" w:space="0" w:color="auto"/>
        <w:bottom w:val="none" w:sz="0" w:space="0" w:color="auto"/>
        <w:right w:val="none" w:sz="0" w:space="0" w:color="auto"/>
      </w:divBdr>
    </w:div>
    <w:div w:id="1084687970">
      <w:bodyDiv w:val="1"/>
      <w:marLeft w:val="0"/>
      <w:marRight w:val="0"/>
      <w:marTop w:val="0"/>
      <w:marBottom w:val="0"/>
      <w:divBdr>
        <w:top w:val="none" w:sz="0" w:space="0" w:color="auto"/>
        <w:left w:val="none" w:sz="0" w:space="0" w:color="auto"/>
        <w:bottom w:val="none" w:sz="0" w:space="0" w:color="auto"/>
        <w:right w:val="none" w:sz="0" w:space="0" w:color="auto"/>
      </w:divBdr>
    </w:div>
    <w:div w:id="1105225718">
      <w:bodyDiv w:val="1"/>
      <w:marLeft w:val="0"/>
      <w:marRight w:val="0"/>
      <w:marTop w:val="0"/>
      <w:marBottom w:val="0"/>
      <w:divBdr>
        <w:top w:val="none" w:sz="0" w:space="0" w:color="auto"/>
        <w:left w:val="none" w:sz="0" w:space="0" w:color="auto"/>
        <w:bottom w:val="none" w:sz="0" w:space="0" w:color="auto"/>
        <w:right w:val="none" w:sz="0" w:space="0" w:color="auto"/>
      </w:divBdr>
    </w:div>
    <w:div w:id="1112282115">
      <w:bodyDiv w:val="1"/>
      <w:marLeft w:val="0"/>
      <w:marRight w:val="0"/>
      <w:marTop w:val="0"/>
      <w:marBottom w:val="0"/>
      <w:divBdr>
        <w:top w:val="none" w:sz="0" w:space="0" w:color="auto"/>
        <w:left w:val="none" w:sz="0" w:space="0" w:color="auto"/>
        <w:bottom w:val="none" w:sz="0" w:space="0" w:color="auto"/>
        <w:right w:val="none" w:sz="0" w:space="0" w:color="auto"/>
      </w:divBdr>
    </w:div>
    <w:div w:id="1154373871">
      <w:bodyDiv w:val="1"/>
      <w:marLeft w:val="0"/>
      <w:marRight w:val="0"/>
      <w:marTop w:val="0"/>
      <w:marBottom w:val="0"/>
      <w:divBdr>
        <w:top w:val="none" w:sz="0" w:space="0" w:color="auto"/>
        <w:left w:val="none" w:sz="0" w:space="0" w:color="auto"/>
        <w:bottom w:val="none" w:sz="0" w:space="0" w:color="auto"/>
        <w:right w:val="none" w:sz="0" w:space="0" w:color="auto"/>
      </w:divBdr>
    </w:div>
    <w:div w:id="1155608376">
      <w:bodyDiv w:val="1"/>
      <w:marLeft w:val="0"/>
      <w:marRight w:val="0"/>
      <w:marTop w:val="0"/>
      <w:marBottom w:val="0"/>
      <w:divBdr>
        <w:top w:val="none" w:sz="0" w:space="0" w:color="auto"/>
        <w:left w:val="none" w:sz="0" w:space="0" w:color="auto"/>
        <w:bottom w:val="none" w:sz="0" w:space="0" w:color="auto"/>
        <w:right w:val="none" w:sz="0" w:space="0" w:color="auto"/>
      </w:divBdr>
    </w:div>
    <w:div w:id="1156333939">
      <w:bodyDiv w:val="1"/>
      <w:marLeft w:val="0"/>
      <w:marRight w:val="0"/>
      <w:marTop w:val="0"/>
      <w:marBottom w:val="0"/>
      <w:divBdr>
        <w:top w:val="none" w:sz="0" w:space="0" w:color="auto"/>
        <w:left w:val="none" w:sz="0" w:space="0" w:color="auto"/>
        <w:bottom w:val="none" w:sz="0" w:space="0" w:color="auto"/>
        <w:right w:val="none" w:sz="0" w:space="0" w:color="auto"/>
      </w:divBdr>
    </w:div>
    <w:div w:id="1163816375">
      <w:bodyDiv w:val="1"/>
      <w:marLeft w:val="0"/>
      <w:marRight w:val="0"/>
      <w:marTop w:val="0"/>
      <w:marBottom w:val="0"/>
      <w:divBdr>
        <w:top w:val="none" w:sz="0" w:space="0" w:color="auto"/>
        <w:left w:val="none" w:sz="0" w:space="0" w:color="auto"/>
        <w:bottom w:val="none" w:sz="0" w:space="0" w:color="auto"/>
        <w:right w:val="none" w:sz="0" w:space="0" w:color="auto"/>
      </w:divBdr>
    </w:div>
    <w:div w:id="1173910732">
      <w:bodyDiv w:val="1"/>
      <w:marLeft w:val="0"/>
      <w:marRight w:val="0"/>
      <w:marTop w:val="0"/>
      <w:marBottom w:val="0"/>
      <w:divBdr>
        <w:top w:val="none" w:sz="0" w:space="0" w:color="auto"/>
        <w:left w:val="none" w:sz="0" w:space="0" w:color="auto"/>
        <w:bottom w:val="none" w:sz="0" w:space="0" w:color="auto"/>
        <w:right w:val="none" w:sz="0" w:space="0" w:color="auto"/>
      </w:divBdr>
    </w:div>
    <w:div w:id="1175607766">
      <w:bodyDiv w:val="1"/>
      <w:marLeft w:val="0"/>
      <w:marRight w:val="0"/>
      <w:marTop w:val="0"/>
      <w:marBottom w:val="0"/>
      <w:divBdr>
        <w:top w:val="none" w:sz="0" w:space="0" w:color="auto"/>
        <w:left w:val="none" w:sz="0" w:space="0" w:color="auto"/>
        <w:bottom w:val="none" w:sz="0" w:space="0" w:color="auto"/>
        <w:right w:val="none" w:sz="0" w:space="0" w:color="auto"/>
      </w:divBdr>
    </w:div>
    <w:div w:id="1193761545">
      <w:bodyDiv w:val="1"/>
      <w:marLeft w:val="0"/>
      <w:marRight w:val="0"/>
      <w:marTop w:val="0"/>
      <w:marBottom w:val="0"/>
      <w:divBdr>
        <w:top w:val="none" w:sz="0" w:space="0" w:color="auto"/>
        <w:left w:val="none" w:sz="0" w:space="0" w:color="auto"/>
        <w:bottom w:val="none" w:sz="0" w:space="0" w:color="auto"/>
        <w:right w:val="none" w:sz="0" w:space="0" w:color="auto"/>
      </w:divBdr>
    </w:div>
    <w:div w:id="1210992449">
      <w:bodyDiv w:val="1"/>
      <w:marLeft w:val="0"/>
      <w:marRight w:val="0"/>
      <w:marTop w:val="0"/>
      <w:marBottom w:val="0"/>
      <w:divBdr>
        <w:top w:val="none" w:sz="0" w:space="0" w:color="auto"/>
        <w:left w:val="none" w:sz="0" w:space="0" w:color="auto"/>
        <w:bottom w:val="none" w:sz="0" w:space="0" w:color="auto"/>
        <w:right w:val="none" w:sz="0" w:space="0" w:color="auto"/>
      </w:divBdr>
    </w:div>
    <w:div w:id="1217472189">
      <w:bodyDiv w:val="1"/>
      <w:marLeft w:val="0"/>
      <w:marRight w:val="0"/>
      <w:marTop w:val="0"/>
      <w:marBottom w:val="0"/>
      <w:divBdr>
        <w:top w:val="none" w:sz="0" w:space="0" w:color="auto"/>
        <w:left w:val="none" w:sz="0" w:space="0" w:color="auto"/>
        <w:bottom w:val="none" w:sz="0" w:space="0" w:color="auto"/>
        <w:right w:val="none" w:sz="0" w:space="0" w:color="auto"/>
      </w:divBdr>
    </w:div>
    <w:div w:id="1248034521">
      <w:bodyDiv w:val="1"/>
      <w:marLeft w:val="0"/>
      <w:marRight w:val="0"/>
      <w:marTop w:val="0"/>
      <w:marBottom w:val="0"/>
      <w:divBdr>
        <w:top w:val="none" w:sz="0" w:space="0" w:color="auto"/>
        <w:left w:val="none" w:sz="0" w:space="0" w:color="auto"/>
        <w:bottom w:val="none" w:sz="0" w:space="0" w:color="auto"/>
        <w:right w:val="none" w:sz="0" w:space="0" w:color="auto"/>
      </w:divBdr>
    </w:div>
    <w:div w:id="1249844177">
      <w:bodyDiv w:val="1"/>
      <w:marLeft w:val="0"/>
      <w:marRight w:val="0"/>
      <w:marTop w:val="0"/>
      <w:marBottom w:val="0"/>
      <w:divBdr>
        <w:top w:val="none" w:sz="0" w:space="0" w:color="auto"/>
        <w:left w:val="none" w:sz="0" w:space="0" w:color="auto"/>
        <w:bottom w:val="none" w:sz="0" w:space="0" w:color="auto"/>
        <w:right w:val="none" w:sz="0" w:space="0" w:color="auto"/>
      </w:divBdr>
    </w:div>
    <w:div w:id="1273711874">
      <w:bodyDiv w:val="1"/>
      <w:marLeft w:val="0"/>
      <w:marRight w:val="0"/>
      <w:marTop w:val="0"/>
      <w:marBottom w:val="0"/>
      <w:divBdr>
        <w:top w:val="none" w:sz="0" w:space="0" w:color="auto"/>
        <w:left w:val="none" w:sz="0" w:space="0" w:color="auto"/>
        <w:bottom w:val="none" w:sz="0" w:space="0" w:color="auto"/>
        <w:right w:val="none" w:sz="0" w:space="0" w:color="auto"/>
      </w:divBdr>
    </w:div>
    <w:div w:id="1275406408">
      <w:bodyDiv w:val="1"/>
      <w:marLeft w:val="0"/>
      <w:marRight w:val="0"/>
      <w:marTop w:val="0"/>
      <w:marBottom w:val="0"/>
      <w:divBdr>
        <w:top w:val="none" w:sz="0" w:space="0" w:color="auto"/>
        <w:left w:val="none" w:sz="0" w:space="0" w:color="auto"/>
        <w:bottom w:val="none" w:sz="0" w:space="0" w:color="auto"/>
        <w:right w:val="none" w:sz="0" w:space="0" w:color="auto"/>
      </w:divBdr>
    </w:div>
    <w:div w:id="1276985142">
      <w:bodyDiv w:val="1"/>
      <w:marLeft w:val="0"/>
      <w:marRight w:val="0"/>
      <w:marTop w:val="0"/>
      <w:marBottom w:val="0"/>
      <w:divBdr>
        <w:top w:val="none" w:sz="0" w:space="0" w:color="auto"/>
        <w:left w:val="none" w:sz="0" w:space="0" w:color="auto"/>
        <w:bottom w:val="none" w:sz="0" w:space="0" w:color="auto"/>
        <w:right w:val="none" w:sz="0" w:space="0" w:color="auto"/>
      </w:divBdr>
    </w:div>
    <w:div w:id="1292325753">
      <w:bodyDiv w:val="1"/>
      <w:marLeft w:val="0"/>
      <w:marRight w:val="0"/>
      <w:marTop w:val="0"/>
      <w:marBottom w:val="0"/>
      <w:divBdr>
        <w:top w:val="none" w:sz="0" w:space="0" w:color="auto"/>
        <w:left w:val="none" w:sz="0" w:space="0" w:color="auto"/>
        <w:bottom w:val="none" w:sz="0" w:space="0" w:color="auto"/>
        <w:right w:val="none" w:sz="0" w:space="0" w:color="auto"/>
      </w:divBdr>
    </w:div>
    <w:div w:id="1303342938">
      <w:bodyDiv w:val="1"/>
      <w:marLeft w:val="0"/>
      <w:marRight w:val="0"/>
      <w:marTop w:val="0"/>
      <w:marBottom w:val="0"/>
      <w:divBdr>
        <w:top w:val="none" w:sz="0" w:space="0" w:color="auto"/>
        <w:left w:val="none" w:sz="0" w:space="0" w:color="auto"/>
        <w:bottom w:val="none" w:sz="0" w:space="0" w:color="auto"/>
        <w:right w:val="none" w:sz="0" w:space="0" w:color="auto"/>
      </w:divBdr>
    </w:div>
    <w:div w:id="1305574979">
      <w:bodyDiv w:val="1"/>
      <w:marLeft w:val="0"/>
      <w:marRight w:val="0"/>
      <w:marTop w:val="0"/>
      <w:marBottom w:val="0"/>
      <w:divBdr>
        <w:top w:val="none" w:sz="0" w:space="0" w:color="auto"/>
        <w:left w:val="none" w:sz="0" w:space="0" w:color="auto"/>
        <w:bottom w:val="none" w:sz="0" w:space="0" w:color="auto"/>
        <w:right w:val="none" w:sz="0" w:space="0" w:color="auto"/>
      </w:divBdr>
    </w:div>
    <w:div w:id="1307509538">
      <w:bodyDiv w:val="1"/>
      <w:marLeft w:val="0"/>
      <w:marRight w:val="0"/>
      <w:marTop w:val="0"/>
      <w:marBottom w:val="0"/>
      <w:divBdr>
        <w:top w:val="none" w:sz="0" w:space="0" w:color="auto"/>
        <w:left w:val="none" w:sz="0" w:space="0" w:color="auto"/>
        <w:bottom w:val="none" w:sz="0" w:space="0" w:color="auto"/>
        <w:right w:val="none" w:sz="0" w:space="0" w:color="auto"/>
      </w:divBdr>
    </w:div>
    <w:div w:id="1316910603">
      <w:bodyDiv w:val="1"/>
      <w:marLeft w:val="0"/>
      <w:marRight w:val="0"/>
      <w:marTop w:val="0"/>
      <w:marBottom w:val="0"/>
      <w:divBdr>
        <w:top w:val="none" w:sz="0" w:space="0" w:color="auto"/>
        <w:left w:val="none" w:sz="0" w:space="0" w:color="auto"/>
        <w:bottom w:val="none" w:sz="0" w:space="0" w:color="auto"/>
        <w:right w:val="none" w:sz="0" w:space="0" w:color="auto"/>
      </w:divBdr>
    </w:div>
    <w:div w:id="1348825743">
      <w:bodyDiv w:val="1"/>
      <w:marLeft w:val="0"/>
      <w:marRight w:val="0"/>
      <w:marTop w:val="0"/>
      <w:marBottom w:val="0"/>
      <w:divBdr>
        <w:top w:val="none" w:sz="0" w:space="0" w:color="auto"/>
        <w:left w:val="none" w:sz="0" w:space="0" w:color="auto"/>
        <w:bottom w:val="none" w:sz="0" w:space="0" w:color="auto"/>
        <w:right w:val="none" w:sz="0" w:space="0" w:color="auto"/>
      </w:divBdr>
    </w:div>
    <w:div w:id="1354648481">
      <w:bodyDiv w:val="1"/>
      <w:marLeft w:val="0"/>
      <w:marRight w:val="0"/>
      <w:marTop w:val="0"/>
      <w:marBottom w:val="0"/>
      <w:divBdr>
        <w:top w:val="none" w:sz="0" w:space="0" w:color="auto"/>
        <w:left w:val="none" w:sz="0" w:space="0" w:color="auto"/>
        <w:bottom w:val="none" w:sz="0" w:space="0" w:color="auto"/>
        <w:right w:val="none" w:sz="0" w:space="0" w:color="auto"/>
      </w:divBdr>
    </w:div>
    <w:div w:id="1366757765">
      <w:bodyDiv w:val="1"/>
      <w:marLeft w:val="0"/>
      <w:marRight w:val="0"/>
      <w:marTop w:val="0"/>
      <w:marBottom w:val="0"/>
      <w:divBdr>
        <w:top w:val="none" w:sz="0" w:space="0" w:color="auto"/>
        <w:left w:val="none" w:sz="0" w:space="0" w:color="auto"/>
        <w:bottom w:val="none" w:sz="0" w:space="0" w:color="auto"/>
        <w:right w:val="none" w:sz="0" w:space="0" w:color="auto"/>
      </w:divBdr>
    </w:div>
    <w:div w:id="1369062497">
      <w:bodyDiv w:val="1"/>
      <w:marLeft w:val="0"/>
      <w:marRight w:val="0"/>
      <w:marTop w:val="0"/>
      <w:marBottom w:val="0"/>
      <w:divBdr>
        <w:top w:val="none" w:sz="0" w:space="0" w:color="auto"/>
        <w:left w:val="none" w:sz="0" w:space="0" w:color="auto"/>
        <w:bottom w:val="none" w:sz="0" w:space="0" w:color="auto"/>
        <w:right w:val="none" w:sz="0" w:space="0" w:color="auto"/>
      </w:divBdr>
    </w:div>
    <w:div w:id="1387101491">
      <w:bodyDiv w:val="1"/>
      <w:marLeft w:val="0"/>
      <w:marRight w:val="0"/>
      <w:marTop w:val="0"/>
      <w:marBottom w:val="0"/>
      <w:divBdr>
        <w:top w:val="none" w:sz="0" w:space="0" w:color="auto"/>
        <w:left w:val="none" w:sz="0" w:space="0" w:color="auto"/>
        <w:bottom w:val="none" w:sz="0" w:space="0" w:color="auto"/>
        <w:right w:val="none" w:sz="0" w:space="0" w:color="auto"/>
      </w:divBdr>
    </w:div>
    <w:div w:id="1404372721">
      <w:bodyDiv w:val="1"/>
      <w:marLeft w:val="0"/>
      <w:marRight w:val="0"/>
      <w:marTop w:val="0"/>
      <w:marBottom w:val="0"/>
      <w:divBdr>
        <w:top w:val="none" w:sz="0" w:space="0" w:color="auto"/>
        <w:left w:val="none" w:sz="0" w:space="0" w:color="auto"/>
        <w:bottom w:val="none" w:sz="0" w:space="0" w:color="auto"/>
        <w:right w:val="none" w:sz="0" w:space="0" w:color="auto"/>
      </w:divBdr>
    </w:div>
    <w:div w:id="1406148011">
      <w:bodyDiv w:val="1"/>
      <w:marLeft w:val="0"/>
      <w:marRight w:val="0"/>
      <w:marTop w:val="0"/>
      <w:marBottom w:val="0"/>
      <w:divBdr>
        <w:top w:val="none" w:sz="0" w:space="0" w:color="auto"/>
        <w:left w:val="none" w:sz="0" w:space="0" w:color="auto"/>
        <w:bottom w:val="none" w:sz="0" w:space="0" w:color="auto"/>
        <w:right w:val="none" w:sz="0" w:space="0" w:color="auto"/>
      </w:divBdr>
    </w:div>
    <w:div w:id="1421483348">
      <w:bodyDiv w:val="1"/>
      <w:marLeft w:val="0"/>
      <w:marRight w:val="0"/>
      <w:marTop w:val="0"/>
      <w:marBottom w:val="0"/>
      <w:divBdr>
        <w:top w:val="none" w:sz="0" w:space="0" w:color="auto"/>
        <w:left w:val="none" w:sz="0" w:space="0" w:color="auto"/>
        <w:bottom w:val="none" w:sz="0" w:space="0" w:color="auto"/>
        <w:right w:val="none" w:sz="0" w:space="0" w:color="auto"/>
      </w:divBdr>
    </w:div>
    <w:div w:id="1475103521">
      <w:bodyDiv w:val="1"/>
      <w:marLeft w:val="0"/>
      <w:marRight w:val="0"/>
      <w:marTop w:val="0"/>
      <w:marBottom w:val="0"/>
      <w:divBdr>
        <w:top w:val="none" w:sz="0" w:space="0" w:color="auto"/>
        <w:left w:val="none" w:sz="0" w:space="0" w:color="auto"/>
        <w:bottom w:val="none" w:sz="0" w:space="0" w:color="auto"/>
        <w:right w:val="none" w:sz="0" w:space="0" w:color="auto"/>
      </w:divBdr>
    </w:div>
    <w:div w:id="1504931108">
      <w:bodyDiv w:val="1"/>
      <w:marLeft w:val="0"/>
      <w:marRight w:val="0"/>
      <w:marTop w:val="0"/>
      <w:marBottom w:val="0"/>
      <w:divBdr>
        <w:top w:val="none" w:sz="0" w:space="0" w:color="auto"/>
        <w:left w:val="none" w:sz="0" w:space="0" w:color="auto"/>
        <w:bottom w:val="none" w:sz="0" w:space="0" w:color="auto"/>
        <w:right w:val="none" w:sz="0" w:space="0" w:color="auto"/>
      </w:divBdr>
    </w:div>
    <w:div w:id="1523590113">
      <w:bodyDiv w:val="1"/>
      <w:marLeft w:val="0"/>
      <w:marRight w:val="0"/>
      <w:marTop w:val="0"/>
      <w:marBottom w:val="0"/>
      <w:divBdr>
        <w:top w:val="none" w:sz="0" w:space="0" w:color="auto"/>
        <w:left w:val="none" w:sz="0" w:space="0" w:color="auto"/>
        <w:bottom w:val="none" w:sz="0" w:space="0" w:color="auto"/>
        <w:right w:val="none" w:sz="0" w:space="0" w:color="auto"/>
      </w:divBdr>
    </w:div>
    <w:div w:id="1535540315">
      <w:bodyDiv w:val="1"/>
      <w:marLeft w:val="0"/>
      <w:marRight w:val="0"/>
      <w:marTop w:val="0"/>
      <w:marBottom w:val="0"/>
      <w:divBdr>
        <w:top w:val="none" w:sz="0" w:space="0" w:color="auto"/>
        <w:left w:val="none" w:sz="0" w:space="0" w:color="auto"/>
        <w:bottom w:val="none" w:sz="0" w:space="0" w:color="auto"/>
        <w:right w:val="none" w:sz="0" w:space="0" w:color="auto"/>
      </w:divBdr>
    </w:div>
    <w:div w:id="1537615759">
      <w:bodyDiv w:val="1"/>
      <w:marLeft w:val="0"/>
      <w:marRight w:val="0"/>
      <w:marTop w:val="0"/>
      <w:marBottom w:val="0"/>
      <w:divBdr>
        <w:top w:val="none" w:sz="0" w:space="0" w:color="auto"/>
        <w:left w:val="none" w:sz="0" w:space="0" w:color="auto"/>
        <w:bottom w:val="none" w:sz="0" w:space="0" w:color="auto"/>
        <w:right w:val="none" w:sz="0" w:space="0" w:color="auto"/>
      </w:divBdr>
    </w:div>
    <w:div w:id="1569073748">
      <w:bodyDiv w:val="1"/>
      <w:marLeft w:val="0"/>
      <w:marRight w:val="0"/>
      <w:marTop w:val="0"/>
      <w:marBottom w:val="0"/>
      <w:divBdr>
        <w:top w:val="none" w:sz="0" w:space="0" w:color="auto"/>
        <w:left w:val="none" w:sz="0" w:space="0" w:color="auto"/>
        <w:bottom w:val="none" w:sz="0" w:space="0" w:color="auto"/>
        <w:right w:val="none" w:sz="0" w:space="0" w:color="auto"/>
      </w:divBdr>
    </w:div>
    <w:div w:id="1572231065">
      <w:bodyDiv w:val="1"/>
      <w:marLeft w:val="0"/>
      <w:marRight w:val="0"/>
      <w:marTop w:val="0"/>
      <w:marBottom w:val="0"/>
      <w:divBdr>
        <w:top w:val="none" w:sz="0" w:space="0" w:color="auto"/>
        <w:left w:val="none" w:sz="0" w:space="0" w:color="auto"/>
        <w:bottom w:val="none" w:sz="0" w:space="0" w:color="auto"/>
        <w:right w:val="none" w:sz="0" w:space="0" w:color="auto"/>
      </w:divBdr>
    </w:div>
    <w:div w:id="1598177686">
      <w:bodyDiv w:val="1"/>
      <w:marLeft w:val="0"/>
      <w:marRight w:val="0"/>
      <w:marTop w:val="0"/>
      <w:marBottom w:val="0"/>
      <w:divBdr>
        <w:top w:val="none" w:sz="0" w:space="0" w:color="auto"/>
        <w:left w:val="none" w:sz="0" w:space="0" w:color="auto"/>
        <w:bottom w:val="none" w:sz="0" w:space="0" w:color="auto"/>
        <w:right w:val="none" w:sz="0" w:space="0" w:color="auto"/>
      </w:divBdr>
    </w:div>
    <w:div w:id="1600092483">
      <w:bodyDiv w:val="1"/>
      <w:marLeft w:val="0"/>
      <w:marRight w:val="0"/>
      <w:marTop w:val="0"/>
      <w:marBottom w:val="0"/>
      <w:divBdr>
        <w:top w:val="none" w:sz="0" w:space="0" w:color="auto"/>
        <w:left w:val="none" w:sz="0" w:space="0" w:color="auto"/>
        <w:bottom w:val="none" w:sz="0" w:space="0" w:color="auto"/>
        <w:right w:val="none" w:sz="0" w:space="0" w:color="auto"/>
      </w:divBdr>
    </w:div>
    <w:div w:id="1600288005">
      <w:bodyDiv w:val="1"/>
      <w:marLeft w:val="0"/>
      <w:marRight w:val="0"/>
      <w:marTop w:val="0"/>
      <w:marBottom w:val="0"/>
      <w:divBdr>
        <w:top w:val="none" w:sz="0" w:space="0" w:color="auto"/>
        <w:left w:val="none" w:sz="0" w:space="0" w:color="auto"/>
        <w:bottom w:val="none" w:sz="0" w:space="0" w:color="auto"/>
        <w:right w:val="none" w:sz="0" w:space="0" w:color="auto"/>
      </w:divBdr>
    </w:div>
    <w:div w:id="1613391690">
      <w:bodyDiv w:val="1"/>
      <w:marLeft w:val="0"/>
      <w:marRight w:val="0"/>
      <w:marTop w:val="0"/>
      <w:marBottom w:val="0"/>
      <w:divBdr>
        <w:top w:val="none" w:sz="0" w:space="0" w:color="auto"/>
        <w:left w:val="none" w:sz="0" w:space="0" w:color="auto"/>
        <w:bottom w:val="none" w:sz="0" w:space="0" w:color="auto"/>
        <w:right w:val="none" w:sz="0" w:space="0" w:color="auto"/>
      </w:divBdr>
    </w:div>
    <w:div w:id="1637833687">
      <w:bodyDiv w:val="1"/>
      <w:marLeft w:val="0"/>
      <w:marRight w:val="0"/>
      <w:marTop w:val="0"/>
      <w:marBottom w:val="0"/>
      <w:divBdr>
        <w:top w:val="none" w:sz="0" w:space="0" w:color="auto"/>
        <w:left w:val="none" w:sz="0" w:space="0" w:color="auto"/>
        <w:bottom w:val="none" w:sz="0" w:space="0" w:color="auto"/>
        <w:right w:val="none" w:sz="0" w:space="0" w:color="auto"/>
      </w:divBdr>
    </w:div>
    <w:div w:id="1654286450">
      <w:bodyDiv w:val="1"/>
      <w:marLeft w:val="0"/>
      <w:marRight w:val="0"/>
      <w:marTop w:val="0"/>
      <w:marBottom w:val="0"/>
      <w:divBdr>
        <w:top w:val="none" w:sz="0" w:space="0" w:color="auto"/>
        <w:left w:val="none" w:sz="0" w:space="0" w:color="auto"/>
        <w:bottom w:val="none" w:sz="0" w:space="0" w:color="auto"/>
        <w:right w:val="none" w:sz="0" w:space="0" w:color="auto"/>
      </w:divBdr>
    </w:div>
    <w:div w:id="1657417434">
      <w:bodyDiv w:val="1"/>
      <w:marLeft w:val="0"/>
      <w:marRight w:val="0"/>
      <w:marTop w:val="0"/>
      <w:marBottom w:val="0"/>
      <w:divBdr>
        <w:top w:val="none" w:sz="0" w:space="0" w:color="auto"/>
        <w:left w:val="none" w:sz="0" w:space="0" w:color="auto"/>
        <w:bottom w:val="none" w:sz="0" w:space="0" w:color="auto"/>
        <w:right w:val="none" w:sz="0" w:space="0" w:color="auto"/>
      </w:divBdr>
    </w:div>
    <w:div w:id="1664578322">
      <w:bodyDiv w:val="1"/>
      <w:marLeft w:val="0"/>
      <w:marRight w:val="0"/>
      <w:marTop w:val="0"/>
      <w:marBottom w:val="0"/>
      <w:divBdr>
        <w:top w:val="none" w:sz="0" w:space="0" w:color="auto"/>
        <w:left w:val="none" w:sz="0" w:space="0" w:color="auto"/>
        <w:bottom w:val="none" w:sz="0" w:space="0" w:color="auto"/>
        <w:right w:val="none" w:sz="0" w:space="0" w:color="auto"/>
      </w:divBdr>
    </w:div>
    <w:div w:id="1664627220">
      <w:bodyDiv w:val="1"/>
      <w:marLeft w:val="0"/>
      <w:marRight w:val="0"/>
      <w:marTop w:val="0"/>
      <w:marBottom w:val="0"/>
      <w:divBdr>
        <w:top w:val="none" w:sz="0" w:space="0" w:color="auto"/>
        <w:left w:val="none" w:sz="0" w:space="0" w:color="auto"/>
        <w:bottom w:val="none" w:sz="0" w:space="0" w:color="auto"/>
        <w:right w:val="none" w:sz="0" w:space="0" w:color="auto"/>
      </w:divBdr>
    </w:div>
    <w:div w:id="1697120596">
      <w:bodyDiv w:val="1"/>
      <w:marLeft w:val="0"/>
      <w:marRight w:val="0"/>
      <w:marTop w:val="0"/>
      <w:marBottom w:val="0"/>
      <w:divBdr>
        <w:top w:val="none" w:sz="0" w:space="0" w:color="auto"/>
        <w:left w:val="none" w:sz="0" w:space="0" w:color="auto"/>
        <w:bottom w:val="none" w:sz="0" w:space="0" w:color="auto"/>
        <w:right w:val="none" w:sz="0" w:space="0" w:color="auto"/>
      </w:divBdr>
    </w:div>
    <w:div w:id="1722243673">
      <w:bodyDiv w:val="1"/>
      <w:marLeft w:val="0"/>
      <w:marRight w:val="0"/>
      <w:marTop w:val="0"/>
      <w:marBottom w:val="0"/>
      <w:divBdr>
        <w:top w:val="none" w:sz="0" w:space="0" w:color="auto"/>
        <w:left w:val="none" w:sz="0" w:space="0" w:color="auto"/>
        <w:bottom w:val="none" w:sz="0" w:space="0" w:color="auto"/>
        <w:right w:val="none" w:sz="0" w:space="0" w:color="auto"/>
      </w:divBdr>
    </w:div>
    <w:div w:id="1739016439">
      <w:bodyDiv w:val="1"/>
      <w:marLeft w:val="0"/>
      <w:marRight w:val="0"/>
      <w:marTop w:val="0"/>
      <w:marBottom w:val="0"/>
      <w:divBdr>
        <w:top w:val="none" w:sz="0" w:space="0" w:color="auto"/>
        <w:left w:val="none" w:sz="0" w:space="0" w:color="auto"/>
        <w:bottom w:val="none" w:sz="0" w:space="0" w:color="auto"/>
        <w:right w:val="none" w:sz="0" w:space="0" w:color="auto"/>
      </w:divBdr>
    </w:div>
    <w:div w:id="1756515141">
      <w:bodyDiv w:val="1"/>
      <w:marLeft w:val="0"/>
      <w:marRight w:val="0"/>
      <w:marTop w:val="0"/>
      <w:marBottom w:val="0"/>
      <w:divBdr>
        <w:top w:val="none" w:sz="0" w:space="0" w:color="auto"/>
        <w:left w:val="none" w:sz="0" w:space="0" w:color="auto"/>
        <w:bottom w:val="none" w:sz="0" w:space="0" w:color="auto"/>
        <w:right w:val="none" w:sz="0" w:space="0" w:color="auto"/>
      </w:divBdr>
    </w:div>
    <w:div w:id="1758289714">
      <w:bodyDiv w:val="1"/>
      <w:marLeft w:val="0"/>
      <w:marRight w:val="0"/>
      <w:marTop w:val="0"/>
      <w:marBottom w:val="0"/>
      <w:divBdr>
        <w:top w:val="none" w:sz="0" w:space="0" w:color="auto"/>
        <w:left w:val="none" w:sz="0" w:space="0" w:color="auto"/>
        <w:bottom w:val="none" w:sz="0" w:space="0" w:color="auto"/>
        <w:right w:val="none" w:sz="0" w:space="0" w:color="auto"/>
      </w:divBdr>
    </w:div>
    <w:div w:id="1761870115">
      <w:bodyDiv w:val="1"/>
      <w:marLeft w:val="0"/>
      <w:marRight w:val="0"/>
      <w:marTop w:val="0"/>
      <w:marBottom w:val="0"/>
      <w:divBdr>
        <w:top w:val="none" w:sz="0" w:space="0" w:color="auto"/>
        <w:left w:val="none" w:sz="0" w:space="0" w:color="auto"/>
        <w:bottom w:val="none" w:sz="0" w:space="0" w:color="auto"/>
        <w:right w:val="none" w:sz="0" w:space="0" w:color="auto"/>
      </w:divBdr>
    </w:div>
    <w:div w:id="1776558339">
      <w:bodyDiv w:val="1"/>
      <w:marLeft w:val="0"/>
      <w:marRight w:val="0"/>
      <w:marTop w:val="0"/>
      <w:marBottom w:val="0"/>
      <w:divBdr>
        <w:top w:val="none" w:sz="0" w:space="0" w:color="auto"/>
        <w:left w:val="none" w:sz="0" w:space="0" w:color="auto"/>
        <w:bottom w:val="none" w:sz="0" w:space="0" w:color="auto"/>
        <w:right w:val="none" w:sz="0" w:space="0" w:color="auto"/>
      </w:divBdr>
    </w:div>
    <w:div w:id="1780182403">
      <w:bodyDiv w:val="1"/>
      <w:marLeft w:val="0"/>
      <w:marRight w:val="0"/>
      <w:marTop w:val="0"/>
      <w:marBottom w:val="0"/>
      <w:divBdr>
        <w:top w:val="none" w:sz="0" w:space="0" w:color="auto"/>
        <w:left w:val="none" w:sz="0" w:space="0" w:color="auto"/>
        <w:bottom w:val="none" w:sz="0" w:space="0" w:color="auto"/>
        <w:right w:val="none" w:sz="0" w:space="0" w:color="auto"/>
      </w:divBdr>
    </w:div>
    <w:div w:id="1788549697">
      <w:bodyDiv w:val="1"/>
      <w:marLeft w:val="0"/>
      <w:marRight w:val="0"/>
      <w:marTop w:val="0"/>
      <w:marBottom w:val="0"/>
      <w:divBdr>
        <w:top w:val="none" w:sz="0" w:space="0" w:color="auto"/>
        <w:left w:val="none" w:sz="0" w:space="0" w:color="auto"/>
        <w:bottom w:val="none" w:sz="0" w:space="0" w:color="auto"/>
        <w:right w:val="none" w:sz="0" w:space="0" w:color="auto"/>
      </w:divBdr>
    </w:div>
    <w:div w:id="1814638195">
      <w:bodyDiv w:val="1"/>
      <w:marLeft w:val="0"/>
      <w:marRight w:val="0"/>
      <w:marTop w:val="0"/>
      <w:marBottom w:val="0"/>
      <w:divBdr>
        <w:top w:val="none" w:sz="0" w:space="0" w:color="auto"/>
        <w:left w:val="none" w:sz="0" w:space="0" w:color="auto"/>
        <w:bottom w:val="none" w:sz="0" w:space="0" w:color="auto"/>
        <w:right w:val="none" w:sz="0" w:space="0" w:color="auto"/>
      </w:divBdr>
    </w:div>
    <w:div w:id="1816216908">
      <w:bodyDiv w:val="1"/>
      <w:marLeft w:val="0"/>
      <w:marRight w:val="0"/>
      <w:marTop w:val="0"/>
      <w:marBottom w:val="0"/>
      <w:divBdr>
        <w:top w:val="none" w:sz="0" w:space="0" w:color="auto"/>
        <w:left w:val="none" w:sz="0" w:space="0" w:color="auto"/>
        <w:bottom w:val="none" w:sz="0" w:space="0" w:color="auto"/>
        <w:right w:val="none" w:sz="0" w:space="0" w:color="auto"/>
      </w:divBdr>
    </w:div>
    <w:div w:id="1843929658">
      <w:bodyDiv w:val="1"/>
      <w:marLeft w:val="0"/>
      <w:marRight w:val="0"/>
      <w:marTop w:val="0"/>
      <w:marBottom w:val="0"/>
      <w:divBdr>
        <w:top w:val="none" w:sz="0" w:space="0" w:color="auto"/>
        <w:left w:val="none" w:sz="0" w:space="0" w:color="auto"/>
        <w:bottom w:val="none" w:sz="0" w:space="0" w:color="auto"/>
        <w:right w:val="none" w:sz="0" w:space="0" w:color="auto"/>
      </w:divBdr>
    </w:div>
    <w:div w:id="1889950693">
      <w:bodyDiv w:val="1"/>
      <w:marLeft w:val="0"/>
      <w:marRight w:val="0"/>
      <w:marTop w:val="0"/>
      <w:marBottom w:val="0"/>
      <w:divBdr>
        <w:top w:val="none" w:sz="0" w:space="0" w:color="auto"/>
        <w:left w:val="none" w:sz="0" w:space="0" w:color="auto"/>
        <w:bottom w:val="none" w:sz="0" w:space="0" w:color="auto"/>
        <w:right w:val="none" w:sz="0" w:space="0" w:color="auto"/>
      </w:divBdr>
    </w:div>
    <w:div w:id="1912961783">
      <w:bodyDiv w:val="1"/>
      <w:marLeft w:val="0"/>
      <w:marRight w:val="0"/>
      <w:marTop w:val="0"/>
      <w:marBottom w:val="0"/>
      <w:divBdr>
        <w:top w:val="none" w:sz="0" w:space="0" w:color="auto"/>
        <w:left w:val="none" w:sz="0" w:space="0" w:color="auto"/>
        <w:bottom w:val="none" w:sz="0" w:space="0" w:color="auto"/>
        <w:right w:val="none" w:sz="0" w:space="0" w:color="auto"/>
      </w:divBdr>
    </w:div>
    <w:div w:id="1928883984">
      <w:bodyDiv w:val="1"/>
      <w:marLeft w:val="0"/>
      <w:marRight w:val="0"/>
      <w:marTop w:val="0"/>
      <w:marBottom w:val="0"/>
      <w:divBdr>
        <w:top w:val="none" w:sz="0" w:space="0" w:color="auto"/>
        <w:left w:val="none" w:sz="0" w:space="0" w:color="auto"/>
        <w:bottom w:val="none" w:sz="0" w:space="0" w:color="auto"/>
        <w:right w:val="none" w:sz="0" w:space="0" w:color="auto"/>
      </w:divBdr>
    </w:div>
    <w:div w:id="1930189544">
      <w:bodyDiv w:val="1"/>
      <w:marLeft w:val="0"/>
      <w:marRight w:val="0"/>
      <w:marTop w:val="0"/>
      <w:marBottom w:val="0"/>
      <w:divBdr>
        <w:top w:val="none" w:sz="0" w:space="0" w:color="auto"/>
        <w:left w:val="none" w:sz="0" w:space="0" w:color="auto"/>
        <w:bottom w:val="none" w:sz="0" w:space="0" w:color="auto"/>
        <w:right w:val="none" w:sz="0" w:space="0" w:color="auto"/>
      </w:divBdr>
    </w:div>
    <w:div w:id="1933195431">
      <w:bodyDiv w:val="1"/>
      <w:marLeft w:val="0"/>
      <w:marRight w:val="0"/>
      <w:marTop w:val="0"/>
      <w:marBottom w:val="0"/>
      <w:divBdr>
        <w:top w:val="none" w:sz="0" w:space="0" w:color="auto"/>
        <w:left w:val="none" w:sz="0" w:space="0" w:color="auto"/>
        <w:bottom w:val="none" w:sz="0" w:space="0" w:color="auto"/>
        <w:right w:val="none" w:sz="0" w:space="0" w:color="auto"/>
      </w:divBdr>
    </w:div>
    <w:div w:id="1955558915">
      <w:bodyDiv w:val="1"/>
      <w:marLeft w:val="0"/>
      <w:marRight w:val="0"/>
      <w:marTop w:val="0"/>
      <w:marBottom w:val="0"/>
      <w:divBdr>
        <w:top w:val="none" w:sz="0" w:space="0" w:color="auto"/>
        <w:left w:val="none" w:sz="0" w:space="0" w:color="auto"/>
        <w:bottom w:val="none" w:sz="0" w:space="0" w:color="auto"/>
        <w:right w:val="none" w:sz="0" w:space="0" w:color="auto"/>
      </w:divBdr>
    </w:div>
    <w:div w:id="1964725589">
      <w:bodyDiv w:val="1"/>
      <w:marLeft w:val="0"/>
      <w:marRight w:val="0"/>
      <w:marTop w:val="0"/>
      <w:marBottom w:val="0"/>
      <w:divBdr>
        <w:top w:val="none" w:sz="0" w:space="0" w:color="auto"/>
        <w:left w:val="none" w:sz="0" w:space="0" w:color="auto"/>
        <w:bottom w:val="none" w:sz="0" w:space="0" w:color="auto"/>
        <w:right w:val="none" w:sz="0" w:space="0" w:color="auto"/>
      </w:divBdr>
    </w:div>
    <w:div w:id="1969973185">
      <w:bodyDiv w:val="1"/>
      <w:marLeft w:val="0"/>
      <w:marRight w:val="0"/>
      <w:marTop w:val="0"/>
      <w:marBottom w:val="0"/>
      <w:divBdr>
        <w:top w:val="none" w:sz="0" w:space="0" w:color="auto"/>
        <w:left w:val="none" w:sz="0" w:space="0" w:color="auto"/>
        <w:bottom w:val="none" w:sz="0" w:space="0" w:color="auto"/>
        <w:right w:val="none" w:sz="0" w:space="0" w:color="auto"/>
      </w:divBdr>
    </w:div>
    <w:div w:id="1971784815">
      <w:bodyDiv w:val="1"/>
      <w:marLeft w:val="0"/>
      <w:marRight w:val="0"/>
      <w:marTop w:val="0"/>
      <w:marBottom w:val="0"/>
      <w:divBdr>
        <w:top w:val="none" w:sz="0" w:space="0" w:color="auto"/>
        <w:left w:val="none" w:sz="0" w:space="0" w:color="auto"/>
        <w:bottom w:val="none" w:sz="0" w:space="0" w:color="auto"/>
        <w:right w:val="none" w:sz="0" w:space="0" w:color="auto"/>
      </w:divBdr>
    </w:div>
    <w:div w:id="1972010913">
      <w:bodyDiv w:val="1"/>
      <w:marLeft w:val="0"/>
      <w:marRight w:val="0"/>
      <w:marTop w:val="0"/>
      <w:marBottom w:val="0"/>
      <w:divBdr>
        <w:top w:val="none" w:sz="0" w:space="0" w:color="auto"/>
        <w:left w:val="none" w:sz="0" w:space="0" w:color="auto"/>
        <w:bottom w:val="none" w:sz="0" w:space="0" w:color="auto"/>
        <w:right w:val="none" w:sz="0" w:space="0" w:color="auto"/>
      </w:divBdr>
    </w:div>
    <w:div w:id="1978681851">
      <w:bodyDiv w:val="1"/>
      <w:marLeft w:val="0"/>
      <w:marRight w:val="0"/>
      <w:marTop w:val="0"/>
      <w:marBottom w:val="0"/>
      <w:divBdr>
        <w:top w:val="none" w:sz="0" w:space="0" w:color="auto"/>
        <w:left w:val="none" w:sz="0" w:space="0" w:color="auto"/>
        <w:bottom w:val="none" w:sz="0" w:space="0" w:color="auto"/>
        <w:right w:val="none" w:sz="0" w:space="0" w:color="auto"/>
      </w:divBdr>
    </w:div>
    <w:div w:id="1989437476">
      <w:bodyDiv w:val="1"/>
      <w:marLeft w:val="0"/>
      <w:marRight w:val="0"/>
      <w:marTop w:val="0"/>
      <w:marBottom w:val="0"/>
      <w:divBdr>
        <w:top w:val="none" w:sz="0" w:space="0" w:color="auto"/>
        <w:left w:val="none" w:sz="0" w:space="0" w:color="auto"/>
        <w:bottom w:val="none" w:sz="0" w:space="0" w:color="auto"/>
        <w:right w:val="none" w:sz="0" w:space="0" w:color="auto"/>
      </w:divBdr>
    </w:div>
    <w:div w:id="1998145026">
      <w:bodyDiv w:val="1"/>
      <w:marLeft w:val="0"/>
      <w:marRight w:val="0"/>
      <w:marTop w:val="0"/>
      <w:marBottom w:val="0"/>
      <w:divBdr>
        <w:top w:val="none" w:sz="0" w:space="0" w:color="auto"/>
        <w:left w:val="none" w:sz="0" w:space="0" w:color="auto"/>
        <w:bottom w:val="none" w:sz="0" w:space="0" w:color="auto"/>
        <w:right w:val="none" w:sz="0" w:space="0" w:color="auto"/>
      </w:divBdr>
    </w:div>
    <w:div w:id="2001616418">
      <w:bodyDiv w:val="1"/>
      <w:marLeft w:val="0"/>
      <w:marRight w:val="0"/>
      <w:marTop w:val="0"/>
      <w:marBottom w:val="0"/>
      <w:divBdr>
        <w:top w:val="none" w:sz="0" w:space="0" w:color="auto"/>
        <w:left w:val="none" w:sz="0" w:space="0" w:color="auto"/>
        <w:bottom w:val="none" w:sz="0" w:space="0" w:color="auto"/>
        <w:right w:val="none" w:sz="0" w:space="0" w:color="auto"/>
      </w:divBdr>
    </w:div>
    <w:div w:id="2009360345">
      <w:bodyDiv w:val="1"/>
      <w:marLeft w:val="0"/>
      <w:marRight w:val="0"/>
      <w:marTop w:val="0"/>
      <w:marBottom w:val="0"/>
      <w:divBdr>
        <w:top w:val="none" w:sz="0" w:space="0" w:color="auto"/>
        <w:left w:val="none" w:sz="0" w:space="0" w:color="auto"/>
        <w:bottom w:val="none" w:sz="0" w:space="0" w:color="auto"/>
        <w:right w:val="none" w:sz="0" w:space="0" w:color="auto"/>
      </w:divBdr>
    </w:div>
    <w:div w:id="2042124444">
      <w:bodyDiv w:val="1"/>
      <w:marLeft w:val="0"/>
      <w:marRight w:val="0"/>
      <w:marTop w:val="0"/>
      <w:marBottom w:val="0"/>
      <w:divBdr>
        <w:top w:val="none" w:sz="0" w:space="0" w:color="auto"/>
        <w:left w:val="none" w:sz="0" w:space="0" w:color="auto"/>
        <w:bottom w:val="none" w:sz="0" w:space="0" w:color="auto"/>
        <w:right w:val="none" w:sz="0" w:space="0" w:color="auto"/>
      </w:divBdr>
    </w:div>
    <w:div w:id="2044360909">
      <w:bodyDiv w:val="1"/>
      <w:marLeft w:val="0"/>
      <w:marRight w:val="0"/>
      <w:marTop w:val="0"/>
      <w:marBottom w:val="0"/>
      <w:divBdr>
        <w:top w:val="none" w:sz="0" w:space="0" w:color="auto"/>
        <w:left w:val="none" w:sz="0" w:space="0" w:color="auto"/>
        <w:bottom w:val="none" w:sz="0" w:space="0" w:color="auto"/>
        <w:right w:val="none" w:sz="0" w:space="0" w:color="auto"/>
      </w:divBdr>
    </w:div>
    <w:div w:id="2055811522">
      <w:bodyDiv w:val="1"/>
      <w:marLeft w:val="0"/>
      <w:marRight w:val="0"/>
      <w:marTop w:val="0"/>
      <w:marBottom w:val="0"/>
      <w:divBdr>
        <w:top w:val="none" w:sz="0" w:space="0" w:color="auto"/>
        <w:left w:val="none" w:sz="0" w:space="0" w:color="auto"/>
        <w:bottom w:val="none" w:sz="0" w:space="0" w:color="auto"/>
        <w:right w:val="none" w:sz="0" w:space="0" w:color="auto"/>
      </w:divBdr>
    </w:div>
    <w:div w:id="2059429072">
      <w:bodyDiv w:val="1"/>
      <w:marLeft w:val="0"/>
      <w:marRight w:val="0"/>
      <w:marTop w:val="0"/>
      <w:marBottom w:val="0"/>
      <w:divBdr>
        <w:top w:val="none" w:sz="0" w:space="0" w:color="auto"/>
        <w:left w:val="none" w:sz="0" w:space="0" w:color="auto"/>
        <w:bottom w:val="none" w:sz="0" w:space="0" w:color="auto"/>
        <w:right w:val="none" w:sz="0" w:space="0" w:color="auto"/>
      </w:divBdr>
    </w:div>
    <w:div w:id="2074959390">
      <w:bodyDiv w:val="1"/>
      <w:marLeft w:val="0"/>
      <w:marRight w:val="0"/>
      <w:marTop w:val="0"/>
      <w:marBottom w:val="0"/>
      <w:divBdr>
        <w:top w:val="none" w:sz="0" w:space="0" w:color="auto"/>
        <w:left w:val="none" w:sz="0" w:space="0" w:color="auto"/>
        <w:bottom w:val="none" w:sz="0" w:space="0" w:color="auto"/>
        <w:right w:val="none" w:sz="0" w:space="0" w:color="auto"/>
      </w:divBdr>
    </w:div>
    <w:div w:id="2111974118">
      <w:bodyDiv w:val="1"/>
      <w:marLeft w:val="0"/>
      <w:marRight w:val="0"/>
      <w:marTop w:val="0"/>
      <w:marBottom w:val="0"/>
      <w:divBdr>
        <w:top w:val="none" w:sz="0" w:space="0" w:color="auto"/>
        <w:left w:val="none" w:sz="0" w:space="0" w:color="auto"/>
        <w:bottom w:val="none" w:sz="0" w:space="0" w:color="auto"/>
        <w:right w:val="none" w:sz="0" w:space="0" w:color="auto"/>
      </w:divBdr>
    </w:div>
    <w:div w:id="2117671684">
      <w:bodyDiv w:val="1"/>
      <w:marLeft w:val="0"/>
      <w:marRight w:val="0"/>
      <w:marTop w:val="0"/>
      <w:marBottom w:val="0"/>
      <w:divBdr>
        <w:top w:val="none" w:sz="0" w:space="0" w:color="auto"/>
        <w:left w:val="none" w:sz="0" w:space="0" w:color="auto"/>
        <w:bottom w:val="none" w:sz="0" w:space="0" w:color="auto"/>
        <w:right w:val="none" w:sz="0" w:space="0" w:color="auto"/>
      </w:divBdr>
    </w:div>
    <w:div w:id="2138375163">
      <w:bodyDiv w:val="1"/>
      <w:marLeft w:val="0"/>
      <w:marRight w:val="0"/>
      <w:marTop w:val="0"/>
      <w:marBottom w:val="0"/>
      <w:divBdr>
        <w:top w:val="none" w:sz="0" w:space="0" w:color="auto"/>
        <w:left w:val="none" w:sz="0" w:space="0" w:color="auto"/>
        <w:bottom w:val="none" w:sz="0" w:space="0" w:color="auto"/>
        <w:right w:val="none" w:sz="0" w:space="0" w:color="auto"/>
      </w:divBdr>
    </w:div>
    <w:div w:id="2143813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emf"/><Relationship Id="rId18" Type="http://schemas.openxmlformats.org/officeDocument/2006/relationships/image" Target="media/image10.emf"/><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9.emf"/><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image" Target="media/image11.emf"/><Relationship Id="rId4" Type="http://schemas.openxmlformats.org/officeDocument/2006/relationships/settings" Target="settings.xml"/><Relationship Id="rId9" Type="http://schemas.openxmlformats.org/officeDocument/2006/relationships/image" Target="about:blank" TargetMode="External"/><Relationship Id="rId14" Type="http://schemas.openxmlformats.org/officeDocument/2006/relationships/image" Target="media/image6.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Dav17</b:Tag>
    <b:SourceType>Book</b:SourceType>
    <b:Guid>{1BB83364-6CAB-4450-9D5B-CAA8A63AEE52}</b:Guid>
    <b:Title>Doing research in the business world</b:Title>
    <b:Year>2017</b:Year>
    <b:City>London</b:City>
    <b:Publisher>SAGE Publications Ltd</b:Publisher>
    <b:Author>
      <b:Author>
        <b:NameList>
          <b:Person>
            <b:Last>Gray</b:Last>
            <b:First>David</b:First>
            <b:Middle>E</b:Middle>
          </b:Person>
        </b:NameList>
      </b:Author>
    </b:Author>
    <b:RefOrder>32</b:RefOrder>
  </b:Source>
  <b:Source>
    <b:Tag>Smi06</b:Tag>
    <b:SourceType>Book</b:SourceType>
    <b:Guid>{07D653AC-0190-4128-93C9-0EAF24B22570}</b:Guid>
    <b:Author>
      <b:Author>
        <b:NameList>
          <b:Person>
            <b:Last>Smith</b:Last>
            <b:First>E</b:First>
          </b:Person>
        </b:NameList>
      </b:Author>
    </b:Author>
    <b:Title>Using secondary data in educational and social research</b:Title>
    <b:Year>2006</b:Year>
    <b:City>Maidenhead</b:City>
    <b:Publisher>Open University Press</b:Publisher>
    <b:RefOrder>57</b:RefOrder>
  </b:Source>
  <b:Source>
    <b:Tag>Hea98</b:Tag>
    <b:SourceType>Report</b:SourceType>
    <b:Guid>{ADE8722C-C142-49C4-AFB9-EC9E845A321C}</b:Guid>
    <b:Title>Secondary analysis of qualitative data</b:Title>
    <b:Year>1998</b:Year>
    <b:Author>
      <b:Author>
        <b:NameList>
          <b:Person>
            <b:Last>Heaton</b:Last>
            <b:First>J</b:First>
          </b:Person>
        </b:NameList>
      </b:Author>
    </b:Author>
    <b:Publisher>University of Surrey</b:Publisher>
    <b:RefOrder>58</b:RefOrder>
  </b:Source>
  <b:Source>
    <b:Tag>Lee2017</b:Tag>
    <b:SourceType>JournalArticle</b:SourceType>
    <b:Guid>{F7EBC01C-56A8-4C44-9B7C-6051D7201474}</b:Guid>
    <b:Title>Corporate governance and performance in Hong Kong founded family firms: evidence from the Hang Seng Composite Industry Index</b:Title>
    <b:Year>2017</b:Year>
    <b:JournalName>The Journal of Developing Areas</b:JournalName>
    <b:Pages>401-410</b:Pages>
    <b:Volume>51</b:Volume>
    <b:Issue>1</b:Issue>
    <b:Author>
      <b:Author>
        <b:NameList>
          <b:Person>
            <b:Last>Lee</b:Last>
            <b:First>Kim</b:First>
          </b:Person>
          <b:Person>
            <b:Last>Barnes</b:Last>
            <b:First>Lisa</b:First>
          </b:Person>
        </b:NameList>
      </b:Author>
    </b:Author>
    <b:RefOrder>59</b:RefOrder>
  </b:Source>
  <b:Source>
    <b:Tag>HangSengIndexes</b:Tag>
    <b:SourceType>InternetSite</b:SourceType>
    <b:Guid>{C0AC6802-87B2-4977-BCB1-41F56C50BEDD}</b:Guid>
    <b:Title>Hang Seng Indexes</b:Title>
    <b:YearAccessed>2020</b:YearAccessed>
    <b:MonthAccessed>Nov </b:MonthAccessed>
    <b:DayAccessed>18</b:DayAccessed>
    <b:URL>https://www.hsi.com.hk/eng/indexes/all-indexes/hsci</b:URL>
    <b:Author>
      <b:Author>
        <b:Corporate>Hang Seng Indexes</b:Corporate>
      </b:Author>
    </b:Author>
    <b:Year>2020</b:Year>
    <b:RefOrder>31</b:RefOrder>
  </b:Source>
  <b:Source>
    <b:Tag>Selvanathan</b:Tag>
    <b:SourceType>Book</b:SourceType>
    <b:Guid>{1C17A79F-BAE6-4B9C-9C28-A8E049D5DEB5}</b:Guid>
    <b:Title>Business statistics: Australia and New Zealand</b:Title>
    <b:Year>2011</b:Year>
    <b:Pages>407-411</b:Pages>
    <b:Author>
      <b:Author>
        <b:NameList>
          <b:Person>
            <b:Last>Selvanathan</b:Last>
            <b:Middle>A</b:Middle>
            <b:First>Eliyathamby</b:First>
          </b:Person>
          <b:Person>
            <b:Last>Selvanathan</b:Last>
            <b:First>Saroja</b:First>
          </b:Person>
        </b:NameList>
      </b:Author>
    </b:Author>
    <b:City>South Melbourne</b:City>
    <b:Publisher>Cengage Learning Australia</b:Publisher>
    <b:Edition>5</b:Edition>
    <b:RefOrder>60</b:RefOrder>
  </b:Source>
  <b:Source>
    <b:Tag>Bar01</b:Tag>
    <b:SourceType>JournalArticle</b:SourceType>
    <b:Guid>{1D5CACFC-2ACB-49E1-9C1A-E3F3F8F1F457}</b:Guid>
    <b:Title>Organizational research: Determining appropriate sample size in survey research</b:Title>
    <b:Year>2001</b:Year>
    <b:Author>
      <b:Author>
        <b:NameList>
          <b:Person>
            <b:Last>Bartlett</b:Last>
            <b:Middle>E</b:Middle>
            <b:First>J</b:First>
          </b:Person>
          <b:Person>
            <b:Last>Kotrlik</b:Last>
            <b:Middle>W</b:Middle>
            <b:First>J</b:First>
          </b:Person>
          <b:Person>
            <b:Last>Higgins</b:Last>
            <b:Middle>C</b:Middle>
            <b:First>C</b:First>
          </b:Person>
        </b:NameList>
      </b:Author>
    </b:Author>
    <b:JournalName>Information Technology, Learning, and Performance Journal</b:JournalName>
    <b:Pages>43-50</b:Pages>
    <b:Volume>19</b:Volume>
    <b:Issue>No. 1, Spring</b:Issue>
    <b:RefOrder>34</b:RefOrder>
  </b:Source>
  <b:Source>
    <b:Tag>OEC15</b:Tag>
    <b:SourceType>Book</b:SourceType>
    <b:Guid>{62064E91-8138-41C2-B386-53E5D3925497}</b:Guid>
    <b:Title>G20/OECD Principles of Corporate Governance</b:Title>
    <b:Year>2015</b:Year>
    <b:Author>
      <b:Author>
        <b:Corporate>Organisation for Economic Cooperation and Development</b:Corporate>
      </b:Author>
    </b:Author>
    <b:City>Paris</b:City>
    <b:Publisher>OECD Publishing</b:Publisher>
    <b:RefOrder>2</b:RefOrder>
  </b:Source>
  <b:Source>
    <b:Tag>Sak13</b:Tag>
    <b:SourceType>Book</b:SourceType>
    <b:Guid>{5FA82489-0D1C-4565-9BFD-DA7441E9613D}</b:Guid>
    <b:Author>
      <b:Author>
        <b:NameList>
          <b:Person>
            <b:Last>Sakaran</b:Last>
            <b:First>U</b:First>
          </b:Person>
          <b:Person>
            <b:Last>Bougie</b:Last>
            <b:First>R</b:First>
          </b:Person>
        </b:NameList>
      </b:Author>
    </b:Author>
    <b:Title>Research Methods for Business</b:Title>
    <b:Year>2013</b:Year>
    <b:City>Chichester</b:City>
    <b:Publisher>John Wiley &amp; Sons Ltd</b:Publisher>
    <b:Edition>6th edn</b:Edition>
    <b:RefOrder>40</b:RefOrder>
  </b:Source>
  <b:Source>
    <b:Tag>Won00</b:Tag>
    <b:SourceType>BookSection</b:SourceType>
    <b:Guid>{9E7353D8-D4E6-4806-98C9-F62B76DC507A}</b:Guid>
    <b:Title>Corporate governance in Hong Kong</b:Title>
    <b:Year>2000</b:Year>
    <b:Pages>143-153</b:Pages>
    <b:Author>
      <b:Author>
        <b:NameList>
          <b:Person>
            <b:Last>Wong</b:Last>
            <b:Middle>W K</b:Middle>
            <b:First>D</b:First>
          </b:Person>
          <b:Person>
            <b:Last>Yeung</b:Last>
            <b:Middle>S L</b:Middle>
            <b:First>P</b:First>
          </b:Person>
        </b:NameList>
      </b:Author>
      <b:Editor>
        <b:NameList>
          <b:Person>
            <b:Last>Lethbridge</b:Last>
            <b:Middle>G</b:Middle>
            <b:First>D</b:First>
          </b:Person>
          <b:Person>
            <b:Last>Ng</b:Last>
            <b:Middle>H</b:Middle>
            <b:First>S</b:First>
          </b:Person>
        </b:NameList>
      </b:Editor>
    </b:Author>
    <b:BookTitle>The Business Environment in Hong Kong</b:BookTitle>
    <b:City>Hong Kong</b:City>
    <b:Publisher>Oxford University Press (China) Limited</b:Publisher>
    <b:RefOrder>15</b:RefOrder>
  </b:Source>
  <b:Source>
    <b:Tag>Cha</b:Tag>
    <b:SourceType>JournalArticle</b:SourceType>
    <b:Guid>{BDCCB039-22AB-4791-9625-906A54B394AC}</b:Guid>
    <b:Author>
      <b:Author>
        <b:NameList>
          <b:Person>
            <b:Last>Chan</b:Last>
            <b:Middle>Y</b:Middle>
            <b:First>Siu</b:First>
          </b:Person>
          <b:Person>
            <b:Last>Lau</b:Last>
            <b:Middle>K L</b:Middle>
            <b:First>Alex</b:First>
          </b:Person>
        </b:NameList>
      </b:Author>
    </b:Author>
    <b:Title>Directors' attributes and corporate governance effectiveness in Hong Kong</b:Title>
    <b:JournalName>Asia Pacific Business Review</b:JournalName>
    <b:Year>2003</b:Year>
    <b:Pages>85-104</b:Pages>
    <b:Volume>9</b:Volume>
    <b:Issue>No. 3, Spring</b:Issue>
    <b:RefOrder>52</b:RefOrder>
  </b:Source>
  <b:Source>
    <b:Tag>Joh98</b:Tag>
    <b:SourceType>JournalArticle</b:SourceType>
    <b:Guid>{141EC693-5516-4BAD-8EED-6A5384DB372F}</b:Guid>
    <b:Title>Corporate governance and board effectiveness</b:Title>
    <b:JournalName>Journal of Banking &amp; Finance</b:JournalName>
    <b:Year>1998</b:Year>
    <b:Pages>371-403</b:Pages>
    <b:Volume>22</b:Volume>
    <b:Author>
      <b:Author>
        <b:NameList>
          <b:Person>
            <b:Last>John</b:Last>
            <b:First>Kose</b:First>
          </b:Person>
          <b:Person>
            <b:Last>Senbet</b:Last>
            <b:Middle>W</b:Middle>
            <b:First>Lemma</b:First>
          </b:Person>
        </b:NameList>
      </b:Author>
    </b:Author>
    <b:RefOrder>11</b:RefOrder>
  </b:Source>
  <b:Source>
    <b:Tag>Bar98</b:Tag>
    <b:SourceType>JournalArticle</b:SourceType>
    <b:Guid>{0BDB447A-AD78-4BEB-9901-7C08FD1B0927}</b:Guid>
    <b:Title>Board composition, managerial ownership, and firm performance: an empirical analysis</b:Title>
    <b:JournalName>The Financial Review</b:JournalName>
    <b:Year>1998</b:Year>
    <b:Pages>1-16</b:Pages>
    <b:Volume>33</b:Volume>
    <b:Author>
      <b:Author>
        <b:NameList>
          <b:Person>
            <b:Last>Barnhart </b:Last>
            <b:Middle>W</b:Middle>
            <b:First>Scott</b:First>
          </b:Person>
          <b:Person>
            <b:Last>Rosenstein</b:Last>
            <b:First>Stuart</b:First>
          </b:Person>
        </b:NameList>
      </b:Author>
    </b:Author>
    <b:RefOrder>61</b:RefOrder>
  </b:Source>
  <b:Source>
    <b:Tag>Her91</b:Tag>
    <b:SourceType>JournalArticle</b:SourceType>
    <b:Guid>{9D7C37F4-98DD-4C00-9C85-74461858B3AF}</b:Guid>
    <b:Title>The effects of board composition and direct incentives on firm performance</b:Title>
    <b:JournalName>Financial Management </b:JournalName>
    <b:Year>1991</b:Year>
    <b:Pages>101-112</b:Pages>
    <b:Issue>Winter</b:Issue>
    <b:Author>
      <b:Author>
        <b:NameList>
          <b:Person>
            <b:Last>Hermalin</b:Last>
            <b:Middle>E</b:Middle>
            <b:First>Benjamin</b:First>
          </b:Person>
          <b:Person>
            <b:Last>Weisbach</b:Last>
            <b:Middle>S</b:Middle>
            <b:First>Michael</b:First>
          </b:Person>
        </b:NameList>
      </b:Author>
    </b:Author>
    <b:RefOrder>62</b:RefOrder>
  </b:Source>
  <b:Source>
    <b:Tag>Lev11</b:Tag>
    <b:SourceType>Book</b:SourceType>
    <b:Guid>{2EB3093A-9FFE-46AD-8AD3-43D2BCD27A87}</b:Guid>
    <b:Title>Statistics for managers using microsoft excel</b:Title>
    <b:Year>2011</b:Year>
    <b:City>New Jersey</b:City>
    <b:Publisher>Peaarson Education Inc</b:Publisher>
    <b:Edition>6th edn</b:Edition>
    <b:Author>
      <b:Author>
        <b:NameList>
          <b:Person>
            <b:Last>Levine</b:Last>
            <b:Middle>M</b:Middle>
            <b:First>David</b:First>
          </b:Person>
          <b:Person>
            <b:Last>Stephan</b:Last>
            <b:Middle>F</b:Middle>
            <b:First>David </b:First>
          </b:Person>
          <b:Person>
            <b:Last>Krehbiel</b:Last>
            <b:Middle>C</b:Middle>
            <b:First>Timothy</b:First>
          </b:Person>
          <b:Person>
            <b:Last>Berenson</b:Last>
            <b:Middle>L</b:Middle>
            <b:First>Mark</b:First>
          </b:Person>
        </b:NameList>
      </b:Author>
    </b:Author>
    <b:RefOrder>33</b:RefOrder>
  </b:Source>
  <b:Source>
    <b:Tag>Sau16</b:Tag>
    <b:SourceType>Book</b:SourceType>
    <b:Guid>{9E9F7031-970D-4832-A6D8-0BEA1BF7F957}</b:Guid>
    <b:Title>Research methods for business students</b:Title>
    <b:Year>2016</b:Year>
    <b:City>Essex</b:City>
    <b:Publisher>Pearson Education Limited</b:Publisher>
    <b:Edition>7th edn</b:Edition>
    <b:Author>
      <b:Author>
        <b:NameList>
          <b:Person>
            <b:Last>Saunders</b:Last>
            <b:First>Mark</b:First>
          </b:Person>
          <b:Person>
            <b:Last>Lewis</b:Last>
            <b:First>Philip</b:First>
          </b:Person>
          <b:Person>
            <b:Last>Thornhill</b:Last>
            <b:First>Adrian</b:First>
          </b:Person>
        </b:NameList>
      </b:Author>
    </b:Author>
    <b:RefOrder>44</b:RefOrder>
  </b:Source>
  <b:Source>
    <b:Tag>Dee14</b:Tag>
    <b:SourceType>Book</b:SourceType>
    <b:Guid>{615DA238-5158-4426-AFF0-8BB970D41EE4}</b:Guid>
    <b:Title>Financial accounting theory</b:Title>
    <b:Year>2014</b:Year>
    <b:City>North Ryde</b:City>
    <b:Publisher>McGraw-Hill Education (Australia) Pty Ltd</b:Publisher>
    <b:Edition>4th edn</b:Edition>
    <b:Author>
      <b:Author>
        <b:NameList>
          <b:Person>
            <b:Last>Deegan</b:Last>
            <b:First>Craig</b:First>
          </b:Person>
        </b:NameList>
      </b:Author>
    </b:Author>
    <b:RefOrder>8</b:RefOrder>
  </b:Source>
  <b:Source>
    <b:Tag>Nor11</b:Tag>
    <b:SourceType>Book</b:SourceType>
    <b:Guid>{C13DF381-0E7C-4BAF-BB60-8EB1B0DE41F0}</b:Guid>
    <b:Title>Corporate governance principles and issues</b:Title>
    <b:Year>2011</b:Year>
    <b:City>London</b:City>
    <b:Publisher>SAGE Publications Ltd</b:Publisher>
    <b:Author>
      <b:Author>
        <b:NameList>
          <b:Person>
            <b:Last>Nordberg</b:Last>
            <b:First>Donald</b:First>
          </b:Person>
        </b:NameList>
      </b:Author>
    </b:Author>
    <b:RefOrder>35</b:RefOrder>
  </b:Source>
  <b:Source>
    <b:Tag>Yon09</b:Tag>
    <b:SourceType>Book</b:SourceType>
    <b:Guid>{8CACF72D-ADB3-4174-9CDF-E2AAA65F8C8F}</b:Guid>
    <b:Title>Lessons in corporate governance from the global financial crisis</b:Title>
    <b:Year>2009</b:Year>
    <b:City>North Ryde</b:City>
    <b:Publisher>CCH Australia Limited</b:Publisher>
    <b:Author>
      <b:Author>
        <b:NameList>
          <b:Person>
            <b:Last>Yong</b:Last>
            <b:First>Leonard</b:First>
          </b:Person>
        </b:NameList>
      </b:Author>
    </b:Author>
    <b:RefOrder>63</b:RefOrder>
  </b:Source>
  <b:Source>
    <b:Tag>Goo03</b:Tag>
    <b:SourceType>Book</b:SourceType>
    <b:Guid>{4C2B1161-A8C5-46B9-938B-245B616FE9FD}</b:Guid>
    <b:Title>Corporate governance the Hong Kong debate</b:Title>
    <b:Year>2003</b:Year>
    <b:City>Hong Kong</b:City>
    <b:Publisher>Sweet &amp; Maxwell Asia</b:Publisher>
    <b:Author>
      <b:Author>
        <b:NameList>
          <b:Person>
            <b:Last>Goo</b:Last>
            <b:Middle>H</b:Middle>
            <b:First>S</b:First>
          </b:Person>
          <b:Person>
            <b:Last>Carver</b:Last>
            <b:First>Anne</b:First>
          </b:Person>
        </b:NameList>
      </b:Author>
    </b:Author>
    <b:RefOrder>10</b:RefOrder>
  </b:Source>
  <b:Source>
    <b:Tag>Arc10</b:Tag>
    <b:SourceType>JournalArticle</b:SourceType>
    <b:Guid>{D91EDF58-6837-401D-818C-E815686C9CEE}</b:Guid>
    <b:Title>Corporate governance in the UK: is the comply or explain approach working?</b:Title>
    <b:JournalName>International Review of Law and Economics</b:JournalName>
    <b:Year>2010</b:Year>
    <b:Pages>193-201</b:Pages>
    <b:Volume>30</b:Volume>
    <b:Issue>2</b:Issue>
    <b:Author>
      <b:Author>
        <b:NameList>
          <b:Person>
            <b:Last>Arcot</b:Last>
            <b:First>Sridhar</b:First>
          </b:Person>
          <b:Person>
            <b:Last>Bruno</b:Last>
            <b:First>Valentina</b:First>
          </b:Person>
          <b:Person>
            <b:Last>Faure-Grimaud</b:Last>
            <b:First>Antoine</b:First>
          </b:Person>
        </b:NameList>
      </b:Author>
    </b:Author>
    <b:RefOrder>6</b:RefOrder>
  </b:Source>
  <b:Source>
    <b:Tag>Jen76</b:Tag>
    <b:SourceType>JournalArticle</b:SourceType>
    <b:Guid>{755CF06E-6711-4872-96C4-21CAF4985FDC}</b:Guid>
    <b:Title>Theory of the firm: managerial behaviour, agency costs and ownership structure</b:Title>
    <b:Year>1976</b:Year>
    <b:JournalName>Journal of Financial Economics</b:JournalName>
    <b:Pages>305-360</b:Pages>
    <b:Volume>3</b:Volume>
    <b:Issue>October</b:Issue>
    <b:Author>
      <b:Author>
        <b:NameList>
          <b:Person>
            <b:Last>Jensen</b:Last>
            <b:Middle>C</b:Middle>
            <b:First>Michael</b:First>
          </b:Person>
          <b:Person>
            <b:Last>Meckling</b:Last>
            <b:Middle>H</b:Middle>
            <b:First>William</b:First>
          </b:Person>
        </b:NameList>
      </b:Author>
    </b:Author>
    <b:RefOrder>9</b:RefOrder>
  </b:Source>
  <b:Source>
    <b:Tag>Zad07</b:Tag>
    <b:SourceType>JournalArticle</b:SourceType>
    <b:Guid>{327E1639-0AF0-44ED-B7FD-DD8775717298}</b:Guid>
    <b:Title>Mandatory requirements, voluntary rules and 'please explain': a corporate governance quagmire</b:Title>
    <b:JournalName>Deakin Law Review</b:JournalName>
    <b:Year>2007</b:Year>
    <b:Pages>23-39</b:Pages>
    <b:Volume>12</b:Volume>
    <b:Issue>2</b:Issue>
    <b:Author>
      <b:Author>
        <b:NameList>
          <b:Person>
            <b:Last>Zadkovich</b:Last>
            <b:First>John</b:First>
          </b:Person>
        </b:NameList>
      </b:Author>
    </b:Author>
    <b:RefOrder>30</b:RefOrder>
  </b:Source>
  <b:Source>
    <b:Tag>Bla99</b:Tag>
    <b:SourceType>Book</b:SourceType>
    <b:Guid>{DB5850C4-04F4-42EE-853A-483C39D27FE6}</b:Guid>
    <b:Title>Doing quantitative research</b:Title>
    <b:Year>1999</b:Year>
    <b:Publisher>Sage</b:Publisher>
    <b:City>London</b:City>
    <b:Author>
      <b:Author>
        <b:NameList>
          <b:Person>
            <b:Last>Black</b:Last>
            <b:Middle>R</b:Middle>
            <b:First>Thomas</b:First>
          </b:Person>
        </b:NameList>
      </b:Author>
    </b:Author>
    <b:RefOrder>64</b:RefOrder>
  </b:Source>
  <b:Source>
    <b:Tag>Pie11</b:Tag>
    <b:SourceType>BookSection</b:SourceType>
    <b:Guid>{0158B7A3-72F7-4CD9-9777-D74E20DF6F9D}</b:Guid>
    <b:Title>A data analysis primer</b:Title>
    <b:Year>2011</b:Year>
    <b:Author>
      <b:Author>
        <b:NameList>
          <b:Person>
            <b:Last>Pierce</b:Last>
            <b:Middle>L</b:Middle>
            <b:First>Jon</b:First>
          </b:Person>
          <b:Person>
            <b:Last>Gardner</b:Last>
            <b:Middle>G</b:Middle>
            <b:First>Donald</b:First>
          </b:Person>
        </b:NameList>
      </b:Author>
      <b:Editor>
        <b:NameList>
          <b:Person>
            <b:Last>Pierce</b:Last>
            <b:Middle>L</b:Middle>
            <b:First>John</b:First>
          </b:Person>
          <b:Person>
            <b:Last>Newstrom</b:Last>
            <b:Middle>W</b:Middle>
            <b:First>John</b:First>
          </b:Person>
        </b:NameList>
      </b:Editor>
    </b:Author>
    <b:BookTitle>Leaders and the Leadership Process</b:BookTitle>
    <b:City>New York</b:City>
    <b:Publisher>McGraw-Hill/Irwin</b:Publisher>
    <b:RefOrder>39</b:RefOrder>
  </b:Source>
  <b:Source>
    <b:Tag>Kum15</b:Tag>
    <b:SourceType>JournalArticle</b:SourceType>
    <b:Guid>{F498D5CF-2B14-467B-A263-C25C6940144A}</b:Guid>
    <b:Title>Review of the steps for development of quantitative research tools</b:Title>
    <b:Year>2015</b:Year>
    <b:Pages>1-4</b:Pages>
    <b:JournalName>Journal of Advanced Practices in Nursing</b:JournalName>
    <b:Volume>1</b:Volume>
    <b:Issue>1</b:Issue>
    <b:Author>
      <b:Author>
        <b:NameList>
          <b:Person>
            <b:Last>Kumar</b:Last>
            <b:First>Ashok</b:First>
          </b:Person>
        </b:NameList>
      </b:Author>
    </b:Author>
    <b:RefOrder>49</b:RefOrder>
  </b:Source>
  <b:Source>
    <b:Tag>DeV03</b:Tag>
    <b:SourceType>Book</b:SourceType>
    <b:Guid>{13CA8B98-42F1-4D53-B93A-135139B8F61B}</b:Guid>
    <b:Title>Scale development theory and application</b:Title>
    <b:Year>2003</b:Year>
    <b:Author>
      <b:Author>
        <b:NameList>
          <b:Person>
            <b:Last>DeVellis</b:Last>
            <b:Middle>F</b:Middle>
            <b:First>Robert</b:First>
          </b:Person>
        </b:NameList>
      </b:Author>
    </b:Author>
    <b:City>California</b:City>
    <b:Publisher>SAGE Publications</b:Publisher>
    <b:Edition>2nd edn</b:Edition>
    <b:RefOrder>48</b:RefOrder>
  </b:Source>
  <b:Source>
    <b:Tag>Lam12</b:Tag>
    <b:SourceType>JournalArticle</b:SourceType>
    <b:Guid>{E2AD928C-3E6B-4581-95B2-10CBD434231B}</b:Guid>
    <b:Title>Empirical evidence on the link between compliance with governance of best practice and firms' operating results</b:Title>
    <b:Year>2012</b:Year>
    <b:JournalName>Australasian Accounting, Business and Finance Journal</b:JournalName>
    <b:Pages>63-80</b:Pages>
    <b:Volume>6</b:Volume>
    <b:Issue>5</b:Issue>
    <b:Author>
      <b:Author>
        <b:NameList>
          <b:Person>
            <b:Last>Lama</b:Last>
            <b:Middle>B</b:Middle>
            <b:First>Tek</b:First>
          </b:Person>
        </b:NameList>
      </b:Author>
    </b:Author>
    <b:RefOrder>16</b:RefOrder>
  </b:Source>
  <b:Source>
    <b:Tag>Agu09</b:Tag>
    <b:SourceType>JournalArticle</b:SourceType>
    <b:Guid>{8DA69ADD-04CC-48B1-960B-17AC776C79C9}</b:Guid>
    <b:Title>Codes of good governance</b:Title>
    <b:JournalName>Corporate Governance: An International Review</b:JournalName>
    <b:Year>2009</b:Year>
    <b:Pages>376-387</b:Pages>
    <b:Volume>17</b:Volume>
    <b:Issue>3</b:Issue>
    <b:Author>
      <b:Author>
        <b:NameList>
          <b:Person>
            <b:Last>Aguilera</b:Last>
            <b:Middle>V</b:Middle>
            <b:First>Ruth</b:First>
          </b:Person>
          <b:Person>
            <b:Last>Cuervo-Cazurra</b:Last>
            <b:First>Alvaro</b:First>
          </b:Person>
        </b:NameList>
      </b:Author>
    </b:Author>
    <b:RefOrder>7</b:RefOrder>
  </b:Source>
  <b:Source>
    <b:Tag>Fam83</b:Tag>
    <b:SourceType>JournalArticle</b:SourceType>
    <b:Guid>{C73B6E07-61B3-4DE3-94C4-A7BD06159B82}</b:Guid>
    <b:Title>Separation of ownership and control</b:Title>
    <b:JournalName>The Journal of Law and Economics</b:JournalName>
    <b:Year>1983</b:Year>
    <b:Pages>301-325</b:Pages>
    <b:Volume>26</b:Volume>
    <b:Author>
      <b:Author>
        <b:NameList>
          <b:Person>
            <b:Last>Fama</b:Last>
            <b:Middle>F</b:Middle>
            <b:First>Eugene</b:First>
          </b:Person>
          <b:Person>
            <b:Last>Jensen</b:Last>
            <b:Middle>C</b:Middle>
            <b:First>Michael</b:First>
          </b:Person>
        </b:NameList>
      </b:Author>
    </b:Author>
    <b:RefOrder>12</b:RefOrder>
  </b:Source>
  <b:Source>
    <b:Tag>Edw05</b:Tag>
    <b:SourceType>Book</b:SourceType>
    <b:Guid>{012505B7-C13C-40DA-A932-272307BA8DE2}</b:Guid>
    <b:Title>Corporate governance and performance: an exploration of the connection in a public sector context</b:Title>
    <b:Year>2005</b:Year>
    <b:City>Canberra</b:City>
    <b:Publisher>University of Canberra</b:Publisher>
    <b:Author>
      <b:Author>
        <b:NameList>
          <b:Person>
            <b:Last>Edwards</b:Last>
            <b:First>Meredith</b:First>
          </b:Person>
          <b:Person>
            <b:Last>Clough</b:Last>
            <b:First>Robyn</b:First>
          </b:Person>
        </b:NameList>
      </b:Author>
    </b:Author>
    <b:RefOrder>14</b:RefOrder>
  </b:Source>
  <b:Source>
    <b:Tag>Bro09</b:Tag>
    <b:SourceType>Misc</b:SourceType>
    <b:Guid>{89D93ECB-F9EF-453E-803E-F0D14B31C631}</b:Guid>
    <b:Title>Corporate governance and financial performance in an Australian context</b:Title>
    <b:Year>2009</b:Year>
    <b:City>Australia</b:City>
    <b:Publisher>The Treasury, Australian Government</b:Publisher>
    <b:Author>
      <b:Author>
        <b:NameList>
          <b:Person>
            <b:Last>Brown</b:Last>
            <b:First>Rebecca</b:First>
          </b:Person>
          <b:Person>
            <b:Last>Gorgens</b:Last>
            <b:First>Tue</b:First>
          </b:Person>
        </b:NameList>
      </b:Author>
    </b:Author>
    <b:RefOrder>56</b:RefOrder>
  </b:Source>
  <b:Source>
    <b:Tag>Hon202</b:Tag>
    <b:SourceType>InternetSite</b:SourceType>
    <b:Guid>{AD526DA5-125B-4299-BCBD-156DA6352E92}</b:Guid>
    <b:Title>Rules Governing the Listing of Securities on The Stock Exchange of Hong Kong Limited</b:Title>
    <b:Author>
      <b:Author>
        <b:Corporate>Hong Kong Exchanges and Clearing Limited</b:Corporate>
      </b:Author>
    </b:Author>
    <b:YearAccessed>2020</b:YearAccessed>
    <b:MonthAccessed>Nov</b:MonthAccessed>
    <b:DayAccessed>18</b:DayAccessed>
    <b:URL>https://www.hkex.com.hk/Listing/Rules-and-Guidance/Listing-Rules-Contingency/Main-Board-Listing-Rules/Main-Board-Listing-Rules?sc_lang=en</b:URL>
    <b:Year>2020</b:Year>
    <b:RefOrder>55</b:RefOrder>
  </b:Source>
  <b:Source>
    <b:Tag>Hog18</b:Tag>
    <b:SourceType>Book</b:SourceType>
    <b:Guid>{8353A070-2CEF-4CD1-8028-5FECB80A789B}</b:Guid>
    <b:Title>Financial accounting</b:Title>
    <b:Year>2018</b:Year>
    <b:City>Milton</b:City>
    <b:Publisher>John Wiley &amp; Sons Australia Ltd</b:Publisher>
    <b:Edition>10th edn</b:Edition>
    <b:Author>
      <b:Author>
        <b:NameList>
          <b:Person>
            <b:Last>Hoggett</b:Last>
            <b:First>John</b:First>
          </b:Person>
          <b:Person>
            <b:Last>Medlin</b:Last>
            <b:First>John</b:First>
          </b:Person>
          <b:Person>
            <b:Last>Chalmers</b:Last>
            <b:First>Keryn</b:First>
          </b:Person>
          <b:Person>
            <b:Last>Beattie</b:Last>
            <b:First>Claire</b:First>
          </b:Person>
          <b:Person>
            <b:Last>Hellmann</b:Last>
            <b:First>Andreas</b:First>
          </b:Person>
          <b:Person>
            <b:Last>Maxfield</b:Last>
            <b:First>Jodie</b:First>
          </b:Person>
        </b:NameList>
      </b:Author>
    </b:Author>
    <b:RefOrder>65</b:RefOrder>
  </b:Source>
  <b:Source>
    <b:Tag>Cun19</b:Tag>
    <b:SourceType>Book</b:SourceType>
    <b:Guid>{C1E4CCFF-77EF-4590-9106-F582DCF1914F}</b:Guid>
    <b:Title>Accounting: information for business decisions</b:Title>
    <b:Year>2019</b:Year>
    <b:City>South Melbourne</b:City>
    <b:Publisher>Cengage Learning Australia</b:Publisher>
    <b:Edition>3rd edn</b:Edition>
    <b:Author>
      <b:Author>
        <b:NameList>
          <b:Person>
            <b:Last>Cunningham</b:Last>
            <b:Middle>M</b:Middle>
            <b:First>Billie </b:First>
          </b:Person>
          <b:Person>
            <b:Last>Nikolai</b:Last>
            <b:Middle>A</b:Middle>
            <b:First>Loren</b:First>
          </b:Person>
          <b:Person>
            <b:Last>Bazley</b:Last>
            <b:Middle>D</b:Middle>
            <b:First>John</b:First>
          </b:Person>
          <b:Person>
            <b:Last>Kavanagh</b:Last>
            <b:First>Marie</b:First>
          </b:Person>
          <b:Person>
            <b:Last>Simmons</b:Last>
            <b:First>Sharelle</b:First>
          </b:Person>
        </b:NameList>
      </b:Author>
    </b:Author>
    <b:RefOrder>37</b:RefOrder>
  </b:Source>
  <b:Source>
    <b:Tag>FinancialManagement</b:Tag>
    <b:SourceType>Book</b:SourceType>
    <b:Guid>{82AE3C9B-AD3B-49AC-8E11-AE758F34BEA9}</b:Guid>
    <b:Title>Financial management: principles and applications</b:Title>
    <b:Year>2019</b:Year>
    <b:City>Melbourne</b:City>
    <b:Publisher>Pearson Australia</b:Publisher>
    <b:Author>
      <b:Author>
        <b:NameList>
          <b:Person>
            <b:Last>Titman</b:Last>
            <b:First>Sheridan</b:First>
          </b:Person>
          <b:Person>
            <b:Last>Martin</b:Last>
            <b:First>Tony</b:First>
          </b:Person>
          <b:Person>
            <b:Last>Keown</b:Last>
            <b:Middle>J</b:Middle>
            <b:First>Arthur</b:First>
          </b:Person>
          <b:Person>
            <b:Last>Martin</b:Last>
            <b:Middle>D</b:Middle>
            <b:First>John</b:First>
          </b:Person>
        </b:NameList>
      </b:Author>
    </b:Author>
    <b:Edition>8th</b:Edition>
    <b:Pages>483</b:Pages>
    <b:RefOrder>66</b:RefOrder>
  </b:Source>
  <b:Source>
    <b:Tag>Kri08</b:Tag>
    <b:SourceType>JournalArticle</b:SourceType>
    <b:Guid>{7D136D70-0030-42EE-A0AA-8F3FFFACED14}</b:Guid>
    <b:Title>Costs to comply with SOX Section 404</b:Title>
    <b:JournalName>Auditing: A Journal of Theory and Practice</b:JournalName>
    <b:Year>2008</b:Year>
    <b:Pages>169-186</b:Pages>
    <b:Volume>27</b:Volume>
    <b:Issue>1</b:Issue>
    <b:Author>
      <b:Author>
        <b:NameList>
          <b:Person>
            <b:Last>Krishnan</b:Last>
            <b:First>J</b:First>
          </b:Person>
          <b:Person>
            <b:Last>Rama</b:Last>
            <b:First>D</b:First>
          </b:Person>
          <b:Person>
            <b:Last>Zhang</b:Last>
            <b:First>Y</b:First>
          </b:Person>
        </b:NameList>
      </b:Author>
    </b:Author>
    <b:RefOrder>67</b:RefOrder>
  </b:Source>
  <b:Source>
    <b:Tag>Arc101</b:Tag>
    <b:SourceType>JournalArticle</b:SourceType>
    <b:Guid>{0101C0C2-C51D-4ABA-8DB8-1A0E7C9DE4A9}</b:Guid>
    <b:Title>Corporate governance in the UK: is the comply or explain approach working?</b:Title>
    <b:Year>2010</b:Year>
    <b:JournalName>International Review of Law and Economics</b:JournalName>
    <b:Pages>193-201</b:Pages>
    <b:Volume>30</b:Volume>
    <b:Issue>2</b:Issue>
    <b:Author>
      <b:Author>
        <b:NameList>
          <b:Person>
            <b:Last>Arcot </b:Last>
            <b:First>Sridhar</b:First>
          </b:Person>
          <b:Person>
            <b:Last>Burno</b:Last>
            <b:First>Valentina</b:First>
          </b:Person>
          <b:Person>
            <b:Last>Faure-Grimaud</b:Last>
            <b:First>Antoine</b:First>
          </b:Person>
        </b:NameList>
      </b:Author>
    </b:Author>
    <b:RefOrder>50</b:RefOrder>
  </b:Source>
  <b:Source>
    <b:Tag>SEHK2018</b:Tag>
    <b:SourceType>Report</b:SourceType>
    <b:Guid>{EC46B17F-1535-4EC3-B11C-21CB621610C2}</b:Guid>
    <b:Author>
      <b:Author>
        <b:Corporate>The Stock Exchange of Hong Kong Limited</b:Corporate>
      </b:Author>
    </b:Author>
    <b:Title>Analysis of corporate governance practice disclosure in June and December year-end 2017 and March year-end 2018 annual reports</b:Title>
    <b:Year>2018c</b:Year>
    <b:Publisher>The Stock Exchange of Hong Kong Limited</b:Publisher>
    <b:City>Hong Kong</b:City>
    <b:RefOrder>45</b:RefOrder>
  </b:Source>
  <b:Source>
    <b:Tag>Miller</b:Tag>
    <b:SourceType>JournalArticle</b:SourceType>
    <b:Guid>{B8F2F421-A559-4C89-BAF5-CF5C2B987A2A}</b:Guid>
    <b:Title>Are family firms really superior performers?</b:Title>
    <b:JournalName>Journal of Corporate Finance</b:JournalName>
    <b:Year>2007</b:Year>
    <b:Pages>929-58</b:Pages>
    <b:Volume>13</b:Volume>
    <b:Author>
      <b:Author>
        <b:NameList>
          <b:Person>
            <b:Last>Miller</b:Last>
            <b:First>D</b:First>
          </b:Person>
          <b:Person>
            <b:Last>Breton-Miller</b:Last>
            <b:First>I</b:First>
          </b:Person>
          <b:Person>
            <b:Last>Lesterand</b:Last>
            <b:First>R</b:First>
          </b:Person>
          <b:Person>
            <b:Last>Cannella</b:Last>
            <b:First>A</b:First>
          </b:Person>
        </b:NameList>
      </b:Author>
    </b:Author>
    <b:RefOrder>68</b:RefOrder>
  </b:Source>
  <b:Source>
    <b:Tag>Denis</b:Tag>
    <b:SourceType>JournalArticle</b:SourceType>
    <b:Guid>{71D13706-EDBB-4B74-A848-601EC66A119F}</b:Guid>
    <b:Title>Majority owner-managers and organizational efficiency</b:Title>
    <b:JournalName>Journal of Corporate Finance</b:JournalName>
    <b:Year>1994</b:Year>
    <b:Pages>91-118</b:Pages>
    <b:Volume>1</b:Volume>
    <b:Author>
      <b:Author>
        <b:NameList>
          <b:Person>
            <b:Last>Denis</b:Last>
            <b:Middle>J</b:Middle>
            <b:First>D</b:First>
          </b:Person>
          <b:Person>
            <b:Last>Denis</b:Last>
            <b:Middle>K</b:Middle>
            <b:First>D</b:First>
          </b:Person>
        </b:NameList>
      </b:Author>
    </b:Author>
    <b:RefOrder>69</b:RefOrder>
  </b:Source>
  <b:Source>
    <b:Tag>Boy20</b:Tag>
    <b:SourceType>InternetSite</b:SourceType>
    <b:Guid>{DD5CA70F-DDCB-4587-B91B-697E4E423F1A}</b:Guid>
    <b:Title>Investopedia - Corporate finance &amp; accounting - How do you calculate volatility in excel?</b:Title>
    <b:Year>2020</b:Year>
    <b:YearAccessed>2020</b:YearAccessed>
    <b:MonthAccessed>Dec</b:MonthAccessed>
    <b:DayAccessed>8th </b:DayAccessed>
    <b:URL>https://www.investopedia.com/ask/answers/021015/how-can-you-calculate-volatility-excel.asp</b:URL>
    <b:Author>
      <b:Author>
        <b:NameList>
          <b:Person>
            <b:Last>Boyte-White</b:Last>
            <b:First>Claire</b:First>
          </b:Person>
        </b:NameList>
      </b:Author>
    </b:Author>
    <b:RefOrder>38</b:RefOrder>
  </b:Source>
  <b:Source>
    <b:Tag>Mac14</b:Tag>
    <b:SourceType>Book</b:SourceType>
    <b:Guid>{AE007EB0-0D02-4573-BC6B-EC841A18B554}</b:Guid>
    <b:Title>Mind on statistics </b:Title>
    <b:Year>2014</b:Year>
    <b:City>South Melbourne</b:City>
    <b:Publisher>Cengage Learning Australia</b:Publisher>
    <b:Edition>2nd</b:Edition>
    <b:Author>
      <b:Author>
        <b:NameList>
          <b:Person>
            <b:Last>MacGillivray</b:Last>
            <b:First>Helen</b:First>
          </b:Person>
          <b:Person>
            <b:Last>Utts</b:Last>
            <b:Middle>M</b:Middle>
            <b:First>Jessica</b:First>
          </b:Person>
          <b:Person>
            <b:Last>Heckard</b:Last>
            <b:Middle>F</b:Middle>
            <b:First>Robert</b:First>
          </b:Person>
        </b:NameList>
      </b:Author>
    </b:Author>
    <b:RefOrder>70</b:RefOrder>
  </b:Source>
  <b:Source>
    <b:Tag>Ada19</b:Tag>
    <b:SourceType>Book</b:SourceType>
    <b:Guid>{E111A457-943F-494B-96CE-36CD361C138C}</b:Guid>
    <b:Title>Research methods, statistics, and applications</b:Title>
    <b:Year>2019</b:Year>
    <b:City>California</b:City>
    <b:Publisher>SAGE Publications, Inc</b:Publisher>
    <b:Edition>2nd</b:Edition>
    <b:Author>
      <b:Author>
        <b:NameList>
          <b:Person>
            <b:Last>Adams</b:Last>
            <b:Middle>A</b:Middle>
            <b:First>Kathrynn</b:First>
          </b:Person>
          <b:Person>
            <b:Last>Lawrence</b:Last>
            <b:Middle>K</b:Middle>
            <b:First>Eva</b:First>
          </b:Person>
        </b:NameList>
      </b:Author>
    </b:Author>
    <b:RefOrder>71</b:RefOrder>
  </b:Source>
  <b:Source>
    <b:Tag>Lei</b:Tag>
    <b:SourceType>JournalArticle</b:SourceType>
    <b:Guid>{27DDDC27-C7B8-4ACF-8460-43658EFC56D1}</b:Guid>
    <b:Title>Board structure, corporate governance and firm value: evidence from Hong Kong</b:Title>
    <b:Year>2012</b:Year>
    <b:JournalName>Applied Financial Economics</b:JournalName>
    <b:Pages>1289-1303</b:Pages>
    <b:Volume>22</b:Volume>
    <b:Author>
      <b:Author>
        <b:NameList>
          <b:Person>
            <b:Last>Lei</b:Last>
            <b:Middle>C H</b:Middle>
            <b:First>Adrian</b:First>
          </b:Person>
          <b:Person>
            <b:Last>Song</b:Last>
            <b:Middle>M</b:Middle>
            <b:First>Frank</b:First>
          </b:Person>
        </b:NameList>
      </b:Author>
    </b:Author>
    <b:RefOrder>36</b:RefOrder>
  </b:Source>
  <b:Source>
    <b:Tag>Lip19</b:Tag>
    <b:SourceType>Book</b:SourceType>
    <b:Guid>{628876DE-B3AD-4FDC-BDF4-84CF9F153013}</b:Guid>
    <b:Author>
      <b:Author>
        <b:NameList>
          <b:Person>
            <b:Last>Lipton</b:Last>
            <b:First>P</b:First>
          </b:Person>
          <b:Person>
            <b:Last>Herzberg</b:Last>
            <b:First>A</b:First>
          </b:Person>
          <b:Person>
            <b:Last>Welsh</b:Last>
            <b:First>M</b:First>
          </b:Person>
        </b:NameList>
      </b:Author>
    </b:Author>
    <b:Title>Understanding company law</b:Title>
    <b:Year>2019</b:Year>
    <b:City>Pyrmont</b:City>
    <b:Publisher>Thomson Reuters</b:Publisher>
    <b:Edition>20th</b:Edition>
    <b:RefOrder>1</b:RefOrder>
  </b:Source>
  <b:Source>
    <b:Tag>The18</b:Tag>
    <b:SourceType>Report</b:SourceType>
    <b:Guid>{49852D3E-175D-4565-9AD7-D12D5F6DEA31}</b:Guid>
    <b:Author>
      <b:Author>
        <b:Corporate>The Hong Kong Institute of Chartered Secretaries</b:Corporate>
      </b:Author>
    </b:Author>
    <b:Title>Corporate governance paper competition on 'Corporate governance - challenges and opportunities in the digital age'</b:Title>
    <b:Year>2018</b:Year>
    <b:Publisher>The Hong Kong Institute of Chartered Secretaries</b:Publisher>
    <b:City>Hong Kong</b:City>
    <b:RefOrder>53</b:RefOrder>
  </b:Source>
  <b:Source>
    <b:Tag>Companies</b:Tag>
    <b:SourceType>InternetSite</b:SourceType>
    <b:Guid>{46FE7480-3076-47F0-91A1-AAFF9CBB1C7B}</b:Guid>
    <b:Title>Hong Kong e-Legislation</b:Title>
    <b:DayAccessed>7</b:DayAccessed>
    <b:URL>https://www.elegislation.gov.hk/hk/cap622</b:URL>
    <b:Author>
      <b:Author>
        <b:Corporate>Companies Ordinance (Cap. 622)</b:Corporate>
      </b:Author>
    </b:Author>
    <b:YearAccessed>2020</b:YearAccessed>
    <b:MonthAccessed>July</b:MonthAccessed>
    <b:RefOrder>72</b:RefOrder>
  </b:Source>
  <b:Source>
    <b:Tag>Heaney</b:Tag>
    <b:SourceType>JournalArticle</b:SourceType>
    <b:Guid>{3E025C82-6115-4547-BB40-4C263425581C}</b:Guid>
    <b:Title>The size and composition of corporate boards in Hong Kong, Malaysia and Singapore</b:Title>
    <b:JournalName>Applied Financial Economics</b:JournalName>
    <b:Year>2009</b:Year>
    <b:Pages>1029-41</b:Pages>
    <b:Volume>19</b:Volume>
    <b:Author>
      <b:Author>
        <b:NameList>
          <b:Person>
            <b:Last>Heaney</b:Last>
            <b:First>R</b:First>
          </b:Person>
        </b:NameList>
      </b:Author>
    </b:Author>
    <b:RefOrder>73</b:RefOrder>
  </b:Source>
  <b:Source>
    <b:Tag>HKICS</b:Tag>
    <b:SourceType>Report</b:SourceType>
    <b:Guid>{1B50D90B-F7AD-4AA9-8A98-909057263D21}</b:Guid>
    <b:Title>Taking the temperature: the state of corporate governance practices in Hong Kong and the Mainland</b:Title>
    <b:Year>October 2019</b:Year>
    <b:City>Hong Kong</b:City>
    <b:Publisher>The Hong Kong Institute of Chartered Secretaries</b:Publisher>
    <b:Author>
      <b:Author>
        <b:Corporate>The Hong Kong Institute of Chartered Secretaries</b:Corporate>
      </b:Author>
    </b:Author>
    <b:RefOrder>51</b:RefOrder>
  </b:Source>
  <b:Source>
    <b:Tag>Low04</b:Tag>
    <b:SourceType>JournalArticle</b:SourceType>
    <b:Guid>{2F81BF50-3116-40C7-A465-E46740CCAC83}</b:Guid>
    <b:Author>
      <b:Author>
        <b:NameList>
          <b:Person>
            <b:Last>Low</b:Last>
            <b:Middle>K</b:Middle>
            <b:First>C</b:First>
          </b:Person>
        </b:NameList>
      </b:Author>
    </b:Author>
    <b:Title>A road map for corporate governance in east asia</b:Title>
    <b:JournalName>Northwestern Journal of International Law &amp; Business</b:JournalName>
    <b:Year>2004</b:Year>
    <b:Pages>165-203</b:Pages>
    <b:Volume>25</b:Volume>
    <b:Issue>1 Fall</b:Issue>
    <b:RefOrder>74</b:RefOrder>
  </b:Source>
  <b:Source>
    <b:Tag>Placeholder1</b:Tag>
    <b:SourceType>JournalArticle</b:SourceType>
    <b:Guid>{E38E73DF-954D-4FBD-9D36-476466ED4290}</b:Guid>
    <b:Author>
      <b:Author>
        <b:NameList>
          <b:Person>
            <b:Last>Low </b:Last>
            <b:Middle>K</b:Middle>
            <b:First>C</b:First>
          </b:Person>
        </b:NameList>
      </b:Author>
    </b:Author>
    <b:Title>A road map for corporate governance in east asia</b:Title>
    <b:JournalName>Northwestern Journal of International Law &amp; Business</b:JournalName>
    <b:Year>2004</b:Year>
    <b:Pages>165-203</b:Pages>
    <b:Volume>25</b:Volume>
    <b:Issue>1 Fall</b:Issue>
    <b:RefOrder>75</b:RefOrder>
  </b:Source>
  <b:Source>
    <b:Tag>Low</b:Tag>
    <b:SourceType>JournalArticle</b:SourceType>
    <b:Guid>{F5F2F8E0-9AC6-4B30-B479-28ADECB488BB}</b:Guid>
    <b:Title>A road map for corporate governance in East Asia</b:Title>
    <b:JournalName>Northwestern Journal of International Law &amp; Business</b:JournalName>
    <b:Year>2004</b:Year>
    <b:Pages>166-203</b:Pages>
    <b:Volume>25</b:Volume>
    <b:Issue>1</b:Issue>
    <b:Author>
      <b:Author>
        <b:NameList>
          <b:Person>
            <b:Last>Low</b:Last>
            <b:Middle>Keong</b:Middle>
            <b:First>Chee</b:First>
          </b:Person>
        </b:NameList>
      </b:Author>
    </b:Author>
    <b:RefOrder>3</b:RefOrder>
  </b:Source>
  <b:Source>
    <b:Tag>Hon14</b:Tag>
    <b:SourceType>Report</b:SourceType>
    <b:Guid>{39A57F3B-F398-4E37-9BED-2C4C971B1AA6}</b:Guid>
    <b:Title>A guide on better corporate governance disclosure</b:Title>
    <b:Year>2014</b:Year>
    <b:City>Hong Kong</b:City>
    <b:Publisher>Hong Kong Institute of Certified Public Accountants</b:Publisher>
    <b:Author>
      <b:Author>
        <b:Corporate>Hong Kong Institute of Certified Public Accountants</b:Corporate>
      </b:Author>
    </b:Author>
    <b:RefOrder>24</b:RefOrder>
  </b:Source>
  <b:Source>
    <b:Tag>Johnstone</b:Tag>
    <b:SourceType>Report</b:SourceType>
    <b:Guid>{8F36F83D-B2E3-4581-8799-A6F14925A4A6}</b:Guid>
    <b:Title>Report on improving corporate governance in Hong Kong</b:Title>
    <b:Year>2017</b:Year>
    <b:Publisher>Hong Kong Institute of Certified Public Accountants</b:Publisher>
    <b:City>Hong Kong</b:City>
    <b:Author>
      <b:Author>
        <b:NameList>
          <b:Person>
            <b:Last>Johnstone</b:Last>
            <b:First>Syren</b:First>
          </b:Person>
          <b:Person>
            <b:Last>Goo</b:Last>
            <b:Middle>H</b:Middle>
            <b:First>Say</b:First>
          </b:Person>
        </b:NameList>
      </b:Author>
    </b:Author>
    <b:RefOrder>76</b:RefOrder>
  </b:Source>
  <b:Source>
    <b:Tag>Mil98</b:Tag>
    <b:SourceType>JournalArticle</b:SourceType>
    <b:Guid>{875248FF-F7FB-4F74-AA5A-CA6A116DF794}</b:Guid>
    <b:Title>Corporate governance in Hong Kong: Ethical considerations, legal responsibilities and board structure</b:Title>
    <b:Year>1998</b:Year>
    <b:JournalName>Academy of Accounting and Financial Studies</b:JournalName>
    <b:Pages>159-172</b:Pages>
    <b:Volume>3</b:Volume>
    <b:Issue>2</b:Issue>
    <b:Author>
      <b:Author>
        <b:NameList>
          <b:Person>
            <b:Last>Miller</b:Last>
            <b:First>Gary</b:First>
          </b:Person>
        </b:NameList>
      </b:Author>
    </b:Author>
    <b:RefOrder>13</b:RefOrder>
  </b:Source>
  <b:Source>
    <b:Tag>Cheung</b:Tag>
    <b:SourceType>JournalArticle</b:SourceType>
    <b:Guid>{EC32BEB4-11A0-4B38-A874-C6A44348990E}</b:Guid>
    <b:Title>Does the quality of corporate governance affect firm valuation and Risk? Evidence from a corporate governance scorecard in Hong Kong</b:Title>
    <b:JournalName>International Review of Finance</b:JournalName>
    <b:Year>2010</b:Year>
    <b:Pages>403-432</b:Pages>
    <b:Volume>10</b:Volume>
    <b:Issue>4</b:Issue>
    <b:Author>
      <b:Author>
        <b:NameList>
          <b:Person>
            <b:Last>Cheung</b:Last>
            <b:Middle>Leung</b:Middle>
            <b:First>Yan</b:First>
          </b:Person>
          <b:Person>
            <b:Last>Stouraitis</b:Last>
            <b:First>Aris</b:First>
          </b:Person>
          <b:Person>
            <b:Last>Tan</b:Last>
            <b:First>Weiqiang</b:First>
          </b:Person>
        </b:NameList>
      </b:Author>
    </b:Author>
    <b:RefOrder>17</b:RefOrder>
  </b:Source>
  <b:Source>
    <b:Tag>Bha02</b:Tag>
    <b:SourceType>JournalArticle</b:SourceType>
    <b:Guid>{75D08F82-D22B-4F69-A7D2-6EC501BE2B63}</b:Guid>
    <b:Title>The non-correlation between board independence and long-term firm performance</b:Title>
    <b:Year>2002</b:Year>
    <b:JournalName>Journal of Corporate Law</b:JournalName>
    <b:Pages>231-273</b:Pages>
    <b:Volume>27</b:Volume>
    <b:Author>
      <b:Author>
        <b:NameList>
          <b:Person>
            <b:Last>Bhagat</b:Last>
            <b:First>Sanjai</b:First>
          </b:Person>
          <b:Person>
            <b:Last>Black </b:Last>
            <b:Middle>S</b:Middle>
            <b:First>Bernard</b:First>
          </b:Person>
        </b:NameList>
      </b:Author>
    </b:Author>
    <b:RefOrder>18</b:RefOrder>
  </b:Source>
  <b:Source>
    <b:Tag>Kle98</b:Tag>
    <b:SourceType>JournalArticle</b:SourceType>
    <b:Guid>{4B91392F-5622-44B4-ADEB-13F72A7C069A}</b:Guid>
    <b:Title>Firm performance and board committee structure</b:Title>
    <b:JournalName>Journal of Law and Economics</b:JournalName>
    <b:Year>1998</b:Year>
    <b:Pages>275-299</b:Pages>
    <b:Volume>41</b:Volume>
    <b:Author>
      <b:Author>
        <b:NameList>
          <b:Person>
            <b:Last>Klein</b:Last>
            <b:First>April</b:First>
          </b:Person>
        </b:NameList>
      </b:Author>
    </b:Author>
    <b:RefOrder>19</b:RefOrder>
  </b:Source>
  <b:Source>
    <b:Tag>Bha04</b:Tag>
    <b:SourceType>JournalArticle</b:SourceType>
    <b:Guid>{EAE1393C-F335-4286-A61B-A5345FD753DD}</b:Guid>
    <b:Title>Relational investing and firm performance</b:Title>
    <b:JournalName>Journal of Financial Research</b:JournalName>
    <b:Year>2004</b:Year>
    <b:Pages>1-30</b:Pages>
    <b:Volume>27</b:Volume>
    <b:Author>
      <b:Author>
        <b:NameList>
          <b:Person>
            <b:Last>Bhagat</b:Last>
            <b:First>Sanjai</b:First>
          </b:Person>
          <b:Person>
            <b:Last>Black</b:Last>
            <b:First>Bernard</b:First>
          </b:Person>
          <b:Person>
            <b:Last>Blair</b:Last>
            <b:First>Margaret</b:First>
          </b:Person>
        </b:NameList>
      </b:Author>
    </b:Author>
    <b:RefOrder>20</b:RefOrder>
  </b:Source>
  <b:Source>
    <b:Tag>Car98</b:Tag>
    <b:SourceType>JournalArticle</b:SourceType>
    <b:Guid>{37A5E4EE-BF12-4160-A709-2D68F54511AE}</b:Guid>
    <b:Title>The influence of institutions on corporate governance through private negotiations: evidence from TIAA-CREF</b:Title>
    <b:JournalName>Journal of Finance </b:JournalName>
    <b:Year>1998</b:Year>
    <b:Pages>1335-1362</b:Pages>
    <b:Volume>53</b:Volume>
    <b:Author>
      <b:Author>
        <b:NameList>
          <b:Person>
            <b:Last>Carleton</b:Last>
            <b:Middle>T</b:Middle>
            <b:First>Willard</b:First>
          </b:Person>
          <b:Person>
            <b:Last>Nelson</b:Last>
            <b:Middle>N</b:Middle>
            <b:First>James</b:First>
          </b:Person>
          <b:Person>
            <b:Last>Weisbach</b:Last>
            <b:Middle>S</b:Middle>
            <b:First>Michael</b:First>
          </b:Person>
        </b:NameList>
      </b:Author>
    </b:Author>
    <b:RefOrder>21</b:RefOrder>
  </b:Source>
  <b:Source>
    <b:Tag>Cheng2011</b:Tag>
    <b:SourceType>JournalArticle</b:SourceType>
    <b:Guid>{1D40ED9E-4430-47AC-924C-9ACBC822AA14}</b:Guid>
    <b:Title>Does corporate governance predict future performance? Evidence from Hong Kong</b:Title>
    <b:JournalName>Financial Management</b:JournalName>
    <b:Year>2011</b:Year>
    <b:Pages>159-197</b:Pages>
    <b:Volume>Spring</b:Volume>
    <b:Author>
      <b:Author>
        <b:NameList>
          <b:Person>
            <b:Last>Cheung</b:Last>
            <b:Middle>Leung</b:Middle>
            <b:First>Yan</b:First>
          </b:Person>
          <b:Person>
            <b:Last>Connelly</b:Last>
            <b:Middle>Thomas</b:Middle>
            <b:First>J</b:First>
          </b:Person>
          <b:Person>
            <b:Last>Jiang</b:Last>
            <b:First>Ping</b:First>
          </b:Person>
          <b:Person>
            <b:Last>Limpaphayom</b:Last>
            <b:First>Piman</b:First>
          </b:Person>
        </b:NameList>
      </b:Author>
    </b:Author>
    <b:RefOrder>22</b:RefOrder>
  </b:Source>
  <b:Source>
    <b:Tag>Mic15</b:Tag>
    <b:SourceType>JournalArticle</b:SourceType>
    <b:Guid>{E65BDA83-CEAD-48B3-9C43-3D322BDC864A}</b:Guid>
    <b:Title>Corporate governance and its reform in Hong Kong: a study in comparative corporate governance</b:Title>
    <b:Year>2015</b:Year>
    <b:JournalName>Corporate Governance</b:JournalName>
    <b:Pages>444-475</b:Pages>
    <b:Volume>15</b:Volume>
    <b:Issue>4</b:Issue>
    <b:Author>
      <b:Author>
        <b:NameList>
          <b:Person>
            <b:Last>Michael</b:Last>
            <b:First>Bryane</b:First>
          </b:Person>
          <b:Person>
            <b:Last>Goo</b:Last>
            <b:Middle>H</b:Middle>
            <b:First>S</b:First>
          </b:Person>
        </b:NameList>
      </b:Author>
    </b:Author>
    <b:RefOrder>28</b:RefOrder>
  </b:Source>
  <b:Source>
    <b:Tag>Ashworth2020</b:Tag>
    <b:SourceType>InternetSite</b:SourceType>
    <b:Guid>{540581F3-E9CA-4DE5-B423-EA873C3662C7}</b:Guid>
    <b:Title>The Law Reviews</b:Title>
    <b:Year>2020</b:Year>
    <b:YearAccessed>2020</b:YearAccessed>
    <b:MonthAccessed>July</b:MonthAccessed>
    <b:DayAccessed>12</b:DayAccessed>
    <b:URL>https://thelawreviews.co.uk/edition/the-corporate-governance-review-edition-10/1222282/hong-kong</b:URL>
    <b:Author>
      <b:Author>
        <b:NameList>
          <b:Person>
            <b:Last>Ashworth</b:Last>
            <b:First>Robert</b:First>
          </b:Person>
          <b:Person>
            <b:Last>Mo</b:Last>
            <b:First>Chris</b:First>
          </b:Person>
        </b:NameList>
      </b:Author>
    </b:Author>
    <b:RefOrder>27</b:RefOrder>
  </b:Source>
  <b:Source>
    <b:Tag>Lee</b:Tag>
    <b:SourceType>ConferenceProceedings</b:SourceType>
    <b:Guid>{BA2C7CE1-B911-40D1-A791-98CE5396903A}</b:Guid>
    <b:Title>Australian corporate governance regulations and investor confidence</b:Title>
    <b:Year>2005</b:Year>
    <b:Author>
      <b:Author>
        <b:NameList>
          <b:Person>
            <b:Last>Lee</b:Last>
            <b:First>J</b:First>
          </b:Person>
          <b:Person>
            <b:Last>Shailer</b:Last>
            <b:First>G</b:First>
          </b:Person>
        </b:NameList>
      </b:Author>
    </b:Author>
    <b:City>Melbourne</b:City>
    <b:Publisher>Accounting and Finance of Australia and New Zealand Conference</b:Publisher>
    <b:RefOrder>26</b:RefOrder>
  </b:Source>
  <b:Source>
    <b:Tag>LaPorta2000</b:Tag>
    <b:SourceType>JournalArticle</b:SourceType>
    <b:Guid>{DD3E62DC-FCB3-45EB-9985-5B6BA79A339D}</b:Guid>
    <b:Title>Investor protection and corporate governance</b:Title>
    <b:Year>2000</b:Year>
    <b:JournalName>Journal of Financial Economics</b:JournalName>
    <b:Pages>3-27</b:Pages>
    <b:Volume>58</b:Volume>
    <b:Issue>1</b:Issue>
    <b:Author>
      <b:Author>
        <b:NameList>
          <b:Person>
            <b:Last>La Porta</b:Last>
            <b:First>R</b:First>
          </b:Person>
          <b:Person>
            <b:Last>Lopez-de-Silanes</b:Last>
            <b:First>F</b:First>
          </b:Person>
          <b:Person>
            <b:Last>Shleifer</b:Last>
            <b:First>A</b:First>
          </b:Person>
          <b:Person>
            <b:Last>Vishny</b:Last>
            <b:Middle>W</b:Middle>
            <b:First>R</b:First>
          </b:Person>
        </b:NameList>
      </b:Author>
    </b:Author>
    <b:RefOrder>25</b:RefOrder>
  </b:Source>
  <b:Source>
    <b:Tag>20No</b:Tag>
    <b:SourceType>InternetSite</b:SourceType>
    <b:Guid>{9D763AD1-0951-44CE-96E9-284259DB0669}</b:Guid>
    <b:YearAccessed>2020</b:YearAccessed>
    <b:MonthAccessed>Dec</b:MonthAccessed>
    <b:DayAccessed>11th</b:DayAccessed>
    <b:URL>https://courses.lumenlearning.com/suny-hccc-research-methods/chapter/chapter-6-measurement-of-constructs/</b:URL>
    <b:Title>ER Services</b:Title>
    <b:Year>2020</b:Year>
    <b:Author>
      <b:Author>
        <b:NameList>
          <b:Person>
            <b:Last>Pelz</b:Last>
            <b:First>Bill</b:First>
          </b:Person>
        </b:NameList>
      </b:Author>
    </b:Author>
    <b:RefOrder>43</b:RefOrder>
  </b:Source>
  <b:Source>
    <b:Tag>Ber09</b:Tag>
    <b:SourceType>Book</b:SourceType>
    <b:Guid>{7E3563DD-E8E0-48D4-95CD-5E5697A11E94}</b:Guid>
    <b:Title>Business statistics: concepts and applications</b:Title>
    <b:Year>2009</b:Year>
    <b:Pages>212-213</b:Pages>
    <b:City>Frenchs Forest</b:City>
    <b:Publisher>Pearson Education Australia</b:Publisher>
    <b:Author>
      <b:Author>
        <b:NameList>
          <b:Person>
            <b:Last>Berenson</b:Last>
            <b:Middle>L</b:Middle>
            <b:First>Mark</b:First>
          </b:Person>
          <b:Person>
            <b:Last>Levine</b:Last>
            <b:Middle>M</b:Middle>
            <b:First>David </b:First>
          </b:Person>
          <b:Person>
            <b:Last>Krehbiel</b:Last>
            <b:Middle>C</b:Middle>
            <b:First>Timonthy</b:First>
          </b:Person>
          <b:Person>
            <b:Last>Watson</b:Last>
            <b:First>Judith</b:First>
          </b:Person>
          <b:Person>
            <b:Last>Jayne</b:Last>
            <b:First>Nicola</b:First>
          </b:Person>
          <b:Person>
            <b:Last>Turner</b:Last>
            <b:Middle>W</b:Middle>
            <b:First>Lindsay</b:First>
          </b:Person>
        </b:NameList>
      </b:Author>
    </b:Author>
    <b:RefOrder>54</b:RefOrder>
  </b:Source>
  <b:Source>
    <b:Tag>Cheung2007</b:Tag>
    <b:SourceType>JournalArticle</b:SourceType>
    <b:Guid>{5D0729E5-8B68-4C26-8356-1214A7BD52C8}</b:Guid>
    <b:Title>Do investors really value corporate governance? Evidence from the Hong Kong market</b:Title>
    <b:JournalName>Journal of International Financial Management and Accounting</b:JournalName>
    <b:Year>2007</b:Year>
    <b:Pages>86-122</b:Pages>
    <b:Volume>18</b:Volume>
    <b:Issue>2</b:Issue>
    <b:Author>
      <b:Author>
        <b:NameList>
          <b:Person>
            <b:Last>Cheung</b:Last>
            <b:Middle>Leung</b:Middle>
            <b:First>Yan</b:First>
          </b:Person>
          <b:Person>
            <b:Last>Connelly</b:Last>
            <b:Middle>Thomas</b:Middle>
            <b:First>J</b:First>
          </b:Person>
          <b:Person>
            <b:Last>Limpaphayom</b:Last>
            <b:First>Piman</b:First>
          </b:Person>
          <b:Person>
            <b:Last>Zhou</b:Last>
            <b:First>Lynda</b:First>
          </b:Person>
        </b:NameList>
      </b:Author>
    </b:Author>
    <b:RefOrder>77</b:RefOrder>
  </b:Source>
  <b:Source>
    <b:Tag>LiJ06</b:Tag>
    <b:SourceType>JournalArticle</b:SourceType>
    <b:Guid>{3071CC81-981C-4087-BFA8-293FB8CC62A6}</b:Guid>
    <b:Title>The effects of institutional ownership on corporate governance and performance: an empirical assessment in Hong Kong</b:Title>
    <b:JournalName>Management International Review</b:JournalName>
    <b:Year>2006</b:Year>
    <b:Pages>259-276</b:Pages>
    <b:Volume>46</b:Volume>
    <b:Issue>3</b:Issue>
    <b:Author>
      <b:Author>
        <b:NameList>
          <b:Person>
            <b:Last>Li</b:Last>
            <b:First>Ji</b:First>
          </b:Person>
          <b:Person>
            <b:Last>Lam</b:Last>
            <b:First>Kevin</b:First>
          </b:Person>
          <b:Person>
            <b:Last>Qian</b:Last>
            <b:First>Gongming</b:First>
          </b:Person>
          <b:Person>
            <b:Last>Fang</b:Last>
            <b:First>Yongqing</b:First>
          </b:Person>
        </b:NameList>
      </b:Author>
    </b:Author>
    <b:RefOrder>47</b:RefOrder>
  </b:Source>
  <b:Source>
    <b:Tag>Cheng</b:Tag>
    <b:SourceType>JournalArticle</b:SourceType>
    <b:Guid>{3F1A3158-C3A8-4E75-A2C0-478AB1F1B071}</b:Guid>
    <b:Title>Did corporate governance safeguard investor interest in the gloabal financial crisis? Evidence from Hong Kong SAR</b:Title>
    <b:JournalName>Asia Pacific Business Review</b:JournalName>
    <b:Year>2015</b:Year>
    <b:Pages>534-550</b:Pages>
    <b:Volume>21</b:Volume>
    <b:Issue>4</b:Issue>
    <b:Author>
      <b:Author>
        <b:NameList>
          <b:Person>
            <b:Last>Cheng</b:Last>
            <b:First>Suwina</b:First>
          </b:Person>
          <b:Person>
            <b:Last>Lui</b:Last>
            <b:First>Gladie</b:First>
          </b:Person>
          <b:Person>
            <b:Last>Shum</b:Last>
            <b:First>Connie</b:First>
          </b:Person>
        </b:NameList>
      </b:Author>
    </b:Author>
    <b:RefOrder>46</b:RefOrder>
  </b:Source>
  <b:Source>
    <b:Tag>Wan05</b:Tag>
    <b:SourceType>JournalArticle</b:SourceType>
    <b:Guid>{A94C8337-A972-4E5B-A3EF-760D0E0FC6F5}</b:Guid>
    <b:Title>Board structure, process and performance: evidence from public-listed companies in Singapore</b:Title>
    <b:Year>2005</b:Year>
    <b:JournalName>Corporate Governance: An International Review</b:JournalName>
    <b:Pages>277-290</b:Pages>
    <b:Volume>13</b:Volume>
    <b:Issue>2</b:Issue>
    <b:Author>
      <b:Author>
        <b:NameList>
          <b:Person>
            <b:Last>Wang</b:Last>
            <b:First>David</b:First>
          </b:Person>
          <b:Person>
            <b:Last>Ong</b:Last>
            <b:Middle>H</b:Middle>
            <b:First>C</b:First>
          </b:Person>
        </b:NameList>
      </b:Author>
    </b:Author>
    <b:RefOrder>5</b:RefOrder>
  </b:Source>
  <b:Source>
    <b:Tag>Bry15</b:Tag>
    <b:SourceType>Book</b:SourceType>
    <b:Guid>{02F08B4E-E3B8-48B1-9472-974CD25D1C56}</b:Guid>
    <b:Title>Business research methods</b:Title>
    <b:Year>2015</b:Year>
    <b:City>Oxford</b:City>
    <b:Publisher>Oxford University Press</b:Publisher>
    <b:Edition>4th edn</b:Edition>
    <b:Author>
      <b:Author>
        <b:NameList>
          <b:Person>
            <b:Last>Bryman</b:Last>
            <b:First>Alan</b:First>
          </b:Person>
          <b:Person>
            <b:Last>Bell </b:Last>
            <b:First>Emma</b:First>
          </b:Person>
        </b:NameList>
      </b:Author>
    </b:Author>
    <b:RefOrder>41</b:RefOrder>
  </b:Source>
  <b:Source>
    <b:Tag>Cad92</b:Tag>
    <b:SourceType>Report</b:SourceType>
    <b:Guid>{744225F6-DE8F-43A3-87B5-BCC2068D6D74}</b:Guid>
    <b:Title>Final report of the committee on the financial aspects of corporate governance</b:Title>
    <b:Year>1992</b:Year>
    <b:Publisher>The Committee on the Financial Aspects of Corporate Governance and Gee and Co Ltd</b:Publisher>
    <b:City>London</b:City>
    <b:Author>
      <b:Author>
        <b:NameList>
          <b:Person>
            <b:Last>Cadbury</b:Last>
            <b:First>Adrian</b:First>
          </b:Person>
        </b:NameList>
      </b:Author>
    </b:Author>
    <b:RefOrder>4</b:RefOrder>
  </b:Source>
  <b:Source>
    <b:Tag>Pro05</b:Tag>
    <b:SourceType>JournalArticle</b:SourceType>
    <b:Guid>{A6E96022-6D8D-46F2-920A-A301A8855E3B}</b:Guid>
    <b:Title>Strengthening corporate governance regulation</b:Title>
    <b:JournalName>Journal of Investment Compliance</b:JournalName>
    <b:Year>2005</b:Year>
    <b:Pages>75-84</b:Pages>
    <b:Volume>6</b:Volume>
    <b:Issue>4</b:Issue>
    <b:Author>
      <b:Author>
        <b:NameList>
          <b:Person>
            <b:Last>Proimos</b:Last>
            <b:First>Alex</b:First>
          </b:Person>
        </b:NameList>
      </b:Author>
    </b:Author>
    <b:RefOrder>29</b:RefOrder>
  </b:Source>
  <b:Source>
    <b:Tag>Sch00</b:Tag>
    <b:SourceType>JournalArticle</b:SourceType>
    <b:Guid>{953A66D7-6A83-4E2C-A4AF-35F179D2A84D}</b:Guid>
    <b:Title>The factorial validity of the maslach burnout inventory - general survey (MBI-GS) across occupational groups and nations</b:Title>
    <b:JournalName>Journal of Occupational and Organizational Psychology</b:JournalName>
    <b:Year>2000</b:Year>
    <b:Pages>53-67</b:Pages>
    <b:Volume>73</b:Volume>
    <b:Issue>1</b:Issue>
    <b:Author>
      <b:Author>
        <b:NameList>
          <b:Person>
            <b:Last>Schutte</b:Last>
            <b:First>N</b:First>
          </b:Person>
          <b:Person>
            <b:Last>Toppinnen</b:Last>
            <b:First>S</b:First>
          </b:Person>
          <b:Person>
            <b:Last>Kolimo</b:Last>
            <b:First>R</b:First>
          </b:Person>
          <b:Person>
            <b:Last>Schaufeli</b:Last>
            <b:First>W</b:First>
          </b:Person>
        </b:NameList>
      </b:Author>
    </b:Author>
    <b:RefOrder>42</b:RefOrder>
  </b:Source>
  <b:Source>
    <b:Tag>stockexchangepaper</b:Tag>
    <b:SourceType>Report</b:SourceType>
    <b:Guid>{8C8A332E-7B01-45AE-AABA-89E009FDA65C}</b:Guid>
    <b:Author>
      <b:Author>
        <b:Corporate>The Stock Exchange of Hong Kong Limited</b:Corporate>
      </b:Author>
    </b:Author>
    <b:Title>Consultation paper: review of the corporate governance code and related listing rules</b:Title>
    <b:Year>2017</b:Year>
    <b:Publisher>The Stock Exchange of Hong Kong Limited</b:Publisher>
    <b:City>Hong Kong</b:City>
    <b:RefOrder>23</b:RefOrder>
  </b:Source>
</b:Sources>
</file>

<file path=customXml/itemProps1.xml><?xml version="1.0" encoding="utf-8"?>
<ds:datastoreItem xmlns:ds="http://schemas.openxmlformats.org/officeDocument/2006/customXml" ds:itemID="{CF5919D8-9C6E-4123-B4B4-EF63B40A2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9127</Words>
  <Characters>52030</Characters>
  <Application>Microsoft Office Word</Application>
  <DocSecurity>0</DocSecurity>
  <Lines>433</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Kelvin Leung</dc:creator>
  <cp:keywords/>
  <dc:description/>
  <cp:lastModifiedBy>Kelvin Leung</cp:lastModifiedBy>
  <cp:revision>2</cp:revision>
  <cp:lastPrinted>2020-12-15T02:15:00Z</cp:lastPrinted>
  <dcterms:created xsi:type="dcterms:W3CDTF">2020-12-15T03:44:00Z</dcterms:created>
  <dcterms:modified xsi:type="dcterms:W3CDTF">2020-12-15T03:44:00Z</dcterms:modified>
</cp:coreProperties>
</file>