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D4E0C" w14:textId="77777777" w:rsidR="0050563C" w:rsidRDefault="00000000">
      <w:pPr>
        <w:pStyle w:val="NormalWeb"/>
        <w:ind w:left="-180" w:right="-334"/>
      </w:pPr>
      <w:r>
        <w:rPr>
          <w:noProof/>
        </w:rPr>
        <w:drawing>
          <wp:inline distT="0" distB="0" distL="0" distR="0" wp14:anchorId="4F6F287D" wp14:editId="76712710">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14:paraId="3D17F5AE" w14:textId="77777777" w:rsidR="0050563C" w:rsidRDefault="0050563C">
      <w:pPr>
        <w:pStyle w:val="NormalWeb"/>
        <w:ind w:left="-180" w:right="-334"/>
      </w:pPr>
    </w:p>
    <w:p w14:paraId="5B38ED73" w14:textId="77777777" w:rsidR="0050563C" w:rsidRDefault="0050563C">
      <w:pPr>
        <w:pStyle w:val="NormalWeb"/>
        <w:ind w:left="-180" w:right="-334"/>
      </w:pPr>
    </w:p>
    <w:p w14:paraId="31FA3B6E" w14:textId="77777777" w:rsidR="0050563C" w:rsidRDefault="00000000">
      <w:pPr>
        <w:pStyle w:val="NormalWeb"/>
        <w:ind w:left="-180" w:right="-334"/>
        <w:jc w:val="center"/>
      </w:pPr>
      <w:r>
        <w:rPr>
          <w:rFonts w:ascii="Arial" w:hAnsi="Arial"/>
          <w:b/>
          <w:sz w:val="28"/>
          <w:szCs w:val="28"/>
        </w:rPr>
        <w:t xml:space="preserve">Postgraduate/Distance Learning </w:t>
      </w:r>
    </w:p>
    <w:p w14:paraId="67C6BEF4" w14:textId="77777777" w:rsidR="0050563C" w:rsidRDefault="00000000">
      <w:pPr>
        <w:pStyle w:val="NormalWeb"/>
        <w:ind w:left="-180" w:right="-334"/>
        <w:jc w:val="center"/>
        <w:rPr>
          <w:rFonts w:ascii="Arial" w:hAnsi="Arial"/>
          <w:b/>
          <w:sz w:val="28"/>
          <w:szCs w:val="28"/>
        </w:rPr>
      </w:pPr>
      <w:r>
        <w:rPr>
          <w:rFonts w:ascii="Arial" w:hAnsi="Arial"/>
          <w:b/>
          <w:sz w:val="28"/>
          <w:szCs w:val="28"/>
        </w:rPr>
        <w:t>Assignment coversheet &amp; feedback form</w:t>
      </w:r>
    </w:p>
    <w:p w14:paraId="4E98883B" w14:textId="77777777" w:rsidR="0050563C" w:rsidRDefault="0050563C">
      <w:pPr>
        <w:rPr>
          <w:rFonts w:ascii="Arial" w:hAnsi="Arial"/>
          <w:sz w:val="28"/>
          <w:szCs w:val="28"/>
        </w:rPr>
      </w:pPr>
    </w:p>
    <w:p w14:paraId="4CAF275C" w14:textId="77777777" w:rsidR="0050563C" w:rsidRDefault="00000000">
      <w:pPr>
        <w:pStyle w:val="Heading3"/>
        <w:jc w:val="center"/>
      </w:pPr>
      <w:r>
        <w:t xml:space="preserve">THIS SHEET MUST BE THE FIRST PAGE OF THE ASSIGNMENT YOU ARE </w:t>
      </w:r>
      <w:proofErr w:type="gramStart"/>
      <w:r>
        <w:t>SUBMITTING  (</w:t>
      </w:r>
      <w:proofErr w:type="gramEnd"/>
      <w:r>
        <w:t>DO NOT SEND AS A SEPARATE FILE)</w:t>
      </w:r>
    </w:p>
    <w:p w14:paraId="7685CBC9" w14:textId="77777777" w:rsidR="0050563C" w:rsidRDefault="0050563C">
      <w:pPr>
        <w:pStyle w:val="Heading3"/>
        <w:jc w:val="center"/>
        <w:rPr>
          <w:rFonts w:ascii="Trebuchet MS" w:hAnsi="Trebuchet MS"/>
        </w:rPr>
      </w:pPr>
    </w:p>
    <w:tbl>
      <w:tblPr>
        <w:tblW w:w="0" w:type="auto"/>
        <w:tblLook w:val="04A0" w:firstRow="1" w:lastRow="0" w:firstColumn="1" w:lastColumn="0" w:noHBand="0" w:noVBand="1"/>
      </w:tblPr>
      <w:tblGrid>
        <w:gridCol w:w="4788"/>
        <w:gridCol w:w="423"/>
        <w:gridCol w:w="1557"/>
        <w:gridCol w:w="286"/>
        <w:gridCol w:w="1802"/>
      </w:tblGrid>
      <w:tr w:rsidR="0050563C" w14:paraId="2A14502A" w14:textId="77777777">
        <w:trPr>
          <w:trHeight w:val="614"/>
        </w:trPr>
        <w:tc>
          <w:tcPr>
            <w:tcW w:w="8856" w:type="dxa"/>
            <w:gridSpan w:val="5"/>
          </w:tcPr>
          <w:p w14:paraId="05E7D649" w14:textId="77777777" w:rsidR="0050563C" w:rsidRDefault="00000000">
            <w:pPr>
              <w:pStyle w:val="NormalWeb"/>
              <w:ind w:right="34"/>
            </w:pPr>
            <w:r>
              <w:rPr>
                <w:rFonts w:ascii="Arial" w:hAnsi="Arial"/>
                <w:b/>
                <w:sz w:val="22"/>
                <w:szCs w:val="22"/>
              </w:rPr>
              <w:t>For completion by the student</w:t>
            </w:r>
            <w:r>
              <w:rPr>
                <w:rFonts w:ascii="Arial" w:hAnsi="Arial"/>
                <w:sz w:val="22"/>
                <w:szCs w:val="22"/>
              </w:rPr>
              <w:t>:</w:t>
            </w:r>
          </w:p>
        </w:tc>
      </w:tr>
      <w:tr w:rsidR="0050563C" w14:paraId="2C3DAF36" w14:textId="77777777">
        <w:trPr>
          <w:trHeight w:val="718"/>
        </w:trPr>
        <w:tc>
          <w:tcPr>
            <w:tcW w:w="8856" w:type="dxa"/>
            <w:gridSpan w:val="5"/>
          </w:tcPr>
          <w:p w14:paraId="68542416" w14:textId="38F61525" w:rsidR="0050563C" w:rsidRDefault="00000000">
            <w:pPr>
              <w:pStyle w:val="NormalWeb"/>
              <w:ind w:right="34"/>
              <w:rPr>
                <w:rFonts w:ascii="Arial" w:hAnsi="Arial"/>
                <w:sz w:val="22"/>
                <w:szCs w:val="22"/>
              </w:rPr>
            </w:pPr>
            <w:r>
              <w:rPr>
                <w:rFonts w:ascii="Arial" w:hAnsi="Arial"/>
                <w:sz w:val="22"/>
                <w:szCs w:val="22"/>
              </w:rPr>
              <w:t>Student Name:</w:t>
            </w:r>
            <w:r w:rsidR="00A45AB3">
              <w:rPr>
                <w:rFonts w:ascii="Arial" w:hAnsi="Arial"/>
                <w:sz w:val="22"/>
                <w:szCs w:val="22"/>
              </w:rPr>
              <w:t xml:space="preserve"> Kate Blackham</w:t>
            </w:r>
          </w:p>
          <w:p w14:paraId="7EF94F1B" w14:textId="77777777" w:rsidR="0050563C" w:rsidRDefault="0050563C">
            <w:pPr>
              <w:pStyle w:val="NormalWeb"/>
              <w:ind w:right="34"/>
              <w:rPr>
                <w:rFonts w:ascii="Arial" w:hAnsi="Arial"/>
                <w:sz w:val="22"/>
                <w:szCs w:val="22"/>
              </w:rPr>
            </w:pPr>
          </w:p>
          <w:p w14:paraId="3D5CCD53" w14:textId="7D2E330C" w:rsidR="0050563C" w:rsidRDefault="00000000">
            <w:pPr>
              <w:pStyle w:val="NormalWeb"/>
              <w:ind w:right="34"/>
            </w:pPr>
            <w:r>
              <w:rPr>
                <w:rFonts w:ascii="Arial" w:hAnsi="Arial"/>
                <w:sz w:val="22"/>
                <w:szCs w:val="22"/>
              </w:rPr>
              <w:t xml:space="preserve">Student </w:t>
            </w:r>
            <w:r>
              <w:rPr>
                <w:rFonts w:ascii="Arial" w:hAnsi="Arial"/>
                <w:b/>
                <w:sz w:val="22"/>
                <w:szCs w:val="22"/>
                <w:u w:val="single"/>
              </w:rPr>
              <w:t>University</w:t>
            </w:r>
            <w:r>
              <w:rPr>
                <w:rFonts w:ascii="Arial" w:hAnsi="Arial"/>
                <w:sz w:val="22"/>
                <w:szCs w:val="22"/>
                <w:u w:val="single"/>
              </w:rPr>
              <w:t xml:space="preserve"> </w:t>
            </w:r>
            <w:r>
              <w:rPr>
                <w:rFonts w:ascii="Arial" w:hAnsi="Arial"/>
                <w:sz w:val="22"/>
                <w:szCs w:val="22"/>
              </w:rPr>
              <w:t xml:space="preserve">Email: </w:t>
            </w:r>
            <w:r w:rsidR="00A45AB3">
              <w:rPr>
                <w:rFonts w:ascii="Arial" w:hAnsi="Arial"/>
                <w:sz w:val="22"/>
                <w:szCs w:val="22"/>
              </w:rPr>
              <w:t>27003372@student.uwtsd.ac.uk</w:t>
            </w:r>
          </w:p>
        </w:tc>
      </w:tr>
      <w:tr w:rsidR="0050563C" w14:paraId="2D6ADD57" w14:textId="77777777">
        <w:trPr>
          <w:trHeight w:val="849"/>
        </w:trPr>
        <w:tc>
          <w:tcPr>
            <w:tcW w:w="4788" w:type="dxa"/>
          </w:tcPr>
          <w:p w14:paraId="55777E16" w14:textId="095DF500" w:rsidR="0050563C" w:rsidRDefault="00000000">
            <w:pPr>
              <w:pStyle w:val="NormalWeb"/>
              <w:ind w:right="34"/>
              <w:rPr>
                <w:rFonts w:ascii="Arial" w:hAnsi="Arial"/>
                <w:sz w:val="22"/>
                <w:szCs w:val="22"/>
              </w:rPr>
            </w:pPr>
            <w:r>
              <w:rPr>
                <w:rFonts w:ascii="Arial" w:hAnsi="Arial"/>
                <w:sz w:val="22"/>
                <w:szCs w:val="22"/>
              </w:rPr>
              <w:t>Module code:</w:t>
            </w:r>
            <w:r w:rsidR="00A45AB3">
              <w:rPr>
                <w:rFonts w:ascii="Arial" w:hAnsi="Arial"/>
                <w:sz w:val="22"/>
                <w:szCs w:val="22"/>
              </w:rPr>
              <w:t xml:space="preserve"> HPCA70</w:t>
            </w:r>
            <w:r w:rsidR="00410FF5">
              <w:rPr>
                <w:rFonts w:ascii="Arial" w:hAnsi="Arial"/>
                <w:sz w:val="22"/>
                <w:szCs w:val="22"/>
              </w:rPr>
              <w:t>16</w:t>
            </w:r>
          </w:p>
          <w:p w14:paraId="642CF92B" w14:textId="77777777" w:rsidR="0050563C" w:rsidRDefault="0050563C">
            <w:pPr>
              <w:pStyle w:val="NormalWeb"/>
              <w:ind w:right="34"/>
              <w:rPr>
                <w:rFonts w:ascii="Arial" w:hAnsi="Arial"/>
                <w:sz w:val="22"/>
                <w:szCs w:val="22"/>
              </w:rPr>
            </w:pPr>
          </w:p>
          <w:p w14:paraId="2C5FC508" w14:textId="3C283B18" w:rsidR="0050563C" w:rsidRDefault="00000000">
            <w:pPr>
              <w:pStyle w:val="NormalWeb"/>
              <w:ind w:right="34"/>
              <w:rPr>
                <w:rFonts w:ascii="Arial" w:hAnsi="Arial"/>
                <w:sz w:val="22"/>
                <w:szCs w:val="22"/>
              </w:rPr>
            </w:pPr>
            <w:r>
              <w:rPr>
                <w:rFonts w:ascii="Arial" w:hAnsi="Arial"/>
                <w:sz w:val="22"/>
                <w:szCs w:val="22"/>
              </w:rPr>
              <w:t>Module title:</w:t>
            </w:r>
            <w:r w:rsidR="00A45AB3">
              <w:rPr>
                <w:rFonts w:ascii="Arial" w:hAnsi="Arial"/>
                <w:sz w:val="22"/>
                <w:szCs w:val="22"/>
              </w:rPr>
              <w:t xml:space="preserve"> </w:t>
            </w:r>
            <w:r w:rsidR="00410FF5">
              <w:rPr>
                <w:rFonts w:ascii="Arial" w:hAnsi="Arial"/>
                <w:sz w:val="22"/>
                <w:szCs w:val="22"/>
              </w:rPr>
              <w:t>Researching Contemporary Cosmologies</w:t>
            </w:r>
          </w:p>
          <w:p w14:paraId="711698A6" w14:textId="77777777" w:rsidR="0050563C" w:rsidRDefault="0050563C">
            <w:pPr>
              <w:pStyle w:val="NormalWeb"/>
              <w:ind w:right="34"/>
              <w:rPr>
                <w:rFonts w:ascii="Arial" w:hAnsi="Arial"/>
                <w:sz w:val="22"/>
                <w:szCs w:val="22"/>
              </w:rPr>
            </w:pPr>
          </w:p>
          <w:p w14:paraId="0AEB02DB" w14:textId="77777777" w:rsidR="0050563C" w:rsidRDefault="0050563C">
            <w:pPr>
              <w:pStyle w:val="NormalWeb"/>
              <w:ind w:right="34"/>
            </w:pPr>
          </w:p>
        </w:tc>
        <w:tc>
          <w:tcPr>
            <w:tcW w:w="2266" w:type="dxa"/>
            <w:gridSpan w:val="3"/>
          </w:tcPr>
          <w:p w14:paraId="061C47B0" w14:textId="77777777" w:rsidR="0050563C" w:rsidRDefault="00000000">
            <w:pPr>
              <w:pStyle w:val="NormalWeb"/>
              <w:ind w:right="34"/>
              <w:rPr>
                <w:rFonts w:ascii="Arial" w:hAnsi="Arial"/>
                <w:sz w:val="22"/>
                <w:szCs w:val="22"/>
              </w:rPr>
            </w:pPr>
            <w:r>
              <w:rPr>
                <w:rFonts w:ascii="Arial" w:hAnsi="Arial"/>
                <w:sz w:val="22"/>
                <w:szCs w:val="22"/>
              </w:rPr>
              <w:t>Student ID number:</w:t>
            </w:r>
          </w:p>
          <w:p w14:paraId="74D94A6C" w14:textId="05F6E3D0" w:rsidR="00A45AB3" w:rsidRDefault="00A45AB3">
            <w:pPr>
              <w:pStyle w:val="NormalWeb"/>
              <w:ind w:right="34"/>
            </w:pPr>
            <w:r>
              <w:rPr>
                <w:rFonts w:ascii="Arial" w:hAnsi="Arial"/>
                <w:sz w:val="22"/>
                <w:szCs w:val="22"/>
              </w:rPr>
              <w:t>27003372</w:t>
            </w:r>
          </w:p>
        </w:tc>
        <w:tc>
          <w:tcPr>
            <w:tcW w:w="1802" w:type="dxa"/>
          </w:tcPr>
          <w:p w14:paraId="4F08FA49" w14:textId="77777777" w:rsidR="0050563C" w:rsidRDefault="00000000">
            <w:pPr>
              <w:pStyle w:val="NormalWeb"/>
              <w:ind w:right="34"/>
            </w:pPr>
            <w:r>
              <w:rPr>
                <w:rFonts w:ascii="Arial" w:hAnsi="Arial"/>
                <w:sz w:val="22"/>
                <w:szCs w:val="22"/>
              </w:rPr>
              <w:t>Educational support needs:</w:t>
            </w:r>
          </w:p>
          <w:p w14:paraId="26768F79" w14:textId="77777777" w:rsidR="0050563C" w:rsidRDefault="00000000">
            <w:pPr>
              <w:pStyle w:val="NormalWeb"/>
              <w:ind w:right="34"/>
            </w:pPr>
            <w:r w:rsidRPr="00A45AB3">
              <w:rPr>
                <w:rFonts w:ascii="Arial" w:hAnsi="Arial"/>
                <w:strike/>
                <w:sz w:val="22"/>
                <w:szCs w:val="22"/>
              </w:rPr>
              <w:t>Yes/</w:t>
            </w:r>
            <w:r>
              <w:rPr>
                <w:rFonts w:ascii="Arial" w:hAnsi="Arial"/>
                <w:sz w:val="22"/>
                <w:szCs w:val="22"/>
              </w:rPr>
              <w:t>No</w:t>
            </w:r>
          </w:p>
        </w:tc>
      </w:tr>
      <w:tr w:rsidR="0050563C" w14:paraId="264DF2AA" w14:textId="77777777">
        <w:trPr>
          <w:trHeight w:val="1139"/>
        </w:trPr>
        <w:tc>
          <w:tcPr>
            <w:tcW w:w="8856" w:type="dxa"/>
            <w:gridSpan w:val="5"/>
          </w:tcPr>
          <w:p w14:paraId="77BA17E9" w14:textId="0E4927C1" w:rsidR="0050563C" w:rsidRDefault="00000000">
            <w:pPr>
              <w:pStyle w:val="NormalWeb"/>
              <w:ind w:right="34"/>
            </w:pPr>
            <w:r>
              <w:rPr>
                <w:rFonts w:ascii="Arial" w:hAnsi="Arial"/>
                <w:sz w:val="22"/>
                <w:szCs w:val="22"/>
              </w:rPr>
              <w:t>Assignment title:</w:t>
            </w:r>
            <w:r w:rsidR="00A45AB3">
              <w:rPr>
                <w:rFonts w:ascii="Arial" w:hAnsi="Arial"/>
                <w:sz w:val="22"/>
                <w:szCs w:val="22"/>
              </w:rPr>
              <w:t xml:space="preserve"> </w:t>
            </w:r>
            <w:r w:rsidR="005A0A03">
              <w:rPr>
                <w:rFonts w:ascii="Arial" w:hAnsi="Arial"/>
                <w:sz w:val="22"/>
                <w:szCs w:val="22"/>
              </w:rPr>
              <w:t>A Critical Comparison of Two Secondary Sources</w:t>
            </w:r>
          </w:p>
          <w:p w14:paraId="39344686" w14:textId="77777777" w:rsidR="0050563C" w:rsidRDefault="0050563C">
            <w:pPr>
              <w:pStyle w:val="NormalWeb"/>
              <w:ind w:right="34"/>
              <w:rPr>
                <w:rFonts w:ascii="Arial" w:hAnsi="Arial"/>
                <w:sz w:val="22"/>
                <w:szCs w:val="22"/>
              </w:rPr>
            </w:pPr>
          </w:p>
          <w:p w14:paraId="25824658" w14:textId="77777777" w:rsidR="0050563C" w:rsidRDefault="0050563C">
            <w:pPr>
              <w:pStyle w:val="NormalWeb"/>
              <w:ind w:right="34"/>
              <w:rPr>
                <w:rFonts w:ascii="Arial" w:hAnsi="Arial"/>
                <w:sz w:val="22"/>
                <w:szCs w:val="22"/>
              </w:rPr>
            </w:pPr>
          </w:p>
          <w:p w14:paraId="11D15246" w14:textId="093BB61C" w:rsidR="0050563C" w:rsidRDefault="00000000">
            <w:pPr>
              <w:pStyle w:val="NormalWeb"/>
              <w:ind w:right="34"/>
            </w:pPr>
            <w:r>
              <w:rPr>
                <w:rFonts w:ascii="Arial" w:hAnsi="Arial"/>
                <w:sz w:val="22"/>
                <w:szCs w:val="22"/>
              </w:rPr>
              <w:t>Assignment due date:</w:t>
            </w:r>
            <w:r w:rsidR="00A45AB3">
              <w:rPr>
                <w:rFonts w:ascii="Arial" w:hAnsi="Arial"/>
                <w:sz w:val="22"/>
                <w:szCs w:val="22"/>
              </w:rPr>
              <w:t xml:space="preserve"> </w:t>
            </w:r>
            <w:r w:rsidR="00410FF5">
              <w:rPr>
                <w:rFonts w:ascii="Arial" w:hAnsi="Arial"/>
                <w:sz w:val="22"/>
                <w:szCs w:val="22"/>
              </w:rPr>
              <w:t>15</w:t>
            </w:r>
            <w:r w:rsidR="00A45AB3">
              <w:rPr>
                <w:rFonts w:ascii="Arial" w:hAnsi="Arial"/>
                <w:sz w:val="22"/>
                <w:szCs w:val="22"/>
              </w:rPr>
              <w:t>/3/2</w:t>
            </w:r>
            <w:r w:rsidR="00410FF5">
              <w:rPr>
                <w:rFonts w:ascii="Arial" w:hAnsi="Arial"/>
                <w:sz w:val="22"/>
                <w:szCs w:val="22"/>
              </w:rPr>
              <w:t>4</w:t>
            </w:r>
          </w:p>
        </w:tc>
      </w:tr>
      <w:tr w:rsidR="0050563C" w14:paraId="5422550E" w14:textId="77777777">
        <w:trPr>
          <w:trHeight w:val="978"/>
        </w:trPr>
        <w:tc>
          <w:tcPr>
            <w:tcW w:w="8856" w:type="dxa"/>
            <w:gridSpan w:val="5"/>
            <w:tcBorders>
              <w:bottom w:val="single" w:sz="4" w:space="0" w:color="000000"/>
            </w:tcBorders>
          </w:tcPr>
          <w:p w14:paraId="1763362F" w14:textId="52C60B24" w:rsidR="0050563C" w:rsidRDefault="00000000">
            <w:r>
              <w:rPr>
                <w:rFonts w:ascii="Arial" w:hAnsi="Arial"/>
                <w:sz w:val="22"/>
                <w:szCs w:val="22"/>
              </w:rPr>
              <w:t xml:space="preserve">This assignment is for the       </w:t>
            </w:r>
            <w:r w:rsidRPr="00410FF5">
              <w:rPr>
                <w:rFonts w:ascii="Arial" w:hAnsi="Arial"/>
                <w:sz w:val="22"/>
                <w:szCs w:val="22"/>
              </w:rPr>
              <w:t>1</w:t>
            </w:r>
            <w:r w:rsidRPr="00410FF5">
              <w:rPr>
                <w:rFonts w:ascii="Arial" w:hAnsi="Arial"/>
                <w:sz w:val="22"/>
                <w:szCs w:val="22"/>
                <w:vertAlign w:val="superscript"/>
              </w:rPr>
              <w:t>st</w:t>
            </w:r>
            <w:r w:rsidRPr="00410FF5">
              <w:rPr>
                <w:rFonts w:ascii="Arial" w:hAnsi="Arial"/>
                <w:sz w:val="22"/>
                <w:szCs w:val="22"/>
              </w:rPr>
              <w:t xml:space="preserve"> </w:t>
            </w:r>
            <w:r>
              <w:rPr>
                <w:rFonts w:ascii="Arial" w:hAnsi="Arial"/>
                <w:sz w:val="22"/>
                <w:szCs w:val="22"/>
              </w:rPr>
              <w:t xml:space="preserve">   2</w:t>
            </w:r>
            <w:r>
              <w:rPr>
                <w:rFonts w:ascii="Arial" w:hAnsi="Arial"/>
                <w:sz w:val="22"/>
                <w:szCs w:val="22"/>
                <w:vertAlign w:val="superscript"/>
              </w:rPr>
              <w:t>nd</w:t>
            </w:r>
            <w:r>
              <w:rPr>
                <w:rFonts w:ascii="Arial" w:hAnsi="Arial"/>
                <w:sz w:val="22"/>
                <w:szCs w:val="22"/>
              </w:rPr>
              <w:t xml:space="preserve">       3</w:t>
            </w:r>
            <w:r>
              <w:rPr>
                <w:rFonts w:ascii="Arial" w:hAnsi="Arial"/>
                <w:sz w:val="22"/>
                <w:szCs w:val="22"/>
                <w:vertAlign w:val="superscript"/>
              </w:rPr>
              <w:t>rd</w:t>
            </w:r>
            <w:r>
              <w:rPr>
                <w:rFonts w:ascii="Arial" w:hAnsi="Arial"/>
                <w:sz w:val="22"/>
                <w:szCs w:val="22"/>
              </w:rPr>
              <w:t xml:space="preserve">        </w:t>
            </w:r>
            <w:r w:rsidRPr="00410FF5">
              <w:rPr>
                <w:rFonts w:ascii="Arial" w:hAnsi="Arial"/>
                <w:sz w:val="22"/>
                <w:szCs w:val="22"/>
                <w:bdr w:val="single" w:sz="4" w:space="0" w:color="auto"/>
              </w:rPr>
              <w:t>4</w:t>
            </w:r>
            <w:r w:rsidRPr="00410FF5">
              <w:rPr>
                <w:rFonts w:ascii="Arial" w:hAnsi="Arial"/>
                <w:sz w:val="22"/>
                <w:szCs w:val="22"/>
                <w:bdr w:val="single" w:sz="4" w:space="0" w:color="auto"/>
                <w:vertAlign w:val="superscript"/>
              </w:rPr>
              <w:t>th</w:t>
            </w:r>
            <w:r>
              <w:rPr>
                <w:rFonts w:ascii="Arial" w:hAnsi="Arial"/>
                <w:sz w:val="22"/>
                <w:szCs w:val="22"/>
              </w:rPr>
              <w:t xml:space="preserve">       5</w:t>
            </w:r>
            <w:r>
              <w:rPr>
                <w:rFonts w:ascii="Arial" w:hAnsi="Arial"/>
                <w:sz w:val="22"/>
                <w:szCs w:val="22"/>
                <w:vertAlign w:val="superscript"/>
              </w:rPr>
              <w:t>th</w:t>
            </w:r>
            <w:r>
              <w:rPr>
                <w:rFonts w:ascii="Arial" w:hAnsi="Arial"/>
                <w:sz w:val="22"/>
                <w:szCs w:val="22"/>
              </w:rPr>
              <w:t xml:space="preserve">       6</w:t>
            </w:r>
            <w:r>
              <w:rPr>
                <w:rFonts w:ascii="Arial" w:hAnsi="Arial"/>
                <w:sz w:val="22"/>
                <w:szCs w:val="22"/>
                <w:vertAlign w:val="superscript"/>
              </w:rPr>
              <w:t>th</w:t>
            </w:r>
            <w:r>
              <w:rPr>
                <w:rFonts w:ascii="Arial" w:hAnsi="Arial"/>
                <w:sz w:val="22"/>
                <w:szCs w:val="22"/>
              </w:rPr>
              <w:t xml:space="preserve"> </w:t>
            </w:r>
            <w:r>
              <w:rPr>
                <w:rFonts w:ascii="Arial" w:hAnsi="Arial"/>
                <w:b/>
                <w:sz w:val="22"/>
                <w:szCs w:val="22"/>
              </w:rPr>
              <w:t xml:space="preserve">   </w:t>
            </w:r>
            <w:r>
              <w:rPr>
                <w:rFonts w:ascii="Arial" w:hAnsi="Arial"/>
                <w:sz w:val="22"/>
                <w:szCs w:val="22"/>
              </w:rPr>
              <w:t>module of the degree</w:t>
            </w:r>
          </w:p>
        </w:tc>
      </w:tr>
      <w:tr w:rsidR="0050563C" w14:paraId="6A070CF8" w14:textId="77777777">
        <w:trPr>
          <w:trHeight w:val="978"/>
        </w:trPr>
        <w:tc>
          <w:tcPr>
            <w:tcW w:w="8856" w:type="dxa"/>
            <w:gridSpan w:val="5"/>
            <w:shd w:val="clear" w:color="auto" w:fill="D9D9D9"/>
          </w:tcPr>
          <w:p w14:paraId="4425EBD4" w14:textId="77777777" w:rsidR="0050563C" w:rsidRDefault="00000000">
            <w:pPr>
              <w:pStyle w:val="NormalWeb"/>
              <w:ind w:right="34"/>
            </w:pPr>
            <w:r>
              <w:rPr>
                <w:rFonts w:ascii="Arial" w:hAnsi="Arial"/>
                <w:sz w:val="22"/>
                <w:szCs w:val="22"/>
              </w:rPr>
              <w:t>I confirm that this is my original work and that I have adhered to the University policy on plagiarism.</w:t>
            </w:r>
          </w:p>
          <w:p w14:paraId="7DD4F383" w14:textId="1C52B5D6" w:rsidR="0050563C" w:rsidRDefault="00000000">
            <w:pPr>
              <w:pStyle w:val="NormalWeb"/>
              <w:ind w:right="34"/>
              <w:rPr>
                <w:rFonts w:ascii="Arial" w:hAnsi="Arial"/>
                <w:sz w:val="22"/>
                <w:szCs w:val="22"/>
              </w:rPr>
            </w:pPr>
            <w:r>
              <w:rPr>
                <w:rFonts w:ascii="Arial" w:hAnsi="Arial"/>
                <w:sz w:val="22"/>
                <w:szCs w:val="22"/>
              </w:rPr>
              <w:t>Signed ……</w:t>
            </w:r>
            <w:r w:rsidR="00A45AB3">
              <w:rPr>
                <w:rFonts w:ascii="Arial" w:hAnsi="Arial"/>
                <w:sz w:val="22"/>
                <w:szCs w:val="22"/>
              </w:rPr>
              <w:t>Kate Blackham</w:t>
            </w:r>
            <w:r>
              <w:rPr>
                <w:rFonts w:ascii="Arial" w:hAnsi="Arial"/>
                <w:sz w:val="22"/>
                <w:szCs w:val="22"/>
              </w:rPr>
              <w:t>………………………………………………………</w:t>
            </w:r>
          </w:p>
          <w:p w14:paraId="6D8EDE13" w14:textId="7B21763B" w:rsidR="0050563C" w:rsidRDefault="00000000">
            <w:pPr>
              <w:pStyle w:val="NormalWeb"/>
              <w:ind w:right="34"/>
              <w:rPr>
                <w:rFonts w:ascii="Calibri" w:hAnsi="Calibri"/>
                <w:b/>
                <w:sz w:val="44"/>
                <w:szCs w:val="44"/>
              </w:rPr>
            </w:pPr>
            <w:r>
              <w:rPr>
                <w:rFonts w:ascii="Calibri" w:hAnsi="Calibri"/>
                <w:b/>
                <w:sz w:val="24"/>
                <w:szCs w:val="24"/>
              </w:rPr>
              <w:t xml:space="preserve">Email </w:t>
            </w:r>
            <w:proofErr w:type="spellStart"/>
            <w:proofErr w:type="gramStart"/>
            <w:r>
              <w:rPr>
                <w:rFonts w:ascii="Calibri" w:hAnsi="Calibri"/>
                <w:b/>
                <w:sz w:val="24"/>
                <w:szCs w:val="24"/>
              </w:rPr>
              <w:t>submission:if</w:t>
            </w:r>
            <w:proofErr w:type="spellEnd"/>
            <w:proofErr w:type="gramEnd"/>
            <w:r>
              <w:rPr>
                <w:rFonts w:ascii="Calibri" w:hAnsi="Calibri"/>
                <w:b/>
                <w:sz w:val="24"/>
                <w:szCs w:val="24"/>
              </w:rPr>
              <w:t xml:space="preserve"> you are submitting this form via email, please tick this box </w:t>
            </w:r>
            <w:r w:rsidRPr="00A45AB3">
              <w:rPr>
                <w:rFonts w:ascii="Calibri" w:hAnsi="Calibri"/>
                <w:b/>
                <w:strike/>
                <w:sz w:val="44"/>
                <w:szCs w:val="44"/>
              </w:rPr>
              <w:t>□</w:t>
            </w:r>
          </w:p>
          <w:p w14:paraId="1CEA77EA" w14:textId="77777777" w:rsidR="0050563C" w:rsidRDefault="00000000">
            <w:pPr>
              <w:pStyle w:val="NormalWeb"/>
              <w:ind w:right="34"/>
            </w:pPr>
            <w:r>
              <w:rPr>
                <w:rFonts w:ascii="Calibri" w:hAnsi="Calibri"/>
                <w:b/>
                <w:sz w:val="24"/>
                <w:szCs w:val="24"/>
              </w:rPr>
              <w:t>(</w:t>
            </w:r>
            <w:proofErr w:type="gramStart"/>
            <w:r>
              <w:rPr>
                <w:rFonts w:ascii="Calibri" w:hAnsi="Calibri"/>
                <w:b/>
                <w:sz w:val="24"/>
                <w:szCs w:val="24"/>
              </w:rPr>
              <w:t>as</w:t>
            </w:r>
            <w:proofErr w:type="gramEnd"/>
            <w:r>
              <w:rPr>
                <w:rFonts w:ascii="Calibri" w:hAnsi="Calibri"/>
                <w:b/>
                <w:sz w:val="24"/>
                <w:szCs w:val="24"/>
              </w:rPr>
              <w:t xml:space="preserve"> a substitute for your signature) to confirm that you agree to the above declaration.</w:t>
            </w:r>
          </w:p>
        </w:tc>
      </w:tr>
      <w:tr w:rsidR="0050563C" w14:paraId="10DA170A" w14:textId="77777777">
        <w:trPr>
          <w:trHeight w:val="3972"/>
        </w:trPr>
        <w:tc>
          <w:tcPr>
            <w:tcW w:w="8856" w:type="dxa"/>
            <w:gridSpan w:val="5"/>
          </w:tcPr>
          <w:p w14:paraId="2B897271" w14:textId="77777777" w:rsidR="0050563C" w:rsidRDefault="0050563C">
            <w:pPr>
              <w:rPr>
                <w:rFonts w:ascii="Arial" w:hAnsi="Arial"/>
                <w:b/>
              </w:rPr>
            </w:pPr>
          </w:p>
          <w:p w14:paraId="52F8258D" w14:textId="77777777" w:rsidR="0050563C" w:rsidRDefault="00000000">
            <w:pPr>
              <w:rPr>
                <w:rFonts w:ascii="Arial" w:hAnsi="Arial"/>
              </w:rPr>
            </w:pPr>
            <w:r>
              <w:rPr>
                <w:rFonts w:ascii="Arial" w:hAnsi="Arial"/>
                <w:b/>
              </w:rPr>
              <w:t>Assignment Mark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70"/>
              <w:gridCol w:w="1660"/>
            </w:tblGrid>
            <w:tr w:rsidR="0050563C" w14:paraId="4C19D74F" w14:textId="77777777">
              <w:tc>
                <w:tcPr>
                  <w:tcW w:w="6970" w:type="dxa"/>
                </w:tcPr>
                <w:p w14:paraId="14C57D86" w14:textId="77777777" w:rsidR="0050563C" w:rsidRDefault="0050563C">
                  <w:pPr>
                    <w:rPr>
                      <w:rFonts w:ascii="Arial" w:hAnsi="Arial"/>
                      <w:sz w:val="20"/>
                      <w:szCs w:val="20"/>
                    </w:rPr>
                  </w:pPr>
                </w:p>
                <w:p w14:paraId="776D3559" w14:textId="77777777" w:rsidR="0050563C" w:rsidRDefault="00000000">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Pr>
                <w:p w14:paraId="33A495F6" w14:textId="77777777" w:rsidR="0050563C" w:rsidRDefault="0050563C">
                  <w:pPr>
                    <w:rPr>
                      <w:rFonts w:ascii="Arial" w:hAnsi="Arial"/>
                      <w:sz w:val="20"/>
                      <w:szCs w:val="20"/>
                    </w:rPr>
                  </w:pPr>
                </w:p>
              </w:tc>
            </w:tr>
            <w:tr w:rsidR="0050563C" w14:paraId="71010C89" w14:textId="77777777">
              <w:tc>
                <w:tcPr>
                  <w:tcW w:w="6970" w:type="dxa"/>
                </w:tcPr>
                <w:p w14:paraId="1665BC7B" w14:textId="77777777" w:rsidR="0050563C" w:rsidRDefault="0050563C">
                  <w:pPr>
                    <w:rPr>
                      <w:rFonts w:ascii="Arial" w:hAnsi="Arial"/>
                      <w:sz w:val="20"/>
                      <w:szCs w:val="20"/>
                    </w:rPr>
                  </w:pPr>
                </w:p>
                <w:p w14:paraId="57FC78CC" w14:textId="77777777" w:rsidR="0050563C" w:rsidRDefault="00000000">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Pr>
                <w:p w14:paraId="0BB31A35" w14:textId="77777777" w:rsidR="0050563C" w:rsidRDefault="0050563C">
                  <w:pPr>
                    <w:rPr>
                      <w:rFonts w:ascii="Arial" w:hAnsi="Arial"/>
                      <w:sz w:val="20"/>
                      <w:szCs w:val="20"/>
                    </w:rPr>
                  </w:pPr>
                </w:p>
              </w:tc>
            </w:tr>
            <w:tr w:rsidR="0050563C" w14:paraId="665783F6" w14:textId="77777777">
              <w:tc>
                <w:tcPr>
                  <w:tcW w:w="6970" w:type="dxa"/>
                </w:tcPr>
                <w:p w14:paraId="504AE731" w14:textId="77777777" w:rsidR="0050563C" w:rsidRDefault="0050563C">
                  <w:pPr>
                    <w:rPr>
                      <w:rFonts w:ascii="Arial" w:hAnsi="Arial"/>
                      <w:sz w:val="20"/>
                      <w:szCs w:val="20"/>
                    </w:rPr>
                  </w:pPr>
                </w:p>
                <w:p w14:paraId="649433B7" w14:textId="77777777" w:rsidR="0050563C" w:rsidRDefault="00000000">
                  <w:pPr>
                    <w:rPr>
                      <w:rFonts w:ascii="Arial" w:hAnsi="Arial"/>
                      <w:sz w:val="20"/>
                      <w:szCs w:val="20"/>
                    </w:rPr>
                  </w:pPr>
                  <w:r>
                    <w:rPr>
                      <w:rFonts w:ascii="Arial" w:hAnsi="Arial"/>
                      <w:sz w:val="20"/>
                      <w:szCs w:val="20"/>
                    </w:rPr>
                    <w:t>External Examiner’s mark (if relevant)</w:t>
                  </w:r>
                </w:p>
              </w:tc>
              <w:tc>
                <w:tcPr>
                  <w:tcW w:w="1660" w:type="dxa"/>
                </w:tcPr>
                <w:p w14:paraId="2490E96B" w14:textId="77777777" w:rsidR="0050563C" w:rsidRDefault="0050563C">
                  <w:pPr>
                    <w:rPr>
                      <w:rFonts w:ascii="Arial" w:hAnsi="Arial"/>
                      <w:sz w:val="20"/>
                      <w:szCs w:val="20"/>
                    </w:rPr>
                  </w:pPr>
                </w:p>
              </w:tc>
            </w:tr>
            <w:tr w:rsidR="0050563C" w14:paraId="33C92F40" w14:textId="77777777">
              <w:tc>
                <w:tcPr>
                  <w:tcW w:w="6970" w:type="dxa"/>
                </w:tcPr>
                <w:p w14:paraId="466E6941" w14:textId="77777777" w:rsidR="0050563C" w:rsidRDefault="0050563C">
                  <w:pPr>
                    <w:rPr>
                      <w:rFonts w:ascii="Arial" w:hAnsi="Arial"/>
                      <w:sz w:val="20"/>
                      <w:szCs w:val="20"/>
                    </w:rPr>
                  </w:pPr>
                </w:p>
                <w:p w14:paraId="14C8CA3E" w14:textId="77777777" w:rsidR="0050563C" w:rsidRDefault="00000000">
                  <w:r>
                    <w:rPr>
                      <w:rFonts w:ascii="Arial" w:hAnsi="Arial"/>
                      <w:b/>
                      <w:sz w:val="20"/>
                      <w:szCs w:val="20"/>
                    </w:rPr>
                    <w:t>Final Mark</w:t>
                  </w:r>
                </w:p>
                <w:p w14:paraId="76036803" w14:textId="77777777" w:rsidR="0050563C" w:rsidRDefault="0050563C">
                  <w:pPr>
                    <w:rPr>
                      <w:rFonts w:ascii="Arial" w:hAnsi="Arial"/>
                      <w:sz w:val="20"/>
                      <w:szCs w:val="20"/>
                    </w:rPr>
                  </w:pPr>
                </w:p>
              </w:tc>
              <w:tc>
                <w:tcPr>
                  <w:tcW w:w="1660" w:type="dxa"/>
                </w:tcPr>
                <w:p w14:paraId="7BBA43D5" w14:textId="77777777" w:rsidR="0050563C" w:rsidRDefault="0050563C">
                  <w:pPr>
                    <w:rPr>
                      <w:rFonts w:ascii="Arial" w:hAnsi="Arial"/>
                      <w:sz w:val="20"/>
                      <w:szCs w:val="20"/>
                    </w:rPr>
                  </w:pPr>
                </w:p>
              </w:tc>
            </w:tr>
          </w:tbl>
          <w:p w14:paraId="4826813E" w14:textId="77777777" w:rsidR="0050563C" w:rsidRDefault="0050563C">
            <w:pPr>
              <w:pStyle w:val="NormalWeb"/>
              <w:ind w:left="142" w:right="34"/>
              <w:rPr>
                <w:rFonts w:ascii="Arial" w:hAnsi="Arial"/>
                <w:b/>
                <w:sz w:val="22"/>
                <w:szCs w:val="22"/>
              </w:rPr>
            </w:pPr>
          </w:p>
          <w:p w14:paraId="0838FCF2" w14:textId="77777777" w:rsidR="0050563C" w:rsidRDefault="00000000">
            <w:pPr>
              <w:pStyle w:val="NormalWeb"/>
              <w:ind w:left="142" w:right="34"/>
              <w:rPr>
                <w:rFonts w:ascii="Arial" w:hAnsi="Arial"/>
                <w:sz w:val="22"/>
                <w:szCs w:val="22"/>
              </w:rPr>
            </w:pPr>
            <w:r>
              <w:rPr>
                <w:rFonts w:ascii="Arial" w:hAnsi="Arial"/>
                <w:b/>
                <w:sz w:val="22"/>
                <w:szCs w:val="22"/>
              </w:rPr>
              <w:t>NB.</w:t>
            </w:r>
            <w:r>
              <w:rPr>
                <w:rFonts w:ascii="Arial" w:hAnsi="Arial"/>
                <w:sz w:val="22"/>
                <w:szCs w:val="22"/>
              </w:rPr>
              <w:t xml:space="preserve">  All marks are provisional until confirmed by the Final Examination Board.</w:t>
            </w:r>
          </w:p>
          <w:p w14:paraId="0D4C8617" w14:textId="77777777" w:rsidR="0050563C" w:rsidRDefault="0050563C">
            <w:pPr>
              <w:pStyle w:val="NormalWeb"/>
              <w:rPr>
                <w:rFonts w:ascii="Arial" w:hAnsi="Arial"/>
                <w:b/>
                <w:sz w:val="22"/>
                <w:szCs w:val="22"/>
              </w:rPr>
            </w:pPr>
          </w:p>
          <w:p w14:paraId="4BC0E058" w14:textId="77777777" w:rsidR="0050563C" w:rsidRDefault="0050563C">
            <w:pPr>
              <w:pStyle w:val="NormalWeb"/>
              <w:rPr>
                <w:rFonts w:ascii="Arial" w:hAnsi="Arial"/>
                <w:b/>
                <w:sz w:val="22"/>
                <w:szCs w:val="22"/>
              </w:rPr>
            </w:pPr>
          </w:p>
          <w:p w14:paraId="416B6E74" w14:textId="77777777" w:rsidR="0050563C" w:rsidRDefault="00000000">
            <w:pPr>
              <w:pStyle w:val="NormalWeb"/>
              <w:rPr>
                <w:rFonts w:ascii="Arial" w:hAnsi="Arial"/>
                <w:b/>
                <w:sz w:val="22"/>
                <w:szCs w:val="22"/>
              </w:rPr>
            </w:pPr>
            <w:r>
              <w:rPr>
                <w:rFonts w:ascii="Arial"/>
                <w:b/>
                <w:sz w:val="22"/>
              </w:rPr>
              <w:t xml:space="preserve">            ALL COMMENTS </w:t>
            </w:r>
            <w:proofErr w:type="gramStart"/>
            <w:r>
              <w:rPr>
                <w:rFonts w:ascii="Arial"/>
                <w:b/>
                <w:sz w:val="22"/>
              </w:rPr>
              <w:t>ARE  ON</w:t>
            </w:r>
            <w:proofErr w:type="gramEnd"/>
            <w:r>
              <w:rPr>
                <w:rFonts w:ascii="Arial"/>
                <w:b/>
                <w:sz w:val="22"/>
              </w:rPr>
              <w:t xml:space="preserve"> THE PDF OF YOUR PAPER IN TURNITIN </w:t>
            </w:r>
          </w:p>
          <w:p w14:paraId="517933DA" w14:textId="77777777" w:rsidR="0050563C" w:rsidRDefault="0050563C">
            <w:pPr>
              <w:pStyle w:val="NormalWeb"/>
              <w:rPr>
                <w:rFonts w:ascii="Arial" w:hAnsi="Arial"/>
                <w:b/>
                <w:sz w:val="22"/>
                <w:szCs w:val="22"/>
              </w:rPr>
            </w:pPr>
          </w:p>
          <w:p w14:paraId="31C718A0" w14:textId="77777777" w:rsidR="0050563C" w:rsidRDefault="0050563C">
            <w:pPr>
              <w:pStyle w:val="NormalWeb"/>
              <w:rPr>
                <w:rFonts w:ascii="Arial" w:hAnsi="Arial"/>
                <w:b/>
                <w:sz w:val="22"/>
                <w:szCs w:val="22"/>
              </w:rPr>
            </w:pPr>
          </w:p>
          <w:p w14:paraId="3E087137" w14:textId="77777777" w:rsidR="0050563C" w:rsidRDefault="00000000">
            <w:pPr>
              <w:pStyle w:val="NormalWeb"/>
            </w:pPr>
            <w:r>
              <w:rPr>
                <w:rFonts w:ascii="Arial" w:hAnsi="Arial"/>
                <w:b/>
                <w:sz w:val="22"/>
                <w:szCs w:val="22"/>
              </w:rPr>
              <w:t xml:space="preserve">For completion by Marker </w:t>
            </w:r>
            <w:proofErr w:type="gramStart"/>
            <w:r>
              <w:rPr>
                <w:rFonts w:ascii="Arial" w:hAnsi="Arial"/>
                <w:b/>
                <w:sz w:val="22"/>
                <w:szCs w:val="22"/>
              </w:rPr>
              <w:t>1 :</w:t>
            </w:r>
            <w:proofErr w:type="gramEnd"/>
          </w:p>
          <w:p w14:paraId="64EC2292" w14:textId="77777777" w:rsidR="0050563C" w:rsidRDefault="00000000">
            <w:pPr>
              <w:pStyle w:val="NormalWeb"/>
              <w:rPr>
                <w:rFonts w:ascii="Arial" w:hAnsi="Arial"/>
                <w:sz w:val="22"/>
                <w:szCs w:val="22"/>
              </w:rPr>
            </w:pPr>
            <w:r>
              <w:rPr>
                <w:rFonts w:ascii="Arial" w:hAnsi="Arial"/>
                <w:sz w:val="22"/>
                <w:szCs w:val="22"/>
              </w:rPr>
              <w:t>Comments:</w:t>
            </w:r>
          </w:p>
          <w:p w14:paraId="51F721D7" w14:textId="77777777" w:rsidR="0050563C" w:rsidRDefault="0050563C">
            <w:pPr>
              <w:pStyle w:val="NormalWeb"/>
            </w:pPr>
          </w:p>
        </w:tc>
      </w:tr>
      <w:tr w:rsidR="0050563C" w14:paraId="13C46C3A" w14:textId="77777777">
        <w:trPr>
          <w:trHeight w:val="492"/>
        </w:trPr>
        <w:tc>
          <w:tcPr>
            <w:tcW w:w="6768" w:type="dxa"/>
            <w:gridSpan w:val="3"/>
          </w:tcPr>
          <w:p w14:paraId="19B29D9F" w14:textId="77777777" w:rsidR="0050563C" w:rsidRDefault="00000000">
            <w:pPr>
              <w:pStyle w:val="NormalWeb"/>
              <w:ind w:left="142" w:right="34"/>
            </w:pPr>
            <w:r>
              <w:rPr>
                <w:rFonts w:ascii="Arial" w:hAnsi="Arial"/>
                <w:sz w:val="22"/>
                <w:szCs w:val="22"/>
              </w:rPr>
              <w:t>Marker’s signature:</w:t>
            </w:r>
          </w:p>
        </w:tc>
        <w:tc>
          <w:tcPr>
            <w:tcW w:w="2088" w:type="dxa"/>
            <w:gridSpan w:val="2"/>
          </w:tcPr>
          <w:p w14:paraId="74559F12" w14:textId="77777777" w:rsidR="0050563C" w:rsidRDefault="00000000">
            <w:pPr>
              <w:pStyle w:val="NormalWeb"/>
              <w:ind w:left="142" w:right="34"/>
            </w:pPr>
            <w:r>
              <w:rPr>
                <w:rFonts w:ascii="Arial" w:hAnsi="Arial"/>
                <w:sz w:val="22"/>
                <w:szCs w:val="22"/>
              </w:rPr>
              <w:t>Date:</w:t>
            </w:r>
          </w:p>
        </w:tc>
      </w:tr>
      <w:tr w:rsidR="0050563C" w14:paraId="36E13D5E" w14:textId="77777777">
        <w:tc>
          <w:tcPr>
            <w:tcW w:w="8856" w:type="dxa"/>
            <w:gridSpan w:val="5"/>
          </w:tcPr>
          <w:p w14:paraId="7178BC1E" w14:textId="77777777" w:rsidR="0050563C" w:rsidRDefault="0050563C">
            <w:pPr>
              <w:pStyle w:val="NormalWeb"/>
              <w:ind w:right="-334"/>
              <w:rPr>
                <w:rFonts w:ascii="Arial" w:hAnsi="Arial"/>
                <w:i/>
                <w:sz w:val="22"/>
                <w:szCs w:val="22"/>
              </w:rPr>
            </w:pPr>
          </w:p>
          <w:p w14:paraId="3FD5BCF1" w14:textId="77777777" w:rsidR="0050563C" w:rsidRDefault="00000000">
            <w:pPr>
              <w:pStyle w:val="NormalWeb"/>
              <w:ind w:right="-334"/>
            </w:pPr>
            <w:r>
              <w:rPr>
                <w:rFonts w:ascii="Arial" w:hAnsi="Arial"/>
                <w:b/>
                <w:sz w:val="22"/>
                <w:szCs w:val="22"/>
              </w:rPr>
              <w:t>For completion by Marker 2/Moderator:</w:t>
            </w:r>
          </w:p>
          <w:p w14:paraId="05BE2EB7" w14:textId="77777777" w:rsidR="0050563C" w:rsidRDefault="0050563C">
            <w:pPr>
              <w:pStyle w:val="NormalWeb"/>
              <w:ind w:right="-334"/>
              <w:rPr>
                <w:rFonts w:ascii="Arial" w:hAnsi="Arial"/>
                <w:b/>
                <w:sz w:val="22"/>
                <w:szCs w:val="22"/>
              </w:rPr>
            </w:pPr>
          </w:p>
          <w:p w14:paraId="6C12C8B1" w14:textId="77777777" w:rsidR="0050563C" w:rsidRDefault="00000000">
            <w:pPr>
              <w:pStyle w:val="NormalWeb"/>
              <w:ind w:right="-334"/>
            </w:pPr>
            <w:r>
              <w:rPr>
                <w:rFonts w:ascii="Arial" w:hAnsi="Arial"/>
                <w:sz w:val="22"/>
                <w:szCs w:val="22"/>
              </w:rPr>
              <w:t>Comments:</w:t>
            </w:r>
          </w:p>
          <w:p w14:paraId="27AA2091" w14:textId="77777777" w:rsidR="0050563C" w:rsidRDefault="0050563C">
            <w:pPr>
              <w:pStyle w:val="NormalWeb"/>
              <w:ind w:right="-334"/>
              <w:rPr>
                <w:rFonts w:ascii="Arial" w:hAnsi="Arial"/>
                <w:sz w:val="22"/>
                <w:szCs w:val="22"/>
              </w:rPr>
            </w:pPr>
          </w:p>
          <w:p w14:paraId="44B034AA" w14:textId="77777777" w:rsidR="0050563C" w:rsidRDefault="0050563C">
            <w:pPr>
              <w:pStyle w:val="NormalWeb"/>
              <w:ind w:right="-334"/>
              <w:rPr>
                <w:rFonts w:ascii="Arial" w:hAnsi="Arial"/>
                <w:sz w:val="22"/>
                <w:szCs w:val="22"/>
              </w:rPr>
            </w:pPr>
          </w:p>
        </w:tc>
      </w:tr>
      <w:tr w:rsidR="0050563C" w14:paraId="5911F95A" w14:textId="77777777">
        <w:trPr>
          <w:trHeight w:val="720"/>
        </w:trPr>
        <w:tc>
          <w:tcPr>
            <w:tcW w:w="5211" w:type="dxa"/>
            <w:gridSpan w:val="2"/>
          </w:tcPr>
          <w:p w14:paraId="79FC104B" w14:textId="77777777" w:rsidR="0050563C" w:rsidRDefault="00000000">
            <w:pPr>
              <w:pStyle w:val="NormalWeb"/>
              <w:ind w:right="-334"/>
            </w:pPr>
            <w:r>
              <w:rPr>
                <w:rFonts w:ascii="Arial" w:hAnsi="Arial"/>
                <w:sz w:val="22"/>
                <w:szCs w:val="22"/>
              </w:rPr>
              <w:t>Marker’s Signature:</w:t>
            </w:r>
          </w:p>
        </w:tc>
        <w:tc>
          <w:tcPr>
            <w:tcW w:w="3645" w:type="dxa"/>
            <w:gridSpan w:val="3"/>
          </w:tcPr>
          <w:p w14:paraId="560A0295" w14:textId="77777777" w:rsidR="0050563C" w:rsidRDefault="00000000">
            <w:pPr>
              <w:pStyle w:val="NormalWeb"/>
              <w:ind w:right="-334"/>
            </w:pPr>
            <w:r>
              <w:rPr>
                <w:rFonts w:ascii="Arial" w:hAnsi="Arial"/>
                <w:sz w:val="22"/>
                <w:szCs w:val="22"/>
              </w:rPr>
              <w:t>Date:</w:t>
            </w:r>
          </w:p>
        </w:tc>
      </w:tr>
      <w:tr w:rsidR="0050563C" w14:paraId="5F51327C" w14:textId="77777777">
        <w:trPr>
          <w:trHeight w:val="720"/>
        </w:trPr>
        <w:tc>
          <w:tcPr>
            <w:tcW w:w="8856" w:type="dxa"/>
            <w:gridSpan w:val="5"/>
          </w:tcPr>
          <w:p w14:paraId="2197C8C4" w14:textId="77777777" w:rsidR="0050563C" w:rsidRDefault="00000000">
            <w:r>
              <w:rPr>
                <w:rFonts w:ascii="Arial" w:hAnsi="Arial"/>
                <w:b/>
                <w:sz w:val="22"/>
                <w:szCs w:val="22"/>
              </w:rPr>
              <w:t>External Examiner’s comments (if relevant)</w:t>
            </w:r>
          </w:p>
          <w:p w14:paraId="56FDBD3A" w14:textId="77777777" w:rsidR="0050563C" w:rsidRDefault="0050563C">
            <w:pPr>
              <w:pStyle w:val="NormalWeb"/>
              <w:ind w:right="-334"/>
              <w:rPr>
                <w:rFonts w:ascii="Arial" w:hAnsi="Arial"/>
                <w:sz w:val="22"/>
                <w:szCs w:val="22"/>
              </w:rPr>
            </w:pPr>
          </w:p>
        </w:tc>
      </w:tr>
      <w:tr w:rsidR="0050563C" w14:paraId="19B2534D" w14:textId="77777777">
        <w:trPr>
          <w:trHeight w:val="720"/>
        </w:trPr>
        <w:tc>
          <w:tcPr>
            <w:tcW w:w="5211" w:type="dxa"/>
            <w:gridSpan w:val="2"/>
          </w:tcPr>
          <w:p w14:paraId="490AA5C6" w14:textId="77777777" w:rsidR="0050563C" w:rsidRDefault="00000000">
            <w:r>
              <w:rPr>
                <w:rFonts w:ascii="Arial" w:hAnsi="Arial"/>
                <w:sz w:val="22"/>
                <w:szCs w:val="22"/>
              </w:rPr>
              <w:t>External Examiner’s Signature:</w:t>
            </w:r>
          </w:p>
        </w:tc>
        <w:tc>
          <w:tcPr>
            <w:tcW w:w="3645" w:type="dxa"/>
            <w:gridSpan w:val="3"/>
          </w:tcPr>
          <w:p w14:paraId="388677E5" w14:textId="77777777" w:rsidR="0050563C" w:rsidRDefault="00000000">
            <w:r>
              <w:rPr>
                <w:rFonts w:ascii="Arial" w:hAnsi="Arial"/>
                <w:sz w:val="22"/>
                <w:szCs w:val="22"/>
              </w:rPr>
              <w:t>Date:</w:t>
            </w:r>
          </w:p>
        </w:tc>
      </w:tr>
    </w:tbl>
    <w:p w14:paraId="693272E8" w14:textId="77D39058" w:rsidR="0050563C" w:rsidRDefault="0050563C">
      <w:pPr>
        <w:pStyle w:val="NormalWeb"/>
        <w:ind w:right="-334"/>
        <w:rPr>
          <w:rFonts w:ascii="Trebuchet MS" w:hAnsi="Trebuchet MS"/>
          <w:sz w:val="24"/>
          <w:szCs w:val="24"/>
        </w:rPr>
      </w:pPr>
    </w:p>
    <w:p w14:paraId="0A557490" w14:textId="0B655DB5" w:rsidR="00994E1E" w:rsidRDefault="00994E1E">
      <w:pPr>
        <w:pStyle w:val="NormalWeb"/>
        <w:ind w:right="-334"/>
        <w:rPr>
          <w:rFonts w:ascii="Trebuchet MS" w:hAnsi="Trebuchet MS"/>
          <w:sz w:val="24"/>
          <w:szCs w:val="24"/>
        </w:rPr>
      </w:pPr>
    </w:p>
    <w:p w14:paraId="4AC88E5E" w14:textId="0B0A8D09" w:rsidR="00994E1E" w:rsidRDefault="00994E1E">
      <w:pPr>
        <w:pStyle w:val="NormalWeb"/>
        <w:ind w:right="-334"/>
        <w:rPr>
          <w:rFonts w:ascii="Trebuchet MS" w:hAnsi="Trebuchet MS"/>
          <w:sz w:val="24"/>
          <w:szCs w:val="24"/>
        </w:rPr>
      </w:pPr>
    </w:p>
    <w:p w14:paraId="2ED1406D" w14:textId="2CA16B3E" w:rsidR="00994E1E" w:rsidRDefault="00994E1E">
      <w:pPr>
        <w:pStyle w:val="NormalWeb"/>
        <w:ind w:right="-334"/>
        <w:rPr>
          <w:rFonts w:ascii="Trebuchet MS" w:hAnsi="Trebuchet MS"/>
          <w:sz w:val="24"/>
          <w:szCs w:val="24"/>
        </w:rPr>
      </w:pPr>
    </w:p>
    <w:p w14:paraId="479BF49A" w14:textId="5D95A262" w:rsidR="00994E1E" w:rsidRPr="00F75A2A" w:rsidRDefault="00994E1E" w:rsidP="00994E1E">
      <w:pPr>
        <w:pStyle w:val="Heading1"/>
        <w:rPr>
          <w:rFonts w:asciiTheme="minorHAnsi" w:hAnsiTheme="minorHAnsi" w:cstheme="minorHAnsi"/>
          <w:sz w:val="28"/>
          <w:szCs w:val="28"/>
        </w:rPr>
      </w:pPr>
      <w:r w:rsidRPr="00F75A2A">
        <w:rPr>
          <w:rFonts w:asciiTheme="minorHAnsi" w:hAnsiTheme="minorHAnsi" w:cstheme="minorHAnsi"/>
          <w:sz w:val="28"/>
          <w:szCs w:val="28"/>
        </w:rPr>
        <w:lastRenderedPageBreak/>
        <w:t>Introduction</w:t>
      </w:r>
    </w:p>
    <w:p w14:paraId="32D41253" w14:textId="77777777" w:rsidR="00036CE8" w:rsidRPr="00036CE8" w:rsidRDefault="005A0A03" w:rsidP="00036CE8">
      <w:pPr>
        <w:spacing w:after="0"/>
        <w:rPr>
          <w:rFonts w:asciiTheme="minorHAnsi" w:hAnsiTheme="minorHAnsi" w:cstheme="minorHAnsi"/>
          <w:sz w:val="22"/>
          <w:szCs w:val="22"/>
        </w:rPr>
      </w:pPr>
      <w:r w:rsidRPr="00036CE8">
        <w:rPr>
          <w:rFonts w:asciiTheme="minorHAnsi" w:hAnsiTheme="minorHAnsi" w:cstheme="minorHAnsi"/>
          <w:sz w:val="22"/>
          <w:szCs w:val="22"/>
        </w:rPr>
        <w:t xml:space="preserve">This essay critically </w:t>
      </w:r>
      <w:proofErr w:type="gramStart"/>
      <w:r w:rsidRPr="00036CE8">
        <w:rPr>
          <w:rFonts w:asciiTheme="minorHAnsi" w:hAnsiTheme="minorHAnsi" w:cstheme="minorHAnsi"/>
          <w:sz w:val="22"/>
          <w:szCs w:val="22"/>
        </w:rPr>
        <w:t>compares and contrasts</w:t>
      </w:r>
      <w:proofErr w:type="gramEnd"/>
      <w:r w:rsidRPr="00036CE8">
        <w:rPr>
          <w:rFonts w:asciiTheme="minorHAnsi" w:hAnsiTheme="minorHAnsi" w:cstheme="minorHAnsi"/>
          <w:sz w:val="22"/>
          <w:szCs w:val="22"/>
        </w:rPr>
        <w:t xml:space="preserve"> two papers</w:t>
      </w:r>
      <w:r w:rsidR="006E6DDE" w:rsidRPr="00036CE8">
        <w:rPr>
          <w:rFonts w:asciiTheme="minorHAnsi" w:hAnsiTheme="minorHAnsi" w:cstheme="minorHAnsi"/>
          <w:sz w:val="22"/>
          <w:szCs w:val="22"/>
        </w:rPr>
        <w:t xml:space="preserve">: T. L. Brink, ‘Inconsistency of Belief among Roman Catholic Girls: Concerning Religion, Astrology, Reincarnation’, </w:t>
      </w:r>
      <w:r w:rsidR="006E6DDE" w:rsidRPr="00036CE8">
        <w:rPr>
          <w:rFonts w:asciiTheme="minorHAnsi" w:hAnsiTheme="minorHAnsi" w:cstheme="minorHAnsi"/>
          <w:i/>
          <w:iCs/>
          <w:sz w:val="22"/>
          <w:szCs w:val="22"/>
        </w:rPr>
        <w:t>Review of Religious Research</w:t>
      </w:r>
      <w:r w:rsidR="006E6DDE" w:rsidRPr="00036CE8">
        <w:rPr>
          <w:rFonts w:asciiTheme="minorHAnsi" w:hAnsiTheme="minorHAnsi" w:cstheme="minorHAnsi"/>
          <w:sz w:val="22"/>
          <w:szCs w:val="22"/>
        </w:rPr>
        <w:t xml:space="preserve">, 20 (1978), 82-85; and of Tony Walter and Helen Waterhouse, ‘A Very Private Belief: Reincarnation in Contemporary England’, </w:t>
      </w:r>
      <w:r w:rsidR="006E6DDE" w:rsidRPr="00036CE8">
        <w:rPr>
          <w:rFonts w:asciiTheme="minorHAnsi" w:hAnsiTheme="minorHAnsi" w:cstheme="minorHAnsi"/>
          <w:i/>
          <w:iCs/>
          <w:sz w:val="22"/>
          <w:szCs w:val="22"/>
        </w:rPr>
        <w:t>Sociology of Religion</w:t>
      </w:r>
      <w:r w:rsidR="006E6DDE" w:rsidRPr="00036CE8">
        <w:rPr>
          <w:rFonts w:asciiTheme="minorHAnsi" w:hAnsiTheme="minorHAnsi" w:cstheme="minorHAnsi"/>
          <w:sz w:val="22"/>
          <w:szCs w:val="22"/>
        </w:rPr>
        <w:t>, 60 (1999), 187-197.</w:t>
      </w:r>
    </w:p>
    <w:p w14:paraId="689A8B67" w14:textId="0BE2E6D5" w:rsidR="004D696A" w:rsidRDefault="00036CE8" w:rsidP="004D696A">
      <w:pPr>
        <w:spacing w:after="0"/>
        <w:ind w:firstLine="720"/>
        <w:rPr>
          <w:rFonts w:asciiTheme="minorHAnsi" w:hAnsiTheme="minorHAnsi" w:cstheme="minorHAnsi"/>
          <w:sz w:val="22"/>
          <w:szCs w:val="22"/>
        </w:rPr>
      </w:pPr>
      <w:r>
        <w:rPr>
          <w:rFonts w:asciiTheme="minorHAnsi" w:hAnsiTheme="minorHAnsi" w:cstheme="minorHAnsi"/>
          <w:sz w:val="22"/>
          <w:szCs w:val="22"/>
        </w:rPr>
        <w:t xml:space="preserve">Brink’s paper is </w:t>
      </w:r>
      <w:r w:rsidR="00AC37BE">
        <w:rPr>
          <w:rFonts w:asciiTheme="minorHAnsi" w:hAnsiTheme="minorHAnsi" w:cstheme="minorHAnsi"/>
          <w:sz w:val="22"/>
          <w:szCs w:val="22"/>
        </w:rPr>
        <w:t>concerned with the results of a set of questionnaires supplied to students at a Roman Catholic girls’ school during their lesson time in which they were asked about their religious beliefs, astrological beliefs and belief in reincarnation.</w:t>
      </w:r>
      <w:r w:rsidR="00AC37BE">
        <w:rPr>
          <w:rStyle w:val="FootnoteReference"/>
          <w:rFonts w:asciiTheme="minorHAnsi" w:hAnsiTheme="minorHAnsi" w:cstheme="minorHAnsi"/>
          <w:sz w:val="22"/>
          <w:szCs w:val="22"/>
        </w:rPr>
        <w:footnoteReference w:id="1"/>
      </w:r>
      <w:r w:rsidR="00AC37BE">
        <w:rPr>
          <w:rFonts w:asciiTheme="minorHAnsi" w:hAnsiTheme="minorHAnsi" w:cstheme="minorHAnsi"/>
          <w:sz w:val="22"/>
          <w:szCs w:val="22"/>
        </w:rPr>
        <w:t xml:space="preserve"> The paper was </w:t>
      </w:r>
      <w:r>
        <w:rPr>
          <w:rFonts w:asciiTheme="minorHAnsi" w:hAnsiTheme="minorHAnsi" w:cstheme="minorHAnsi"/>
          <w:sz w:val="22"/>
          <w:szCs w:val="22"/>
        </w:rPr>
        <w:t xml:space="preserve">published in the academic journal, </w:t>
      </w:r>
      <w:r w:rsidRPr="00036CE8">
        <w:rPr>
          <w:rFonts w:asciiTheme="minorHAnsi" w:hAnsiTheme="minorHAnsi" w:cstheme="minorHAnsi"/>
          <w:i/>
          <w:iCs/>
          <w:sz w:val="22"/>
          <w:szCs w:val="22"/>
        </w:rPr>
        <w:t>Review of Religious Research</w:t>
      </w:r>
      <w:r>
        <w:rPr>
          <w:rFonts w:asciiTheme="minorHAnsi" w:hAnsiTheme="minorHAnsi" w:cstheme="minorHAnsi"/>
          <w:sz w:val="22"/>
          <w:szCs w:val="22"/>
        </w:rPr>
        <w:t>, a scholarly journal reporting on empirical research and research methods in religiosity and spirituality</w:t>
      </w:r>
      <w:r w:rsidR="00C17663">
        <w:rPr>
          <w:rFonts w:asciiTheme="minorHAnsi" w:hAnsiTheme="minorHAnsi" w:cstheme="minorHAnsi"/>
          <w:sz w:val="22"/>
          <w:szCs w:val="22"/>
        </w:rPr>
        <w:t>,</w:t>
      </w:r>
      <w:r w:rsidR="00C17663" w:rsidRPr="00036CE8">
        <w:rPr>
          <w:rStyle w:val="FootnoteReference"/>
          <w:rFonts w:asciiTheme="minorHAnsi" w:hAnsiTheme="minorHAnsi" w:cstheme="minorHAnsi"/>
          <w:bCs/>
          <w:sz w:val="22"/>
          <w:szCs w:val="22"/>
        </w:rPr>
        <w:footnoteReference w:id="2"/>
      </w:r>
      <w:r w:rsidR="00C17663">
        <w:rPr>
          <w:rFonts w:asciiTheme="minorHAnsi" w:hAnsiTheme="minorHAnsi" w:cstheme="minorHAnsi"/>
          <w:sz w:val="22"/>
          <w:szCs w:val="22"/>
        </w:rPr>
        <w:t xml:space="preserve"> and</w:t>
      </w:r>
      <w:r w:rsidR="00AC37BE">
        <w:rPr>
          <w:rFonts w:asciiTheme="minorHAnsi" w:hAnsiTheme="minorHAnsi" w:cstheme="minorHAnsi"/>
          <w:sz w:val="22"/>
          <w:szCs w:val="22"/>
        </w:rPr>
        <w:t xml:space="preserve"> it is therefore aimed at fellow academics</w:t>
      </w:r>
      <w:r>
        <w:rPr>
          <w:rFonts w:asciiTheme="minorHAnsi" w:hAnsiTheme="minorHAnsi" w:cstheme="minorHAnsi"/>
          <w:sz w:val="22"/>
          <w:szCs w:val="22"/>
        </w:rPr>
        <w:t>.</w:t>
      </w:r>
      <w:r w:rsidRPr="00036CE8">
        <w:rPr>
          <w:rFonts w:asciiTheme="minorHAnsi" w:hAnsiTheme="minorHAnsi" w:cstheme="minorHAnsi"/>
          <w:sz w:val="22"/>
          <w:szCs w:val="22"/>
        </w:rPr>
        <w:t xml:space="preserve"> </w:t>
      </w:r>
      <w:r w:rsidR="00BF6C0D">
        <w:rPr>
          <w:rFonts w:asciiTheme="minorHAnsi" w:hAnsiTheme="minorHAnsi" w:cstheme="minorHAnsi"/>
          <w:sz w:val="22"/>
          <w:szCs w:val="22"/>
        </w:rPr>
        <w:t xml:space="preserve">Brink </w:t>
      </w:r>
      <w:r w:rsidR="000F330D">
        <w:rPr>
          <w:rFonts w:asciiTheme="minorHAnsi" w:hAnsiTheme="minorHAnsi" w:cstheme="minorHAnsi"/>
          <w:sz w:val="22"/>
          <w:szCs w:val="22"/>
        </w:rPr>
        <w:t>earned</w:t>
      </w:r>
      <w:r w:rsidR="00BF6C0D">
        <w:rPr>
          <w:rFonts w:asciiTheme="minorHAnsi" w:hAnsiTheme="minorHAnsi" w:cstheme="minorHAnsi"/>
          <w:sz w:val="22"/>
          <w:szCs w:val="22"/>
        </w:rPr>
        <w:t xml:space="preserve"> a PhD </w:t>
      </w:r>
      <w:r w:rsidR="000F330D">
        <w:rPr>
          <w:rFonts w:asciiTheme="minorHAnsi" w:hAnsiTheme="minorHAnsi" w:cstheme="minorHAnsi"/>
          <w:sz w:val="22"/>
          <w:szCs w:val="22"/>
        </w:rPr>
        <w:t>in 1978 with a thesis on</w:t>
      </w:r>
      <w:r w:rsidR="00BF6C0D">
        <w:rPr>
          <w:rFonts w:asciiTheme="minorHAnsi" w:hAnsiTheme="minorHAnsi" w:cstheme="minorHAnsi"/>
          <w:sz w:val="22"/>
          <w:szCs w:val="22"/>
        </w:rPr>
        <w:t xml:space="preserve"> Joseph Smith from an analytical psychological perspective from the University of Chicago Divinity School.</w:t>
      </w:r>
      <w:r w:rsidRPr="00036CE8">
        <w:rPr>
          <w:rStyle w:val="FootnoteReference"/>
          <w:rFonts w:asciiTheme="minorHAnsi" w:hAnsiTheme="minorHAnsi" w:cstheme="minorHAnsi"/>
          <w:bCs/>
          <w:sz w:val="22"/>
          <w:szCs w:val="22"/>
        </w:rPr>
        <w:footnoteReference w:id="3"/>
      </w:r>
      <w:r w:rsidRPr="00036CE8">
        <w:rPr>
          <w:rFonts w:asciiTheme="minorHAnsi" w:hAnsiTheme="minorHAnsi" w:cstheme="minorHAnsi"/>
          <w:sz w:val="22"/>
          <w:szCs w:val="22"/>
        </w:rPr>
        <w:t xml:space="preserve"> </w:t>
      </w:r>
      <w:r w:rsidR="00C17663">
        <w:rPr>
          <w:rFonts w:asciiTheme="minorHAnsi" w:hAnsiTheme="minorHAnsi" w:cstheme="minorHAnsi"/>
          <w:sz w:val="22"/>
          <w:szCs w:val="22"/>
        </w:rPr>
        <w:t>This paper forms part of his early work and the investigation itself was undertaken in June 1976.</w:t>
      </w:r>
      <w:r w:rsidR="00C17663">
        <w:rPr>
          <w:rStyle w:val="FootnoteReference"/>
          <w:rFonts w:asciiTheme="minorHAnsi" w:hAnsiTheme="minorHAnsi" w:cstheme="minorHAnsi"/>
          <w:sz w:val="22"/>
          <w:szCs w:val="22"/>
        </w:rPr>
        <w:footnoteReference w:id="4"/>
      </w:r>
      <w:r w:rsidR="00C17663">
        <w:rPr>
          <w:rFonts w:asciiTheme="minorHAnsi" w:hAnsiTheme="minorHAnsi" w:cstheme="minorHAnsi"/>
          <w:sz w:val="22"/>
          <w:szCs w:val="22"/>
        </w:rPr>
        <w:t xml:space="preserve"> </w:t>
      </w:r>
      <w:r w:rsidR="000F330D">
        <w:rPr>
          <w:rFonts w:asciiTheme="minorHAnsi" w:hAnsiTheme="minorHAnsi" w:cstheme="minorHAnsi"/>
          <w:sz w:val="22"/>
          <w:szCs w:val="22"/>
        </w:rPr>
        <w:t xml:space="preserve">He currently holds the position of Professor of Psychology at Crafton Hills College where he studies human development and geriatric psychiatry using big data analytics, Bayesian Sequential </w:t>
      </w:r>
      <w:proofErr w:type="gramStart"/>
      <w:r w:rsidR="000F330D">
        <w:rPr>
          <w:rFonts w:asciiTheme="minorHAnsi" w:hAnsiTheme="minorHAnsi" w:cstheme="minorHAnsi"/>
          <w:sz w:val="22"/>
          <w:szCs w:val="22"/>
        </w:rPr>
        <w:t>Analysis</w:t>
      </w:r>
      <w:proofErr w:type="gramEnd"/>
      <w:r w:rsidR="000F330D">
        <w:rPr>
          <w:rFonts w:asciiTheme="minorHAnsi" w:hAnsiTheme="minorHAnsi" w:cstheme="minorHAnsi"/>
          <w:sz w:val="22"/>
          <w:szCs w:val="22"/>
        </w:rPr>
        <w:t xml:space="preserve"> and qualitative methods.</w:t>
      </w:r>
      <w:r w:rsidR="000F330D">
        <w:rPr>
          <w:rStyle w:val="FootnoteReference"/>
          <w:rFonts w:asciiTheme="minorHAnsi" w:hAnsiTheme="minorHAnsi" w:cstheme="minorHAnsi"/>
          <w:sz w:val="22"/>
          <w:szCs w:val="22"/>
        </w:rPr>
        <w:footnoteReference w:id="5"/>
      </w:r>
    </w:p>
    <w:p w14:paraId="5063D102" w14:textId="7B3316A2" w:rsidR="0035706B" w:rsidRPr="00036CE8" w:rsidRDefault="0035706B" w:rsidP="004D696A">
      <w:pPr>
        <w:spacing w:after="0"/>
        <w:ind w:firstLine="720"/>
        <w:rPr>
          <w:rFonts w:asciiTheme="minorHAnsi" w:hAnsiTheme="minorHAnsi" w:cstheme="minorHAnsi"/>
          <w:sz w:val="22"/>
          <w:szCs w:val="22"/>
        </w:rPr>
      </w:pPr>
      <w:r>
        <w:rPr>
          <w:rFonts w:asciiTheme="minorHAnsi" w:hAnsiTheme="minorHAnsi" w:cstheme="minorHAnsi"/>
          <w:sz w:val="22"/>
          <w:szCs w:val="22"/>
        </w:rPr>
        <w:t>Walter and Waterhouse’s paper is concerned with</w:t>
      </w:r>
      <w:r w:rsidR="004D696A">
        <w:rPr>
          <w:rFonts w:asciiTheme="minorHAnsi" w:hAnsiTheme="minorHAnsi" w:cstheme="minorHAnsi"/>
          <w:sz w:val="22"/>
          <w:szCs w:val="22"/>
        </w:rPr>
        <w:t xml:space="preserve"> beliefs in reincarnation among English people ascertained via intensive interviews.</w:t>
      </w:r>
      <w:r w:rsidR="004D696A">
        <w:rPr>
          <w:rStyle w:val="FootnoteReference"/>
          <w:rFonts w:asciiTheme="minorHAnsi" w:hAnsiTheme="minorHAnsi" w:cstheme="minorHAnsi"/>
          <w:sz w:val="22"/>
          <w:szCs w:val="22"/>
        </w:rPr>
        <w:footnoteReference w:id="6"/>
      </w:r>
      <w:r w:rsidR="004D696A">
        <w:rPr>
          <w:rFonts w:asciiTheme="minorHAnsi" w:hAnsiTheme="minorHAnsi" w:cstheme="minorHAnsi"/>
          <w:sz w:val="22"/>
          <w:szCs w:val="22"/>
        </w:rPr>
        <w:t xml:space="preserve"> Their paper was published in the journal, </w:t>
      </w:r>
      <w:r w:rsidR="004D696A" w:rsidRPr="004D696A">
        <w:rPr>
          <w:rFonts w:asciiTheme="minorHAnsi" w:hAnsiTheme="minorHAnsi" w:cstheme="minorHAnsi"/>
          <w:i/>
          <w:iCs/>
          <w:sz w:val="22"/>
          <w:szCs w:val="22"/>
        </w:rPr>
        <w:t>Sociology of Religion</w:t>
      </w:r>
      <w:r w:rsidR="004D696A">
        <w:rPr>
          <w:rFonts w:asciiTheme="minorHAnsi" w:hAnsiTheme="minorHAnsi" w:cstheme="minorHAnsi"/>
          <w:sz w:val="22"/>
          <w:szCs w:val="22"/>
        </w:rPr>
        <w:t>, the official journal of the Association for the Sociology of Religion</w:t>
      </w:r>
      <w:r w:rsidR="00D00269">
        <w:rPr>
          <w:rFonts w:asciiTheme="minorHAnsi" w:hAnsiTheme="minorHAnsi" w:cstheme="minorHAnsi"/>
          <w:sz w:val="22"/>
          <w:szCs w:val="22"/>
        </w:rPr>
        <w:t xml:space="preserve">, which publishes empirical research, </w:t>
      </w:r>
      <w:proofErr w:type="gramStart"/>
      <w:r w:rsidR="00D00269">
        <w:rPr>
          <w:rFonts w:asciiTheme="minorHAnsi" w:hAnsiTheme="minorHAnsi" w:cstheme="minorHAnsi"/>
          <w:sz w:val="22"/>
          <w:szCs w:val="22"/>
        </w:rPr>
        <w:t>essays</w:t>
      </w:r>
      <w:proofErr w:type="gramEnd"/>
      <w:r w:rsidR="00D00269">
        <w:rPr>
          <w:rFonts w:asciiTheme="minorHAnsi" w:hAnsiTheme="minorHAnsi" w:cstheme="minorHAnsi"/>
          <w:sz w:val="22"/>
          <w:szCs w:val="22"/>
        </w:rPr>
        <w:t xml:space="preserve"> and critical reflections on research.</w:t>
      </w:r>
      <w:r w:rsidR="00D00269">
        <w:rPr>
          <w:rStyle w:val="FootnoteReference"/>
          <w:rFonts w:asciiTheme="minorHAnsi" w:hAnsiTheme="minorHAnsi" w:cstheme="minorHAnsi"/>
          <w:sz w:val="22"/>
          <w:szCs w:val="22"/>
        </w:rPr>
        <w:footnoteReference w:id="7"/>
      </w:r>
      <w:r w:rsidR="00D00269">
        <w:rPr>
          <w:rFonts w:asciiTheme="minorHAnsi" w:hAnsiTheme="minorHAnsi" w:cstheme="minorHAnsi"/>
          <w:sz w:val="22"/>
          <w:szCs w:val="22"/>
        </w:rPr>
        <w:t xml:space="preserve"> The paper is therefore aimed at fellow academics. </w:t>
      </w:r>
      <w:r w:rsidR="001B7FD4">
        <w:rPr>
          <w:rFonts w:asciiTheme="minorHAnsi" w:hAnsiTheme="minorHAnsi" w:cstheme="minorHAnsi"/>
          <w:sz w:val="22"/>
          <w:szCs w:val="22"/>
        </w:rPr>
        <w:t>Tony Walter worked as a freelance scholar from 1975 to 1994, after which he returned to academia.</w:t>
      </w:r>
      <w:r w:rsidR="001B7FD4">
        <w:rPr>
          <w:rStyle w:val="FootnoteReference"/>
          <w:rFonts w:asciiTheme="minorHAnsi" w:hAnsiTheme="minorHAnsi" w:cstheme="minorHAnsi"/>
          <w:sz w:val="22"/>
          <w:szCs w:val="22"/>
        </w:rPr>
        <w:footnoteReference w:id="8"/>
      </w:r>
      <w:r w:rsidR="001B7FD4">
        <w:rPr>
          <w:rFonts w:asciiTheme="minorHAnsi" w:hAnsiTheme="minorHAnsi" w:cstheme="minorHAnsi"/>
          <w:sz w:val="22"/>
          <w:szCs w:val="22"/>
        </w:rPr>
        <w:t xml:space="preserve"> </w:t>
      </w:r>
      <w:r w:rsidR="00405531">
        <w:rPr>
          <w:rFonts w:asciiTheme="minorHAnsi" w:hAnsiTheme="minorHAnsi" w:cstheme="minorHAnsi"/>
          <w:sz w:val="22"/>
          <w:szCs w:val="22"/>
        </w:rPr>
        <w:t>He has been a Professor of Death Studies at the University of Bath since 2006 and also served as the Director of the Centre for Death &amp; Society from 2011-2015.</w:t>
      </w:r>
      <w:r w:rsidR="00405531">
        <w:rPr>
          <w:rStyle w:val="FootnoteReference"/>
          <w:rFonts w:asciiTheme="minorHAnsi" w:hAnsiTheme="minorHAnsi" w:cstheme="minorHAnsi"/>
          <w:sz w:val="22"/>
          <w:szCs w:val="22"/>
        </w:rPr>
        <w:footnoteReference w:id="9"/>
      </w:r>
      <w:r w:rsidR="00405531">
        <w:rPr>
          <w:rFonts w:asciiTheme="minorHAnsi" w:hAnsiTheme="minorHAnsi" w:cstheme="minorHAnsi"/>
          <w:sz w:val="22"/>
          <w:szCs w:val="22"/>
        </w:rPr>
        <w:t xml:space="preserve"> </w:t>
      </w:r>
      <w:r w:rsidR="00432FC2">
        <w:rPr>
          <w:rFonts w:asciiTheme="minorHAnsi" w:hAnsiTheme="minorHAnsi" w:cstheme="minorHAnsi"/>
          <w:sz w:val="22"/>
          <w:szCs w:val="22"/>
        </w:rPr>
        <w:t>Alongside his academic work, he also provides funeral training to celebrants and clergy.</w:t>
      </w:r>
      <w:r w:rsidR="00432FC2">
        <w:rPr>
          <w:rStyle w:val="FootnoteReference"/>
          <w:rFonts w:asciiTheme="minorHAnsi" w:hAnsiTheme="minorHAnsi" w:cstheme="minorHAnsi"/>
          <w:sz w:val="22"/>
          <w:szCs w:val="22"/>
        </w:rPr>
        <w:footnoteReference w:id="10"/>
      </w:r>
      <w:r w:rsidR="00432FC2">
        <w:rPr>
          <w:rFonts w:asciiTheme="minorHAnsi" w:hAnsiTheme="minorHAnsi" w:cstheme="minorHAnsi"/>
          <w:sz w:val="22"/>
          <w:szCs w:val="22"/>
        </w:rPr>
        <w:t xml:space="preserve"> </w:t>
      </w:r>
      <w:r w:rsidR="007B18DE">
        <w:rPr>
          <w:rFonts w:asciiTheme="minorHAnsi" w:hAnsiTheme="minorHAnsi" w:cstheme="minorHAnsi"/>
          <w:sz w:val="22"/>
          <w:szCs w:val="22"/>
        </w:rPr>
        <w:t>Helen Waterhouse published a number of papers on Buddhism and reincarnation between 2001 and 2004, some of which were with Tony Walter.</w:t>
      </w:r>
      <w:r w:rsidR="007B18DE">
        <w:rPr>
          <w:rStyle w:val="FootnoteReference"/>
          <w:rFonts w:asciiTheme="minorHAnsi" w:hAnsiTheme="minorHAnsi" w:cstheme="minorHAnsi"/>
          <w:sz w:val="22"/>
          <w:szCs w:val="22"/>
        </w:rPr>
        <w:footnoteReference w:id="11"/>
      </w:r>
      <w:r w:rsidR="007B18DE">
        <w:rPr>
          <w:rFonts w:asciiTheme="minorHAnsi" w:hAnsiTheme="minorHAnsi" w:cstheme="minorHAnsi"/>
          <w:sz w:val="22"/>
          <w:szCs w:val="22"/>
        </w:rPr>
        <w:t xml:space="preserve"> The paper investigated in this essay predates these works.</w:t>
      </w:r>
    </w:p>
    <w:p w14:paraId="1DE2C273" w14:textId="1D0AED31" w:rsidR="007318C5" w:rsidRPr="00F75A2A" w:rsidRDefault="007318C5" w:rsidP="007318C5">
      <w:pPr>
        <w:pStyle w:val="Heading1"/>
        <w:rPr>
          <w:rFonts w:asciiTheme="minorHAnsi" w:hAnsiTheme="minorHAnsi" w:cstheme="minorHAnsi"/>
          <w:sz w:val="28"/>
          <w:szCs w:val="28"/>
        </w:rPr>
      </w:pPr>
      <w:r w:rsidRPr="00F75A2A">
        <w:rPr>
          <w:rFonts w:asciiTheme="minorHAnsi" w:hAnsiTheme="minorHAnsi" w:cstheme="minorHAnsi"/>
          <w:sz w:val="28"/>
          <w:szCs w:val="28"/>
        </w:rPr>
        <w:lastRenderedPageBreak/>
        <w:t>Summaries of the two papers</w:t>
      </w:r>
    </w:p>
    <w:p w14:paraId="10E7C28B" w14:textId="292BB014" w:rsidR="006E6F7F" w:rsidRDefault="006E6F7F" w:rsidP="006E6F7F">
      <w:pPr>
        <w:spacing w:after="0"/>
        <w:rPr>
          <w:rFonts w:asciiTheme="minorHAnsi" w:hAnsiTheme="minorHAnsi" w:cstheme="minorHAnsi"/>
          <w:sz w:val="22"/>
          <w:szCs w:val="22"/>
        </w:rPr>
      </w:pPr>
      <w:r>
        <w:rPr>
          <w:rFonts w:asciiTheme="minorHAnsi" w:hAnsiTheme="minorHAnsi" w:cstheme="minorHAnsi"/>
          <w:sz w:val="22"/>
          <w:szCs w:val="22"/>
        </w:rPr>
        <w:t>Brink’s paper begins with a list of social psychological theories relevant to cognitive consistency or a lack thereof before launching into his hypothesis.</w:t>
      </w:r>
      <w:r>
        <w:rPr>
          <w:rStyle w:val="FootnoteReference"/>
          <w:rFonts w:asciiTheme="minorHAnsi" w:hAnsiTheme="minorHAnsi" w:cstheme="minorHAnsi"/>
          <w:sz w:val="22"/>
          <w:szCs w:val="22"/>
        </w:rPr>
        <w:footnoteReference w:id="12"/>
      </w:r>
      <w:r>
        <w:rPr>
          <w:rFonts w:asciiTheme="minorHAnsi" w:hAnsiTheme="minorHAnsi" w:cstheme="minorHAnsi"/>
          <w:sz w:val="22"/>
          <w:szCs w:val="22"/>
        </w:rPr>
        <w:t xml:space="preserve"> Brink asserts that ‘simultaneous belief in Roman Catholic doctrine, astrology, and reincarnation is logically impossible’</w:t>
      </w:r>
      <w:r>
        <w:rPr>
          <w:rStyle w:val="FootnoteReference"/>
          <w:rFonts w:asciiTheme="minorHAnsi" w:hAnsiTheme="minorHAnsi" w:cstheme="minorHAnsi"/>
          <w:sz w:val="22"/>
          <w:szCs w:val="22"/>
        </w:rPr>
        <w:footnoteReference w:id="13"/>
      </w:r>
      <w:r>
        <w:rPr>
          <w:rFonts w:asciiTheme="minorHAnsi" w:hAnsiTheme="minorHAnsi" w:cstheme="minorHAnsi"/>
          <w:sz w:val="22"/>
          <w:szCs w:val="22"/>
        </w:rPr>
        <w:t xml:space="preserve"> before outlining why he believes the three beliefs are incompatible. </w:t>
      </w:r>
      <w:proofErr w:type="gramStart"/>
      <w:r>
        <w:rPr>
          <w:rFonts w:asciiTheme="minorHAnsi" w:hAnsiTheme="minorHAnsi" w:cstheme="minorHAnsi"/>
          <w:sz w:val="22"/>
          <w:szCs w:val="22"/>
        </w:rPr>
        <w:t>As a consequence of</w:t>
      </w:r>
      <w:proofErr w:type="gramEnd"/>
      <w:r>
        <w:rPr>
          <w:rFonts w:asciiTheme="minorHAnsi" w:hAnsiTheme="minorHAnsi" w:cstheme="minorHAnsi"/>
          <w:sz w:val="22"/>
          <w:szCs w:val="22"/>
        </w:rPr>
        <w:t xml:space="preserve"> this, he gives as his hypothesis:</w:t>
      </w:r>
    </w:p>
    <w:p w14:paraId="0F6FE037" w14:textId="0678477B" w:rsidR="006E6F7F" w:rsidRDefault="00E64A40" w:rsidP="006E6F7F">
      <w:pPr>
        <w:pStyle w:val="Heading1"/>
        <w:ind w:left="851" w:right="1418"/>
        <w:jc w:val="both"/>
        <w:rPr>
          <w:rFonts w:cs="Arial"/>
          <w:b w:val="0"/>
          <w:bCs/>
          <w:sz w:val="20"/>
          <w:szCs w:val="20"/>
        </w:rPr>
      </w:pPr>
      <w:r w:rsidRPr="00A51C0B">
        <w:rPr>
          <w:rFonts w:asciiTheme="minorHAnsi" w:hAnsiTheme="minorHAnsi" w:cstheme="minorHAnsi"/>
          <w:b w:val="0"/>
          <w:bCs/>
          <w:sz w:val="20"/>
          <w:szCs w:val="20"/>
        </w:rPr>
        <w:t>… that a study of beliefs of adolescent girls will show an acceptance of only one of these three belief sets (Roman Catholic, astrology, reincarnation) accompanied by a rejection of the others.</w:t>
      </w:r>
      <w:r w:rsidR="006E6F7F">
        <w:rPr>
          <w:rStyle w:val="FootnoteReference"/>
          <w:rFonts w:cs="Arial"/>
          <w:b w:val="0"/>
          <w:bCs/>
          <w:i/>
          <w:iCs/>
          <w:sz w:val="20"/>
          <w:szCs w:val="20"/>
        </w:rPr>
        <w:footnoteReference w:id="14"/>
      </w:r>
    </w:p>
    <w:p w14:paraId="0CC72A31" w14:textId="77777777" w:rsidR="00E64A40" w:rsidRPr="006F217B" w:rsidRDefault="00E64A40" w:rsidP="00E64A40">
      <w:pPr>
        <w:pStyle w:val="Heading1"/>
        <w:spacing w:before="0" w:after="0"/>
        <w:ind w:left="851" w:right="1418"/>
        <w:jc w:val="both"/>
        <w:rPr>
          <w:rFonts w:cs="Arial"/>
          <w:b w:val="0"/>
          <w:bCs/>
          <w:i/>
          <w:iCs/>
          <w:sz w:val="20"/>
          <w:szCs w:val="20"/>
        </w:rPr>
      </w:pPr>
    </w:p>
    <w:p w14:paraId="2E7C8006" w14:textId="02B5CAAE" w:rsidR="006E6F7F" w:rsidRDefault="00E64A40" w:rsidP="006E6F7F">
      <w:pPr>
        <w:spacing w:after="0"/>
        <w:rPr>
          <w:rFonts w:asciiTheme="minorHAnsi" w:hAnsiTheme="minorHAnsi" w:cstheme="minorHAnsi"/>
          <w:sz w:val="22"/>
          <w:szCs w:val="22"/>
        </w:rPr>
      </w:pPr>
      <w:r>
        <w:rPr>
          <w:rFonts w:asciiTheme="minorHAnsi" w:hAnsiTheme="minorHAnsi" w:cstheme="minorHAnsi"/>
          <w:sz w:val="22"/>
          <w:szCs w:val="22"/>
        </w:rPr>
        <w:t xml:space="preserve">The adolescent girls referred to </w:t>
      </w:r>
      <w:r w:rsidR="00346E89">
        <w:rPr>
          <w:rFonts w:asciiTheme="minorHAnsi" w:hAnsiTheme="minorHAnsi" w:cstheme="minorHAnsi"/>
          <w:sz w:val="22"/>
          <w:szCs w:val="22"/>
        </w:rPr>
        <w:t xml:space="preserve">in the hypothesis </w:t>
      </w:r>
      <w:r>
        <w:rPr>
          <w:rFonts w:asciiTheme="minorHAnsi" w:hAnsiTheme="minorHAnsi" w:cstheme="minorHAnsi"/>
          <w:sz w:val="22"/>
          <w:szCs w:val="22"/>
        </w:rPr>
        <w:t>are 227 juniors and seniors from a Catholic girls’ high school in Chicago who were given a questionnaire during a required religion class.</w:t>
      </w:r>
      <w:r w:rsidR="00346E89">
        <w:rPr>
          <w:rStyle w:val="FootnoteReference"/>
          <w:rFonts w:asciiTheme="minorHAnsi" w:hAnsiTheme="minorHAnsi" w:cstheme="minorHAnsi"/>
          <w:sz w:val="22"/>
          <w:szCs w:val="22"/>
        </w:rPr>
        <w:footnoteReference w:id="15"/>
      </w:r>
      <w:r>
        <w:rPr>
          <w:rFonts w:asciiTheme="minorHAnsi" w:hAnsiTheme="minorHAnsi" w:cstheme="minorHAnsi"/>
          <w:sz w:val="22"/>
          <w:szCs w:val="22"/>
        </w:rPr>
        <w:t xml:space="preserve"> </w:t>
      </w:r>
    </w:p>
    <w:p w14:paraId="68250703" w14:textId="2B6EA54B" w:rsidR="007D3A9E" w:rsidRDefault="007D3A9E" w:rsidP="006E6F7F">
      <w:pPr>
        <w:spacing w:after="0"/>
        <w:rPr>
          <w:rFonts w:asciiTheme="minorHAnsi" w:hAnsiTheme="minorHAnsi" w:cstheme="minorHAnsi"/>
          <w:sz w:val="22"/>
          <w:szCs w:val="22"/>
        </w:rPr>
      </w:pPr>
      <w:r>
        <w:rPr>
          <w:rFonts w:asciiTheme="minorHAnsi" w:hAnsiTheme="minorHAnsi" w:cstheme="minorHAnsi"/>
          <w:sz w:val="22"/>
          <w:szCs w:val="22"/>
        </w:rPr>
        <w:tab/>
        <w:t>The Walter and Waterhouse paper looked at English people who believe in reincarnation.</w:t>
      </w:r>
      <w:r>
        <w:rPr>
          <w:rStyle w:val="FootnoteReference"/>
          <w:rFonts w:asciiTheme="minorHAnsi" w:hAnsiTheme="minorHAnsi" w:cstheme="minorHAnsi"/>
          <w:sz w:val="22"/>
          <w:szCs w:val="22"/>
        </w:rPr>
        <w:footnoteReference w:id="16"/>
      </w:r>
      <w:r>
        <w:rPr>
          <w:rFonts w:asciiTheme="minorHAnsi" w:hAnsiTheme="minorHAnsi" w:cstheme="minorHAnsi"/>
          <w:sz w:val="22"/>
          <w:szCs w:val="22"/>
        </w:rPr>
        <w:t xml:space="preserve"> </w:t>
      </w:r>
      <w:r w:rsidR="004D0CF9">
        <w:rPr>
          <w:rFonts w:asciiTheme="minorHAnsi" w:hAnsiTheme="minorHAnsi" w:cstheme="minorHAnsi"/>
          <w:sz w:val="22"/>
          <w:szCs w:val="22"/>
        </w:rPr>
        <w:t>The research seeks to investigate:</w:t>
      </w:r>
    </w:p>
    <w:p w14:paraId="726876B6" w14:textId="5C3DDC22" w:rsidR="004D0CF9" w:rsidRDefault="004D0CF9" w:rsidP="00A51C0B">
      <w:pPr>
        <w:pStyle w:val="Heading1"/>
        <w:spacing w:after="0"/>
        <w:ind w:left="851" w:right="1418"/>
        <w:jc w:val="both"/>
        <w:rPr>
          <w:rFonts w:cs="Arial"/>
          <w:b w:val="0"/>
          <w:bCs/>
          <w:sz w:val="20"/>
          <w:szCs w:val="20"/>
        </w:rPr>
      </w:pPr>
      <w:r w:rsidRPr="00A51C0B">
        <w:rPr>
          <w:rFonts w:asciiTheme="minorHAnsi" w:hAnsiTheme="minorHAnsi" w:cstheme="minorHAnsi"/>
          <w:b w:val="0"/>
          <w:bCs/>
          <w:sz w:val="20"/>
          <w:szCs w:val="20"/>
        </w:rPr>
        <w:t>… what reincarnation means to some of those who believe in it, why they find it attractive, and how it relates to other aspects of their life – not least the religious organizations to which they belong but which do not teach it.</w:t>
      </w:r>
      <w:r w:rsidR="00A51C0B" w:rsidRPr="00A51C0B">
        <w:rPr>
          <w:rFonts w:asciiTheme="minorHAnsi" w:hAnsiTheme="minorHAnsi" w:cstheme="minorHAnsi"/>
          <w:b w:val="0"/>
          <w:bCs/>
          <w:sz w:val="20"/>
          <w:szCs w:val="20"/>
        </w:rPr>
        <w:t xml:space="preserve"> In particular, the article asks whether the twentieth century privatization of belief makes it easier to hold beliefs not taught by one’s church.</w:t>
      </w:r>
      <w:r>
        <w:rPr>
          <w:rStyle w:val="FootnoteReference"/>
          <w:rFonts w:cs="Arial"/>
          <w:b w:val="0"/>
          <w:bCs/>
          <w:i/>
          <w:iCs/>
          <w:sz w:val="20"/>
          <w:szCs w:val="20"/>
        </w:rPr>
        <w:footnoteReference w:id="17"/>
      </w:r>
    </w:p>
    <w:p w14:paraId="5601754B" w14:textId="77777777" w:rsidR="00A51C0B" w:rsidRDefault="00A51C0B" w:rsidP="00A51C0B">
      <w:pPr>
        <w:pStyle w:val="Heading1"/>
        <w:spacing w:before="0" w:after="0"/>
        <w:ind w:right="1418"/>
        <w:jc w:val="both"/>
        <w:rPr>
          <w:rFonts w:cs="Arial"/>
          <w:b w:val="0"/>
          <w:bCs/>
          <w:sz w:val="20"/>
          <w:szCs w:val="20"/>
        </w:rPr>
      </w:pPr>
    </w:p>
    <w:p w14:paraId="6AD126D3" w14:textId="12FBAD06" w:rsidR="004D0CF9" w:rsidRDefault="00A71D72" w:rsidP="006E6F7F">
      <w:pPr>
        <w:spacing w:after="0"/>
        <w:rPr>
          <w:rFonts w:asciiTheme="minorHAnsi" w:hAnsiTheme="minorHAnsi" w:cstheme="minorHAnsi"/>
          <w:sz w:val="22"/>
          <w:szCs w:val="22"/>
        </w:rPr>
      </w:pPr>
      <w:r>
        <w:rPr>
          <w:rFonts w:asciiTheme="minorHAnsi" w:hAnsiTheme="minorHAnsi" w:cstheme="minorHAnsi"/>
          <w:sz w:val="22"/>
          <w:szCs w:val="22"/>
        </w:rPr>
        <w:t xml:space="preserve">To this end, </w:t>
      </w:r>
      <w:r w:rsidR="00EC7469">
        <w:rPr>
          <w:rFonts w:asciiTheme="minorHAnsi" w:hAnsiTheme="minorHAnsi" w:cstheme="minorHAnsi"/>
          <w:sz w:val="22"/>
          <w:szCs w:val="22"/>
        </w:rPr>
        <w:t>Waterhouse interviewed 30 adults</w:t>
      </w:r>
      <w:r w:rsidR="00EC7469">
        <w:rPr>
          <w:rStyle w:val="FootnoteReference"/>
          <w:rFonts w:asciiTheme="minorHAnsi" w:hAnsiTheme="minorHAnsi" w:cstheme="minorHAnsi"/>
          <w:sz w:val="22"/>
          <w:szCs w:val="22"/>
        </w:rPr>
        <w:footnoteReference w:id="18"/>
      </w:r>
      <w:r w:rsidR="00EC7469">
        <w:rPr>
          <w:rFonts w:asciiTheme="minorHAnsi" w:hAnsiTheme="minorHAnsi" w:cstheme="minorHAnsi"/>
          <w:sz w:val="22"/>
          <w:szCs w:val="22"/>
        </w:rPr>
        <w:t xml:space="preserve"> and 21 schoolchildren.</w:t>
      </w:r>
      <w:r w:rsidR="00EC7469">
        <w:rPr>
          <w:rStyle w:val="FootnoteReference"/>
          <w:rFonts w:asciiTheme="minorHAnsi" w:hAnsiTheme="minorHAnsi" w:cstheme="minorHAnsi"/>
          <w:sz w:val="22"/>
          <w:szCs w:val="22"/>
        </w:rPr>
        <w:footnoteReference w:id="19"/>
      </w:r>
      <w:r w:rsidR="00EC7469">
        <w:rPr>
          <w:rFonts w:asciiTheme="minorHAnsi" w:hAnsiTheme="minorHAnsi" w:cstheme="minorHAnsi"/>
          <w:sz w:val="22"/>
          <w:szCs w:val="22"/>
        </w:rPr>
        <w:t xml:space="preserve"> Two-thirds of the adults interviewed were female and one-third were practising Christians, with an unspecified number of Quakers.</w:t>
      </w:r>
      <w:r w:rsidR="00EC7469">
        <w:rPr>
          <w:rStyle w:val="FootnoteReference"/>
          <w:rFonts w:asciiTheme="minorHAnsi" w:hAnsiTheme="minorHAnsi" w:cstheme="minorHAnsi"/>
          <w:sz w:val="22"/>
          <w:szCs w:val="22"/>
        </w:rPr>
        <w:footnoteReference w:id="20"/>
      </w:r>
      <w:r w:rsidR="00EC7469">
        <w:rPr>
          <w:rFonts w:asciiTheme="minorHAnsi" w:hAnsiTheme="minorHAnsi" w:cstheme="minorHAnsi"/>
          <w:sz w:val="22"/>
          <w:szCs w:val="22"/>
        </w:rPr>
        <w:t xml:space="preserve"> People of Hindu, Sikh and Buddhist faiths were deliberately excluded as their religions teach reincarnation.</w:t>
      </w:r>
      <w:r w:rsidR="00EC7469">
        <w:rPr>
          <w:rStyle w:val="FootnoteReference"/>
          <w:rFonts w:asciiTheme="minorHAnsi" w:hAnsiTheme="minorHAnsi" w:cstheme="minorHAnsi"/>
          <w:sz w:val="22"/>
          <w:szCs w:val="22"/>
        </w:rPr>
        <w:footnoteReference w:id="21"/>
      </w:r>
      <w:r w:rsidR="00EC7469">
        <w:rPr>
          <w:rFonts w:asciiTheme="minorHAnsi" w:hAnsiTheme="minorHAnsi" w:cstheme="minorHAnsi"/>
          <w:sz w:val="22"/>
          <w:szCs w:val="22"/>
        </w:rPr>
        <w:t xml:space="preserve"> </w:t>
      </w:r>
    </w:p>
    <w:p w14:paraId="20266015" w14:textId="20DA9C44" w:rsidR="007318C5" w:rsidRPr="00F75A2A" w:rsidRDefault="007318C5" w:rsidP="007318C5">
      <w:pPr>
        <w:pStyle w:val="Heading1"/>
        <w:rPr>
          <w:rFonts w:asciiTheme="minorHAnsi" w:hAnsiTheme="minorHAnsi" w:cstheme="minorHAnsi"/>
          <w:sz w:val="28"/>
          <w:szCs w:val="28"/>
        </w:rPr>
      </w:pPr>
      <w:r w:rsidRPr="00F75A2A">
        <w:rPr>
          <w:rFonts w:asciiTheme="minorHAnsi" w:hAnsiTheme="minorHAnsi" w:cstheme="minorHAnsi"/>
          <w:sz w:val="28"/>
          <w:szCs w:val="28"/>
        </w:rPr>
        <w:t>Analysis of the two papers</w:t>
      </w:r>
    </w:p>
    <w:p w14:paraId="31C6B618" w14:textId="6A783DC5" w:rsidR="00036CE8" w:rsidRDefault="00E23E32" w:rsidP="00E23E32">
      <w:pPr>
        <w:spacing w:after="0"/>
        <w:rPr>
          <w:rFonts w:asciiTheme="minorHAnsi" w:hAnsiTheme="minorHAnsi" w:cstheme="minorHAnsi"/>
          <w:sz w:val="22"/>
          <w:szCs w:val="22"/>
        </w:rPr>
      </w:pPr>
      <w:r w:rsidRPr="00E23E32">
        <w:rPr>
          <w:rFonts w:asciiTheme="minorHAnsi" w:hAnsiTheme="minorHAnsi" w:cstheme="minorHAnsi"/>
          <w:sz w:val="22"/>
          <w:szCs w:val="22"/>
        </w:rPr>
        <w:t>Brink’s paper is very succinct, running to just four pages including the references.</w:t>
      </w:r>
      <w:r>
        <w:rPr>
          <w:rFonts w:asciiTheme="minorHAnsi" w:hAnsiTheme="minorHAnsi" w:cstheme="minorHAnsi"/>
          <w:sz w:val="22"/>
          <w:szCs w:val="22"/>
        </w:rPr>
        <w:t xml:space="preserve"> For the most part the paper was straightforward in its writing style and use of language. The use of headings is unusual for academic papers: while there is a clearly marked hypothesis section,</w:t>
      </w:r>
      <w:r w:rsidR="00490E4F">
        <w:rPr>
          <w:rStyle w:val="FootnoteReference"/>
          <w:rFonts w:asciiTheme="minorHAnsi" w:hAnsiTheme="minorHAnsi" w:cstheme="minorHAnsi"/>
          <w:sz w:val="22"/>
          <w:szCs w:val="22"/>
        </w:rPr>
        <w:footnoteReference w:id="22"/>
      </w:r>
      <w:r>
        <w:rPr>
          <w:rFonts w:asciiTheme="minorHAnsi" w:hAnsiTheme="minorHAnsi" w:cstheme="minorHAnsi"/>
          <w:sz w:val="22"/>
          <w:szCs w:val="22"/>
        </w:rPr>
        <w:t xml:space="preserve"> there is no clear introduction or literature review; the procedure and results are merged together in one section;</w:t>
      </w:r>
      <w:r w:rsidR="00490E4F">
        <w:rPr>
          <w:rStyle w:val="FootnoteReference"/>
          <w:rFonts w:asciiTheme="minorHAnsi" w:hAnsiTheme="minorHAnsi" w:cstheme="minorHAnsi"/>
          <w:sz w:val="22"/>
          <w:szCs w:val="22"/>
        </w:rPr>
        <w:footnoteReference w:id="23"/>
      </w:r>
      <w:r>
        <w:rPr>
          <w:rFonts w:asciiTheme="minorHAnsi" w:hAnsiTheme="minorHAnsi" w:cstheme="minorHAnsi"/>
          <w:sz w:val="22"/>
          <w:szCs w:val="22"/>
        </w:rPr>
        <w:t xml:space="preserve"> likewise for the discussion and conclusion sections.</w:t>
      </w:r>
      <w:r w:rsidR="00490E4F">
        <w:rPr>
          <w:rStyle w:val="FootnoteReference"/>
          <w:rFonts w:asciiTheme="minorHAnsi" w:hAnsiTheme="minorHAnsi" w:cstheme="minorHAnsi"/>
          <w:sz w:val="22"/>
          <w:szCs w:val="22"/>
        </w:rPr>
        <w:footnoteReference w:id="24"/>
      </w:r>
      <w:r>
        <w:rPr>
          <w:rFonts w:asciiTheme="minorHAnsi" w:hAnsiTheme="minorHAnsi" w:cstheme="minorHAnsi"/>
          <w:sz w:val="22"/>
          <w:szCs w:val="22"/>
        </w:rPr>
        <w:t xml:space="preserve"> In the section that can best be described as the introduction and literature review, Brink cites several authors and their </w:t>
      </w:r>
      <w:r>
        <w:rPr>
          <w:rFonts w:asciiTheme="minorHAnsi" w:hAnsiTheme="minorHAnsi" w:cstheme="minorHAnsi"/>
          <w:sz w:val="22"/>
          <w:szCs w:val="22"/>
        </w:rPr>
        <w:lastRenderedPageBreak/>
        <w:t>theories</w:t>
      </w:r>
      <w:r w:rsidR="00490E4F">
        <w:rPr>
          <w:rFonts w:asciiTheme="minorHAnsi" w:hAnsiTheme="minorHAnsi" w:cstheme="minorHAnsi"/>
          <w:sz w:val="22"/>
          <w:szCs w:val="22"/>
        </w:rPr>
        <w:t>, but these are not referred to again.</w:t>
      </w:r>
      <w:r w:rsidR="00EC7453">
        <w:rPr>
          <w:rStyle w:val="FootnoteReference"/>
          <w:rFonts w:asciiTheme="minorHAnsi" w:hAnsiTheme="minorHAnsi" w:cstheme="minorHAnsi"/>
          <w:sz w:val="22"/>
          <w:szCs w:val="22"/>
        </w:rPr>
        <w:footnoteReference w:id="25"/>
      </w:r>
      <w:r w:rsidR="00490E4F">
        <w:rPr>
          <w:rFonts w:asciiTheme="minorHAnsi" w:hAnsiTheme="minorHAnsi" w:cstheme="minorHAnsi"/>
          <w:sz w:val="22"/>
          <w:szCs w:val="22"/>
        </w:rPr>
        <w:t xml:space="preserve"> The functional perspective that he relies on for his discussion and conclusion</w:t>
      </w:r>
      <w:r w:rsidR="00EC7453">
        <w:rPr>
          <w:rStyle w:val="FootnoteReference"/>
          <w:rFonts w:asciiTheme="minorHAnsi" w:hAnsiTheme="minorHAnsi" w:cstheme="minorHAnsi"/>
          <w:sz w:val="22"/>
          <w:szCs w:val="22"/>
        </w:rPr>
        <w:footnoteReference w:id="26"/>
      </w:r>
      <w:r w:rsidR="00490E4F">
        <w:rPr>
          <w:rFonts w:asciiTheme="minorHAnsi" w:hAnsiTheme="minorHAnsi" w:cstheme="minorHAnsi"/>
          <w:sz w:val="22"/>
          <w:szCs w:val="22"/>
        </w:rPr>
        <w:t xml:space="preserve"> is introduced not in the </w:t>
      </w:r>
      <w:r w:rsidR="008242FC">
        <w:rPr>
          <w:rFonts w:asciiTheme="minorHAnsi" w:hAnsiTheme="minorHAnsi" w:cstheme="minorHAnsi"/>
          <w:sz w:val="22"/>
          <w:szCs w:val="22"/>
        </w:rPr>
        <w:t>introduction,</w:t>
      </w:r>
      <w:r w:rsidR="00490E4F">
        <w:rPr>
          <w:rFonts w:asciiTheme="minorHAnsi" w:hAnsiTheme="minorHAnsi" w:cstheme="minorHAnsi"/>
          <w:sz w:val="22"/>
          <w:szCs w:val="22"/>
        </w:rPr>
        <w:t xml:space="preserve"> but in the abstract.</w:t>
      </w:r>
      <w:r w:rsidR="00EC7453">
        <w:rPr>
          <w:rStyle w:val="FootnoteReference"/>
          <w:rFonts w:asciiTheme="minorHAnsi" w:hAnsiTheme="minorHAnsi" w:cstheme="minorHAnsi"/>
          <w:sz w:val="22"/>
          <w:szCs w:val="22"/>
        </w:rPr>
        <w:footnoteReference w:id="27"/>
      </w:r>
      <w:r w:rsidR="00EC7453">
        <w:rPr>
          <w:rFonts w:asciiTheme="minorHAnsi" w:hAnsiTheme="minorHAnsi" w:cstheme="minorHAnsi"/>
          <w:sz w:val="22"/>
          <w:szCs w:val="22"/>
        </w:rPr>
        <w:t xml:space="preserve"> </w:t>
      </w:r>
    </w:p>
    <w:p w14:paraId="04C3FFAE" w14:textId="178826FB" w:rsidR="00694D28" w:rsidRPr="00E23E32" w:rsidRDefault="00694D28" w:rsidP="00E23E32">
      <w:pPr>
        <w:spacing w:after="0"/>
        <w:rPr>
          <w:rFonts w:asciiTheme="minorHAnsi" w:hAnsiTheme="minorHAnsi" w:cstheme="minorHAnsi"/>
          <w:sz w:val="22"/>
          <w:szCs w:val="22"/>
        </w:rPr>
      </w:pPr>
      <w:r>
        <w:rPr>
          <w:rFonts w:asciiTheme="minorHAnsi" w:hAnsiTheme="minorHAnsi" w:cstheme="minorHAnsi"/>
          <w:sz w:val="22"/>
          <w:szCs w:val="22"/>
        </w:rPr>
        <w:tab/>
        <w:t>In contrast</w:t>
      </w:r>
      <w:r w:rsidR="00F75A2A">
        <w:rPr>
          <w:rFonts w:asciiTheme="minorHAnsi" w:hAnsiTheme="minorHAnsi" w:cstheme="minorHAnsi"/>
          <w:sz w:val="22"/>
          <w:szCs w:val="22"/>
        </w:rPr>
        <w:t xml:space="preserve"> to Brink’s paper</w:t>
      </w:r>
      <w:r>
        <w:rPr>
          <w:rFonts w:asciiTheme="minorHAnsi" w:hAnsiTheme="minorHAnsi" w:cstheme="minorHAnsi"/>
          <w:sz w:val="22"/>
          <w:szCs w:val="22"/>
        </w:rPr>
        <w:t xml:space="preserve">, Walter and Waterhouse’s paper is ten pages long including the references. </w:t>
      </w:r>
      <w:r w:rsidR="00F75A2A">
        <w:rPr>
          <w:rFonts w:asciiTheme="minorHAnsi" w:hAnsiTheme="minorHAnsi" w:cstheme="minorHAnsi"/>
          <w:sz w:val="22"/>
          <w:szCs w:val="22"/>
        </w:rPr>
        <w:t xml:space="preserve">It is also well-written and easy to follow. The structure of the Walter and Waterhouse paper is more typical for an academic paper. </w:t>
      </w:r>
      <w:r>
        <w:rPr>
          <w:rFonts w:asciiTheme="minorHAnsi" w:hAnsiTheme="minorHAnsi" w:cstheme="minorHAnsi"/>
          <w:sz w:val="22"/>
          <w:szCs w:val="22"/>
        </w:rPr>
        <w:t>A more explanatory literature review as compared to that in the Brink paper is found in a section titled Survey Data</w:t>
      </w:r>
      <w:r w:rsidR="008242FC">
        <w:rPr>
          <w:rFonts w:asciiTheme="minorHAnsi" w:hAnsiTheme="minorHAnsi" w:cstheme="minorHAnsi"/>
          <w:sz w:val="22"/>
          <w:szCs w:val="22"/>
        </w:rPr>
        <w:t>;</w:t>
      </w:r>
      <w:r>
        <w:rPr>
          <w:rStyle w:val="FootnoteReference"/>
          <w:rFonts w:asciiTheme="minorHAnsi" w:hAnsiTheme="minorHAnsi" w:cstheme="minorHAnsi"/>
          <w:sz w:val="22"/>
          <w:szCs w:val="22"/>
        </w:rPr>
        <w:footnoteReference w:id="28"/>
      </w:r>
      <w:r>
        <w:rPr>
          <w:rFonts w:asciiTheme="minorHAnsi" w:hAnsiTheme="minorHAnsi" w:cstheme="minorHAnsi"/>
          <w:sz w:val="22"/>
          <w:szCs w:val="22"/>
        </w:rPr>
        <w:t xml:space="preserve"> after which</w:t>
      </w:r>
      <w:r w:rsidR="00D25E84">
        <w:rPr>
          <w:rFonts w:asciiTheme="minorHAnsi" w:hAnsiTheme="minorHAnsi" w:cstheme="minorHAnsi"/>
          <w:sz w:val="22"/>
          <w:szCs w:val="22"/>
        </w:rPr>
        <w:t>,</w:t>
      </w:r>
      <w:r>
        <w:rPr>
          <w:rFonts w:asciiTheme="minorHAnsi" w:hAnsiTheme="minorHAnsi" w:cstheme="minorHAnsi"/>
          <w:sz w:val="22"/>
          <w:szCs w:val="22"/>
        </w:rPr>
        <w:t xml:space="preserve"> in a subsection titled Interview Data</w:t>
      </w:r>
      <w:r w:rsidR="00D25E84">
        <w:rPr>
          <w:rFonts w:asciiTheme="minorHAnsi" w:hAnsiTheme="minorHAnsi" w:cstheme="minorHAnsi"/>
          <w:sz w:val="22"/>
          <w:szCs w:val="22"/>
        </w:rPr>
        <w:t>,</w:t>
      </w:r>
      <w:r>
        <w:rPr>
          <w:rFonts w:asciiTheme="minorHAnsi" w:hAnsiTheme="minorHAnsi" w:cstheme="minorHAnsi"/>
          <w:sz w:val="22"/>
          <w:szCs w:val="22"/>
        </w:rPr>
        <w:t xml:space="preserve"> is a more comprehensive methodology than that found in the Brink paper.</w:t>
      </w:r>
      <w:r w:rsidR="000D6D85">
        <w:rPr>
          <w:rStyle w:val="FootnoteReference"/>
          <w:rFonts w:asciiTheme="minorHAnsi" w:hAnsiTheme="minorHAnsi" w:cstheme="minorHAnsi"/>
          <w:sz w:val="22"/>
          <w:szCs w:val="22"/>
        </w:rPr>
        <w:footnoteReference w:id="29"/>
      </w:r>
      <w:r w:rsidR="000D6D85">
        <w:rPr>
          <w:rFonts w:asciiTheme="minorHAnsi" w:hAnsiTheme="minorHAnsi" w:cstheme="minorHAnsi"/>
          <w:sz w:val="22"/>
          <w:szCs w:val="22"/>
        </w:rPr>
        <w:t xml:space="preserve"> </w:t>
      </w:r>
      <w:r w:rsidR="008242FC">
        <w:rPr>
          <w:rFonts w:asciiTheme="minorHAnsi" w:hAnsiTheme="minorHAnsi" w:cstheme="minorHAnsi"/>
          <w:sz w:val="22"/>
          <w:szCs w:val="22"/>
        </w:rPr>
        <w:t xml:space="preserve">The Interview Data </w:t>
      </w:r>
      <w:r w:rsidR="008E200B">
        <w:rPr>
          <w:rFonts w:asciiTheme="minorHAnsi" w:hAnsiTheme="minorHAnsi" w:cstheme="minorHAnsi"/>
          <w:sz w:val="22"/>
          <w:szCs w:val="22"/>
        </w:rPr>
        <w:t>subsection finishes with</w:t>
      </w:r>
      <w:r w:rsidR="008242FC">
        <w:rPr>
          <w:rFonts w:asciiTheme="minorHAnsi" w:hAnsiTheme="minorHAnsi" w:cstheme="minorHAnsi"/>
          <w:sz w:val="22"/>
          <w:szCs w:val="22"/>
        </w:rPr>
        <w:t xml:space="preserve"> a second literature review regarding what the authors mean when the</w:t>
      </w:r>
      <w:r w:rsidR="008E200B">
        <w:rPr>
          <w:rFonts w:asciiTheme="minorHAnsi" w:hAnsiTheme="minorHAnsi" w:cstheme="minorHAnsi"/>
          <w:sz w:val="22"/>
          <w:szCs w:val="22"/>
        </w:rPr>
        <w:t>y</w:t>
      </w:r>
      <w:r w:rsidR="008242FC">
        <w:rPr>
          <w:rFonts w:asciiTheme="minorHAnsi" w:hAnsiTheme="minorHAnsi" w:cstheme="minorHAnsi"/>
          <w:sz w:val="22"/>
          <w:szCs w:val="22"/>
        </w:rPr>
        <w:t xml:space="preserve"> discuss the concept of the privatization of religion in contemporary western societies.</w:t>
      </w:r>
      <w:r w:rsidR="008242FC">
        <w:rPr>
          <w:rStyle w:val="FootnoteReference"/>
          <w:rFonts w:asciiTheme="minorHAnsi" w:hAnsiTheme="minorHAnsi" w:cstheme="minorHAnsi"/>
          <w:sz w:val="22"/>
          <w:szCs w:val="22"/>
        </w:rPr>
        <w:footnoteReference w:id="30"/>
      </w:r>
      <w:r w:rsidR="008242FC">
        <w:rPr>
          <w:rFonts w:asciiTheme="minorHAnsi" w:hAnsiTheme="minorHAnsi" w:cstheme="minorHAnsi"/>
          <w:sz w:val="22"/>
          <w:szCs w:val="22"/>
        </w:rPr>
        <w:t xml:space="preserve"> </w:t>
      </w:r>
      <w:r w:rsidR="007A5951">
        <w:rPr>
          <w:rFonts w:asciiTheme="minorHAnsi" w:hAnsiTheme="minorHAnsi" w:cstheme="minorHAnsi"/>
          <w:sz w:val="22"/>
          <w:szCs w:val="22"/>
        </w:rPr>
        <w:t>Walter and Waterhouse’s results are detailed in the Findings section</w:t>
      </w:r>
      <w:r w:rsidR="00F023EB">
        <w:rPr>
          <w:rFonts w:asciiTheme="minorHAnsi" w:hAnsiTheme="minorHAnsi" w:cstheme="minorHAnsi"/>
          <w:sz w:val="22"/>
          <w:szCs w:val="22"/>
        </w:rPr>
        <w:t>,</w:t>
      </w:r>
      <w:r w:rsidR="007A5951">
        <w:rPr>
          <w:rStyle w:val="FootnoteReference"/>
          <w:rFonts w:asciiTheme="minorHAnsi" w:hAnsiTheme="minorHAnsi" w:cstheme="minorHAnsi"/>
          <w:sz w:val="22"/>
          <w:szCs w:val="22"/>
        </w:rPr>
        <w:footnoteReference w:id="31"/>
      </w:r>
      <w:r w:rsidR="007A5951">
        <w:rPr>
          <w:rFonts w:asciiTheme="minorHAnsi" w:hAnsiTheme="minorHAnsi" w:cstheme="minorHAnsi"/>
          <w:sz w:val="22"/>
          <w:szCs w:val="22"/>
        </w:rPr>
        <w:t xml:space="preserve"> </w:t>
      </w:r>
      <w:r w:rsidR="00F023EB">
        <w:rPr>
          <w:rFonts w:asciiTheme="minorHAnsi" w:hAnsiTheme="minorHAnsi" w:cstheme="minorHAnsi"/>
          <w:sz w:val="22"/>
          <w:szCs w:val="22"/>
        </w:rPr>
        <w:t>also included in this section are a discussion of those findings, there being no separate Discussion section. Finally, the paper ends with a traditional Conclusion section,</w:t>
      </w:r>
      <w:r w:rsidR="00F023EB">
        <w:rPr>
          <w:rStyle w:val="FootnoteReference"/>
          <w:rFonts w:asciiTheme="minorHAnsi" w:hAnsiTheme="minorHAnsi" w:cstheme="minorHAnsi"/>
          <w:sz w:val="22"/>
          <w:szCs w:val="22"/>
        </w:rPr>
        <w:footnoteReference w:id="32"/>
      </w:r>
      <w:r w:rsidR="00F023EB">
        <w:rPr>
          <w:rFonts w:asciiTheme="minorHAnsi" w:hAnsiTheme="minorHAnsi" w:cstheme="minorHAnsi"/>
          <w:sz w:val="22"/>
          <w:szCs w:val="22"/>
        </w:rPr>
        <w:t xml:space="preserve"> there is one reference, but it has already been cited earlier in the paper.</w:t>
      </w:r>
      <w:r w:rsidR="00F023EB">
        <w:rPr>
          <w:rStyle w:val="FootnoteReference"/>
          <w:rFonts w:asciiTheme="minorHAnsi" w:hAnsiTheme="minorHAnsi" w:cstheme="minorHAnsi"/>
          <w:sz w:val="22"/>
          <w:szCs w:val="22"/>
        </w:rPr>
        <w:footnoteReference w:id="33"/>
      </w:r>
      <w:r w:rsidR="00F023EB">
        <w:rPr>
          <w:rFonts w:asciiTheme="minorHAnsi" w:hAnsiTheme="minorHAnsi" w:cstheme="minorHAnsi"/>
          <w:sz w:val="22"/>
          <w:szCs w:val="22"/>
        </w:rPr>
        <w:t xml:space="preserve"> </w:t>
      </w:r>
    </w:p>
    <w:p w14:paraId="6C967F36" w14:textId="1FF8667A" w:rsidR="00032BC1" w:rsidRPr="00F75A2A" w:rsidRDefault="003C30D7" w:rsidP="00032BC1">
      <w:pPr>
        <w:pStyle w:val="Heading1"/>
        <w:rPr>
          <w:rFonts w:asciiTheme="minorHAnsi" w:hAnsiTheme="minorHAnsi" w:cstheme="minorHAnsi"/>
          <w:i/>
          <w:iCs/>
          <w:sz w:val="24"/>
          <w:szCs w:val="24"/>
        </w:rPr>
      </w:pPr>
      <w:r w:rsidRPr="00F75A2A">
        <w:rPr>
          <w:rFonts w:asciiTheme="minorHAnsi" w:hAnsiTheme="minorHAnsi" w:cstheme="minorHAnsi"/>
          <w:i/>
          <w:iCs/>
          <w:sz w:val="24"/>
          <w:szCs w:val="24"/>
        </w:rPr>
        <w:t xml:space="preserve">The methodology employed by </w:t>
      </w:r>
      <w:proofErr w:type="gramStart"/>
      <w:r w:rsidR="00077DB4">
        <w:rPr>
          <w:rFonts w:asciiTheme="minorHAnsi" w:hAnsiTheme="minorHAnsi" w:cstheme="minorHAnsi"/>
          <w:i/>
          <w:iCs/>
          <w:sz w:val="24"/>
          <w:szCs w:val="24"/>
        </w:rPr>
        <w:t>Brink</w:t>
      </w:r>
      <w:proofErr w:type="gramEnd"/>
    </w:p>
    <w:p w14:paraId="4FA95A58" w14:textId="2ABCD997" w:rsidR="00F75A2A" w:rsidRDefault="00F75A2A" w:rsidP="00F75A2A">
      <w:pPr>
        <w:spacing w:after="0"/>
        <w:rPr>
          <w:rFonts w:asciiTheme="minorHAnsi" w:hAnsiTheme="minorHAnsi" w:cstheme="minorHAnsi"/>
          <w:sz w:val="22"/>
          <w:szCs w:val="22"/>
        </w:rPr>
      </w:pPr>
      <w:r w:rsidRPr="00E23E32">
        <w:rPr>
          <w:rFonts w:asciiTheme="minorHAnsi" w:hAnsiTheme="minorHAnsi" w:cstheme="minorHAnsi"/>
          <w:sz w:val="22"/>
          <w:szCs w:val="22"/>
        </w:rPr>
        <w:t>Brink</w:t>
      </w:r>
      <w:r>
        <w:rPr>
          <w:rFonts w:asciiTheme="minorHAnsi" w:hAnsiTheme="minorHAnsi" w:cstheme="minorHAnsi"/>
          <w:sz w:val="22"/>
          <w:szCs w:val="22"/>
        </w:rPr>
        <w:t xml:space="preserve"> employ</w:t>
      </w:r>
      <w:r w:rsidR="00BF0D6D">
        <w:rPr>
          <w:rFonts w:asciiTheme="minorHAnsi" w:hAnsiTheme="minorHAnsi" w:cstheme="minorHAnsi"/>
          <w:sz w:val="22"/>
          <w:szCs w:val="22"/>
        </w:rPr>
        <w:t>ed</w:t>
      </w:r>
      <w:r>
        <w:rPr>
          <w:rFonts w:asciiTheme="minorHAnsi" w:hAnsiTheme="minorHAnsi" w:cstheme="minorHAnsi"/>
          <w:sz w:val="22"/>
          <w:szCs w:val="22"/>
        </w:rPr>
        <w:t xml:space="preserve"> the use of a questionnaire to undertake his research.</w:t>
      </w:r>
      <w:r>
        <w:rPr>
          <w:rStyle w:val="FootnoteReference"/>
          <w:rFonts w:asciiTheme="minorHAnsi" w:hAnsiTheme="minorHAnsi" w:cstheme="minorHAnsi"/>
          <w:sz w:val="22"/>
          <w:szCs w:val="22"/>
        </w:rPr>
        <w:footnoteReference w:id="34"/>
      </w:r>
      <w:r>
        <w:rPr>
          <w:rFonts w:asciiTheme="minorHAnsi" w:hAnsiTheme="minorHAnsi" w:cstheme="minorHAnsi"/>
          <w:sz w:val="22"/>
          <w:szCs w:val="22"/>
        </w:rPr>
        <w:t xml:space="preserve"> </w:t>
      </w:r>
      <w:r w:rsidR="001C7600">
        <w:rPr>
          <w:rFonts w:asciiTheme="minorHAnsi" w:hAnsiTheme="minorHAnsi" w:cstheme="minorHAnsi"/>
          <w:sz w:val="22"/>
          <w:szCs w:val="22"/>
        </w:rPr>
        <w:t>Table 1 provides a list of statements provided in the questionnaire that students were requested to either agree or disagree</w:t>
      </w:r>
      <w:r w:rsidR="000F47CF">
        <w:rPr>
          <w:rFonts w:asciiTheme="minorHAnsi" w:hAnsiTheme="minorHAnsi" w:cstheme="minorHAnsi"/>
          <w:sz w:val="22"/>
          <w:szCs w:val="22"/>
        </w:rPr>
        <w:t xml:space="preserve"> with</w:t>
      </w:r>
      <w:r w:rsidR="001C7600">
        <w:rPr>
          <w:rFonts w:asciiTheme="minorHAnsi" w:hAnsiTheme="minorHAnsi" w:cstheme="minorHAnsi"/>
          <w:sz w:val="22"/>
          <w:szCs w:val="22"/>
        </w:rPr>
        <w:t>,</w:t>
      </w:r>
      <w:r w:rsidR="000F47CF">
        <w:rPr>
          <w:rStyle w:val="FootnoteReference"/>
          <w:rFonts w:asciiTheme="minorHAnsi" w:hAnsiTheme="minorHAnsi" w:cstheme="minorHAnsi"/>
          <w:sz w:val="22"/>
          <w:szCs w:val="22"/>
        </w:rPr>
        <w:footnoteReference w:id="35"/>
      </w:r>
      <w:r w:rsidR="001C7600">
        <w:rPr>
          <w:rFonts w:asciiTheme="minorHAnsi" w:hAnsiTheme="minorHAnsi" w:cstheme="minorHAnsi"/>
          <w:sz w:val="22"/>
          <w:szCs w:val="22"/>
        </w:rPr>
        <w:t xml:space="preserve"> however it is not clear </w:t>
      </w:r>
      <w:r w:rsidR="000F47CF">
        <w:rPr>
          <w:rFonts w:asciiTheme="minorHAnsi" w:hAnsiTheme="minorHAnsi" w:cstheme="minorHAnsi"/>
          <w:sz w:val="22"/>
          <w:szCs w:val="22"/>
        </w:rPr>
        <w:t xml:space="preserve">what is </w:t>
      </w:r>
      <w:r w:rsidR="001C7600">
        <w:rPr>
          <w:rFonts w:asciiTheme="minorHAnsi" w:hAnsiTheme="minorHAnsi" w:cstheme="minorHAnsi"/>
          <w:sz w:val="22"/>
          <w:szCs w:val="22"/>
        </w:rPr>
        <w:t>the strength with which the students either agreed or disagreed with these statement</w:t>
      </w:r>
      <w:r w:rsidR="000F47CF">
        <w:rPr>
          <w:rFonts w:asciiTheme="minorHAnsi" w:hAnsiTheme="minorHAnsi" w:cstheme="minorHAnsi"/>
          <w:sz w:val="22"/>
          <w:szCs w:val="22"/>
        </w:rPr>
        <w:t>s</w:t>
      </w:r>
      <w:r w:rsidR="001C7600">
        <w:rPr>
          <w:rFonts w:asciiTheme="minorHAnsi" w:hAnsiTheme="minorHAnsi" w:cstheme="minorHAnsi"/>
          <w:sz w:val="22"/>
          <w:szCs w:val="22"/>
        </w:rPr>
        <w:t>, for example there is no mention of the use of a scale such as Likert</w:t>
      </w:r>
      <w:r w:rsidR="001C7600">
        <w:rPr>
          <w:rStyle w:val="FootnoteReference"/>
          <w:rFonts w:asciiTheme="minorHAnsi" w:hAnsiTheme="minorHAnsi" w:cstheme="minorHAnsi"/>
          <w:sz w:val="22"/>
          <w:szCs w:val="22"/>
        </w:rPr>
        <w:footnoteReference w:id="36"/>
      </w:r>
      <w:r w:rsidR="001C7600">
        <w:rPr>
          <w:rFonts w:asciiTheme="minorHAnsi" w:hAnsiTheme="minorHAnsi" w:cstheme="minorHAnsi"/>
          <w:sz w:val="22"/>
          <w:szCs w:val="22"/>
        </w:rPr>
        <w:t xml:space="preserve"> and the results are merely given as percentages within groups which either </w:t>
      </w:r>
      <w:r w:rsidR="000F47CF">
        <w:rPr>
          <w:rFonts w:asciiTheme="minorHAnsi" w:hAnsiTheme="minorHAnsi" w:cstheme="minorHAnsi"/>
          <w:sz w:val="22"/>
          <w:szCs w:val="22"/>
        </w:rPr>
        <w:t>held</w:t>
      </w:r>
      <w:r w:rsidR="001C7600">
        <w:rPr>
          <w:rFonts w:asciiTheme="minorHAnsi" w:hAnsiTheme="minorHAnsi" w:cstheme="minorHAnsi"/>
          <w:sz w:val="22"/>
          <w:szCs w:val="22"/>
        </w:rPr>
        <w:t xml:space="preserve"> or </w:t>
      </w:r>
      <w:r w:rsidR="000F47CF">
        <w:rPr>
          <w:rFonts w:asciiTheme="minorHAnsi" w:hAnsiTheme="minorHAnsi" w:cstheme="minorHAnsi"/>
          <w:sz w:val="22"/>
          <w:szCs w:val="22"/>
        </w:rPr>
        <w:t>did not hold beliefs in</w:t>
      </w:r>
      <w:r w:rsidR="001C7600">
        <w:rPr>
          <w:rFonts w:asciiTheme="minorHAnsi" w:hAnsiTheme="minorHAnsi" w:cstheme="minorHAnsi"/>
          <w:sz w:val="22"/>
          <w:szCs w:val="22"/>
        </w:rPr>
        <w:t xml:space="preserve"> astrology and reincarnation.</w:t>
      </w:r>
      <w:r w:rsidR="000771D2">
        <w:rPr>
          <w:rFonts w:asciiTheme="minorHAnsi" w:hAnsiTheme="minorHAnsi" w:cstheme="minorHAnsi"/>
          <w:sz w:val="22"/>
          <w:szCs w:val="22"/>
        </w:rPr>
        <w:t xml:space="preserve"> There is no mention of a pilot study being run prior to this investigation.</w:t>
      </w:r>
    </w:p>
    <w:p w14:paraId="31F2DEA0" w14:textId="6439A9E2" w:rsidR="00032BC1" w:rsidRDefault="000771D2" w:rsidP="00F75A2A">
      <w:pPr>
        <w:contextualSpacing/>
        <w:rPr>
          <w:rFonts w:asciiTheme="minorHAnsi" w:hAnsiTheme="minorHAnsi" w:cstheme="minorHAnsi"/>
          <w:sz w:val="22"/>
          <w:szCs w:val="22"/>
        </w:rPr>
      </w:pPr>
      <w:r w:rsidRPr="00C8712B">
        <w:rPr>
          <w:rFonts w:asciiTheme="minorHAnsi" w:hAnsiTheme="minorHAnsi" w:cstheme="minorHAnsi"/>
          <w:sz w:val="22"/>
          <w:szCs w:val="22"/>
        </w:rPr>
        <w:tab/>
        <w:t>The participants in Brink’s study were all adolescent girls and the questionnaires were provided during the class time so that whoever was in a required religion class was given a questionnaire.</w:t>
      </w:r>
      <w:r>
        <w:rPr>
          <w:rStyle w:val="FootnoteReference"/>
          <w:rFonts w:ascii="Arial" w:hAnsi="Arial" w:cs="Arial"/>
          <w:sz w:val="22"/>
          <w:szCs w:val="22"/>
        </w:rPr>
        <w:footnoteReference w:id="37"/>
      </w:r>
      <w:r w:rsidRPr="00C8712B">
        <w:rPr>
          <w:rFonts w:asciiTheme="minorHAnsi" w:hAnsiTheme="minorHAnsi" w:cstheme="minorHAnsi"/>
          <w:sz w:val="22"/>
          <w:szCs w:val="22"/>
        </w:rPr>
        <w:t xml:space="preserve"> It is not clear if the students were allowed to take these </w:t>
      </w:r>
      <w:r w:rsidR="00D92819">
        <w:rPr>
          <w:rFonts w:asciiTheme="minorHAnsi" w:hAnsiTheme="minorHAnsi" w:cstheme="minorHAnsi"/>
          <w:sz w:val="22"/>
          <w:szCs w:val="22"/>
        </w:rPr>
        <w:t xml:space="preserve">paper </w:t>
      </w:r>
      <w:r w:rsidRPr="00C8712B">
        <w:rPr>
          <w:rFonts w:asciiTheme="minorHAnsi" w:hAnsiTheme="minorHAnsi" w:cstheme="minorHAnsi"/>
          <w:sz w:val="22"/>
          <w:szCs w:val="22"/>
        </w:rPr>
        <w:t>questionnaires home or complet</w:t>
      </w:r>
      <w:r w:rsidR="00B00A9D">
        <w:rPr>
          <w:rFonts w:asciiTheme="minorHAnsi" w:hAnsiTheme="minorHAnsi" w:cstheme="minorHAnsi"/>
          <w:sz w:val="22"/>
          <w:szCs w:val="22"/>
        </w:rPr>
        <w:t>e</w:t>
      </w:r>
      <w:r w:rsidRPr="00C8712B">
        <w:rPr>
          <w:rFonts w:asciiTheme="minorHAnsi" w:hAnsiTheme="minorHAnsi" w:cstheme="minorHAnsi"/>
          <w:sz w:val="22"/>
          <w:szCs w:val="22"/>
        </w:rPr>
        <w:t xml:space="preserve"> them in private or </w:t>
      </w:r>
      <w:r w:rsidR="00D92819">
        <w:rPr>
          <w:rFonts w:asciiTheme="minorHAnsi" w:hAnsiTheme="minorHAnsi" w:cstheme="minorHAnsi"/>
          <w:sz w:val="22"/>
          <w:szCs w:val="22"/>
        </w:rPr>
        <w:t xml:space="preserve">if the respondents </w:t>
      </w:r>
      <w:r w:rsidRPr="00C8712B">
        <w:rPr>
          <w:rFonts w:asciiTheme="minorHAnsi" w:hAnsiTheme="minorHAnsi" w:cstheme="minorHAnsi"/>
          <w:sz w:val="22"/>
          <w:szCs w:val="22"/>
        </w:rPr>
        <w:t xml:space="preserve">were completing these questionnaires under the observation of their </w:t>
      </w:r>
      <w:r w:rsidR="00C8712B" w:rsidRPr="00C8712B">
        <w:rPr>
          <w:rFonts w:asciiTheme="minorHAnsi" w:hAnsiTheme="minorHAnsi" w:cstheme="minorHAnsi"/>
          <w:sz w:val="22"/>
          <w:szCs w:val="22"/>
        </w:rPr>
        <w:t xml:space="preserve">Catholic religion </w:t>
      </w:r>
      <w:r w:rsidRPr="00C8712B">
        <w:rPr>
          <w:rFonts w:asciiTheme="minorHAnsi" w:hAnsiTheme="minorHAnsi" w:cstheme="minorHAnsi"/>
          <w:sz w:val="22"/>
          <w:szCs w:val="22"/>
        </w:rPr>
        <w:t xml:space="preserve">teaching staff, who </w:t>
      </w:r>
      <w:r w:rsidR="00C8712B" w:rsidRPr="00C8712B">
        <w:rPr>
          <w:rFonts w:asciiTheme="minorHAnsi" w:hAnsiTheme="minorHAnsi" w:cstheme="minorHAnsi"/>
          <w:sz w:val="22"/>
          <w:szCs w:val="22"/>
        </w:rPr>
        <w:t xml:space="preserve">were at that time still </w:t>
      </w:r>
      <w:r w:rsidRPr="00C8712B">
        <w:rPr>
          <w:rFonts w:asciiTheme="minorHAnsi" w:hAnsiTheme="minorHAnsi" w:cstheme="minorHAnsi"/>
          <w:sz w:val="22"/>
          <w:szCs w:val="22"/>
        </w:rPr>
        <w:t>most likely nuns.</w:t>
      </w:r>
      <w:r w:rsidR="00C8712B">
        <w:rPr>
          <w:rStyle w:val="FootnoteReference"/>
          <w:rFonts w:ascii="Arial" w:hAnsi="Arial" w:cs="Arial"/>
          <w:sz w:val="22"/>
          <w:szCs w:val="22"/>
        </w:rPr>
        <w:footnoteReference w:id="38"/>
      </w:r>
      <w:r w:rsidR="00C8712B" w:rsidRPr="00C8712B">
        <w:rPr>
          <w:rFonts w:asciiTheme="minorHAnsi" w:hAnsiTheme="minorHAnsi" w:cstheme="minorHAnsi"/>
          <w:sz w:val="22"/>
          <w:szCs w:val="22"/>
        </w:rPr>
        <w:t xml:space="preserve"> </w:t>
      </w:r>
      <w:r w:rsidR="00FD49FE">
        <w:rPr>
          <w:rFonts w:asciiTheme="minorHAnsi" w:hAnsiTheme="minorHAnsi" w:cstheme="minorHAnsi"/>
          <w:sz w:val="22"/>
          <w:szCs w:val="22"/>
        </w:rPr>
        <w:t xml:space="preserve">There is no mention of any ethics approval or permissions being granted in the </w:t>
      </w:r>
      <w:r w:rsidR="00FD49FE">
        <w:rPr>
          <w:rFonts w:asciiTheme="minorHAnsi" w:hAnsiTheme="minorHAnsi" w:cstheme="minorHAnsi"/>
          <w:sz w:val="22"/>
          <w:szCs w:val="22"/>
        </w:rPr>
        <w:lastRenderedPageBreak/>
        <w:t>surveying of these minors as would be expected in a present-day context.</w:t>
      </w:r>
      <w:r w:rsidR="00FD49FE">
        <w:rPr>
          <w:rStyle w:val="FootnoteReference"/>
          <w:rFonts w:asciiTheme="minorHAnsi" w:hAnsiTheme="minorHAnsi" w:cstheme="minorHAnsi"/>
          <w:sz w:val="22"/>
          <w:szCs w:val="22"/>
        </w:rPr>
        <w:footnoteReference w:id="39"/>
      </w:r>
      <w:r w:rsidR="00FD49FE">
        <w:rPr>
          <w:rFonts w:asciiTheme="minorHAnsi" w:hAnsiTheme="minorHAnsi" w:cstheme="minorHAnsi"/>
          <w:sz w:val="22"/>
          <w:szCs w:val="22"/>
        </w:rPr>
        <w:t xml:space="preserve"> It is unclear if the students (and their parents) were happy to do these questions and were not obligated to complete them</w:t>
      </w:r>
      <w:r w:rsidR="00F80471">
        <w:rPr>
          <w:rFonts w:asciiTheme="minorHAnsi" w:hAnsiTheme="minorHAnsi" w:cstheme="minorHAnsi"/>
          <w:sz w:val="22"/>
          <w:szCs w:val="22"/>
        </w:rPr>
        <w:t xml:space="preserve"> by their teaching staff</w:t>
      </w:r>
      <w:r w:rsidR="00FD49FE">
        <w:rPr>
          <w:rFonts w:asciiTheme="minorHAnsi" w:hAnsiTheme="minorHAnsi" w:cstheme="minorHAnsi"/>
          <w:sz w:val="22"/>
          <w:szCs w:val="22"/>
        </w:rPr>
        <w:t>.</w:t>
      </w:r>
      <w:r w:rsidR="00BC500A">
        <w:rPr>
          <w:rStyle w:val="FootnoteReference"/>
          <w:rFonts w:asciiTheme="minorHAnsi" w:hAnsiTheme="minorHAnsi" w:cstheme="minorHAnsi"/>
          <w:sz w:val="22"/>
          <w:szCs w:val="22"/>
        </w:rPr>
        <w:footnoteReference w:id="40"/>
      </w:r>
      <w:r w:rsidR="00FD49FE">
        <w:rPr>
          <w:rFonts w:asciiTheme="minorHAnsi" w:hAnsiTheme="minorHAnsi" w:cstheme="minorHAnsi"/>
          <w:sz w:val="22"/>
          <w:szCs w:val="22"/>
        </w:rPr>
        <w:t xml:space="preserve"> A researcher also has a duty to minimize harm</w:t>
      </w:r>
      <w:r w:rsidR="001A7C71">
        <w:rPr>
          <w:rFonts w:asciiTheme="minorHAnsi" w:hAnsiTheme="minorHAnsi" w:cstheme="minorHAnsi"/>
          <w:sz w:val="22"/>
          <w:szCs w:val="22"/>
        </w:rPr>
        <w:t>;</w:t>
      </w:r>
      <w:r w:rsidR="00BC500A">
        <w:rPr>
          <w:rStyle w:val="FootnoteReference"/>
          <w:rFonts w:asciiTheme="minorHAnsi" w:hAnsiTheme="minorHAnsi" w:cstheme="minorHAnsi"/>
          <w:sz w:val="22"/>
          <w:szCs w:val="22"/>
        </w:rPr>
        <w:footnoteReference w:id="41"/>
      </w:r>
      <w:r w:rsidR="00BC500A">
        <w:rPr>
          <w:rFonts w:asciiTheme="minorHAnsi" w:hAnsiTheme="minorHAnsi" w:cstheme="minorHAnsi"/>
          <w:sz w:val="22"/>
          <w:szCs w:val="22"/>
        </w:rPr>
        <w:t xml:space="preserve"> yet</w:t>
      </w:r>
      <w:r w:rsidR="00FD49FE">
        <w:rPr>
          <w:rFonts w:asciiTheme="minorHAnsi" w:hAnsiTheme="minorHAnsi" w:cstheme="minorHAnsi"/>
          <w:sz w:val="22"/>
          <w:szCs w:val="22"/>
        </w:rPr>
        <w:t xml:space="preserve"> </w:t>
      </w:r>
      <w:r w:rsidR="00F80471">
        <w:rPr>
          <w:rFonts w:asciiTheme="minorHAnsi" w:hAnsiTheme="minorHAnsi" w:cstheme="minorHAnsi"/>
          <w:sz w:val="22"/>
          <w:szCs w:val="22"/>
        </w:rPr>
        <w:t xml:space="preserve">despite, </w:t>
      </w:r>
      <w:r w:rsidR="00FD49FE">
        <w:rPr>
          <w:rFonts w:asciiTheme="minorHAnsi" w:hAnsiTheme="minorHAnsi" w:cstheme="minorHAnsi"/>
          <w:sz w:val="22"/>
          <w:szCs w:val="22"/>
        </w:rPr>
        <w:t>as Brink explains in his paper</w:t>
      </w:r>
      <w:r w:rsidR="00BC500A">
        <w:rPr>
          <w:rFonts w:asciiTheme="minorHAnsi" w:hAnsiTheme="minorHAnsi" w:cstheme="minorHAnsi"/>
          <w:sz w:val="22"/>
          <w:szCs w:val="22"/>
        </w:rPr>
        <w:t xml:space="preserve">, the doctrines of the Roman Catholic faith </w:t>
      </w:r>
      <w:r w:rsidR="00F80471">
        <w:rPr>
          <w:rFonts w:asciiTheme="minorHAnsi" w:hAnsiTheme="minorHAnsi" w:cstheme="minorHAnsi"/>
          <w:sz w:val="22"/>
          <w:szCs w:val="22"/>
        </w:rPr>
        <w:t>being</w:t>
      </w:r>
      <w:r w:rsidR="00BC500A">
        <w:rPr>
          <w:rFonts w:asciiTheme="minorHAnsi" w:hAnsiTheme="minorHAnsi" w:cstheme="minorHAnsi"/>
          <w:sz w:val="22"/>
          <w:szCs w:val="22"/>
        </w:rPr>
        <w:t xml:space="preserve"> incompatible with belief in both astrology and reincarnation</w:t>
      </w:r>
      <w:r w:rsidR="001A7C71">
        <w:rPr>
          <w:rFonts w:asciiTheme="minorHAnsi" w:hAnsiTheme="minorHAnsi" w:cstheme="minorHAnsi"/>
          <w:sz w:val="22"/>
          <w:szCs w:val="22"/>
        </w:rPr>
        <w:t>,</w:t>
      </w:r>
      <w:r w:rsidR="00F80471">
        <w:rPr>
          <w:rStyle w:val="FootnoteReference"/>
          <w:rFonts w:asciiTheme="minorHAnsi" w:hAnsiTheme="minorHAnsi" w:cstheme="minorHAnsi"/>
          <w:sz w:val="22"/>
          <w:szCs w:val="22"/>
        </w:rPr>
        <w:footnoteReference w:id="42"/>
      </w:r>
      <w:r w:rsidR="001A7C71">
        <w:rPr>
          <w:rFonts w:asciiTheme="minorHAnsi" w:hAnsiTheme="minorHAnsi" w:cstheme="minorHAnsi"/>
          <w:sz w:val="22"/>
          <w:szCs w:val="22"/>
        </w:rPr>
        <w:t xml:space="preserve"> </w:t>
      </w:r>
      <w:r w:rsidR="00BC500A">
        <w:rPr>
          <w:rFonts w:asciiTheme="minorHAnsi" w:hAnsiTheme="minorHAnsi" w:cstheme="minorHAnsi"/>
          <w:sz w:val="22"/>
          <w:szCs w:val="22"/>
        </w:rPr>
        <w:t xml:space="preserve">Brink does not </w:t>
      </w:r>
      <w:r w:rsidR="001A7C71">
        <w:rPr>
          <w:rFonts w:asciiTheme="minorHAnsi" w:hAnsiTheme="minorHAnsi" w:cstheme="minorHAnsi"/>
          <w:sz w:val="22"/>
          <w:szCs w:val="22"/>
        </w:rPr>
        <w:t xml:space="preserve">mention any steps taken to maintain the privacy of his respondents </w:t>
      </w:r>
      <w:r w:rsidR="00F80471">
        <w:rPr>
          <w:rFonts w:asciiTheme="minorHAnsi" w:hAnsiTheme="minorHAnsi" w:cstheme="minorHAnsi"/>
          <w:sz w:val="22"/>
          <w:szCs w:val="22"/>
        </w:rPr>
        <w:t xml:space="preserve">and their </w:t>
      </w:r>
      <w:r w:rsidR="001A7C71">
        <w:rPr>
          <w:rFonts w:asciiTheme="minorHAnsi" w:hAnsiTheme="minorHAnsi" w:cstheme="minorHAnsi"/>
          <w:sz w:val="22"/>
          <w:szCs w:val="22"/>
        </w:rPr>
        <w:t>answers.</w:t>
      </w:r>
    </w:p>
    <w:p w14:paraId="2784BAAD" w14:textId="406D24ED" w:rsidR="005505A6" w:rsidRDefault="005505A6" w:rsidP="00F75A2A">
      <w:pPr>
        <w:contextualSpacing/>
        <w:rPr>
          <w:rFonts w:asciiTheme="minorHAnsi" w:hAnsiTheme="minorHAnsi" w:cstheme="minorHAnsi"/>
          <w:sz w:val="22"/>
          <w:szCs w:val="22"/>
        </w:rPr>
      </w:pPr>
      <w:r>
        <w:rPr>
          <w:rFonts w:asciiTheme="minorHAnsi" w:hAnsiTheme="minorHAnsi" w:cstheme="minorHAnsi"/>
          <w:sz w:val="22"/>
          <w:szCs w:val="22"/>
        </w:rPr>
        <w:tab/>
        <w:t>Questionnaires are useful to tools to provide quantitative data that can hopefully lead to generalizable conclusions.</w:t>
      </w:r>
      <w:r>
        <w:rPr>
          <w:rStyle w:val="FootnoteReference"/>
          <w:rFonts w:asciiTheme="minorHAnsi" w:hAnsiTheme="minorHAnsi" w:cstheme="minorHAnsi"/>
          <w:sz w:val="22"/>
          <w:szCs w:val="22"/>
        </w:rPr>
        <w:footnoteReference w:id="43"/>
      </w:r>
      <w:r>
        <w:rPr>
          <w:rFonts w:asciiTheme="minorHAnsi" w:hAnsiTheme="minorHAnsi" w:cstheme="minorHAnsi"/>
          <w:sz w:val="22"/>
          <w:szCs w:val="22"/>
        </w:rPr>
        <w:t xml:space="preserve"> Brink’s stated hypothesis to find out if a group of people have consistency of belief should lend itself to investigation by a large-scale questionnaire. However, since the execution of this project cannot be said to be in line with current best practice in research ethics, the data cannot be assumed to have been collected with permission, without coercion and voluntarily</w:t>
      </w:r>
      <w:r w:rsidR="00D35AC9">
        <w:rPr>
          <w:rFonts w:asciiTheme="minorHAnsi" w:hAnsiTheme="minorHAnsi" w:cstheme="minorHAnsi"/>
          <w:sz w:val="22"/>
          <w:szCs w:val="22"/>
        </w:rPr>
        <w:t>.</w:t>
      </w:r>
      <w:r w:rsidR="00D35AC9">
        <w:rPr>
          <w:rStyle w:val="FootnoteReference"/>
          <w:rFonts w:asciiTheme="minorHAnsi" w:hAnsiTheme="minorHAnsi" w:cstheme="minorHAnsi"/>
          <w:sz w:val="22"/>
          <w:szCs w:val="22"/>
        </w:rPr>
        <w:footnoteReference w:id="44"/>
      </w:r>
      <w:r w:rsidR="00D35AC9">
        <w:rPr>
          <w:rFonts w:asciiTheme="minorHAnsi" w:hAnsiTheme="minorHAnsi" w:cstheme="minorHAnsi"/>
          <w:sz w:val="22"/>
          <w:szCs w:val="22"/>
        </w:rPr>
        <w:t xml:space="preserve"> The data therefore cannot be assumed to be fully truthful and honest, and therefore cannot be assumed to be generalizable.</w:t>
      </w:r>
    </w:p>
    <w:p w14:paraId="29FE5BD8" w14:textId="69EED2A0" w:rsidR="00077DB4" w:rsidRPr="00F75A2A" w:rsidRDefault="00077DB4" w:rsidP="00077DB4">
      <w:pPr>
        <w:pStyle w:val="Heading1"/>
        <w:rPr>
          <w:rFonts w:asciiTheme="minorHAnsi" w:hAnsiTheme="minorHAnsi" w:cstheme="minorHAnsi"/>
          <w:i/>
          <w:iCs/>
          <w:sz w:val="24"/>
          <w:szCs w:val="24"/>
        </w:rPr>
      </w:pPr>
      <w:r w:rsidRPr="00F75A2A">
        <w:rPr>
          <w:rFonts w:asciiTheme="minorHAnsi" w:hAnsiTheme="minorHAnsi" w:cstheme="minorHAnsi"/>
          <w:i/>
          <w:iCs/>
          <w:sz w:val="24"/>
          <w:szCs w:val="24"/>
        </w:rPr>
        <w:t xml:space="preserve">The methodology employed by </w:t>
      </w:r>
      <w:r>
        <w:rPr>
          <w:rFonts w:asciiTheme="minorHAnsi" w:hAnsiTheme="minorHAnsi" w:cstheme="minorHAnsi"/>
          <w:i/>
          <w:iCs/>
          <w:sz w:val="24"/>
          <w:szCs w:val="24"/>
        </w:rPr>
        <w:t>Walter and Waterhouse</w:t>
      </w:r>
    </w:p>
    <w:p w14:paraId="07BE48E0" w14:textId="3BF5DD51" w:rsidR="00077DB4" w:rsidRDefault="0014392F" w:rsidP="00F75A2A">
      <w:pPr>
        <w:contextualSpacing/>
        <w:rPr>
          <w:rFonts w:asciiTheme="minorHAnsi" w:hAnsiTheme="minorHAnsi" w:cstheme="minorHAnsi"/>
          <w:sz w:val="22"/>
          <w:szCs w:val="22"/>
        </w:rPr>
      </w:pPr>
      <w:r w:rsidRPr="0014392F">
        <w:rPr>
          <w:rFonts w:asciiTheme="minorHAnsi" w:hAnsiTheme="minorHAnsi" w:cstheme="minorHAnsi"/>
          <w:sz w:val="22"/>
          <w:szCs w:val="22"/>
        </w:rPr>
        <w:t>In contrast,</w:t>
      </w:r>
      <w:r>
        <w:rPr>
          <w:rFonts w:asciiTheme="minorHAnsi" w:hAnsiTheme="minorHAnsi" w:cstheme="minorHAnsi"/>
          <w:sz w:val="22"/>
          <w:szCs w:val="22"/>
        </w:rPr>
        <w:t xml:space="preserve"> Walter and Waterhouse </w:t>
      </w:r>
      <w:r w:rsidR="002559CE">
        <w:rPr>
          <w:rFonts w:asciiTheme="minorHAnsi" w:hAnsiTheme="minorHAnsi" w:cstheme="minorHAnsi"/>
          <w:sz w:val="22"/>
          <w:szCs w:val="22"/>
        </w:rPr>
        <w:t>undertook in-depth interviews, first individual interviews with 30 adults in their own homes</w:t>
      </w:r>
      <w:r w:rsidR="002559CE">
        <w:rPr>
          <w:rStyle w:val="FootnoteReference"/>
          <w:rFonts w:asciiTheme="minorHAnsi" w:hAnsiTheme="minorHAnsi" w:cstheme="minorHAnsi"/>
          <w:sz w:val="22"/>
          <w:szCs w:val="22"/>
        </w:rPr>
        <w:footnoteReference w:id="45"/>
      </w:r>
      <w:r w:rsidR="002559CE">
        <w:rPr>
          <w:rFonts w:asciiTheme="minorHAnsi" w:hAnsiTheme="minorHAnsi" w:cstheme="minorHAnsi"/>
          <w:sz w:val="22"/>
          <w:szCs w:val="22"/>
        </w:rPr>
        <w:t xml:space="preserve"> and later three group interviews with a total of 21 schoolchildren aged 11, 14-15 and 17-18.</w:t>
      </w:r>
      <w:r w:rsidR="002559CE">
        <w:rPr>
          <w:rStyle w:val="FootnoteReference"/>
          <w:rFonts w:asciiTheme="minorHAnsi" w:hAnsiTheme="minorHAnsi" w:cstheme="minorHAnsi"/>
          <w:sz w:val="22"/>
          <w:szCs w:val="22"/>
        </w:rPr>
        <w:footnoteReference w:id="46"/>
      </w:r>
      <w:r w:rsidR="002559CE">
        <w:rPr>
          <w:rFonts w:asciiTheme="minorHAnsi" w:hAnsiTheme="minorHAnsi" w:cstheme="minorHAnsi"/>
          <w:sz w:val="22"/>
          <w:szCs w:val="22"/>
        </w:rPr>
        <w:t xml:space="preserve"> All the participants were English with most interviews taking place in the South Western towns of Bath, Bristol and Taunton.</w:t>
      </w:r>
      <w:r w:rsidR="00A7677A">
        <w:rPr>
          <w:rStyle w:val="FootnoteReference"/>
          <w:rFonts w:asciiTheme="minorHAnsi" w:hAnsiTheme="minorHAnsi" w:cstheme="minorHAnsi"/>
          <w:sz w:val="22"/>
          <w:szCs w:val="22"/>
        </w:rPr>
        <w:footnoteReference w:id="47"/>
      </w:r>
      <w:r w:rsidR="00A7677A">
        <w:rPr>
          <w:rFonts w:asciiTheme="minorHAnsi" w:hAnsiTheme="minorHAnsi" w:cstheme="minorHAnsi"/>
          <w:sz w:val="22"/>
          <w:szCs w:val="22"/>
        </w:rPr>
        <w:t xml:space="preserve"> Unlike with the Brink paper, Walter and Waterhouse mention how the recruitment process was undertaken via personal contact as well as through local media and the snowball effect.</w:t>
      </w:r>
      <w:r w:rsidR="00A7677A">
        <w:rPr>
          <w:rStyle w:val="FootnoteReference"/>
          <w:rFonts w:asciiTheme="minorHAnsi" w:hAnsiTheme="minorHAnsi" w:cstheme="minorHAnsi"/>
          <w:sz w:val="22"/>
          <w:szCs w:val="22"/>
        </w:rPr>
        <w:footnoteReference w:id="48"/>
      </w:r>
      <w:r w:rsidR="00A7677A">
        <w:rPr>
          <w:rFonts w:asciiTheme="minorHAnsi" w:hAnsiTheme="minorHAnsi" w:cstheme="minorHAnsi"/>
          <w:sz w:val="22"/>
          <w:szCs w:val="22"/>
        </w:rPr>
        <w:t xml:space="preserve"> </w:t>
      </w:r>
      <w:r w:rsidR="00B00A9D">
        <w:rPr>
          <w:rFonts w:asciiTheme="minorHAnsi" w:hAnsiTheme="minorHAnsi" w:cstheme="minorHAnsi"/>
          <w:sz w:val="22"/>
          <w:szCs w:val="22"/>
        </w:rPr>
        <w:t>The pivotal requirement for participants was that they believed in reincarnation.</w:t>
      </w:r>
      <w:r w:rsidR="00B00A9D">
        <w:rPr>
          <w:rStyle w:val="FootnoteReference"/>
          <w:rFonts w:asciiTheme="minorHAnsi" w:hAnsiTheme="minorHAnsi" w:cstheme="minorHAnsi"/>
          <w:sz w:val="22"/>
          <w:szCs w:val="22"/>
        </w:rPr>
        <w:footnoteReference w:id="49"/>
      </w:r>
      <w:r w:rsidR="00B00A9D">
        <w:rPr>
          <w:rFonts w:asciiTheme="minorHAnsi" w:hAnsiTheme="minorHAnsi" w:cstheme="minorHAnsi"/>
          <w:sz w:val="22"/>
          <w:szCs w:val="22"/>
        </w:rPr>
        <w:t xml:space="preserve"> </w:t>
      </w:r>
      <w:r w:rsidR="008B25FD">
        <w:rPr>
          <w:rFonts w:asciiTheme="minorHAnsi" w:hAnsiTheme="minorHAnsi" w:cstheme="minorHAnsi"/>
          <w:sz w:val="22"/>
          <w:szCs w:val="22"/>
        </w:rPr>
        <w:t>The method of recruitment meant that the sample was not representative, however this was not the intention, which was to find ‘the range of meanings given to the idea of reincarnation’.</w:t>
      </w:r>
      <w:r w:rsidR="008B25FD">
        <w:rPr>
          <w:rStyle w:val="FootnoteReference"/>
          <w:rFonts w:asciiTheme="minorHAnsi" w:hAnsiTheme="minorHAnsi" w:cstheme="minorHAnsi"/>
          <w:sz w:val="22"/>
          <w:szCs w:val="22"/>
        </w:rPr>
        <w:footnoteReference w:id="50"/>
      </w:r>
      <w:r w:rsidR="008B25FD">
        <w:rPr>
          <w:rFonts w:asciiTheme="minorHAnsi" w:hAnsiTheme="minorHAnsi" w:cstheme="minorHAnsi"/>
          <w:sz w:val="22"/>
          <w:szCs w:val="22"/>
        </w:rPr>
        <w:t xml:space="preserve"> Hence Walter and Waterhouse sought to make the interviews open-ended with the participants free to ‘speak in their own terms’</w:t>
      </w:r>
      <w:r w:rsidR="00CF2691">
        <w:rPr>
          <w:rFonts w:asciiTheme="minorHAnsi" w:hAnsiTheme="minorHAnsi" w:cstheme="minorHAnsi"/>
          <w:sz w:val="22"/>
          <w:szCs w:val="22"/>
        </w:rPr>
        <w:t xml:space="preserve"> and not be influenced by leading questions from the authors.</w:t>
      </w:r>
      <w:r w:rsidR="00CF2691">
        <w:rPr>
          <w:rStyle w:val="FootnoteReference"/>
          <w:rFonts w:asciiTheme="minorHAnsi" w:hAnsiTheme="minorHAnsi" w:cstheme="minorHAnsi"/>
          <w:sz w:val="22"/>
          <w:szCs w:val="22"/>
        </w:rPr>
        <w:footnoteReference w:id="51"/>
      </w:r>
      <w:r w:rsidR="00CF2691">
        <w:rPr>
          <w:rFonts w:asciiTheme="minorHAnsi" w:hAnsiTheme="minorHAnsi" w:cstheme="minorHAnsi"/>
          <w:sz w:val="22"/>
          <w:szCs w:val="22"/>
        </w:rPr>
        <w:t xml:space="preserve"> The resulting transcripts were analysed from a sociological perspective by Walter and a religious studies perspective by Waterhouse.</w:t>
      </w:r>
      <w:r w:rsidR="00CF2691">
        <w:rPr>
          <w:rStyle w:val="FootnoteReference"/>
          <w:rFonts w:asciiTheme="minorHAnsi" w:hAnsiTheme="minorHAnsi" w:cstheme="minorHAnsi"/>
          <w:sz w:val="22"/>
          <w:szCs w:val="22"/>
        </w:rPr>
        <w:footnoteReference w:id="52"/>
      </w:r>
    </w:p>
    <w:p w14:paraId="462A0688" w14:textId="20D1FDCC" w:rsidR="00B00A9D" w:rsidRDefault="00CF2691" w:rsidP="00F75A2A">
      <w:pPr>
        <w:contextualSpacing/>
        <w:rPr>
          <w:rFonts w:asciiTheme="minorHAnsi" w:hAnsiTheme="minorHAnsi" w:cstheme="minorHAnsi"/>
          <w:sz w:val="22"/>
          <w:szCs w:val="22"/>
        </w:rPr>
      </w:pPr>
      <w:r>
        <w:rPr>
          <w:rFonts w:asciiTheme="minorHAnsi" w:hAnsiTheme="minorHAnsi" w:cstheme="minorHAnsi"/>
          <w:sz w:val="22"/>
          <w:szCs w:val="22"/>
        </w:rPr>
        <w:tab/>
      </w:r>
      <w:proofErr w:type="gramStart"/>
      <w:r w:rsidR="00B00A9D">
        <w:rPr>
          <w:rFonts w:asciiTheme="minorHAnsi" w:hAnsiTheme="minorHAnsi" w:cstheme="minorHAnsi"/>
          <w:sz w:val="22"/>
          <w:szCs w:val="22"/>
        </w:rPr>
        <w:t>Similar to</w:t>
      </w:r>
      <w:proofErr w:type="gramEnd"/>
      <w:r w:rsidR="00B00A9D">
        <w:rPr>
          <w:rFonts w:asciiTheme="minorHAnsi" w:hAnsiTheme="minorHAnsi" w:cstheme="minorHAnsi"/>
          <w:sz w:val="22"/>
          <w:szCs w:val="22"/>
        </w:rPr>
        <w:t xml:space="preserve"> the Brink paper</w:t>
      </w:r>
      <w:r w:rsidR="0019238E">
        <w:rPr>
          <w:rFonts w:asciiTheme="minorHAnsi" w:hAnsiTheme="minorHAnsi" w:cstheme="minorHAnsi"/>
          <w:sz w:val="22"/>
          <w:szCs w:val="22"/>
        </w:rPr>
        <w:t>,</w:t>
      </w:r>
      <w:r w:rsidR="00B00A9D">
        <w:rPr>
          <w:rFonts w:asciiTheme="minorHAnsi" w:hAnsiTheme="minorHAnsi" w:cstheme="minorHAnsi"/>
          <w:sz w:val="22"/>
          <w:szCs w:val="22"/>
        </w:rPr>
        <w:t xml:space="preserve"> </w:t>
      </w:r>
      <w:r w:rsidR="0019238E">
        <w:rPr>
          <w:rFonts w:asciiTheme="minorHAnsi" w:hAnsiTheme="minorHAnsi" w:cstheme="minorHAnsi"/>
          <w:sz w:val="22"/>
          <w:szCs w:val="22"/>
        </w:rPr>
        <w:t>Walter and Waterhouse do</w:t>
      </w:r>
      <w:r w:rsidR="00B00A9D">
        <w:rPr>
          <w:rFonts w:asciiTheme="minorHAnsi" w:hAnsiTheme="minorHAnsi" w:cstheme="minorHAnsi"/>
          <w:sz w:val="22"/>
          <w:szCs w:val="22"/>
        </w:rPr>
        <w:t xml:space="preserve"> no</w:t>
      </w:r>
      <w:r w:rsidR="0019238E">
        <w:rPr>
          <w:rFonts w:asciiTheme="minorHAnsi" w:hAnsiTheme="minorHAnsi" w:cstheme="minorHAnsi"/>
          <w:sz w:val="22"/>
          <w:szCs w:val="22"/>
        </w:rPr>
        <w:t>t</w:t>
      </w:r>
      <w:r w:rsidR="00B00A9D">
        <w:rPr>
          <w:rFonts w:asciiTheme="minorHAnsi" w:hAnsiTheme="minorHAnsi" w:cstheme="minorHAnsi"/>
          <w:sz w:val="22"/>
          <w:szCs w:val="22"/>
        </w:rPr>
        <w:t xml:space="preserve"> mention </w:t>
      </w:r>
      <w:r w:rsidR="0019238E">
        <w:rPr>
          <w:rFonts w:asciiTheme="minorHAnsi" w:hAnsiTheme="minorHAnsi" w:cstheme="minorHAnsi"/>
          <w:sz w:val="22"/>
          <w:szCs w:val="22"/>
        </w:rPr>
        <w:t>any steps taken to ensure a high ethical standard of their project. The</w:t>
      </w:r>
      <w:r w:rsidR="009A4615">
        <w:rPr>
          <w:rFonts w:asciiTheme="minorHAnsi" w:hAnsiTheme="minorHAnsi" w:cstheme="minorHAnsi"/>
          <w:sz w:val="22"/>
          <w:szCs w:val="22"/>
        </w:rPr>
        <w:t>y</w:t>
      </w:r>
      <w:r w:rsidR="0019238E">
        <w:rPr>
          <w:rFonts w:asciiTheme="minorHAnsi" w:hAnsiTheme="minorHAnsi" w:cstheme="minorHAnsi"/>
          <w:sz w:val="22"/>
          <w:szCs w:val="22"/>
        </w:rPr>
        <w:t xml:space="preserve"> do not mention seeking permission and it is unclear how the schoolchildren mentioned were recruited. </w:t>
      </w:r>
      <w:r w:rsidR="009A4615">
        <w:rPr>
          <w:rFonts w:asciiTheme="minorHAnsi" w:hAnsiTheme="minorHAnsi" w:cstheme="minorHAnsi"/>
          <w:sz w:val="22"/>
          <w:szCs w:val="22"/>
        </w:rPr>
        <w:t>However,</w:t>
      </w:r>
      <w:r w:rsidR="0019238E">
        <w:rPr>
          <w:rFonts w:asciiTheme="minorHAnsi" w:hAnsiTheme="minorHAnsi" w:cstheme="minorHAnsi"/>
          <w:sz w:val="22"/>
          <w:szCs w:val="22"/>
        </w:rPr>
        <w:t xml:space="preserve"> none of the data published </w:t>
      </w:r>
      <w:r w:rsidR="0019238E">
        <w:rPr>
          <w:rFonts w:asciiTheme="minorHAnsi" w:hAnsiTheme="minorHAnsi" w:cstheme="minorHAnsi"/>
          <w:sz w:val="22"/>
          <w:szCs w:val="22"/>
        </w:rPr>
        <w:lastRenderedPageBreak/>
        <w:t>is identifiable. There are some short extracts from interviews, but none include any personal details ensuring the anonymity and confidentiality of the participants.</w:t>
      </w:r>
      <w:r w:rsidR="0019238E">
        <w:rPr>
          <w:rStyle w:val="FootnoteReference"/>
          <w:rFonts w:asciiTheme="minorHAnsi" w:hAnsiTheme="minorHAnsi" w:cstheme="minorHAnsi"/>
          <w:sz w:val="22"/>
          <w:szCs w:val="22"/>
        </w:rPr>
        <w:footnoteReference w:id="53"/>
      </w:r>
      <w:r w:rsidR="0019238E">
        <w:rPr>
          <w:rFonts w:asciiTheme="minorHAnsi" w:hAnsiTheme="minorHAnsi" w:cstheme="minorHAnsi"/>
          <w:sz w:val="22"/>
          <w:szCs w:val="22"/>
        </w:rPr>
        <w:t xml:space="preserve"> </w:t>
      </w:r>
    </w:p>
    <w:p w14:paraId="76B6572B" w14:textId="640F761A" w:rsidR="009A4615" w:rsidRPr="0014392F" w:rsidRDefault="009A4615" w:rsidP="00F75A2A">
      <w:pPr>
        <w:contextualSpacing/>
        <w:rPr>
          <w:rFonts w:asciiTheme="minorHAnsi" w:hAnsiTheme="minorHAnsi" w:cstheme="minorHAnsi"/>
          <w:sz w:val="22"/>
          <w:szCs w:val="22"/>
        </w:rPr>
      </w:pPr>
      <w:r>
        <w:rPr>
          <w:rFonts w:asciiTheme="minorHAnsi" w:hAnsiTheme="minorHAnsi" w:cstheme="minorHAnsi"/>
          <w:sz w:val="22"/>
          <w:szCs w:val="22"/>
        </w:rPr>
        <w:tab/>
        <w:t>Interviews are useful to understand people’s</w:t>
      </w:r>
      <w:r w:rsidR="0031569F">
        <w:rPr>
          <w:rFonts w:asciiTheme="minorHAnsi" w:hAnsiTheme="minorHAnsi" w:cstheme="minorHAnsi"/>
          <w:sz w:val="22"/>
          <w:szCs w:val="22"/>
        </w:rPr>
        <w:t xml:space="preserve"> beliefs, perceptions and the meaning they attach to those beliefs and perceptions,</w:t>
      </w:r>
      <w:r w:rsidR="0031569F">
        <w:rPr>
          <w:rStyle w:val="FootnoteReference"/>
          <w:rFonts w:asciiTheme="minorHAnsi" w:hAnsiTheme="minorHAnsi" w:cstheme="minorHAnsi"/>
          <w:sz w:val="22"/>
          <w:szCs w:val="22"/>
        </w:rPr>
        <w:footnoteReference w:id="54"/>
      </w:r>
      <w:r w:rsidR="0031569F">
        <w:rPr>
          <w:rFonts w:asciiTheme="minorHAnsi" w:hAnsiTheme="minorHAnsi" w:cstheme="minorHAnsi"/>
          <w:sz w:val="22"/>
          <w:szCs w:val="22"/>
        </w:rPr>
        <w:t xml:space="preserve"> making the in-depth interviews of the adults involved in the research project a valid methodology to investigate the meanings that the participate attribute to their ideas of reincarnation. The schoolchildren’s group interviews are more problematic. </w:t>
      </w:r>
      <w:proofErr w:type="spellStart"/>
      <w:r w:rsidR="0031569F">
        <w:rPr>
          <w:rFonts w:asciiTheme="minorHAnsi" w:hAnsiTheme="minorHAnsi" w:cstheme="minorHAnsi"/>
          <w:sz w:val="22"/>
          <w:szCs w:val="22"/>
        </w:rPr>
        <w:t>Hennink</w:t>
      </w:r>
      <w:proofErr w:type="spellEnd"/>
      <w:r w:rsidR="0031569F">
        <w:rPr>
          <w:rFonts w:asciiTheme="minorHAnsi" w:hAnsiTheme="minorHAnsi" w:cstheme="minorHAnsi"/>
          <w:sz w:val="22"/>
          <w:szCs w:val="22"/>
        </w:rPr>
        <w:t xml:space="preserve">, </w:t>
      </w:r>
      <w:proofErr w:type="spellStart"/>
      <w:r w:rsidR="0031569F">
        <w:rPr>
          <w:rFonts w:asciiTheme="minorHAnsi" w:hAnsiTheme="minorHAnsi" w:cstheme="minorHAnsi"/>
          <w:sz w:val="22"/>
          <w:szCs w:val="22"/>
        </w:rPr>
        <w:t>Hutter</w:t>
      </w:r>
      <w:proofErr w:type="spellEnd"/>
      <w:r w:rsidR="0031569F">
        <w:rPr>
          <w:rFonts w:asciiTheme="minorHAnsi" w:hAnsiTheme="minorHAnsi" w:cstheme="minorHAnsi"/>
          <w:sz w:val="22"/>
          <w:szCs w:val="22"/>
        </w:rPr>
        <w:t xml:space="preserve"> and Bailey report that in a group context, the subject of conversation will tend to be on other people’s experiences rather than participants’ sharing their own personal experiences</w:t>
      </w:r>
      <w:r w:rsidR="006F0AC3">
        <w:rPr>
          <w:rFonts w:asciiTheme="minorHAnsi" w:hAnsiTheme="minorHAnsi" w:cstheme="minorHAnsi"/>
          <w:sz w:val="22"/>
          <w:szCs w:val="22"/>
        </w:rPr>
        <w:t>,</w:t>
      </w:r>
      <w:r w:rsidR="0031569F">
        <w:rPr>
          <w:rStyle w:val="FootnoteReference"/>
          <w:rFonts w:asciiTheme="minorHAnsi" w:hAnsiTheme="minorHAnsi" w:cstheme="minorHAnsi"/>
          <w:sz w:val="22"/>
          <w:szCs w:val="22"/>
        </w:rPr>
        <w:footnoteReference w:id="55"/>
      </w:r>
      <w:r w:rsidR="0031569F">
        <w:rPr>
          <w:rFonts w:asciiTheme="minorHAnsi" w:hAnsiTheme="minorHAnsi" w:cstheme="minorHAnsi"/>
          <w:sz w:val="22"/>
          <w:szCs w:val="22"/>
        </w:rPr>
        <w:t xml:space="preserve"> </w:t>
      </w:r>
      <w:r w:rsidR="006F0AC3">
        <w:rPr>
          <w:rFonts w:asciiTheme="minorHAnsi" w:hAnsiTheme="minorHAnsi" w:cstheme="minorHAnsi"/>
          <w:sz w:val="22"/>
          <w:szCs w:val="22"/>
        </w:rPr>
        <w:t>a phenomenon that is likely to be even more pertinent when interviewing adolescents who will naturally seek to fit in when in a group with similarly aged peers.</w:t>
      </w:r>
      <w:r w:rsidR="006F0AC3">
        <w:rPr>
          <w:rStyle w:val="FootnoteReference"/>
          <w:rFonts w:asciiTheme="minorHAnsi" w:hAnsiTheme="minorHAnsi" w:cstheme="minorHAnsi"/>
          <w:sz w:val="22"/>
          <w:szCs w:val="22"/>
        </w:rPr>
        <w:footnoteReference w:id="56"/>
      </w:r>
      <w:r w:rsidR="006F0AC3">
        <w:rPr>
          <w:rFonts w:asciiTheme="minorHAnsi" w:hAnsiTheme="minorHAnsi" w:cstheme="minorHAnsi"/>
          <w:sz w:val="22"/>
          <w:szCs w:val="22"/>
        </w:rPr>
        <w:t xml:space="preserve"> </w:t>
      </w:r>
      <w:r w:rsidR="005B0006">
        <w:rPr>
          <w:rFonts w:asciiTheme="minorHAnsi" w:hAnsiTheme="minorHAnsi" w:cstheme="minorHAnsi"/>
          <w:sz w:val="22"/>
          <w:szCs w:val="22"/>
        </w:rPr>
        <w:t xml:space="preserve">Hence the group interviews will have served to collect the community perspective within those groups of children, but will not have aided in the collection of each individual’s own personally held </w:t>
      </w:r>
      <w:r w:rsidR="001F30E5">
        <w:rPr>
          <w:rFonts w:asciiTheme="minorHAnsi" w:hAnsiTheme="minorHAnsi" w:cstheme="minorHAnsi"/>
          <w:sz w:val="22"/>
          <w:szCs w:val="22"/>
        </w:rPr>
        <w:t>beliefs regarding reincarnation.</w:t>
      </w:r>
      <w:r w:rsidR="001F30E5">
        <w:rPr>
          <w:rStyle w:val="FootnoteReference"/>
          <w:rFonts w:asciiTheme="minorHAnsi" w:hAnsiTheme="minorHAnsi" w:cstheme="minorHAnsi"/>
          <w:sz w:val="22"/>
          <w:szCs w:val="22"/>
        </w:rPr>
        <w:footnoteReference w:id="57"/>
      </w:r>
      <w:r w:rsidR="001F30E5">
        <w:rPr>
          <w:rFonts w:asciiTheme="minorHAnsi" w:hAnsiTheme="minorHAnsi" w:cstheme="minorHAnsi"/>
          <w:sz w:val="22"/>
          <w:szCs w:val="22"/>
        </w:rPr>
        <w:t xml:space="preserve"> </w:t>
      </w:r>
    </w:p>
    <w:p w14:paraId="24EECF82" w14:textId="56577A1F" w:rsidR="00010185" w:rsidRDefault="005A0A03" w:rsidP="00010185">
      <w:pPr>
        <w:pStyle w:val="Heading1"/>
        <w:rPr>
          <w:rFonts w:asciiTheme="minorHAnsi" w:hAnsiTheme="minorHAnsi" w:cstheme="minorHAnsi"/>
          <w:i/>
          <w:iCs/>
          <w:sz w:val="24"/>
          <w:szCs w:val="24"/>
        </w:rPr>
      </w:pPr>
      <w:r w:rsidRPr="008174B2">
        <w:rPr>
          <w:rFonts w:asciiTheme="minorHAnsi" w:hAnsiTheme="minorHAnsi" w:cstheme="minorHAnsi"/>
          <w:i/>
          <w:iCs/>
          <w:sz w:val="24"/>
          <w:szCs w:val="24"/>
        </w:rPr>
        <w:t xml:space="preserve">The position of </w:t>
      </w:r>
      <w:r w:rsidR="008174B2">
        <w:rPr>
          <w:rFonts w:asciiTheme="minorHAnsi" w:hAnsiTheme="minorHAnsi" w:cstheme="minorHAnsi"/>
          <w:i/>
          <w:iCs/>
          <w:sz w:val="24"/>
          <w:szCs w:val="24"/>
        </w:rPr>
        <w:t>Brink</w:t>
      </w:r>
      <w:r w:rsidRPr="008174B2">
        <w:rPr>
          <w:rFonts w:asciiTheme="minorHAnsi" w:hAnsiTheme="minorHAnsi" w:cstheme="minorHAnsi"/>
          <w:i/>
          <w:iCs/>
          <w:sz w:val="24"/>
          <w:szCs w:val="24"/>
        </w:rPr>
        <w:t xml:space="preserve"> on the insider/outsider continuum</w:t>
      </w:r>
    </w:p>
    <w:p w14:paraId="6C4C4C02" w14:textId="0D801092" w:rsidR="00C57880" w:rsidRDefault="00C57880" w:rsidP="00C57880">
      <w:pPr>
        <w:contextualSpacing/>
        <w:rPr>
          <w:rFonts w:asciiTheme="minorHAnsi" w:hAnsiTheme="minorHAnsi" w:cstheme="minorHAnsi"/>
          <w:sz w:val="22"/>
          <w:szCs w:val="22"/>
        </w:rPr>
      </w:pPr>
      <w:r>
        <w:rPr>
          <w:rFonts w:asciiTheme="minorHAnsi" w:hAnsiTheme="minorHAnsi" w:cstheme="minorHAnsi"/>
          <w:sz w:val="22"/>
          <w:szCs w:val="22"/>
        </w:rPr>
        <w:t xml:space="preserve">Brink does not state his position on the insider/outsider continuum. Brink’s target group are teenage girls attending a Roman Catholic </w:t>
      </w:r>
      <w:r w:rsidR="00D81004">
        <w:rPr>
          <w:rFonts w:asciiTheme="minorHAnsi" w:hAnsiTheme="minorHAnsi" w:cstheme="minorHAnsi"/>
          <w:sz w:val="22"/>
          <w:szCs w:val="22"/>
        </w:rPr>
        <w:t xml:space="preserve">high </w:t>
      </w:r>
      <w:r>
        <w:rPr>
          <w:rFonts w:asciiTheme="minorHAnsi" w:hAnsiTheme="minorHAnsi" w:cstheme="minorHAnsi"/>
          <w:sz w:val="22"/>
          <w:szCs w:val="22"/>
        </w:rPr>
        <w:t>school.</w:t>
      </w:r>
      <w:r>
        <w:rPr>
          <w:rStyle w:val="FootnoteReference"/>
          <w:rFonts w:asciiTheme="minorHAnsi" w:hAnsiTheme="minorHAnsi" w:cstheme="minorHAnsi"/>
          <w:sz w:val="22"/>
          <w:szCs w:val="22"/>
        </w:rPr>
        <w:footnoteReference w:id="58"/>
      </w:r>
      <w:r>
        <w:rPr>
          <w:rFonts w:asciiTheme="minorHAnsi" w:hAnsiTheme="minorHAnsi" w:cstheme="minorHAnsi"/>
          <w:sz w:val="22"/>
          <w:szCs w:val="22"/>
        </w:rPr>
        <w:t xml:space="preserve"> </w:t>
      </w:r>
      <w:r w:rsidR="00297D8D">
        <w:rPr>
          <w:rFonts w:asciiTheme="minorHAnsi" w:hAnsiTheme="minorHAnsi" w:cstheme="minorHAnsi"/>
          <w:sz w:val="22"/>
          <w:szCs w:val="22"/>
        </w:rPr>
        <w:t>Clearly Brink has never been a member of his target group in this paper, i</w:t>
      </w:r>
      <w:r w:rsidR="00D81004">
        <w:rPr>
          <w:rFonts w:asciiTheme="minorHAnsi" w:hAnsiTheme="minorHAnsi" w:cstheme="minorHAnsi"/>
          <w:sz w:val="22"/>
          <w:szCs w:val="22"/>
        </w:rPr>
        <w:t xml:space="preserve">t is possible that Brink himself attended a similar Catholic </w:t>
      </w:r>
      <w:proofErr w:type="gramStart"/>
      <w:r w:rsidR="00D81004">
        <w:rPr>
          <w:rFonts w:asciiTheme="minorHAnsi" w:hAnsiTheme="minorHAnsi" w:cstheme="minorHAnsi"/>
          <w:sz w:val="22"/>
          <w:szCs w:val="22"/>
        </w:rPr>
        <w:t>boys</w:t>
      </w:r>
      <w:proofErr w:type="gramEnd"/>
      <w:r w:rsidR="00D81004">
        <w:rPr>
          <w:rFonts w:asciiTheme="minorHAnsi" w:hAnsiTheme="minorHAnsi" w:cstheme="minorHAnsi"/>
          <w:sz w:val="22"/>
          <w:szCs w:val="22"/>
        </w:rPr>
        <w:t xml:space="preserve"> school, but if he did, he does not mention it. He also does not mention whether he holds any of the three beliefs </w:t>
      </w:r>
      <w:r w:rsidR="00297D8D">
        <w:rPr>
          <w:rFonts w:asciiTheme="minorHAnsi" w:hAnsiTheme="minorHAnsi" w:cstheme="minorHAnsi"/>
          <w:sz w:val="22"/>
          <w:szCs w:val="22"/>
        </w:rPr>
        <w:t>studied</w:t>
      </w:r>
      <w:r w:rsidR="00D81004">
        <w:rPr>
          <w:rFonts w:asciiTheme="minorHAnsi" w:hAnsiTheme="minorHAnsi" w:cstheme="minorHAnsi"/>
          <w:sz w:val="22"/>
          <w:szCs w:val="22"/>
        </w:rPr>
        <w:t>.</w:t>
      </w:r>
    </w:p>
    <w:p w14:paraId="14E904DF" w14:textId="1EA54178" w:rsidR="00297D8D" w:rsidRDefault="00D81004" w:rsidP="00C57880">
      <w:pPr>
        <w:contextualSpacing/>
        <w:rPr>
          <w:rFonts w:asciiTheme="minorHAnsi" w:hAnsiTheme="minorHAnsi" w:cstheme="minorHAnsi"/>
          <w:sz w:val="22"/>
          <w:szCs w:val="22"/>
        </w:rPr>
      </w:pPr>
      <w:r>
        <w:rPr>
          <w:rFonts w:asciiTheme="minorHAnsi" w:hAnsiTheme="minorHAnsi" w:cstheme="minorHAnsi"/>
          <w:sz w:val="22"/>
          <w:szCs w:val="22"/>
        </w:rPr>
        <w:tab/>
      </w:r>
      <w:r w:rsidR="00812CE1">
        <w:rPr>
          <w:rFonts w:asciiTheme="minorHAnsi" w:hAnsiTheme="minorHAnsi" w:cstheme="minorHAnsi"/>
          <w:sz w:val="22"/>
          <w:szCs w:val="22"/>
        </w:rPr>
        <w:t>Being an insider to the group can produce benefits in qualitative methods such as in-depth interviews by allowing participants to trust investigators and be more open in a way that they would not with an outsider investigator.</w:t>
      </w:r>
      <w:r w:rsidR="00812CE1">
        <w:rPr>
          <w:rStyle w:val="FootnoteReference"/>
          <w:rFonts w:asciiTheme="minorHAnsi" w:hAnsiTheme="minorHAnsi" w:cstheme="minorHAnsi"/>
          <w:sz w:val="22"/>
          <w:szCs w:val="22"/>
        </w:rPr>
        <w:footnoteReference w:id="59"/>
      </w:r>
      <w:r w:rsidR="00812CE1">
        <w:rPr>
          <w:rFonts w:asciiTheme="minorHAnsi" w:hAnsiTheme="minorHAnsi" w:cstheme="minorHAnsi"/>
          <w:sz w:val="22"/>
          <w:szCs w:val="22"/>
        </w:rPr>
        <w:t xml:space="preserve"> </w:t>
      </w:r>
      <w:r w:rsidR="00055457">
        <w:rPr>
          <w:rFonts w:asciiTheme="minorHAnsi" w:hAnsiTheme="minorHAnsi" w:cstheme="minorHAnsi"/>
          <w:sz w:val="22"/>
          <w:szCs w:val="22"/>
        </w:rPr>
        <w:t>Brink undertakes quantitative research in his paper so this potential barrier to the participants’ openness to share is less significant.</w:t>
      </w:r>
    </w:p>
    <w:p w14:paraId="6056234B" w14:textId="44CD579C" w:rsidR="008174B2" w:rsidRPr="00297D8D" w:rsidRDefault="008174B2" w:rsidP="008174B2">
      <w:pPr>
        <w:pStyle w:val="Heading1"/>
        <w:rPr>
          <w:rFonts w:asciiTheme="minorHAnsi" w:hAnsiTheme="minorHAnsi" w:cstheme="minorHAnsi"/>
          <w:i/>
          <w:iCs/>
          <w:sz w:val="24"/>
          <w:szCs w:val="24"/>
        </w:rPr>
      </w:pPr>
      <w:r w:rsidRPr="00297D8D">
        <w:rPr>
          <w:rFonts w:asciiTheme="minorHAnsi" w:hAnsiTheme="minorHAnsi" w:cstheme="minorHAnsi"/>
          <w:i/>
          <w:iCs/>
          <w:sz w:val="24"/>
          <w:szCs w:val="24"/>
        </w:rPr>
        <w:t xml:space="preserve">The position of </w:t>
      </w:r>
      <w:r w:rsidR="00507228" w:rsidRPr="00297D8D">
        <w:rPr>
          <w:rFonts w:asciiTheme="minorHAnsi" w:hAnsiTheme="minorHAnsi" w:cstheme="minorHAnsi"/>
          <w:i/>
          <w:iCs/>
          <w:sz w:val="24"/>
          <w:szCs w:val="24"/>
        </w:rPr>
        <w:t>Walter and Waterhouse</w:t>
      </w:r>
      <w:r w:rsidRPr="00297D8D">
        <w:rPr>
          <w:rFonts w:asciiTheme="minorHAnsi" w:hAnsiTheme="minorHAnsi" w:cstheme="minorHAnsi"/>
          <w:i/>
          <w:iCs/>
          <w:sz w:val="24"/>
          <w:szCs w:val="24"/>
        </w:rPr>
        <w:t xml:space="preserve"> on the insider/outsider continuum</w:t>
      </w:r>
    </w:p>
    <w:p w14:paraId="1F122B9D" w14:textId="3286A045" w:rsidR="00507228" w:rsidRDefault="00507228" w:rsidP="00507228">
      <w:pPr>
        <w:contextualSpacing/>
        <w:rPr>
          <w:rFonts w:asciiTheme="minorHAnsi" w:hAnsiTheme="minorHAnsi" w:cstheme="minorHAnsi"/>
          <w:sz w:val="22"/>
          <w:szCs w:val="22"/>
        </w:rPr>
      </w:pPr>
      <w:proofErr w:type="gramStart"/>
      <w:r>
        <w:rPr>
          <w:rFonts w:asciiTheme="minorHAnsi" w:hAnsiTheme="minorHAnsi" w:cstheme="minorHAnsi"/>
          <w:sz w:val="22"/>
          <w:szCs w:val="22"/>
        </w:rPr>
        <w:t>Similarly</w:t>
      </w:r>
      <w:proofErr w:type="gramEnd"/>
      <w:r>
        <w:rPr>
          <w:rFonts w:asciiTheme="minorHAnsi" w:hAnsiTheme="minorHAnsi" w:cstheme="minorHAnsi"/>
          <w:sz w:val="22"/>
          <w:szCs w:val="22"/>
        </w:rPr>
        <w:t xml:space="preserve"> to Brink, Walter and Waterhouse do not state their positions on the insider/outsider continuum. Interestingly, they describe being able to recruit participants through personal contacts,</w:t>
      </w:r>
      <w:r>
        <w:rPr>
          <w:rStyle w:val="FootnoteReference"/>
          <w:rFonts w:asciiTheme="minorHAnsi" w:hAnsiTheme="minorHAnsi" w:cstheme="minorHAnsi"/>
          <w:sz w:val="22"/>
          <w:szCs w:val="22"/>
        </w:rPr>
        <w:footnoteReference w:id="60"/>
      </w:r>
      <w:r>
        <w:rPr>
          <w:rFonts w:asciiTheme="minorHAnsi" w:hAnsiTheme="minorHAnsi" w:cstheme="minorHAnsi"/>
          <w:sz w:val="22"/>
          <w:szCs w:val="22"/>
        </w:rPr>
        <w:t xml:space="preserve"> suggesting that one or </w:t>
      </w:r>
      <w:proofErr w:type="gramStart"/>
      <w:r>
        <w:rPr>
          <w:rFonts w:asciiTheme="minorHAnsi" w:hAnsiTheme="minorHAnsi" w:cstheme="minorHAnsi"/>
          <w:sz w:val="22"/>
          <w:szCs w:val="22"/>
        </w:rPr>
        <w:t>both of them</w:t>
      </w:r>
      <w:proofErr w:type="gramEnd"/>
      <w:r>
        <w:rPr>
          <w:rFonts w:asciiTheme="minorHAnsi" w:hAnsiTheme="minorHAnsi" w:cstheme="minorHAnsi"/>
          <w:sz w:val="22"/>
          <w:szCs w:val="22"/>
        </w:rPr>
        <w:t xml:space="preserve"> believe in reincarnation or have close contacts who do. </w:t>
      </w:r>
      <w:r w:rsidR="00297D8D">
        <w:rPr>
          <w:rFonts w:asciiTheme="minorHAnsi" w:hAnsiTheme="minorHAnsi" w:cstheme="minorHAnsi"/>
          <w:sz w:val="22"/>
          <w:szCs w:val="22"/>
        </w:rPr>
        <w:t xml:space="preserve">Although </w:t>
      </w:r>
      <w:r w:rsidR="005F391C">
        <w:rPr>
          <w:rFonts w:asciiTheme="minorHAnsi" w:hAnsiTheme="minorHAnsi" w:cstheme="minorHAnsi"/>
          <w:sz w:val="22"/>
          <w:szCs w:val="22"/>
        </w:rPr>
        <w:t>using</w:t>
      </w:r>
      <w:r>
        <w:rPr>
          <w:rFonts w:asciiTheme="minorHAnsi" w:hAnsiTheme="minorHAnsi" w:cstheme="minorHAnsi"/>
          <w:sz w:val="22"/>
          <w:szCs w:val="22"/>
        </w:rPr>
        <w:t xml:space="preserve"> an insider (or a close contact) </w:t>
      </w:r>
      <w:r w:rsidR="005F391C">
        <w:rPr>
          <w:rFonts w:asciiTheme="minorHAnsi" w:hAnsiTheme="minorHAnsi" w:cstheme="minorHAnsi"/>
          <w:sz w:val="22"/>
          <w:szCs w:val="22"/>
        </w:rPr>
        <w:t>as</w:t>
      </w:r>
      <w:r>
        <w:rPr>
          <w:rFonts w:asciiTheme="minorHAnsi" w:hAnsiTheme="minorHAnsi" w:cstheme="minorHAnsi"/>
          <w:sz w:val="22"/>
          <w:szCs w:val="22"/>
        </w:rPr>
        <w:t xml:space="preserve"> interview</w:t>
      </w:r>
      <w:r w:rsidR="005F391C">
        <w:rPr>
          <w:rFonts w:asciiTheme="minorHAnsi" w:hAnsiTheme="minorHAnsi" w:cstheme="minorHAnsi"/>
          <w:sz w:val="22"/>
          <w:szCs w:val="22"/>
        </w:rPr>
        <w:t>er</w:t>
      </w:r>
      <w:r>
        <w:rPr>
          <w:rFonts w:asciiTheme="minorHAnsi" w:hAnsiTheme="minorHAnsi" w:cstheme="minorHAnsi"/>
          <w:sz w:val="22"/>
          <w:szCs w:val="22"/>
        </w:rPr>
        <w:t xml:space="preserve"> </w:t>
      </w:r>
      <w:r w:rsidR="005F391C">
        <w:rPr>
          <w:rFonts w:asciiTheme="minorHAnsi" w:hAnsiTheme="minorHAnsi" w:cstheme="minorHAnsi"/>
          <w:sz w:val="22"/>
          <w:szCs w:val="22"/>
        </w:rPr>
        <w:t>can</w:t>
      </w:r>
      <w:r>
        <w:rPr>
          <w:rFonts w:asciiTheme="minorHAnsi" w:hAnsiTheme="minorHAnsi" w:cstheme="minorHAnsi"/>
          <w:sz w:val="22"/>
          <w:szCs w:val="22"/>
        </w:rPr>
        <w:t xml:space="preserve"> elicit</w:t>
      </w:r>
      <w:r w:rsidR="005F391C">
        <w:rPr>
          <w:rFonts w:asciiTheme="minorHAnsi" w:hAnsiTheme="minorHAnsi" w:cstheme="minorHAnsi"/>
          <w:sz w:val="22"/>
          <w:szCs w:val="22"/>
        </w:rPr>
        <w:t xml:space="preserve"> more open and honest discussions from the participants,</w:t>
      </w:r>
      <w:r w:rsidR="005F391C">
        <w:rPr>
          <w:rStyle w:val="FootnoteReference"/>
          <w:rFonts w:asciiTheme="minorHAnsi" w:hAnsiTheme="minorHAnsi" w:cstheme="minorHAnsi"/>
          <w:sz w:val="22"/>
          <w:szCs w:val="22"/>
        </w:rPr>
        <w:footnoteReference w:id="61"/>
      </w:r>
      <w:r w:rsidR="005F391C">
        <w:rPr>
          <w:rFonts w:asciiTheme="minorHAnsi" w:hAnsiTheme="minorHAnsi" w:cstheme="minorHAnsi"/>
          <w:sz w:val="22"/>
          <w:szCs w:val="22"/>
        </w:rPr>
        <w:t xml:space="preserve"> it can also potentially prevent participants from mentioning other important aspects that might be picked up by a</w:t>
      </w:r>
      <w:r w:rsidR="00297D8D">
        <w:rPr>
          <w:rFonts w:asciiTheme="minorHAnsi" w:hAnsiTheme="minorHAnsi" w:cstheme="minorHAnsi"/>
          <w:sz w:val="22"/>
          <w:szCs w:val="22"/>
        </w:rPr>
        <w:t xml:space="preserve"> more impartial</w:t>
      </w:r>
      <w:r w:rsidR="005F391C">
        <w:rPr>
          <w:rFonts w:asciiTheme="minorHAnsi" w:hAnsiTheme="minorHAnsi" w:cstheme="minorHAnsi"/>
          <w:sz w:val="22"/>
          <w:szCs w:val="22"/>
        </w:rPr>
        <w:t xml:space="preserve"> outsider </w:t>
      </w:r>
      <w:r w:rsidR="005F391C">
        <w:rPr>
          <w:rFonts w:asciiTheme="minorHAnsi" w:hAnsiTheme="minorHAnsi" w:cstheme="minorHAnsi"/>
          <w:sz w:val="22"/>
          <w:szCs w:val="22"/>
        </w:rPr>
        <w:lastRenderedPageBreak/>
        <w:t>interviewer.</w:t>
      </w:r>
      <w:r w:rsidR="005F391C">
        <w:rPr>
          <w:rStyle w:val="FootnoteReference"/>
          <w:rFonts w:asciiTheme="minorHAnsi" w:hAnsiTheme="minorHAnsi" w:cstheme="minorHAnsi"/>
          <w:sz w:val="22"/>
          <w:szCs w:val="22"/>
        </w:rPr>
        <w:footnoteReference w:id="62"/>
      </w:r>
      <w:r w:rsidR="005F391C">
        <w:rPr>
          <w:rFonts w:asciiTheme="minorHAnsi" w:hAnsiTheme="minorHAnsi" w:cstheme="minorHAnsi"/>
          <w:sz w:val="22"/>
          <w:szCs w:val="22"/>
        </w:rPr>
        <w:t xml:space="preserve"> The authors state that only Waterhouse acted as interviewer, but do not state the reasoning for this decision.</w:t>
      </w:r>
      <w:r w:rsidR="005F391C">
        <w:rPr>
          <w:rStyle w:val="FootnoteReference"/>
          <w:rFonts w:asciiTheme="minorHAnsi" w:hAnsiTheme="minorHAnsi" w:cstheme="minorHAnsi"/>
          <w:sz w:val="22"/>
          <w:szCs w:val="22"/>
        </w:rPr>
        <w:footnoteReference w:id="63"/>
      </w:r>
      <w:r w:rsidR="005F391C">
        <w:rPr>
          <w:rFonts w:asciiTheme="minorHAnsi" w:hAnsiTheme="minorHAnsi" w:cstheme="minorHAnsi"/>
          <w:sz w:val="22"/>
          <w:szCs w:val="22"/>
        </w:rPr>
        <w:t xml:space="preserve"> </w:t>
      </w:r>
    </w:p>
    <w:p w14:paraId="7EE5779D" w14:textId="37BD6F08" w:rsidR="00994E1E" w:rsidRPr="000B3E28" w:rsidRDefault="005A0A03" w:rsidP="00994E1E">
      <w:pPr>
        <w:pStyle w:val="Heading1"/>
        <w:rPr>
          <w:rFonts w:asciiTheme="minorHAnsi" w:hAnsiTheme="minorHAnsi" w:cstheme="minorHAnsi"/>
          <w:i/>
          <w:iCs/>
          <w:sz w:val="24"/>
          <w:szCs w:val="24"/>
        </w:rPr>
      </w:pPr>
      <w:r w:rsidRPr="000B3E28">
        <w:rPr>
          <w:rFonts w:asciiTheme="minorHAnsi" w:hAnsiTheme="minorHAnsi" w:cstheme="minorHAnsi"/>
          <w:i/>
          <w:iCs/>
          <w:sz w:val="24"/>
          <w:szCs w:val="24"/>
        </w:rPr>
        <w:t xml:space="preserve">The literature reviewed by </w:t>
      </w:r>
      <w:proofErr w:type="gramStart"/>
      <w:r w:rsidR="00297D8D" w:rsidRPr="000B3E28">
        <w:rPr>
          <w:rFonts w:asciiTheme="minorHAnsi" w:hAnsiTheme="minorHAnsi" w:cstheme="minorHAnsi"/>
          <w:i/>
          <w:iCs/>
          <w:sz w:val="24"/>
          <w:szCs w:val="24"/>
        </w:rPr>
        <w:t>Brink</w:t>
      </w:r>
      <w:proofErr w:type="gramEnd"/>
    </w:p>
    <w:p w14:paraId="2D641677" w14:textId="197E8B0C" w:rsidR="00297D8D" w:rsidRDefault="00297D8D" w:rsidP="00297D8D">
      <w:pPr>
        <w:contextualSpacing/>
        <w:rPr>
          <w:rFonts w:asciiTheme="minorHAnsi" w:hAnsiTheme="minorHAnsi" w:cstheme="minorHAnsi"/>
          <w:sz w:val="22"/>
          <w:szCs w:val="22"/>
        </w:rPr>
      </w:pPr>
      <w:r>
        <w:rPr>
          <w:rFonts w:asciiTheme="minorHAnsi" w:hAnsiTheme="minorHAnsi" w:cstheme="minorHAnsi"/>
          <w:sz w:val="22"/>
          <w:szCs w:val="22"/>
        </w:rPr>
        <w:t>The paper does not make Brink’s own beliefs clear, however</w:t>
      </w:r>
      <w:r w:rsidR="00BE2066">
        <w:rPr>
          <w:rFonts w:asciiTheme="minorHAnsi" w:hAnsiTheme="minorHAnsi" w:cstheme="minorHAnsi"/>
          <w:sz w:val="22"/>
          <w:szCs w:val="22"/>
        </w:rPr>
        <w:t xml:space="preserve"> </w:t>
      </w:r>
      <w:r>
        <w:rPr>
          <w:rFonts w:asciiTheme="minorHAnsi" w:hAnsiTheme="minorHAnsi" w:cstheme="minorHAnsi"/>
          <w:sz w:val="22"/>
          <w:szCs w:val="22"/>
        </w:rPr>
        <w:t xml:space="preserve">his assertions about all three beliefs in his hypothesis section </w:t>
      </w:r>
      <w:r w:rsidR="00BE2066">
        <w:rPr>
          <w:rFonts w:asciiTheme="minorHAnsi" w:hAnsiTheme="minorHAnsi" w:cstheme="minorHAnsi"/>
          <w:sz w:val="22"/>
          <w:szCs w:val="22"/>
        </w:rPr>
        <w:t>(</w:t>
      </w:r>
      <w:r>
        <w:rPr>
          <w:rFonts w:asciiTheme="minorHAnsi" w:hAnsiTheme="minorHAnsi" w:cstheme="minorHAnsi"/>
          <w:sz w:val="22"/>
          <w:szCs w:val="22"/>
        </w:rPr>
        <w:t>without any references to back them up</w:t>
      </w:r>
      <w:r w:rsidR="00BE2066">
        <w:rPr>
          <w:rFonts w:asciiTheme="minorHAnsi" w:hAnsiTheme="minorHAnsi" w:cstheme="minorHAnsi"/>
          <w:sz w:val="22"/>
          <w:szCs w:val="22"/>
        </w:rPr>
        <w:t>)</w:t>
      </w:r>
      <w:r w:rsidR="00BE2066">
        <w:rPr>
          <w:rStyle w:val="FootnoteReference"/>
          <w:rFonts w:asciiTheme="minorHAnsi" w:hAnsiTheme="minorHAnsi" w:cstheme="minorHAnsi"/>
          <w:sz w:val="22"/>
          <w:szCs w:val="22"/>
        </w:rPr>
        <w:footnoteReference w:id="64"/>
      </w:r>
      <w:r>
        <w:rPr>
          <w:rFonts w:asciiTheme="minorHAnsi" w:hAnsiTheme="minorHAnsi" w:cstheme="minorHAnsi"/>
          <w:sz w:val="22"/>
          <w:szCs w:val="22"/>
        </w:rPr>
        <w:t xml:space="preserve"> are </w:t>
      </w:r>
      <w:r w:rsidR="00BE2066">
        <w:rPr>
          <w:rFonts w:asciiTheme="minorHAnsi" w:hAnsiTheme="minorHAnsi" w:cstheme="minorHAnsi"/>
          <w:sz w:val="22"/>
          <w:szCs w:val="22"/>
        </w:rPr>
        <w:t>not well placed within the larger academic framework. For example, a</w:t>
      </w:r>
      <w:r>
        <w:rPr>
          <w:rFonts w:asciiTheme="minorHAnsi" w:hAnsiTheme="minorHAnsi" w:cstheme="minorHAnsi"/>
          <w:sz w:val="22"/>
          <w:szCs w:val="22"/>
        </w:rPr>
        <w:t>lthough the modern-day Catholic church teaches that astrology, including the reading of horoscopes, is sinful,</w:t>
      </w:r>
      <w:r>
        <w:rPr>
          <w:rStyle w:val="FootnoteReference"/>
          <w:rFonts w:asciiTheme="minorHAnsi" w:hAnsiTheme="minorHAnsi" w:cstheme="minorHAnsi"/>
          <w:sz w:val="22"/>
          <w:szCs w:val="22"/>
        </w:rPr>
        <w:footnoteReference w:id="65"/>
      </w:r>
      <w:r>
        <w:rPr>
          <w:rFonts w:asciiTheme="minorHAnsi" w:hAnsiTheme="minorHAnsi" w:cstheme="minorHAnsi"/>
          <w:sz w:val="22"/>
          <w:szCs w:val="22"/>
        </w:rPr>
        <w:t xml:space="preserve"> historically that has not always been the case, with even Thomas Aquinas advocating for its use as a ‘legitimate mode of knowledge’.</w:t>
      </w:r>
      <w:r>
        <w:rPr>
          <w:rStyle w:val="FootnoteReference"/>
          <w:rFonts w:asciiTheme="minorHAnsi" w:hAnsiTheme="minorHAnsi" w:cstheme="minorHAnsi"/>
          <w:sz w:val="22"/>
          <w:szCs w:val="22"/>
        </w:rPr>
        <w:footnoteReference w:id="66"/>
      </w:r>
      <w:r>
        <w:rPr>
          <w:rFonts w:asciiTheme="minorHAnsi" w:hAnsiTheme="minorHAnsi" w:cstheme="minorHAnsi"/>
          <w:sz w:val="22"/>
          <w:szCs w:val="22"/>
        </w:rPr>
        <w:t xml:space="preserve"> Furthermore, the suggestion that astrology requires fatalism (and hence must be incompatible with belief in reincarnation) has </w:t>
      </w:r>
      <w:r w:rsidR="00BE2066">
        <w:rPr>
          <w:rFonts w:asciiTheme="minorHAnsi" w:hAnsiTheme="minorHAnsi" w:cstheme="minorHAnsi"/>
          <w:sz w:val="22"/>
          <w:szCs w:val="22"/>
        </w:rPr>
        <w:t xml:space="preserve">been </w:t>
      </w:r>
      <w:r>
        <w:rPr>
          <w:rFonts w:asciiTheme="minorHAnsi" w:hAnsiTheme="minorHAnsi" w:cstheme="minorHAnsi"/>
          <w:sz w:val="22"/>
          <w:szCs w:val="22"/>
        </w:rPr>
        <w:t>disputed since Ptolemy.</w:t>
      </w:r>
      <w:r>
        <w:rPr>
          <w:rStyle w:val="FootnoteReference"/>
          <w:rFonts w:asciiTheme="minorHAnsi" w:hAnsiTheme="minorHAnsi" w:cstheme="minorHAnsi"/>
          <w:sz w:val="22"/>
          <w:szCs w:val="22"/>
        </w:rPr>
        <w:footnoteReference w:id="67"/>
      </w:r>
      <w:r>
        <w:rPr>
          <w:rFonts w:asciiTheme="minorHAnsi" w:hAnsiTheme="minorHAnsi" w:cstheme="minorHAnsi"/>
          <w:sz w:val="22"/>
          <w:szCs w:val="22"/>
        </w:rPr>
        <w:t xml:space="preserve"> </w:t>
      </w:r>
    </w:p>
    <w:p w14:paraId="444997A1" w14:textId="76E7EB81" w:rsidR="000B3E28" w:rsidRDefault="00F47C3D" w:rsidP="00297D8D">
      <w:pPr>
        <w:contextualSpacing/>
        <w:rPr>
          <w:rFonts w:asciiTheme="minorHAnsi" w:hAnsiTheme="minorHAnsi" w:cstheme="minorHAnsi"/>
          <w:sz w:val="22"/>
          <w:szCs w:val="22"/>
        </w:rPr>
      </w:pPr>
      <w:r>
        <w:rPr>
          <w:rFonts w:asciiTheme="minorHAnsi" w:hAnsiTheme="minorHAnsi" w:cstheme="minorHAnsi"/>
          <w:sz w:val="22"/>
          <w:szCs w:val="22"/>
        </w:rPr>
        <w:tab/>
        <w:t>Brink’s assertion that his disproven hypothesis could be explained by considering the function of beliefs could have been supported by better references than a 1915 paper by Freud.</w:t>
      </w:r>
      <w:r>
        <w:rPr>
          <w:rStyle w:val="FootnoteReference"/>
          <w:rFonts w:asciiTheme="minorHAnsi" w:hAnsiTheme="minorHAnsi" w:cstheme="minorHAnsi"/>
          <w:sz w:val="22"/>
          <w:szCs w:val="22"/>
        </w:rPr>
        <w:footnoteReference w:id="68"/>
      </w:r>
      <w:r>
        <w:rPr>
          <w:rFonts w:asciiTheme="minorHAnsi" w:hAnsiTheme="minorHAnsi" w:cstheme="minorHAnsi"/>
          <w:sz w:val="22"/>
          <w:szCs w:val="22"/>
        </w:rPr>
        <w:t xml:space="preserve"> For example, a fellow alumnus of the University of Chicago Divinity School was the theologian Yoshio Fukuyama who wrote a paper on the </w:t>
      </w:r>
      <w:r w:rsidRPr="00F47C3D">
        <w:rPr>
          <w:rFonts w:asciiTheme="minorHAnsi" w:hAnsiTheme="minorHAnsi" w:cstheme="minorHAnsi"/>
          <w:i/>
          <w:iCs/>
          <w:sz w:val="22"/>
          <w:szCs w:val="22"/>
        </w:rPr>
        <w:t>Functional Analysis of Religious Beliefs</w:t>
      </w:r>
      <w:r>
        <w:rPr>
          <w:rFonts w:asciiTheme="minorHAnsi" w:hAnsiTheme="minorHAnsi" w:cstheme="minorHAnsi"/>
          <w:sz w:val="22"/>
          <w:szCs w:val="22"/>
        </w:rPr>
        <w:t xml:space="preserve"> in 1961.</w:t>
      </w:r>
      <w:r>
        <w:rPr>
          <w:rStyle w:val="FootnoteReference"/>
          <w:rFonts w:asciiTheme="minorHAnsi" w:hAnsiTheme="minorHAnsi" w:cstheme="minorHAnsi"/>
          <w:sz w:val="22"/>
          <w:szCs w:val="22"/>
        </w:rPr>
        <w:footnoteReference w:id="69"/>
      </w:r>
      <w:r>
        <w:rPr>
          <w:rFonts w:asciiTheme="minorHAnsi" w:hAnsiTheme="minorHAnsi" w:cstheme="minorHAnsi"/>
          <w:sz w:val="22"/>
          <w:szCs w:val="22"/>
        </w:rPr>
        <w:t xml:space="preserve"> </w:t>
      </w:r>
    </w:p>
    <w:p w14:paraId="2CBD7F48" w14:textId="648F71B2" w:rsidR="00297D8D" w:rsidRPr="00986F92" w:rsidRDefault="00297D8D" w:rsidP="00297D8D">
      <w:pPr>
        <w:pStyle w:val="Heading1"/>
        <w:rPr>
          <w:rFonts w:asciiTheme="minorHAnsi" w:hAnsiTheme="minorHAnsi" w:cstheme="minorHAnsi"/>
          <w:i/>
          <w:iCs/>
          <w:sz w:val="24"/>
          <w:szCs w:val="24"/>
        </w:rPr>
      </w:pPr>
      <w:r w:rsidRPr="00986F92">
        <w:rPr>
          <w:rFonts w:asciiTheme="minorHAnsi" w:hAnsiTheme="minorHAnsi" w:cstheme="minorHAnsi"/>
          <w:i/>
          <w:iCs/>
          <w:sz w:val="24"/>
          <w:szCs w:val="24"/>
        </w:rPr>
        <w:t xml:space="preserve">The literature reviewed by </w:t>
      </w:r>
      <w:r w:rsidR="000B3E28" w:rsidRPr="00986F92">
        <w:rPr>
          <w:rFonts w:asciiTheme="minorHAnsi" w:hAnsiTheme="minorHAnsi" w:cstheme="minorHAnsi"/>
          <w:i/>
          <w:iCs/>
          <w:sz w:val="24"/>
          <w:szCs w:val="24"/>
        </w:rPr>
        <w:t>Walter and Waterhouse</w:t>
      </w:r>
    </w:p>
    <w:p w14:paraId="4004A43F" w14:textId="6892FFFF" w:rsidR="00761691" w:rsidRDefault="00761691" w:rsidP="00761691">
      <w:pPr>
        <w:contextualSpacing/>
        <w:rPr>
          <w:rFonts w:asciiTheme="minorHAnsi" w:hAnsiTheme="minorHAnsi" w:cstheme="minorHAnsi"/>
          <w:sz w:val="22"/>
          <w:szCs w:val="22"/>
        </w:rPr>
      </w:pPr>
      <w:r>
        <w:rPr>
          <w:rFonts w:asciiTheme="minorHAnsi" w:hAnsiTheme="minorHAnsi" w:cstheme="minorHAnsi"/>
          <w:sz w:val="22"/>
          <w:szCs w:val="22"/>
        </w:rPr>
        <w:t>Walter and Waterhouse’s significantly longer paper is better referenced than Brink’s as would be expected with two authors, one of whom is</w:t>
      </w:r>
      <w:r w:rsidR="002E2882">
        <w:rPr>
          <w:rFonts w:asciiTheme="minorHAnsi" w:hAnsiTheme="minorHAnsi" w:cstheme="minorHAnsi"/>
          <w:sz w:val="22"/>
          <w:szCs w:val="22"/>
        </w:rPr>
        <w:t xml:space="preserve"> a</w:t>
      </w:r>
      <w:r>
        <w:rPr>
          <w:rFonts w:asciiTheme="minorHAnsi" w:hAnsiTheme="minorHAnsi" w:cstheme="minorHAnsi"/>
          <w:sz w:val="22"/>
          <w:szCs w:val="22"/>
        </w:rPr>
        <w:t xml:space="preserve"> mature scholar with many years of research behind him,</w:t>
      </w:r>
      <w:r>
        <w:rPr>
          <w:rStyle w:val="FootnoteReference"/>
          <w:rFonts w:asciiTheme="minorHAnsi" w:hAnsiTheme="minorHAnsi" w:cstheme="minorHAnsi"/>
          <w:sz w:val="22"/>
          <w:szCs w:val="22"/>
        </w:rPr>
        <w:footnoteReference w:id="70"/>
      </w:r>
      <w:r>
        <w:rPr>
          <w:rFonts w:asciiTheme="minorHAnsi" w:hAnsiTheme="minorHAnsi" w:cstheme="minorHAnsi"/>
          <w:sz w:val="22"/>
          <w:szCs w:val="22"/>
        </w:rPr>
        <w:t xml:space="preserve"> as compared to Brink’s 1976 research</w:t>
      </w:r>
      <w:r>
        <w:rPr>
          <w:rStyle w:val="FootnoteReference"/>
          <w:rFonts w:asciiTheme="minorHAnsi" w:hAnsiTheme="minorHAnsi" w:cstheme="minorHAnsi"/>
          <w:sz w:val="22"/>
          <w:szCs w:val="22"/>
        </w:rPr>
        <w:footnoteReference w:id="71"/>
      </w:r>
      <w:r>
        <w:rPr>
          <w:rFonts w:asciiTheme="minorHAnsi" w:hAnsiTheme="minorHAnsi" w:cstheme="minorHAnsi"/>
          <w:sz w:val="22"/>
          <w:szCs w:val="22"/>
        </w:rPr>
        <w:t xml:space="preserve"> which would have been conducted during his PhD.</w:t>
      </w:r>
      <w:r w:rsidR="002E2882">
        <w:rPr>
          <w:rStyle w:val="FootnoteReference"/>
          <w:rFonts w:asciiTheme="minorHAnsi" w:hAnsiTheme="minorHAnsi" w:cstheme="minorHAnsi"/>
          <w:sz w:val="22"/>
          <w:szCs w:val="22"/>
        </w:rPr>
        <w:footnoteReference w:id="72"/>
      </w:r>
      <w:r w:rsidR="002E2882">
        <w:rPr>
          <w:rFonts w:asciiTheme="minorHAnsi" w:hAnsiTheme="minorHAnsi" w:cstheme="minorHAnsi"/>
          <w:sz w:val="22"/>
          <w:szCs w:val="22"/>
        </w:rPr>
        <w:t xml:space="preserve"> </w:t>
      </w:r>
    </w:p>
    <w:p w14:paraId="7FC72551" w14:textId="2CFFF0AC" w:rsidR="00697A8C" w:rsidRDefault="00697A8C" w:rsidP="00761691">
      <w:pPr>
        <w:contextualSpacing/>
        <w:rPr>
          <w:rFonts w:asciiTheme="minorHAnsi" w:hAnsiTheme="minorHAnsi" w:cstheme="minorHAnsi"/>
          <w:sz w:val="22"/>
          <w:szCs w:val="22"/>
        </w:rPr>
      </w:pPr>
      <w:r>
        <w:rPr>
          <w:rFonts w:asciiTheme="minorHAnsi" w:hAnsiTheme="minorHAnsi" w:cstheme="minorHAnsi"/>
          <w:sz w:val="22"/>
          <w:szCs w:val="22"/>
        </w:rPr>
        <w:tab/>
        <w:t>Walter and Waterhouse are careful to place their research in the context of other relevant research citing a Mass Observation survey from 1947 and the European Values Surveys of 1981 and 1990.</w:t>
      </w:r>
      <w:r>
        <w:rPr>
          <w:rStyle w:val="FootnoteReference"/>
          <w:rFonts w:asciiTheme="minorHAnsi" w:hAnsiTheme="minorHAnsi" w:cstheme="minorHAnsi"/>
          <w:sz w:val="22"/>
          <w:szCs w:val="22"/>
        </w:rPr>
        <w:footnoteReference w:id="73"/>
      </w:r>
      <w:r>
        <w:rPr>
          <w:rFonts w:asciiTheme="minorHAnsi" w:hAnsiTheme="minorHAnsi" w:cstheme="minorHAnsi"/>
          <w:sz w:val="22"/>
          <w:szCs w:val="22"/>
        </w:rPr>
        <w:t xml:space="preserve"> In support of their findings they cite the </w:t>
      </w:r>
      <w:r w:rsidR="001B5395">
        <w:rPr>
          <w:rFonts w:asciiTheme="minorHAnsi" w:hAnsiTheme="minorHAnsi" w:cstheme="minorHAnsi"/>
          <w:sz w:val="22"/>
          <w:szCs w:val="22"/>
        </w:rPr>
        <w:t xml:space="preserve">then </w:t>
      </w:r>
      <w:r>
        <w:rPr>
          <w:rFonts w:asciiTheme="minorHAnsi" w:hAnsiTheme="minorHAnsi" w:cstheme="minorHAnsi"/>
          <w:sz w:val="22"/>
          <w:szCs w:val="22"/>
        </w:rPr>
        <w:t xml:space="preserve">very recent work of Grace Davie that suggests that there is an English phenomenon of </w:t>
      </w:r>
      <w:r w:rsidR="00986F92">
        <w:rPr>
          <w:rFonts w:asciiTheme="minorHAnsi" w:hAnsiTheme="minorHAnsi" w:cstheme="minorHAnsi"/>
          <w:sz w:val="22"/>
          <w:szCs w:val="22"/>
        </w:rPr>
        <w:t>believing without belonging</w:t>
      </w:r>
      <w:r w:rsidR="001B5395">
        <w:rPr>
          <w:rFonts w:asciiTheme="minorHAnsi" w:hAnsiTheme="minorHAnsi" w:cstheme="minorHAnsi"/>
          <w:sz w:val="22"/>
          <w:szCs w:val="22"/>
        </w:rPr>
        <w:t xml:space="preserve"> and</w:t>
      </w:r>
      <w:r w:rsidR="00986F92">
        <w:rPr>
          <w:rFonts w:asciiTheme="minorHAnsi" w:hAnsiTheme="minorHAnsi" w:cstheme="minorHAnsi"/>
          <w:sz w:val="22"/>
          <w:szCs w:val="22"/>
        </w:rPr>
        <w:t xml:space="preserve"> of claiming to be associated with the Church of England but not believing in its teachings.</w:t>
      </w:r>
      <w:r w:rsidR="00986F92">
        <w:rPr>
          <w:rStyle w:val="FootnoteReference"/>
          <w:rFonts w:asciiTheme="minorHAnsi" w:hAnsiTheme="minorHAnsi" w:cstheme="minorHAnsi"/>
          <w:sz w:val="22"/>
          <w:szCs w:val="22"/>
        </w:rPr>
        <w:footnoteReference w:id="74"/>
      </w:r>
    </w:p>
    <w:p w14:paraId="11325645" w14:textId="77777777" w:rsidR="005A0A03" w:rsidRDefault="005A0A03" w:rsidP="005A0A03">
      <w:pPr>
        <w:pStyle w:val="Heading1"/>
        <w:rPr>
          <w:sz w:val="28"/>
          <w:szCs w:val="28"/>
        </w:rPr>
      </w:pPr>
      <w:r w:rsidRPr="00994E1E">
        <w:rPr>
          <w:sz w:val="28"/>
          <w:szCs w:val="28"/>
        </w:rPr>
        <w:lastRenderedPageBreak/>
        <w:t>Conclusion</w:t>
      </w:r>
    </w:p>
    <w:p w14:paraId="7CD73FD8" w14:textId="5AC9635E" w:rsidR="00A07AAA" w:rsidRDefault="00A07AAA" w:rsidP="00986F92">
      <w:pPr>
        <w:contextualSpacing/>
        <w:rPr>
          <w:rFonts w:asciiTheme="minorHAnsi" w:hAnsiTheme="minorHAnsi" w:cstheme="minorHAnsi"/>
          <w:sz w:val="22"/>
          <w:szCs w:val="22"/>
        </w:rPr>
      </w:pPr>
      <w:r>
        <w:rPr>
          <w:rFonts w:asciiTheme="minorHAnsi" w:hAnsiTheme="minorHAnsi" w:cstheme="minorHAnsi"/>
          <w:sz w:val="22"/>
          <w:szCs w:val="22"/>
        </w:rPr>
        <w:t xml:space="preserve">There are some obvious differences in the treatment of their research projects and resulting papers by Brink and </w:t>
      </w:r>
      <w:r w:rsidR="00986F92">
        <w:rPr>
          <w:rFonts w:asciiTheme="minorHAnsi" w:hAnsiTheme="minorHAnsi" w:cstheme="minorHAnsi"/>
          <w:sz w:val="22"/>
          <w:szCs w:val="22"/>
        </w:rPr>
        <w:t>Walter and Waterhouse</w:t>
      </w:r>
      <w:r>
        <w:rPr>
          <w:rFonts w:asciiTheme="minorHAnsi" w:hAnsiTheme="minorHAnsi" w:cstheme="minorHAnsi"/>
          <w:sz w:val="22"/>
          <w:szCs w:val="22"/>
        </w:rPr>
        <w:t xml:space="preserve">. Brink conducted quantitative research of </w:t>
      </w:r>
      <w:proofErr w:type="gramStart"/>
      <w:r>
        <w:rPr>
          <w:rFonts w:asciiTheme="minorHAnsi" w:hAnsiTheme="minorHAnsi" w:cstheme="minorHAnsi"/>
          <w:sz w:val="22"/>
          <w:szCs w:val="22"/>
        </w:rPr>
        <w:t>a large number of</w:t>
      </w:r>
      <w:proofErr w:type="gramEnd"/>
      <w:r>
        <w:rPr>
          <w:rFonts w:asciiTheme="minorHAnsi" w:hAnsiTheme="minorHAnsi" w:cstheme="minorHAnsi"/>
          <w:sz w:val="22"/>
          <w:szCs w:val="22"/>
        </w:rPr>
        <w:t xml:space="preserve"> participants via questionnaires. Walter and Waterhouse conducted qualitative research with a much smaller number of participants via in-depth interviews. There are also arguably differences in the quality of the resultant paper</w:t>
      </w:r>
      <w:r w:rsidR="00E36392">
        <w:rPr>
          <w:rFonts w:asciiTheme="minorHAnsi" w:hAnsiTheme="minorHAnsi" w:cstheme="minorHAnsi"/>
          <w:sz w:val="22"/>
          <w:szCs w:val="22"/>
        </w:rPr>
        <w:t>s</w:t>
      </w:r>
      <w:r w:rsidR="005B56AA">
        <w:rPr>
          <w:rFonts w:asciiTheme="minorHAnsi" w:hAnsiTheme="minorHAnsi" w:cstheme="minorHAnsi"/>
          <w:sz w:val="22"/>
          <w:szCs w:val="22"/>
        </w:rPr>
        <w:t xml:space="preserve">; this is to be expected given the greater research experience of the Walter and Waterhouse team as compared to the </w:t>
      </w:r>
      <w:r w:rsidR="00E36392">
        <w:rPr>
          <w:rFonts w:asciiTheme="minorHAnsi" w:hAnsiTheme="minorHAnsi" w:cstheme="minorHAnsi"/>
          <w:sz w:val="22"/>
          <w:szCs w:val="22"/>
        </w:rPr>
        <w:t xml:space="preserve">younger, more </w:t>
      </w:r>
      <w:r w:rsidR="005B56AA">
        <w:rPr>
          <w:rFonts w:asciiTheme="minorHAnsi" w:hAnsiTheme="minorHAnsi" w:cstheme="minorHAnsi"/>
          <w:sz w:val="22"/>
          <w:szCs w:val="22"/>
        </w:rPr>
        <w:t>inexperienced Brink.</w:t>
      </w:r>
    </w:p>
    <w:p w14:paraId="2CADCB93" w14:textId="1C273BC9" w:rsidR="005B56AA" w:rsidRDefault="005B56AA" w:rsidP="00986F92">
      <w:pPr>
        <w:contextualSpacing/>
        <w:rPr>
          <w:rFonts w:asciiTheme="minorHAnsi" w:hAnsiTheme="minorHAnsi" w:cstheme="minorHAnsi"/>
          <w:sz w:val="22"/>
          <w:szCs w:val="22"/>
        </w:rPr>
      </w:pPr>
      <w:r>
        <w:rPr>
          <w:rFonts w:asciiTheme="minorHAnsi" w:hAnsiTheme="minorHAnsi" w:cstheme="minorHAnsi"/>
          <w:sz w:val="22"/>
          <w:szCs w:val="22"/>
        </w:rPr>
        <w:tab/>
        <w:t>There are also similarities. Neither paper pays much attention to the ethics of their respective research project. It may be that a great deal of attention and thought was given to ensuring the ethics of these projects was appropriate, but if that was the case, the authors of both papers do not mention it. However, this is to be expected. Even the more recent Walter and Waterhouse paper is now 25 years old. Brink’s paper is 48 years old. They both reflect scholarship of very different times with very different concerns. It cannot be expected that they reflect standards of research from 2024.</w:t>
      </w:r>
    </w:p>
    <w:p w14:paraId="532450A2" w14:textId="77777777" w:rsidR="005A0A03" w:rsidRPr="00CF3AE2" w:rsidRDefault="005A0A03" w:rsidP="005A0A03">
      <w:pPr>
        <w:pStyle w:val="Heading1"/>
        <w:rPr>
          <w:sz w:val="28"/>
          <w:szCs w:val="28"/>
        </w:rPr>
      </w:pPr>
      <w:r w:rsidRPr="00994E1E">
        <w:rPr>
          <w:sz w:val="28"/>
          <w:szCs w:val="28"/>
        </w:rPr>
        <w:t>Bibliography</w:t>
      </w:r>
    </w:p>
    <w:p w14:paraId="16FCAACA" w14:textId="12544B13" w:rsidR="000F47CF" w:rsidRDefault="000F47CF" w:rsidP="005A0A03">
      <w:pPr>
        <w:pStyle w:val="Heading1"/>
        <w:ind w:left="720" w:hanging="720"/>
        <w:rPr>
          <w:rFonts w:cs="Arial"/>
          <w:b w:val="0"/>
          <w:bCs/>
          <w:sz w:val="22"/>
          <w:szCs w:val="22"/>
        </w:rPr>
      </w:pPr>
      <w:r w:rsidRPr="000F47CF">
        <w:rPr>
          <w:rFonts w:cs="Arial"/>
          <w:b w:val="0"/>
          <w:bCs/>
          <w:sz w:val="22"/>
          <w:szCs w:val="22"/>
        </w:rPr>
        <w:t>Bell</w:t>
      </w:r>
      <w:r>
        <w:rPr>
          <w:rFonts w:cs="Arial"/>
          <w:b w:val="0"/>
          <w:bCs/>
          <w:sz w:val="22"/>
          <w:szCs w:val="22"/>
        </w:rPr>
        <w:t>, Judith</w:t>
      </w:r>
      <w:r w:rsidRPr="000F47CF">
        <w:rPr>
          <w:rFonts w:cs="Arial"/>
          <w:b w:val="0"/>
          <w:bCs/>
          <w:sz w:val="22"/>
          <w:szCs w:val="22"/>
        </w:rPr>
        <w:t xml:space="preserve"> with Stephen Waters, </w:t>
      </w:r>
      <w:r w:rsidRPr="00BC500A">
        <w:rPr>
          <w:rFonts w:cs="Arial"/>
          <w:b w:val="0"/>
          <w:bCs/>
          <w:i/>
          <w:iCs/>
          <w:sz w:val="22"/>
          <w:szCs w:val="22"/>
        </w:rPr>
        <w:t>Doing Your Research Project: A Guide for First-time Researchers</w:t>
      </w:r>
      <w:r w:rsidRPr="000F47CF">
        <w:rPr>
          <w:rFonts w:cs="Arial"/>
          <w:b w:val="0"/>
          <w:bCs/>
          <w:sz w:val="22"/>
          <w:szCs w:val="22"/>
        </w:rPr>
        <w:t xml:space="preserve">, 6th </w:t>
      </w:r>
      <w:proofErr w:type="spellStart"/>
      <w:r w:rsidRPr="000F47CF">
        <w:rPr>
          <w:rFonts w:cs="Arial"/>
          <w:b w:val="0"/>
          <w:bCs/>
          <w:sz w:val="22"/>
          <w:szCs w:val="22"/>
        </w:rPr>
        <w:t>edn</w:t>
      </w:r>
      <w:proofErr w:type="spellEnd"/>
      <w:r w:rsidRPr="000F47CF">
        <w:rPr>
          <w:rFonts w:cs="Arial"/>
          <w:b w:val="0"/>
          <w:bCs/>
          <w:sz w:val="22"/>
          <w:szCs w:val="22"/>
        </w:rPr>
        <w:t>. (Maidenhead: Open University Press, 2014)</w:t>
      </w:r>
    </w:p>
    <w:p w14:paraId="33364034" w14:textId="562CFD42" w:rsidR="005A0A03" w:rsidRDefault="005A0A03" w:rsidP="005A0A03">
      <w:pPr>
        <w:pStyle w:val="Heading1"/>
        <w:ind w:left="720" w:hanging="720"/>
        <w:rPr>
          <w:rFonts w:cs="Arial"/>
          <w:b w:val="0"/>
          <w:bCs/>
          <w:sz w:val="22"/>
          <w:szCs w:val="22"/>
        </w:rPr>
      </w:pPr>
      <w:r>
        <w:rPr>
          <w:rFonts w:cs="Arial"/>
          <w:b w:val="0"/>
          <w:bCs/>
          <w:sz w:val="22"/>
          <w:szCs w:val="22"/>
        </w:rPr>
        <w:t>Brink</w:t>
      </w:r>
      <w:r w:rsidRPr="008F36E4">
        <w:rPr>
          <w:rFonts w:cs="Arial"/>
          <w:b w:val="0"/>
          <w:bCs/>
          <w:sz w:val="22"/>
          <w:szCs w:val="22"/>
        </w:rPr>
        <w:t>,</w:t>
      </w:r>
      <w:r w:rsidRPr="00C06D23">
        <w:rPr>
          <w:rFonts w:cs="Arial"/>
          <w:b w:val="0"/>
          <w:bCs/>
          <w:sz w:val="22"/>
          <w:szCs w:val="22"/>
        </w:rPr>
        <w:t xml:space="preserve"> </w:t>
      </w:r>
      <w:r>
        <w:rPr>
          <w:rFonts w:cs="Arial"/>
          <w:b w:val="0"/>
          <w:bCs/>
          <w:sz w:val="22"/>
          <w:szCs w:val="22"/>
        </w:rPr>
        <w:t>T. L., ‘Inconsistency of Belief among Roman Catholic Girls: Concerning Religion, Astrology, Reincarnation’,</w:t>
      </w:r>
      <w:r w:rsidRPr="008F36E4">
        <w:rPr>
          <w:rFonts w:cs="Arial"/>
          <w:b w:val="0"/>
          <w:bCs/>
          <w:sz w:val="22"/>
          <w:szCs w:val="22"/>
        </w:rPr>
        <w:t xml:space="preserve"> </w:t>
      </w:r>
      <w:r>
        <w:rPr>
          <w:rFonts w:cs="Arial"/>
          <w:b w:val="0"/>
          <w:bCs/>
          <w:i/>
          <w:iCs/>
          <w:sz w:val="22"/>
          <w:szCs w:val="22"/>
        </w:rPr>
        <w:t>Review of Religious Research</w:t>
      </w:r>
      <w:r w:rsidRPr="00C97B4C">
        <w:rPr>
          <w:rFonts w:cs="Arial"/>
          <w:b w:val="0"/>
          <w:bCs/>
          <w:sz w:val="22"/>
          <w:szCs w:val="22"/>
        </w:rPr>
        <w:t>,</w:t>
      </w:r>
      <w:r w:rsidRPr="008F36E4">
        <w:rPr>
          <w:rFonts w:cs="Arial"/>
          <w:b w:val="0"/>
          <w:bCs/>
          <w:sz w:val="22"/>
          <w:szCs w:val="22"/>
        </w:rPr>
        <w:t xml:space="preserve"> </w:t>
      </w:r>
      <w:r>
        <w:rPr>
          <w:rFonts w:cs="Arial"/>
          <w:b w:val="0"/>
          <w:bCs/>
          <w:sz w:val="22"/>
          <w:szCs w:val="22"/>
        </w:rPr>
        <w:t>20 (1978), 82-85</w:t>
      </w:r>
    </w:p>
    <w:p w14:paraId="41C17F6C" w14:textId="3BD15F53" w:rsidR="000F330D" w:rsidRDefault="000F330D" w:rsidP="005A0A03">
      <w:pPr>
        <w:pStyle w:val="Heading1"/>
        <w:ind w:left="720" w:hanging="720"/>
        <w:rPr>
          <w:rFonts w:cs="Arial"/>
          <w:b w:val="0"/>
          <w:bCs/>
          <w:sz w:val="22"/>
          <w:szCs w:val="22"/>
        </w:rPr>
      </w:pPr>
      <w:r w:rsidRPr="000F330D">
        <w:rPr>
          <w:rFonts w:cs="Arial"/>
          <w:b w:val="0"/>
          <w:bCs/>
          <w:sz w:val="22"/>
          <w:szCs w:val="22"/>
        </w:rPr>
        <w:t xml:space="preserve">Brink, </w:t>
      </w:r>
      <w:r w:rsidR="00A72F07">
        <w:rPr>
          <w:rFonts w:cs="Arial"/>
          <w:b w:val="0"/>
          <w:bCs/>
          <w:sz w:val="22"/>
          <w:szCs w:val="22"/>
        </w:rPr>
        <w:t xml:space="preserve">T. L., </w:t>
      </w:r>
      <w:r w:rsidRPr="000F330D">
        <w:rPr>
          <w:rFonts w:cs="Arial"/>
          <w:b w:val="0"/>
          <w:bCs/>
          <w:i/>
          <w:iCs/>
          <w:sz w:val="22"/>
          <w:szCs w:val="22"/>
        </w:rPr>
        <w:t xml:space="preserve">Joseph </w:t>
      </w:r>
      <w:proofErr w:type="gramStart"/>
      <w:r w:rsidRPr="000F330D">
        <w:rPr>
          <w:rFonts w:cs="Arial"/>
          <w:b w:val="0"/>
          <w:bCs/>
          <w:i/>
          <w:iCs/>
          <w:sz w:val="22"/>
          <w:szCs w:val="22"/>
        </w:rPr>
        <w:t>Smith :</w:t>
      </w:r>
      <w:proofErr w:type="gramEnd"/>
      <w:r w:rsidRPr="000F330D">
        <w:rPr>
          <w:rFonts w:cs="Arial"/>
          <w:b w:val="0"/>
          <w:bCs/>
          <w:i/>
          <w:iCs/>
          <w:sz w:val="22"/>
          <w:szCs w:val="22"/>
        </w:rPr>
        <w:t xml:space="preserve"> a study in analytical psychology</w:t>
      </w:r>
      <w:r w:rsidRPr="000F330D">
        <w:rPr>
          <w:rFonts w:cs="Arial"/>
          <w:b w:val="0"/>
          <w:bCs/>
          <w:sz w:val="22"/>
          <w:szCs w:val="22"/>
        </w:rPr>
        <w:t xml:space="preserve"> (2024) &lt;https://www.researchgate.net/publication/34090123_Joseph_Smith_a_study_in_analytical_psychology&gt; [accessed 12 March 2024]</w:t>
      </w:r>
    </w:p>
    <w:p w14:paraId="31AEFAB0" w14:textId="6A42C56C" w:rsidR="00AC37BE" w:rsidRDefault="00AC37BE" w:rsidP="005A0A03">
      <w:pPr>
        <w:pStyle w:val="Heading1"/>
        <w:ind w:left="720" w:hanging="720"/>
        <w:rPr>
          <w:rFonts w:cs="Arial"/>
          <w:b w:val="0"/>
          <w:bCs/>
          <w:sz w:val="22"/>
          <w:szCs w:val="22"/>
        </w:rPr>
      </w:pPr>
      <w:r w:rsidRPr="00AC37BE">
        <w:rPr>
          <w:rFonts w:cs="Arial"/>
          <w:b w:val="0"/>
          <w:bCs/>
          <w:sz w:val="22"/>
          <w:szCs w:val="22"/>
        </w:rPr>
        <w:t xml:space="preserve">Brink, </w:t>
      </w:r>
      <w:r w:rsidR="00A72F07">
        <w:rPr>
          <w:rFonts w:cs="Arial"/>
          <w:b w:val="0"/>
          <w:bCs/>
          <w:sz w:val="22"/>
          <w:szCs w:val="22"/>
        </w:rPr>
        <w:t xml:space="preserve">T. L., </w:t>
      </w:r>
      <w:r w:rsidRPr="00AC37BE">
        <w:rPr>
          <w:rFonts w:cs="Arial"/>
          <w:b w:val="0"/>
          <w:bCs/>
          <w:i/>
          <w:iCs/>
          <w:sz w:val="22"/>
          <w:szCs w:val="22"/>
        </w:rPr>
        <w:t>About</w:t>
      </w:r>
      <w:r w:rsidRPr="00AC37BE">
        <w:rPr>
          <w:rFonts w:cs="Arial"/>
          <w:b w:val="0"/>
          <w:bCs/>
          <w:sz w:val="22"/>
          <w:szCs w:val="22"/>
        </w:rPr>
        <w:t xml:space="preserve"> (2024) &lt;https://www.researchgate.net/profile/Tl-Brink/2&gt; [accessed 12 March 2024]</w:t>
      </w:r>
    </w:p>
    <w:p w14:paraId="2F16EEAF" w14:textId="23BB6909" w:rsidR="00812CE1" w:rsidRDefault="00812CE1" w:rsidP="005A0A03">
      <w:pPr>
        <w:pStyle w:val="Heading1"/>
        <w:ind w:left="720" w:hanging="720"/>
        <w:rPr>
          <w:rFonts w:cs="Arial"/>
          <w:b w:val="0"/>
          <w:bCs/>
          <w:sz w:val="22"/>
          <w:szCs w:val="22"/>
        </w:rPr>
      </w:pPr>
      <w:r w:rsidRPr="00812CE1">
        <w:rPr>
          <w:rFonts w:cs="Arial"/>
          <w:b w:val="0"/>
          <w:bCs/>
          <w:sz w:val="22"/>
          <w:szCs w:val="22"/>
        </w:rPr>
        <w:t>Dwyer, Sonya Corbin and Jennifer L. Buckle</w:t>
      </w:r>
      <w:r>
        <w:rPr>
          <w:rFonts w:cs="Arial"/>
          <w:b w:val="0"/>
          <w:bCs/>
          <w:sz w:val="22"/>
          <w:szCs w:val="22"/>
        </w:rPr>
        <w:t>,</w:t>
      </w:r>
      <w:r w:rsidRPr="00812CE1">
        <w:rPr>
          <w:rFonts w:cs="Arial"/>
          <w:b w:val="0"/>
          <w:bCs/>
          <w:sz w:val="22"/>
          <w:szCs w:val="22"/>
        </w:rPr>
        <w:t xml:space="preserve"> </w:t>
      </w:r>
      <w:r>
        <w:rPr>
          <w:rFonts w:cs="Arial"/>
          <w:b w:val="0"/>
          <w:bCs/>
          <w:sz w:val="22"/>
          <w:szCs w:val="22"/>
        </w:rPr>
        <w:t>‘</w:t>
      </w:r>
      <w:r w:rsidRPr="00812CE1">
        <w:rPr>
          <w:rFonts w:cs="Arial"/>
          <w:b w:val="0"/>
          <w:bCs/>
          <w:sz w:val="22"/>
          <w:szCs w:val="22"/>
        </w:rPr>
        <w:t>The Space Between: On Being an Insider-Outsider in Qualitative Research</w:t>
      </w:r>
      <w:r>
        <w:rPr>
          <w:rFonts w:cs="Arial"/>
          <w:b w:val="0"/>
          <w:bCs/>
          <w:sz w:val="22"/>
          <w:szCs w:val="22"/>
        </w:rPr>
        <w:t>’,</w:t>
      </w:r>
      <w:r w:rsidRPr="00812CE1">
        <w:rPr>
          <w:rFonts w:cs="Arial"/>
          <w:b w:val="0"/>
          <w:bCs/>
          <w:sz w:val="22"/>
          <w:szCs w:val="22"/>
        </w:rPr>
        <w:t xml:space="preserve"> </w:t>
      </w:r>
      <w:r w:rsidRPr="00812CE1">
        <w:rPr>
          <w:rFonts w:cs="Arial"/>
          <w:b w:val="0"/>
          <w:bCs/>
          <w:i/>
          <w:iCs/>
          <w:sz w:val="22"/>
          <w:szCs w:val="22"/>
        </w:rPr>
        <w:t>International Journal of Qualitative Methods</w:t>
      </w:r>
      <w:r>
        <w:rPr>
          <w:rFonts w:cs="Arial"/>
          <w:b w:val="0"/>
          <w:bCs/>
          <w:sz w:val="22"/>
          <w:szCs w:val="22"/>
        </w:rPr>
        <w:t>,</w:t>
      </w:r>
      <w:r w:rsidRPr="00812CE1">
        <w:rPr>
          <w:rFonts w:cs="Arial"/>
          <w:b w:val="0"/>
          <w:bCs/>
          <w:sz w:val="22"/>
          <w:szCs w:val="22"/>
        </w:rPr>
        <w:t xml:space="preserve"> 8.1 (2009)</w:t>
      </w:r>
      <w:r>
        <w:rPr>
          <w:rFonts w:cs="Arial"/>
          <w:b w:val="0"/>
          <w:bCs/>
          <w:sz w:val="22"/>
          <w:szCs w:val="22"/>
        </w:rPr>
        <w:t>,</w:t>
      </w:r>
      <w:r w:rsidRPr="00812CE1">
        <w:rPr>
          <w:rFonts w:cs="Arial"/>
          <w:b w:val="0"/>
          <w:bCs/>
          <w:sz w:val="22"/>
          <w:szCs w:val="22"/>
        </w:rPr>
        <w:t xml:space="preserve"> 54–</w:t>
      </w:r>
      <w:proofErr w:type="gramStart"/>
      <w:r w:rsidRPr="00812CE1">
        <w:rPr>
          <w:rFonts w:cs="Arial"/>
          <w:b w:val="0"/>
          <w:bCs/>
          <w:sz w:val="22"/>
          <w:szCs w:val="22"/>
        </w:rPr>
        <w:t>63</w:t>
      </w:r>
      <w:proofErr w:type="gramEnd"/>
    </w:p>
    <w:p w14:paraId="36211838" w14:textId="54C712EB" w:rsidR="00F47C3D" w:rsidRDefault="00F47C3D" w:rsidP="005A0A03">
      <w:pPr>
        <w:pStyle w:val="Heading1"/>
        <w:ind w:left="720" w:hanging="720"/>
        <w:rPr>
          <w:rFonts w:cs="Arial"/>
          <w:b w:val="0"/>
          <w:bCs/>
          <w:sz w:val="22"/>
          <w:szCs w:val="22"/>
        </w:rPr>
      </w:pPr>
      <w:r w:rsidRPr="00F47C3D">
        <w:rPr>
          <w:rFonts w:cs="Arial"/>
          <w:b w:val="0"/>
          <w:bCs/>
          <w:sz w:val="22"/>
          <w:szCs w:val="22"/>
        </w:rPr>
        <w:t>Fukuyama, Yoshio</w:t>
      </w:r>
      <w:r>
        <w:rPr>
          <w:rFonts w:cs="Arial"/>
          <w:b w:val="0"/>
          <w:bCs/>
          <w:sz w:val="22"/>
          <w:szCs w:val="22"/>
        </w:rPr>
        <w:t>,</w:t>
      </w:r>
      <w:r w:rsidRPr="00F47C3D">
        <w:rPr>
          <w:rFonts w:cs="Arial"/>
          <w:b w:val="0"/>
          <w:bCs/>
          <w:sz w:val="22"/>
          <w:szCs w:val="22"/>
        </w:rPr>
        <w:t xml:space="preserve"> ‘Functional Analysis of Religious Beliefs’, </w:t>
      </w:r>
      <w:r w:rsidRPr="00F47C3D">
        <w:rPr>
          <w:rFonts w:cs="Arial"/>
          <w:b w:val="0"/>
          <w:bCs/>
          <w:i/>
          <w:iCs/>
          <w:sz w:val="22"/>
          <w:szCs w:val="22"/>
        </w:rPr>
        <w:t>Religious Education</w:t>
      </w:r>
      <w:r w:rsidRPr="00F47C3D">
        <w:rPr>
          <w:rFonts w:cs="Arial"/>
          <w:b w:val="0"/>
          <w:bCs/>
          <w:sz w:val="22"/>
          <w:szCs w:val="22"/>
        </w:rPr>
        <w:t>, 56.6 (1961), 446–451.</w:t>
      </w:r>
    </w:p>
    <w:p w14:paraId="17D239A7" w14:textId="7211F641" w:rsidR="00BC500A" w:rsidRDefault="00BC500A" w:rsidP="005A0A03">
      <w:pPr>
        <w:pStyle w:val="Heading1"/>
        <w:ind w:left="720" w:hanging="720"/>
        <w:rPr>
          <w:rFonts w:cs="Arial"/>
          <w:b w:val="0"/>
          <w:bCs/>
          <w:sz w:val="22"/>
          <w:szCs w:val="22"/>
        </w:rPr>
      </w:pPr>
      <w:proofErr w:type="spellStart"/>
      <w:r w:rsidRPr="00BC500A">
        <w:rPr>
          <w:rFonts w:cs="Arial"/>
          <w:b w:val="0"/>
          <w:bCs/>
          <w:sz w:val="22"/>
          <w:szCs w:val="22"/>
        </w:rPr>
        <w:t>Hennink</w:t>
      </w:r>
      <w:proofErr w:type="spellEnd"/>
      <w:r w:rsidRPr="00BC500A">
        <w:rPr>
          <w:rFonts w:cs="Arial"/>
          <w:b w:val="0"/>
          <w:bCs/>
          <w:sz w:val="22"/>
          <w:szCs w:val="22"/>
        </w:rPr>
        <w:t>, Monique</w:t>
      </w:r>
      <w:r>
        <w:rPr>
          <w:rFonts w:cs="Arial"/>
          <w:b w:val="0"/>
          <w:bCs/>
          <w:sz w:val="22"/>
          <w:szCs w:val="22"/>
        </w:rPr>
        <w:t>,</w:t>
      </w:r>
      <w:r w:rsidRPr="00BC500A">
        <w:rPr>
          <w:rFonts w:cs="Arial"/>
          <w:b w:val="0"/>
          <w:bCs/>
          <w:sz w:val="22"/>
          <w:szCs w:val="22"/>
        </w:rPr>
        <w:t xml:space="preserve"> Inge </w:t>
      </w:r>
      <w:proofErr w:type="spellStart"/>
      <w:r w:rsidRPr="00BC500A">
        <w:rPr>
          <w:rFonts w:cs="Arial"/>
          <w:b w:val="0"/>
          <w:bCs/>
          <w:sz w:val="22"/>
          <w:szCs w:val="22"/>
        </w:rPr>
        <w:t>Hutter</w:t>
      </w:r>
      <w:proofErr w:type="spellEnd"/>
      <w:r w:rsidRPr="00BC500A">
        <w:rPr>
          <w:rFonts w:cs="Arial"/>
          <w:b w:val="0"/>
          <w:bCs/>
          <w:sz w:val="22"/>
          <w:szCs w:val="22"/>
        </w:rPr>
        <w:t xml:space="preserve"> and Ajay Bailey, </w:t>
      </w:r>
      <w:r w:rsidRPr="00BC500A">
        <w:rPr>
          <w:rFonts w:cs="Arial"/>
          <w:b w:val="0"/>
          <w:bCs/>
          <w:i/>
          <w:iCs/>
          <w:sz w:val="22"/>
          <w:szCs w:val="22"/>
        </w:rPr>
        <w:t>Qualitative Research Methods</w:t>
      </w:r>
      <w:r w:rsidRPr="00BC500A">
        <w:rPr>
          <w:rFonts w:cs="Arial"/>
          <w:b w:val="0"/>
          <w:bCs/>
          <w:sz w:val="22"/>
          <w:szCs w:val="22"/>
        </w:rPr>
        <w:t xml:space="preserve">, 2nd </w:t>
      </w:r>
      <w:proofErr w:type="spellStart"/>
      <w:r w:rsidRPr="00BC500A">
        <w:rPr>
          <w:rFonts w:cs="Arial"/>
          <w:b w:val="0"/>
          <w:bCs/>
          <w:sz w:val="22"/>
          <w:szCs w:val="22"/>
        </w:rPr>
        <w:t>edn</w:t>
      </w:r>
      <w:proofErr w:type="spellEnd"/>
      <w:r w:rsidRPr="00BC500A">
        <w:rPr>
          <w:rFonts w:cs="Arial"/>
          <w:b w:val="0"/>
          <w:bCs/>
          <w:sz w:val="22"/>
          <w:szCs w:val="22"/>
        </w:rPr>
        <w:t>. (London: SAGE, 2020</w:t>
      </w:r>
      <w:r>
        <w:rPr>
          <w:rFonts w:cs="Arial"/>
          <w:b w:val="0"/>
          <w:bCs/>
          <w:sz w:val="22"/>
          <w:szCs w:val="22"/>
        </w:rPr>
        <w:t>)</w:t>
      </w:r>
    </w:p>
    <w:p w14:paraId="66A36E28" w14:textId="3F33D1A7" w:rsidR="005B0006" w:rsidRDefault="005B0006" w:rsidP="005A0A03">
      <w:pPr>
        <w:pStyle w:val="Heading1"/>
        <w:ind w:left="720" w:hanging="720"/>
        <w:rPr>
          <w:rFonts w:cs="Arial"/>
          <w:b w:val="0"/>
          <w:bCs/>
          <w:sz w:val="22"/>
          <w:szCs w:val="22"/>
        </w:rPr>
      </w:pPr>
      <w:proofErr w:type="spellStart"/>
      <w:r w:rsidRPr="005B0006">
        <w:rPr>
          <w:rFonts w:cs="Arial"/>
          <w:b w:val="0"/>
          <w:bCs/>
          <w:sz w:val="22"/>
          <w:szCs w:val="22"/>
        </w:rPr>
        <w:t>Lashbrook</w:t>
      </w:r>
      <w:proofErr w:type="spellEnd"/>
      <w:r w:rsidRPr="005B0006">
        <w:rPr>
          <w:rFonts w:cs="Arial"/>
          <w:b w:val="0"/>
          <w:bCs/>
          <w:sz w:val="22"/>
          <w:szCs w:val="22"/>
        </w:rPr>
        <w:t>, Jeffrey T.</w:t>
      </w:r>
      <w:r>
        <w:rPr>
          <w:rFonts w:cs="Arial"/>
          <w:b w:val="0"/>
          <w:bCs/>
          <w:sz w:val="22"/>
          <w:szCs w:val="22"/>
        </w:rPr>
        <w:t>,</w:t>
      </w:r>
      <w:r w:rsidRPr="005B0006">
        <w:rPr>
          <w:rFonts w:cs="Arial"/>
          <w:b w:val="0"/>
          <w:bCs/>
          <w:sz w:val="22"/>
          <w:szCs w:val="22"/>
        </w:rPr>
        <w:t xml:space="preserve"> ‘Fitting In: Exploring the Emotional Dimension of Adolescent Peer Pressure’, </w:t>
      </w:r>
      <w:r w:rsidRPr="005B0006">
        <w:rPr>
          <w:rFonts w:cs="Arial"/>
          <w:b w:val="0"/>
          <w:bCs/>
          <w:i/>
          <w:iCs/>
          <w:sz w:val="22"/>
          <w:szCs w:val="22"/>
        </w:rPr>
        <w:t>Adolescence</w:t>
      </w:r>
      <w:r w:rsidRPr="005B0006">
        <w:rPr>
          <w:rFonts w:cs="Arial"/>
          <w:b w:val="0"/>
          <w:bCs/>
          <w:sz w:val="22"/>
          <w:szCs w:val="22"/>
        </w:rPr>
        <w:t>, 35.140 (2000), 747–</w:t>
      </w:r>
      <w:proofErr w:type="gramStart"/>
      <w:r w:rsidRPr="005B0006">
        <w:rPr>
          <w:rFonts w:cs="Arial"/>
          <w:b w:val="0"/>
          <w:bCs/>
          <w:sz w:val="22"/>
          <w:szCs w:val="22"/>
        </w:rPr>
        <w:t>757</w:t>
      </w:r>
      <w:proofErr w:type="gramEnd"/>
    </w:p>
    <w:p w14:paraId="3FB0F7B6" w14:textId="6B1315AE" w:rsidR="005B0006" w:rsidRDefault="005B0006" w:rsidP="005B0006">
      <w:pPr>
        <w:pStyle w:val="Heading1"/>
        <w:ind w:left="720" w:hanging="720"/>
        <w:rPr>
          <w:rFonts w:cs="Arial"/>
          <w:b w:val="0"/>
          <w:bCs/>
          <w:sz w:val="22"/>
          <w:szCs w:val="22"/>
        </w:rPr>
      </w:pPr>
      <w:r w:rsidRPr="00C8712B">
        <w:rPr>
          <w:rFonts w:cs="Arial"/>
          <w:b w:val="0"/>
          <w:bCs/>
          <w:sz w:val="22"/>
          <w:szCs w:val="22"/>
        </w:rPr>
        <w:t xml:space="preserve">Meyer, Peter, ‘Can Catholic schools be saved? Lacking nuns and often students, a shrinking system looks for answers’, </w:t>
      </w:r>
      <w:r w:rsidRPr="00C8712B">
        <w:rPr>
          <w:rFonts w:cs="Arial"/>
          <w:b w:val="0"/>
          <w:bCs/>
          <w:i/>
          <w:iCs/>
          <w:sz w:val="22"/>
          <w:szCs w:val="22"/>
        </w:rPr>
        <w:t>Education Next</w:t>
      </w:r>
      <w:r w:rsidRPr="00C8712B">
        <w:rPr>
          <w:rFonts w:cs="Arial"/>
          <w:b w:val="0"/>
          <w:bCs/>
          <w:sz w:val="22"/>
          <w:szCs w:val="22"/>
        </w:rPr>
        <w:t>, 7.2, (2007), pp. 12+ &lt;https://link-gale-</w:t>
      </w:r>
      <w:r w:rsidRPr="00C8712B">
        <w:rPr>
          <w:rFonts w:cs="Arial"/>
          <w:b w:val="0"/>
          <w:bCs/>
          <w:sz w:val="22"/>
          <w:szCs w:val="22"/>
        </w:rPr>
        <w:lastRenderedPageBreak/>
        <w:t>com.libezproxy.open.ac.uk/apps/doc/A161658043/AONE?u=tou&amp;sid=bookmark-AONE&amp;xid=395898f5&gt; [accessed 14 March 2024]</w:t>
      </w:r>
    </w:p>
    <w:p w14:paraId="380FDD36" w14:textId="5C082644" w:rsidR="007B18DE" w:rsidRDefault="007B18DE" w:rsidP="005A0A03">
      <w:pPr>
        <w:pStyle w:val="Heading1"/>
        <w:ind w:left="720" w:hanging="720"/>
        <w:rPr>
          <w:rFonts w:cs="Arial"/>
          <w:b w:val="0"/>
          <w:bCs/>
          <w:sz w:val="22"/>
          <w:szCs w:val="22"/>
        </w:rPr>
      </w:pPr>
      <w:r w:rsidRPr="007B18DE">
        <w:rPr>
          <w:rFonts w:cs="Arial"/>
          <w:b w:val="0"/>
          <w:bCs/>
          <w:sz w:val="22"/>
          <w:szCs w:val="22"/>
        </w:rPr>
        <w:t xml:space="preserve">Open University, </w:t>
      </w:r>
      <w:r w:rsidRPr="007B18DE">
        <w:rPr>
          <w:rFonts w:cs="Arial"/>
          <w:b w:val="0"/>
          <w:bCs/>
          <w:i/>
          <w:iCs/>
          <w:sz w:val="22"/>
          <w:szCs w:val="22"/>
        </w:rPr>
        <w:t>Open Research Online: Helen Waterhouse</w:t>
      </w:r>
      <w:r w:rsidRPr="007B18DE">
        <w:rPr>
          <w:rFonts w:cs="Arial"/>
          <w:b w:val="0"/>
          <w:bCs/>
          <w:sz w:val="22"/>
          <w:szCs w:val="22"/>
        </w:rPr>
        <w:t xml:space="preserve"> (2024) &lt;https://oro.open.ac.uk/view/person/hjw26.html&gt; [accessed 12 March 2024].</w:t>
      </w:r>
    </w:p>
    <w:p w14:paraId="4D62FB0F" w14:textId="30D6B5F9" w:rsidR="00D00269" w:rsidRDefault="00D00269" w:rsidP="005A0A03">
      <w:pPr>
        <w:pStyle w:val="Heading1"/>
        <w:ind w:left="720" w:hanging="720"/>
        <w:rPr>
          <w:rFonts w:cs="Arial"/>
          <w:b w:val="0"/>
          <w:bCs/>
          <w:sz w:val="22"/>
          <w:szCs w:val="22"/>
        </w:rPr>
      </w:pPr>
      <w:r w:rsidRPr="00D00269">
        <w:rPr>
          <w:rFonts w:cs="Arial"/>
          <w:b w:val="0"/>
          <w:bCs/>
          <w:sz w:val="22"/>
          <w:szCs w:val="22"/>
        </w:rPr>
        <w:t xml:space="preserve">Oxford Academic, </w:t>
      </w:r>
      <w:r w:rsidRPr="00D00269">
        <w:rPr>
          <w:rFonts w:cs="Arial"/>
          <w:b w:val="0"/>
          <w:bCs/>
          <w:i/>
          <w:iCs/>
          <w:sz w:val="22"/>
          <w:szCs w:val="22"/>
        </w:rPr>
        <w:t>Sociology of Religion: About the Journal</w:t>
      </w:r>
      <w:r w:rsidRPr="00D00269">
        <w:rPr>
          <w:rFonts w:cs="Arial"/>
          <w:b w:val="0"/>
          <w:bCs/>
          <w:sz w:val="22"/>
          <w:szCs w:val="22"/>
        </w:rPr>
        <w:t xml:space="preserve"> (2024) &lt;https://academic.oup.com/socrel/pages/About&gt; [accessed 12 March 2024]</w:t>
      </w:r>
    </w:p>
    <w:p w14:paraId="789B817C" w14:textId="6277171F" w:rsidR="00EC6A71" w:rsidRDefault="00EC6A71" w:rsidP="005A0A03">
      <w:pPr>
        <w:pStyle w:val="Heading1"/>
        <w:ind w:left="720" w:hanging="720"/>
        <w:rPr>
          <w:rFonts w:cs="Arial"/>
          <w:b w:val="0"/>
          <w:bCs/>
          <w:sz w:val="22"/>
          <w:szCs w:val="22"/>
        </w:rPr>
      </w:pPr>
      <w:r w:rsidRPr="00EC6A71">
        <w:rPr>
          <w:rFonts w:cs="Arial"/>
          <w:b w:val="0"/>
          <w:bCs/>
          <w:sz w:val="22"/>
          <w:szCs w:val="22"/>
        </w:rPr>
        <w:t xml:space="preserve">Ptolemy, </w:t>
      </w:r>
      <w:proofErr w:type="spellStart"/>
      <w:r w:rsidRPr="00EC6A71">
        <w:rPr>
          <w:rFonts w:cs="Arial"/>
          <w:b w:val="0"/>
          <w:bCs/>
          <w:i/>
          <w:iCs/>
          <w:sz w:val="22"/>
          <w:szCs w:val="22"/>
        </w:rPr>
        <w:t>Tetrabiblos</w:t>
      </w:r>
      <w:proofErr w:type="spellEnd"/>
      <w:r w:rsidRPr="00EC6A71">
        <w:rPr>
          <w:rFonts w:cs="Arial"/>
          <w:b w:val="0"/>
          <w:bCs/>
          <w:sz w:val="22"/>
          <w:szCs w:val="22"/>
        </w:rPr>
        <w:t>, trans. by F. E. Robbins (Cambridge, MA: Harvard University Press, 1940)</w:t>
      </w:r>
    </w:p>
    <w:p w14:paraId="52CD0AE6" w14:textId="624B2A1D" w:rsidR="00A23116" w:rsidRDefault="00A23116" w:rsidP="005A0A03">
      <w:pPr>
        <w:pStyle w:val="Heading1"/>
        <w:ind w:left="720" w:hanging="720"/>
        <w:rPr>
          <w:rFonts w:cs="Arial"/>
          <w:b w:val="0"/>
          <w:bCs/>
          <w:sz w:val="22"/>
          <w:szCs w:val="22"/>
        </w:rPr>
      </w:pPr>
      <w:proofErr w:type="spellStart"/>
      <w:r>
        <w:rPr>
          <w:rFonts w:cs="Arial"/>
          <w:b w:val="0"/>
          <w:bCs/>
          <w:sz w:val="22"/>
          <w:szCs w:val="22"/>
        </w:rPr>
        <w:t>Rutkin</w:t>
      </w:r>
      <w:proofErr w:type="spellEnd"/>
      <w:r>
        <w:rPr>
          <w:rFonts w:cs="Arial"/>
          <w:b w:val="0"/>
          <w:bCs/>
          <w:sz w:val="22"/>
          <w:szCs w:val="22"/>
        </w:rPr>
        <w:t xml:space="preserve">, </w:t>
      </w:r>
      <w:r w:rsidRPr="00A23116">
        <w:rPr>
          <w:rFonts w:cs="Arial"/>
          <w:b w:val="0"/>
          <w:bCs/>
          <w:sz w:val="22"/>
          <w:szCs w:val="22"/>
        </w:rPr>
        <w:t xml:space="preserve">H. Darrel, ‘Is Astrology a Type of Divination? Thomas Aquinas, the Index of Prohibited Books, and the Construction of a Legitimate Astrology in the Middle Ages and the Renaissance’, </w:t>
      </w:r>
      <w:r w:rsidRPr="00A23116">
        <w:rPr>
          <w:rFonts w:cs="Arial"/>
          <w:b w:val="0"/>
          <w:bCs/>
          <w:i/>
          <w:iCs/>
          <w:sz w:val="22"/>
          <w:szCs w:val="22"/>
        </w:rPr>
        <w:t>International Journal of Divination and Prognostication</w:t>
      </w:r>
      <w:r w:rsidRPr="00A23116">
        <w:rPr>
          <w:rFonts w:cs="Arial"/>
          <w:b w:val="0"/>
          <w:bCs/>
          <w:sz w:val="22"/>
          <w:szCs w:val="22"/>
        </w:rPr>
        <w:t>, 1. 1 (2019), 36–74</w:t>
      </w:r>
    </w:p>
    <w:p w14:paraId="6BC3141E" w14:textId="390D6AF5" w:rsidR="00036CE8" w:rsidRDefault="00036CE8" w:rsidP="005A0A03">
      <w:pPr>
        <w:pStyle w:val="Heading1"/>
        <w:ind w:left="720" w:hanging="720"/>
        <w:rPr>
          <w:rFonts w:cs="Arial"/>
          <w:b w:val="0"/>
          <w:bCs/>
          <w:sz w:val="22"/>
          <w:szCs w:val="22"/>
        </w:rPr>
      </w:pPr>
      <w:r w:rsidRPr="00036CE8">
        <w:rPr>
          <w:rFonts w:cs="Arial"/>
          <w:b w:val="0"/>
          <w:bCs/>
          <w:sz w:val="22"/>
          <w:szCs w:val="22"/>
        </w:rPr>
        <w:t xml:space="preserve">Sage Journals, </w:t>
      </w:r>
      <w:r w:rsidRPr="00036CE8">
        <w:rPr>
          <w:rFonts w:cs="Arial"/>
          <w:b w:val="0"/>
          <w:bCs/>
          <w:i/>
          <w:iCs/>
          <w:sz w:val="22"/>
          <w:szCs w:val="22"/>
        </w:rPr>
        <w:t>Review of Religious Research: Aims and Scope</w:t>
      </w:r>
      <w:r w:rsidRPr="00036CE8">
        <w:rPr>
          <w:rFonts w:cs="Arial"/>
          <w:b w:val="0"/>
          <w:bCs/>
          <w:sz w:val="22"/>
          <w:szCs w:val="22"/>
        </w:rPr>
        <w:t xml:space="preserve"> (2024) &lt;https://journals.sagepub.com/aims-scope/RRR&gt; [accessed 12 March 2024]</w:t>
      </w:r>
    </w:p>
    <w:p w14:paraId="278DD1FB" w14:textId="12995115" w:rsidR="00431F4B" w:rsidRDefault="00431F4B" w:rsidP="005A0A03">
      <w:pPr>
        <w:pStyle w:val="Heading1"/>
        <w:ind w:left="720" w:hanging="720"/>
        <w:rPr>
          <w:rFonts w:cs="Arial"/>
          <w:b w:val="0"/>
          <w:bCs/>
          <w:sz w:val="22"/>
          <w:szCs w:val="22"/>
        </w:rPr>
      </w:pPr>
      <w:proofErr w:type="spellStart"/>
      <w:r w:rsidRPr="00431F4B">
        <w:rPr>
          <w:rFonts w:cs="Arial"/>
          <w:b w:val="0"/>
          <w:bCs/>
          <w:sz w:val="22"/>
          <w:szCs w:val="22"/>
        </w:rPr>
        <w:t>Stagnaro</w:t>
      </w:r>
      <w:proofErr w:type="spellEnd"/>
      <w:r w:rsidRPr="00431F4B">
        <w:rPr>
          <w:rFonts w:cs="Arial"/>
          <w:b w:val="0"/>
          <w:bCs/>
          <w:sz w:val="22"/>
          <w:szCs w:val="22"/>
        </w:rPr>
        <w:t>,</w:t>
      </w:r>
      <w:r w:rsidR="00A23116">
        <w:rPr>
          <w:rFonts w:cs="Arial"/>
          <w:b w:val="0"/>
          <w:bCs/>
          <w:sz w:val="22"/>
          <w:szCs w:val="22"/>
        </w:rPr>
        <w:t xml:space="preserve"> Angelo,</w:t>
      </w:r>
      <w:r w:rsidRPr="00431F4B">
        <w:rPr>
          <w:rFonts w:cs="Arial"/>
          <w:b w:val="0"/>
          <w:bCs/>
          <w:sz w:val="22"/>
          <w:szCs w:val="22"/>
        </w:rPr>
        <w:t xml:space="preserve"> ‘What the Catholic Church Teaches About Astrology’, </w:t>
      </w:r>
      <w:r w:rsidRPr="00431F4B">
        <w:rPr>
          <w:rFonts w:cs="Arial"/>
          <w:b w:val="0"/>
          <w:bCs/>
          <w:i/>
          <w:iCs/>
          <w:sz w:val="22"/>
          <w:szCs w:val="22"/>
        </w:rPr>
        <w:t>National Catholic Register</w:t>
      </w:r>
      <w:r w:rsidRPr="00431F4B">
        <w:rPr>
          <w:rFonts w:cs="Arial"/>
          <w:b w:val="0"/>
          <w:bCs/>
          <w:sz w:val="22"/>
          <w:szCs w:val="22"/>
        </w:rPr>
        <w:t>, 9 June 2020. &lt;https://www.ncregister.com/blog/what-the-catholic-church-teaches-about-astrology&gt; [accessed 15 March 2024].</w:t>
      </w:r>
    </w:p>
    <w:p w14:paraId="4349CD34" w14:textId="2D657031" w:rsidR="005A0A03" w:rsidRDefault="005A0A03" w:rsidP="005A0A03">
      <w:pPr>
        <w:pStyle w:val="Heading1"/>
        <w:ind w:left="720" w:hanging="720"/>
        <w:rPr>
          <w:rFonts w:cs="Arial"/>
          <w:b w:val="0"/>
          <w:bCs/>
          <w:sz w:val="22"/>
          <w:szCs w:val="22"/>
        </w:rPr>
      </w:pPr>
      <w:r>
        <w:rPr>
          <w:rFonts w:cs="Arial"/>
          <w:b w:val="0"/>
          <w:bCs/>
          <w:sz w:val="22"/>
          <w:szCs w:val="22"/>
        </w:rPr>
        <w:t xml:space="preserve">Walter, </w:t>
      </w:r>
      <w:proofErr w:type="gramStart"/>
      <w:r>
        <w:rPr>
          <w:rFonts w:cs="Arial"/>
          <w:b w:val="0"/>
          <w:bCs/>
          <w:sz w:val="22"/>
          <w:szCs w:val="22"/>
        </w:rPr>
        <w:t>Tony</w:t>
      </w:r>
      <w:proofErr w:type="gramEnd"/>
      <w:r>
        <w:rPr>
          <w:rFonts w:cs="Arial"/>
          <w:b w:val="0"/>
          <w:bCs/>
          <w:sz w:val="22"/>
          <w:szCs w:val="22"/>
        </w:rPr>
        <w:t xml:space="preserve"> and Helen Waterhouse, ‘A Very Private Belief: Reincarnation in Contemporary England’, </w:t>
      </w:r>
      <w:r w:rsidRPr="00F401BE">
        <w:rPr>
          <w:rFonts w:cs="Arial"/>
          <w:b w:val="0"/>
          <w:bCs/>
          <w:i/>
          <w:iCs/>
          <w:sz w:val="22"/>
          <w:szCs w:val="22"/>
        </w:rPr>
        <w:t>Sociology of Religion</w:t>
      </w:r>
      <w:r>
        <w:rPr>
          <w:rFonts w:cs="Arial"/>
          <w:b w:val="0"/>
          <w:bCs/>
          <w:sz w:val="22"/>
          <w:szCs w:val="22"/>
        </w:rPr>
        <w:t>, 60 (1999), 187-197</w:t>
      </w:r>
    </w:p>
    <w:p w14:paraId="3391CEB0" w14:textId="7F59965F" w:rsidR="00405531" w:rsidRPr="00B5204D" w:rsidRDefault="00405531" w:rsidP="005A0A03">
      <w:pPr>
        <w:pStyle w:val="Heading1"/>
        <w:ind w:left="720" w:hanging="720"/>
        <w:rPr>
          <w:rFonts w:cs="Arial"/>
          <w:b w:val="0"/>
          <w:bCs/>
          <w:sz w:val="22"/>
          <w:szCs w:val="22"/>
        </w:rPr>
      </w:pPr>
      <w:r w:rsidRPr="00405531">
        <w:rPr>
          <w:rFonts w:cs="Arial"/>
          <w:b w:val="0"/>
          <w:bCs/>
          <w:sz w:val="22"/>
          <w:szCs w:val="22"/>
        </w:rPr>
        <w:t>Walter</w:t>
      </w:r>
      <w:r>
        <w:rPr>
          <w:rFonts w:cs="Arial"/>
          <w:b w:val="0"/>
          <w:bCs/>
          <w:sz w:val="22"/>
          <w:szCs w:val="22"/>
        </w:rPr>
        <w:t>, Tony</w:t>
      </w:r>
      <w:r w:rsidRPr="00405531">
        <w:rPr>
          <w:rFonts w:cs="Arial"/>
          <w:b w:val="0"/>
          <w:bCs/>
          <w:sz w:val="22"/>
          <w:szCs w:val="22"/>
        </w:rPr>
        <w:t xml:space="preserve">, </w:t>
      </w:r>
      <w:r w:rsidRPr="00405531">
        <w:rPr>
          <w:rFonts w:cs="Arial"/>
          <w:b w:val="0"/>
          <w:bCs/>
          <w:i/>
          <w:iCs/>
          <w:sz w:val="22"/>
          <w:szCs w:val="22"/>
        </w:rPr>
        <w:t>Personal Profile</w:t>
      </w:r>
      <w:r w:rsidRPr="00405531">
        <w:rPr>
          <w:rFonts w:cs="Arial"/>
          <w:b w:val="0"/>
          <w:bCs/>
          <w:sz w:val="22"/>
          <w:szCs w:val="22"/>
        </w:rPr>
        <w:t xml:space="preserve"> (2024) &lt;https://researchportal.bath.ac.uk/en/persons/tony-walter&gt; [accessed 12 March 2024]</w:t>
      </w:r>
    </w:p>
    <w:p w14:paraId="51339B8A" w14:textId="77777777" w:rsidR="005A0A03" w:rsidRDefault="005A0A03" w:rsidP="00994E1E">
      <w:pPr>
        <w:pStyle w:val="Heading1"/>
        <w:rPr>
          <w:sz w:val="28"/>
          <w:szCs w:val="28"/>
        </w:rPr>
      </w:pPr>
    </w:p>
    <w:sectPr w:rsidR="005A0A03" w:rsidSect="00A45AB3">
      <w:headerReference w:type="default" r:id="rId9"/>
      <w:footerReference w:type="default" r:id="rId10"/>
      <w:pgSz w:w="12240" w:h="15840"/>
      <w:pgMar w:top="567" w:right="1797" w:bottom="567" w:left="179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A485" w14:textId="77777777" w:rsidR="000D4322" w:rsidRDefault="000D4322">
      <w:pPr>
        <w:spacing w:after="0" w:line="240" w:lineRule="auto"/>
      </w:pPr>
      <w:r>
        <w:separator/>
      </w:r>
    </w:p>
  </w:endnote>
  <w:endnote w:type="continuationSeparator" w:id="0">
    <w:p w14:paraId="4B5B0572" w14:textId="77777777" w:rsidR="000D4322" w:rsidRDefault="000D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1FC7C" w14:textId="77777777" w:rsidR="0050563C" w:rsidRDefault="00000000">
    <w:pPr>
      <w:pStyle w:val="Footer"/>
    </w:pPr>
    <w:r>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54DF3" w14:textId="77777777" w:rsidR="000D4322" w:rsidRDefault="000D4322">
      <w:pPr>
        <w:spacing w:after="0" w:line="240" w:lineRule="auto"/>
      </w:pPr>
      <w:r>
        <w:separator/>
      </w:r>
    </w:p>
  </w:footnote>
  <w:footnote w:type="continuationSeparator" w:id="0">
    <w:p w14:paraId="2C9F207C" w14:textId="77777777" w:rsidR="000D4322" w:rsidRDefault="000D4322">
      <w:pPr>
        <w:spacing w:after="0" w:line="240" w:lineRule="auto"/>
      </w:pPr>
      <w:r>
        <w:continuationSeparator/>
      </w:r>
    </w:p>
  </w:footnote>
  <w:footnote w:id="1">
    <w:p w14:paraId="6424246E" w14:textId="60B1503E" w:rsidR="00AC37BE" w:rsidRDefault="00AC37BE">
      <w:pPr>
        <w:pStyle w:val="FootnoteText"/>
      </w:pPr>
      <w:r>
        <w:rPr>
          <w:rStyle w:val="FootnoteReference"/>
        </w:rPr>
        <w:footnoteRef/>
      </w:r>
      <w:r>
        <w:t xml:space="preserve"> </w:t>
      </w:r>
      <w:r w:rsidRPr="00AC37BE">
        <w:t xml:space="preserve">T. L. Brink, ‘Inconsistency of Belief among Roman Catholic Girls: Concerning Religion, Astrology, Reincarnation’, </w:t>
      </w:r>
      <w:r w:rsidRPr="00A72F07">
        <w:rPr>
          <w:i/>
          <w:iCs/>
        </w:rPr>
        <w:t>Review of Religious Research</w:t>
      </w:r>
      <w:r w:rsidRPr="00AC37BE">
        <w:t xml:space="preserve">, 20 (1978), </w:t>
      </w:r>
      <w:r w:rsidR="00C17663">
        <w:t xml:space="preserve">82-85 (p. </w:t>
      </w:r>
      <w:r w:rsidRPr="00AC37BE">
        <w:t>8</w:t>
      </w:r>
      <w:r w:rsidR="00A72F07">
        <w:t>3</w:t>
      </w:r>
      <w:r w:rsidR="00C17663">
        <w:t>)</w:t>
      </w:r>
      <w:r w:rsidR="00A72F07">
        <w:t>.</w:t>
      </w:r>
    </w:p>
  </w:footnote>
  <w:footnote w:id="2">
    <w:p w14:paraId="6E51EFF5" w14:textId="77777777" w:rsidR="00C17663" w:rsidRDefault="00C17663" w:rsidP="00C17663">
      <w:pPr>
        <w:pStyle w:val="FootnoteText"/>
      </w:pPr>
      <w:r>
        <w:rPr>
          <w:rStyle w:val="FootnoteReference"/>
        </w:rPr>
        <w:footnoteRef/>
      </w:r>
      <w:r>
        <w:t xml:space="preserve"> Sage Journals, </w:t>
      </w:r>
      <w:r w:rsidRPr="00036CE8">
        <w:rPr>
          <w:i/>
          <w:iCs/>
        </w:rPr>
        <w:t>Review of Religious Research: Aims and Scope</w:t>
      </w:r>
      <w:r>
        <w:t xml:space="preserve"> (2024) &lt;</w:t>
      </w:r>
      <w:r w:rsidRPr="00036CE8">
        <w:t>https://journals.sagepub.com/aims-scope/RRR</w:t>
      </w:r>
      <w:r>
        <w:t>&gt; [accessed 12 March 2024].</w:t>
      </w:r>
    </w:p>
  </w:footnote>
  <w:footnote w:id="3">
    <w:p w14:paraId="4336C5D2" w14:textId="6B910C5C" w:rsidR="00036CE8" w:rsidRDefault="00036CE8" w:rsidP="00036CE8">
      <w:pPr>
        <w:pStyle w:val="FootnoteText"/>
      </w:pPr>
      <w:r>
        <w:rPr>
          <w:rStyle w:val="FootnoteReference"/>
        </w:rPr>
        <w:footnoteRef/>
      </w:r>
      <w:r>
        <w:t xml:space="preserve"> </w:t>
      </w:r>
      <w:r w:rsidR="000F330D">
        <w:t>T. L. Brink</w:t>
      </w:r>
      <w:r>
        <w:t xml:space="preserve">, </w:t>
      </w:r>
      <w:r w:rsidR="000F330D" w:rsidRPr="000F330D">
        <w:rPr>
          <w:i/>
          <w:iCs/>
        </w:rPr>
        <w:t xml:space="preserve">Joseph </w:t>
      </w:r>
      <w:proofErr w:type="gramStart"/>
      <w:r w:rsidR="000F330D" w:rsidRPr="000F330D">
        <w:rPr>
          <w:i/>
          <w:iCs/>
        </w:rPr>
        <w:t>Smith :</w:t>
      </w:r>
      <w:proofErr w:type="gramEnd"/>
      <w:r w:rsidR="000F330D" w:rsidRPr="000F330D">
        <w:rPr>
          <w:i/>
          <w:iCs/>
        </w:rPr>
        <w:t xml:space="preserve"> a study in analytical psychology</w:t>
      </w:r>
      <w:r w:rsidR="000F330D">
        <w:t xml:space="preserve"> (2024)</w:t>
      </w:r>
      <w:r>
        <w:t xml:space="preserve"> </w:t>
      </w:r>
      <w:r w:rsidR="000F330D">
        <w:t>&lt;</w:t>
      </w:r>
      <w:r w:rsidR="000F330D" w:rsidRPr="000F330D">
        <w:t>https://www.researchgate.net/publication/34090123_Joseph_Smith_a_study_in_analytical_psychology</w:t>
      </w:r>
      <w:r w:rsidR="000F330D">
        <w:t>&gt; [accessed 12 March 2024]</w:t>
      </w:r>
      <w:r>
        <w:t>.</w:t>
      </w:r>
    </w:p>
  </w:footnote>
  <w:footnote w:id="4">
    <w:p w14:paraId="705D1314" w14:textId="149B616D" w:rsidR="00C17663" w:rsidRDefault="00C17663">
      <w:pPr>
        <w:pStyle w:val="FootnoteText"/>
      </w:pPr>
      <w:r>
        <w:rPr>
          <w:rStyle w:val="FootnoteReference"/>
        </w:rPr>
        <w:footnoteRef/>
      </w:r>
      <w:r>
        <w:t xml:space="preserve"> Brink, ‘Inconsistency of Belief’, p. 83.</w:t>
      </w:r>
    </w:p>
  </w:footnote>
  <w:footnote w:id="5">
    <w:p w14:paraId="07F90D76" w14:textId="36942015" w:rsidR="000F330D" w:rsidRDefault="000F330D">
      <w:pPr>
        <w:pStyle w:val="FootnoteText"/>
      </w:pPr>
      <w:r>
        <w:rPr>
          <w:rStyle w:val="FootnoteReference"/>
        </w:rPr>
        <w:footnoteRef/>
      </w:r>
      <w:r>
        <w:t xml:space="preserve"> T. L. Brink, </w:t>
      </w:r>
      <w:proofErr w:type="gramStart"/>
      <w:r w:rsidRPr="00AC37BE">
        <w:rPr>
          <w:i/>
          <w:iCs/>
        </w:rPr>
        <w:t>About</w:t>
      </w:r>
      <w:proofErr w:type="gramEnd"/>
      <w:r>
        <w:t xml:space="preserve"> (2024)</w:t>
      </w:r>
      <w:r w:rsidR="00AC37BE">
        <w:t xml:space="preserve"> &lt;</w:t>
      </w:r>
      <w:r w:rsidR="00AC37BE" w:rsidRPr="00AC37BE">
        <w:t>https://www.researchgate.net/profile/Tl-Brink/2</w:t>
      </w:r>
      <w:r w:rsidR="00AC37BE">
        <w:t>&gt; [accessed 12 March 2024].</w:t>
      </w:r>
    </w:p>
  </w:footnote>
  <w:footnote w:id="6">
    <w:p w14:paraId="14C49259" w14:textId="7B70B38D" w:rsidR="004D696A" w:rsidRDefault="004D696A">
      <w:pPr>
        <w:pStyle w:val="FootnoteText"/>
      </w:pPr>
      <w:r>
        <w:rPr>
          <w:rStyle w:val="FootnoteReference"/>
        </w:rPr>
        <w:footnoteRef/>
      </w:r>
      <w:r>
        <w:t xml:space="preserve"> </w:t>
      </w:r>
      <w:r w:rsidRPr="004D696A">
        <w:t>Tony</w:t>
      </w:r>
      <w:r>
        <w:t xml:space="preserve"> Walter</w:t>
      </w:r>
      <w:r w:rsidRPr="004D696A">
        <w:t xml:space="preserve"> and Helen Waterhouse, ‘A Very Private Belief: Reincarnation in Contemporary England’, </w:t>
      </w:r>
      <w:r w:rsidRPr="004D696A">
        <w:rPr>
          <w:i/>
          <w:iCs/>
        </w:rPr>
        <w:t>Sociology of Religion</w:t>
      </w:r>
      <w:r w:rsidRPr="004D696A">
        <w:t>, 60 (1999), 187-197</w:t>
      </w:r>
      <w:r>
        <w:t xml:space="preserve"> (p. 187).</w:t>
      </w:r>
    </w:p>
  </w:footnote>
  <w:footnote w:id="7">
    <w:p w14:paraId="2544615D" w14:textId="2E6A3698" w:rsidR="00D00269" w:rsidRDefault="00D00269">
      <w:pPr>
        <w:pStyle w:val="FootnoteText"/>
      </w:pPr>
      <w:r>
        <w:rPr>
          <w:rStyle w:val="FootnoteReference"/>
        </w:rPr>
        <w:footnoteRef/>
      </w:r>
      <w:r>
        <w:t xml:space="preserve"> Oxford Academic, </w:t>
      </w:r>
      <w:r w:rsidRPr="00D00269">
        <w:rPr>
          <w:i/>
          <w:iCs/>
        </w:rPr>
        <w:t>Sociology of Religion: About the Journal</w:t>
      </w:r>
      <w:r>
        <w:t xml:space="preserve"> (2024) &lt;</w:t>
      </w:r>
      <w:r w:rsidRPr="00D00269">
        <w:t>https://academic.oup.com/socrel/pages/About</w:t>
      </w:r>
      <w:r>
        <w:t>&gt; [accessed 12 March 2024].</w:t>
      </w:r>
    </w:p>
  </w:footnote>
  <w:footnote w:id="8">
    <w:p w14:paraId="72B64829" w14:textId="11FB5CB3" w:rsidR="001B7FD4" w:rsidRDefault="001B7FD4">
      <w:pPr>
        <w:pStyle w:val="FootnoteText"/>
      </w:pPr>
      <w:r>
        <w:rPr>
          <w:rStyle w:val="FootnoteReference"/>
        </w:rPr>
        <w:footnoteRef/>
      </w:r>
      <w:r>
        <w:t xml:space="preserve"> Tony Walter, </w:t>
      </w:r>
      <w:r w:rsidRPr="001B7FD4">
        <w:rPr>
          <w:i/>
          <w:iCs/>
        </w:rPr>
        <w:t>Personal Profile</w:t>
      </w:r>
      <w:r>
        <w:t xml:space="preserve"> (2024) &lt;</w:t>
      </w:r>
      <w:r w:rsidRPr="001B7FD4">
        <w:t>https://researchportal.bath.ac.uk/en/persons/tony-walter</w:t>
      </w:r>
      <w:r>
        <w:t>&gt; [accessed 12 March 2024].</w:t>
      </w:r>
    </w:p>
  </w:footnote>
  <w:footnote w:id="9">
    <w:p w14:paraId="473AA457" w14:textId="32E2AC61" w:rsidR="00405531" w:rsidRDefault="00405531">
      <w:pPr>
        <w:pStyle w:val="FootnoteText"/>
      </w:pPr>
      <w:r>
        <w:rPr>
          <w:rStyle w:val="FootnoteReference"/>
        </w:rPr>
        <w:footnoteRef/>
      </w:r>
      <w:r>
        <w:t xml:space="preserve"> Walter, </w:t>
      </w:r>
      <w:r w:rsidRPr="00405531">
        <w:rPr>
          <w:i/>
          <w:iCs/>
        </w:rPr>
        <w:t>Personal Profile</w:t>
      </w:r>
      <w:r>
        <w:t>.</w:t>
      </w:r>
    </w:p>
  </w:footnote>
  <w:footnote w:id="10">
    <w:p w14:paraId="09C00525" w14:textId="27AE1762" w:rsidR="00432FC2" w:rsidRDefault="00432FC2">
      <w:pPr>
        <w:pStyle w:val="FootnoteText"/>
      </w:pPr>
      <w:r>
        <w:rPr>
          <w:rStyle w:val="FootnoteReference"/>
        </w:rPr>
        <w:footnoteRef/>
      </w:r>
      <w:r>
        <w:t xml:space="preserve"> Walter, </w:t>
      </w:r>
      <w:r w:rsidRPr="00432FC2">
        <w:rPr>
          <w:i/>
          <w:iCs/>
        </w:rPr>
        <w:t>Personal Profile</w:t>
      </w:r>
      <w:r>
        <w:t>.</w:t>
      </w:r>
    </w:p>
  </w:footnote>
  <w:footnote w:id="11">
    <w:p w14:paraId="550E4FA4" w14:textId="15AA784F" w:rsidR="007B18DE" w:rsidRDefault="007B18DE">
      <w:pPr>
        <w:pStyle w:val="FootnoteText"/>
      </w:pPr>
      <w:r>
        <w:rPr>
          <w:rStyle w:val="FootnoteReference"/>
        </w:rPr>
        <w:footnoteRef/>
      </w:r>
      <w:r>
        <w:t xml:space="preserve"> Open University, </w:t>
      </w:r>
      <w:r w:rsidRPr="007B18DE">
        <w:rPr>
          <w:i/>
          <w:iCs/>
        </w:rPr>
        <w:t>Open Research Online: Helen Waterhouse</w:t>
      </w:r>
      <w:r>
        <w:t xml:space="preserve"> (2024) &lt;</w:t>
      </w:r>
      <w:r w:rsidRPr="007B18DE">
        <w:t>https://oro.open.ac.uk/view/person/hjw26.html</w:t>
      </w:r>
      <w:r>
        <w:t>&gt; [accessed 12 March 2024].</w:t>
      </w:r>
    </w:p>
  </w:footnote>
  <w:footnote w:id="12">
    <w:p w14:paraId="793A1562" w14:textId="7E1F72EC" w:rsidR="006E6F7F" w:rsidRDefault="006E6F7F">
      <w:pPr>
        <w:pStyle w:val="FootnoteText"/>
      </w:pPr>
      <w:r>
        <w:rPr>
          <w:rStyle w:val="FootnoteReference"/>
        </w:rPr>
        <w:footnoteRef/>
      </w:r>
      <w:r>
        <w:t xml:space="preserve"> Brink, ‘Inconsistency of Belief’, p. 82.</w:t>
      </w:r>
    </w:p>
  </w:footnote>
  <w:footnote w:id="13">
    <w:p w14:paraId="2C43A425" w14:textId="2D3202D2" w:rsidR="006E6F7F" w:rsidRDefault="006E6F7F">
      <w:pPr>
        <w:pStyle w:val="FootnoteText"/>
      </w:pPr>
      <w:r>
        <w:rPr>
          <w:rStyle w:val="FootnoteReference"/>
        </w:rPr>
        <w:footnoteRef/>
      </w:r>
      <w:r>
        <w:t xml:space="preserve"> Brink, ‘Inconsistency of Belief’, p. 82.</w:t>
      </w:r>
    </w:p>
  </w:footnote>
  <w:footnote w:id="14">
    <w:p w14:paraId="51F9665C" w14:textId="5E0E797C" w:rsidR="006E6F7F" w:rsidRDefault="006E6F7F" w:rsidP="006E6F7F">
      <w:pPr>
        <w:pStyle w:val="FootnoteText"/>
      </w:pPr>
      <w:r>
        <w:rPr>
          <w:rStyle w:val="FootnoteReference"/>
        </w:rPr>
        <w:footnoteRef/>
      </w:r>
      <w:r>
        <w:t xml:space="preserve"> </w:t>
      </w:r>
      <w:r w:rsidR="00E64A40">
        <w:t>Brink, ‘Inconsistency of Belief’, p. 82.</w:t>
      </w:r>
    </w:p>
  </w:footnote>
  <w:footnote w:id="15">
    <w:p w14:paraId="132D3713" w14:textId="0296C15C" w:rsidR="00346E89" w:rsidRDefault="00346E89">
      <w:pPr>
        <w:pStyle w:val="FootnoteText"/>
      </w:pPr>
      <w:r>
        <w:rPr>
          <w:rStyle w:val="FootnoteReference"/>
        </w:rPr>
        <w:footnoteRef/>
      </w:r>
      <w:r>
        <w:t xml:space="preserve"> Brink, ‘Inconsistency of Belief’, p. 83.</w:t>
      </w:r>
    </w:p>
  </w:footnote>
  <w:footnote w:id="16">
    <w:p w14:paraId="56160FB8" w14:textId="61EB4658" w:rsidR="007D3A9E" w:rsidRDefault="007D3A9E">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187.</w:t>
      </w:r>
    </w:p>
  </w:footnote>
  <w:footnote w:id="17">
    <w:p w14:paraId="2C9F1722" w14:textId="154CADAC" w:rsidR="004D0CF9" w:rsidRDefault="004D0CF9" w:rsidP="004D0CF9">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187.</w:t>
      </w:r>
    </w:p>
  </w:footnote>
  <w:footnote w:id="18">
    <w:p w14:paraId="26CFA6F6" w14:textId="3985C7CF" w:rsidR="00EC7469" w:rsidRDefault="00EC7469">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188.</w:t>
      </w:r>
    </w:p>
  </w:footnote>
  <w:footnote w:id="19">
    <w:p w14:paraId="1BF16736" w14:textId="3C45ABEE" w:rsidR="00EC7469" w:rsidRDefault="00EC7469">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20">
    <w:p w14:paraId="3C8AB98D" w14:textId="2D19C3BA" w:rsidR="00EC7469" w:rsidRDefault="00EC7469">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21">
    <w:p w14:paraId="7F833736" w14:textId="4DD007B1" w:rsidR="00EC7469" w:rsidRDefault="00EC7469">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22">
    <w:p w14:paraId="454A7290" w14:textId="666B43A1" w:rsidR="00490E4F" w:rsidRDefault="00490E4F">
      <w:pPr>
        <w:pStyle w:val="FootnoteText"/>
      </w:pPr>
      <w:r>
        <w:rPr>
          <w:rStyle w:val="FootnoteReference"/>
        </w:rPr>
        <w:footnoteRef/>
      </w:r>
      <w:r>
        <w:t xml:space="preserve"> Brink, ‘Inconsistency of Belief’, p. 82.</w:t>
      </w:r>
    </w:p>
  </w:footnote>
  <w:footnote w:id="23">
    <w:p w14:paraId="0F5AF246" w14:textId="1CE0A5E8" w:rsidR="00490E4F" w:rsidRDefault="00490E4F">
      <w:pPr>
        <w:pStyle w:val="FootnoteText"/>
      </w:pPr>
      <w:r>
        <w:rPr>
          <w:rStyle w:val="FootnoteReference"/>
        </w:rPr>
        <w:footnoteRef/>
      </w:r>
      <w:r>
        <w:t xml:space="preserve"> Brink, ‘Inconsistency of Belief’, p. 83.</w:t>
      </w:r>
    </w:p>
  </w:footnote>
  <w:footnote w:id="24">
    <w:p w14:paraId="2BD3E327" w14:textId="726245E2" w:rsidR="00490E4F" w:rsidRDefault="00490E4F">
      <w:pPr>
        <w:pStyle w:val="FootnoteText"/>
      </w:pPr>
      <w:r>
        <w:rPr>
          <w:rStyle w:val="FootnoteReference"/>
        </w:rPr>
        <w:footnoteRef/>
      </w:r>
      <w:r>
        <w:t xml:space="preserve"> Brink, ‘Inconsistency of Belief’, p</w:t>
      </w:r>
      <w:r w:rsidR="00EC7453">
        <w:t>p</w:t>
      </w:r>
      <w:r>
        <w:t>. 84</w:t>
      </w:r>
      <w:r w:rsidR="00EC7453">
        <w:t>-85</w:t>
      </w:r>
      <w:r>
        <w:t>.</w:t>
      </w:r>
    </w:p>
  </w:footnote>
  <w:footnote w:id="25">
    <w:p w14:paraId="45AB266A" w14:textId="1F707526" w:rsidR="00EC7453" w:rsidRDefault="00EC7453">
      <w:pPr>
        <w:pStyle w:val="FootnoteText"/>
      </w:pPr>
      <w:r>
        <w:rPr>
          <w:rStyle w:val="FootnoteReference"/>
        </w:rPr>
        <w:footnoteRef/>
      </w:r>
      <w:r>
        <w:t xml:space="preserve"> Brink, ‘Inconsistency of Belief’, p. 82.</w:t>
      </w:r>
    </w:p>
  </w:footnote>
  <w:footnote w:id="26">
    <w:p w14:paraId="47C865BD" w14:textId="41D53FB8" w:rsidR="00EC7453" w:rsidRDefault="00EC7453">
      <w:pPr>
        <w:pStyle w:val="FootnoteText"/>
      </w:pPr>
      <w:r>
        <w:rPr>
          <w:rStyle w:val="FootnoteReference"/>
        </w:rPr>
        <w:footnoteRef/>
      </w:r>
      <w:r>
        <w:t xml:space="preserve"> Brink, ‘Inconsistency of Belief’, pp. 84-85.</w:t>
      </w:r>
    </w:p>
  </w:footnote>
  <w:footnote w:id="27">
    <w:p w14:paraId="6E42AC0E" w14:textId="321E9F10" w:rsidR="00EC7453" w:rsidRDefault="00EC7453">
      <w:pPr>
        <w:pStyle w:val="FootnoteText"/>
      </w:pPr>
      <w:r>
        <w:rPr>
          <w:rStyle w:val="FootnoteReference"/>
        </w:rPr>
        <w:footnoteRef/>
      </w:r>
      <w:r>
        <w:t xml:space="preserve"> Brink, ‘Inconsistency of Belief’, p. 82.</w:t>
      </w:r>
    </w:p>
  </w:footnote>
  <w:footnote w:id="28">
    <w:p w14:paraId="24A6E3BD" w14:textId="3819156A" w:rsidR="00694D28" w:rsidRDefault="00694D28">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188.</w:t>
      </w:r>
    </w:p>
  </w:footnote>
  <w:footnote w:id="29">
    <w:p w14:paraId="5B56958D" w14:textId="645D5426" w:rsidR="000D6D85" w:rsidRDefault="000D6D85">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pp. 188-190.</w:t>
      </w:r>
    </w:p>
  </w:footnote>
  <w:footnote w:id="30">
    <w:p w14:paraId="0E27267A" w14:textId="4842D89F" w:rsidR="008242FC" w:rsidRDefault="008242FC">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pp. 189-190.</w:t>
      </w:r>
    </w:p>
  </w:footnote>
  <w:footnote w:id="31">
    <w:p w14:paraId="206EA886" w14:textId="7515462A" w:rsidR="007A5951" w:rsidRDefault="007A5951">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pp. 190-195.</w:t>
      </w:r>
    </w:p>
  </w:footnote>
  <w:footnote w:id="32">
    <w:p w14:paraId="783AE758" w14:textId="7DB1E116" w:rsidR="00F023EB" w:rsidRDefault="00F023EB">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pp. 195-196.</w:t>
      </w:r>
    </w:p>
  </w:footnote>
  <w:footnote w:id="33">
    <w:p w14:paraId="644F6384" w14:textId="44EFF0B2" w:rsidR="00F023EB" w:rsidRDefault="00F023EB">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34">
    <w:p w14:paraId="2EFBC207" w14:textId="46D51014" w:rsidR="00F75A2A" w:rsidRDefault="00F75A2A" w:rsidP="00F75A2A">
      <w:pPr>
        <w:pStyle w:val="FootnoteText"/>
      </w:pPr>
      <w:r>
        <w:rPr>
          <w:rStyle w:val="FootnoteReference"/>
        </w:rPr>
        <w:footnoteRef/>
      </w:r>
      <w:r>
        <w:t xml:space="preserve"> Brink, ‘Inconsistency of Belief’, p. 83.</w:t>
      </w:r>
    </w:p>
  </w:footnote>
  <w:footnote w:id="35">
    <w:p w14:paraId="55D47A5B" w14:textId="00A1DA8F" w:rsidR="000F47CF" w:rsidRDefault="000F47CF">
      <w:pPr>
        <w:pStyle w:val="FootnoteText"/>
      </w:pPr>
      <w:r>
        <w:rPr>
          <w:rStyle w:val="FootnoteReference"/>
        </w:rPr>
        <w:footnoteRef/>
      </w:r>
      <w:r>
        <w:t xml:space="preserve"> Brink, ‘Inconsistency of Belief’, p. 83.</w:t>
      </w:r>
    </w:p>
  </w:footnote>
  <w:footnote w:id="36">
    <w:p w14:paraId="7925A55D" w14:textId="50841B34" w:rsidR="001C7600" w:rsidRDefault="001C7600">
      <w:pPr>
        <w:pStyle w:val="FootnoteText"/>
      </w:pPr>
      <w:r>
        <w:rPr>
          <w:rStyle w:val="FootnoteReference"/>
        </w:rPr>
        <w:footnoteRef/>
      </w:r>
      <w:r>
        <w:t xml:space="preserve"> </w:t>
      </w:r>
      <w:r w:rsidR="000F47CF">
        <w:t>Judith Bell with Stephen Waters</w:t>
      </w:r>
      <w:r w:rsidRPr="004D696A">
        <w:t xml:space="preserve">, </w:t>
      </w:r>
      <w:r w:rsidR="000F47CF" w:rsidRPr="000F47CF">
        <w:rPr>
          <w:i/>
          <w:iCs/>
        </w:rPr>
        <w:t xml:space="preserve">Doing Your Research Project: A </w:t>
      </w:r>
      <w:r w:rsidR="000F47CF">
        <w:rPr>
          <w:i/>
          <w:iCs/>
        </w:rPr>
        <w:t>G</w:t>
      </w:r>
      <w:r w:rsidR="000F47CF" w:rsidRPr="000F47CF">
        <w:rPr>
          <w:i/>
          <w:iCs/>
        </w:rPr>
        <w:t>uide for First-time Researchers</w:t>
      </w:r>
      <w:r w:rsidRPr="004D696A">
        <w:t xml:space="preserve">, </w:t>
      </w:r>
      <w:r w:rsidR="000F47CF">
        <w:t xml:space="preserve">6th </w:t>
      </w:r>
      <w:proofErr w:type="spellStart"/>
      <w:r w:rsidR="000F47CF">
        <w:t>edn</w:t>
      </w:r>
      <w:proofErr w:type="spellEnd"/>
      <w:r w:rsidR="000F47CF">
        <w:t xml:space="preserve">. (Maidenhead: Open University Press, 2014), </w:t>
      </w:r>
      <w:r>
        <w:t>p. 163.</w:t>
      </w:r>
    </w:p>
  </w:footnote>
  <w:footnote w:id="37">
    <w:p w14:paraId="2119E3CF" w14:textId="3D5FA755" w:rsidR="000771D2" w:rsidRDefault="000771D2">
      <w:pPr>
        <w:pStyle w:val="FootnoteText"/>
      </w:pPr>
      <w:r>
        <w:rPr>
          <w:rStyle w:val="FootnoteReference"/>
        </w:rPr>
        <w:footnoteRef/>
      </w:r>
      <w:r>
        <w:t xml:space="preserve"> Brink, ‘Inconsistency of Belief’, p. 83.</w:t>
      </w:r>
    </w:p>
  </w:footnote>
  <w:footnote w:id="38">
    <w:p w14:paraId="20B24145" w14:textId="43452453" w:rsidR="00C8712B" w:rsidRDefault="00C8712B">
      <w:pPr>
        <w:pStyle w:val="FootnoteText"/>
      </w:pPr>
      <w:r>
        <w:rPr>
          <w:rStyle w:val="FootnoteReference"/>
        </w:rPr>
        <w:footnoteRef/>
      </w:r>
      <w:r>
        <w:t xml:space="preserve"> </w:t>
      </w:r>
      <w:r w:rsidRPr="00C8712B">
        <w:t>Peter</w:t>
      </w:r>
      <w:r>
        <w:t xml:space="preserve"> Meyer,</w:t>
      </w:r>
      <w:r w:rsidRPr="00C8712B">
        <w:t xml:space="preserve"> </w:t>
      </w:r>
      <w:r>
        <w:t>‘</w:t>
      </w:r>
      <w:r w:rsidRPr="00C8712B">
        <w:t>Can Catholic schools be saved? Lacking nuns and often students, a shrinking system looks for answers</w:t>
      </w:r>
      <w:r>
        <w:t>’,</w:t>
      </w:r>
      <w:r w:rsidRPr="00C8712B">
        <w:t xml:space="preserve"> </w:t>
      </w:r>
      <w:r w:rsidRPr="00C8712B">
        <w:rPr>
          <w:i/>
          <w:iCs/>
        </w:rPr>
        <w:t>Education Next</w:t>
      </w:r>
      <w:r w:rsidRPr="00C8712B">
        <w:t xml:space="preserve">, 7.2, </w:t>
      </w:r>
      <w:r>
        <w:t>(</w:t>
      </w:r>
      <w:r w:rsidRPr="00C8712B">
        <w:t>2007</w:t>
      </w:r>
      <w:r>
        <w:t>)</w:t>
      </w:r>
      <w:r w:rsidRPr="00C8712B">
        <w:t xml:space="preserve">, pp. 12+ </w:t>
      </w:r>
      <w:r>
        <w:t>&lt;</w:t>
      </w:r>
      <w:r w:rsidRPr="00C8712B">
        <w:t>https://link-gale-com.libezproxy.open.ac.uk/apps/doc/A161658043/AONE?u=tou&amp;sid=bookmark-AONE&amp;xid=395898f5</w:t>
      </w:r>
      <w:r>
        <w:t>&gt;</w:t>
      </w:r>
      <w:r w:rsidRPr="00C8712B">
        <w:t xml:space="preserve"> </w:t>
      </w:r>
      <w:r>
        <w:t>[a</w:t>
      </w:r>
      <w:r w:rsidRPr="00C8712B">
        <w:t>ccessed 14 Mar</w:t>
      </w:r>
      <w:r>
        <w:t>ch</w:t>
      </w:r>
      <w:r w:rsidRPr="00C8712B">
        <w:t xml:space="preserve"> 2024</w:t>
      </w:r>
      <w:r>
        <w:t>].</w:t>
      </w:r>
    </w:p>
  </w:footnote>
  <w:footnote w:id="39">
    <w:p w14:paraId="001285F2" w14:textId="65041AA2" w:rsidR="00FD49FE" w:rsidRDefault="00FD49FE">
      <w:pPr>
        <w:pStyle w:val="FootnoteText"/>
      </w:pPr>
      <w:r>
        <w:rPr>
          <w:rStyle w:val="FootnoteReference"/>
        </w:rPr>
        <w:footnoteRef/>
      </w:r>
      <w:r>
        <w:t xml:space="preserve"> Bell with Waters</w:t>
      </w:r>
      <w:r w:rsidRPr="004D696A">
        <w:t xml:space="preserve">, </w:t>
      </w:r>
      <w:r w:rsidRPr="000F47CF">
        <w:rPr>
          <w:i/>
          <w:iCs/>
        </w:rPr>
        <w:t>Doing Your Research Project</w:t>
      </w:r>
      <w:r>
        <w:t>, p. 168.</w:t>
      </w:r>
    </w:p>
  </w:footnote>
  <w:footnote w:id="40">
    <w:p w14:paraId="1F2681A1" w14:textId="6031F1CA" w:rsidR="00BC500A" w:rsidRDefault="00BC500A">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w:t>
      </w:r>
      <w:r w:rsidRPr="00BC500A">
        <w:rPr>
          <w:i/>
          <w:iCs/>
        </w:rPr>
        <w:t>Qualitative Research Methods</w:t>
      </w:r>
      <w:r>
        <w:t xml:space="preserve">, 2nd </w:t>
      </w:r>
      <w:proofErr w:type="spellStart"/>
      <w:r>
        <w:t>edn</w:t>
      </w:r>
      <w:proofErr w:type="spellEnd"/>
      <w:r>
        <w:t>. (London: SAGE, 2020</w:t>
      </w:r>
      <w:r w:rsidR="001A7C71">
        <w:t>)</w:t>
      </w:r>
      <w:r>
        <w:t>, p. 76.</w:t>
      </w:r>
    </w:p>
  </w:footnote>
  <w:footnote w:id="41">
    <w:p w14:paraId="3665B88E" w14:textId="09261053" w:rsidR="00BC500A" w:rsidRDefault="00BC500A">
      <w:pPr>
        <w:pStyle w:val="FootnoteText"/>
      </w:pPr>
      <w:r>
        <w:rPr>
          <w:rStyle w:val="FootnoteReference"/>
        </w:rPr>
        <w:footnoteRef/>
      </w:r>
      <w:r>
        <w:t xml:space="preserve"> </w:t>
      </w:r>
      <w:proofErr w:type="spellStart"/>
      <w:r w:rsidR="00F80471">
        <w:t>Hennink</w:t>
      </w:r>
      <w:proofErr w:type="spellEnd"/>
      <w:r w:rsidR="005B78A4">
        <w:t xml:space="preserve">, </w:t>
      </w:r>
      <w:proofErr w:type="spellStart"/>
      <w:r w:rsidR="005B78A4">
        <w:t>Hutter</w:t>
      </w:r>
      <w:proofErr w:type="spellEnd"/>
      <w:r w:rsidR="005B78A4">
        <w:t xml:space="preserve"> and Bailey</w:t>
      </w:r>
      <w:r w:rsidR="00F80471">
        <w:t xml:space="preserve">, </w:t>
      </w:r>
      <w:r w:rsidR="00F80471" w:rsidRPr="00BC500A">
        <w:rPr>
          <w:i/>
          <w:iCs/>
        </w:rPr>
        <w:t>Qualitative Research Methods</w:t>
      </w:r>
      <w:r w:rsidR="00F80471">
        <w:t>, p. 75.</w:t>
      </w:r>
    </w:p>
  </w:footnote>
  <w:footnote w:id="42">
    <w:p w14:paraId="234DB256" w14:textId="392FD959" w:rsidR="00F80471" w:rsidRDefault="00F80471">
      <w:pPr>
        <w:pStyle w:val="FootnoteText"/>
      </w:pPr>
      <w:r>
        <w:rPr>
          <w:rStyle w:val="FootnoteReference"/>
        </w:rPr>
        <w:footnoteRef/>
      </w:r>
      <w:r>
        <w:t xml:space="preserve"> Brink, ‘Inconsistency of Belief’, p. 82.</w:t>
      </w:r>
    </w:p>
  </w:footnote>
  <w:footnote w:id="43">
    <w:p w14:paraId="6B1CAFA6" w14:textId="7B59FBE3" w:rsidR="005505A6" w:rsidRDefault="005505A6">
      <w:pPr>
        <w:pStyle w:val="FootnoteText"/>
      </w:pPr>
      <w:r>
        <w:rPr>
          <w:rStyle w:val="FootnoteReference"/>
        </w:rPr>
        <w:footnoteRef/>
      </w:r>
      <w:r>
        <w:t xml:space="preserve"> Bell with Waters</w:t>
      </w:r>
      <w:r w:rsidRPr="004D696A">
        <w:t xml:space="preserve">, </w:t>
      </w:r>
      <w:r w:rsidRPr="000F47CF">
        <w:rPr>
          <w:i/>
          <w:iCs/>
        </w:rPr>
        <w:t>Doing Your Research Project</w:t>
      </w:r>
      <w:r>
        <w:t>, p. 9.</w:t>
      </w:r>
    </w:p>
  </w:footnote>
  <w:footnote w:id="44">
    <w:p w14:paraId="362E619A" w14:textId="2DFA361B" w:rsidR="00D35AC9" w:rsidRDefault="00D35AC9">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Bailey, </w:t>
      </w:r>
      <w:r w:rsidRPr="00BC500A">
        <w:rPr>
          <w:i/>
          <w:iCs/>
        </w:rPr>
        <w:t>Qualitative Research Methods</w:t>
      </w:r>
      <w:r>
        <w:t>, pp. 74-77.</w:t>
      </w:r>
    </w:p>
  </w:footnote>
  <w:footnote w:id="45">
    <w:p w14:paraId="68418622" w14:textId="7DED7A87" w:rsidR="002559CE" w:rsidRDefault="002559CE">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188.</w:t>
      </w:r>
    </w:p>
  </w:footnote>
  <w:footnote w:id="46">
    <w:p w14:paraId="31DA4595" w14:textId="42CC7B76" w:rsidR="002559CE" w:rsidRDefault="002559CE">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w:t>
      </w:r>
      <w:r w:rsidR="00A7677A">
        <w:t>p</w:t>
      </w:r>
      <w:r>
        <w:t>. 188-189.</w:t>
      </w:r>
    </w:p>
  </w:footnote>
  <w:footnote w:id="47">
    <w:p w14:paraId="7EED3707" w14:textId="54906701" w:rsidR="00A7677A" w:rsidRDefault="00A7677A">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48">
    <w:p w14:paraId="15840686" w14:textId="60B655B2" w:rsidR="00A7677A" w:rsidRDefault="00A7677A">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49">
    <w:p w14:paraId="6592903A" w14:textId="073B9E6F" w:rsidR="00B00A9D" w:rsidRDefault="00B00A9D">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188.</w:t>
      </w:r>
    </w:p>
  </w:footnote>
  <w:footnote w:id="50">
    <w:p w14:paraId="705E5FDD" w14:textId="76091DA9" w:rsidR="008B25FD" w:rsidRDefault="008B25FD">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51">
    <w:p w14:paraId="6C3CE73F" w14:textId="52EB5FC8" w:rsidR="00CF2691" w:rsidRDefault="00CF2691">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52">
    <w:p w14:paraId="62383687" w14:textId="1D9DF05A" w:rsidR="00CF2691" w:rsidRDefault="00CF2691">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53">
    <w:p w14:paraId="6C4D259B" w14:textId="7744E596" w:rsidR="0019238E" w:rsidRDefault="0019238E">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Bailey, </w:t>
      </w:r>
      <w:r w:rsidRPr="00BC500A">
        <w:rPr>
          <w:i/>
          <w:iCs/>
        </w:rPr>
        <w:t>Qualitative Research Methods</w:t>
      </w:r>
      <w:r>
        <w:t>, p</w:t>
      </w:r>
      <w:r w:rsidR="0031569F">
        <w:t>p</w:t>
      </w:r>
      <w:r>
        <w:t>. 79-81.</w:t>
      </w:r>
    </w:p>
  </w:footnote>
  <w:footnote w:id="54">
    <w:p w14:paraId="7F69EBBE" w14:textId="7F7CF160" w:rsidR="0031569F" w:rsidRDefault="0031569F">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Bailey, </w:t>
      </w:r>
      <w:r w:rsidRPr="00BC500A">
        <w:rPr>
          <w:i/>
          <w:iCs/>
        </w:rPr>
        <w:t>Qualitative Research Methods</w:t>
      </w:r>
      <w:r>
        <w:t>, p. 117.</w:t>
      </w:r>
    </w:p>
  </w:footnote>
  <w:footnote w:id="55">
    <w:p w14:paraId="083F00BC" w14:textId="026C706D" w:rsidR="0031569F" w:rsidRDefault="0031569F">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Bailey, </w:t>
      </w:r>
      <w:r w:rsidRPr="00BC500A">
        <w:rPr>
          <w:i/>
          <w:iCs/>
        </w:rPr>
        <w:t>Qualitative Research Methods</w:t>
      </w:r>
      <w:r>
        <w:t>, p. 117.</w:t>
      </w:r>
    </w:p>
  </w:footnote>
  <w:footnote w:id="56">
    <w:p w14:paraId="56E40E86" w14:textId="414A5769" w:rsidR="006F0AC3" w:rsidRDefault="006F0AC3">
      <w:pPr>
        <w:pStyle w:val="FootnoteText"/>
      </w:pPr>
      <w:r>
        <w:rPr>
          <w:rStyle w:val="FootnoteReference"/>
        </w:rPr>
        <w:footnoteRef/>
      </w:r>
      <w:r>
        <w:t xml:space="preserve"> </w:t>
      </w:r>
      <w:r w:rsidRPr="006F0AC3">
        <w:t xml:space="preserve">Jeffrey T. </w:t>
      </w:r>
      <w:proofErr w:type="spellStart"/>
      <w:r w:rsidR="005B0006" w:rsidRPr="006F0AC3">
        <w:t>Lashbrook</w:t>
      </w:r>
      <w:proofErr w:type="spellEnd"/>
      <w:r w:rsidR="005B0006" w:rsidRPr="006F0AC3">
        <w:t xml:space="preserve">, </w:t>
      </w:r>
      <w:r w:rsidR="0043571B">
        <w:t>‘</w:t>
      </w:r>
      <w:r w:rsidRPr="006F0AC3">
        <w:t>Fitting In: Exploring the Emotional Dimension of Adolescent Peer Pressure</w:t>
      </w:r>
      <w:r w:rsidR="0043571B">
        <w:t>’,</w:t>
      </w:r>
      <w:r w:rsidRPr="006F0AC3">
        <w:t xml:space="preserve"> </w:t>
      </w:r>
      <w:r w:rsidRPr="0043571B">
        <w:rPr>
          <w:i/>
          <w:iCs/>
        </w:rPr>
        <w:t>Adolescence</w:t>
      </w:r>
      <w:r w:rsidR="0043571B">
        <w:t xml:space="preserve">, </w:t>
      </w:r>
      <w:r w:rsidRPr="006F0AC3">
        <w:t>35</w:t>
      </w:r>
      <w:r w:rsidR="0043571B">
        <w:t>.</w:t>
      </w:r>
      <w:r w:rsidRPr="006F0AC3">
        <w:t>140 (2000)</w:t>
      </w:r>
      <w:r w:rsidR="0043571B">
        <w:t>,</w:t>
      </w:r>
      <w:r w:rsidRPr="006F0AC3">
        <w:t xml:space="preserve"> 747–757</w:t>
      </w:r>
      <w:r w:rsidR="0043571B">
        <w:t xml:space="preserve"> (pp. 747-748)</w:t>
      </w:r>
      <w:r w:rsidRPr="006F0AC3">
        <w:t>.</w:t>
      </w:r>
    </w:p>
  </w:footnote>
  <w:footnote w:id="57">
    <w:p w14:paraId="4032B6E9" w14:textId="6481B966" w:rsidR="001F30E5" w:rsidRDefault="001F30E5">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and Bailey, </w:t>
      </w:r>
      <w:r w:rsidRPr="00BC500A">
        <w:rPr>
          <w:i/>
          <w:iCs/>
        </w:rPr>
        <w:t>Qualitative Research Methods</w:t>
      </w:r>
      <w:r>
        <w:t>, p. 118.</w:t>
      </w:r>
    </w:p>
  </w:footnote>
  <w:footnote w:id="58">
    <w:p w14:paraId="460CCF87" w14:textId="61AFDC71" w:rsidR="00C57880" w:rsidRDefault="00C57880" w:rsidP="00C57880">
      <w:pPr>
        <w:pStyle w:val="FootnoteText"/>
      </w:pPr>
      <w:r>
        <w:rPr>
          <w:rStyle w:val="FootnoteReference"/>
        </w:rPr>
        <w:footnoteRef/>
      </w:r>
      <w:r>
        <w:t xml:space="preserve"> Brink, ‘Inconsistency of Belief’, p. 83.</w:t>
      </w:r>
    </w:p>
  </w:footnote>
  <w:footnote w:id="59">
    <w:p w14:paraId="668AA70F" w14:textId="12E4F372" w:rsidR="00812CE1" w:rsidRDefault="00812CE1">
      <w:pPr>
        <w:pStyle w:val="FootnoteText"/>
      </w:pPr>
      <w:r>
        <w:rPr>
          <w:rStyle w:val="FootnoteReference"/>
        </w:rPr>
        <w:footnoteRef/>
      </w:r>
      <w:r>
        <w:t xml:space="preserve"> </w:t>
      </w:r>
      <w:r w:rsidRPr="00812CE1">
        <w:t>Sonya Corbin</w:t>
      </w:r>
      <w:r>
        <w:t xml:space="preserve"> Dwyer</w:t>
      </w:r>
      <w:r w:rsidRPr="00812CE1">
        <w:t xml:space="preserve"> and Jennifer L. Buckle</w:t>
      </w:r>
      <w:r>
        <w:t>,</w:t>
      </w:r>
      <w:r w:rsidRPr="00812CE1">
        <w:t xml:space="preserve"> </w:t>
      </w:r>
      <w:r>
        <w:t>‘</w:t>
      </w:r>
      <w:r w:rsidRPr="00812CE1">
        <w:t>The Space Between: On Being an Insider-Outsider in Qualitative Research</w:t>
      </w:r>
      <w:r>
        <w:t>’,</w:t>
      </w:r>
      <w:r w:rsidRPr="00812CE1">
        <w:t xml:space="preserve"> </w:t>
      </w:r>
      <w:r w:rsidRPr="00812CE1">
        <w:rPr>
          <w:i/>
          <w:iCs/>
        </w:rPr>
        <w:t>International Journal of Qualitative Methods</w:t>
      </w:r>
      <w:r>
        <w:t>,</w:t>
      </w:r>
      <w:r w:rsidRPr="00812CE1">
        <w:t xml:space="preserve"> 8.1 (2009)</w:t>
      </w:r>
      <w:r>
        <w:t>,</w:t>
      </w:r>
      <w:r w:rsidRPr="00812CE1">
        <w:t xml:space="preserve"> 54–63</w:t>
      </w:r>
      <w:r>
        <w:t xml:space="preserve"> (p. 58)</w:t>
      </w:r>
      <w:r w:rsidRPr="00812CE1">
        <w:t>.</w:t>
      </w:r>
    </w:p>
  </w:footnote>
  <w:footnote w:id="60">
    <w:p w14:paraId="171FF097" w14:textId="69297FA5" w:rsidR="00507228" w:rsidRDefault="00507228" w:rsidP="00507228">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189.</w:t>
      </w:r>
    </w:p>
  </w:footnote>
  <w:footnote w:id="61">
    <w:p w14:paraId="7F0C6655" w14:textId="73BA00AF" w:rsidR="005F391C" w:rsidRDefault="005F391C">
      <w:pPr>
        <w:pStyle w:val="FootnoteText"/>
      </w:pPr>
      <w:r>
        <w:rPr>
          <w:rStyle w:val="FootnoteReference"/>
        </w:rPr>
        <w:footnoteRef/>
      </w:r>
      <w:r>
        <w:t xml:space="preserve"> Dwyer</w:t>
      </w:r>
      <w:r w:rsidRPr="00812CE1">
        <w:t xml:space="preserve"> and Buckle</w:t>
      </w:r>
      <w:r>
        <w:t>,</w:t>
      </w:r>
      <w:r w:rsidRPr="00812CE1">
        <w:t xml:space="preserve"> </w:t>
      </w:r>
      <w:r>
        <w:t>‘</w:t>
      </w:r>
      <w:r w:rsidRPr="00812CE1">
        <w:t>The Space Between</w:t>
      </w:r>
      <w:r>
        <w:t>’,</w:t>
      </w:r>
      <w:r w:rsidRPr="00812CE1">
        <w:t xml:space="preserve"> </w:t>
      </w:r>
      <w:r>
        <w:t>p. 58</w:t>
      </w:r>
      <w:r w:rsidRPr="00812CE1">
        <w:t>.</w:t>
      </w:r>
    </w:p>
  </w:footnote>
  <w:footnote w:id="62">
    <w:p w14:paraId="26218F4B" w14:textId="0F9E5E01" w:rsidR="005F391C" w:rsidRDefault="005F391C">
      <w:pPr>
        <w:pStyle w:val="FootnoteText"/>
      </w:pPr>
      <w:r>
        <w:rPr>
          <w:rStyle w:val="FootnoteReference"/>
        </w:rPr>
        <w:footnoteRef/>
      </w:r>
      <w:r>
        <w:t xml:space="preserve"> Dwyer</w:t>
      </w:r>
      <w:r w:rsidRPr="00812CE1">
        <w:t xml:space="preserve"> and Buckle</w:t>
      </w:r>
      <w:r>
        <w:t>,</w:t>
      </w:r>
      <w:r w:rsidRPr="00812CE1">
        <w:t xml:space="preserve"> </w:t>
      </w:r>
      <w:r>
        <w:t>‘</w:t>
      </w:r>
      <w:r w:rsidRPr="00812CE1">
        <w:t>The Space Between</w:t>
      </w:r>
      <w:r>
        <w:t>’,</w:t>
      </w:r>
      <w:r w:rsidRPr="00812CE1">
        <w:t xml:space="preserve"> </w:t>
      </w:r>
      <w:r>
        <w:t>p. 59</w:t>
      </w:r>
      <w:r w:rsidRPr="00812CE1">
        <w:t>.</w:t>
      </w:r>
    </w:p>
  </w:footnote>
  <w:footnote w:id="63">
    <w:p w14:paraId="6D0E8837" w14:textId="2574D31A" w:rsidR="005F391C" w:rsidRDefault="005F391C">
      <w:pPr>
        <w:pStyle w:val="FootnoteText"/>
      </w:pPr>
      <w:r>
        <w:rPr>
          <w:rStyle w:val="FootnoteReference"/>
        </w:rPr>
        <w:footnoteRef/>
      </w:r>
      <w:r>
        <w:t xml:space="preserve"> Walter</w:t>
      </w:r>
      <w:r w:rsidRPr="004D696A">
        <w:t xml:space="preserve"> and Waterhouse, ‘</w:t>
      </w:r>
      <w:r>
        <w:t xml:space="preserve">A Very </w:t>
      </w:r>
      <w:r w:rsidRPr="004D696A">
        <w:t>Private Belief’,</w:t>
      </w:r>
      <w:r>
        <w:t xml:space="preserve"> p. 188.</w:t>
      </w:r>
    </w:p>
  </w:footnote>
  <w:footnote w:id="64">
    <w:p w14:paraId="26A8FD6A" w14:textId="4B474992" w:rsidR="00BE2066" w:rsidRDefault="00BE2066">
      <w:pPr>
        <w:pStyle w:val="FootnoteText"/>
      </w:pPr>
      <w:r>
        <w:rPr>
          <w:rStyle w:val="FootnoteReference"/>
        </w:rPr>
        <w:footnoteRef/>
      </w:r>
      <w:r>
        <w:t xml:space="preserve"> Brink, ‘Inconsistency of Belief’, p. 82.</w:t>
      </w:r>
    </w:p>
  </w:footnote>
  <w:footnote w:id="65">
    <w:p w14:paraId="73BE9610" w14:textId="77777777" w:rsidR="00297D8D" w:rsidRDefault="00297D8D" w:rsidP="00297D8D">
      <w:pPr>
        <w:pStyle w:val="FootnoteText"/>
      </w:pPr>
      <w:r>
        <w:rPr>
          <w:rStyle w:val="FootnoteReference"/>
        </w:rPr>
        <w:footnoteRef/>
      </w:r>
      <w:r>
        <w:t xml:space="preserve"> Angelo </w:t>
      </w:r>
      <w:proofErr w:type="spellStart"/>
      <w:r>
        <w:t>Stagnaro</w:t>
      </w:r>
      <w:proofErr w:type="spellEnd"/>
      <w:r>
        <w:t>, ‘</w:t>
      </w:r>
      <w:r w:rsidRPr="00097606">
        <w:t>What the Catholic Church Teaches About Astrology</w:t>
      </w:r>
      <w:r>
        <w:t xml:space="preserve">’, </w:t>
      </w:r>
      <w:r w:rsidRPr="00097606">
        <w:rPr>
          <w:i/>
          <w:iCs/>
        </w:rPr>
        <w:t>National Catholic Register</w:t>
      </w:r>
      <w:r>
        <w:t>, 9 June 2020. &lt;</w:t>
      </w:r>
      <w:r w:rsidRPr="00DF6188">
        <w:t>https://www.ncregister.com/blog/what-the-catholic-church-teaches-about-astrology</w:t>
      </w:r>
      <w:r>
        <w:t>&gt; [accessed 15 March 2024].</w:t>
      </w:r>
    </w:p>
  </w:footnote>
  <w:footnote w:id="66">
    <w:p w14:paraId="718FE4E9" w14:textId="77777777" w:rsidR="00297D8D" w:rsidRDefault="00297D8D" w:rsidP="00297D8D">
      <w:pPr>
        <w:pStyle w:val="FootnoteText"/>
      </w:pPr>
      <w:r>
        <w:rPr>
          <w:rStyle w:val="FootnoteReference"/>
        </w:rPr>
        <w:footnoteRef/>
      </w:r>
      <w:r>
        <w:t xml:space="preserve"> </w:t>
      </w:r>
      <w:r w:rsidRPr="00A23116">
        <w:t>H</w:t>
      </w:r>
      <w:r>
        <w:t>.</w:t>
      </w:r>
      <w:r w:rsidRPr="00A23116">
        <w:t xml:space="preserve"> Darrel </w:t>
      </w:r>
      <w:proofErr w:type="spellStart"/>
      <w:r w:rsidRPr="00A23116">
        <w:t>Rutkin</w:t>
      </w:r>
      <w:proofErr w:type="spellEnd"/>
      <w:r w:rsidRPr="00A23116">
        <w:t xml:space="preserve">, </w:t>
      </w:r>
      <w:r>
        <w:t>‘</w:t>
      </w:r>
      <w:r w:rsidRPr="00A23116">
        <w:t>Is Astrology a Type of Divination? Thomas Aquinas, the Index of Prohibited Books, and the Construction of a Legitimate Astrology in the Middle Ages and the Renaissance</w:t>
      </w:r>
      <w:r>
        <w:t>’,</w:t>
      </w:r>
      <w:r w:rsidRPr="00A23116">
        <w:t xml:space="preserve"> </w:t>
      </w:r>
      <w:r w:rsidRPr="00A23116">
        <w:rPr>
          <w:i/>
          <w:iCs/>
        </w:rPr>
        <w:t>International Journal of Divination and Prognostication</w:t>
      </w:r>
      <w:r>
        <w:t>,</w:t>
      </w:r>
      <w:r w:rsidRPr="00A23116">
        <w:t xml:space="preserve"> 1. 1 (2019)</w:t>
      </w:r>
      <w:r>
        <w:t>,</w:t>
      </w:r>
      <w:r w:rsidRPr="00A23116">
        <w:t xml:space="preserve"> 36–74</w:t>
      </w:r>
      <w:r>
        <w:t xml:space="preserve"> (p. 38)</w:t>
      </w:r>
      <w:r w:rsidRPr="00A23116">
        <w:t>.</w:t>
      </w:r>
    </w:p>
  </w:footnote>
  <w:footnote w:id="67">
    <w:p w14:paraId="384DBDA6" w14:textId="77777777" w:rsidR="00297D8D" w:rsidRDefault="00297D8D" w:rsidP="00297D8D">
      <w:pPr>
        <w:pStyle w:val="FootnoteText"/>
      </w:pPr>
      <w:r>
        <w:rPr>
          <w:rStyle w:val="FootnoteReference"/>
        </w:rPr>
        <w:footnoteRef/>
      </w:r>
      <w:r>
        <w:t xml:space="preserve"> Ptolemy, </w:t>
      </w:r>
      <w:proofErr w:type="spellStart"/>
      <w:r w:rsidRPr="00214230">
        <w:rPr>
          <w:i/>
          <w:iCs/>
        </w:rPr>
        <w:t>Tetrabiblos</w:t>
      </w:r>
      <w:proofErr w:type="spellEnd"/>
      <w:r>
        <w:t>, trans. by F. E. Robbins (Cambridge, MA: Harvard University Press, 1940), I.3 (p. 23).</w:t>
      </w:r>
    </w:p>
  </w:footnote>
  <w:footnote w:id="68">
    <w:p w14:paraId="5862C822" w14:textId="607801BF" w:rsidR="00F47C3D" w:rsidRDefault="00F47C3D">
      <w:pPr>
        <w:pStyle w:val="FootnoteText"/>
      </w:pPr>
      <w:r>
        <w:rPr>
          <w:rStyle w:val="FootnoteReference"/>
        </w:rPr>
        <w:footnoteRef/>
      </w:r>
      <w:r>
        <w:t xml:space="preserve"> Brink, ‘Inconsistency of Belief’, p. 85.</w:t>
      </w:r>
    </w:p>
  </w:footnote>
  <w:footnote w:id="69">
    <w:p w14:paraId="3A429C04" w14:textId="1C17D294" w:rsidR="00F47C3D" w:rsidRDefault="00F47C3D">
      <w:pPr>
        <w:pStyle w:val="FootnoteText"/>
      </w:pPr>
      <w:r>
        <w:rPr>
          <w:rStyle w:val="FootnoteReference"/>
        </w:rPr>
        <w:footnoteRef/>
      </w:r>
      <w:r>
        <w:t xml:space="preserve"> </w:t>
      </w:r>
      <w:r w:rsidRPr="00F47C3D">
        <w:t xml:space="preserve">Yoshio Fukuyama, </w:t>
      </w:r>
      <w:r>
        <w:t>‘</w:t>
      </w:r>
      <w:r w:rsidRPr="00F47C3D">
        <w:t>Functional Analysis of Religious Beliefs</w:t>
      </w:r>
      <w:r>
        <w:t>’,</w:t>
      </w:r>
      <w:r w:rsidRPr="00F47C3D">
        <w:t xml:space="preserve"> </w:t>
      </w:r>
      <w:r w:rsidRPr="00F47C3D">
        <w:rPr>
          <w:i/>
          <w:iCs/>
        </w:rPr>
        <w:t xml:space="preserve">Religious </w:t>
      </w:r>
      <w:r>
        <w:rPr>
          <w:i/>
          <w:iCs/>
        </w:rPr>
        <w:t>E</w:t>
      </w:r>
      <w:r w:rsidRPr="00F47C3D">
        <w:rPr>
          <w:i/>
          <w:iCs/>
        </w:rPr>
        <w:t>ducation</w:t>
      </w:r>
      <w:r w:rsidRPr="00F47C3D">
        <w:t>, 56.6 (1961)</w:t>
      </w:r>
      <w:r>
        <w:t>,</w:t>
      </w:r>
      <w:r w:rsidRPr="00F47C3D">
        <w:t xml:space="preserve"> 446–451.</w:t>
      </w:r>
    </w:p>
  </w:footnote>
  <w:footnote w:id="70">
    <w:p w14:paraId="3ACB4FC9" w14:textId="4C182D4E" w:rsidR="00761691" w:rsidRDefault="00761691">
      <w:pPr>
        <w:pStyle w:val="FootnoteText"/>
      </w:pPr>
      <w:r>
        <w:rPr>
          <w:rStyle w:val="FootnoteReference"/>
        </w:rPr>
        <w:footnoteRef/>
      </w:r>
      <w:r>
        <w:t xml:space="preserve"> </w:t>
      </w:r>
      <w:r>
        <w:t xml:space="preserve">Walter, </w:t>
      </w:r>
      <w:r w:rsidRPr="00432FC2">
        <w:rPr>
          <w:i/>
          <w:iCs/>
        </w:rPr>
        <w:t>Personal Profile</w:t>
      </w:r>
      <w:r>
        <w:t>.</w:t>
      </w:r>
    </w:p>
  </w:footnote>
  <w:footnote w:id="71">
    <w:p w14:paraId="69B2EDB0" w14:textId="54CBE48A" w:rsidR="00761691" w:rsidRDefault="00761691">
      <w:pPr>
        <w:pStyle w:val="FootnoteText"/>
      </w:pPr>
      <w:r>
        <w:rPr>
          <w:rStyle w:val="FootnoteReference"/>
        </w:rPr>
        <w:footnoteRef/>
      </w:r>
      <w:r>
        <w:t xml:space="preserve"> </w:t>
      </w:r>
      <w:r>
        <w:t>Brink, ‘Inconsistency of Belief’, p. 8</w:t>
      </w:r>
      <w:r>
        <w:t>3</w:t>
      </w:r>
      <w:r>
        <w:t>.</w:t>
      </w:r>
    </w:p>
  </w:footnote>
  <w:footnote w:id="72">
    <w:p w14:paraId="6A73CB00" w14:textId="1EA251B2" w:rsidR="002E2882" w:rsidRDefault="002E2882">
      <w:pPr>
        <w:pStyle w:val="FootnoteText"/>
      </w:pPr>
      <w:r>
        <w:rPr>
          <w:rStyle w:val="FootnoteReference"/>
        </w:rPr>
        <w:footnoteRef/>
      </w:r>
      <w:r>
        <w:t xml:space="preserve"> </w:t>
      </w:r>
      <w:r>
        <w:t xml:space="preserve">Brink, </w:t>
      </w:r>
      <w:proofErr w:type="gramStart"/>
      <w:r w:rsidRPr="00AC37BE">
        <w:rPr>
          <w:i/>
          <w:iCs/>
        </w:rPr>
        <w:t>About</w:t>
      </w:r>
      <w:proofErr w:type="gramEnd"/>
      <w:r>
        <w:t>.</w:t>
      </w:r>
    </w:p>
  </w:footnote>
  <w:footnote w:id="73">
    <w:p w14:paraId="41FD01F8" w14:textId="13FB4DCC" w:rsidR="00697A8C" w:rsidRDefault="00697A8C">
      <w:pPr>
        <w:pStyle w:val="FootnoteText"/>
      </w:pPr>
      <w:r>
        <w:rPr>
          <w:rStyle w:val="FootnoteReference"/>
        </w:rPr>
        <w:footnoteRef/>
      </w:r>
      <w:r>
        <w:t xml:space="preserve"> </w:t>
      </w:r>
      <w:r>
        <w:t>Walter</w:t>
      </w:r>
      <w:r w:rsidRPr="004D696A">
        <w:t xml:space="preserve"> and Waterhouse, ‘</w:t>
      </w:r>
      <w:r>
        <w:t xml:space="preserve">A Very </w:t>
      </w:r>
      <w:r w:rsidRPr="004D696A">
        <w:t>Private Belief’,</w:t>
      </w:r>
      <w:r>
        <w:t xml:space="preserve"> p. 188.</w:t>
      </w:r>
    </w:p>
  </w:footnote>
  <w:footnote w:id="74">
    <w:p w14:paraId="56335057" w14:textId="57855DB2" w:rsidR="00986F92" w:rsidRDefault="00986F92">
      <w:pPr>
        <w:pStyle w:val="FootnoteText"/>
      </w:pPr>
      <w:r>
        <w:rPr>
          <w:rStyle w:val="FootnoteReference"/>
        </w:rPr>
        <w:footnoteRef/>
      </w:r>
      <w:r>
        <w:t xml:space="preserve"> </w:t>
      </w:r>
      <w:r>
        <w:t>Walter</w:t>
      </w:r>
      <w:r w:rsidRPr="004D696A">
        <w:t xml:space="preserve"> and Waterhouse, ‘</w:t>
      </w:r>
      <w:r>
        <w:t xml:space="preserve">A Very </w:t>
      </w:r>
      <w:r w:rsidRPr="004D696A">
        <w:t>Private Belief’,</w:t>
      </w:r>
      <w:r>
        <w:t xml:space="preserve"> p. 18</w:t>
      </w:r>
      <w:r>
        <w:t>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4831651"/>
      <w:docPartObj>
        <w:docPartGallery w:val="Page Numbers (Top of Page)"/>
        <w:docPartUnique/>
      </w:docPartObj>
    </w:sdtPr>
    <w:sdtEndPr>
      <w:rPr>
        <w:noProof/>
      </w:rPr>
    </w:sdtEndPr>
    <w:sdtContent>
      <w:p w14:paraId="568BF014" w14:textId="2141AFB1" w:rsidR="00A45AB3" w:rsidRDefault="00A45AB3">
        <w:pPr>
          <w:pStyle w:val="Header"/>
        </w:pPr>
        <w:r>
          <w:fldChar w:fldCharType="begin"/>
        </w:r>
        <w:r>
          <w:instrText xml:space="preserve"> PAGE   \* MERGEFORMAT </w:instrText>
        </w:r>
        <w:r>
          <w:fldChar w:fldCharType="separate"/>
        </w:r>
        <w:r>
          <w:rPr>
            <w:noProof/>
          </w:rPr>
          <w:t>2</w:t>
        </w:r>
        <w:r>
          <w:rPr>
            <w:noProof/>
          </w:rPr>
          <w:fldChar w:fldCharType="end"/>
        </w:r>
        <w:r w:rsidR="00994E1E">
          <w:rPr>
            <w:noProof/>
          </w:rPr>
          <w:tab/>
        </w:r>
        <w:r w:rsidR="00994E1E">
          <w:rPr>
            <w:noProof/>
          </w:rPr>
          <w:tab/>
        </w:r>
        <w:r w:rsidR="00994E1E">
          <w:rPr>
            <w:noProof/>
          </w:rPr>
          <w:tab/>
        </w:r>
        <w:r w:rsidR="00994E1E">
          <w:rPr>
            <w:noProof/>
          </w:rPr>
          <w:tab/>
        </w:r>
        <w:r w:rsidR="00994E1E">
          <w:rPr>
            <w:noProof/>
          </w:rPr>
          <w:tab/>
        </w:r>
        <w:r w:rsidR="00994E1E">
          <w:rPr>
            <w:noProof/>
          </w:rPr>
          <w:tab/>
        </w:r>
        <w:r w:rsidR="00994E1E">
          <w:rPr>
            <w:noProof/>
          </w:rPr>
          <w:tab/>
        </w:r>
        <w:r w:rsidR="00994E1E">
          <w:rPr>
            <w:noProof/>
          </w:rPr>
          <w:tab/>
        </w:r>
        <w:r w:rsidR="00994E1E">
          <w:rPr>
            <w:noProof/>
          </w:rPr>
          <w:tab/>
        </w:r>
        <w:sdt>
          <w:sdtPr>
            <w:rPr>
              <w:noProof/>
            </w:rPr>
            <w:alias w:val="Author"/>
            <w:tag w:val=""/>
            <w:id w:val="1508714107"/>
            <w:placeholder>
              <w:docPart w:val="2BC889AC3A5643FBA2EC5068500C4E09"/>
            </w:placeholder>
            <w:dataBinding w:prefixMappings="xmlns:ns0='http://purl.org/dc/elements/1.1/' xmlns:ns1='http://schemas.openxmlformats.org/package/2006/metadata/core-properties' " w:xpath="/ns1:coreProperties[1]/ns0:creator[1]" w:storeItemID="{6C3C8BC8-F283-45AE-878A-BAB7291924A1}"/>
            <w:text/>
          </w:sdtPr>
          <w:sdtContent>
            <w:r w:rsidR="00994E1E">
              <w:rPr>
                <w:noProof/>
              </w:rPr>
              <w:t>Kate Blackham</w:t>
            </w:r>
          </w:sdtContent>
        </w:sdt>
      </w:p>
    </w:sdtContent>
  </w:sdt>
  <w:p w14:paraId="2716B574" w14:textId="77777777" w:rsidR="00A45AB3" w:rsidRDefault="00A45A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0BDC"/>
    <w:multiLevelType w:val="singleLevel"/>
    <w:tmpl w:val="6562B884"/>
    <w:lvl w:ilvl="0">
      <w:numFmt w:val="bullet"/>
      <w:lvlText w:val=""/>
      <w:lvlJc w:val="left"/>
      <w:pPr>
        <w:ind w:left="360" w:hanging="288"/>
      </w:pPr>
      <w:rPr>
        <w:rFonts w:ascii="Symbol" w:hAnsi="Symbol"/>
      </w:rPr>
    </w:lvl>
  </w:abstractNum>
  <w:abstractNum w:abstractNumId="1" w15:restartNumberingAfterBreak="0">
    <w:nsid w:val="050B1D8E"/>
    <w:multiLevelType w:val="hybridMultilevel"/>
    <w:tmpl w:val="16C25BDE"/>
    <w:lvl w:ilvl="0" w:tplc="BF2233D8">
      <w:start w:val="1"/>
      <w:numFmt w:val="upperRoman"/>
      <w:lvlText w:val="%1."/>
      <w:lvlJc w:val="right"/>
      <w:pPr>
        <w:ind w:left="540" w:hanging="360"/>
      </w:pPr>
    </w:lvl>
    <w:lvl w:ilvl="1" w:tplc="518CE3E6">
      <w:start w:val="1"/>
      <w:numFmt w:val="lowerLetter"/>
      <w:lvlText w:val="%2."/>
      <w:lvlJc w:val="left"/>
      <w:pPr>
        <w:ind w:left="1260" w:hanging="360"/>
      </w:pPr>
    </w:lvl>
    <w:lvl w:ilvl="2" w:tplc="A24EFDE6">
      <w:start w:val="1"/>
      <w:numFmt w:val="lowerRoman"/>
      <w:lvlText w:val="%3."/>
      <w:lvlJc w:val="right"/>
      <w:pPr>
        <w:ind w:left="1980" w:hanging="180"/>
      </w:pPr>
    </w:lvl>
    <w:lvl w:ilvl="3" w:tplc="FA36A386">
      <w:start w:val="1"/>
      <w:numFmt w:val="decimal"/>
      <w:lvlText w:val="%4."/>
      <w:lvlJc w:val="left"/>
      <w:pPr>
        <w:ind w:left="2700" w:hanging="360"/>
      </w:pPr>
    </w:lvl>
    <w:lvl w:ilvl="4" w:tplc="B4C0E23A">
      <w:start w:val="1"/>
      <w:numFmt w:val="lowerLetter"/>
      <w:lvlText w:val="%5."/>
      <w:lvlJc w:val="left"/>
      <w:pPr>
        <w:ind w:left="3420" w:hanging="360"/>
      </w:pPr>
    </w:lvl>
    <w:lvl w:ilvl="5" w:tplc="63DEA060">
      <w:start w:val="1"/>
      <w:numFmt w:val="lowerRoman"/>
      <w:lvlText w:val="%6."/>
      <w:lvlJc w:val="right"/>
      <w:pPr>
        <w:ind w:left="4140" w:hanging="180"/>
      </w:pPr>
    </w:lvl>
    <w:lvl w:ilvl="6" w:tplc="F7868966">
      <w:start w:val="1"/>
      <w:numFmt w:val="decimal"/>
      <w:lvlText w:val="%7."/>
      <w:lvlJc w:val="left"/>
      <w:pPr>
        <w:ind w:left="4860" w:hanging="360"/>
      </w:pPr>
    </w:lvl>
    <w:lvl w:ilvl="7" w:tplc="A0DECF40">
      <w:start w:val="1"/>
      <w:numFmt w:val="lowerLetter"/>
      <w:lvlText w:val="%8."/>
      <w:lvlJc w:val="left"/>
      <w:pPr>
        <w:ind w:left="5580" w:hanging="360"/>
      </w:pPr>
    </w:lvl>
    <w:lvl w:ilvl="8" w:tplc="76E6F5B6">
      <w:start w:val="1"/>
      <w:numFmt w:val="lowerRoman"/>
      <w:lvlText w:val="%9."/>
      <w:lvlJc w:val="right"/>
      <w:pPr>
        <w:ind w:left="6300" w:hanging="180"/>
      </w:pPr>
    </w:lvl>
  </w:abstractNum>
  <w:abstractNum w:abstractNumId="2" w15:restartNumberingAfterBreak="0">
    <w:nsid w:val="052745F5"/>
    <w:multiLevelType w:val="hybridMultilevel"/>
    <w:tmpl w:val="1826E8BC"/>
    <w:lvl w:ilvl="0" w:tplc="045CB58E">
      <w:numFmt w:val="bullet"/>
      <w:lvlText w:val=""/>
      <w:lvlJc w:val="left"/>
      <w:pPr>
        <w:ind w:left="720" w:hanging="360"/>
      </w:pPr>
      <w:rPr>
        <w:rFonts w:ascii="Symbol" w:hAnsi="Symbol"/>
      </w:rPr>
    </w:lvl>
    <w:lvl w:ilvl="1" w:tplc="8506DA12">
      <w:numFmt w:val="bullet"/>
      <w:lvlText w:val="o"/>
      <w:lvlJc w:val="left"/>
      <w:pPr>
        <w:ind w:left="1440" w:hanging="360"/>
      </w:pPr>
      <w:rPr>
        <w:rFonts w:ascii="Courier New" w:hAnsi="Courier New"/>
      </w:rPr>
    </w:lvl>
    <w:lvl w:ilvl="2" w:tplc="7A1E489C">
      <w:numFmt w:val="bullet"/>
      <w:lvlText w:val=""/>
      <w:lvlJc w:val="left"/>
      <w:pPr>
        <w:ind w:left="2160" w:hanging="360"/>
      </w:pPr>
      <w:rPr>
        <w:rFonts w:ascii="Wingdings" w:hAnsi="Wingdings"/>
      </w:rPr>
    </w:lvl>
    <w:lvl w:ilvl="3" w:tplc="F82EC58C">
      <w:numFmt w:val="bullet"/>
      <w:lvlText w:val=""/>
      <w:lvlJc w:val="left"/>
      <w:pPr>
        <w:ind w:left="2880" w:hanging="360"/>
      </w:pPr>
      <w:rPr>
        <w:rFonts w:ascii="Symbol" w:hAnsi="Symbol"/>
      </w:rPr>
    </w:lvl>
    <w:lvl w:ilvl="4" w:tplc="01209BF4">
      <w:numFmt w:val="bullet"/>
      <w:lvlText w:val="o"/>
      <w:lvlJc w:val="left"/>
      <w:pPr>
        <w:ind w:left="3600" w:hanging="360"/>
      </w:pPr>
      <w:rPr>
        <w:rFonts w:ascii="Courier New" w:hAnsi="Courier New"/>
      </w:rPr>
    </w:lvl>
    <w:lvl w:ilvl="5" w:tplc="7A7EBDF6">
      <w:numFmt w:val="bullet"/>
      <w:lvlText w:val=""/>
      <w:lvlJc w:val="left"/>
      <w:pPr>
        <w:ind w:left="4320" w:hanging="360"/>
      </w:pPr>
      <w:rPr>
        <w:rFonts w:ascii="Wingdings" w:hAnsi="Wingdings"/>
      </w:rPr>
    </w:lvl>
    <w:lvl w:ilvl="6" w:tplc="FC2CBD36">
      <w:numFmt w:val="bullet"/>
      <w:lvlText w:val=""/>
      <w:lvlJc w:val="left"/>
      <w:pPr>
        <w:ind w:left="5040" w:hanging="360"/>
      </w:pPr>
      <w:rPr>
        <w:rFonts w:ascii="Symbol" w:hAnsi="Symbol"/>
      </w:rPr>
    </w:lvl>
    <w:lvl w:ilvl="7" w:tplc="5602FD80">
      <w:numFmt w:val="bullet"/>
      <w:lvlText w:val="o"/>
      <w:lvlJc w:val="left"/>
      <w:pPr>
        <w:ind w:left="5760" w:hanging="360"/>
      </w:pPr>
      <w:rPr>
        <w:rFonts w:ascii="Courier New" w:hAnsi="Courier New"/>
      </w:rPr>
    </w:lvl>
    <w:lvl w:ilvl="8" w:tplc="C3345F36">
      <w:numFmt w:val="bullet"/>
      <w:lvlText w:val=""/>
      <w:lvlJc w:val="left"/>
      <w:pPr>
        <w:ind w:left="6480" w:hanging="360"/>
      </w:pPr>
      <w:rPr>
        <w:rFonts w:ascii="Wingdings" w:hAnsi="Wingdings"/>
      </w:rPr>
    </w:lvl>
  </w:abstractNum>
  <w:abstractNum w:abstractNumId="3" w15:restartNumberingAfterBreak="0">
    <w:nsid w:val="05A52DFD"/>
    <w:multiLevelType w:val="hybridMultilevel"/>
    <w:tmpl w:val="EBEA3976"/>
    <w:lvl w:ilvl="0" w:tplc="CA969A82">
      <w:numFmt w:val="bullet"/>
      <w:lvlText w:val=""/>
      <w:lvlJc w:val="left"/>
      <w:pPr>
        <w:ind w:left="720" w:hanging="360"/>
      </w:pPr>
      <w:rPr>
        <w:rFonts w:ascii="Symbol" w:hAnsi="Symbol"/>
      </w:rPr>
    </w:lvl>
    <w:lvl w:ilvl="1" w:tplc="1188E0C0">
      <w:numFmt w:val="bullet"/>
      <w:lvlText w:val="o"/>
      <w:lvlJc w:val="left"/>
      <w:pPr>
        <w:ind w:left="1440" w:hanging="360"/>
      </w:pPr>
      <w:rPr>
        <w:rFonts w:ascii="Courier New" w:hAnsi="Courier New"/>
      </w:rPr>
    </w:lvl>
    <w:lvl w:ilvl="2" w:tplc="D5A252F6">
      <w:numFmt w:val="bullet"/>
      <w:lvlText w:val=""/>
      <w:lvlJc w:val="left"/>
      <w:pPr>
        <w:ind w:left="2160" w:hanging="360"/>
      </w:pPr>
      <w:rPr>
        <w:rFonts w:ascii="Wingdings" w:hAnsi="Wingdings"/>
      </w:rPr>
    </w:lvl>
    <w:lvl w:ilvl="3" w:tplc="FD60EE68">
      <w:numFmt w:val="bullet"/>
      <w:lvlText w:val=""/>
      <w:lvlJc w:val="left"/>
      <w:pPr>
        <w:ind w:left="2880" w:hanging="360"/>
      </w:pPr>
      <w:rPr>
        <w:rFonts w:ascii="Symbol" w:hAnsi="Symbol"/>
      </w:rPr>
    </w:lvl>
    <w:lvl w:ilvl="4" w:tplc="B1CA0C1A">
      <w:numFmt w:val="bullet"/>
      <w:lvlText w:val="o"/>
      <w:lvlJc w:val="left"/>
      <w:pPr>
        <w:ind w:left="3600" w:hanging="360"/>
      </w:pPr>
      <w:rPr>
        <w:rFonts w:ascii="Courier New" w:hAnsi="Courier New"/>
      </w:rPr>
    </w:lvl>
    <w:lvl w:ilvl="5" w:tplc="BF48B0B6">
      <w:numFmt w:val="bullet"/>
      <w:lvlText w:val=""/>
      <w:lvlJc w:val="left"/>
      <w:pPr>
        <w:ind w:left="4320" w:hanging="360"/>
      </w:pPr>
      <w:rPr>
        <w:rFonts w:ascii="Wingdings" w:hAnsi="Wingdings"/>
      </w:rPr>
    </w:lvl>
    <w:lvl w:ilvl="6" w:tplc="B1C2D17C">
      <w:numFmt w:val="bullet"/>
      <w:lvlText w:val=""/>
      <w:lvlJc w:val="left"/>
      <w:pPr>
        <w:ind w:left="5040" w:hanging="360"/>
      </w:pPr>
      <w:rPr>
        <w:rFonts w:ascii="Symbol" w:hAnsi="Symbol"/>
      </w:rPr>
    </w:lvl>
    <w:lvl w:ilvl="7" w:tplc="09266EC6">
      <w:numFmt w:val="bullet"/>
      <w:lvlText w:val="o"/>
      <w:lvlJc w:val="left"/>
      <w:pPr>
        <w:ind w:left="5760" w:hanging="360"/>
      </w:pPr>
      <w:rPr>
        <w:rFonts w:ascii="Courier New" w:hAnsi="Courier New"/>
      </w:rPr>
    </w:lvl>
    <w:lvl w:ilvl="8" w:tplc="08E0CDF8">
      <w:numFmt w:val="bullet"/>
      <w:lvlText w:val=""/>
      <w:lvlJc w:val="left"/>
      <w:pPr>
        <w:ind w:left="6480" w:hanging="360"/>
      </w:pPr>
      <w:rPr>
        <w:rFonts w:ascii="Wingdings" w:hAnsi="Wingdings"/>
      </w:rPr>
    </w:lvl>
  </w:abstractNum>
  <w:abstractNum w:abstractNumId="4" w15:restartNumberingAfterBreak="0">
    <w:nsid w:val="094C47E4"/>
    <w:multiLevelType w:val="singleLevel"/>
    <w:tmpl w:val="637E5C10"/>
    <w:lvl w:ilvl="0">
      <w:numFmt w:val="decimal"/>
      <w:lvlText w:val="*"/>
      <w:lvlJc w:val="left"/>
    </w:lvl>
  </w:abstractNum>
  <w:abstractNum w:abstractNumId="5" w15:restartNumberingAfterBreak="0">
    <w:nsid w:val="115B7738"/>
    <w:multiLevelType w:val="singleLevel"/>
    <w:tmpl w:val="E2A0D4CE"/>
    <w:lvl w:ilvl="0">
      <w:numFmt w:val="bullet"/>
      <w:lvlText w:val=""/>
      <w:lvlJc w:val="left"/>
      <w:pPr>
        <w:ind w:left="360" w:hanging="288"/>
      </w:pPr>
      <w:rPr>
        <w:rFonts w:ascii="Symbol" w:hAnsi="Symbol"/>
      </w:rPr>
    </w:lvl>
  </w:abstractNum>
  <w:abstractNum w:abstractNumId="6" w15:restartNumberingAfterBreak="0">
    <w:nsid w:val="14A65A8F"/>
    <w:multiLevelType w:val="hybridMultilevel"/>
    <w:tmpl w:val="E2C428E0"/>
    <w:lvl w:ilvl="0" w:tplc="71B6B988">
      <w:numFmt w:val="bullet"/>
      <w:lvlText w:val=""/>
      <w:lvlJc w:val="left"/>
      <w:pPr>
        <w:ind w:left="1080" w:hanging="360"/>
      </w:pPr>
      <w:rPr>
        <w:rFonts w:ascii="Symbol" w:hAnsi="Symbol"/>
      </w:rPr>
    </w:lvl>
    <w:lvl w:ilvl="1" w:tplc="5008D6E8">
      <w:numFmt w:val="bullet"/>
      <w:lvlText w:val="o"/>
      <w:lvlJc w:val="left"/>
      <w:pPr>
        <w:ind w:left="1800" w:hanging="360"/>
      </w:pPr>
      <w:rPr>
        <w:rFonts w:ascii="Courier New" w:hAnsi="Courier New"/>
      </w:rPr>
    </w:lvl>
    <w:lvl w:ilvl="2" w:tplc="349CC414">
      <w:numFmt w:val="bullet"/>
      <w:lvlText w:val=""/>
      <w:lvlJc w:val="left"/>
      <w:pPr>
        <w:ind w:left="2520" w:hanging="360"/>
      </w:pPr>
      <w:rPr>
        <w:rFonts w:ascii="Wingdings" w:hAnsi="Wingdings"/>
      </w:rPr>
    </w:lvl>
    <w:lvl w:ilvl="3" w:tplc="AF5E542A">
      <w:numFmt w:val="bullet"/>
      <w:lvlText w:val=""/>
      <w:lvlJc w:val="left"/>
      <w:pPr>
        <w:ind w:left="3240" w:hanging="360"/>
      </w:pPr>
      <w:rPr>
        <w:rFonts w:ascii="Symbol" w:hAnsi="Symbol"/>
      </w:rPr>
    </w:lvl>
    <w:lvl w:ilvl="4" w:tplc="60A0732C">
      <w:numFmt w:val="bullet"/>
      <w:lvlText w:val="o"/>
      <w:lvlJc w:val="left"/>
      <w:pPr>
        <w:ind w:left="3960" w:hanging="360"/>
      </w:pPr>
      <w:rPr>
        <w:rFonts w:ascii="Courier New" w:hAnsi="Courier New"/>
      </w:rPr>
    </w:lvl>
    <w:lvl w:ilvl="5" w:tplc="EFF67374">
      <w:numFmt w:val="bullet"/>
      <w:lvlText w:val=""/>
      <w:lvlJc w:val="left"/>
      <w:pPr>
        <w:ind w:left="4680" w:hanging="360"/>
      </w:pPr>
      <w:rPr>
        <w:rFonts w:ascii="Wingdings" w:hAnsi="Wingdings"/>
      </w:rPr>
    </w:lvl>
    <w:lvl w:ilvl="6" w:tplc="C21C21C2">
      <w:numFmt w:val="bullet"/>
      <w:lvlText w:val=""/>
      <w:lvlJc w:val="left"/>
      <w:pPr>
        <w:ind w:left="5400" w:hanging="360"/>
      </w:pPr>
      <w:rPr>
        <w:rFonts w:ascii="Symbol" w:hAnsi="Symbol"/>
      </w:rPr>
    </w:lvl>
    <w:lvl w:ilvl="7" w:tplc="8F86A824">
      <w:numFmt w:val="bullet"/>
      <w:lvlText w:val="o"/>
      <w:lvlJc w:val="left"/>
      <w:pPr>
        <w:ind w:left="6120" w:hanging="360"/>
      </w:pPr>
      <w:rPr>
        <w:rFonts w:ascii="Courier New" w:hAnsi="Courier New"/>
      </w:rPr>
    </w:lvl>
    <w:lvl w:ilvl="8" w:tplc="D6ECBB34">
      <w:numFmt w:val="bullet"/>
      <w:lvlText w:val=""/>
      <w:lvlJc w:val="left"/>
      <w:pPr>
        <w:ind w:left="6840" w:hanging="360"/>
      </w:pPr>
      <w:rPr>
        <w:rFonts w:ascii="Wingdings" w:hAnsi="Wingdings"/>
      </w:rPr>
    </w:lvl>
  </w:abstractNum>
  <w:abstractNum w:abstractNumId="7" w15:restartNumberingAfterBreak="0">
    <w:nsid w:val="15E9388C"/>
    <w:multiLevelType w:val="hybridMultilevel"/>
    <w:tmpl w:val="2D3A520A"/>
    <w:lvl w:ilvl="0" w:tplc="DCEA8C82">
      <w:numFmt w:val="bullet"/>
      <w:lvlText w:val=""/>
      <w:lvlJc w:val="left"/>
      <w:pPr>
        <w:ind w:left="1080" w:hanging="360"/>
      </w:pPr>
      <w:rPr>
        <w:rFonts w:ascii="Symbol" w:hAnsi="Symbol"/>
      </w:rPr>
    </w:lvl>
    <w:lvl w:ilvl="1" w:tplc="EF90174E">
      <w:numFmt w:val="bullet"/>
      <w:lvlText w:val=""/>
      <w:lvlJc w:val="left"/>
      <w:pPr>
        <w:ind w:left="1800" w:hanging="360"/>
      </w:pPr>
      <w:rPr>
        <w:rFonts w:ascii="Symbol" w:hAnsi="Symbol"/>
      </w:rPr>
    </w:lvl>
    <w:lvl w:ilvl="2" w:tplc="64660A94">
      <w:start w:val="1"/>
      <w:numFmt w:val="lowerRoman"/>
      <w:lvlText w:val="%3."/>
      <w:lvlJc w:val="right"/>
      <w:pPr>
        <w:ind w:left="2520" w:hanging="180"/>
      </w:pPr>
    </w:lvl>
    <w:lvl w:ilvl="3" w:tplc="2F100354">
      <w:start w:val="1"/>
      <w:numFmt w:val="decimal"/>
      <w:lvlText w:val="%4."/>
      <w:lvlJc w:val="left"/>
      <w:pPr>
        <w:ind w:left="3240" w:hanging="360"/>
      </w:pPr>
    </w:lvl>
    <w:lvl w:ilvl="4" w:tplc="F9E8C44E">
      <w:start w:val="1"/>
      <w:numFmt w:val="lowerLetter"/>
      <w:lvlText w:val="%5."/>
      <w:lvlJc w:val="left"/>
      <w:pPr>
        <w:ind w:left="3960" w:hanging="360"/>
      </w:pPr>
    </w:lvl>
    <w:lvl w:ilvl="5" w:tplc="6262AD60">
      <w:start w:val="1"/>
      <w:numFmt w:val="lowerRoman"/>
      <w:lvlText w:val="%6."/>
      <w:lvlJc w:val="right"/>
      <w:pPr>
        <w:ind w:left="4680" w:hanging="180"/>
      </w:pPr>
    </w:lvl>
    <w:lvl w:ilvl="6" w:tplc="B698905A">
      <w:start w:val="1"/>
      <w:numFmt w:val="decimal"/>
      <w:lvlText w:val="%7."/>
      <w:lvlJc w:val="left"/>
      <w:pPr>
        <w:ind w:left="5400" w:hanging="360"/>
      </w:pPr>
    </w:lvl>
    <w:lvl w:ilvl="7" w:tplc="678AB3DC">
      <w:start w:val="1"/>
      <w:numFmt w:val="lowerLetter"/>
      <w:lvlText w:val="%8."/>
      <w:lvlJc w:val="left"/>
      <w:pPr>
        <w:ind w:left="6120" w:hanging="360"/>
      </w:pPr>
    </w:lvl>
    <w:lvl w:ilvl="8" w:tplc="8C727082">
      <w:start w:val="1"/>
      <w:numFmt w:val="lowerRoman"/>
      <w:lvlText w:val="%9."/>
      <w:lvlJc w:val="right"/>
      <w:pPr>
        <w:ind w:left="6840" w:hanging="180"/>
      </w:pPr>
    </w:lvl>
  </w:abstractNum>
  <w:abstractNum w:abstractNumId="8" w15:restartNumberingAfterBreak="0">
    <w:nsid w:val="15E943B7"/>
    <w:multiLevelType w:val="singleLevel"/>
    <w:tmpl w:val="02E4544C"/>
    <w:lvl w:ilvl="0">
      <w:numFmt w:val="bullet"/>
      <w:lvlText w:val=""/>
      <w:lvlJc w:val="left"/>
      <w:pPr>
        <w:ind w:left="360" w:hanging="288"/>
      </w:pPr>
      <w:rPr>
        <w:rFonts w:ascii="Symbol" w:hAnsi="Symbol"/>
      </w:rPr>
    </w:lvl>
  </w:abstractNum>
  <w:abstractNum w:abstractNumId="9" w15:restartNumberingAfterBreak="0">
    <w:nsid w:val="21847E30"/>
    <w:multiLevelType w:val="hybridMultilevel"/>
    <w:tmpl w:val="75C6C062"/>
    <w:lvl w:ilvl="0" w:tplc="0BE80490">
      <w:numFmt w:val="bullet"/>
      <w:lvlText w:val=""/>
      <w:lvlJc w:val="left"/>
      <w:pPr>
        <w:ind w:left="1080" w:hanging="360"/>
      </w:pPr>
      <w:rPr>
        <w:rFonts w:ascii="Symbol" w:hAnsi="Symbol"/>
      </w:rPr>
    </w:lvl>
    <w:lvl w:ilvl="1" w:tplc="52CA7F6A">
      <w:numFmt w:val="bullet"/>
      <w:lvlText w:val="o"/>
      <w:lvlJc w:val="left"/>
      <w:pPr>
        <w:ind w:left="1800" w:hanging="360"/>
      </w:pPr>
      <w:rPr>
        <w:rFonts w:ascii="Courier New" w:hAnsi="Courier New"/>
      </w:rPr>
    </w:lvl>
    <w:lvl w:ilvl="2" w:tplc="8B4EAAD6">
      <w:numFmt w:val="bullet"/>
      <w:lvlText w:val=""/>
      <w:lvlJc w:val="left"/>
      <w:pPr>
        <w:ind w:left="2520" w:hanging="360"/>
      </w:pPr>
      <w:rPr>
        <w:rFonts w:ascii="Wingdings" w:hAnsi="Wingdings"/>
      </w:rPr>
    </w:lvl>
    <w:lvl w:ilvl="3" w:tplc="3D82053A">
      <w:numFmt w:val="bullet"/>
      <w:lvlText w:val=""/>
      <w:lvlJc w:val="left"/>
      <w:pPr>
        <w:ind w:left="3240" w:hanging="360"/>
      </w:pPr>
      <w:rPr>
        <w:rFonts w:ascii="Symbol" w:hAnsi="Symbol"/>
      </w:rPr>
    </w:lvl>
    <w:lvl w:ilvl="4" w:tplc="FC80647A">
      <w:numFmt w:val="bullet"/>
      <w:lvlText w:val="o"/>
      <w:lvlJc w:val="left"/>
      <w:pPr>
        <w:ind w:left="3960" w:hanging="360"/>
      </w:pPr>
      <w:rPr>
        <w:rFonts w:ascii="Courier New" w:hAnsi="Courier New"/>
      </w:rPr>
    </w:lvl>
    <w:lvl w:ilvl="5" w:tplc="F5069708">
      <w:numFmt w:val="bullet"/>
      <w:lvlText w:val=""/>
      <w:lvlJc w:val="left"/>
      <w:pPr>
        <w:ind w:left="4680" w:hanging="360"/>
      </w:pPr>
      <w:rPr>
        <w:rFonts w:ascii="Wingdings" w:hAnsi="Wingdings"/>
      </w:rPr>
    </w:lvl>
    <w:lvl w:ilvl="6" w:tplc="78FE489E">
      <w:numFmt w:val="bullet"/>
      <w:lvlText w:val=""/>
      <w:lvlJc w:val="left"/>
      <w:pPr>
        <w:ind w:left="5400" w:hanging="360"/>
      </w:pPr>
      <w:rPr>
        <w:rFonts w:ascii="Symbol" w:hAnsi="Symbol"/>
      </w:rPr>
    </w:lvl>
    <w:lvl w:ilvl="7" w:tplc="3398ACA2">
      <w:numFmt w:val="bullet"/>
      <w:lvlText w:val="o"/>
      <w:lvlJc w:val="left"/>
      <w:pPr>
        <w:ind w:left="6120" w:hanging="360"/>
      </w:pPr>
      <w:rPr>
        <w:rFonts w:ascii="Courier New" w:hAnsi="Courier New"/>
      </w:rPr>
    </w:lvl>
    <w:lvl w:ilvl="8" w:tplc="77602150">
      <w:numFmt w:val="bullet"/>
      <w:lvlText w:val=""/>
      <w:lvlJc w:val="left"/>
      <w:pPr>
        <w:ind w:left="6840" w:hanging="360"/>
      </w:pPr>
      <w:rPr>
        <w:rFonts w:ascii="Wingdings" w:hAnsi="Wingdings"/>
      </w:rPr>
    </w:lvl>
  </w:abstractNum>
  <w:abstractNum w:abstractNumId="10" w15:restartNumberingAfterBreak="0">
    <w:nsid w:val="21B25A44"/>
    <w:multiLevelType w:val="hybridMultilevel"/>
    <w:tmpl w:val="3EE2E94A"/>
    <w:lvl w:ilvl="0" w:tplc="7652C828">
      <w:numFmt w:val="bullet"/>
      <w:lvlText w:val=""/>
      <w:lvlJc w:val="left"/>
      <w:pPr>
        <w:ind w:left="720" w:hanging="360"/>
      </w:pPr>
      <w:rPr>
        <w:rFonts w:ascii="Symbol" w:hAnsi="Symbol"/>
      </w:rPr>
    </w:lvl>
    <w:lvl w:ilvl="1" w:tplc="39B43392">
      <w:numFmt w:val="bullet"/>
      <w:lvlText w:val="o"/>
      <w:lvlJc w:val="left"/>
      <w:pPr>
        <w:ind w:left="1440" w:hanging="360"/>
      </w:pPr>
      <w:rPr>
        <w:rFonts w:ascii="Courier New" w:hAnsi="Courier New"/>
      </w:rPr>
    </w:lvl>
    <w:lvl w:ilvl="2" w:tplc="F8684832">
      <w:numFmt w:val="bullet"/>
      <w:lvlText w:val=""/>
      <w:lvlJc w:val="left"/>
      <w:pPr>
        <w:ind w:left="2160" w:hanging="360"/>
      </w:pPr>
      <w:rPr>
        <w:rFonts w:ascii="Wingdings" w:hAnsi="Wingdings"/>
      </w:rPr>
    </w:lvl>
    <w:lvl w:ilvl="3" w:tplc="2F38F7A2">
      <w:numFmt w:val="bullet"/>
      <w:lvlText w:val=""/>
      <w:lvlJc w:val="left"/>
      <w:pPr>
        <w:ind w:left="2880" w:hanging="360"/>
      </w:pPr>
      <w:rPr>
        <w:rFonts w:ascii="Symbol" w:hAnsi="Symbol"/>
      </w:rPr>
    </w:lvl>
    <w:lvl w:ilvl="4" w:tplc="C400DFEC">
      <w:numFmt w:val="bullet"/>
      <w:lvlText w:val="o"/>
      <w:lvlJc w:val="left"/>
      <w:pPr>
        <w:ind w:left="3600" w:hanging="360"/>
      </w:pPr>
      <w:rPr>
        <w:rFonts w:ascii="Courier New" w:hAnsi="Courier New"/>
      </w:rPr>
    </w:lvl>
    <w:lvl w:ilvl="5" w:tplc="E520C1E4">
      <w:numFmt w:val="bullet"/>
      <w:lvlText w:val=""/>
      <w:lvlJc w:val="left"/>
      <w:pPr>
        <w:ind w:left="4320" w:hanging="360"/>
      </w:pPr>
      <w:rPr>
        <w:rFonts w:ascii="Wingdings" w:hAnsi="Wingdings"/>
      </w:rPr>
    </w:lvl>
    <w:lvl w:ilvl="6" w:tplc="F63ABB86">
      <w:numFmt w:val="bullet"/>
      <w:lvlText w:val=""/>
      <w:lvlJc w:val="left"/>
      <w:pPr>
        <w:ind w:left="5040" w:hanging="360"/>
      </w:pPr>
      <w:rPr>
        <w:rFonts w:ascii="Symbol" w:hAnsi="Symbol"/>
      </w:rPr>
    </w:lvl>
    <w:lvl w:ilvl="7" w:tplc="8C368BFE">
      <w:numFmt w:val="bullet"/>
      <w:lvlText w:val="o"/>
      <w:lvlJc w:val="left"/>
      <w:pPr>
        <w:ind w:left="5760" w:hanging="360"/>
      </w:pPr>
      <w:rPr>
        <w:rFonts w:ascii="Courier New" w:hAnsi="Courier New"/>
      </w:rPr>
    </w:lvl>
    <w:lvl w:ilvl="8" w:tplc="0C6035D8">
      <w:numFmt w:val="bullet"/>
      <w:lvlText w:val=""/>
      <w:lvlJc w:val="left"/>
      <w:pPr>
        <w:ind w:left="6480" w:hanging="360"/>
      </w:pPr>
      <w:rPr>
        <w:rFonts w:ascii="Wingdings" w:hAnsi="Wingdings"/>
      </w:rPr>
    </w:lvl>
  </w:abstractNum>
  <w:abstractNum w:abstractNumId="11" w15:restartNumberingAfterBreak="0">
    <w:nsid w:val="2D2F16D9"/>
    <w:multiLevelType w:val="singleLevel"/>
    <w:tmpl w:val="5A9C8804"/>
    <w:lvl w:ilvl="0">
      <w:numFmt w:val="bullet"/>
      <w:lvlText w:val=""/>
      <w:lvlJc w:val="left"/>
      <w:pPr>
        <w:ind w:left="360" w:hanging="288"/>
      </w:pPr>
      <w:rPr>
        <w:rFonts w:ascii="Symbol" w:hAnsi="Symbol"/>
      </w:rPr>
    </w:lvl>
  </w:abstractNum>
  <w:abstractNum w:abstractNumId="12" w15:restartNumberingAfterBreak="0">
    <w:nsid w:val="32800BA6"/>
    <w:multiLevelType w:val="singleLevel"/>
    <w:tmpl w:val="37F87C8A"/>
    <w:lvl w:ilvl="0">
      <w:numFmt w:val="bullet"/>
      <w:lvlText w:val=""/>
      <w:lvlJc w:val="left"/>
      <w:pPr>
        <w:ind w:left="360" w:hanging="288"/>
      </w:pPr>
      <w:rPr>
        <w:rFonts w:ascii="Symbol" w:hAnsi="Symbol"/>
      </w:rPr>
    </w:lvl>
  </w:abstractNum>
  <w:abstractNum w:abstractNumId="13" w15:restartNumberingAfterBreak="0">
    <w:nsid w:val="414D5901"/>
    <w:multiLevelType w:val="singleLevel"/>
    <w:tmpl w:val="66D21E6A"/>
    <w:lvl w:ilvl="0">
      <w:numFmt w:val="bullet"/>
      <w:lvlText w:val=""/>
      <w:lvlJc w:val="left"/>
      <w:pPr>
        <w:ind w:left="360" w:hanging="288"/>
      </w:pPr>
      <w:rPr>
        <w:rFonts w:ascii="Symbol" w:hAnsi="Symbol"/>
      </w:rPr>
    </w:lvl>
  </w:abstractNum>
  <w:abstractNum w:abstractNumId="14" w15:restartNumberingAfterBreak="0">
    <w:nsid w:val="47671019"/>
    <w:multiLevelType w:val="hybridMultilevel"/>
    <w:tmpl w:val="0809001D"/>
    <w:lvl w:ilvl="0" w:tplc="8A067332">
      <w:start w:val="1"/>
      <w:numFmt w:val="decimal"/>
      <w:lvlText w:val="%1)"/>
      <w:lvlJc w:val="left"/>
      <w:pPr>
        <w:ind w:left="360" w:hanging="360"/>
      </w:pPr>
    </w:lvl>
    <w:lvl w:ilvl="1" w:tplc="D922B038">
      <w:start w:val="1"/>
      <w:numFmt w:val="lowerLetter"/>
      <w:lvlText w:val="%2)"/>
      <w:lvlJc w:val="left"/>
      <w:pPr>
        <w:ind w:left="720" w:hanging="360"/>
      </w:pPr>
    </w:lvl>
    <w:lvl w:ilvl="2" w:tplc="C30421D4">
      <w:start w:val="1"/>
      <w:numFmt w:val="lowerRoman"/>
      <w:lvlText w:val="%3)"/>
      <w:lvlJc w:val="left"/>
      <w:pPr>
        <w:ind w:left="1080" w:hanging="360"/>
      </w:pPr>
    </w:lvl>
    <w:lvl w:ilvl="3" w:tplc="2A9275BC">
      <w:start w:val="1"/>
      <w:numFmt w:val="decimal"/>
      <w:lvlText w:val="(%4)"/>
      <w:lvlJc w:val="left"/>
      <w:pPr>
        <w:ind w:left="1440" w:hanging="360"/>
      </w:pPr>
    </w:lvl>
    <w:lvl w:ilvl="4" w:tplc="2F7C21EA">
      <w:start w:val="1"/>
      <w:numFmt w:val="lowerLetter"/>
      <w:lvlText w:val="(%5)"/>
      <w:lvlJc w:val="left"/>
      <w:pPr>
        <w:ind w:left="1800" w:hanging="360"/>
      </w:pPr>
    </w:lvl>
    <w:lvl w:ilvl="5" w:tplc="86DAC53A">
      <w:start w:val="1"/>
      <w:numFmt w:val="lowerRoman"/>
      <w:lvlText w:val="(%6)"/>
      <w:lvlJc w:val="left"/>
      <w:pPr>
        <w:ind w:left="2160" w:hanging="360"/>
      </w:pPr>
    </w:lvl>
    <w:lvl w:ilvl="6" w:tplc="D5E2EEB8">
      <w:start w:val="1"/>
      <w:numFmt w:val="decimal"/>
      <w:lvlText w:val="%7."/>
      <w:lvlJc w:val="left"/>
      <w:pPr>
        <w:ind w:left="2520" w:hanging="360"/>
      </w:pPr>
    </w:lvl>
    <w:lvl w:ilvl="7" w:tplc="A3DA9204">
      <w:start w:val="1"/>
      <w:numFmt w:val="lowerLetter"/>
      <w:lvlText w:val="%8."/>
      <w:lvlJc w:val="left"/>
      <w:pPr>
        <w:ind w:left="2880" w:hanging="360"/>
      </w:pPr>
    </w:lvl>
    <w:lvl w:ilvl="8" w:tplc="46721238">
      <w:start w:val="1"/>
      <w:numFmt w:val="lowerRoman"/>
      <w:lvlText w:val="%9."/>
      <w:lvlJc w:val="left"/>
      <w:pPr>
        <w:ind w:left="3240" w:hanging="360"/>
      </w:pPr>
    </w:lvl>
  </w:abstractNum>
  <w:abstractNum w:abstractNumId="15" w15:restartNumberingAfterBreak="0">
    <w:nsid w:val="4BBC2C15"/>
    <w:multiLevelType w:val="hybridMultilevel"/>
    <w:tmpl w:val="DA822B42"/>
    <w:lvl w:ilvl="0" w:tplc="0542EDC6">
      <w:start w:val="1"/>
      <w:numFmt w:val="decimal"/>
      <w:lvlText w:val="%1."/>
      <w:lvlJc w:val="left"/>
      <w:pPr>
        <w:ind w:left="720" w:hanging="360"/>
      </w:pPr>
    </w:lvl>
    <w:lvl w:ilvl="1" w:tplc="8AA0A1F2">
      <w:start w:val="1"/>
      <w:numFmt w:val="decimal"/>
      <w:lvlText w:val="%2."/>
      <w:lvlJc w:val="left"/>
      <w:pPr>
        <w:ind w:left="1440" w:hanging="1080"/>
      </w:pPr>
    </w:lvl>
    <w:lvl w:ilvl="2" w:tplc="5FC44E06">
      <w:start w:val="1"/>
      <w:numFmt w:val="decimal"/>
      <w:lvlText w:val="%3."/>
      <w:lvlJc w:val="left"/>
      <w:pPr>
        <w:ind w:left="2160" w:hanging="1980"/>
      </w:pPr>
    </w:lvl>
    <w:lvl w:ilvl="3" w:tplc="8FC04F36">
      <w:start w:val="1"/>
      <w:numFmt w:val="decimal"/>
      <w:lvlText w:val="%4."/>
      <w:lvlJc w:val="left"/>
      <w:pPr>
        <w:ind w:left="2880" w:hanging="2520"/>
      </w:pPr>
    </w:lvl>
    <w:lvl w:ilvl="4" w:tplc="4324274C">
      <w:start w:val="1"/>
      <w:numFmt w:val="decimal"/>
      <w:lvlText w:val="%5."/>
      <w:lvlJc w:val="left"/>
      <w:pPr>
        <w:ind w:left="3600" w:hanging="3240"/>
      </w:pPr>
    </w:lvl>
    <w:lvl w:ilvl="5" w:tplc="F5182E5A">
      <w:start w:val="1"/>
      <w:numFmt w:val="decimal"/>
      <w:lvlText w:val="%6."/>
      <w:lvlJc w:val="left"/>
      <w:pPr>
        <w:ind w:left="4320" w:hanging="4140"/>
      </w:pPr>
    </w:lvl>
    <w:lvl w:ilvl="6" w:tplc="A40AA8A2">
      <w:start w:val="1"/>
      <w:numFmt w:val="decimal"/>
      <w:lvlText w:val="%7."/>
      <w:lvlJc w:val="left"/>
      <w:pPr>
        <w:ind w:left="5040" w:hanging="4680"/>
      </w:pPr>
    </w:lvl>
    <w:lvl w:ilvl="7" w:tplc="E54403AC">
      <w:start w:val="1"/>
      <w:numFmt w:val="decimal"/>
      <w:lvlText w:val="%8."/>
      <w:lvlJc w:val="left"/>
      <w:pPr>
        <w:ind w:left="5760" w:hanging="5400"/>
      </w:pPr>
    </w:lvl>
    <w:lvl w:ilvl="8" w:tplc="56068E22">
      <w:start w:val="1"/>
      <w:numFmt w:val="decimal"/>
      <w:lvlText w:val="%9."/>
      <w:lvlJc w:val="left"/>
      <w:pPr>
        <w:ind w:left="6480" w:hanging="6300"/>
      </w:pPr>
    </w:lvl>
  </w:abstractNum>
  <w:abstractNum w:abstractNumId="16" w15:restartNumberingAfterBreak="0">
    <w:nsid w:val="4EC34BE1"/>
    <w:multiLevelType w:val="hybridMultilevel"/>
    <w:tmpl w:val="71124128"/>
    <w:lvl w:ilvl="0" w:tplc="EFAAE02E">
      <w:numFmt w:val="bullet"/>
      <w:lvlText w:val=""/>
      <w:lvlJc w:val="left"/>
      <w:pPr>
        <w:ind w:left="720" w:hanging="360"/>
      </w:pPr>
      <w:rPr>
        <w:rFonts w:ascii="Symbol" w:hAnsi="Symbol"/>
      </w:rPr>
    </w:lvl>
    <w:lvl w:ilvl="1" w:tplc="D3FE4138">
      <w:numFmt w:val="bullet"/>
      <w:lvlText w:val="o"/>
      <w:lvlJc w:val="left"/>
      <w:pPr>
        <w:ind w:left="1440" w:hanging="360"/>
      </w:pPr>
      <w:rPr>
        <w:rFonts w:ascii="Courier New" w:hAnsi="Courier New"/>
      </w:rPr>
    </w:lvl>
    <w:lvl w:ilvl="2" w:tplc="5D12F580">
      <w:numFmt w:val="bullet"/>
      <w:lvlText w:val=""/>
      <w:lvlJc w:val="left"/>
      <w:pPr>
        <w:ind w:left="2160" w:hanging="360"/>
      </w:pPr>
      <w:rPr>
        <w:rFonts w:ascii="Wingdings" w:hAnsi="Wingdings"/>
      </w:rPr>
    </w:lvl>
    <w:lvl w:ilvl="3" w:tplc="F10C143A">
      <w:numFmt w:val="bullet"/>
      <w:lvlText w:val=""/>
      <w:lvlJc w:val="left"/>
      <w:pPr>
        <w:ind w:left="2880" w:hanging="360"/>
      </w:pPr>
      <w:rPr>
        <w:rFonts w:ascii="Symbol" w:hAnsi="Symbol"/>
      </w:rPr>
    </w:lvl>
    <w:lvl w:ilvl="4" w:tplc="3B58099E">
      <w:numFmt w:val="bullet"/>
      <w:lvlText w:val="o"/>
      <w:lvlJc w:val="left"/>
      <w:pPr>
        <w:ind w:left="3600" w:hanging="360"/>
      </w:pPr>
      <w:rPr>
        <w:rFonts w:ascii="Courier New" w:hAnsi="Courier New"/>
      </w:rPr>
    </w:lvl>
    <w:lvl w:ilvl="5" w:tplc="31BEA15C">
      <w:numFmt w:val="bullet"/>
      <w:lvlText w:val=""/>
      <w:lvlJc w:val="left"/>
      <w:pPr>
        <w:ind w:left="4320" w:hanging="360"/>
      </w:pPr>
      <w:rPr>
        <w:rFonts w:ascii="Wingdings" w:hAnsi="Wingdings"/>
      </w:rPr>
    </w:lvl>
    <w:lvl w:ilvl="6" w:tplc="D67CF246">
      <w:numFmt w:val="bullet"/>
      <w:lvlText w:val=""/>
      <w:lvlJc w:val="left"/>
      <w:pPr>
        <w:ind w:left="5040" w:hanging="360"/>
      </w:pPr>
      <w:rPr>
        <w:rFonts w:ascii="Symbol" w:hAnsi="Symbol"/>
      </w:rPr>
    </w:lvl>
    <w:lvl w:ilvl="7" w:tplc="09D817A0">
      <w:numFmt w:val="bullet"/>
      <w:lvlText w:val="o"/>
      <w:lvlJc w:val="left"/>
      <w:pPr>
        <w:ind w:left="5760" w:hanging="360"/>
      </w:pPr>
      <w:rPr>
        <w:rFonts w:ascii="Courier New" w:hAnsi="Courier New"/>
      </w:rPr>
    </w:lvl>
    <w:lvl w:ilvl="8" w:tplc="B2F8617E">
      <w:numFmt w:val="bullet"/>
      <w:lvlText w:val=""/>
      <w:lvlJc w:val="left"/>
      <w:pPr>
        <w:ind w:left="6480" w:hanging="360"/>
      </w:pPr>
      <w:rPr>
        <w:rFonts w:ascii="Wingdings" w:hAnsi="Wingdings"/>
      </w:rPr>
    </w:lvl>
  </w:abstractNum>
  <w:abstractNum w:abstractNumId="17" w15:restartNumberingAfterBreak="0">
    <w:nsid w:val="50686390"/>
    <w:multiLevelType w:val="hybridMultilevel"/>
    <w:tmpl w:val="D460223A"/>
    <w:lvl w:ilvl="0" w:tplc="7D48D74C">
      <w:start w:val="1"/>
      <w:numFmt w:val="decimal"/>
      <w:lvlText w:val="%1."/>
      <w:lvlJc w:val="left"/>
      <w:pPr>
        <w:ind w:left="720" w:hanging="360"/>
      </w:pPr>
    </w:lvl>
    <w:lvl w:ilvl="1" w:tplc="37785526">
      <w:start w:val="1"/>
      <w:numFmt w:val="lowerLetter"/>
      <w:lvlText w:val="%2."/>
      <w:lvlJc w:val="left"/>
      <w:pPr>
        <w:ind w:left="1440" w:hanging="360"/>
      </w:pPr>
    </w:lvl>
    <w:lvl w:ilvl="2" w:tplc="09B60A32">
      <w:start w:val="1"/>
      <w:numFmt w:val="lowerRoman"/>
      <w:lvlText w:val="%3."/>
      <w:lvlJc w:val="right"/>
      <w:pPr>
        <w:ind w:left="2160" w:hanging="180"/>
      </w:pPr>
    </w:lvl>
    <w:lvl w:ilvl="3" w:tplc="79F071EC">
      <w:start w:val="1"/>
      <w:numFmt w:val="decimal"/>
      <w:lvlText w:val="%4."/>
      <w:lvlJc w:val="left"/>
      <w:pPr>
        <w:ind w:left="2880" w:hanging="360"/>
      </w:pPr>
    </w:lvl>
    <w:lvl w:ilvl="4" w:tplc="04B4E08E">
      <w:start w:val="1"/>
      <w:numFmt w:val="lowerLetter"/>
      <w:lvlText w:val="%5."/>
      <w:lvlJc w:val="left"/>
      <w:pPr>
        <w:ind w:left="3600" w:hanging="360"/>
      </w:pPr>
    </w:lvl>
    <w:lvl w:ilvl="5" w:tplc="27CC31D6">
      <w:start w:val="1"/>
      <w:numFmt w:val="lowerRoman"/>
      <w:lvlText w:val="%6."/>
      <w:lvlJc w:val="right"/>
      <w:pPr>
        <w:ind w:left="4320" w:hanging="180"/>
      </w:pPr>
    </w:lvl>
    <w:lvl w:ilvl="6" w:tplc="31D07260">
      <w:start w:val="1"/>
      <w:numFmt w:val="decimal"/>
      <w:lvlText w:val="%7."/>
      <w:lvlJc w:val="left"/>
      <w:pPr>
        <w:ind w:left="5040" w:hanging="360"/>
      </w:pPr>
    </w:lvl>
    <w:lvl w:ilvl="7" w:tplc="60E0D198">
      <w:start w:val="1"/>
      <w:numFmt w:val="lowerLetter"/>
      <w:lvlText w:val="%8."/>
      <w:lvlJc w:val="left"/>
      <w:pPr>
        <w:ind w:left="5760" w:hanging="360"/>
      </w:pPr>
    </w:lvl>
    <w:lvl w:ilvl="8" w:tplc="749CED7E">
      <w:start w:val="1"/>
      <w:numFmt w:val="lowerRoman"/>
      <w:lvlText w:val="%9."/>
      <w:lvlJc w:val="right"/>
      <w:pPr>
        <w:ind w:left="6480" w:hanging="180"/>
      </w:pPr>
    </w:lvl>
  </w:abstractNum>
  <w:abstractNum w:abstractNumId="18" w15:restartNumberingAfterBreak="0">
    <w:nsid w:val="6C4B3560"/>
    <w:multiLevelType w:val="hybridMultilevel"/>
    <w:tmpl w:val="BD02AF50"/>
    <w:lvl w:ilvl="0" w:tplc="36141DB6">
      <w:numFmt w:val="bullet"/>
      <w:lvlText w:val=""/>
      <w:lvlJc w:val="left"/>
      <w:pPr>
        <w:ind w:left="540" w:hanging="360"/>
      </w:pPr>
      <w:rPr>
        <w:rFonts w:ascii="Symbol" w:hAnsi="Symbol"/>
      </w:rPr>
    </w:lvl>
    <w:lvl w:ilvl="1" w:tplc="2FFE690A">
      <w:numFmt w:val="bullet"/>
      <w:lvlText w:val="o"/>
      <w:lvlJc w:val="left"/>
      <w:pPr>
        <w:ind w:left="1260" w:hanging="360"/>
      </w:pPr>
      <w:rPr>
        <w:rFonts w:ascii="Courier New" w:hAnsi="Courier New"/>
      </w:rPr>
    </w:lvl>
    <w:lvl w:ilvl="2" w:tplc="0F5EF3A8">
      <w:numFmt w:val="bullet"/>
      <w:lvlText w:val=""/>
      <w:lvlJc w:val="left"/>
      <w:pPr>
        <w:ind w:left="1980" w:hanging="360"/>
      </w:pPr>
      <w:rPr>
        <w:rFonts w:ascii="Wingdings" w:hAnsi="Wingdings"/>
      </w:rPr>
    </w:lvl>
    <w:lvl w:ilvl="3" w:tplc="15CCA998">
      <w:numFmt w:val="bullet"/>
      <w:lvlText w:val=""/>
      <w:lvlJc w:val="left"/>
      <w:pPr>
        <w:ind w:left="2700" w:hanging="360"/>
      </w:pPr>
      <w:rPr>
        <w:rFonts w:ascii="Symbol" w:hAnsi="Symbol"/>
      </w:rPr>
    </w:lvl>
    <w:lvl w:ilvl="4" w:tplc="ACFCD5FC">
      <w:numFmt w:val="bullet"/>
      <w:lvlText w:val="o"/>
      <w:lvlJc w:val="left"/>
      <w:pPr>
        <w:ind w:left="3420" w:hanging="360"/>
      </w:pPr>
      <w:rPr>
        <w:rFonts w:ascii="Courier New" w:hAnsi="Courier New"/>
      </w:rPr>
    </w:lvl>
    <w:lvl w:ilvl="5" w:tplc="A6185004">
      <w:numFmt w:val="bullet"/>
      <w:lvlText w:val=""/>
      <w:lvlJc w:val="left"/>
      <w:pPr>
        <w:ind w:left="4140" w:hanging="360"/>
      </w:pPr>
      <w:rPr>
        <w:rFonts w:ascii="Wingdings" w:hAnsi="Wingdings"/>
      </w:rPr>
    </w:lvl>
    <w:lvl w:ilvl="6" w:tplc="37C61146">
      <w:numFmt w:val="bullet"/>
      <w:lvlText w:val=""/>
      <w:lvlJc w:val="left"/>
      <w:pPr>
        <w:ind w:left="4860" w:hanging="360"/>
      </w:pPr>
      <w:rPr>
        <w:rFonts w:ascii="Symbol" w:hAnsi="Symbol"/>
      </w:rPr>
    </w:lvl>
    <w:lvl w:ilvl="7" w:tplc="105C208C">
      <w:numFmt w:val="bullet"/>
      <w:lvlText w:val="o"/>
      <w:lvlJc w:val="left"/>
      <w:pPr>
        <w:ind w:left="5580" w:hanging="360"/>
      </w:pPr>
      <w:rPr>
        <w:rFonts w:ascii="Courier New" w:hAnsi="Courier New"/>
      </w:rPr>
    </w:lvl>
    <w:lvl w:ilvl="8" w:tplc="27066462">
      <w:numFmt w:val="bullet"/>
      <w:lvlText w:val=""/>
      <w:lvlJc w:val="left"/>
      <w:pPr>
        <w:ind w:left="6300" w:hanging="360"/>
      </w:pPr>
      <w:rPr>
        <w:rFonts w:ascii="Wingdings" w:hAnsi="Wingdings"/>
      </w:rPr>
    </w:lvl>
  </w:abstractNum>
  <w:abstractNum w:abstractNumId="19" w15:restartNumberingAfterBreak="0">
    <w:nsid w:val="6CAF3B4C"/>
    <w:multiLevelType w:val="hybridMultilevel"/>
    <w:tmpl w:val="455E934E"/>
    <w:lvl w:ilvl="0" w:tplc="BF76A8B8">
      <w:numFmt w:val="bullet"/>
      <w:lvlText w:val=""/>
      <w:lvlJc w:val="left"/>
      <w:pPr>
        <w:ind w:left="1080" w:hanging="360"/>
      </w:pPr>
      <w:rPr>
        <w:rFonts w:ascii="Symbol" w:hAnsi="Symbol"/>
      </w:rPr>
    </w:lvl>
    <w:lvl w:ilvl="1" w:tplc="20547DF6">
      <w:numFmt w:val="bullet"/>
      <w:lvlText w:val="o"/>
      <w:lvlJc w:val="left"/>
      <w:pPr>
        <w:ind w:left="1800" w:hanging="360"/>
      </w:pPr>
      <w:rPr>
        <w:rFonts w:ascii="Courier New" w:hAnsi="Courier New"/>
      </w:rPr>
    </w:lvl>
    <w:lvl w:ilvl="2" w:tplc="AD200F2C">
      <w:numFmt w:val="bullet"/>
      <w:lvlText w:val=""/>
      <w:lvlJc w:val="left"/>
      <w:pPr>
        <w:ind w:left="2520" w:hanging="360"/>
      </w:pPr>
      <w:rPr>
        <w:rFonts w:ascii="Wingdings" w:hAnsi="Wingdings"/>
      </w:rPr>
    </w:lvl>
    <w:lvl w:ilvl="3" w:tplc="88C0B208">
      <w:numFmt w:val="bullet"/>
      <w:lvlText w:val=""/>
      <w:lvlJc w:val="left"/>
      <w:pPr>
        <w:ind w:left="3240" w:hanging="360"/>
      </w:pPr>
      <w:rPr>
        <w:rFonts w:ascii="Symbol" w:hAnsi="Symbol"/>
      </w:rPr>
    </w:lvl>
    <w:lvl w:ilvl="4" w:tplc="637C19C8">
      <w:numFmt w:val="bullet"/>
      <w:lvlText w:val="o"/>
      <w:lvlJc w:val="left"/>
      <w:pPr>
        <w:ind w:left="3960" w:hanging="360"/>
      </w:pPr>
      <w:rPr>
        <w:rFonts w:ascii="Courier New" w:hAnsi="Courier New"/>
      </w:rPr>
    </w:lvl>
    <w:lvl w:ilvl="5" w:tplc="76AC2F34">
      <w:numFmt w:val="bullet"/>
      <w:lvlText w:val=""/>
      <w:lvlJc w:val="left"/>
      <w:pPr>
        <w:ind w:left="4680" w:hanging="360"/>
      </w:pPr>
      <w:rPr>
        <w:rFonts w:ascii="Wingdings" w:hAnsi="Wingdings"/>
      </w:rPr>
    </w:lvl>
    <w:lvl w:ilvl="6" w:tplc="45B0FC8A">
      <w:numFmt w:val="bullet"/>
      <w:lvlText w:val=""/>
      <w:lvlJc w:val="left"/>
      <w:pPr>
        <w:ind w:left="5400" w:hanging="360"/>
      </w:pPr>
      <w:rPr>
        <w:rFonts w:ascii="Symbol" w:hAnsi="Symbol"/>
      </w:rPr>
    </w:lvl>
    <w:lvl w:ilvl="7" w:tplc="ED86BA34">
      <w:numFmt w:val="bullet"/>
      <w:lvlText w:val="o"/>
      <w:lvlJc w:val="left"/>
      <w:pPr>
        <w:ind w:left="6120" w:hanging="360"/>
      </w:pPr>
      <w:rPr>
        <w:rFonts w:ascii="Courier New" w:hAnsi="Courier New"/>
      </w:rPr>
    </w:lvl>
    <w:lvl w:ilvl="8" w:tplc="1034D79A">
      <w:numFmt w:val="bullet"/>
      <w:lvlText w:val=""/>
      <w:lvlJc w:val="left"/>
      <w:pPr>
        <w:ind w:left="6840" w:hanging="360"/>
      </w:pPr>
      <w:rPr>
        <w:rFonts w:ascii="Wingdings" w:hAnsi="Wingdings"/>
      </w:rPr>
    </w:lvl>
  </w:abstractNum>
  <w:abstractNum w:abstractNumId="20" w15:restartNumberingAfterBreak="0">
    <w:nsid w:val="6F392464"/>
    <w:multiLevelType w:val="hybridMultilevel"/>
    <w:tmpl w:val="A4E0941A"/>
    <w:lvl w:ilvl="0" w:tplc="21AAD22C">
      <w:start w:val="1"/>
      <w:numFmt w:val="lowerRoman"/>
      <w:lvlText w:val="(%1)"/>
      <w:lvlJc w:val="left"/>
      <w:pPr>
        <w:ind w:left="540" w:hanging="720"/>
      </w:pPr>
      <w:rPr>
        <w:sz w:val="20"/>
      </w:rPr>
    </w:lvl>
    <w:lvl w:ilvl="1" w:tplc="723AB93A">
      <w:start w:val="1"/>
      <w:numFmt w:val="lowerLetter"/>
      <w:lvlText w:val="%2."/>
      <w:lvlJc w:val="left"/>
      <w:pPr>
        <w:ind w:left="900" w:hanging="360"/>
      </w:pPr>
    </w:lvl>
    <w:lvl w:ilvl="2" w:tplc="67F82B2C">
      <w:start w:val="1"/>
      <w:numFmt w:val="lowerRoman"/>
      <w:lvlText w:val="%3."/>
      <w:lvlJc w:val="right"/>
      <w:pPr>
        <w:ind w:left="1620" w:hanging="180"/>
      </w:pPr>
    </w:lvl>
    <w:lvl w:ilvl="3" w:tplc="AE14B232">
      <w:start w:val="1"/>
      <w:numFmt w:val="decimal"/>
      <w:lvlText w:val="%4."/>
      <w:lvlJc w:val="left"/>
      <w:pPr>
        <w:ind w:left="2340" w:hanging="360"/>
      </w:pPr>
    </w:lvl>
    <w:lvl w:ilvl="4" w:tplc="BB6EEF30">
      <w:start w:val="1"/>
      <w:numFmt w:val="lowerLetter"/>
      <w:lvlText w:val="%5."/>
      <w:lvlJc w:val="left"/>
      <w:pPr>
        <w:ind w:left="3060" w:hanging="360"/>
      </w:pPr>
    </w:lvl>
    <w:lvl w:ilvl="5" w:tplc="C950B0D2">
      <w:start w:val="1"/>
      <w:numFmt w:val="lowerRoman"/>
      <w:lvlText w:val="%6."/>
      <w:lvlJc w:val="right"/>
      <w:pPr>
        <w:ind w:left="3780" w:hanging="180"/>
      </w:pPr>
    </w:lvl>
    <w:lvl w:ilvl="6" w:tplc="17F2F060">
      <w:start w:val="1"/>
      <w:numFmt w:val="decimal"/>
      <w:lvlText w:val="%7."/>
      <w:lvlJc w:val="left"/>
      <w:pPr>
        <w:ind w:left="4500" w:hanging="360"/>
      </w:pPr>
    </w:lvl>
    <w:lvl w:ilvl="7" w:tplc="44945CA8">
      <w:start w:val="1"/>
      <w:numFmt w:val="lowerLetter"/>
      <w:lvlText w:val="%8."/>
      <w:lvlJc w:val="left"/>
      <w:pPr>
        <w:ind w:left="5220" w:hanging="360"/>
      </w:pPr>
    </w:lvl>
    <w:lvl w:ilvl="8" w:tplc="2CA6685A">
      <w:start w:val="1"/>
      <w:numFmt w:val="lowerRoman"/>
      <w:lvlText w:val="%9."/>
      <w:lvlJc w:val="right"/>
      <w:pPr>
        <w:ind w:left="5940" w:hanging="180"/>
      </w:pPr>
    </w:lvl>
  </w:abstractNum>
  <w:abstractNum w:abstractNumId="21" w15:restartNumberingAfterBreak="0">
    <w:nsid w:val="6FF26A16"/>
    <w:multiLevelType w:val="hybridMultilevel"/>
    <w:tmpl w:val="5D1A09D2"/>
    <w:lvl w:ilvl="0" w:tplc="397CA1B2">
      <w:numFmt w:val="bullet"/>
      <w:lvlText w:val=""/>
      <w:lvlJc w:val="left"/>
      <w:pPr>
        <w:ind w:left="720" w:hanging="360"/>
      </w:pPr>
      <w:rPr>
        <w:rFonts w:ascii="Symbol" w:hAnsi="Symbol"/>
      </w:rPr>
    </w:lvl>
    <w:lvl w:ilvl="1" w:tplc="D12895B6">
      <w:numFmt w:val="bullet"/>
      <w:lvlText w:val="o"/>
      <w:lvlJc w:val="left"/>
      <w:pPr>
        <w:ind w:left="1440" w:hanging="360"/>
      </w:pPr>
      <w:rPr>
        <w:rFonts w:ascii="Courier New" w:hAnsi="Courier New"/>
      </w:rPr>
    </w:lvl>
    <w:lvl w:ilvl="2" w:tplc="E2AEF038">
      <w:numFmt w:val="bullet"/>
      <w:lvlText w:val=""/>
      <w:lvlJc w:val="left"/>
      <w:pPr>
        <w:ind w:left="2160" w:hanging="360"/>
      </w:pPr>
      <w:rPr>
        <w:rFonts w:ascii="Wingdings" w:hAnsi="Wingdings"/>
      </w:rPr>
    </w:lvl>
    <w:lvl w:ilvl="3" w:tplc="3372FE90">
      <w:numFmt w:val="bullet"/>
      <w:lvlText w:val=""/>
      <w:lvlJc w:val="left"/>
      <w:pPr>
        <w:ind w:left="2880" w:hanging="360"/>
      </w:pPr>
      <w:rPr>
        <w:rFonts w:ascii="Symbol" w:hAnsi="Symbol"/>
      </w:rPr>
    </w:lvl>
    <w:lvl w:ilvl="4" w:tplc="964A396C">
      <w:numFmt w:val="bullet"/>
      <w:lvlText w:val="o"/>
      <w:lvlJc w:val="left"/>
      <w:pPr>
        <w:ind w:left="3600" w:hanging="360"/>
      </w:pPr>
      <w:rPr>
        <w:rFonts w:ascii="Courier New" w:hAnsi="Courier New"/>
      </w:rPr>
    </w:lvl>
    <w:lvl w:ilvl="5" w:tplc="6E981D54">
      <w:numFmt w:val="bullet"/>
      <w:lvlText w:val=""/>
      <w:lvlJc w:val="left"/>
      <w:pPr>
        <w:ind w:left="4320" w:hanging="360"/>
      </w:pPr>
      <w:rPr>
        <w:rFonts w:ascii="Wingdings" w:hAnsi="Wingdings"/>
      </w:rPr>
    </w:lvl>
    <w:lvl w:ilvl="6" w:tplc="9D36CF92">
      <w:numFmt w:val="bullet"/>
      <w:lvlText w:val=""/>
      <w:lvlJc w:val="left"/>
      <w:pPr>
        <w:ind w:left="5040" w:hanging="360"/>
      </w:pPr>
      <w:rPr>
        <w:rFonts w:ascii="Symbol" w:hAnsi="Symbol"/>
      </w:rPr>
    </w:lvl>
    <w:lvl w:ilvl="7" w:tplc="D03E6ABC">
      <w:numFmt w:val="bullet"/>
      <w:lvlText w:val="o"/>
      <w:lvlJc w:val="left"/>
      <w:pPr>
        <w:ind w:left="5760" w:hanging="360"/>
      </w:pPr>
      <w:rPr>
        <w:rFonts w:ascii="Courier New" w:hAnsi="Courier New"/>
      </w:rPr>
    </w:lvl>
    <w:lvl w:ilvl="8" w:tplc="0AD87928">
      <w:numFmt w:val="bullet"/>
      <w:lvlText w:val=""/>
      <w:lvlJc w:val="left"/>
      <w:pPr>
        <w:ind w:left="6480" w:hanging="360"/>
      </w:pPr>
      <w:rPr>
        <w:rFonts w:ascii="Wingdings" w:hAnsi="Wingdings"/>
      </w:rPr>
    </w:lvl>
  </w:abstractNum>
  <w:abstractNum w:abstractNumId="22" w15:restartNumberingAfterBreak="0">
    <w:nsid w:val="702932E1"/>
    <w:multiLevelType w:val="hybridMultilevel"/>
    <w:tmpl w:val="30C43A62"/>
    <w:lvl w:ilvl="0" w:tplc="3050BA58">
      <w:numFmt w:val="bullet"/>
      <w:lvlText w:val=""/>
      <w:lvlJc w:val="left"/>
      <w:pPr>
        <w:ind w:left="720" w:hanging="360"/>
      </w:pPr>
      <w:rPr>
        <w:rFonts w:ascii="Symbol" w:hAnsi="Symbol"/>
      </w:rPr>
    </w:lvl>
    <w:lvl w:ilvl="1" w:tplc="47087B9E">
      <w:numFmt w:val="bullet"/>
      <w:lvlText w:val="o"/>
      <w:lvlJc w:val="left"/>
      <w:pPr>
        <w:ind w:left="1440" w:hanging="360"/>
      </w:pPr>
      <w:rPr>
        <w:rFonts w:ascii="Courier New" w:hAnsi="Courier New"/>
      </w:rPr>
    </w:lvl>
    <w:lvl w:ilvl="2" w:tplc="C1DA4724">
      <w:numFmt w:val="bullet"/>
      <w:lvlText w:val=""/>
      <w:lvlJc w:val="left"/>
      <w:pPr>
        <w:ind w:left="2160" w:hanging="360"/>
      </w:pPr>
      <w:rPr>
        <w:rFonts w:ascii="Wingdings" w:hAnsi="Wingdings"/>
      </w:rPr>
    </w:lvl>
    <w:lvl w:ilvl="3" w:tplc="9D262FE2">
      <w:numFmt w:val="bullet"/>
      <w:lvlText w:val=""/>
      <w:lvlJc w:val="left"/>
      <w:pPr>
        <w:ind w:left="2880" w:hanging="360"/>
      </w:pPr>
      <w:rPr>
        <w:rFonts w:ascii="Symbol" w:hAnsi="Symbol"/>
      </w:rPr>
    </w:lvl>
    <w:lvl w:ilvl="4" w:tplc="67E09508">
      <w:numFmt w:val="bullet"/>
      <w:lvlText w:val="o"/>
      <w:lvlJc w:val="left"/>
      <w:pPr>
        <w:ind w:left="3600" w:hanging="360"/>
      </w:pPr>
      <w:rPr>
        <w:rFonts w:ascii="Courier New" w:hAnsi="Courier New"/>
      </w:rPr>
    </w:lvl>
    <w:lvl w:ilvl="5" w:tplc="DEE47222">
      <w:numFmt w:val="bullet"/>
      <w:lvlText w:val=""/>
      <w:lvlJc w:val="left"/>
      <w:pPr>
        <w:ind w:left="4320" w:hanging="360"/>
      </w:pPr>
      <w:rPr>
        <w:rFonts w:ascii="Wingdings" w:hAnsi="Wingdings"/>
      </w:rPr>
    </w:lvl>
    <w:lvl w:ilvl="6" w:tplc="DFBCD830">
      <w:numFmt w:val="bullet"/>
      <w:lvlText w:val=""/>
      <w:lvlJc w:val="left"/>
      <w:pPr>
        <w:ind w:left="5040" w:hanging="360"/>
      </w:pPr>
      <w:rPr>
        <w:rFonts w:ascii="Symbol" w:hAnsi="Symbol"/>
      </w:rPr>
    </w:lvl>
    <w:lvl w:ilvl="7" w:tplc="63F41A9C">
      <w:numFmt w:val="bullet"/>
      <w:lvlText w:val="o"/>
      <w:lvlJc w:val="left"/>
      <w:pPr>
        <w:ind w:left="5760" w:hanging="360"/>
      </w:pPr>
      <w:rPr>
        <w:rFonts w:ascii="Courier New" w:hAnsi="Courier New"/>
      </w:rPr>
    </w:lvl>
    <w:lvl w:ilvl="8" w:tplc="12B4DE8C">
      <w:numFmt w:val="bullet"/>
      <w:lvlText w:val=""/>
      <w:lvlJc w:val="left"/>
      <w:pPr>
        <w:ind w:left="6480" w:hanging="360"/>
      </w:pPr>
      <w:rPr>
        <w:rFonts w:ascii="Wingdings" w:hAnsi="Wingdings"/>
      </w:rPr>
    </w:lvl>
  </w:abstractNum>
  <w:abstractNum w:abstractNumId="23" w15:restartNumberingAfterBreak="0">
    <w:nsid w:val="704963DE"/>
    <w:multiLevelType w:val="hybridMultilevel"/>
    <w:tmpl w:val="1750B39C"/>
    <w:lvl w:ilvl="0" w:tplc="E6CCC192">
      <w:numFmt w:val="bullet"/>
      <w:lvlText w:val=""/>
      <w:lvlJc w:val="left"/>
      <w:pPr>
        <w:ind w:left="1080" w:hanging="360"/>
      </w:pPr>
      <w:rPr>
        <w:rFonts w:ascii="Symbol" w:hAnsi="Symbol"/>
      </w:rPr>
    </w:lvl>
    <w:lvl w:ilvl="1" w:tplc="AC8AB896">
      <w:numFmt w:val="bullet"/>
      <w:lvlText w:val="o"/>
      <w:lvlJc w:val="left"/>
      <w:pPr>
        <w:ind w:left="1800" w:hanging="360"/>
      </w:pPr>
      <w:rPr>
        <w:rFonts w:ascii="Courier New" w:hAnsi="Courier New"/>
      </w:rPr>
    </w:lvl>
    <w:lvl w:ilvl="2" w:tplc="ED324F32">
      <w:numFmt w:val="bullet"/>
      <w:lvlText w:val=""/>
      <w:lvlJc w:val="left"/>
      <w:pPr>
        <w:ind w:left="2520" w:hanging="360"/>
      </w:pPr>
      <w:rPr>
        <w:rFonts w:ascii="Wingdings" w:hAnsi="Wingdings"/>
      </w:rPr>
    </w:lvl>
    <w:lvl w:ilvl="3" w:tplc="A48071FA">
      <w:numFmt w:val="bullet"/>
      <w:lvlText w:val=""/>
      <w:lvlJc w:val="left"/>
      <w:pPr>
        <w:ind w:left="3240" w:hanging="360"/>
      </w:pPr>
      <w:rPr>
        <w:rFonts w:ascii="Symbol" w:hAnsi="Symbol"/>
      </w:rPr>
    </w:lvl>
    <w:lvl w:ilvl="4" w:tplc="0906A5F2">
      <w:numFmt w:val="bullet"/>
      <w:lvlText w:val="o"/>
      <w:lvlJc w:val="left"/>
      <w:pPr>
        <w:ind w:left="3960" w:hanging="360"/>
      </w:pPr>
      <w:rPr>
        <w:rFonts w:ascii="Courier New" w:hAnsi="Courier New"/>
      </w:rPr>
    </w:lvl>
    <w:lvl w:ilvl="5" w:tplc="E6F49BDA">
      <w:numFmt w:val="bullet"/>
      <w:lvlText w:val=""/>
      <w:lvlJc w:val="left"/>
      <w:pPr>
        <w:ind w:left="4680" w:hanging="360"/>
      </w:pPr>
      <w:rPr>
        <w:rFonts w:ascii="Wingdings" w:hAnsi="Wingdings"/>
      </w:rPr>
    </w:lvl>
    <w:lvl w:ilvl="6" w:tplc="6F78C2AC">
      <w:numFmt w:val="bullet"/>
      <w:lvlText w:val=""/>
      <w:lvlJc w:val="left"/>
      <w:pPr>
        <w:ind w:left="5400" w:hanging="360"/>
      </w:pPr>
      <w:rPr>
        <w:rFonts w:ascii="Symbol" w:hAnsi="Symbol"/>
      </w:rPr>
    </w:lvl>
    <w:lvl w:ilvl="7" w:tplc="DBE2FA84">
      <w:numFmt w:val="bullet"/>
      <w:lvlText w:val="o"/>
      <w:lvlJc w:val="left"/>
      <w:pPr>
        <w:ind w:left="6120" w:hanging="360"/>
      </w:pPr>
      <w:rPr>
        <w:rFonts w:ascii="Courier New" w:hAnsi="Courier New"/>
      </w:rPr>
    </w:lvl>
    <w:lvl w:ilvl="8" w:tplc="4E209EEE">
      <w:numFmt w:val="bullet"/>
      <w:lvlText w:val=""/>
      <w:lvlJc w:val="left"/>
      <w:pPr>
        <w:ind w:left="6840" w:hanging="360"/>
      </w:pPr>
      <w:rPr>
        <w:rFonts w:ascii="Wingdings" w:hAnsi="Wingdings"/>
      </w:rPr>
    </w:lvl>
  </w:abstractNum>
  <w:abstractNum w:abstractNumId="24" w15:restartNumberingAfterBreak="0">
    <w:nsid w:val="7F7E5BA9"/>
    <w:multiLevelType w:val="hybridMultilevel"/>
    <w:tmpl w:val="6C080692"/>
    <w:lvl w:ilvl="0" w:tplc="4948A51A">
      <w:numFmt w:val="bullet"/>
      <w:lvlText w:val="*"/>
      <w:lvlJc w:val="left"/>
      <w:pPr>
        <w:ind w:left="540" w:hanging="360"/>
      </w:pPr>
      <w:rPr>
        <w:rFonts w:ascii="Albertus" w:hAnsi="Albertus"/>
      </w:rPr>
    </w:lvl>
    <w:lvl w:ilvl="1" w:tplc="75909C9A">
      <w:numFmt w:val="bullet"/>
      <w:lvlText w:val="o"/>
      <w:lvlJc w:val="left"/>
      <w:pPr>
        <w:ind w:left="1440" w:hanging="360"/>
      </w:pPr>
      <w:rPr>
        <w:rFonts w:ascii="Courier New" w:hAnsi="Courier New"/>
      </w:rPr>
    </w:lvl>
    <w:lvl w:ilvl="2" w:tplc="6F70A54E">
      <w:numFmt w:val="bullet"/>
      <w:lvlText w:val=""/>
      <w:lvlJc w:val="left"/>
      <w:pPr>
        <w:ind w:left="2160" w:hanging="360"/>
      </w:pPr>
      <w:rPr>
        <w:rFonts w:ascii="Wingdings" w:hAnsi="Wingdings"/>
      </w:rPr>
    </w:lvl>
    <w:lvl w:ilvl="3" w:tplc="51B60D74">
      <w:numFmt w:val="bullet"/>
      <w:lvlText w:val=""/>
      <w:lvlJc w:val="left"/>
      <w:pPr>
        <w:ind w:left="2880" w:hanging="360"/>
      </w:pPr>
      <w:rPr>
        <w:rFonts w:ascii="Symbol" w:hAnsi="Symbol"/>
      </w:rPr>
    </w:lvl>
    <w:lvl w:ilvl="4" w:tplc="6DA01A66">
      <w:numFmt w:val="bullet"/>
      <w:lvlText w:val="o"/>
      <w:lvlJc w:val="left"/>
      <w:pPr>
        <w:ind w:left="3600" w:hanging="360"/>
      </w:pPr>
      <w:rPr>
        <w:rFonts w:ascii="Courier New" w:hAnsi="Courier New"/>
      </w:rPr>
    </w:lvl>
    <w:lvl w:ilvl="5" w:tplc="FA6C9C10">
      <w:numFmt w:val="bullet"/>
      <w:lvlText w:val=""/>
      <w:lvlJc w:val="left"/>
      <w:pPr>
        <w:ind w:left="4320" w:hanging="360"/>
      </w:pPr>
      <w:rPr>
        <w:rFonts w:ascii="Wingdings" w:hAnsi="Wingdings"/>
      </w:rPr>
    </w:lvl>
    <w:lvl w:ilvl="6" w:tplc="90221010">
      <w:numFmt w:val="bullet"/>
      <w:lvlText w:val=""/>
      <w:lvlJc w:val="left"/>
      <w:pPr>
        <w:ind w:left="5040" w:hanging="360"/>
      </w:pPr>
      <w:rPr>
        <w:rFonts w:ascii="Symbol" w:hAnsi="Symbol"/>
      </w:rPr>
    </w:lvl>
    <w:lvl w:ilvl="7" w:tplc="7BC0E122">
      <w:numFmt w:val="bullet"/>
      <w:lvlText w:val="o"/>
      <w:lvlJc w:val="left"/>
      <w:pPr>
        <w:ind w:left="5760" w:hanging="360"/>
      </w:pPr>
      <w:rPr>
        <w:rFonts w:ascii="Courier New" w:hAnsi="Courier New"/>
      </w:rPr>
    </w:lvl>
    <w:lvl w:ilvl="8" w:tplc="957AE5CC">
      <w:numFmt w:val="bullet"/>
      <w:lvlText w:val=""/>
      <w:lvlJc w:val="left"/>
      <w:pPr>
        <w:ind w:left="6480" w:hanging="360"/>
      </w:pPr>
      <w:rPr>
        <w:rFonts w:ascii="Wingdings" w:hAnsi="Wingdings"/>
      </w:rPr>
    </w:lvl>
  </w:abstractNum>
  <w:num w:numId="1" w16cid:durableId="1694114743">
    <w:abstractNumId w:val="4"/>
  </w:num>
  <w:num w:numId="2" w16cid:durableId="1213418322">
    <w:abstractNumId w:val="21"/>
  </w:num>
  <w:num w:numId="3" w16cid:durableId="1011107190">
    <w:abstractNumId w:val="16"/>
  </w:num>
  <w:num w:numId="4" w16cid:durableId="1425374588">
    <w:abstractNumId w:val="7"/>
  </w:num>
  <w:num w:numId="5" w16cid:durableId="1281567225">
    <w:abstractNumId w:val="22"/>
  </w:num>
  <w:num w:numId="6" w16cid:durableId="1650551874">
    <w:abstractNumId w:val="6"/>
  </w:num>
  <w:num w:numId="7" w16cid:durableId="1312370468">
    <w:abstractNumId w:val="1"/>
  </w:num>
  <w:num w:numId="8" w16cid:durableId="885722296">
    <w:abstractNumId w:val="3"/>
  </w:num>
  <w:num w:numId="9" w16cid:durableId="1649089524">
    <w:abstractNumId w:val="17"/>
  </w:num>
  <w:num w:numId="10" w16cid:durableId="532038192">
    <w:abstractNumId w:val="20"/>
  </w:num>
  <w:num w:numId="11" w16cid:durableId="119034260">
    <w:abstractNumId w:val="5"/>
  </w:num>
  <w:num w:numId="12" w16cid:durableId="329187699">
    <w:abstractNumId w:val="11"/>
  </w:num>
  <w:num w:numId="13" w16cid:durableId="1801997873">
    <w:abstractNumId w:val="13"/>
  </w:num>
  <w:num w:numId="14" w16cid:durableId="1146167032">
    <w:abstractNumId w:val="2"/>
  </w:num>
  <w:num w:numId="15" w16cid:durableId="139855782">
    <w:abstractNumId w:val="12"/>
  </w:num>
  <w:num w:numId="16" w16cid:durableId="244608458">
    <w:abstractNumId w:val="10"/>
  </w:num>
  <w:num w:numId="17" w16cid:durableId="608900410">
    <w:abstractNumId w:val="0"/>
  </w:num>
  <w:num w:numId="18" w16cid:durableId="1500852756">
    <w:abstractNumId w:val="23"/>
  </w:num>
  <w:num w:numId="19" w16cid:durableId="1925918769">
    <w:abstractNumId w:val="24"/>
  </w:num>
  <w:num w:numId="20" w16cid:durableId="659503246">
    <w:abstractNumId w:val="14"/>
  </w:num>
  <w:num w:numId="21" w16cid:durableId="606473625">
    <w:abstractNumId w:val="18"/>
  </w:num>
  <w:num w:numId="22" w16cid:durableId="1420326929">
    <w:abstractNumId w:val="19"/>
  </w:num>
  <w:num w:numId="23" w16cid:durableId="53049343">
    <w:abstractNumId w:val="8"/>
  </w:num>
  <w:num w:numId="24" w16cid:durableId="1424496341">
    <w:abstractNumId w:val="9"/>
  </w:num>
  <w:num w:numId="25" w16cid:durableId="13015007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0563C"/>
    <w:rsid w:val="00010185"/>
    <w:rsid w:val="00032BC1"/>
    <w:rsid w:val="00036CE8"/>
    <w:rsid w:val="00045710"/>
    <w:rsid w:val="00053C8D"/>
    <w:rsid w:val="00055457"/>
    <w:rsid w:val="00062A91"/>
    <w:rsid w:val="00065B7B"/>
    <w:rsid w:val="000771D2"/>
    <w:rsid w:val="00077DB4"/>
    <w:rsid w:val="00097606"/>
    <w:rsid w:val="000A4986"/>
    <w:rsid w:val="000A57E9"/>
    <w:rsid w:val="000A5B72"/>
    <w:rsid w:val="000B3E28"/>
    <w:rsid w:val="000C31C0"/>
    <w:rsid w:val="000C51AF"/>
    <w:rsid w:val="000D4322"/>
    <w:rsid w:val="000D6D85"/>
    <w:rsid w:val="000D76E5"/>
    <w:rsid w:val="000D77FD"/>
    <w:rsid w:val="000F330D"/>
    <w:rsid w:val="000F47CF"/>
    <w:rsid w:val="000F72E1"/>
    <w:rsid w:val="0012786C"/>
    <w:rsid w:val="0014392F"/>
    <w:rsid w:val="0014742C"/>
    <w:rsid w:val="001823F4"/>
    <w:rsid w:val="0019238E"/>
    <w:rsid w:val="001A7C71"/>
    <w:rsid w:val="001B5395"/>
    <w:rsid w:val="001B7FD4"/>
    <w:rsid w:val="001C7600"/>
    <w:rsid w:val="001D0EBB"/>
    <w:rsid w:val="001D429E"/>
    <w:rsid w:val="001D5F28"/>
    <w:rsid w:val="001F30E5"/>
    <w:rsid w:val="00211698"/>
    <w:rsid w:val="00214230"/>
    <w:rsid w:val="0025063A"/>
    <w:rsid w:val="002559CE"/>
    <w:rsid w:val="002562D6"/>
    <w:rsid w:val="00266315"/>
    <w:rsid w:val="002835C0"/>
    <w:rsid w:val="00297D8D"/>
    <w:rsid w:val="002C124C"/>
    <w:rsid w:val="002D2CAE"/>
    <w:rsid w:val="002E2882"/>
    <w:rsid w:val="0030331E"/>
    <w:rsid w:val="003036FD"/>
    <w:rsid w:val="003042A3"/>
    <w:rsid w:val="0031569F"/>
    <w:rsid w:val="0031645F"/>
    <w:rsid w:val="003166F6"/>
    <w:rsid w:val="00341B35"/>
    <w:rsid w:val="00346E89"/>
    <w:rsid w:val="00347F63"/>
    <w:rsid w:val="0035706B"/>
    <w:rsid w:val="003736EF"/>
    <w:rsid w:val="003770F0"/>
    <w:rsid w:val="003C30D7"/>
    <w:rsid w:val="003C4F66"/>
    <w:rsid w:val="003D05D8"/>
    <w:rsid w:val="003D5246"/>
    <w:rsid w:val="003E6140"/>
    <w:rsid w:val="00405531"/>
    <w:rsid w:val="00410FF5"/>
    <w:rsid w:val="00423760"/>
    <w:rsid w:val="00431F4B"/>
    <w:rsid w:val="00432FC2"/>
    <w:rsid w:val="0043571B"/>
    <w:rsid w:val="00462195"/>
    <w:rsid w:val="00490E4F"/>
    <w:rsid w:val="0049119D"/>
    <w:rsid w:val="004958C9"/>
    <w:rsid w:val="004D0CF9"/>
    <w:rsid w:val="004D6789"/>
    <w:rsid w:val="004D696A"/>
    <w:rsid w:val="004F3AF3"/>
    <w:rsid w:val="00502596"/>
    <w:rsid w:val="0050563C"/>
    <w:rsid w:val="00507228"/>
    <w:rsid w:val="00507B28"/>
    <w:rsid w:val="0052474F"/>
    <w:rsid w:val="005418AA"/>
    <w:rsid w:val="005473F9"/>
    <w:rsid w:val="005505A6"/>
    <w:rsid w:val="00575298"/>
    <w:rsid w:val="005871DA"/>
    <w:rsid w:val="005875FA"/>
    <w:rsid w:val="005930E2"/>
    <w:rsid w:val="00593244"/>
    <w:rsid w:val="005A0A03"/>
    <w:rsid w:val="005B0006"/>
    <w:rsid w:val="005B33B4"/>
    <w:rsid w:val="005B56AA"/>
    <w:rsid w:val="005B78A4"/>
    <w:rsid w:val="005F391C"/>
    <w:rsid w:val="005F422A"/>
    <w:rsid w:val="00602E56"/>
    <w:rsid w:val="00625A60"/>
    <w:rsid w:val="006317E4"/>
    <w:rsid w:val="00632469"/>
    <w:rsid w:val="00667AC2"/>
    <w:rsid w:val="00680A15"/>
    <w:rsid w:val="00694D28"/>
    <w:rsid w:val="00697A8C"/>
    <w:rsid w:val="006C4C62"/>
    <w:rsid w:val="006E6DDE"/>
    <w:rsid w:val="006E6F7F"/>
    <w:rsid w:val="006F0AC3"/>
    <w:rsid w:val="006F217B"/>
    <w:rsid w:val="00725F1F"/>
    <w:rsid w:val="007318C5"/>
    <w:rsid w:val="007326FB"/>
    <w:rsid w:val="00741CB5"/>
    <w:rsid w:val="0074375E"/>
    <w:rsid w:val="00761691"/>
    <w:rsid w:val="007A5951"/>
    <w:rsid w:val="007B18DE"/>
    <w:rsid w:val="007B4035"/>
    <w:rsid w:val="007D3A9E"/>
    <w:rsid w:val="00807FE4"/>
    <w:rsid w:val="00812CE1"/>
    <w:rsid w:val="0081653B"/>
    <w:rsid w:val="008174B2"/>
    <w:rsid w:val="008242FC"/>
    <w:rsid w:val="008778D8"/>
    <w:rsid w:val="00885B67"/>
    <w:rsid w:val="008863FF"/>
    <w:rsid w:val="008B1BCC"/>
    <w:rsid w:val="008B25FD"/>
    <w:rsid w:val="008B36D7"/>
    <w:rsid w:val="008C4235"/>
    <w:rsid w:val="008C786A"/>
    <w:rsid w:val="008E200B"/>
    <w:rsid w:val="008F24F9"/>
    <w:rsid w:val="008F36E4"/>
    <w:rsid w:val="008F5707"/>
    <w:rsid w:val="009269E5"/>
    <w:rsid w:val="00934A7B"/>
    <w:rsid w:val="009361B5"/>
    <w:rsid w:val="0096737E"/>
    <w:rsid w:val="0097383A"/>
    <w:rsid w:val="00973BA8"/>
    <w:rsid w:val="00986F92"/>
    <w:rsid w:val="00994E1E"/>
    <w:rsid w:val="009A104A"/>
    <w:rsid w:val="009A1F47"/>
    <w:rsid w:val="009A4615"/>
    <w:rsid w:val="009A5403"/>
    <w:rsid w:val="00A07AAA"/>
    <w:rsid w:val="00A23116"/>
    <w:rsid w:val="00A27B2D"/>
    <w:rsid w:val="00A340E7"/>
    <w:rsid w:val="00A45AB3"/>
    <w:rsid w:val="00A51C0B"/>
    <w:rsid w:val="00A566B2"/>
    <w:rsid w:val="00A63E8C"/>
    <w:rsid w:val="00A66695"/>
    <w:rsid w:val="00A719D2"/>
    <w:rsid w:val="00A71D72"/>
    <w:rsid w:val="00A72F07"/>
    <w:rsid w:val="00A7677A"/>
    <w:rsid w:val="00A86CF6"/>
    <w:rsid w:val="00AA0D36"/>
    <w:rsid w:val="00AB28AC"/>
    <w:rsid w:val="00AB2F2E"/>
    <w:rsid w:val="00AB4DB9"/>
    <w:rsid w:val="00AC37BE"/>
    <w:rsid w:val="00AC6502"/>
    <w:rsid w:val="00AE624D"/>
    <w:rsid w:val="00AF2720"/>
    <w:rsid w:val="00B00A9D"/>
    <w:rsid w:val="00B23165"/>
    <w:rsid w:val="00B5204D"/>
    <w:rsid w:val="00B81D53"/>
    <w:rsid w:val="00B831DE"/>
    <w:rsid w:val="00B8370D"/>
    <w:rsid w:val="00BC500A"/>
    <w:rsid w:val="00BD6B2C"/>
    <w:rsid w:val="00BE1FDF"/>
    <w:rsid w:val="00BE2066"/>
    <w:rsid w:val="00BF0D6D"/>
    <w:rsid w:val="00BF6C0D"/>
    <w:rsid w:val="00BF7D9A"/>
    <w:rsid w:val="00C06D23"/>
    <w:rsid w:val="00C1739C"/>
    <w:rsid w:val="00C17663"/>
    <w:rsid w:val="00C5072D"/>
    <w:rsid w:val="00C50817"/>
    <w:rsid w:val="00C57880"/>
    <w:rsid w:val="00C643A2"/>
    <w:rsid w:val="00C64A6D"/>
    <w:rsid w:val="00C8712B"/>
    <w:rsid w:val="00C97B4C"/>
    <w:rsid w:val="00CA6192"/>
    <w:rsid w:val="00CE3245"/>
    <w:rsid w:val="00CF2691"/>
    <w:rsid w:val="00CF3AE2"/>
    <w:rsid w:val="00CF5047"/>
    <w:rsid w:val="00CF6350"/>
    <w:rsid w:val="00CF64B8"/>
    <w:rsid w:val="00D00269"/>
    <w:rsid w:val="00D06658"/>
    <w:rsid w:val="00D12B98"/>
    <w:rsid w:val="00D16D6D"/>
    <w:rsid w:val="00D25E84"/>
    <w:rsid w:val="00D35AC9"/>
    <w:rsid w:val="00D4362E"/>
    <w:rsid w:val="00D76739"/>
    <w:rsid w:val="00D81004"/>
    <w:rsid w:val="00D865A3"/>
    <w:rsid w:val="00D924FD"/>
    <w:rsid w:val="00D92819"/>
    <w:rsid w:val="00DA2200"/>
    <w:rsid w:val="00DD70C9"/>
    <w:rsid w:val="00DF6188"/>
    <w:rsid w:val="00E23E32"/>
    <w:rsid w:val="00E24BAA"/>
    <w:rsid w:val="00E312EA"/>
    <w:rsid w:val="00E36392"/>
    <w:rsid w:val="00E5366E"/>
    <w:rsid w:val="00E5527D"/>
    <w:rsid w:val="00E6318F"/>
    <w:rsid w:val="00E64A40"/>
    <w:rsid w:val="00E8626C"/>
    <w:rsid w:val="00EA1765"/>
    <w:rsid w:val="00EC6A71"/>
    <w:rsid w:val="00EC7106"/>
    <w:rsid w:val="00EC7453"/>
    <w:rsid w:val="00EC7469"/>
    <w:rsid w:val="00ED12ED"/>
    <w:rsid w:val="00EE2382"/>
    <w:rsid w:val="00EE6A49"/>
    <w:rsid w:val="00EF0768"/>
    <w:rsid w:val="00EF2237"/>
    <w:rsid w:val="00EF2CD9"/>
    <w:rsid w:val="00F023EB"/>
    <w:rsid w:val="00F401BE"/>
    <w:rsid w:val="00F4252F"/>
    <w:rsid w:val="00F45AF3"/>
    <w:rsid w:val="00F45DA4"/>
    <w:rsid w:val="00F463AD"/>
    <w:rsid w:val="00F47C3D"/>
    <w:rsid w:val="00F60881"/>
    <w:rsid w:val="00F73599"/>
    <w:rsid w:val="00F7488D"/>
    <w:rsid w:val="00F75A2A"/>
    <w:rsid w:val="00F80471"/>
    <w:rsid w:val="00F975BA"/>
    <w:rsid w:val="00FB36CA"/>
    <w:rsid w:val="00FC4F51"/>
    <w:rsid w:val="00FC57A8"/>
    <w:rsid w:val="00FD24C4"/>
    <w:rsid w:val="00FD4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CC7D3"/>
  <w15:docId w15:val="{CF8B7261-C7A6-44E6-977E-B76B918F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qFormat/>
    <w:pPr>
      <w:spacing w:before="240" w:after="60"/>
      <w:outlineLvl w:val="0"/>
    </w:pPr>
    <w:rPr>
      <w:rFonts w:ascii="Arial" w:hAnsi="Arial"/>
      <w:b/>
      <w:sz w:val="32"/>
      <w:szCs w:val="32"/>
    </w:rPr>
  </w:style>
  <w:style w:type="paragraph" w:styleId="Heading2">
    <w:name w:val="heading 2"/>
    <w:basedOn w:val="Normal"/>
    <w:qFormat/>
    <w:pPr>
      <w:spacing w:before="240" w:after="60"/>
      <w:outlineLvl w:val="1"/>
    </w:pPr>
    <w:rPr>
      <w:rFonts w:ascii="Arial" w:hAnsi="Arial"/>
      <w:b/>
      <w:i/>
      <w:sz w:val="28"/>
      <w:szCs w:val="28"/>
    </w:rPr>
  </w:style>
  <w:style w:type="paragraph" w:styleId="Heading3">
    <w:name w:val="heading 3"/>
    <w:basedOn w:val="Normal"/>
    <w:qFormat/>
    <w:pPr>
      <w:ind w:left="720"/>
      <w:jc w:val="both"/>
      <w:outlineLvl w:val="2"/>
    </w:pPr>
    <w:rPr>
      <w:rFonts w:ascii="Tahoma" w:hAnsi="Tahoma"/>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qFormat/>
    <w:pPr>
      <w:spacing w:after="0"/>
    </w:pPr>
    <w:rPr>
      <w:rFonts w:ascii="Georgia" w:hAnsi="Georgia"/>
      <w:color w:val="000000"/>
      <w:sz w:val="21"/>
      <w:szCs w:val="21"/>
    </w:rPr>
  </w:style>
  <w:style w:type="character" w:styleId="CommentReference">
    <w:name w:val="annotation reference"/>
    <w:qFormat/>
    <w:rPr>
      <w:sz w:val="16"/>
      <w:szCs w:val="16"/>
    </w:rPr>
  </w:style>
  <w:style w:type="paragraph" w:styleId="CommentText">
    <w:name w:val="annotation text"/>
    <w:basedOn w:val="Normal"/>
    <w:qFormat/>
    <w:rPr>
      <w:sz w:val="20"/>
      <w:szCs w:val="20"/>
    </w:rPr>
  </w:style>
  <w:style w:type="character" w:customStyle="1" w:styleId="CommentTextChar">
    <w:name w:val="Comment Text Char"/>
    <w:qFormat/>
  </w:style>
  <w:style w:type="paragraph" w:styleId="CommentSubject">
    <w:name w:val="annotation subject"/>
    <w:basedOn w:val="CommentText"/>
    <w:qFormat/>
    <w:rPr>
      <w:b/>
    </w:rPr>
  </w:style>
  <w:style w:type="character" w:customStyle="1" w:styleId="CommentSubjectChar">
    <w:name w:val="Comment Subject Char"/>
    <w:qFormat/>
    <w:rPr>
      <w:b/>
    </w:rPr>
  </w:style>
  <w:style w:type="paragraph" w:styleId="BalloonText">
    <w:name w:val="Balloon Text"/>
    <w:basedOn w:val="Normal"/>
    <w:qFormat/>
    <w:rPr>
      <w:rFonts w:ascii="Tahoma" w:hAnsi="Tahoma"/>
      <w:sz w:val="16"/>
      <w:szCs w:val="16"/>
    </w:rPr>
  </w:style>
  <w:style w:type="character" w:customStyle="1" w:styleId="BalloonTextChar">
    <w:name w:val="Balloon Text Char"/>
    <w:qFormat/>
    <w:rPr>
      <w:rFonts w:ascii="Tahoma" w:hAnsi="Tahoma"/>
      <w:sz w:val="16"/>
      <w:szCs w:val="16"/>
    </w:rPr>
  </w:style>
  <w:style w:type="paragraph" w:styleId="Header">
    <w:name w:val="header"/>
    <w:basedOn w:val="Normal"/>
    <w:uiPriority w:val="99"/>
    <w:qFormat/>
    <w:rPr>
      <w:rFonts w:ascii="Trebuchet MS" w:hAnsi="Trebuchet MS"/>
      <w:sz w:val="22"/>
      <w:szCs w:val="20"/>
    </w:rPr>
  </w:style>
  <w:style w:type="character" w:customStyle="1" w:styleId="HeaderChar">
    <w:name w:val="Header Char"/>
    <w:uiPriority w:val="99"/>
    <w:qFormat/>
    <w:rPr>
      <w:rFonts w:ascii="Trebuchet MS" w:hAnsi="Trebuchet MS"/>
      <w:sz w:val="22"/>
    </w:rPr>
  </w:style>
  <w:style w:type="paragraph" w:styleId="Footer">
    <w:name w:val="footer"/>
    <w:basedOn w:val="Normal"/>
    <w:qFormat/>
  </w:style>
  <w:style w:type="character" w:customStyle="1" w:styleId="FooterChar">
    <w:name w:val="Footer Char"/>
    <w:qFormat/>
    <w:rPr>
      <w:sz w:val="24"/>
      <w:szCs w:val="24"/>
    </w:rPr>
  </w:style>
  <w:style w:type="table" w:styleId="TableGrid">
    <w:name w:val="Table Grid"/>
    <w:basedOn w:val="TableNormal"/>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character" w:styleId="PlaceholderText">
    <w:name w:val="Placeholder Text"/>
    <w:basedOn w:val="DefaultParagraphFont"/>
    <w:uiPriority w:val="99"/>
    <w:semiHidden/>
    <w:rsid w:val="00994E1E"/>
    <w:rPr>
      <w:color w:val="808080"/>
    </w:rPr>
  </w:style>
  <w:style w:type="paragraph" w:styleId="FootnoteText">
    <w:name w:val="footnote text"/>
    <w:basedOn w:val="Normal"/>
    <w:link w:val="FootnoteTextChar"/>
    <w:uiPriority w:val="99"/>
    <w:semiHidden/>
    <w:unhideWhenUsed/>
    <w:rsid w:val="0046219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2195"/>
  </w:style>
  <w:style w:type="character" w:styleId="FootnoteReference">
    <w:name w:val="footnote reference"/>
    <w:basedOn w:val="DefaultParagraphFont"/>
    <w:uiPriority w:val="99"/>
    <w:semiHidden/>
    <w:unhideWhenUsed/>
    <w:rsid w:val="00462195"/>
    <w:rPr>
      <w:vertAlign w:val="superscript"/>
    </w:rPr>
  </w:style>
  <w:style w:type="paragraph" w:styleId="NoSpacing">
    <w:name w:val="No Spacing"/>
    <w:uiPriority w:val="1"/>
    <w:qFormat/>
    <w:rsid w:val="00F45AF3"/>
    <w:pPr>
      <w:spacing w:after="0" w:line="240" w:lineRule="auto"/>
    </w:pPr>
    <w:rPr>
      <w:sz w:val="24"/>
      <w:szCs w:val="24"/>
    </w:rPr>
  </w:style>
  <w:style w:type="character" w:styleId="Hyperlink">
    <w:name w:val="Hyperlink"/>
    <w:basedOn w:val="DefaultParagraphFont"/>
    <w:uiPriority w:val="99"/>
    <w:unhideWhenUsed/>
    <w:rsid w:val="000F330D"/>
    <w:rPr>
      <w:color w:val="0000FF" w:themeColor="hyperlink"/>
      <w:u w:val="single"/>
    </w:rPr>
  </w:style>
  <w:style w:type="character" w:styleId="UnresolvedMention">
    <w:name w:val="Unresolved Mention"/>
    <w:basedOn w:val="DefaultParagraphFont"/>
    <w:uiPriority w:val="99"/>
    <w:semiHidden/>
    <w:unhideWhenUsed/>
    <w:rsid w:val="000F330D"/>
    <w:rPr>
      <w:color w:val="605E5C"/>
      <w:shd w:val="clear" w:color="auto" w:fill="E1DFDD"/>
    </w:rPr>
  </w:style>
  <w:style w:type="paragraph" w:styleId="EndnoteText">
    <w:name w:val="endnote text"/>
    <w:basedOn w:val="Normal"/>
    <w:link w:val="EndnoteTextChar"/>
    <w:uiPriority w:val="99"/>
    <w:semiHidden/>
    <w:unhideWhenUsed/>
    <w:rsid w:val="000F330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30D"/>
  </w:style>
  <w:style w:type="character" w:styleId="EndnoteReference">
    <w:name w:val="endnote reference"/>
    <w:basedOn w:val="DefaultParagraphFont"/>
    <w:uiPriority w:val="99"/>
    <w:semiHidden/>
    <w:unhideWhenUsed/>
    <w:rsid w:val="000F33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93012">
      <w:bodyDiv w:val="1"/>
      <w:marLeft w:val="0"/>
      <w:marRight w:val="0"/>
      <w:marTop w:val="0"/>
      <w:marBottom w:val="0"/>
      <w:divBdr>
        <w:top w:val="none" w:sz="0" w:space="0" w:color="auto"/>
        <w:left w:val="none" w:sz="0" w:space="0" w:color="auto"/>
        <w:bottom w:val="none" w:sz="0" w:space="0" w:color="auto"/>
        <w:right w:val="none" w:sz="0" w:space="0" w:color="auto"/>
      </w:divBdr>
      <w:divsChild>
        <w:div w:id="1665159164">
          <w:marLeft w:val="0"/>
          <w:marRight w:val="0"/>
          <w:marTop w:val="0"/>
          <w:marBottom w:val="0"/>
          <w:divBdr>
            <w:top w:val="none" w:sz="0" w:space="0" w:color="auto"/>
            <w:left w:val="none" w:sz="0" w:space="0" w:color="auto"/>
            <w:bottom w:val="none" w:sz="0" w:space="0" w:color="auto"/>
            <w:right w:val="none" w:sz="0" w:space="0" w:color="auto"/>
          </w:divBdr>
        </w:div>
      </w:divsChild>
    </w:div>
    <w:div w:id="206656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889AC3A5643FBA2EC5068500C4E09"/>
        <w:category>
          <w:name w:val="General"/>
          <w:gallery w:val="placeholder"/>
        </w:category>
        <w:types>
          <w:type w:val="bbPlcHdr"/>
        </w:types>
        <w:behaviors>
          <w:behavior w:val="content"/>
        </w:behaviors>
        <w:guid w:val="{EAA259B0-E7DF-4BDA-86B9-0722EA6270A8}"/>
      </w:docPartPr>
      <w:docPartBody>
        <w:p w:rsidR="00A753C2" w:rsidRDefault="00313CB1">
          <w:r w:rsidRPr="00002945">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CB1"/>
    <w:rsid w:val="00000A08"/>
    <w:rsid w:val="000D21A5"/>
    <w:rsid w:val="00260469"/>
    <w:rsid w:val="002B1440"/>
    <w:rsid w:val="00313CB1"/>
    <w:rsid w:val="003E4F2A"/>
    <w:rsid w:val="004100FA"/>
    <w:rsid w:val="00640BC5"/>
    <w:rsid w:val="006C011F"/>
    <w:rsid w:val="006C1110"/>
    <w:rsid w:val="007164E1"/>
    <w:rsid w:val="00741879"/>
    <w:rsid w:val="00840D87"/>
    <w:rsid w:val="008C24A6"/>
    <w:rsid w:val="008E4D87"/>
    <w:rsid w:val="00944672"/>
    <w:rsid w:val="009D43AD"/>
    <w:rsid w:val="00A753C2"/>
    <w:rsid w:val="00A75B1B"/>
    <w:rsid w:val="00AA569A"/>
    <w:rsid w:val="00C72D54"/>
    <w:rsid w:val="00D153E9"/>
    <w:rsid w:val="00FE4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CB1"/>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3CB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CFB0E-A642-4797-B20A-5C7CC2B2B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2612</TotalTime>
  <Pages>10</Pages>
  <Words>2904</Words>
  <Characters>16559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Blackham</dc:creator>
  <cp:keywords/>
  <dc:description/>
  <cp:lastModifiedBy>Kate.Blackham1</cp:lastModifiedBy>
  <cp:revision>148</cp:revision>
  <dcterms:created xsi:type="dcterms:W3CDTF">2023-02-21T14:56:00Z</dcterms:created>
  <dcterms:modified xsi:type="dcterms:W3CDTF">2024-03-15T18:25:00Z</dcterms:modified>
</cp:coreProperties>
</file>