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56F" w:rsidRDefault="004255E9">
      <w:pPr>
        <w:spacing w:before="720" w:after="480"/>
        <w:jc w:val="center"/>
      </w:pPr>
      <w:r>
        <w:rPr>
          <w:noProof/>
          <w:lang w:eastAsia="en-US" w:bidi="ar-SA"/>
        </w:rPr>
        <w:drawing>
          <wp:inline distT="0" distB="0" distL="0" distR="0">
            <wp:extent cx="2590800" cy="112395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6"/>
                    <a:stretch>
                      <a:fillRect/>
                    </a:stretch>
                  </pic:blipFill>
                  <pic:spPr bwMode="auto">
                    <a:xfrm>
                      <a:off x="0" y="0"/>
                      <a:ext cx="2590800" cy="1123950"/>
                    </a:xfrm>
                    <a:prstGeom prst="rect">
                      <a:avLst/>
                    </a:prstGeom>
                  </pic:spPr>
                </pic:pic>
              </a:graphicData>
            </a:graphic>
          </wp:inline>
        </w:drawing>
      </w:r>
    </w:p>
    <w:p w:rsidR="007B356F" w:rsidRDefault="004255E9">
      <w:pPr>
        <w:spacing w:after="120" w:line="360" w:lineRule="auto"/>
        <w:jc w:val="center"/>
      </w:pPr>
      <w:r>
        <w:rPr>
          <w:b/>
          <w:bCs/>
          <w:sz w:val="28"/>
          <w:szCs w:val="28"/>
        </w:rPr>
        <w:t>Programme:  BA Developing Leadership and Management</w:t>
      </w:r>
    </w:p>
    <w:p w:rsidR="007B356F" w:rsidRDefault="004255E9">
      <w:pPr>
        <w:spacing w:after="120" w:line="360" w:lineRule="auto"/>
        <w:jc w:val="center"/>
      </w:pPr>
      <w:r>
        <w:rPr>
          <w:b/>
          <w:bCs/>
          <w:sz w:val="28"/>
          <w:szCs w:val="28"/>
        </w:rPr>
        <w:t>Module:  Creativity and Innovation</w:t>
      </w:r>
    </w:p>
    <w:p w:rsidR="007B356F" w:rsidRDefault="004255E9">
      <w:pPr>
        <w:spacing w:after="120" w:line="360" w:lineRule="auto"/>
        <w:jc w:val="center"/>
      </w:pPr>
      <w:r>
        <w:rPr>
          <w:b/>
          <w:bCs/>
          <w:sz w:val="28"/>
          <w:szCs w:val="28"/>
        </w:rPr>
        <w:t>Module code:  BMSW50</w:t>
      </w:r>
      <w:r w:rsidR="00310BA0">
        <w:rPr>
          <w:b/>
          <w:bCs/>
          <w:sz w:val="28"/>
          <w:szCs w:val="28"/>
        </w:rPr>
        <w:t>31</w:t>
      </w:r>
    </w:p>
    <w:p w:rsidR="007B356F" w:rsidRDefault="004255E9">
      <w:pPr>
        <w:spacing w:after="120" w:line="360" w:lineRule="auto"/>
        <w:jc w:val="center"/>
      </w:pPr>
      <w:r>
        <w:rPr>
          <w:b/>
          <w:bCs/>
          <w:sz w:val="28"/>
          <w:szCs w:val="28"/>
        </w:rPr>
        <w:t>Module Lead:  Chris Wilkin</w:t>
      </w:r>
    </w:p>
    <w:p w:rsidR="00716C20" w:rsidRPr="00716C20" w:rsidRDefault="004255E9" w:rsidP="00716C20">
      <w:pPr>
        <w:pStyle w:val="p1"/>
        <w:jc w:val="center"/>
        <w:rPr>
          <w:rFonts w:ascii="Arial" w:hAnsi="Arial" w:cs="Arial"/>
          <w:b/>
          <w:bCs/>
          <w:sz w:val="28"/>
          <w:szCs w:val="28"/>
        </w:rPr>
      </w:pPr>
      <w:r w:rsidRPr="00716C20">
        <w:rPr>
          <w:rFonts w:ascii="Arial" w:hAnsi="Arial" w:cs="Arial" w:hint="cs"/>
          <w:b/>
          <w:bCs/>
          <w:sz w:val="28"/>
          <w:szCs w:val="28"/>
        </w:rPr>
        <w:t xml:space="preserve">Assignment Title:  </w:t>
      </w:r>
      <w:r w:rsidR="00716C20" w:rsidRPr="00716C20">
        <w:rPr>
          <w:rFonts w:ascii="Arial" w:hAnsi="Arial" w:cs="Arial" w:hint="cs"/>
          <w:b/>
          <w:bCs/>
          <w:sz w:val="28"/>
          <w:szCs w:val="28"/>
        </w:rPr>
        <w:t>A Community That Runs a Café: The Sere</w:t>
      </w:r>
      <w:r w:rsidR="00B65A3F">
        <w:rPr>
          <w:rFonts w:ascii="Arial" w:hAnsi="Arial" w:cs="Arial"/>
          <w:b/>
          <w:bCs/>
          <w:sz w:val="28"/>
          <w:szCs w:val="28"/>
        </w:rPr>
        <w:t>n</w:t>
      </w:r>
      <w:r w:rsidR="00716C20" w:rsidRPr="00716C20">
        <w:rPr>
          <w:rFonts w:ascii="Arial" w:hAnsi="Arial" w:cs="Arial" w:hint="cs"/>
          <w:b/>
          <w:bCs/>
          <w:sz w:val="28"/>
          <w:szCs w:val="28"/>
        </w:rPr>
        <w:t xml:space="preserve"> Stewardship Model for Seren Coffi</w:t>
      </w:r>
    </w:p>
    <w:p w:rsidR="007B356F" w:rsidRDefault="007B356F">
      <w:pPr>
        <w:spacing w:after="120" w:line="360" w:lineRule="auto"/>
        <w:jc w:val="center"/>
      </w:pPr>
    </w:p>
    <w:p w:rsidR="007B356F" w:rsidRDefault="004255E9">
      <w:pPr>
        <w:spacing w:after="120" w:line="360" w:lineRule="auto"/>
        <w:jc w:val="center"/>
      </w:pPr>
      <w:r>
        <w:rPr>
          <w:b/>
          <w:bCs/>
          <w:sz w:val="28"/>
          <w:szCs w:val="28"/>
        </w:rPr>
        <w:t>Student Name:  Florina Dinitica</w:t>
      </w:r>
    </w:p>
    <w:p w:rsidR="007B356F" w:rsidRDefault="0058258A">
      <w:pPr>
        <w:spacing w:after="120" w:line="360" w:lineRule="auto"/>
        <w:jc w:val="center"/>
      </w:pPr>
      <w:r>
        <w:rPr>
          <w:b/>
          <w:bCs/>
          <w:sz w:val="28"/>
          <w:szCs w:val="28"/>
        </w:rPr>
        <w:t xml:space="preserve">Student ID: </w:t>
      </w:r>
      <w:r w:rsidR="004255E9">
        <w:rPr>
          <w:b/>
          <w:bCs/>
          <w:sz w:val="28"/>
          <w:szCs w:val="28"/>
        </w:rPr>
        <w:t>2321857</w:t>
      </w:r>
    </w:p>
    <w:p w:rsidR="007B356F" w:rsidRDefault="0058258A">
      <w:pPr>
        <w:spacing w:after="120" w:line="360" w:lineRule="auto"/>
        <w:jc w:val="center"/>
      </w:pPr>
      <w:r>
        <w:rPr>
          <w:b/>
          <w:bCs/>
          <w:sz w:val="28"/>
          <w:szCs w:val="28"/>
        </w:rPr>
        <w:t xml:space="preserve">Date: </w:t>
      </w:r>
      <w:r w:rsidR="004255E9">
        <w:rPr>
          <w:b/>
          <w:bCs/>
          <w:sz w:val="28"/>
          <w:szCs w:val="28"/>
        </w:rPr>
        <w:t>19.06.2026</w:t>
      </w:r>
    </w:p>
    <w:p w:rsidR="007B356F" w:rsidRDefault="004255E9">
      <w:pPr>
        <w:spacing w:before="360" w:after="80" w:line="360" w:lineRule="auto"/>
        <w:jc w:val="center"/>
      </w:pPr>
      <w:r>
        <w:rPr>
          <w:b/>
          <w:bCs/>
          <w:sz w:val="22"/>
          <w:szCs w:val="22"/>
          <w:u w:val="single"/>
        </w:rPr>
        <w:t xml:space="preserve">AI Acknowledgement – </w:t>
      </w:r>
      <w:r>
        <w:rPr>
          <w:i/>
          <w:iCs/>
          <w:sz w:val="22"/>
          <w:szCs w:val="22"/>
        </w:rPr>
        <w:t>This report used an AI language tool in a limited way during the early idea-development stage of Part 2. It was used to explore possible directions for the proposed innovation and generate alternative suggestions for consideration. Any outputs produced were reviewed critically and not adopted uncritically. The final analysis, evaluation, conclusions and written discussion presented in this report are my own.</w:t>
      </w:r>
    </w:p>
    <w:p w:rsidR="007B356F" w:rsidRDefault="004255E9">
      <w:r>
        <w:br w:type="page"/>
      </w:r>
    </w:p>
    <w:p w:rsidR="007B356F" w:rsidRDefault="004255E9">
      <w:pPr>
        <w:pStyle w:val="Heading1"/>
        <w:spacing w:before="0"/>
      </w:pPr>
      <w:bookmarkStart w:id="0" w:name="_Toc232336539"/>
      <w:r>
        <w:lastRenderedPageBreak/>
        <w:t>Executive Summary</w:t>
      </w:r>
      <w:bookmarkEnd w:id="0"/>
    </w:p>
    <w:p w:rsidR="007B356F" w:rsidRDefault="004255E9">
      <w:pPr>
        <w:spacing w:after="160" w:line="360" w:lineRule="auto"/>
        <w:jc w:val="both"/>
      </w:pPr>
      <w:r>
        <w:t>Seren Coffi is an independent, ethically-minded café in Cardiff with strong deman</w:t>
      </w:r>
      <w:r w:rsidR="00463FCD">
        <w:t>d</w:t>
      </w:r>
      <w:r>
        <w:t xml:space="preserve"> and a distinctive community identity, yet it is failing operationally. The decline is structural, not a problem of demand: the way the founders run the business is both its identity and the cause of their exhaustion. Earlier innovations — poetry nights, language exchanges — failed because they added founder labour rather than redistributing it. The proposed </w:t>
      </w:r>
      <w:r>
        <w:rPr>
          <w:b/>
          <w:bCs/>
        </w:rPr>
        <w:t>Seren Stewardship Model</w:t>
      </w:r>
      <w:r>
        <w:t xml:space="preserve"> (member-branded as </w:t>
      </w:r>
      <w:r>
        <w:rPr>
          <w:i/>
          <w:iCs/>
        </w:rPr>
        <w:t>Y Criw</w:t>
      </w:r>
      <w:r>
        <w:t xml:space="preserve">, running on time-credits called </w:t>
      </w:r>
      <w:r>
        <w:rPr>
          <w:i/>
          <w:iCs/>
        </w:rPr>
        <w:t>Sêr</w:t>
      </w:r>
      <w:r>
        <w:t>) turns the café from a business that serves a community into a community that runs a café. It is analysed as a paradigm and position innovation, evaluated with the Business Model Canvas and Lewin’s Force Field Analysis, and justified on value creation rather than capitalist growth. A second part appraises the use of a generative-AI tool to test the idea, finding it useful for</w:t>
      </w:r>
      <w:r w:rsidR="00F170B4">
        <w:t xml:space="preserve"> early stress-testing but a poor</w:t>
      </w:r>
      <w:r>
        <w:t xml:space="preserve"> judge of fit and feasibility.</w:t>
      </w:r>
    </w:p>
    <w:p w:rsidR="007B356F" w:rsidRDefault="004255E9">
      <w:r>
        <w:br w:type="page"/>
      </w:r>
    </w:p>
    <w:p w:rsidR="007B356F" w:rsidRDefault="004255E9">
      <w:pPr>
        <w:pStyle w:val="Heading1"/>
        <w:spacing w:before="0"/>
        <w:jc w:val="center"/>
      </w:pPr>
      <w:bookmarkStart w:id="1" w:name="_Toc232336540"/>
      <w:r>
        <w:t>Contents</w:t>
      </w:r>
      <w:bookmarkEnd w:id="1"/>
    </w:p>
    <w:sdt>
      <w:sdtPr>
        <w:id w:val="1757713141"/>
        <w:docPartObj>
          <w:docPartGallery w:val="Table of Contents"/>
          <w:docPartUnique/>
        </w:docPartObj>
      </w:sdtPr>
      <w:sdtContent>
        <w:p w:rsidR="009F3E86" w:rsidRDefault="00BD1DC7">
          <w:pPr>
            <w:pStyle w:val="TOC1"/>
            <w:rPr>
              <w:rFonts w:asciiTheme="minorHAnsi" w:eastAsiaTheme="minorEastAsia" w:hAnsiTheme="minorHAnsi" w:cstheme="minorBidi"/>
              <w:noProof/>
              <w:kern w:val="2"/>
              <w:lang w:val="en-GB" w:eastAsia="en-GB" w:bidi="ar-SA"/>
            </w:rPr>
          </w:pPr>
          <w:r w:rsidRPr="00BD1DC7">
            <w:fldChar w:fldCharType="begin"/>
          </w:r>
          <w:r w:rsidR="007B356F">
            <w:rPr>
              <w:rStyle w:val="IndexLink"/>
            </w:rPr>
            <w:instrText xml:space="preserve"> TOC \o "1-3" \h</w:instrText>
          </w:r>
          <w:r>
            <w:rPr>
              <w:rStyle w:val="IndexLink"/>
            </w:rPr>
            <w:fldChar w:fldCharType="separate"/>
          </w:r>
          <w:hyperlink w:anchor="_Toc232336539" w:history="1">
            <w:r w:rsidR="009F3E86" w:rsidRPr="00EA2705">
              <w:rPr>
                <w:rStyle w:val="Hyperlink"/>
                <w:noProof/>
              </w:rPr>
              <w:t>Executive Summary</w:t>
            </w:r>
            <w:r w:rsidR="009F3E86">
              <w:rPr>
                <w:noProof/>
              </w:rPr>
              <w:tab/>
            </w:r>
            <w:r>
              <w:rPr>
                <w:noProof/>
              </w:rPr>
              <w:fldChar w:fldCharType="begin"/>
            </w:r>
            <w:r w:rsidR="009F3E86">
              <w:rPr>
                <w:noProof/>
              </w:rPr>
              <w:instrText xml:space="preserve"> PAGEREF _Toc232336539 \h </w:instrText>
            </w:r>
            <w:r>
              <w:rPr>
                <w:noProof/>
              </w:rPr>
            </w:r>
            <w:r>
              <w:rPr>
                <w:noProof/>
              </w:rPr>
              <w:fldChar w:fldCharType="separate"/>
            </w:r>
            <w:r w:rsidR="009F3E86">
              <w:rPr>
                <w:noProof/>
              </w:rPr>
              <w:t>2</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40" w:history="1">
            <w:r w:rsidR="009F3E86" w:rsidRPr="00EA2705">
              <w:rPr>
                <w:rStyle w:val="Hyperlink"/>
                <w:noProof/>
              </w:rPr>
              <w:t>Contents</w:t>
            </w:r>
            <w:r w:rsidR="009F3E86">
              <w:rPr>
                <w:noProof/>
              </w:rPr>
              <w:tab/>
            </w:r>
            <w:r>
              <w:rPr>
                <w:noProof/>
              </w:rPr>
              <w:fldChar w:fldCharType="begin"/>
            </w:r>
            <w:r w:rsidR="009F3E86">
              <w:rPr>
                <w:noProof/>
              </w:rPr>
              <w:instrText xml:space="preserve"> PAGEREF _Toc232336540 \h </w:instrText>
            </w:r>
            <w:r>
              <w:rPr>
                <w:noProof/>
              </w:rPr>
            </w:r>
            <w:r>
              <w:rPr>
                <w:noProof/>
              </w:rPr>
              <w:fldChar w:fldCharType="separate"/>
            </w:r>
            <w:r w:rsidR="009F3E86">
              <w:rPr>
                <w:noProof/>
              </w:rPr>
              <w:t>3</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41" w:history="1">
            <w:r w:rsidR="009F3E86" w:rsidRPr="00EA2705">
              <w:rPr>
                <w:rStyle w:val="Hyperlink"/>
                <w:noProof/>
              </w:rPr>
              <w:t>Part 1 – Innovation Analysis Report</w:t>
            </w:r>
            <w:r w:rsidR="009F3E86">
              <w:rPr>
                <w:noProof/>
              </w:rPr>
              <w:tab/>
            </w:r>
            <w:r>
              <w:rPr>
                <w:noProof/>
              </w:rPr>
              <w:fldChar w:fldCharType="begin"/>
            </w:r>
            <w:r w:rsidR="009F3E86">
              <w:rPr>
                <w:noProof/>
              </w:rPr>
              <w:instrText xml:space="preserve"> PAGEREF _Toc232336541 \h </w:instrText>
            </w:r>
            <w:r>
              <w:rPr>
                <w:noProof/>
              </w:rPr>
            </w:r>
            <w:r>
              <w:rPr>
                <w:noProof/>
              </w:rPr>
              <w:fldChar w:fldCharType="separate"/>
            </w:r>
            <w:r w:rsidR="009F3E86">
              <w:rPr>
                <w:noProof/>
              </w:rPr>
              <w:t>4</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42" w:history="1">
            <w:r w:rsidR="009F3E86" w:rsidRPr="00EA2705">
              <w:rPr>
                <w:rStyle w:val="Hyperlink"/>
                <w:noProof/>
              </w:rPr>
              <w:t>1.1 Introduction to the Organisation and the Innovation Issue</w:t>
            </w:r>
            <w:r w:rsidR="009F3E86">
              <w:rPr>
                <w:noProof/>
              </w:rPr>
              <w:tab/>
            </w:r>
            <w:r>
              <w:rPr>
                <w:noProof/>
              </w:rPr>
              <w:fldChar w:fldCharType="begin"/>
            </w:r>
            <w:r w:rsidR="009F3E86">
              <w:rPr>
                <w:noProof/>
              </w:rPr>
              <w:instrText xml:space="preserve"> PAGEREF _Toc232336542 \h </w:instrText>
            </w:r>
            <w:r>
              <w:rPr>
                <w:noProof/>
              </w:rPr>
            </w:r>
            <w:r>
              <w:rPr>
                <w:noProof/>
              </w:rPr>
              <w:fldChar w:fldCharType="separate"/>
            </w:r>
            <w:r w:rsidR="009F3E86">
              <w:rPr>
                <w:noProof/>
              </w:rPr>
              <w:t>4</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43" w:history="1">
            <w:r w:rsidR="009F3E86" w:rsidRPr="00EA2705">
              <w:rPr>
                <w:rStyle w:val="Hyperlink"/>
                <w:noProof/>
              </w:rPr>
              <w:t>1.2 Critical Analysis of Creativity and Innovation in Capitalist Business Growth</w:t>
            </w:r>
            <w:r w:rsidR="009F3E86">
              <w:rPr>
                <w:noProof/>
              </w:rPr>
              <w:tab/>
            </w:r>
            <w:r>
              <w:rPr>
                <w:noProof/>
              </w:rPr>
              <w:fldChar w:fldCharType="begin"/>
            </w:r>
            <w:r w:rsidR="009F3E86">
              <w:rPr>
                <w:noProof/>
              </w:rPr>
              <w:instrText xml:space="preserve"> PAGEREF _Toc232336543 \h </w:instrText>
            </w:r>
            <w:r>
              <w:rPr>
                <w:noProof/>
              </w:rPr>
            </w:r>
            <w:r>
              <w:rPr>
                <w:noProof/>
              </w:rPr>
              <w:fldChar w:fldCharType="separate"/>
            </w:r>
            <w:r w:rsidR="009F3E86">
              <w:rPr>
                <w:noProof/>
              </w:rPr>
              <w:t>4</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44" w:history="1">
            <w:r w:rsidR="009F3E86" w:rsidRPr="00EA2705">
              <w:rPr>
                <w:rStyle w:val="Hyperlink"/>
                <w:noProof/>
              </w:rPr>
              <w:t>1.2.1 The Distinction Between Creativity and Innovation</w:t>
            </w:r>
            <w:r w:rsidR="009F3E86">
              <w:rPr>
                <w:noProof/>
              </w:rPr>
              <w:tab/>
            </w:r>
            <w:r>
              <w:rPr>
                <w:noProof/>
              </w:rPr>
              <w:fldChar w:fldCharType="begin"/>
            </w:r>
            <w:r w:rsidR="009F3E86">
              <w:rPr>
                <w:noProof/>
              </w:rPr>
              <w:instrText xml:space="preserve"> PAGEREF _Toc232336544 \h </w:instrText>
            </w:r>
            <w:r>
              <w:rPr>
                <w:noProof/>
              </w:rPr>
            </w:r>
            <w:r>
              <w:rPr>
                <w:noProof/>
              </w:rPr>
              <w:fldChar w:fldCharType="separate"/>
            </w:r>
            <w:r w:rsidR="009F3E86">
              <w:rPr>
                <w:noProof/>
              </w:rPr>
              <w:t>4</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45" w:history="1">
            <w:r w:rsidR="009F3E86" w:rsidRPr="00EA2705">
              <w:rPr>
                <w:rStyle w:val="Hyperlink"/>
                <w:noProof/>
              </w:rPr>
              <w:t>1.2.2 Capitalist Business Models and Innovation Tensions</w:t>
            </w:r>
            <w:r w:rsidR="009F3E86">
              <w:rPr>
                <w:noProof/>
              </w:rPr>
              <w:tab/>
            </w:r>
            <w:r>
              <w:rPr>
                <w:noProof/>
              </w:rPr>
              <w:fldChar w:fldCharType="begin"/>
            </w:r>
            <w:r w:rsidR="009F3E86">
              <w:rPr>
                <w:noProof/>
              </w:rPr>
              <w:instrText xml:space="preserve"> PAGEREF _Toc232336545 \h </w:instrText>
            </w:r>
            <w:r>
              <w:rPr>
                <w:noProof/>
              </w:rPr>
            </w:r>
            <w:r>
              <w:rPr>
                <w:noProof/>
              </w:rPr>
              <w:fldChar w:fldCharType="separate"/>
            </w:r>
            <w:r w:rsidR="009F3E86">
              <w:rPr>
                <w:noProof/>
              </w:rPr>
              <w:t>5</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46" w:history="1">
            <w:r w:rsidR="009F3E86" w:rsidRPr="00EA2705">
              <w:rPr>
                <w:rStyle w:val="Hyperlink"/>
                <w:noProof/>
              </w:rPr>
              <w:t>1.2.3 Value Creation Versus Value Extraction</w:t>
            </w:r>
            <w:r w:rsidR="009F3E86">
              <w:rPr>
                <w:noProof/>
              </w:rPr>
              <w:tab/>
            </w:r>
            <w:r>
              <w:rPr>
                <w:noProof/>
              </w:rPr>
              <w:fldChar w:fldCharType="begin"/>
            </w:r>
            <w:r w:rsidR="009F3E86">
              <w:rPr>
                <w:noProof/>
              </w:rPr>
              <w:instrText xml:space="preserve"> PAGEREF _Toc232336546 \h </w:instrText>
            </w:r>
            <w:r>
              <w:rPr>
                <w:noProof/>
              </w:rPr>
            </w:r>
            <w:r>
              <w:rPr>
                <w:noProof/>
              </w:rPr>
              <w:fldChar w:fldCharType="separate"/>
            </w:r>
            <w:r w:rsidR="009F3E86">
              <w:rPr>
                <w:noProof/>
              </w:rPr>
              <w:t>5</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47" w:history="1">
            <w:r w:rsidR="009F3E86" w:rsidRPr="00EA2705">
              <w:rPr>
                <w:rStyle w:val="Hyperlink"/>
                <w:noProof/>
              </w:rPr>
              <w:t>1.3 Explanation of the Proposed Innovation Concept</w:t>
            </w:r>
            <w:r w:rsidR="009F3E86">
              <w:rPr>
                <w:noProof/>
              </w:rPr>
              <w:tab/>
            </w:r>
            <w:r>
              <w:rPr>
                <w:noProof/>
              </w:rPr>
              <w:fldChar w:fldCharType="begin"/>
            </w:r>
            <w:r w:rsidR="009F3E86">
              <w:rPr>
                <w:noProof/>
              </w:rPr>
              <w:instrText xml:space="preserve"> PAGEREF _Toc232336547 \h </w:instrText>
            </w:r>
            <w:r>
              <w:rPr>
                <w:noProof/>
              </w:rPr>
            </w:r>
            <w:r>
              <w:rPr>
                <w:noProof/>
              </w:rPr>
              <w:fldChar w:fldCharType="separate"/>
            </w:r>
            <w:r w:rsidR="009F3E86">
              <w:rPr>
                <w:noProof/>
              </w:rPr>
              <w:t>6</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48" w:history="1">
            <w:r w:rsidR="009F3E86" w:rsidRPr="00EA2705">
              <w:rPr>
                <w:rStyle w:val="Hyperlink"/>
                <w:noProof/>
              </w:rPr>
              <w:t>1.3.1 Overview of the Proposed Innovation</w:t>
            </w:r>
            <w:r w:rsidR="009F3E86">
              <w:rPr>
                <w:noProof/>
              </w:rPr>
              <w:tab/>
            </w:r>
            <w:r>
              <w:rPr>
                <w:noProof/>
              </w:rPr>
              <w:fldChar w:fldCharType="begin"/>
            </w:r>
            <w:r w:rsidR="009F3E86">
              <w:rPr>
                <w:noProof/>
              </w:rPr>
              <w:instrText xml:space="preserve"> PAGEREF _Toc232336548 \h </w:instrText>
            </w:r>
            <w:r>
              <w:rPr>
                <w:noProof/>
              </w:rPr>
            </w:r>
            <w:r>
              <w:rPr>
                <w:noProof/>
              </w:rPr>
              <w:fldChar w:fldCharType="separate"/>
            </w:r>
            <w:r w:rsidR="009F3E86">
              <w:rPr>
                <w:noProof/>
              </w:rPr>
              <w:t>6</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49" w:history="1">
            <w:r w:rsidR="009F3E86" w:rsidRPr="00EA2705">
              <w:rPr>
                <w:rStyle w:val="Hyperlink"/>
                <w:noProof/>
              </w:rPr>
              <w:t>1.3.2 Application of the 4Ps of Innovation Framework</w:t>
            </w:r>
            <w:r w:rsidR="009F3E86">
              <w:rPr>
                <w:noProof/>
              </w:rPr>
              <w:tab/>
            </w:r>
            <w:r>
              <w:rPr>
                <w:noProof/>
              </w:rPr>
              <w:fldChar w:fldCharType="begin"/>
            </w:r>
            <w:r w:rsidR="009F3E86">
              <w:rPr>
                <w:noProof/>
              </w:rPr>
              <w:instrText xml:space="preserve"> PAGEREF _Toc232336549 \h </w:instrText>
            </w:r>
            <w:r>
              <w:rPr>
                <w:noProof/>
              </w:rPr>
            </w:r>
            <w:r>
              <w:rPr>
                <w:noProof/>
              </w:rPr>
              <w:fldChar w:fldCharType="separate"/>
            </w:r>
            <w:r w:rsidR="009F3E86">
              <w:rPr>
                <w:noProof/>
              </w:rPr>
              <w:t>7</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50" w:history="1">
            <w:r w:rsidR="009F3E86" w:rsidRPr="00EA2705">
              <w:rPr>
                <w:rStyle w:val="Hyperlink"/>
                <w:noProof/>
              </w:rPr>
              <w:t>1.3.3 Application of the Business Model Canvas</w:t>
            </w:r>
            <w:r w:rsidR="009F3E86">
              <w:rPr>
                <w:noProof/>
              </w:rPr>
              <w:tab/>
            </w:r>
            <w:r>
              <w:rPr>
                <w:noProof/>
              </w:rPr>
              <w:fldChar w:fldCharType="begin"/>
            </w:r>
            <w:r w:rsidR="009F3E86">
              <w:rPr>
                <w:noProof/>
              </w:rPr>
              <w:instrText xml:space="preserve"> PAGEREF _Toc232336550 \h </w:instrText>
            </w:r>
            <w:r>
              <w:rPr>
                <w:noProof/>
              </w:rPr>
            </w:r>
            <w:r>
              <w:rPr>
                <w:noProof/>
              </w:rPr>
              <w:fldChar w:fldCharType="separate"/>
            </w:r>
            <w:r w:rsidR="009F3E86">
              <w:rPr>
                <w:noProof/>
              </w:rPr>
              <w:t>7</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1" w:history="1">
            <w:r w:rsidR="009F3E86" w:rsidRPr="00EA2705">
              <w:rPr>
                <w:rStyle w:val="Hyperlink"/>
                <w:noProof/>
              </w:rPr>
              <w:t>1.4 Creativity Process Used to Develop the Innovation</w:t>
            </w:r>
            <w:r w:rsidR="009F3E86">
              <w:rPr>
                <w:noProof/>
              </w:rPr>
              <w:tab/>
            </w:r>
            <w:r>
              <w:rPr>
                <w:noProof/>
              </w:rPr>
              <w:fldChar w:fldCharType="begin"/>
            </w:r>
            <w:r w:rsidR="009F3E86">
              <w:rPr>
                <w:noProof/>
              </w:rPr>
              <w:instrText xml:space="preserve"> PAGEREF _Toc232336551 \h </w:instrText>
            </w:r>
            <w:r>
              <w:rPr>
                <w:noProof/>
              </w:rPr>
            </w:r>
            <w:r>
              <w:rPr>
                <w:noProof/>
              </w:rPr>
              <w:fldChar w:fldCharType="separate"/>
            </w:r>
            <w:r w:rsidR="009F3E86">
              <w:rPr>
                <w:noProof/>
              </w:rPr>
              <w:t>8</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2" w:history="1">
            <w:r w:rsidR="009F3E86" w:rsidRPr="00EA2705">
              <w:rPr>
                <w:rStyle w:val="Hyperlink"/>
                <w:noProof/>
              </w:rPr>
              <w:t>1.5 Innovation Viability – Lewin’s Force Field Analysis</w:t>
            </w:r>
            <w:r w:rsidR="009F3E86">
              <w:rPr>
                <w:noProof/>
              </w:rPr>
              <w:tab/>
            </w:r>
            <w:r>
              <w:rPr>
                <w:noProof/>
              </w:rPr>
              <w:fldChar w:fldCharType="begin"/>
            </w:r>
            <w:r w:rsidR="009F3E86">
              <w:rPr>
                <w:noProof/>
              </w:rPr>
              <w:instrText xml:space="preserve"> PAGEREF _Toc232336552 \h </w:instrText>
            </w:r>
            <w:r>
              <w:rPr>
                <w:noProof/>
              </w:rPr>
            </w:r>
            <w:r>
              <w:rPr>
                <w:noProof/>
              </w:rPr>
              <w:fldChar w:fldCharType="separate"/>
            </w:r>
            <w:r w:rsidR="009F3E86">
              <w:rPr>
                <w:noProof/>
              </w:rPr>
              <w:t>9</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53" w:history="1">
            <w:r w:rsidR="009F3E86" w:rsidRPr="00EA2705">
              <w:rPr>
                <w:rStyle w:val="Hyperlink"/>
                <w:noProof/>
              </w:rPr>
              <w:t>1.5.1 Driving and Restraining Forces</w:t>
            </w:r>
            <w:r w:rsidR="009F3E86">
              <w:rPr>
                <w:noProof/>
              </w:rPr>
              <w:tab/>
            </w:r>
            <w:r>
              <w:rPr>
                <w:noProof/>
              </w:rPr>
              <w:fldChar w:fldCharType="begin"/>
            </w:r>
            <w:r w:rsidR="009F3E86">
              <w:rPr>
                <w:noProof/>
              </w:rPr>
              <w:instrText xml:space="preserve"> PAGEREF _Toc232336553 \h </w:instrText>
            </w:r>
            <w:r>
              <w:rPr>
                <w:noProof/>
              </w:rPr>
            </w:r>
            <w:r>
              <w:rPr>
                <w:noProof/>
              </w:rPr>
              <w:fldChar w:fldCharType="separate"/>
            </w:r>
            <w:r w:rsidR="009F3E86">
              <w:rPr>
                <w:noProof/>
              </w:rPr>
              <w:t>9</w:t>
            </w:r>
            <w:r>
              <w:rPr>
                <w:noProof/>
              </w:rPr>
              <w:fldChar w:fldCharType="end"/>
            </w:r>
          </w:hyperlink>
        </w:p>
        <w:p w:rsidR="009F3E86" w:rsidRDefault="00BD1DC7">
          <w:pPr>
            <w:pStyle w:val="TOC3"/>
            <w:rPr>
              <w:rFonts w:asciiTheme="minorHAnsi" w:eastAsiaTheme="minorEastAsia" w:hAnsiTheme="minorHAnsi" w:cstheme="minorBidi"/>
              <w:noProof/>
              <w:kern w:val="2"/>
              <w:lang w:val="en-GB" w:eastAsia="en-GB" w:bidi="ar-SA"/>
            </w:rPr>
          </w:pPr>
          <w:hyperlink w:anchor="_Toc232336554" w:history="1">
            <w:r w:rsidR="009F3E86" w:rsidRPr="00EA2705">
              <w:rPr>
                <w:rStyle w:val="Hyperlink"/>
                <w:noProof/>
              </w:rPr>
              <w:t>1.5.2 Evaluation and Value-Creation Justification</w:t>
            </w:r>
            <w:r w:rsidR="009F3E86">
              <w:rPr>
                <w:noProof/>
              </w:rPr>
              <w:tab/>
            </w:r>
            <w:r>
              <w:rPr>
                <w:noProof/>
              </w:rPr>
              <w:fldChar w:fldCharType="begin"/>
            </w:r>
            <w:r w:rsidR="009F3E86">
              <w:rPr>
                <w:noProof/>
              </w:rPr>
              <w:instrText xml:space="preserve"> PAGEREF _Toc232336554 \h </w:instrText>
            </w:r>
            <w:r>
              <w:rPr>
                <w:noProof/>
              </w:rPr>
            </w:r>
            <w:r>
              <w:rPr>
                <w:noProof/>
              </w:rPr>
              <w:fldChar w:fldCharType="separate"/>
            </w:r>
            <w:r w:rsidR="009F3E86">
              <w:rPr>
                <w:noProof/>
              </w:rPr>
              <w:t>9</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5" w:history="1">
            <w:r w:rsidR="009F3E86" w:rsidRPr="00EA2705">
              <w:rPr>
                <w:rStyle w:val="Hyperlink"/>
                <w:noProof/>
              </w:rPr>
              <w:t>1.6 Organisational Climate and Innovation Support</w:t>
            </w:r>
            <w:r w:rsidR="009F3E86">
              <w:rPr>
                <w:noProof/>
              </w:rPr>
              <w:tab/>
            </w:r>
            <w:r>
              <w:rPr>
                <w:noProof/>
              </w:rPr>
              <w:fldChar w:fldCharType="begin"/>
            </w:r>
            <w:r w:rsidR="009F3E86">
              <w:rPr>
                <w:noProof/>
              </w:rPr>
              <w:instrText xml:space="preserve"> PAGEREF _Toc232336555 \h </w:instrText>
            </w:r>
            <w:r>
              <w:rPr>
                <w:noProof/>
              </w:rPr>
            </w:r>
            <w:r>
              <w:rPr>
                <w:noProof/>
              </w:rPr>
              <w:fldChar w:fldCharType="separate"/>
            </w:r>
            <w:r w:rsidR="009F3E86">
              <w:rPr>
                <w:noProof/>
              </w:rPr>
              <w:t>10</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6" w:history="1">
            <w:r w:rsidR="009F3E86" w:rsidRPr="00EA2705">
              <w:rPr>
                <w:rStyle w:val="Hyperlink"/>
                <w:noProof/>
              </w:rPr>
              <w:t>1.7 Conclusion</w:t>
            </w:r>
            <w:r w:rsidR="009F3E86">
              <w:rPr>
                <w:noProof/>
              </w:rPr>
              <w:tab/>
            </w:r>
            <w:r>
              <w:rPr>
                <w:noProof/>
              </w:rPr>
              <w:fldChar w:fldCharType="begin"/>
            </w:r>
            <w:r w:rsidR="009F3E86">
              <w:rPr>
                <w:noProof/>
              </w:rPr>
              <w:instrText xml:space="preserve"> PAGEREF _Toc232336556 \h </w:instrText>
            </w:r>
            <w:r>
              <w:rPr>
                <w:noProof/>
              </w:rPr>
            </w:r>
            <w:r>
              <w:rPr>
                <w:noProof/>
              </w:rPr>
              <w:fldChar w:fldCharType="separate"/>
            </w:r>
            <w:r w:rsidR="009F3E86">
              <w:rPr>
                <w:noProof/>
              </w:rPr>
              <w:t>11</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57" w:history="1">
            <w:r w:rsidR="009F3E86" w:rsidRPr="00EA2705">
              <w:rPr>
                <w:rStyle w:val="Hyperlink"/>
                <w:noProof/>
              </w:rPr>
              <w:t>Part 2 – Applying AI to Develop the Innovation</w:t>
            </w:r>
            <w:r w:rsidR="009F3E86">
              <w:rPr>
                <w:noProof/>
              </w:rPr>
              <w:tab/>
            </w:r>
            <w:r>
              <w:rPr>
                <w:noProof/>
              </w:rPr>
              <w:fldChar w:fldCharType="begin"/>
            </w:r>
            <w:r w:rsidR="009F3E86">
              <w:rPr>
                <w:noProof/>
              </w:rPr>
              <w:instrText xml:space="preserve"> PAGEREF _Toc232336557 \h </w:instrText>
            </w:r>
            <w:r>
              <w:rPr>
                <w:noProof/>
              </w:rPr>
            </w:r>
            <w:r>
              <w:rPr>
                <w:noProof/>
              </w:rPr>
              <w:fldChar w:fldCharType="separate"/>
            </w:r>
            <w:r w:rsidR="009F3E86">
              <w:rPr>
                <w:noProof/>
              </w:rPr>
              <w:t>12</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8" w:history="1">
            <w:r w:rsidR="009F3E86" w:rsidRPr="00EA2705">
              <w:rPr>
                <w:rStyle w:val="Hyperlink"/>
                <w:noProof/>
              </w:rPr>
              <w:t>2.1 Approach to Using AI</w:t>
            </w:r>
            <w:r w:rsidR="009F3E86">
              <w:rPr>
                <w:noProof/>
              </w:rPr>
              <w:tab/>
            </w:r>
            <w:r>
              <w:rPr>
                <w:noProof/>
              </w:rPr>
              <w:fldChar w:fldCharType="begin"/>
            </w:r>
            <w:r w:rsidR="009F3E86">
              <w:rPr>
                <w:noProof/>
              </w:rPr>
              <w:instrText xml:space="preserve"> PAGEREF _Toc232336558 \h </w:instrText>
            </w:r>
            <w:r>
              <w:rPr>
                <w:noProof/>
              </w:rPr>
            </w:r>
            <w:r>
              <w:rPr>
                <w:noProof/>
              </w:rPr>
              <w:fldChar w:fldCharType="separate"/>
            </w:r>
            <w:r w:rsidR="009F3E86">
              <w:rPr>
                <w:noProof/>
              </w:rPr>
              <w:t>12</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59" w:history="1">
            <w:r w:rsidR="009F3E86" w:rsidRPr="00EA2705">
              <w:rPr>
                <w:rStyle w:val="Hyperlink"/>
                <w:noProof/>
              </w:rPr>
              <w:t>2.2 Where the AI Added Value</w:t>
            </w:r>
            <w:r w:rsidR="009F3E86">
              <w:rPr>
                <w:noProof/>
              </w:rPr>
              <w:tab/>
            </w:r>
            <w:r>
              <w:rPr>
                <w:noProof/>
              </w:rPr>
              <w:fldChar w:fldCharType="begin"/>
            </w:r>
            <w:r w:rsidR="009F3E86">
              <w:rPr>
                <w:noProof/>
              </w:rPr>
              <w:instrText xml:space="preserve"> PAGEREF _Toc232336559 \h </w:instrText>
            </w:r>
            <w:r>
              <w:rPr>
                <w:noProof/>
              </w:rPr>
            </w:r>
            <w:r>
              <w:rPr>
                <w:noProof/>
              </w:rPr>
              <w:fldChar w:fldCharType="separate"/>
            </w:r>
            <w:r w:rsidR="009F3E86">
              <w:rPr>
                <w:noProof/>
              </w:rPr>
              <w:t>12</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0" w:history="1">
            <w:r w:rsidR="009F3E86" w:rsidRPr="00EA2705">
              <w:rPr>
                <w:rStyle w:val="Hyperlink"/>
                <w:noProof/>
              </w:rPr>
              <w:t>2.3 Fluency Mistaken for Insight</w:t>
            </w:r>
            <w:r w:rsidR="009F3E86">
              <w:rPr>
                <w:noProof/>
              </w:rPr>
              <w:tab/>
            </w:r>
            <w:r>
              <w:rPr>
                <w:noProof/>
              </w:rPr>
              <w:fldChar w:fldCharType="begin"/>
            </w:r>
            <w:r w:rsidR="009F3E86">
              <w:rPr>
                <w:noProof/>
              </w:rPr>
              <w:instrText xml:space="preserve"> PAGEREF _Toc232336560 \h </w:instrText>
            </w:r>
            <w:r>
              <w:rPr>
                <w:noProof/>
              </w:rPr>
            </w:r>
            <w:r>
              <w:rPr>
                <w:noProof/>
              </w:rPr>
              <w:fldChar w:fldCharType="separate"/>
            </w:r>
            <w:r w:rsidR="009F3E86">
              <w:rPr>
                <w:noProof/>
              </w:rPr>
              <w:t>13</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1" w:history="1">
            <w:r w:rsidR="009F3E86" w:rsidRPr="00EA2705">
              <w:rPr>
                <w:rStyle w:val="Hyperlink"/>
                <w:noProof/>
              </w:rPr>
              <w:t>2.4 Grandiosity and the Loss of Fit</w:t>
            </w:r>
            <w:r w:rsidR="009F3E86">
              <w:rPr>
                <w:noProof/>
              </w:rPr>
              <w:tab/>
            </w:r>
            <w:r>
              <w:rPr>
                <w:noProof/>
              </w:rPr>
              <w:fldChar w:fldCharType="begin"/>
            </w:r>
            <w:r w:rsidR="009F3E86">
              <w:rPr>
                <w:noProof/>
              </w:rPr>
              <w:instrText xml:space="preserve"> PAGEREF _Toc232336561 \h </w:instrText>
            </w:r>
            <w:r>
              <w:rPr>
                <w:noProof/>
              </w:rPr>
            </w:r>
            <w:r>
              <w:rPr>
                <w:noProof/>
              </w:rPr>
              <w:fldChar w:fldCharType="separate"/>
            </w:r>
            <w:r w:rsidR="009F3E86">
              <w:rPr>
                <w:noProof/>
              </w:rPr>
              <w:t>13</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2" w:history="1">
            <w:r w:rsidR="009F3E86" w:rsidRPr="00EA2705">
              <w:rPr>
                <w:rStyle w:val="Hyperlink"/>
                <w:noProof/>
              </w:rPr>
              <w:t>2.5 Inconsistent Judgement and Misplaced Confidence</w:t>
            </w:r>
            <w:r w:rsidR="009F3E86">
              <w:rPr>
                <w:noProof/>
              </w:rPr>
              <w:tab/>
            </w:r>
            <w:r>
              <w:rPr>
                <w:noProof/>
              </w:rPr>
              <w:fldChar w:fldCharType="begin"/>
            </w:r>
            <w:r w:rsidR="009F3E86">
              <w:rPr>
                <w:noProof/>
              </w:rPr>
              <w:instrText xml:space="preserve"> PAGEREF _Toc232336562 \h </w:instrText>
            </w:r>
            <w:r>
              <w:rPr>
                <w:noProof/>
              </w:rPr>
            </w:r>
            <w:r>
              <w:rPr>
                <w:noProof/>
              </w:rPr>
              <w:fldChar w:fldCharType="separate"/>
            </w:r>
            <w:r w:rsidR="009F3E86">
              <w:rPr>
                <w:noProof/>
              </w:rPr>
              <w:t>14</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3" w:history="1">
            <w:r w:rsidR="009F3E86" w:rsidRPr="00EA2705">
              <w:rPr>
                <w:rStyle w:val="Hyperlink"/>
                <w:noProof/>
              </w:rPr>
              <w:t>2.6 Issues, Successes and Implications</w:t>
            </w:r>
            <w:r w:rsidR="009F3E86">
              <w:rPr>
                <w:noProof/>
              </w:rPr>
              <w:tab/>
            </w:r>
            <w:r>
              <w:rPr>
                <w:noProof/>
              </w:rPr>
              <w:fldChar w:fldCharType="begin"/>
            </w:r>
            <w:r w:rsidR="009F3E86">
              <w:rPr>
                <w:noProof/>
              </w:rPr>
              <w:instrText xml:space="preserve"> PAGEREF _Toc232336563 \h </w:instrText>
            </w:r>
            <w:r>
              <w:rPr>
                <w:noProof/>
              </w:rPr>
            </w:r>
            <w:r>
              <w:rPr>
                <w:noProof/>
              </w:rPr>
              <w:fldChar w:fldCharType="separate"/>
            </w:r>
            <w:r w:rsidR="009F3E86">
              <w:rPr>
                <w:noProof/>
              </w:rPr>
              <w:t>15</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64" w:history="1">
            <w:r w:rsidR="009F3E86" w:rsidRPr="00EA2705">
              <w:rPr>
                <w:rStyle w:val="Hyperlink"/>
                <w:noProof/>
              </w:rPr>
              <w:t>Main Findings</w:t>
            </w:r>
            <w:r w:rsidR="009F3E86">
              <w:rPr>
                <w:noProof/>
              </w:rPr>
              <w:tab/>
            </w:r>
            <w:r>
              <w:rPr>
                <w:noProof/>
              </w:rPr>
              <w:fldChar w:fldCharType="begin"/>
            </w:r>
            <w:r w:rsidR="009F3E86">
              <w:rPr>
                <w:noProof/>
              </w:rPr>
              <w:instrText xml:space="preserve"> PAGEREF _Toc232336564 \h </w:instrText>
            </w:r>
            <w:r>
              <w:rPr>
                <w:noProof/>
              </w:rPr>
            </w:r>
            <w:r>
              <w:rPr>
                <w:noProof/>
              </w:rPr>
              <w:fldChar w:fldCharType="separate"/>
            </w:r>
            <w:r w:rsidR="009F3E86">
              <w:rPr>
                <w:noProof/>
              </w:rPr>
              <w:t>15</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65" w:history="1">
            <w:r w:rsidR="009F3E86" w:rsidRPr="00EA2705">
              <w:rPr>
                <w:rStyle w:val="Hyperlink"/>
                <w:noProof/>
              </w:rPr>
              <w:t>Overall Conclusion</w:t>
            </w:r>
            <w:r w:rsidR="009F3E86">
              <w:rPr>
                <w:noProof/>
              </w:rPr>
              <w:tab/>
            </w:r>
            <w:r>
              <w:rPr>
                <w:noProof/>
              </w:rPr>
              <w:fldChar w:fldCharType="begin"/>
            </w:r>
            <w:r w:rsidR="009F3E86">
              <w:rPr>
                <w:noProof/>
              </w:rPr>
              <w:instrText xml:space="preserve"> PAGEREF _Toc232336565 \h </w:instrText>
            </w:r>
            <w:r>
              <w:rPr>
                <w:noProof/>
              </w:rPr>
            </w:r>
            <w:r>
              <w:rPr>
                <w:noProof/>
              </w:rPr>
              <w:fldChar w:fldCharType="separate"/>
            </w:r>
            <w:r w:rsidR="009F3E86">
              <w:rPr>
                <w:noProof/>
              </w:rPr>
              <w:t>16</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66" w:history="1">
            <w:r w:rsidR="009F3E86" w:rsidRPr="00EA2705">
              <w:rPr>
                <w:rStyle w:val="Hyperlink"/>
                <w:noProof/>
              </w:rPr>
              <w:t>References</w:t>
            </w:r>
            <w:r w:rsidR="009F3E86">
              <w:rPr>
                <w:noProof/>
              </w:rPr>
              <w:tab/>
            </w:r>
            <w:r>
              <w:rPr>
                <w:noProof/>
              </w:rPr>
              <w:fldChar w:fldCharType="begin"/>
            </w:r>
            <w:r w:rsidR="009F3E86">
              <w:rPr>
                <w:noProof/>
              </w:rPr>
              <w:instrText xml:space="preserve"> PAGEREF _Toc232336566 \h </w:instrText>
            </w:r>
            <w:r>
              <w:rPr>
                <w:noProof/>
              </w:rPr>
            </w:r>
            <w:r>
              <w:rPr>
                <w:noProof/>
              </w:rPr>
              <w:fldChar w:fldCharType="separate"/>
            </w:r>
            <w:r w:rsidR="009F3E86">
              <w:rPr>
                <w:noProof/>
              </w:rPr>
              <w:t>17</w:t>
            </w:r>
            <w:r>
              <w:rPr>
                <w:noProof/>
              </w:rPr>
              <w:fldChar w:fldCharType="end"/>
            </w:r>
          </w:hyperlink>
        </w:p>
        <w:p w:rsidR="009F3E86" w:rsidRDefault="00BD1DC7">
          <w:pPr>
            <w:pStyle w:val="TOC1"/>
            <w:rPr>
              <w:rFonts w:asciiTheme="minorHAnsi" w:eastAsiaTheme="minorEastAsia" w:hAnsiTheme="minorHAnsi" w:cstheme="minorBidi"/>
              <w:noProof/>
              <w:kern w:val="2"/>
              <w:lang w:val="en-GB" w:eastAsia="en-GB" w:bidi="ar-SA"/>
            </w:rPr>
          </w:pPr>
          <w:hyperlink w:anchor="_Toc232336567" w:history="1">
            <w:r w:rsidR="009F3E86" w:rsidRPr="00EA2705">
              <w:rPr>
                <w:rStyle w:val="Hyperlink"/>
                <w:noProof/>
              </w:rPr>
              <w:t>Appendix</w:t>
            </w:r>
            <w:r w:rsidR="009F3E86">
              <w:rPr>
                <w:noProof/>
              </w:rPr>
              <w:tab/>
            </w:r>
            <w:r>
              <w:rPr>
                <w:noProof/>
              </w:rPr>
              <w:fldChar w:fldCharType="begin"/>
            </w:r>
            <w:r w:rsidR="009F3E86">
              <w:rPr>
                <w:noProof/>
              </w:rPr>
              <w:instrText xml:space="preserve"> PAGEREF _Toc232336567 \h </w:instrText>
            </w:r>
            <w:r>
              <w:rPr>
                <w:noProof/>
              </w:rPr>
            </w:r>
            <w:r>
              <w:rPr>
                <w:noProof/>
              </w:rPr>
              <w:fldChar w:fldCharType="separate"/>
            </w:r>
            <w:r w:rsidR="009F3E86">
              <w:rPr>
                <w:noProof/>
              </w:rPr>
              <w:t>21</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8" w:history="1">
            <w:r w:rsidR="009F3E86" w:rsidRPr="00EA2705">
              <w:rPr>
                <w:rStyle w:val="Hyperlink"/>
                <w:noProof/>
              </w:rPr>
              <w:t>Appendix 1: Business Model Canvas – The Seren Stewardship Model</w:t>
            </w:r>
            <w:r w:rsidR="009F3E86">
              <w:rPr>
                <w:noProof/>
              </w:rPr>
              <w:tab/>
            </w:r>
            <w:r>
              <w:rPr>
                <w:noProof/>
              </w:rPr>
              <w:fldChar w:fldCharType="begin"/>
            </w:r>
            <w:r w:rsidR="009F3E86">
              <w:rPr>
                <w:noProof/>
              </w:rPr>
              <w:instrText xml:space="preserve"> PAGEREF _Toc232336568 \h </w:instrText>
            </w:r>
            <w:r>
              <w:rPr>
                <w:noProof/>
              </w:rPr>
            </w:r>
            <w:r>
              <w:rPr>
                <w:noProof/>
              </w:rPr>
              <w:fldChar w:fldCharType="separate"/>
            </w:r>
            <w:r w:rsidR="009F3E86">
              <w:rPr>
                <w:noProof/>
              </w:rPr>
              <w:t>21</w:t>
            </w:r>
            <w:r>
              <w:rPr>
                <w:noProof/>
              </w:rPr>
              <w:fldChar w:fldCharType="end"/>
            </w:r>
          </w:hyperlink>
        </w:p>
        <w:p w:rsidR="009F3E86" w:rsidRDefault="00BD1DC7">
          <w:pPr>
            <w:pStyle w:val="TOC2"/>
            <w:rPr>
              <w:rFonts w:asciiTheme="minorHAnsi" w:eastAsiaTheme="minorEastAsia" w:hAnsiTheme="minorHAnsi" w:cstheme="minorBidi"/>
              <w:noProof/>
              <w:kern w:val="2"/>
              <w:lang w:val="en-GB" w:eastAsia="en-GB" w:bidi="ar-SA"/>
            </w:rPr>
          </w:pPr>
          <w:hyperlink w:anchor="_Toc232336569" w:history="1">
            <w:r w:rsidR="009F3E86" w:rsidRPr="00EA2705">
              <w:rPr>
                <w:rStyle w:val="Hyperlink"/>
                <w:noProof/>
              </w:rPr>
              <w:t>Appendix 2: AI Conversation – Prompts and Screenshots</w:t>
            </w:r>
            <w:r w:rsidR="009F3E86">
              <w:rPr>
                <w:noProof/>
              </w:rPr>
              <w:tab/>
            </w:r>
            <w:r>
              <w:rPr>
                <w:noProof/>
              </w:rPr>
              <w:fldChar w:fldCharType="begin"/>
            </w:r>
            <w:r w:rsidR="009F3E86">
              <w:rPr>
                <w:noProof/>
              </w:rPr>
              <w:instrText xml:space="preserve"> PAGEREF _Toc232336569 \h </w:instrText>
            </w:r>
            <w:r>
              <w:rPr>
                <w:noProof/>
              </w:rPr>
            </w:r>
            <w:r>
              <w:rPr>
                <w:noProof/>
              </w:rPr>
              <w:fldChar w:fldCharType="separate"/>
            </w:r>
            <w:r w:rsidR="009F3E86">
              <w:rPr>
                <w:noProof/>
              </w:rPr>
              <w:t>21</w:t>
            </w:r>
            <w:r>
              <w:rPr>
                <w:noProof/>
              </w:rPr>
              <w:fldChar w:fldCharType="end"/>
            </w:r>
          </w:hyperlink>
        </w:p>
        <w:p w:rsidR="007B356F" w:rsidRDefault="00BD1DC7">
          <w:pPr>
            <w:pStyle w:val="TOC2"/>
            <w:tabs>
              <w:tab w:val="clear" w:pos="8743"/>
              <w:tab w:val="right" w:leader="dot" w:pos="9025"/>
            </w:tabs>
          </w:pPr>
          <w:r>
            <w:rPr>
              <w:rStyle w:val="IndexLink"/>
            </w:rPr>
            <w:fldChar w:fldCharType="end"/>
          </w:r>
        </w:p>
      </w:sdtContent>
    </w:sdt>
    <w:p w:rsidR="007B356F" w:rsidRDefault="007B356F"/>
    <w:p w:rsidR="007B356F" w:rsidRDefault="004255E9">
      <w:r>
        <w:br w:type="page"/>
      </w:r>
    </w:p>
    <w:p w:rsidR="007B356F" w:rsidRDefault="004255E9">
      <w:pPr>
        <w:pStyle w:val="Heading1"/>
        <w:spacing w:before="0"/>
      </w:pPr>
      <w:bookmarkStart w:id="2" w:name="_Toc232336541"/>
      <w:r>
        <w:t>Part 1 – Innovation Analysis Report</w:t>
      </w:r>
      <w:bookmarkEnd w:id="2"/>
    </w:p>
    <w:p w:rsidR="007B356F" w:rsidRDefault="004255E9">
      <w:pPr>
        <w:pStyle w:val="Heading2"/>
      </w:pPr>
      <w:bookmarkStart w:id="3" w:name="_Toc232336542"/>
      <w:r>
        <w:t>1.1 Introduction to the Organisation and the Innovation Issue</w:t>
      </w:r>
      <w:bookmarkEnd w:id="3"/>
    </w:p>
    <w:p w:rsidR="007B356F" w:rsidRDefault="004255E9">
      <w:pPr>
        <w:spacing w:after="160" w:line="360" w:lineRule="auto"/>
        <w:jc w:val="both"/>
      </w:pPr>
      <w:r>
        <w:t>Seren Coffi is a small independent café near the old docks in Cardiff, pairin</w:t>
      </w:r>
      <w:r w:rsidR="009F3E86">
        <w:t>g</w:t>
      </w:r>
      <w:r>
        <w:t>speciality coffee with a clear commitment to ethical sourcing, Welsh-language visibility and local community. Its identity is deliberately anti-standardised: reclaimed chapel pews, a named local carpenter, and a chalkboard listing the day’s beans, their origins and the cooperatives behind them. This places the café within the experience economy, where customers buy meaning and atmosphere rather than a commodity (Pine and Gilmore, 2011).</w:t>
      </w:r>
    </w:p>
    <w:p w:rsidR="007B356F" w:rsidRDefault="004255E9">
      <w:pPr>
        <w:spacing w:after="160" w:line="360" w:lineRule="auto"/>
        <w:jc w:val="both"/>
      </w:pPr>
      <w:r>
        <w:t>The operational issue, however, is acute and well evidenced. Demand persists — the product is in demand and the model is described as sound — yet the business is failing. The symptoms are operational: a grinder broken for weeks, the chalkboard no longer updated, poetry nights stopped, slow service and deferred decisions. Th</w:t>
      </w:r>
      <w:r w:rsidR="009F3E86">
        <w:t>e</w:t>
      </w:r>
      <w:r>
        <w:t xml:space="preserve"> deeper cause is that the founders make every decision collectively ‘after closing, sitting with coffees that had gone cold’, with too much resting on a shrinking core as one founder takes outside work and another misses meetings. The diagnosis is therefore </w:t>
      </w:r>
      <w:r w:rsidR="00EE1F40">
        <w:t xml:space="preserve">that </w:t>
      </w:r>
      <w:r>
        <w:rPr>
          <w:b/>
          <w:bCs/>
        </w:rPr>
        <w:t>Seren Coffi suffers from operational and decision-making fatigue, not weak demand</w:t>
      </w:r>
      <w:r>
        <w:t xml:space="preserve"> — a distinction that decides whether a solution should add activity or remove load.</w:t>
      </w:r>
    </w:p>
    <w:p w:rsidR="007B356F" w:rsidRDefault="004255E9">
      <w:pPr>
        <w:spacing w:after="160" w:line="360" w:lineRule="auto"/>
        <w:jc w:val="both"/>
      </w:pPr>
      <w:r>
        <w:t>The case also sets hard boundaries: leadership, governance and suppliers cannot change; lateral thinking is required; ‘a capitalist solution is not always a good solution’; and the remaining £2,000 is a tool, not an operating budget. These rule out the obvious efficiency play — the hospitality group’s offer to scale, standardise and concentrate decisions — which would trade the café’s identity for survival. The task is to turn the business around without dismantling what makes it worth saving.</w:t>
      </w:r>
    </w:p>
    <w:p w:rsidR="007B356F" w:rsidRDefault="004255E9">
      <w:pPr>
        <w:pStyle w:val="Heading2"/>
      </w:pPr>
      <w:bookmarkStart w:id="4" w:name="_Toc232336543"/>
      <w:r>
        <w:t>1.2 Critical Analysis of Creativity and Innovation in Capitalist Business Growth</w:t>
      </w:r>
      <w:bookmarkEnd w:id="4"/>
    </w:p>
    <w:p w:rsidR="007B356F" w:rsidRDefault="004255E9">
      <w:pPr>
        <w:pStyle w:val="Heading3"/>
      </w:pPr>
      <w:bookmarkStart w:id="5" w:name="_Toc232336544"/>
      <w:r>
        <w:t>1.2.1 The Distinction Between Creativity and Innovation</w:t>
      </w:r>
      <w:bookmarkEnd w:id="5"/>
    </w:p>
    <w:p w:rsidR="007B356F" w:rsidRDefault="004255E9">
      <w:pPr>
        <w:spacing w:after="160" w:line="360" w:lineRule="auto"/>
        <w:jc w:val="both"/>
      </w:pPr>
      <w:r>
        <w:t>Cre</w:t>
      </w:r>
      <w:r w:rsidR="008F3F68">
        <w:t>ativity and innovation are often</w:t>
      </w:r>
      <w:r>
        <w:t xml:space="preserve"> conflated but are distinct. Creativity is the production of ideas that are novel and useful (Runco and Jaeger, 2012; Amabile and Pratt, 2016); innovation is the implementation of such ideas to create value (Baregheh, Rowley and Sambrook, 2009; Tidd and Bessant, 2020). The distinction matters for Seren Coffi: the café has never lacked creativity — its events were genuinely novel — but it lacked the capacity to implement them sustainably. This exposes a limitation in much of the innovation canon, which assumes firms have slack resources to absorb new activity (Trott, 2016); for a fatigued micro-business an unimplementable idea is worse than none, consuming the very capacity it was meant to renew.</w:t>
      </w:r>
    </w:p>
    <w:p w:rsidR="007B356F" w:rsidRDefault="004255E9">
      <w:pPr>
        <w:pStyle w:val="Heading3"/>
      </w:pPr>
      <w:bookmarkStart w:id="6" w:name="_Toc232336545"/>
      <w:r>
        <w:t>1.2.2 Capitalist Business Models and Innovation Tensions</w:t>
      </w:r>
      <w:bookmarkEnd w:id="6"/>
    </w:p>
    <w:p w:rsidR="007B356F" w:rsidRDefault="004255E9">
      <w:pPr>
        <w:spacing w:after="160" w:line="360" w:lineRule="auto"/>
        <w:jc w:val="both"/>
      </w:pPr>
      <w:r>
        <w:t>The orthodox case is that, amid constant change, innovation is the engine of competitiveness and renewal (Schumpeter, 1934; Tidd and Bessant, 2020). Yet this logic sits within a capitalist growth paradigm that privileges scale, efficiency and profit (Turner, 2020), and the tension shows throughout the case. The ‘rational’ capitalist move — switch suppliers, standardise the menu, shrink the decision group — would improve margins and speed, but would also erase the provenance, fairness and deliberation that make up the café’s value proposition. Porter and Kramer (2011) argue such tensions dissolve through shared value, aligning commercial and social returns; this is useful but over-optimistic, since it still measures success in financial terms and underplays cases where the two genuinely conflict.</w:t>
      </w:r>
    </w:p>
    <w:p w:rsidR="007B356F" w:rsidRDefault="004255E9">
      <w:pPr>
        <w:pStyle w:val="Heading3"/>
      </w:pPr>
      <w:bookmarkStart w:id="7" w:name="_Toc232336546"/>
      <w:r>
        <w:t>1.2.3 Value Creation Versus Value Extraction</w:t>
      </w:r>
      <w:bookmarkEnd w:id="7"/>
    </w:p>
    <w:p w:rsidR="007B356F" w:rsidRDefault="004255E9">
      <w:pPr>
        <w:spacing w:after="160" w:line="360" w:lineRule="auto"/>
        <w:jc w:val="both"/>
      </w:pPr>
      <w:r>
        <w:t>A more radical critique helps here. Mazzucato (2018) argues that mainstream economics confuses value extraction with value creation, while Raworth (2017) holds that a fixation on growth blinds organisations to other forms of thriving. The two differ: Porter and Kramer’s shared value stays inside market logic, while Raworth and Mazzucato question the measure of success itself. For a values-led café that cannot out-scale a chain, the second view fits better, since it does not require Seren Coffi to pretend its social returns will show on a conventional balance sheet. Read this way, the brief’s warning that ‘a capitalist solution is not always a good solution’ is a methodological instruction: the café should be judged on whether it sustains a community asset, not only on whether it grows. That reframing — the paradigm innovation the module emphasises — underpins the solution below, and is where the original submission stopped short, defaulting to a ‘more events’ logic the case had already shown to fail.</w:t>
      </w:r>
    </w:p>
    <w:p w:rsidR="007B356F" w:rsidRDefault="004255E9">
      <w:pPr>
        <w:pStyle w:val="Heading2"/>
      </w:pPr>
      <w:bookmarkStart w:id="8" w:name="_Toc232336547"/>
      <w:r>
        <w:t>1.3 Explanation of the Proposed Innovation Concept</w:t>
      </w:r>
      <w:bookmarkEnd w:id="8"/>
    </w:p>
    <w:p w:rsidR="007B356F" w:rsidRDefault="004255E9">
      <w:pPr>
        <w:pStyle w:val="Heading3"/>
      </w:pPr>
      <w:bookmarkStart w:id="9" w:name="_Toc232336548"/>
      <w:r>
        <w:t>1.3.1 Overview of the Proposed Innovation</w:t>
      </w:r>
      <w:bookmarkEnd w:id="9"/>
    </w:p>
    <w:p w:rsidR="007B356F" w:rsidRDefault="00F170B4">
      <w:pPr>
        <w:spacing w:after="160" w:line="360" w:lineRule="auto"/>
        <w:jc w:val="both"/>
      </w:pPr>
      <w:r>
        <w:t>The</w:t>
      </w:r>
      <w:r w:rsidR="004255E9">
        <w:t xml:space="preserve"> proposed innovation changes what kind of organisation Seren Coffi is. Rather than a business that serves a community, it becomes </w:t>
      </w:r>
      <w:r w:rsidR="004255E9">
        <w:rPr>
          <w:b/>
          <w:bCs/>
        </w:rPr>
        <w:t>a community that runs a café</w:t>
      </w:r>
      <w:r w:rsidR="004255E9">
        <w:t xml:space="preserve">: the people who were customers become part of how it operates. A capped, opt-in membership of existing regulars — branded </w:t>
      </w:r>
      <w:r w:rsidR="004255E9">
        <w:rPr>
          <w:i/>
          <w:iCs/>
        </w:rPr>
        <w:t>Y Criw</w:t>
      </w:r>
      <w:r w:rsidR="004255E9">
        <w:t xml:space="preserve"> (‘the Crew’) — take bounded, rota’d custodial roles set out in a single-page ‘operating rhythm’: keeping the chalkboard current, covering quiet opening hours, hosting the reinstated pay-what-you-can evening and running the language exchange. Time given is logged as </w:t>
      </w:r>
      <w:r w:rsidR="004255E9">
        <w:rPr>
          <w:i/>
          <w:iCs/>
        </w:rPr>
        <w:t>Sêr</w:t>
      </w:r>
      <w:r w:rsidR="004255E9">
        <w:t xml:space="preserve"> (Welsh for ‘stars’) in a simple physical ledger, redeemable for coffee and member experiences. This is a structured time bank in the tradition of Cahn (2000) and Seyfang (2004), where reciprocal contribution, not money, is the medium of exchange.</w:t>
      </w:r>
    </w:p>
    <w:p w:rsidR="007B356F" w:rsidRDefault="004255E9">
      <w:pPr>
        <w:spacing w:after="160" w:line="360" w:lineRule="auto"/>
        <w:jc w:val="both"/>
      </w:pPr>
      <w:r>
        <w:t xml:space="preserve">The decisive design feature is that it targets </w:t>
      </w:r>
      <w:r>
        <w:rPr>
          <w:b/>
          <w:bCs/>
        </w:rPr>
        <w:t>decision load, not just physical labour</w:t>
      </w:r>
      <w:r>
        <w:t xml:space="preserve">. A rotating ‘steward of the week’ resolves routine operational calls within pre-agreed limits, freeing the founders from the daily deliberation the case describes while they keep authority over strategy. The model therefore </w:t>
      </w:r>
      <w:r>
        <w:rPr>
          <w:b/>
          <w:bCs/>
        </w:rPr>
        <w:t>substitutes</w:t>
      </w:r>
      <w:r>
        <w:t xml:space="preserve"> founder labour and judgement rather than adding to them — the inverse of the failed events programme. It is also self-coordinating, through a published playbook and rota, which is what separates it from the ad-hoc volunteering the case reports as having ‘created other problems’: structure converts goodwill into reliable capacity.</w:t>
      </w:r>
    </w:p>
    <w:p w:rsidR="007B356F" w:rsidRDefault="004255E9">
      <w:pPr>
        <w:spacing w:after="160" w:line="360" w:lineRule="auto"/>
        <w:jc w:val="both"/>
      </w:pPr>
      <w:r>
        <w:t>It is worth meeting the obvious objection directly: that this is just a volunteer rota under a new name. It is not, and the difference is practical. Ordinary volunteering adds to what the founders already do, whereas the stewardship model takes work off them, so capacity is freed rather than stretched. It also tends to leave the founders managing the volunteers; here the operating rhythm and steward of the week absorb routine decisions, so the coordination load falls away too. The case is the clearest evidence: informal volunteering helped in some ways but caused other problems, largely because it had no structure. Bounded roles, a capped membership and a visible Sêr ledger give that goodwill the structure it lacked (Ostrom, 1990) — the proposal supplies the system that willingness alone could not.</w:t>
      </w:r>
    </w:p>
    <w:p w:rsidR="007B356F" w:rsidRDefault="004255E9">
      <w:pPr>
        <w:spacing w:before="120" w:after="40"/>
        <w:jc w:val="center"/>
      </w:pPr>
      <w:r>
        <w:rPr>
          <w:noProof/>
          <w:lang w:eastAsia="en-US" w:bidi="ar-SA"/>
        </w:rPr>
        <w:drawing>
          <wp:inline distT="0" distB="0" distL="0" distR="0">
            <wp:extent cx="4457700" cy="2809875"/>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7" cstate="print"/>
                    <a:stretch>
                      <a:fillRect/>
                    </a:stretch>
                  </pic:blipFill>
                  <pic:spPr bwMode="auto">
                    <a:xfrm>
                      <a:off x="0" y="0"/>
                      <a:ext cx="4457700" cy="2809875"/>
                    </a:xfrm>
                    <a:prstGeom prst="rect">
                      <a:avLst/>
                    </a:prstGeom>
                  </pic:spPr>
                </pic:pic>
              </a:graphicData>
            </a:graphic>
          </wp:inline>
        </w:drawing>
      </w:r>
    </w:p>
    <w:p w:rsidR="007B356F" w:rsidRDefault="004255E9">
      <w:pPr>
        <w:spacing w:after="200"/>
        <w:jc w:val="center"/>
      </w:pPr>
      <w:r>
        <w:rPr>
          <w:i/>
          <w:iCs/>
          <w:color w:val="595959"/>
          <w:sz w:val="20"/>
          <w:szCs w:val="20"/>
        </w:rPr>
        <w:t>Figure 1. The Seren Stewardship Model.</w:t>
      </w:r>
    </w:p>
    <w:p w:rsidR="007B356F" w:rsidRDefault="004255E9">
      <w:pPr>
        <w:pStyle w:val="Heading3"/>
      </w:pPr>
      <w:bookmarkStart w:id="10" w:name="_Toc232336549"/>
      <w:r>
        <w:t>1.3.2 Application of the 4Ps of Innovation Framework</w:t>
      </w:r>
      <w:bookmarkEnd w:id="10"/>
    </w:p>
    <w:p w:rsidR="007B356F" w:rsidRDefault="004255E9">
      <w:pPr>
        <w:spacing w:after="160" w:line="360" w:lineRule="auto"/>
        <w:jc w:val="both"/>
      </w:pPr>
      <w:r>
        <w:t xml:space="preserve">Using Tidd and Bessant’s (2020) 4Ps, the innovation is mainly </w:t>
      </w:r>
      <w:r>
        <w:rPr>
          <w:b/>
          <w:bCs/>
        </w:rPr>
        <w:t>paradigm</w:t>
      </w:r>
      <w:r>
        <w:t xml:space="preserve"> — it changes the mental model of what the café is and who runs it — with a strong </w:t>
      </w:r>
      <w:r>
        <w:rPr>
          <w:b/>
          <w:bCs/>
        </w:rPr>
        <w:t>position</w:t>
      </w:r>
      <w:r>
        <w:t xml:space="preserve"> element, repositioning Seren Coffi from a hospitality venue to a member-run commons, and a </w:t>
      </w:r>
      <w:r>
        <w:rPr>
          <w:b/>
          <w:bCs/>
        </w:rPr>
        <w:t>process</w:t>
      </w:r>
      <w:r>
        <w:t xml:space="preserve"> element in how operations and decisions are organised. It is far less a </w:t>
      </w:r>
      <w:r>
        <w:rPr>
          <w:b/>
          <w:bCs/>
        </w:rPr>
        <w:t>product</w:t>
      </w:r>
      <w:r>
        <w:t xml:space="preserve"> innovation: the coffee is barely touched, which is right, since the product is not the problem. The framework is valuable for this clarity, but it has a known weakness here — it sorts innovation neatly while saying little about implementation feasibility (Trott, 2016), exactly where Seren Coffi failed before — so it must be read alongside the viability analysis below.</w:t>
      </w:r>
    </w:p>
    <w:p w:rsidR="007B356F" w:rsidRDefault="004255E9">
      <w:pPr>
        <w:spacing w:after="160" w:line="360" w:lineRule="auto"/>
        <w:jc w:val="both"/>
      </w:pPr>
      <w:r>
        <w:t xml:space="preserve">On the incremental–radical spectrum the model is </w:t>
      </w:r>
      <w:r>
        <w:rPr>
          <w:b/>
          <w:bCs/>
        </w:rPr>
        <w:t>radical at the paradigm level</w:t>
      </w:r>
      <w:r>
        <w:t xml:space="preserve"> — a new logic of ownership-of-effort — yet can be rolled out </w:t>
      </w:r>
      <w:r>
        <w:rPr>
          <w:b/>
          <w:bCs/>
        </w:rPr>
        <w:t>incrementally</w:t>
      </w:r>
      <w:r>
        <w:t>, starting with two or three roles and a few founding members. The hybrid is a strength: radical reframing gives the distinctiveness the marker wanted, while a gradual start manages the risk the café cannot afford to take in one step.</w:t>
      </w:r>
    </w:p>
    <w:p w:rsidR="007B356F" w:rsidRDefault="004255E9">
      <w:pPr>
        <w:pStyle w:val="Heading3"/>
      </w:pPr>
      <w:bookmarkStart w:id="11" w:name="_Toc232336550"/>
      <w:r>
        <w:t>1.3.3 Application of the Business Model Canvas</w:t>
      </w:r>
      <w:bookmarkEnd w:id="11"/>
    </w:p>
    <w:p w:rsidR="007B356F" w:rsidRDefault="004255E9">
      <w:pPr>
        <w:spacing w:after="160" w:line="360" w:lineRule="auto"/>
        <w:jc w:val="both"/>
      </w:pPr>
      <w:r>
        <w:t>Mapped onto the Business Model Canvas (Osterwalder and Pigneur, 2010), the innovation is business-model reconfiguration rather than new products — the most achievable form for a resource-constrained firm (Foss and Saebi, 2017), where advantage comes from rethinking operations and relationships, not capital spending (Manners-Bell and Lyon, 2022). The decisive shift sits in Key Activities and Key Resources: the café’s relational capital, not founder time, becomes its principal asset, while suppliers and the core offer stay untouched. The full canvas is set out in Appendix 1.</w:t>
      </w:r>
    </w:p>
    <w:p w:rsidR="007B356F" w:rsidRDefault="004255E9">
      <w:pPr>
        <w:pStyle w:val="Heading2"/>
      </w:pPr>
      <w:bookmarkStart w:id="12" w:name="_Toc232336551"/>
      <w:r>
        <w:t>1.4 Creativity Process Used to Develop the Innovation</w:t>
      </w:r>
      <w:bookmarkEnd w:id="12"/>
    </w:p>
    <w:p w:rsidR="007B356F" w:rsidRDefault="004255E9">
      <w:pPr>
        <w:spacing w:after="160" w:line="360" w:lineRule="auto"/>
        <w:jc w:val="both"/>
      </w:pPr>
      <w:r>
        <w:t>When I first read the case, I assumed Seren Coffi had simply lost customer interest, and my instinct was to win people back with more events. What changed my mind was seeing that the café had already tried this, and that it had drained the founders rather than helped them. Using the lateral thinking covered in the module, I pushed past the obvious choice between cutting costs and protecting the café’s values, and asked instead whether the founders’ workload could itself be redesigned. My main doubt, which I have tried to build into the model, was whether regulars would really take on responsibility rather than expect to be served.</w:t>
      </w:r>
    </w:p>
    <w:p w:rsidR="007B356F" w:rsidRDefault="004255E9">
      <w:pPr>
        <w:spacing w:after="160" w:line="360" w:lineRule="auto"/>
        <w:jc w:val="both"/>
      </w:pPr>
      <w:r>
        <w:t xml:space="preserve">In the module’s terms, this followed Wallas’s (1926) four stages of </w:t>
      </w:r>
      <w:r>
        <w:rPr>
          <w:i/>
          <w:iCs/>
        </w:rPr>
        <w:t>preparation</w:t>
      </w:r>
      <w:r>
        <w:t xml:space="preserve">, </w:t>
      </w:r>
      <w:r>
        <w:rPr>
          <w:i/>
          <w:iCs/>
        </w:rPr>
        <w:t>incubation</w:t>
      </w:r>
      <w:r>
        <w:t xml:space="preserve">, </w:t>
      </w:r>
      <w:r>
        <w:rPr>
          <w:i/>
          <w:iCs/>
        </w:rPr>
        <w:t>illumination</w:t>
      </w:r>
      <w:r>
        <w:t xml:space="preserve"> and </w:t>
      </w:r>
      <w:r>
        <w:rPr>
          <w:i/>
          <w:iCs/>
        </w:rPr>
        <w:t>verification</w:t>
      </w:r>
      <w:r>
        <w:t>. Preparation meant interrogating the case to separate symptom from cause, an empathy-led move characteristic of design thinking (Brown, 2008), while incubation and illumination came through the lateral step described above (De Bono, 2016) — moving sideways from adding activity to redistributing it.</w:t>
      </w:r>
    </w:p>
    <w:p w:rsidR="007B356F" w:rsidRDefault="004255E9">
      <w:pPr>
        <w:spacing w:after="160" w:line="360" w:lineRule="auto"/>
        <w:jc w:val="both"/>
      </w:pPr>
      <w:r>
        <w:t xml:space="preserve">That reframing is the creative leap. Convergent reasoning then took over in </w:t>
      </w:r>
      <w:r>
        <w:rPr>
          <w:i/>
          <w:iCs/>
        </w:rPr>
        <w:t>verification</w:t>
      </w:r>
      <w:r>
        <w:t>, testing the idea against the module’s screening questions — is it new, relevant, practical, and at what cost? Two anchors gave it credibility. Ostrom’s (1990) work on the commons shows that communities can self-organise to manage a shared resource without privatisation or central control — a café that must distribute effort without changing ownership or governance. Oldenburg’s (1999) ‘third place’ explains why a café can sustain such participation: it is already somewhere people choose to be, not merely transact. The idea thus joined a clear problem to established theory — the ‘sweet spot’ the module identifies for reliable innovation.</w:t>
      </w:r>
    </w:p>
    <w:p w:rsidR="007B356F" w:rsidRDefault="004255E9">
      <w:pPr>
        <w:pStyle w:val="Heading2"/>
      </w:pPr>
      <w:bookmarkStart w:id="13" w:name="_Toc232336552"/>
      <w:r>
        <w:t>1.5 Innovation Viability – Lewin’s Force Field Analysis</w:t>
      </w:r>
      <w:bookmarkEnd w:id="13"/>
    </w:p>
    <w:p w:rsidR="007B356F" w:rsidRDefault="004255E9">
      <w:pPr>
        <w:pStyle w:val="Heading3"/>
      </w:pPr>
      <w:bookmarkStart w:id="14" w:name="_Toc232336553"/>
      <w:r>
        <w:t>1.5.1 Driving and Restraining Forces</w:t>
      </w:r>
      <w:bookmarkEnd w:id="14"/>
    </w:p>
    <w:p w:rsidR="007B356F" w:rsidRDefault="004255E9">
      <w:pPr>
        <w:spacing w:after="160" w:line="360" w:lineRule="auto"/>
        <w:jc w:val="both"/>
      </w:pPr>
      <w:r>
        <w:t>Lewin’s Force Field Analysis (Lewin, 1947; Burnes, 2004) treats change as the outcome of opposing driving and restraining forces, with successful change depending less on increasing pressure than on weakening resistance. Applied to Seren Coffi, the balance is summarised below before being critically appraised.</w:t>
      </w:r>
    </w:p>
    <w:tbl>
      <w:tblPr>
        <w:tblW w:w="9026" w:type="dxa"/>
        <w:tblLayout w:type="fixed"/>
        <w:tblCellMar>
          <w:top w:w="80" w:type="dxa"/>
          <w:left w:w="120" w:type="dxa"/>
          <w:bottom w:w="80" w:type="dxa"/>
          <w:right w:w="120" w:type="dxa"/>
        </w:tblCellMar>
        <w:tblLook w:val="04A0"/>
      </w:tblPr>
      <w:tblGrid>
        <w:gridCol w:w="4514"/>
        <w:gridCol w:w="4512"/>
      </w:tblGrid>
      <w:tr w:rsidR="007B356F">
        <w:tc>
          <w:tcPr>
            <w:tcW w:w="4513" w:type="dxa"/>
            <w:tcBorders>
              <w:top w:val="single" w:sz="2" w:space="0" w:color="CCCCCC"/>
              <w:left w:val="single" w:sz="2" w:space="0" w:color="CCCCCC"/>
              <w:bottom w:val="single" w:sz="2" w:space="0" w:color="CCCCCC"/>
              <w:right w:val="single" w:sz="2" w:space="0" w:color="CCCCCC"/>
            </w:tcBorders>
            <w:shd w:val="clear" w:color="auto" w:fill="2E75B6"/>
          </w:tcPr>
          <w:p w:rsidR="007B356F" w:rsidRDefault="004255E9">
            <w:pPr>
              <w:spacing w:line="252" w:lineRule="exact"/>
            </w:pPr>
            <w:r>
              <w:rPr>
                <w:b/>
                <w:bCs/>
                <w:color w:val="FFFFFF"/>
                <w:sz w:val="20"/>
                <w:szCs w:val="20"/>
              </w:rPr>
              <w:t>Driving forces (for change)</w:t>
            </w:r>
          </w:p>
        </w:tc>
        <w:tc>
          <w:tcPr>
            <w:tcW w:w="4512" w:type="dxa"/>
            <w:tcBorders>
              <w:top w:val="single" w:sz="2" w:space="0" w:color="CCCCCC"/>
              <w:left w:val="single" w:sz="2" w:space="0" w:color="CCCCCC"/>
              <w:bottom w:val="single" w:sz="2" w:space="0" w:color="CCCCCC"/>
              <w:right w:val="single" w:sz="2" w:space="0" w:color="CCCCCC"/>
            </w:tcBorders>
            <w:shd w:val="clear" w:color="auto" w:fill="2E75B6"/>
          </w:tcPr>
          <w:p w:rsidR="007B356F" w:rsidRDefault="004255E9">
            <w:pPr>
              <w:spacing w:line="252" w:lineRule="exact"/>
            </w:pPr>
            <w:r>
              <w:rPr>
                <w:b/>
                <w:bCs/>
                <w:color w:val="FFFFFF"/>
                <w:sz w:val="20"/>
                <w:szCs w:val="20"/>
              </w:rPr>
              <w:t>Restraining forces (against change)</w:t>
            </w:r>
          </w:p>
        </w:tc>
      </w:tr>
      <w:tr w:rsidR="007B356F">
        <w:tc>
          <w:tcPr>
            <w:tcW w:w="4513"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Innovation fits the café’s existing identity, easing adoption (Baregheh et al., 2009).</w:t>
            </w:r>
          </w:p>
        </w:tc>
        <w:tc>
          <w:tcPr>
            <w:tcW w:w="4512"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Volunteer fatigue and inconsistency — the very problem the case reports (Cahn, 2000).</w:t>
            </w:r>
          </w:p>
        </w:tc>
      </w:tr>
      <w:tr w:rsidR="007B356F">
        <w:tc>
          <w:tcPr>
            <w:tcW w:w="4513"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A loyal, demonstrably engaged community already exists to draw on.</w:t>
            </w:r>
          </w:p>
        </w:tc>
        <w:tc>
          <w:tcPr>
            <w:tcW w:w="4512"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Founders’ instinct to control and deliberate may resist delegating micro-decisions.</w:t>
            </w:r>
          </w:p>
        </w:tc>
      </w:tr>
      <w:tr w:rsidR="007B356F">
        <w:tc>
          <w:tcPr>
            <w:tcW w:w="4513"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Substitutes founder labour rather than adding to it, directly easing the binding constraint.</w:t>
            </w:r>
          </w:p>
        </w:tc>
        <w:tc>
          <w:tcPr>
            <w:tcW w:w="4512"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Relational, non-priced value is hard to measure, complicating viability judgements (Mazzucato, 2018).</w:t>
            </w:r>
          </w:p>
        </w:tc>
      </w:tr>
      <w:tr w:rsidR="007B356F">
        <w:tc>
          <w:tcPr>
            <w:tcW w:w="4513"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Creates value the chain café structurally cannot copy (Kim and Mauborgne, 2015).</w:t>
            </w:r>
          </w:p>
        </w:tc>
        <w:tc>
          <w:tcPr>
            <w:tcW w:w="4512"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Free-riding and uneven participation, a known risk in commons (Ostrom, 1990).</w:t>
            </w:r>
          </w:p>
        </w:tc>
      </w:tr>
      <w:tr w:rsidR="007B356F">
        <w:tc>
          <w:tcPr>
            <w:tcW w:w="4513"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Low capital requirement aligns with the £2,000 ‘tool’ framing.</w:t>
            </w:r>
          </w:p>
        </w:tc>
        <w:tc>
          <w:tcPr>
            <w:tcW w:w="4512" w:type="dxa"/>
            <w:tcBorders>
              <w:top w:val="single" w:sz="2" w:space="0" w:color="CCCCCC"/>
              <w:left w:val="single" w:sz="2" w:space="0" w:color="CCCCCC"/>
              <w:bottom w:val="single" w:sz="2" w:space="0" w:color="CCCCCC"/>
              <w:right w:val="single" w:sz="2" w:space="0" w:color="CCCCCC"/>
            </w:tcBorders>
          </w:tcPr>
          <w:p w:rsidR="007B356F" w:rsidRDefault="004255E9">
            <w:pPr>
              <w:spacing w:line="252" w:lineRule="exact"/>
            </w:pPr>
            <w:r>
              <w:rPr>
                <w:sz w:val="20"/>
                <w:szCs w:val="20"/>
              </w:rPr>
              <w:t>Initial set-up still demands scarce founder attention before it pays back.</w:t>
            </w:r>
          </w:p>
        </w:tc>
      </w:tr>
    </w:tbl>
    <w:p w:rsidR="007B356F" w:rsidRDefault="007B356F">
      <w:pPr>
        <w:spacing w:after="160" w:line="360" w:lineRule="auto"/>
        <w:jc w:val="both"/>
      </w:pPr>
    </w:p>
    <w:p w:rsidR="007B356F" w:rsidRDefault="004255E9">
      <w:pPr>
        <w:spacing w:after="160" w:line="360" w:lineRule="auto"/>
        <w:jc w:val="both"/>
      </w:pPr>
      <w:r>
        <w:t>The model is not applied uncritically. Force Field Analysis is useful because it audits both sides of a change and points towards lowering resistance rather than pushing harder — fitting for a tired business. But it has known limits (Burnes, 2004): it treats forces as static and equally weighted, whereas here they are not — founder reluctance to delegate is decisive, while free-riding is marginal. That is why it is read alongside Ostrom’s design principles, in keeping with the module’s point that any single tool has boundaries.</w:t>
      </w:r>
    </w:p>
    <w:p w:rsidR="007B356F" w:rsidRDefault="004255E9">
      <w:pPr>
        <w:pStyle w:val="Heading3"/>
      </w:pPr>
      <w:bookmarkStart w:id="15" w:name="_Toc232336554"/>
      <w:r>
        <w:t>1.5.2 Evaluation and Value-Creation Justification</w:t>
      </w:r>
      <w:bookmarkEnd w:id="15"/>
    </w:p>
    <w:p w:rsidR="007B356F" w:rsidRDefault="004255E9">
      <w:pPr>
        <w:spacing w:after="160" w:line="360" w:lineRule="auto"/>
        <w:jc w:val="both"/>
      </w:pPr>
      <w:r>
        <w:t xml:space="preserve">Two points follow. First, the model’s strongest driver and its sharpest risk are the same force — community participation — which is why </w:t>
      </w:r>
      <w:r>
        <w:rPr>
          <w:b/>
          <w:bCs/>
        </w:rPr>
        <w:t>design, not enthusiasm, determines success</w:t>
      </w:r>
      <w:r>
        <w:t>. Ostrom’s (1990) findings are instructive: commons survive when they have bounded membership, simple rules and visible reciprocity, all of which the Sêr ledger and capped membership provide; unstructured goodwill is what failed before. Second, on a strict capitalist test the model is only partly persuasive, since its main returns — restored capacity, reduced founder burnout, deeper loyalty — are relational and hard to price (Mazzucato, 2018).</w:t>
      </w:r>
    </w:p>
    <w:p w:rsidR="007B356F" w:rsidRDefault="004255E9">
      <w:pPr>
        <w:spacing w:after="160" w:line="360" w:lineRule="auto"/>
        <w:jc w:val="both"/>
      </w:pPr>
      <w:r>
        <w:t xml:space="preserve">As the brief invites, the idea is therefore justified mainly from a </w:t>
      </w:r>
      <w:r>
        <w:rPr>
          <w:b/>
          <w:bCs/>
        </w:rPr>
        <w:t>value-creation and reframing perspective</w:t>
      </w:r>
      <w:r>
        <w:t>. The question is not ‘does this maximise profit?’ but ‘does this preserve a community asset the market would otherwise destroy?’ Through service-dominant logic, value is co-created with customers rather than delivered to them (Vargo and Lusch, 2016; Prahalad and Ramaswamy, 2004); through Blue Ocean Strategy, the model opens uncontested space — ‘you help run this place’ is something the chain café cannot imitate (Kim and Mauborgne, 2015). On these terms it is viable and defensible, competing on the one dimension where a small firm can win and a chain cannot follow.</w:t>
      </w:r>
    </w:p>
    <w:p w:rsidR="007B356F" w:rsidRDefault="004255E9">
      <w:pPr>
        <w:pStyle w:val="Heading2"/>
      </w:pPr>
      <w:bookmarkStart w:id="16" w:name="_Toc232336555"/>
      <w:r>
        <w:t>1.6 Organisational Climate and Innovation Support</w:t>
      </w:r>
      <w:bookmarkEnd w:id="16"/>
    </w:p>
    <w:p w:rsidR="007B356F" w:rsidRDefault="004255E9">
      <w:pPr>
        <w:spacing w:after="160" w:line="360" w:lineRule="auto"/>
        <w:jc w:val="both"/>
      </w:pPr>
      <w:r>
        <w:t>Whether an innovation succeeds depends heavily on organisational climate — the shared perceptions and norms shaping how people approach ideas, risk and collaboration (Anderson, Potočnik and Zhou, 2014). Seren Coffi’s climate is, on balance, unusually supportive in some respects and quietly hostile in others, and an honest analysis must hold both.</w:t>
      </w:r>
    </w:p>
    <w:p w:rsidR="007B356F" w:rsidRDefault="004255E9">
      <w:pPr>
        <w:spacing w:after="160" w:line="360" w:lineRule="auto"/>
        <w:jc w:val="both"/>
      </w:pPr>
      <w:r>
        <w:t>On the supportive side, the café shows high psychological safety: founders decide openly and together, and customers already take part informally — fertile ground for the co-productive behaviour the model needs (Edmondson, 1999). Its small scale should allow fast adaptation and learning from feedback (Bessant and Tidd, 2015; Damanpour and Aravind, 2012), and the innovation aligns with the existing identity, improving the odds of adoption (Baregheh et al., 2009). The model also follows an open-innovation logic, drawing on external contributors — members and local creatives — as a source of capacity and ideas (Chesbrough, 2014; West and Bogers, 2014).</w:t>
      </w:r>
    </w:p>
    <w:p w:rsidR="007B356F" w:rsidRDefault="004255E9">
      <w:pPr>
        <w:spacing w:after="160" w:line="360" w:lineRule="auto"/>
        <w:jc w:val="both"/>
      </w:pPr>
      <w:r>
        <w:t xml:space="preserve">Yet the same climate carries the seeds of resistance. The founders’ attachment to deliberation and ‘doing things properly’ is exactly what the model asks them to loosen, and consensus cultures can find disciplined delegation threatening rather than freeing. A climate already drained by fatigue may also lack the energy to launch any change — a chicken-and-egg risk, since the model needs a small upfront investment of the founder attention it is meant to release. The climate is therefore supportive in </w:t>
      </w:r>
      <w:r>
        <w:rPr>
          <w:b/>
          <w:bCs/>
        </w:rPr>
        <w:t>values</w:t>
      </w:r>
      <w:r>
        <w:t xml:space="preserve"> but fragile in </w:t>
      </w:r>
      <w:r>
        <w:rPr>
          <w:b/>
          <w:bCs/>
        </w:rPr>
        <w:t>capacity</w:t>
      </w:r>
      <w:r>
        <w:t>. That argues for the minimal, incremental launch above, using the £2,000 as a one-off tool — fixing the grinder, printing the playbook and ledger, seeding a founding-members evening — not as recurring spend. Handled this way, the climate is supportive enough for the innovation to take root, provided it arrives as relief rather than one more thing to run.</w:t>
      </w:r>
    </w:p>
    <w:p w:rsidR="007B356F" w:rsidRDefault="004255E9">
      <w:pPr>
        <w:pStyle w:val="Heading2"/>
      </w:pPr>
      <w:bookmarkStart w:id="17" w:name="_Toc232336556"/>
      <w:r>
        <w:t>1.7 Conclusion</w:t>
      </w:r>
      <w:bookmarkEnd w:id="17"/>
    </w:p>
    <w:p w:rsidR="007B356F" w:rsidRDefault="004255E9">
      <w:pPr>
        <w:spacing w:after="160" w:line="360" w:lineRule="auto"/>
        <w:jc w:val="both"/>
      </w:pPr>
      <w:r>
        <w:t>Seren Coffi is not failing because people have stopped wanting what it offers, but because the small group that runs it can no longer carry the load. That diagnosis has guided the whole report. The Seren Stewardship Model answers it by handing the day-to-day running of the café to a structured community of members, leaving the founders with strategic authority but freeing them from the deliberation that wore them down. Through the 4Ps it is mainly a paradigm and position innovation; tested against Lewin’s forces it is workable, provided the contribution is designed rather than left to goodwill; and judged on value rather than growth, it preserves a community asset the market would otherwise lose. It depends on a careful, low-cost start, but it is distinctive, realistic and respectful of every constraint the case sets — which is what a turnaround here needs.</w:t>
      </w:r>
    </w:p>
    <w:p w:rsidR="007B356F" w:rsidRDefault="004255E9">
      <w:r>
        <w:br w:type="page"/>
      </w:r>
    </w:p>
    <w:p w:rsidR="007B356F" w:rsidRDefault="004255E9">
      <w:pPr>
        <w:pStyle w:val="Heading1"/>
        <w:spacing w:before="0"/>
      </w:pPr>
      <w:bookmarkStart w:id="18" w:name="_Toc232336557"/>
      <w:r>
        <w:t>Part 2 – Applying AI to Develop the Innovation</w:t>
      </w:r>
      <w:bookmarkEnd w:id="18"/>
    </w:p>
    <w:p w:rsidR="007B356F" w:rsidRDefault="004255E9">
      <w:pPr>
        <w:pStyle w:val="Heading2"/>
      </w:pPr>
      <w:bookmarkStart w:id="19" w:name="_Toc232336558"/>
      <w:r>
        <w:t>2.1 Approach to Using AI</w:t>
      </w:r>
      <w:bookmarkEnd w:id="19"/>
    </w:p>
    <w:p w:rsidR="007B356F" w:rsidRDefault="004255E9">
      <w:pPr>
        <w:spacing w:after="160" w:line="360" w:lineRule="auto"/>
        <w:jc w:val="both"/>
      </w:pPr>
      <w:r>
        <w:t>For Part 2, I used ChatGPT, a generative large language model, as a critical sounding board for the Seren Stewardship Model developed in Part 1. Rather than asking it to invent an idea, I gave it the completed proposal — Y Criw, the Sêr time-credits, the Steward of the Week and the operating rhythm — together with the case, and asked it to judge the idea honestly and say whether it could improve it. I treated the tool as something to argue with rather than an author to defer to, the stance the human–AI collaboration literature recommends: it should widen the options a person considers while the person keeps judgement and responsibility (Jarrahi, 2018; Wilson and Daugherty, 2018). The discussion below appraises where that exchange genuinely helped and, more often, where its advice did not survive scrutiny.</w:t>
      </w:r>
    </w:p>
    <w:p w:rsidR="007B356F" w:rsidRDefault="004255E9">
      <w:pPr>
        <w:pStyle w:val="Heading2"/>
      </w:pPr>
      <w:bookmarkStart w:id="20" w:name="_Toc232336559"/>
      <w:r>
        <w:t>2.2 Where the AI Added Value</w:t>
      </w:r>
      <w:bookmarkEnd w:id="20"/>
    </w:p>
    <w:p w:rsidR="007B356F" w:rsidRDefault="004255E9">
      <w:pPr>
        <w:spacing w:after="160" w:line="360" w:lineRule="auto"/>
        <w:jc w:val="both"/>
      </w:pPr>
      <w:r>
        <w:t>The most useful contribution was a test rather than an idea. The model asked whether, with the names Y Criw, Sêr and Steward of the Week removed, the proposal would still read as ordinary volunteering, and warned that a marker might attack it on that point. The challenge was fair, and it pushed me to state the difference plainly: the model substitutes founder labour and self-coordinates through a published rhythm, which informal volunteering does not. This fits the finding that AI is most useful at the early, divergent stage of innovation, where it surfaces angles a single person can miss (Haefner et al., 2021; Amabile, 2020; Mariani, Machado and Nambisan, 2023). It also prompted firmer limits on the Steward of the Week role and named the academic concepts the idea already rested on — service innovation, co-creation and time-banking — which led me to sources I then read and used in Part 1. Recent work on language models in innovation teams describes exactly this: the tool broadens the option space and speeds articulation rather than supplying judgement (Bouschery, Blazevic and Piller, 2023; Verganti, Vendraminelli and Iansiti, 2020). Even so, the value was conditional: each prompt mattered only because I decided which to act on and which to drop. In fairness, none of it was unique to AI: a peer, or the lecturer’s own question about how the idea differs from volunteering, could have prompted the same sharpening. The tool’s real advantages were speed and availability, not insight unavailable elsewhere.</w:t>
      </w:r>
    </w:p>
    <w:p w:rsidR="007B356F" w:rsidRDefault="004255E9">
      <w:pPr>
        <w:pStyle w:val="Heading2"/>
      </w:pPr>
      <w:bookmarkStart w:id="21" w:name="_Toc232336560"/>
      <w:r>
        <w:t>2.3 Fluency Mistaken for Insight</w:t>
      </w:r>
      <w:bookmarkEnd w:id="21"/>
    </w:p>
    <w:p w:rsidR="007B356F" w:rsidRDefault="004255E9">
      <w:pPr>
        <w:spacing w:after="160" w:line="360" w:lineRule="auto"/>
        <w:jc w:val="both"/>
      </w:pPr>
      <w:r>
        <w:t>The clearest weakness was that several recommendations were descriptive rather than innovative. The first ‘improvement’ offered was to make the root problem sharper by listing the founders’ fatigue, the broken grinder, the stalled events and the neglected chalkboard. The case already states all of this, and repeating it would spend words on description in a report meant to be judged on creativity and analysis. When I challenged this directly, the model conceded that I was ‘mostly right’, which is itself telling. This points to a structural limitation rather than a single slip: a language model produces fluent, plausible text by predicting likely continuations, not by understanding a situation, so volume and confidence can stand in for insight (Floridi and Chiriatti, 2020; Bender et al., 2021). Its suggestions to add a separate ‘why this will work’ passage and a four-phase implementation plan had the same quality — reasonable-sounding additions that would have pushed the report toward the descriptive mode the marking criteria penalise. The model also did not merely advise; it wrote full replacement paragraphs and invited me to ‘use or adapt’ them. That is a particular hazard for a student, because pasting fluent AI prose would displace the voice and reasoning the work is actually assessed on, so I used its wording only as something to react against, never to lift. An innovation must satisfy feasibility, not fluency (Tidd and Bessant, 2020; Trott, 2016), and here the tool repeatedly optimised for the second.</w:t>
      </w:r>
    </w:p>
    <w:p w:rsidR="007B356F" w:rsidRDefault="004255E9">
      <w:pPr>
        <w:pStyle w:val="Heading2"/>
      </w:pPr>
      <w:bookmarkStart w:id="22" w:name="_Toc232336561"/>
      <w:r>
        <w:t>2.4 Grandiosity and the Loss of Fit</w:t>
      </w:r>
      <w:bookmarkEnd w:id="22"/>
    </w:p>
    <w:p w:rsidR="007B356F" w:rsidRDefault="004255E9">
      <w:pPr>
        <w:spacing w:after="160" w:line="360" w:lineRule="auto"/>
        <w:jc w:val="both"/>
      </w:pPr>
      <w:r>
        <w:t>The most revealing problem came when I asked the model to push the idea further. It escalated the proposal into a ‘community operating system’ in which Seren Coffi would no longer be a café but ‘a platform’, with ‘the coffee… the excuse’. Offered as the more radical and academically impressive route, this was in fact the weaker one. Reframing a two-founder café as a platform strains the case’s hard constraints, since leadership, governance and suppliers cannot change, and it drifts toward the expansionist logic the brief warns against when it states that a capitalist solution is not always a good one. It also threatened viability: a small, resource-constrained firm cannot resource a platform, and business-model reconfiguration works when it is realistic about existing capabilities rather than aspirational (Foss and Saebi, 2017; Manners-Bell and Lyon, 2022). Tellingly, the grander version ignored the two facts that most discipline the case — a £2,000 budget and founders who are already exhausted — neither of which a platform could survive. The same impulse lay behind its advice to make the innovation ‘sound more wow academically’ — guidance about packaging rather than substance, and a reminder that fluency and rigour are not the same thing. The deeper issue is that the model optimised for what would sound impressive rather than for what suited this organisation, and had no way to feel the difference. This reflects a recognised limitation: AI generalises from patterns across many contexts and lacks the situated judgement a specific case demands (Jarrahi, 2018; Dwivedi et al., 2021). I declined the escalation; keeping the innovation bounded — a stewardship layer on top of unchanged ownership rather than a wholesale reinvention — protected its fit and its credibility, and it is where my judgement and the AI’s advice diverged most sharply.</w:t>
      </w:r>
    </w:p>
    <w:p w:rsidR="007B356F" w:rsidRDefault="004255E9">
      <w:pPr>
        <w:pStyle w:val="Heading2"/>
      </w:pPr>
      <w:bookmarkStart w:id="23" w:name="_Toc232336562"/>
      <w:r>
        <w:t>2.5 Inconsistent Judgement and Misplaced Confidence</w:t>
      </w:r>
      <w:bookmarkEnd w:id="23"/>
    </w:p>
    <w:p w:rsidR="007B356F" w:rsidRDefault="004255E9">
      <w:pPr>
        <w:spacing w:after="160" w:line="360" w:lineRule="auto"/>
        <w:jc w:val="both"/>
      </w:pPr>
      <w:r>
        <w:t>A further problem was the instability of the model’s judgement. It first urged a list of improvements with some confidence; when I questioned one, it reversed at once and agreed the point was unnecessary; and when I said I was not inclined to change the idea, it endorsed keeping it and praised my ‘instinct’. The position followed my own stated view rather than holding steady, which is the behaviour confirmation bias describes — a pull toward whatever aligns with the position already on the table (Nickerson, 1998). For a student, the danger is over-reliance: automation tends to invite complacency, and confident output is accepted with too little scrutiny (Parasuraman and Manzey, 2010). Notably, the model never paused to clarify the constraints before advising; a careful adviser would first establish what cannot change, whereas the tool issued confident recommendations and acknowledged the limits only when I raised them. The sharpest example was the model awarding the idea, unprompted, a mark of ‘around 75–80%’ with sub-scores out of ten. It cannot know my marker’s criteria or how the work will be graded, so the figure was confident and entirely ungrounded, and treating it as reassurance would have been a mistake. I therefore tested its judgement against the brief and the literature rather than against its own score, reading the rating as a sign of the tool’s eagerness to please rather than as evidence about the work. Taken together these episodes show why the literature frames the relationship as complementary rather than substitutive: the tool is useful for generating and testing options, but evaluation, contextual fit and final responsibility must remain with the person (Wilson and Daugherty, 2018; Davenport and Ronanki, 2018; Brynjolfsson and McAfee, 2014).</w:t>
      </w:r>
    </w:p>
    <w:p w:rsidR="007B356F" w:rsidRDefault="004255E9">
      <w:pPr>
        <w:pStyle w:val="Heading2"/>
      </w:pPr>
      <w:bookmarkStart w:id="24" w:name="_Toc232336563"/>
      <w:r>
        <w:t>2.6 Issues, Successes and Implications</w:t>
      </w:r>
      <w:bookmarkEnd w:id="24"/>
    </w:p>
    <w:p w:rsidR="007B356F" w:rsidRDefault="004255E9">
      <w:pPr>
        <w:spacing w:after="160" w:line="360" w:lineRule="auto"/>
        <w:jc w:val="both"/>
      </w:pPr>
      <w:r>
        <w:t>Weighed overall, the successes and the issues fell into a clear pattern. The successes were early and divergent: the tool was fast, it widened the range of considerations, it stress-tested the idea against an imagined marker, and it named theory I could follow up. The issues were evaluative: it confused description with analysis, mistook scale for ambition, drifted from the case’s constraints, shifted its position to match mine, and offered confident judgements it had no basis to make. That division matches the wider evidence, which casts AI as a capable assistant for generating and combining options but a poor substitute for situated human judgement (Haefner et al., 2021; Amabile, 2020). The practical lesson is that the tool’s value depended almost entirely on how it was used: asking it to argue against the idea, then deciding for myself, was useful, whereas asking it what to think would have produced a longer, grander and weaker report. More broadly, the exercise changed how I view these tools. Their fluency is persuasive, and that persuasiveness is itself the risk: it makes weak advice feel authoritative. The discipline the task required was to keep asking whether each suggestion fitted Seren Coffi, not whether it read well.</w:t>
      </w:r>
    </w:p>
    <w:p w:rsidR="007B356F" w:rsidRDefault="004255E9">
      <w:pPr>
        <w:pStyle w:val="Heading1"/>
      </w:pPr>
      <w:bookmarkStart w:id="25" w:name="_Toc232336564"/>
      <w:r>
        <w:t>Main Findings</w:t>
      </w:r>
      <w:bookmarkEnd w:id="25"/>
    </w:p>
    <w:p w:rsidR="007B356F" w:rsidRDefault="004255E9">
      <w:pPr>
        <w:spacing w:after="160" w:line="360" w:lineRule="auto"/>
        <w:jc w:val="both"/>
      </w:pPr>
      <w:r>
        <w:t>Across both parts, the central finding is that Seren Coffi’s decline is structural, not a failure of demand: the founders can no longer carry the operational and decision-making load the café’s culture creates. The proposed Seren Stewardship Model redistributes that load to a structured community, and stands up as a paradigm and position innovation that respects every constraint and is justified on value creation rather than growth. The AI proved useful for early stress-testing but an unreliable judge of fit, feasibility and originality, helping only after being filtered through my own judgement.</w:t>
      </w:r>
    </w:p>
    <w:p w:rsidR="007B356F" w:rsidRDefault="004255E9">
      <w:pPr>
        <w:pStyle w:val="Heading1"/>
      </w:pPr>
      <w:bookmarkStart w:id="26" w:name="_Toc232336565"/>
      <w:r>
        <w:t>Overall Conclusion</w:t>
      </w:r>
      <w:bookmarkEnd w:id="26"/>
    </w:p>
    <w:p w:rsidR="007B356F" w:rsidRDefault="004255E9">
      <w:pPr>
        <w:spacing w:after="160" w:line="360" w:lineRule="auto"/>
        <w:jc w:val="both"/>
      </w:pPr>
      <w:r>
        <w:t>Seren Coffi can be turned around without becoming something it is not. The most credible route is not to scale, standardise or sell out, but to organise the goodwill the café already has so that the community helps run it while the founders step back from daily strain. The AI supplement reinforced this by contrast: its strongest suggestions pulled toward scale and spectacle, and rejecting them clarified why a bounded, community-led model fits this case. The final analysis, and the responsibility for it, remain my own.</w:t>
      </w:r>
    </w:p>
    <w:p w:rsidR="007B356F" w:rsidRDefault="004255E9">
      <w:r>
        <w:br w:type="page"/>
      </w:r>
    </w:p>
    <w:p w:rsidR="007B356F" w:rsidRDefault="004255E9">
      <w:pPr>
        <w:pStyle w:val="Heading1"/>
        <w:spacing w:before="0"/>
      </w:pPr>
      <w:bookmarkStart w:id="27" w:name="_Toc232336566"/>
      <w:r>
        <w:t>References</w:t>
      </w:r>
      <w:bookmarkEnd w:id="27"/>
    </w:p>
    <w:p w:rsidR="007B356F" w:rsidRDefault="004255E9">
      <w:pPr>
        <w:spacing w:after="120" w:line="360" w:lineRule="auto"/>
        <w:jc w:val="both"/>
      </w:pPr>
      <w:r>
        <w:t xml:space="preserve">Amabile, T.M. (2020) ‘Creativity, artificial intelligence, and a world of surprises’, </w:t>
      </w:r>
      <w:r>
        <w:rPr>
          <w:i/>
          <w:iCs/>
        </w:rPr>
        <w:t>Academy of Management Discoveries</w:t>
      </w:r>
      <w:r>
        <w:t>, 6(3), pp. 351–354.</w:t>
      </w:r>
    </w:p>
    <w:p w:rsidR="007B356F" w:rsidRDefault="004255E9">
      <w:pPr>
        <w:spacing w:after="120" w:line="360" w:lineRule="auto"/>
        <w:jc w:val="both"/>
      </w:pPr>
      <w:r>
        <w:t xml:space="preserve">Amabile, T.M. and Pratt, M.G. (2016) ‘The dynamic componential model of creativity and innovation in organizations: Making progress, making meaning’, </w:t>
      </w:r>
      <w:r>
        <w:rPr>
          <w:i/>
          <w:iCs/>
        </w:rPr>
        <w:t>Research in Organizational Behavior</w:t>
      </w:r>
      <w:r>
        <w:t>, 36, pp. 157–183.</w:t>
      </w:r>
    </w:p>
    <w:p w:rsidR="007B356F" w:rsidRDefault="004255E9">
      <w:pPr>
        <w:spacing w:after="120" w:line="360" w:lineRule="auto"/>
        <w:jc w:val="both"/>
      </w:pPr>
      <w:r>
        <w:t xml:space="preserve">Anderson, N., Potočnik, K. and Zhou, J. (2014) ‘Innovation and creativity in organizations: A state-of-the-science review, prospective commentary, and guiding framework’, </w:t>
      </w:r>
      <w:r>
        <w:rPr>
          <w:i/>
          <w:iCs/>
        </w:rPr>
        <w:t>Journal of Management</w:t>
      </w:r>
      <w:r>
        <w:t>, 40(5), pp. 1297–1333.</w:t>
      </w:r>
    </w:p>
    <w:p w:rsidR="007B356F" w:rsidRDefault="004255E9">
      <w:pPr>
        <w:spacing w:after="120" w:line="360" w:lineRule="auto"/>
        <w:jc w:val="both"/>
      </w:pPr>
      <w:r>
        <w:t xml:space="preserve">Baregheh, A., Rowley, J. and Sambrook, S. (2009) ‘Towards a multidisciplinary definition of innovation’, </w:t>
      </w:r>
      <w:r>
        <w:rPr>
          <w:i/>
          <w:iCs/>
        </w:rPr>
        <w:t>Management Decision</w:t>
      </w:r>
      <w:r>
        <w:t>, 47(8), pp. 1323–1339.</w:t>
      </w:r>
    </w:p>
    <w:p w:rsidR="007B356F" w:rsidRDefault="004255E9">
      <w:pPr>
        <w:spacing w:after="120" w:line="360" w:lineRule="auto"/>
        <w:jc w:val="both"/>
      </w:pPr>
      <w:r>
        <w:t xml:space="preserve">Bender, E.M., Gebru, T., McMillan-Major, A. and Shmitchell, S. (2021) ‘On the dangers of stochastic parrots: Can language models be too big?’, </w:t>
      </w:r>
      <w:r>
        <w:rPr>
          <w:i/>
          <w:iCs/>
        </w:rPr>
        <w:t>Proceedings of the 2021 ACM Conference on Fairness, Accountability, and Transparency</w:t>
      </w:r>
      <w:r>
        <w:t>, pp. 610–623.</w:t>
      </w:r>
    </w:p>
    <w:p w:rsidR="007B356F" w:rsidRDefault="004255E9">
      <w:pPr>
        <w:spacing w:after="120" w:line="360" w:lineRule="auto"/>
        <w:jc w:val="both"/>
      </w:pPr>
      <w:r>
        <w:t xml:space="preserve">Bessant, J. and Tidd, J. (2015) </w:t>
      </w:r>
      <w:r>
        <w:rPr>
          <w:i/>
          <w:iCs/>
        </w:rPr>
        <w:t>Innovation and entrepreneurship</w:t>
      </w:r>
      <w:r>
        <w:t>. 3rd edn. Chichester: Wiley.</w:t>
      </w:r>
    </w:p>
    <w:p w:rsidR="007B356F" w:rsidRDefault="004255E9">
      <w:pPr>
        <w:spacing w:after="120" w:line="360" w:lineRule="auto"/>
        <w:jc w:val="both"/>
      </w:pPr>
      <w:r>
        <w:t xml:space="preserve">Bouschery, S.G., Blazevic, V. and Piller, F.T. (2023) ‘Augmenting human innovation teams with artificial intelligence: Exploring transformer-based language models’, </w:t>
      </w:r>
      <w:r>
        <w:rPr>
          <w:i/>
          <w:iCs/>
        </w:rPr>
        <w:t>Journal of Product Innovation Management</w:t>
      </w:r>
      <w:r>
        <w:t>, 40(2), pp. 139–153.</w:t>
      </w:r>
    </w:p>
    <w:p w:rsidR="007B356F" w:rsidRDefault="004255E9">
      <w:pPr>
        <w:spacing w:after="120" w:line="360" w:lineRule="auto"/>
        <w:jc w:val="both"/>
      </w:pPr>
      <w:r>
        <w:t xml:space="preserve">Brown, T. (2008) ‘Design thinking’, </w:t>
      </w:r>
      <w:r>
        <w:rPr>
          <w:i/>
          <w:iCs/>
        </w:rPr>
        <w:t>Harvard Business Review</w:t>
      </w:r>
      <w:r>
        <w:t>, 86(6), pp. 84–92.</w:t>
      </w:r>
    </w:p>
    <w:p w:rsidR="007B356F" w:rsidRDefault="004255E9">
      <w:pPr>
        <w:spacing w:after="120" w:line="360" w:lineRule="auto"/>
        <w:jc w:val="both"/>
      </w:pPr>
      <w:r>
        <w:t xml:space="preserve">Brynjolfsson, E. and McAfee, A. (2014) </w:t>
      </w:r>
      <w:r>
        <w:rPr>
          <w:i/>
          <w:iCs/>
        </w:rPr>
        <w:t>The second machine age: Work, progress, and prosperity in a time of brilliant technologies</w:t>
      </w:r>
      <w:r>
        <w:t>. New York: W.W. Norton.</w:t>
      </w:r>
    </w:p>
    <w:p w:rsidR="007B356F" w:rsidRDefault="004255E9">
      <w:pPr>
        <w:spacing w:after="120" w:line="360" w:lineRule="auto"/>
        <w:jc w:val="both"/>
      </w:pPr>
      <w:r>
        <w:t xml:space="preserve">Burnes, B. (2004) ‘Kurt Lewin and the planned approach to change: A re-appraisal’, </w:t>
      </w:r>
      <w:r>
        <w:rPr>
          <w:i/>
          <w:iCs/>
        </w:rPr>
        <w:t>Journal of Management Studies</w:t>
      </w:r>
      <w:r>
        <w:t>, 41(6), pp. 977–1002.</w:t>
      </w:r>
    </w:p>
    <w:p w:rsidR="007B356F" w:rsidRDefault="004255E9">
      <w:pPr>
        <w:spacing w:after="120" w:line="360" w:lineRule="auto"/>
        <w:jc w:val="both"/>
      </w:pPr>
      <w:r>
        <w:t xml:space="preserve">Cahn, E.S. (2000) </w:t>
      </w:r>
      <w:r>
        <w:rPr>
          <w:i/>
          <w:iCs/>
        </w:rPr>
        <w:t>No more throw-away people: The co-production imperative</w:t>
      </w:r>
      <w:r>
        <w:t>. Washington, DC: Essential Books.</w:t>
      </w:r>
    </w:p>
    <w:p w:rsidR="007B356F" w:rsidRDefault="004255E9">
      <w:pPr>
        <w:spacing w:after="120" w:line="360" w:lineRule="auto"/>
        <w:jc w:val="both"/>
      </w:pPr>
      <w:r>
        <w:t xml:space="preserve">Chesbrough, H. (2014) </w:t>
      </w:r>
      <w:r>
        <w:rPr>
          <w:i/>
          <w:iCs/>
        </w:rPr>
        <w:t>New frontiers in open innovation</w:t>
      </w:r>
      <w:r>
        <w:t>. Oxford: Oxford University Press.</w:t>
      </w:r>
    </w:p>
    <w:p w:rsidR="007B356F" w:rsidRDefault="004255E9">
      <w:pPr>
        <w:spacing w:after="120" w:line="360" w:lineRule="auto"/>
        <w:jc w:val="both"/>
      </w:pPr>
      <w:r>
        <w:t xml:space="preserve">Damanpour, F. and Aravind, D. (2012) ‘Managerial innovation: Conceptions, processes and antecedents’, </w:t>
      </w:r>
      <w:r>
        <w:rPr>
          <w:i/>
          <w:iCs/>
        </w:rPr>
        <w:t>Management and Organization Review</w:t>
      </w:r>
      <w:r>
        <w:t>, 8(2), pp. 423–454.</w:t>
      </w:r>
    </w:p>
    <w:p w:rsidR="007B356F" w:rsidRDefault="004255E9">
      <w:pPr>
        <w:spacing w:after="120" w:line="360" w:lineRule="auto"/>
        <w:jc w:val="both"/>
      </w:pPr>
      <w:r>
        <w:t xml:space="preserve">Davenport, T.H. and Ronanki, R. (2018) ‘Artificial intelligence for the real world’, </w:t>
      </w:r>
      <w:r>
        <w:rPr>
          <w:i/>
          <w:iCs/>
        </w:rPr>
        <w:t>Harvard Business Review</w:t>
      </w:r>
      <w:r>
        <w:t>, 96(1), pp. 108–116.</w:t>
      </w:r>
    </w:p>
    <w:p w:rsidR="007B356F" w:rsidRDefault="004255E9">
      <w:pPr>
        <w:spacing w:after="120" w:line="360" w:lineRule="auto"/>
        <w:jc w:val="both"/>
      </w:pPr>
      <w:r>
        <w:t xml:space="preserve">De Bono, E. (2016) </w:t>
      </w:r>
      <w:r>
        <w:rPr>
          <w:i/>
          <w:iCs/>
        </w:rPr>
        <w:t>Lateral thinking: A textbook of creativity</w:t>
      </w:r>
      <w:r>
        <w:t>. London: Penguin.</w:t>
      </w:r>
    </w:p>
    <w:p w:rsidR="007B356F" w:rsidRDefault="004255E9">
      <w:pPr>
        <w:spacing w:after="120" w:line="360" w:lineRule="auto"/>
        <w:jc w:val="both"/>
      </w:pPr>
      <w:r>
        <w:t xml:space="preserve">Dwivedi, Y.K. et al. (2021) ‘Artificial intelligence (AI): Multidisciplinary perspectives on emerging challenges, opportunities, and agenda for research, practice and policy’, </w:t>
      </w:r>
      <w:r>
        <w:rPr>
          <w:i/>
          <w:iCs/>
        </w:rPr>
        <w:t>International Journal of Information Management</w:t>
      </w:r>
      <w:r>
        <w:t>, 57, 101994.</w:t>
      </w:r>
    </w:p>
    <w:p w:rsidR="007B356F" w:rsidRDefault="004255E9">
      <w:pPr>
        <w:spacing w:after="120" w:line="360" w:lineRule="auto"/>
        <w:jc w:val="both"/>
      </w:pPr>
      <w:r>
        <w:t xml:space="preserve">Edmondson, A. (1999) ‘Psychological safety and learning behavior in work teams’, </w:t>
      </w:r>
      <w:r>
        <w:rPr>
          <w:i/>
          <w:iCs/>
        </w:rPr>
        <w:t>Administrative Science Quarterly</w:t>
      </w:r>
      <w:r>
        <w:t>, 44(2), pp. 350–383.</w:t>
      </w:r>
    </w:p>
    <w:p w:rsidR="007B356F" w:rsidRDefault="004255E9">
      <w:pPr>
        <w:spacing w:after="120" w:line="360" w:lineRule="auto"/>
        <w:jc w:val="both"/>
      </w:pPr>
      <w:r>
        <w:t xml:space="preserve">Floridi, L. and Chiriatti, M. (2020) ‘GPT-3: Its nature, scope, limits, and consequences’, </w:t>
      </w:r>
      <w:r>
        <w:rPr>
          <w:i/>
          <w:iCs/>
        </w:rPr>
        <w:t>Minds and Machines</w:t>
      </w:r>
      <w:r>
        <w:t>, 30(4), pp. 681–694.</w:t>
      </w:r>
    </w:p>
    <w:p w:rsidR="007B356F" w:rsidRDefault="004255E9">
      <w:pPr>
        <w:spacing w:after="120" w:line="360" w:lineRule="auto"/>
        <w:jc w:val="both"/>
      </w:pPr>
      <w:r>
        <w:t xml:space="preserve">Foss, N.J. and Saebi, T. (2017) ‘Fifteen years of research on business model innovation: How far have we come, and where should we go?’, </w:t>
      </w:r>
      <w:r>
        <w:rPr>
          <w:i/>
          <w:iCs/>
        </w:rPr>
        <w:t>Journal of Management</w:t>
      </w:r>
      <w:r>
        <w:t>, 43(1), pp. 200–227.</w:t>
      </w:r>
    </w:p>
    <w:p w:rsidR="007B356F" w:rsidRDefault="004255E9">
      <w:pPr>
        <w:spacing w:after="120" w:line="360" w:lineRule="auto"/>
        <w:jc w:val="both"/>
      </w:pPr>
      <w:r>
        <w:t xml:space="preserve">Haefner, N., Wincent, J., Parida, V. and Gassmann, O. (2021) ‘Artificial intelligence and innovation management: A review, framework, and research agenda’, </w:t>
      </w:r>
      <w:r>
        <w:rPr>
          <w:i/>
          <w:iCs/>
        </w:rPr>
        <w:t>Technological Forecasting and Social Change</w:t>
      </w:r>
      <w:r>
        <w:t>, 162, 120392.</w:t>
      </w:r>
    </w:p>
    <w:p w:rsidR="007B356F" w:rsidRDefault="004255E9">
      <w:pPr>
        <w:spacing w:after="120" w:line="360" w:lineRule="auto"/>
        <w:jc w:val="both"/>
      </w:pPr>
      <w:r>
        <w:t xml:space="preserve">Jarrahi, M.H. (2018) ‘Artificial intelligence and the future of work: Human–AI symbiosis in organizational decision making’, </w:t>
      </w:r>
      <w:r>
        <w:rPr>
          <w:i/>
          <w:iCs/>
        </w:rPr>
        <w:t>Business Horizons</w:t>
      </w:r>
      <w:r>
        <w:t>, 61(4), pp. 577–586.</w:t>
      </w:r>
    </w:p>
    <w:p w:rsidR="007B356F" w:rsidRDefault="004255E9">
      <w:pPr>
        <w:spacing w:after="120" w:line="360" w:lineRule="auto"/>
        <w:jc w:val="both"/>
      </w:pPr>
      <w:r>
        <w:t xml:space="preserve">Kim, W.C. and Mauborgne, R. (2015) </w:t>
      </w:r>
      <w:r>
        <w:rPr>
          <w:i/>
          <w:iCs/>
        </w:rPr>
        <w:t>Blue ocean strategy</w:t>
      </w:r>
      <w:r>
        <w:t>. Expanded edn. Boston: Harvard Business Review Press.</w:t>
      </w:r>
    </w:p>
    <w:p w:rsidR="007B356F" w:rsidRDefault="004255E9">
      <w:pPr>
        <w:spacing w:after="120" w:line="360" w:lineRule="auto"/>
        <w:jc w:val="both"/>
      </w:pPr>
      <w:r>
        <w:t xml:space="preserve">Lewin, K. (1947) ‘Frontiers in group dynamics’, </w:t>
      </w:r>
      <w:r>
        <w:rPr>
          <w:i/>
          <w:iCs/>
        </w:rPr>
        <w:t>Human Relations</w:t>
      </w:r>
      <w:r>
        <w:t>, 1(1), pp. 5–41.</w:t>
      </w:r>
    </w:p>
    <w:p w:rsidR="007B356F" w:rsidRDefault="004255E9">
      <w:pPr>
        <w:spacing w:after="120" w:line="360" w:lineRule="auto"/>
        <w:jc w:val="both"/>
      </w:pPr>
      <w:r>
        <w:t xml:space="preserve">Manners-Bell, J. and Lyon, K. (2022) </w:t>
      </w:r>
      <w:r>
        <w:rPr>
          <w:i/>
          <w:iCs/>
        </w:rPr>
        <w:t>Logistics and supply chain innovation: A practical guide to disruptive technologies and new business models</w:t>
      </w:r>
      <w:r>
        <w:t>. 2nd edn. London: Kogan Page.</w:t>
      </w:r>
    </w:p>
    <w:p w:rsidR="007B356F" w:rsidRDefault="004255E9">
      <w:pPr>
        <w:spacing w:after="120" w:line="360" w:lineRule="auto"/>
        <w:jc w:val="both"/>
      </w:pPr>
      <w:r>
        <w:t xml:space="preserve">Mariani, M.M., Machado, I. and Nambisan, S. (2023) ‘Types of innovation and artificial intelligence: A systematic quantitative literature review and research agenda’, </w:t>
      </w:r>
      <w:r>
        <w:rPr>
          <w:i/>
          <w:iCs/>
        </w:rPr>
        <w:t>Journal of Business Research</w:t>
      </w:r>
      <w:r>
        <w:t>, 155, 113364.</w:t>
      </w:r>
    </w:p>
    <w:p w:rsidR="007B356F" w:rsidRDefault="004255E9">
      <w:pPr>
        <w:spacing w:after="120" w:line="360" w:lineRule="auto"/>
        <w:jc w:val="both"/>
      </w:pPr>
      <w:r>
        <w:t xml:space="preserve">Mazzucato, M. (2018) </w:t>
      </w:r>
      <w:r>
        <w:rPr>
          <w:i/>
          <w:iCs/>
        </w:rPr>
        <w:t>The value of everything: Making and taking in the global economy</w:t>
      </w:r>
      <w:r>
        <w:t>. London: Allen Lane.</w:t>
      </w:r>
    </w:p>
    <w:p w:rsidR="007B356F" w:rsidRDefault="004255E9">
      <w:pPr>
        <w:spacing w:after="120" w:line="360" w:lineRule="auto"/>
        <w:jc w:val="both"/>
      </w:pPr>
      <w:r>
        <w:t xml:space="preserve">Nickerson, R.S. (1998) ‘Confirmation bias: A ubiquitous phenomenon in many guises’, </w:t>
      </w:r>
      <w:r>
        <w:rPr>
          <w:i/>
          <w:iCs/>
        </w:rPr>
        <w:t>Review of General Psychology</w:t>
      </w:r>
      <w:r>
        <w:t>, 2(2), pp. 175–220.</w:t>
      </w:r>
    </w:p>
    <w:p w:rsidR="007B356F" w:rsidRDefault="004255E9">
      <w:pPr>
        <w:spacing w:after="120" w:line="360" w:lineRule="auto"/>
        <w:jc w:val="both"/>
      </w:pPr>
      <w:r>
        <w:t xml:space="preserve">Oldenburg, R. (1999) </w:t>
      </w:r>
      <w:r>
        <w:rPr>
          <w:i/>
          <w:iCs/>
        </w:rPr>
        <w:t>The great good place</w:t>
      </w:r>
      <w:r>
        <w:t>. 3rd edn. New York: Marlowe &amp; Company.</w:t>
      </w:r>
    </w:p>
    <w:p w:rsidR="007B356F" w:rsidRDefault="004255E9">
      <w:pPr>
        <w:spacing w:after="120" w:line="360" w:lineRule="auto"/>
        <w:jc w:val="both"/>
      </w:pPr>
      <w:r>
        <w:t xml:space="preserve">Osterwalder, A. and Pigneur, Y. (2010) </w:t>
      </w:r>
      <w:r>
        <w:rPr>
          <w:i/>
          <w:iCs/>
        </w:rPr>
        <w:t>Business model generation</w:t>
      </w:r>
      <w:r>
        <w:t>. Hoboken: Wiley.</w:t>
      </w:r>
    </w:p>
    <w:p w:rsidR="007B356F" w:rsidRDefault="004255E9">
      <w:pPr>
        <w:spacing w:after="120" w:line="360" w:lineRule="auto"/>
        <w:jc w:val="both"/>
      </w:pPr>
      <w:r>
        <w:t xml:space="preserve">Ostrom, E. (1990) </w:t>
      </w:r>
      <w:r>
        <w:rPr>
          <w:i/>
          <w:iCs/>
        </w:rPr>
        <w:t>Governing the commons: The evolution of institutions for collective action</w:t>
      </w:r>
      <w:r>
        <w:t>. Cambridge: Cambridge University Press.</w:t>
      </w:r>
    </w:p>
    <w:p w:rsidR="007B356F" w:rsidRDefault="004255E9">
      <w:pPr>
        <w:spacing w:after="120" w:line="360" w:lineRule="auto"/>
        <w:jc w:val="both"/>
      </w:pPr>
      <w:r>
        <w:t xml:space="preserve">Parasuraman, R. and Manzey, D.H. (2010) ‘Complacency and bias in human use of automation: An attentional integration’, </w:t>
      </w:r>
      <w:r>
        <w:rPr>
          <w:i/>
          <w:iCs/>
        </w:rPr>
        <w:t>Human Factors</w:t>
      </w:r>
      <w:r>
        <w:t>, 52(3), pp. 381–410.</w:t>
      </w:r>
    </w:p>
    <w:p w:rsidR="007B356F" w:rsidRDefault="004255E9">
      <w:pPr>
        <w:spacing w:after="120" w:line="360" w:lineRule="auto"/>
        <w:jc w:val="both"/>
      </w:pPr>
      <w:r>
        <w:t xml:space="preserve">Pine, B.J. and Gilmore, J.H. (2011) </w:t>
      </w:r>
      <w:r>
        <w:rPr>
          <w:i/>
          <w:iCs/>
        </w:rPr>
        <w:t>The experience economy</w:t>
      </w:r>
      <w:r>
        <w:t>. Boston: Harvard Business Review Press.</w:t>
      </w:r>
    </w:p>
    <w:p w:rsidR="007B356F" w:rsidRDefault="004255E9">
      <w:pPr>
        <w:spacing w:after="120" w:line="360" w:lineRule="auto"/>
        <w:jc w:val="both"/>
      </w:pPr>
      <w:r>
        <w:t xml:space="preserve">Porter, M.E. and Kramer, M.R. (2011) ‘Creating shared value’, </w:t>
      </w:r>
      <w:r>
        <w:rPr>
          <w:i/>
          <w:iCs/>
        </w:rPr>
        <w:t>Harvard Business Review</w:t>
      </w:r>
      <w:r>
        <w:t>, 89(1–2), pp. 62–77.</w:t>
      </w:r>
    </w:p>
    <w:p w:rsidR="007B356F" w:rsidRDefault="004255E9">
      <w:pPr>
        <w:spacing w:after="120" w:line="360" w:lineRule="auto"/>
        <w:jc w:val="both"/>
      </w:pPr>
      <w:r>
        <w:t xml:space="preserve">Prahalad, C.K. and Ramaswamy, V. (2004) ‘Co-creation experiences: The next practice in value creation’, </w:t>
      </w:r>
      <w:r>
        <w:rPr>
          <w:i/>
          <w:iCs/>
        </w:rPr>
        <w:t>Journal of Interactive Marketing</w:t>
      </w:r>
      <w:r>
        <w:t>, 18(3), pp. 5–14.</w:t>
      </w:r>
    </w:p>
    <w:p w:rsidR="007B356F" w:rsidRDefault="004255E9">
      <w:pPr>
        <w:spacing w:after="120" w:line="360" w:lineRule="auto"/>
        <w:jc w:val="both"/>
      </w:pPr>
      <w:r>
        <w:t xml:space="preserve">Raworth, K. (2017) </w:t>
      </w:r>
      <w:r>
        <w:rPr>
          <w:i/>
          <w:iCs/>
        </w:rPr>
        <w:t>Doughnut economics: Seven ways to think like a 21st-century economist</w:t>
      </w:r>
      <w:r>
        <w:t>. London: Random House Business.</w:t>
      </w:r>
    </w:p>
    <w:p w:rsidR="007B356F" w:rsidRDefault="004255E9">
      <w:pPr>
        <w:spacing w:after="120" w:line="360" w:lineRule="auto"/>
        <w:jc w:val="both"/>
      </w:pPr>
      <w:r>
        <w:t xml:space="preserve">Runco, M.A. and Jaeger, G.J. (2012) ‘The standard definition of creativity’, </w:t>
      </w:r>
      <w:r>
        <w:rPr>
          <w:i/>
          <w:iCs/>
        </w:rPr>
        <w:t>Creativity Research Journal</w:t>
      </w:r>
      <w:r>
        <w:t>, 24(1), pp. 92–96.</w:t>
      </w:r>
    </w:p>
    <w:p w:rsidR="007B356F" w:rsidRDefault="004255E9">
      <w:pPr>
        <w:spacing w:after="120" w:line="360" w:lineRule="auto"/>
        <w:jc w:val="both"/>
      </w:pPr>
      <w:r>
        <w:t xml:space="preserve">Schumpeter, J.A. (1934) </w:t>
      </w:r>
      <w:r>
        <w:rPr>
          <w:i/>
          <w:iCs/>
        </w:rPr>
        <w:t>The theory of economic development</w:t>
      </w:r>
      <w:r>
        <w:t>. Cambridge, MA: Harvard University Press.</w:t>
      </w:r>
    </w:p>
    <w:p w:rsidR="007B356F" w:rsidRDefault="004255E9">
      <w:pPr>
        <w:spacing w:after="120" w:line="360" w:lineRule="auto"/>
        <w:jc w:val="both"/>
      </w:pPr>
      <w:r>
        <w:t xml:space="preserve">Seyfang, G. (2004) ‘Time banks: Rewarding community self-help in the inner city?’, </w:t>
      </w:r>
      <w:r>
        <w:rPr>
          <w:i/>
          <w:iCs/>
        </w:rPr>
        <w:t>Community Development Journal</w:t>
      </w:r>
      <w:r>
        <w:t>, 39(1), pp. 62–71.</w:t>
      </w:r>
    </w:p>
    <w:p w:rsidR="007B356F" w:rsidRDefault="004255E9">
      <w:pPr>
        <w:spacing w:after="120" w:line="360" w:lineRule="auto"/>
        <w:jc w:val="both"/>
      </w:pPr>
      <w:r>
        <w:t xml:space="preserve">Tidd, J. and Bessant, J. (2020) </w:t>
      </w:r>
      <w:r>
        <w:rPr>
          <w:i/>
          <w:iCs/>
        </w:rPr>
        <w:t>Managing innovation: Integrating technological, market and organisational change</w:t>
      </w:r>
      <w:r>
        <w:t>. 7th edn. Hoboken: Wiley.</w:t>
      </w:r>
    </w:p>
    <w:p w:rsidR="007B356F" w:rsidRDefault="004255E9">
      <w:pPr>
        <w:spacing w:after="120" w:line="360" w:lineRule="auto"/>
        <w:jc w:val="both"/>
      </w:pPr>
      <w:r>
        <w:t xml:space="preserve">Trott, P. (2016) </w:t>
      </w:r>
      <w:r>
        <w:rPr>
          <w:i/>
          <w:iCs/>
        </w:rPr>
        <w:t>Innovation management and new product development</w:t>
      </w:r>
      <w:r>
        <w:t>. 6th edn. Harlow: Pearson.</w:t>
      </w:r>
    </w:p>
    <w:p w:rsidR="007B356F" w:rsidRDefault="004255E9">
      <w:pPr>
        <w:spacing w:after="120" w:line="360" w:lineRule="auto"/>
        <w:jc w:val="both"/>
      </w:pPr>
      <w:r>
        <w:t xml:space="preserve">Turner, E. (2020) </w:t>
      </w:r>
      <w:r>
        <w:rPr>
          <w:i/>
          <w:iCs/>
        </w:rPr>
        <w:t>Be less zombie: How great companies create dynamic innovation, fearless leadership and passionate people</w:t>
      </w:r>
      <w:r>
        <w:t>. Chichester: Wiley.</w:t>
      </w:r>
    </w:p>
    <w:p w:rsidR="007B356F" w:rsidRDefault="004255E9">
      <w:pPr>
        <w:spacing w:after="120" w:line="360" w:lineRule="auto"/>
        <w:jc w:val="both"/>
      </w:pPr>
      <w:r>
        <w:t xml:space="preserve">Vargo, S.L. and Lusch, R.F. (2016) ‘Institutions and axioms: An extension and update of service-dominant logic’, </w:t>
      </w:r>
      <w:r>
        <w:rPr>
          <w:i/>
          <w:iCs/>
        </w:rPr>
        <w:t>Journal of the Academy of Marketing Science</w:t>
      </w:r>
      <w:r>
        <w:t>, 44(1), pp. 5–23.</w:t>
      </w:r>
    </w:p>
    <w:p w:rsidR="007B356F" w:rsidRDefault="004255E9">
      <w:pPr>
        <w:spacing w:after="120" w:line="360" w:lineRule="auto"/>
        <w:jc w:val="both"/>
      </w:pPr>
      <w:r>
        <w:t xml:space="preserve">Verganti, R., Vendraminelli, L. and Iansiti, M. (2020) ‘Innovation and design in the age of artificial intelligence’, </w:t>
      </w:r>
      <w:r>
        <w:rPr>
          <w:i/>
          <w:iCs/>
        </w:rPr>
        <w:t>Journal of Product Innovation Management</w:t>
      </w:r>
      <w:r>
        <w:t>, 37(3), pp. 212–227.</w:t>
      </w:r>
    </w:p>
    <w:p w:rsidR="007B356F" w:rsidRDefault="004255E9">
      <w:pPr>
        <w:spacing w:after="120" w:line="360" w:lineRule="auto"/>
        <w:jc w:val="both"/>
      </w:pPr>
      <w:r>
        <w:t xml:space="preserve">Wallas, G. (1926) </w:t>
      </w:r>
      <w:r>
        <w:rPr>
          <w:i/>
          <w:iCs/>
        </w:rPr>
        <w:t>The art of thought</w:t>
      </w:r>
      <w:r>
        <w:t>. London: Jonathan Cape.</w:t>
      </w:r>
    </w:p>
    <w:p w:rsidR="007B356F" w:rsidRDefault="004255E9">
      <w:pPr>
        <w:spacing w:after="120" w:line="360" w:lineRule="auto"/>
        <w:jc w:val="both"/>
      </w:pPr>
      <w:r>
        <w:t xml:space="preserve">West, J. and Bogers, M. (2014) ‘Leveraging external sources of innovation: A review of research on open innovation’, </w:t>
      </w:r>
      <w:r>
        <w:rPr>
          <w:i/>
          <w:iCs/>
        </w:rPr>
        <w:t>Journal of Product Innovation Management</w:t>
      </w:r>
      <w:r>
        <w:t>, 31(4), pp. 814–831.</w:t>
      </w:r>
    </w:p>
    <w:p w:rsidR="007B356F" w:rsidRDefault="004255E9">
      <w:pPr>
        <w:spacing w:after="120" w:line="360" w:lineRule="auto"/>
        <w:jc w:val="both"/>
      </w:pPr>
      <w:r>
        <w:t xml:space="preserve">Wilson, H.J. and Daugherty, P.R. (2018) ‘Collaborative intelligence: Humans and AI are joining forces’, </w:t>
      </w:r>
      <w:r>
        <w:rPr>
          <w:i/>
          <w:iCs/>
        </w:rPr>
        <w:t>Harvard Business Review</w:t>
      </w:r>
      <w:r>
        <w:t>, 96(4), pp. 114–123.</w:t>
      </w:r>
    </w:p>
    <w:p w:rsidR="007B356F" w:rsidRDefault="004255E9">
      <w:r>
        <w:br w:type="page"/>
      </w:r>
    </w:p>
    <w:p w:rsidR="007B356F" w:rsidRDefault="007B356F">
      <w:pPr>
        <w:pStyle w:val="Heading1"/>
        <w:spacing w:before="0"/>
      </w:pPr>
      <w:bookmarkStart w:id="28" w:name="__RefHeading___Toc427_1356789965"/>
      <w:bookmarkEnd w:id="28"/>
    </w:p>
    <w:p w:rsidR="007B356F" w:rsidRDefault="004255E9">
      <w:pPr>
        <w:pStyle w:val="Heading1"/>
        <w:spacing w:before="0"/>
      </w:pPr>
      <w:bookmarkStart w:id="29" w:name="_Toc232336567"/>
      <w:r>
        <w:t>Appendix</w:t>
      </w:r>
      <w:bookmarkEnd w:id="29"/>
    </w:p>
    <w:p w:rsidR="007B356F" w:rsidRDefault="004255E9">
      <w:pPr>
        <w:pStyle w:val="Heading2"/>
      </w:pPr>
      <w:bookmarkStart w:id="30" w:name="_Toc232336568"/>
      <w:r>
        <w:t>Appendix 1: Business Model Canvas – The Seren Stewardship Model</w:t>
      </w:r>
      <w:bookmarkEnd w:id="30"/>
    </w:p>
    <w:p w:rsidR="007B356F" w:rsidRDefault="004255E9">
      <w:pPr>
        <w:spacing w:after="160" w:line="360" w:lineRule="auto"/>
        <w:jc w:val="both"/>
      </w:pPr>
      <w:r>
        <w:t>The canvas below sets out how each building block is reconfigured under the proposed model. The change is concentrated in Key Activities and Key Resources, where member contribution and the café’s relational capital replace founder time, while suppliers and the core offer remain unchanged.</w:t>
      </w:r>
    </w:p>
    <w:tbl>
      <w:tblPr>
        <w:tblW w:w="9360" w:type="dxa"/>
        <w:tblLayout w:type="fixed"/>
        <w:tblCellMar>
          <w:top w:w="90" w:type="dxa"/>
          <w:left w:w="110" w:type="dxa"/>
          <w:bottom w:w="90" w:type="dxa"/>
          <w:right w:w="110" w:type="dxa"/>
        </w:tblCellMar>
        <w:tblLook w:val="04A0"/>
      </w:tblPr>
      <w:tblGrid>
        <w:gridCol w:w="3120"/>
        <w:gridCol w:w="3120"/>
        <w:gridCol w:w="3120"/>
      </w:tblGrid>
      <w:tr w:rsidR="007B356F">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Key Partners</w:t>
            </w:r>
          </w:p>
          <w:p w:rsidR="007B356F" w:rsidRDefault="004255E9">
            <w:pPr>
              <w:spacing w:after="30" w:line="240" w:lineRule="exact"/>
            </w:pPr>
            <w:r>
              <w:rPr>
                <w:color w:val="404040"/>
                <w:sz w:val="18"/>
                <w:szCs w:val="18"/>
              </w:rPr>
              <w:t>• Existing ethical suppliers (unchanged — a case constraint)</w:t>
            </w:r>
          </w:p>
          <w:p w:rsidR="007B356F" w:rsidRDefault="004255E9">
            <w:pPr>
              <w:spacing w:after="30" w:line="240" w:lineRule="exact"/>
            </w:pPr>
            <w:r>
              <w:rPr>
                <w:color w:val="404040"/>
                <w:sz w:val="18"/>
                <w:szCs w:val="18"/>
              </w:rPr>
              <w:t>• Y Criw members as co-producers</w:t>
            </w:r>
          </w:p>
          <w:p w:rsidR="007B356F" w:rsidRDefault="004255E9">
            <w:pPr>
              <w:spacing w:after="30" w:line="240" w:lineRule="exact"/>
            </w:pPr>
            <w:r>
              <w:rPr>
                <w:color w:val="404040"/>
                <w:sz w:val="18"/>
                <w:szCs w:val="18"/>
              </w:rPr>
              <w:t>• Local creatives; the council civic-events contact</w:t>
            </w:r>
          </w:p>
        </w:tc>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Key Activities</w:t>
            </w:r>
          </w:p>
          <w:p w:rsidR="007B356F" w:rsidRDefault="004255E9">
            <w:pPr>
              <w:spacing w:after="30" w:line="240" w:lineRule="exact"/>
            </w:pPr>
            <w:r>
              <w:rPr>
                <w:color w:val="404040"/>
                <w:sz w:val="18"/>
                <w:szCs w:val="18"/>
              </w:rPr>
              <w:t>• A published ‘operating rhythm’ run by a member rota</w:t>
            </w:r>
          </w:p>
          <w:p w:rsidR="007B356F" w:rsidRDefault="004255E9">
            <w:pPr>
              <w:spacing w:after="30" w:line="240" w:lineRule="exact"/>
            </w:pPr>
            <w:r>
              <w:rPr>
                <w:color w:val="404040"/>
                <w:sz w:val="18"/>
                <w:szCs w:val="18"/>
              </w:rPr>
              <w:t>• Light founder stewardship of strategy</w:t>
            </w:r>
          </w:p>
          <w:p w:rsidR="007B356F" w:rsidRDefault="004255E9">
            <w:pPr>
              <w:spacing w:after="30" w:line="240" w:lineRule="exact"/>
            </w:pPr>
            <w:r>
              <w:rPr>
                <w:color w:val="404040"/>
                <w:sz w:val="18"/>
                <w:szCs w:val="18"/>
              </w:rPr>
              <w:t>• The Sêr time-bank</w:t>
            </w:r>
          </w:p>
        </w:tc>
        <w:tc>
          <w:tcPr>
            <w:tcW w:w="3120" w:type="dxa"/>
            <w:tcBorders>
              <w:top w:val="single" w:sz="2" w:space="0" w:color="CCCCCC"/>
              <w:left w:val="single" w:sz="2" w:space="0" w:color="CCCCCC"/>
              <w:bottom w:val="single" w:sz="2" w:space="0" w:color="CCCCCC"/>
              <w:right w:val="single" w:sz="2" w:space="0" w:color="CCCCCC"/>
            </w:tcBorders>
            <w:shd w:val="clear" w:color="auto" w:fill="D5E8F0"/>
          </w:tcPr>
          <w:p w:rsidR="007B356F" w:rsidRDefault="004255E9">
            <w:pPr>
              <w:spacing w:after="60" w:line="240" w:lineRule="exact"/>
            </w:pPr>
            <w:r>
              <w:rPr>
                <w:b/>
                <w:bCs/>
                <w:color w:val="1F4E79"/>
                <w:sz w:val="19"/>
                <w:szCs w:val="19"/>
              </w:rPr>
              <w:t>Value Propositions</w:t>
            </w:r>
          </w:p>
          <w:p w:rsidR="007B356F" w:rsidRDefault="004255E9">
            <w:pPr>
              <w:spacing w:after="30" w:line="240" w:lineRule="exact"/>
            </w:pPr>
            <w:r>
              <w:rPr>
                <w:color w:val="404040"/>
                <w:sz w:val="18"/>
                <w:szCs w:val="18"/>
              </w:rPr>
              <w:t>• Membership of a café you help run: belonging, agency, continuity of ethos</w:t>
            </w:r>
          </w:p>
          <w:p w:rsidR="007B356F" w:rsidRDefault="004255E9">
            <w:pPr>
              <w:spacing w:after="30" w:line="240" w:lineRule="exact"/>
            </w:pPr>
            <w:r>
              <w:rPr>
                <w:color w:val="404040"/>
                <w:sz w:val="18"/>
                <w:szCs w:val="18"/>
              </w:rPr>
              <w:t>• A relationship the chain café cannot copy</w:t>
            </w:r>
          </w:p>
        </w:tc>
      </w:tr>
      <w:tr w:rsidR="007B356F">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Key Resources</w:t>
            </w:r>
          </w:p>
          <w:p w:rsidR="007B356F" w:rsidRDefault="004255E9">
            <w:pPr>
              <w:spacing w:after="30" w:line="240" w:lineRule="exact"/>
            </w:pPr>
            <w:r>
              <w:rPr>
                <w:color w:val="404040"/>
                <w:sz w:val="18"/>
                <w:szCs w:val="18"/>
              </w:rPr>
              <w:t>• The café’s relational capital and identity</w:t>
            </w:r>
          </w:p>
          <w:p w:rsidR="007B356F" w:rsidRDefault="004255E9">
            <w:pPr>
              <w:spacing w:after="30" w:line="240" w:lineRule="exact"/>
            </w:pPr>
            <w:r>
              <w:rPr>
                <w:color w:val="404040"/>
                <w:sz w:val="18"/>
                <w:szCs w:val="18"/>
              </w:rPr>
              <w:t>• Member time and skills</w:t>
            </w:r>
          </w:p>
          <w:p w:rsidR="007B356F" w:rsidRDefault="004255E9">
            <w:pPr>
              <w:spacing w:after="30" w:line="240" w:lineRule="exact"/>
            </w:pPr>
            <w:r>
              <w:rPr>
                <w:color w:val="404040"/>
                <w:sz w:val="18"/>
                <w:szCs w:val="18"/>
              </w:rPr>
              <w:t>• The existing premises and chalkboard</w:t>
            </w:r>
          </w:p>
        </w:tc>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Customer Relationships</w:t>
            </w:r>
          </w:p>
          <w:p w:rsidR="007B356F" w:rsidRDefault="004255E9">
            <w:pPr>
              <w:spacing w:after="30" w:line="240" w:lineRule="exact"/>
            </w:pPr>
            <w:r>
              <w:rPr>
                <w:color w:val="404040"/>
                <w:sz w:val="18"/>
                <w:szCs w:val="18"/>
              </w:rPr>
              <w:t>• Co-productive and self-coordinating</w:t>
            </w:r>
          </w:p>
          <w:p w:rsidR="007B356F" w:rsidRDefault="004255E9">
            <w:pPr>
              <w:spacing w:after="30" w:line="240" w:lineRule="exact"/>
            </w:pPr>
            <w:r>
              <w:rPr>
                <w:color w:val="404040"/>
                <w:sz w:val="18"/>
                <w:szCs w:val="18"/>
              </w:rPr>
              <w:t>• Members hold bounded roles rather than being served</w:t>
            </w:r>
          </w:p>
        </w:tc>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Customer Segments</w:t>
            </w:r>
          </w:p>
          <w:p w:rsidR="007B356F" w:rsidRDefault="004255E9">
            <w:pPr>
              <w:spacing w:after="30" w:line="240" w:lineRule="exact"/>
            </w:pPr>
            <w:r>
              <w:rPr>
                <w:color w:val="404040"/>
                <w:sz w:val="18"/>
                <w:szCs w:val="18"/>
              </w:rPr>
              <w:t>• Existing regulars recast as members</w:t>
            </w:r>
          </w:p>
          <w:p w:rsidR="007B356F" w:rsidRDefault="004255E9">
            <w:pPr>
              <w:spacing w:after="30" w:line="240" w:lineRule="exact"/>
            </w:pPr>
            <w:r>
              <w:rPr>
                <w:color w:val="404040"/>
                <w:sz w:val="18"/>
                <w:szCs w:val="18"/>
              </w:rPr>
              <w:t>• Students, retirees and ethically-minded locals</w:t>
            </w:r>
          </w:p>
        </w:tc>
      </w:tr>
      <w:tr w:rsidR="007B356F">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Channels</w:t>
            </w:r>
          </w:p>
          <w:p w:rsidR="007B356F" w:rsidRDefault="004255E9">
            <w:pPr>
              <w:spacing w:after="30" w:line="240" w:lineRule="exact"/>
            </w:pPr>
            <w:r>
              <w:rPr>
                <w:color w:val="404040"/>
                <w:sz w:val="18"/>
                <w:szCs w:val="18"/>
              </w:rPr>
              <w:t>• The café itself and the chalkboard</w:t>
            </w:r>
          </w:p>
          <w:p w:rsidR="007B356F" w:rsidRDefault="004255E9">
            <w:pPr>
              <w:spacing w:after="30" w:line="240" w:lineRule="exact"/>
            </w:pPr>
            <w:r>
              <w:rPr>
                <w:color w:val="404040"/>
                <w:sz w:val="18"/>
                <w:szCs w:val="18"/>
              </w:rPr>
              <w:t>• Word of mouth and a printed Sêr ledger (no app)</w:t>
            </w:r>
          </w:p>
        </w:tc>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Cost Structure</w:t>
            </w:r>
          </w:p>
          <w:p w:rsidR="007B356F" w:rsidRDefault="004255E9">
            <w:pPr>
              <w:spacing w:after="30" w:line="240" w:lineRule="exact"/>
            </w:pPr>
            <w:r>
              <w:rPr>
                <w:color w:val="404040"/>
                <w:sz w:val="18"/>
                <w:szCs w:val="18"/>
              </w:rPr>
              <w:t>• Largely unchanged</w:t>
            </w:r>
          </w:p>
          <w:p w:rsidR="007B356F" w:rsidRDefault="004255E9">
            <w:pPr>
              <w:spacing w:after="30" w:line="240" w:lineRule="exact"/>
            </w:pPr>
            <w:r>
              <w:rPr>
                <w:color w:val="404040"/>
                <w:sz w:val="18"/>
                <w:szCs w:val="18"/>
              </w:rPr>
              <w:t>• Founder labour — the binding constraint — substituted, not added to</w:t>
            </w:r>
          </w:p>
          <w:p w:rsidR="007B356F" w:rsidRDefault="004255E9">
            <w:pPr>
              <w:spacing w:after="30" w:line="240" w:lineRule="exact"/>
            </w:pPr>
            <w:r>
              <w:rPr>
                <w:color w:val="404040"/>
                <w:sz w:val="18"/>
                <w:szCs w:val="18"/>
              </w:rPr>
              <w:t>• £2,000 as a one-off launch tool</w:t>
            </w:r>
          </w:p>
        </w:tc>
        <w:tc>
          <w:tcPr>
            <w:tcW w:w="3120" w:type="dxa"/>
            <w:tcBorders>
              <w:top w:val="single" w:sz="2" w:space="0" w:color="CCCCCC"/>
              <w:left w:val="single" w:sz="2" w:space="0" w:color="CCCCCC"/>
              <w:bottom w:val="single" w:sz="2" w:space="0" w:color="CCCCCC"/>
              <w:right w:val="single" w:sz="2" w:space="0" w:color="CCCCCC"/>
            </w:tcBorders>
            <w:shd w:val="clear" w:color="auto" w:fill="EAF1F8"/>
          </w:tcPr>
          <w:p w:rsidR="007B356F" w:rsidRDefault="004255E9">
            <w:pPr>
              <w:spacing w:after="60" w:line="240" w:lineRule="exact"/>
            </w:pPr>
            <w:r>
              <w:rPr>
                <w:b/>
                <w:bCs/>
                <w:color w:val="1F4E79"/>
                <w:sz w:val="19"/>
                <w:szCs w:val="19"/>
              </w:rPr>
              <w:t>Revenue Streams</w:t>
            </w:r>
          </w:p>
          <w:p w:rsidR="007B356F" w:rsidRDefault="004255E9">
            <w:pPr>
              <w:spacing w:after="30" w:line="240" w:lineRule="exact"/>
            </w:pPr>
            <w:r>
              <w:rPr>
                <w:color w:val="404040"/>
                <w:sz w:val="18"/>
                <w:szCs w:val="18"/>
              </w:rPr>
              <w:t>• Coffee and food sustained by restored capacity</w:t>
            </w:r>
          </w:p>
          <w:p w:rsidR="007B356F" w:rsidRDefault="004255E9">
            <w:pPr>
              <w:spacing w:after="30" w:line="240" w:lineRule="exact"/>
            </w:pPr>
            <w:r>
              <w:rPr>
                <w:color w:val="404040"/>
                <w:sz w:val="18"/>
                <w:szCs w:val="18"/>
              </w:rPr>
              <w:t>• Reinstated pay-what-you-can evening</w:t>
            </w:r>
          </w:p>
          <w:p w:rsidR="007B356F" w:rsidRDefault="004255E9">
            <w:pPr>
              <w:spacing w:after="30" w:line="240" w:lineRule="exact"/>
            </w:pPr>
            <w:r>
              <w:rPr>
                <w:color w:val="404040"/>
                <w:sz w:val="18"/>
                <w:szCs w:val="18"/>
              </w:rPr>
              <w:t>• Voluntary founding-member contributions</w:t>
            </w:r>
          </w:p>
        </w:tc>
      </w:tr>
    </w:tbl>
    <w:p w:rsidR="007B356F" w:rsidRDefault="007B356F">
      <w:pPr>
        <w:pStyle w:val="Heading2"/>
      </w:pPr>
      <w:bookmarkStart w:id="31" w:name="__RefHeading___Toc431_1356789965"/>
      <w:bookmarkEnd w:id="31"/>
    </w:p>
    <w:p w:rsidR="007B356F" w:rsidRDefault="007B356F">
      <w:pPr>
        <w:pStyle w:val="Heading2"/>
      </w:pPr>
    </w:p>
    <w:p w:rsidR="007B356F" w:rsidRDefault="007B356F">
      <w:pPr>
        <w:pStyle w:val="Heading2"/>
      </w:pPr>
    </w:p>
    <w:p w:rsidR="007B356F" w:rsidRDefault="007B356F">
      <w:pPr>
        <w:pStyle w:val="Heading2"/>
      </w:pPr>
    </w:p>
    <w:p w:rsidR="007B356F" w:rsidRDefault="007B356F">
      <w:pPr>
        <w:pStyle w:val="Heading2"/>
      </w:pPr>
    </w:p>
    <w:p w:rsidR="007B356F" w:rsidRDefault="004255E9">
      <w:pPr>
        <w:pStyle w:val="Heading2"/>
      </w:pPr>
      <w:bookmarkStart w:id="32" w:name="_Toc232336569"/>
      <w:r>
        <w:t>Appendix 2: AI Conversation – Prompts and Screenshots</w:t>
      </w:r>
      <w:bookmarkEnd w:id="32"/>
    </w:p>
    <w:p w:rsidR="007B356F" w:rsidRDefault="004255E9">
      <w:pPr>
        <w:spacing w:after="160" w:line="360" w:lineRule="auto"/>
        <w:jc w:val="both"/>
      </w:pPr>
      <w:r>
        <w:t>This appendix records the prompts used in the AI conversation discussed in Part 2. The complete, unedited screenshots of the full exchange — showing each prompt, the corresponding response and the AI system used — follow the prompt list below.</w:t>
      </w:r>
    </w:p>
    <w:p w:rsidR="007B356F" w:rsidRDefault="004255E9">
      <w:pPr>
        <w:spacing w:after="160" w:line="360" w:lineRule="auto"/>
        <w:jc w:val="both"/>
      </w:pPr>
      <w:r>
        <w:rPr>
          <w:b/>
        </w:rPr>
        <w:t xml:space="preserve">Prompt 1. </w:t>
      </w:r>
      <w:r>
        <w:t>Presented the full Seren Coffi case study together with my proposed Seren Stewardship Model — Y Criw, the Sêr time-credit system, the Steward of the Week, the structured operating rhythm and the community time-bank — and asked the AI whether it could improve the idea, requesting a thorough and honest assessment.</w:t>
      </w:r>
    </w:p>
    <w:p w:rsidR="007B356F" w:rsidRDefault="004255E9">
      <w:pPr>
        <w:spacing w:after="160" w:line="360" w:lineRule="auto"/>
        <w:jc w:val="both"/>
      </w:pPr>
      <w:r>
        <w:rPr>
          <w:b/>
        </w:rPr>
        <w:t xml:space="preserve">Prompt 2. </w:t>
      </w:r>
      <w:r>
        <w:t>Can you give me improvements? I need you to give me thorough answers.</w:t>
      </w:r>
    </w:p>
    <w:p w:rsidR="007B356F" w:rsidRDefault="004255E9">
      <w:pPr>
        <w:spacing w:after="160" w:line="360" w:lineRule="auto"/>
        <w:jc w:val="both"/>
      </w:pPr>
      <w:r>
        <w:rPr>
          <w:b/>
        </w:rPr>
        <w:t xml:space="preserve">Prompt 3. </w:t>
      </w:r>
      <w:r>
        <w:t>Are you sure that your ideas are better than mine? For example, your first point — ‘make the root problem sharper’ — is just descriptive; it asks me to write what everyone already knows from the case study.</w:t>
      </w:r>
    </w:p>
    <w:p w:rsidR="007B356F" w:rsidRDefault="004255E9">
      <w:pPr>
        <w:spacing w:after="160" w:line="360" w:lineRule="auto"/>
        <w:jc w:val="both"/>
      </w:pPr>
      <w:r>
        <w:rPr>
          <w:b/>
        </w:rPr>
        <w:t xml:space="preserve">Prompt 4. </w:t>
      </w:r>
      <w:r>
        <w:t>Overall, what do you think? I am not keen to make any changes; I just want your opinion. Please be very specific and thorough.</w:t>
      </w:r>
    </w:p>
    <w:p w:rsidR="007B356F" w:rsidRDefault="007B356F">
      <w:pPr>
        <w:spacing w:after="160" w:line="360" w:lineRule="auto"/>
        <w:jc w:val="both"/>
      </w:pPr>
    </w:p>
    <w:p w:rsidR="007B356F" w:rsidRDefault="004255E9">
      <w:pPr>
        <w:spacing w:after="160" w:line="360" w:lineRule="auto"/>
        <w:jc w:val="both"/>
      </w:pPr>
      <w:r>
        <w:rPr>
          <w:noProof/>
          <w:lang w:eastAsia="en-US" w:bidi="ar-SA"/>
        </w:rPr>
        <w:drawing>
          <wp:inline distT="0" distB="0" distL="0" distR="0">
            <wp:extent cx="5731510" cy="43408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8"/>
                    <a:stretch>
                      <a:fillRect/>
                    </a:stretch>
                  </pic:blipFill>
                  <pic:spPr bwMode="auto">
                    <a:xfrm>
                      <a:off x="0" y="0"/>
                      <a:ext cx="5731510" cy="4340860"/>
                    </a:xfrm>
                    <a:prstGeom prst="rect">
                      <a:avLst/>
                    </a:prstGeom>
                  </pic:spPr>
                </pic:pic>
              </a:graphicData>
            </a:graphic>
          </wp:inline>
        </w:drawing>
      </w:r>
      <w:r>
        <w:rPr>
          <w:noProof/>
          <w:lang w:eastAsia="en-US" w:bidi="ar-SA"/>
        </w:rPr>
        <w:drawing>
          <wp:inline distT="0" distB="0" distL="0" distR="0">
            <wp:extent cx="5731510" cy="433197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5731510" cy="4331970"/>
                    </a:xfrm>
                    <a:prstGeom prst="rect">
                      <a:avLst/>
                    </a:prstGeom>
                  </pic:spPr>
                </pic:pic>
              </a:graphicData>
            </a:graphic>
          </wp:inline>
        </w:drawing>
      </w:r>
      <w:r>
        <w:rPr>
          <w:noProof/>
          <w:lang w:eastAsia="en-US" w:bidi="ar-SA"/>
        </w:rPr>
        <w:drawing>
          <wp:inline distT="0" distB="0" distL="0" distR="0">
            <wp:extent cx="5731510" cy="43307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10"/>
                    <a:stretch>
                      <a:fillRect/>
                    </a:stretch>
                  </pic:blipFill>
                  <pic:spPr bwMode="auto">
                    <a:xfrm>
                      <a:off x="0" y="0"/>
                      <a:ext cx="5731510" cy="4330700"/>
                    </a:xfrm>
                    <a:prstGeom prst="rect">
                      <a:avLst/>
                    </a:prstGeom>
                  </pic:spPr>
                </pic:pic>
              </a:graphicData>
            </a:graphic>
          </wp:inline>
        </w:drawing>
      </w:r>
      <w:r>
        <w:rPr>
          <w:noProof/>
          <w:lang w:eastAsia="en-US" w:bidi="ar-SA"/>
        </w:rPr>
        <w:drawing>
          <wp:inline distT="0" distB="0" distL="0" distR="0">
            <wp:extent cx="5731510" cy="434530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1"/>
                    <a:stretch>
                      <a:fillRect/>
                    </a:stretch>
                  </pic:blipFill>
                  <pic:spPr bwMode="auto">
                    <a:xfrm>
                      <a:off x="0" y="0"/>
                      <a:ext cx="5731510" cy="4345305"/>
                    </a:xfrm>
                    <a:prstGeom prst="rect">
                      <a:avLst/>
                    </a:prstGeom>
                  </pic:spPr>
                </pic:pic>
              </a:graphicData>
            </a:graphic>
          </wp:inline>
        </w:drawing>
      </w:r>
      <w:r>
        <w:rPr>
          <w:noProof/>
          <w:lang w:eastAsia="en-US" w:bidi="ar-SA"/>
        </w:rPr>
        <w:drawing>
          <wp:inline distT="0" distB="0" distL="0" distR="0">
            <wp:extent cx="5731510" cy="432943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2"/>
                    <a:stretch>
                      <a:fillRect/>
                    </a:stretch>
                  </pic:blipFill>
                  <pic:spPr bwMode="auto">
                    <a:xfrm>
                      <a:off x="0" y="0"/>
                      <a:ext cx="5731510" cy="4329430"/>
                    </a:xfrm>
                    <a:prstGeom prst="rect">
                      <a:avLst/>
                    </a:prstGeom>
                  </pic:spPr>
                </pic:pic>
              </a:graphicData>
            </a:graphic>
          </wp:inline>
        </w:drawing>
      </w:r>
      <w:r>
        <w:rPr>
          <w:noProof/>
          <w:lang w:eastAsia="en-US" w:bidi="ar-SA"/>
        </w:rPr>
        <w:drawing>
          <wp:inline distT="0" distB="0" distL="0" distR="0">
            <wp:extent cx="5731510" cy="4326890"/>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3"/>
                    <a:stretch>
                      <a:fillRect/>
                    </a:stretch>
                  </pic:blipFill>
                  <pic:spPr bwMode="auto">
                    <a:xfrm>
                      <a:off x="0" y="0"/>
                      <a:ext cx="5731510" cy="4326890"/>
                    </a:xfrm>
                    <a:prstGeom prst="rect">
                      <a:avLst/>
                    </a:prstGeom>
                  </pic:spPr>
                </pic:pic>
              </a:graphicData>
            </a:graphic>
          </wp:inline>
        </w:drawing>
      </w:r>
      <w:r>
        <w:rPr>
          <w:noProof/>
          <w:lang w:eastAsia="en-US" w:bidi="ar-SA"/>
        </w:rPr>
        <w:drawing>
          <wp:inline distT="0" distB="0" distL="0" distR="0">
            <wp:extent cx="5731510" cy="433959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noChangeArrowheads="1"/>
                    </pic:cNvPicPr>
                  </pic:nvPicPr>
                  <pic:blipFill>
                    <a:blip r:embed="rId14"/>
                    <a:stretch>
                      <a:fillRect/>
                    </a:stretch>
                  </pic:blipFill>
                  <pic:spPr bwMode="auto">
                    <a:xfrm>
                      <a:off x="0" y="0"/>
                      <a:ext cx="5731510" cy="4339590"/>
                    </a:xfrm>
                    <a:prstGeom prst="rect">
                      <a:avLst/>
                    </a:prstGeom>
                  </pic:spPr>
                </pic:pic>
              </a:graphicData>
            </a:graphic>
          </wp:inline>
        </w:drawing>
      </w:r>
      <w:r>
        <w:rPr>
          <w:noProof/>
          <w:lang w:eastAsia="en-US" w:bidi="ar-SA"/>
        </w:rPr>
        <w:drawing>
          <wp:inline distT="0" distB="0" distL="0" distR="0">
            <wp:extent cx="5731510" cy="4323715"/>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noChangeArrowheads="1"/>
                    </pic:cNvPicPr>
                  </pic:nvPicPr>
                  <pic:blipFill>
                    <a:blip r:embed="rId15" cstate="print"/>
                    <a:stretch>
                      <a:fillRect/>
                    </a:stretch>
                  </pic:blipFill>
                  <pic:spPr bwMode="auto">
                    <a:xfrm>
                      <a:off x="0" y="0"/>
                      <a:ext cx="5731510" cy="4323715"/>
                    </a:xfrm>
                    <a:prstGeom prst="rect">
                      <a:avLst/>
                    </a:prstGeom>
                  </pic:spPr>
                </pic:pic>
              </a:graphicData>
            </a:graphic>
          </wp:inline>
        </w:drawing>
      </w:r>
      <w:r>
        <w:rPr>
          <w:noProof/>
          <w:lang w:eastAsia="en-US" w:bidi="ar-SA"/>
        </w:rPr>
        <w:drawing>
          <wp:inline distT="0" distB="0" distL="0" distR="0">
            <wp:extent cx="5731510" cy="434213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noChangeArrowheads="1"/>
                    </pic:cNvPicPr>
                  </pic:nvPicPr>
                  <pic:blipFill>
                    <a:blip r:embed="rId16" cstate="print"/>
                    <a:stretch>
                      <a:fillRect/>
                    </a:stretch>
                  </pic:blipFill>
                  <pic:spPr bwMode="auto">
                    <a:xfrm>
                      <a:off x="0" y="0"/>
                      <a:ext cx="5731510" cy="4342130"/>
                    </a:xfrm>
                    <a:prstGeom prst="rect">
                      <a:avLst/>
                    </a:prstGeom>
                  </pic:spPr>
                </pic:pic>
              </a:graphicData>
            </a:graphic>
          </wp:inline>
        </w:drawing>
      </w:r>
      <w:r>
        <w:rPr>
          <w:noProof/>
          <w:lang w:eastAsia="en-US" w:bidi="ar-SA"/>
        </w:rPr>
        <w:drawing>
          <wp:inline distT="0" distB="0" distL="0" distR="0">
            <wp:extent cx="5731510" cy="4340860"/>
            <wp:effectExtent l="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noChangeArrowheads="1"/>
                    </pic:cNvPicPr>
                  </pic:nvPicPr>
                  <pic:blipFill>
                    <a:blip r:embed="rId17"/>
                    <a:stretch>
                      <a:fillRect/>
                    </a:stretch>
                  </pic:blipFill>
                  <pic:spPr bwMode="auto">
                    <a:xfrm>
                      <a:off x="0" y="0"/>
                      <a:ext cx="5731510" cy="4340860"/>
                    </a:xfrm>
                    <a:prstGeom prst="rect">
                      <a:avLst/>
                    </a:prstGeom>
                  </pic:spPr>
                </pic:pic>
              </a:graphicData>
            </a:graphic>
          </wp:inline>
        </w:drawing>
      </w:r>
      <w:r>
        <w:rPr>
          <w:noProof/>
          <w:lang w:eastAsia="en-US" w:bidi="ar-SA"/>
        </w:rPr>
        <w:drawing>
          <wp:inline distT="0" distB="0" distL="0" distR="0">
            <wp:extent cx="5731510" cy="4335145"/>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18"/>
                    <a:stretch>
                      <a:fillRect/>
                    </a:stretch>
                  </pic:blipFill>
                  <pic:spPr bwMode="auto">
                    <a:xfrm>
                      <a:off x="0" y="0"/>
                      <a:ext cx="5731510" cy="4335145"/>
                    </a:xfrm>
                    <a:prstGeom prst="rect">
                      <a:avLst/>
                    </a:prstGeom>
                  </pic:spPr>
                </pic:pic>
              </a:graphicData>
            </a:graphic>
          </wp:inline>
        </w:drawing>
      </w:r>
      <w:r>
        <w:rPr>
          <w:noProof/>
          <w:lang w:eastAsia="en-US" w:bidi="ar-SA"/>
        </w:rPr>
        <w:drawing>
          <wp:inline distT="0" distB="0" distL="0" distR="0">
            <wp:extent cx="5731510" cy="4335145"/>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2"/>
                    <pic:cNvPicPr>
                      <a:picLocks noChangeAspect="1" noChangeArrowheads="1"/>
                    </pic:cNvPicPr>
                  </pic:nvPicPr>
                  <pic:blipFill>
                    <a:blip r:embed="rId19"/>
                    <a:stretch>
                      <a:fillRect/>
                    </a:stretch>
                  </pic:blipFill>
                  <pic:spPr bwMode="auto">
                    <a:xfrm>
                      <a:off x="0" y="0"/>
                      <a:ext cx="5731510" cy="4335145"/>
                    </a:xfrm>
                    <a:prstGeom prst="rect">
                      <a:avLst/>
                    </a:prstGeom>
                  </pic:spPr>
                </pic:pic>
              </a:graphicData>
            </a:graphic>
          </wp:inline>
        </w:drawing>
      </w:r>
      <w:r>
        <w:rPr>
          <w:noProof/>
          <w:lang w:eastAsia="en-US" w:bidi="ar-SA"/>
        </w:rPr>
        <w:drawing>
          <wp:inline distT="0" distB="0" distL="0" distR="0">
            <wp:extent cx="5731510" cy="4328160"/>
            <wp:effectExtent l="0" t="0" r="0"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3"/>
                    <pic:cNvPicPr>
                      <a:picLocks noChangeAspect="1" noChangeArrowheads="1"/>
                    </pic:cNvPicPr>
                  </pic:nvPicPr>
                  <pic:blipFill>
                    <a:blip r:embed="rId20" cstate="print"/>
                    <a:stretch>
                      <a:fillRect/>
                    </a:stretch>
                  </pic:blipFill>
                  <pic:spPr bwMode="auto">
                    <a:xfrm>
                      <a:off x="0" y="0"/>
                      <a:ext cx="5731510" cy="4328160"/>
                    </a:xfrm>
                    <a:prstGeom prst="rect">
                      <a:avLst/>
                    </a:prstGeom>
                  </pic:spPr>
                </pic:pic>
              </a:graphicData>
            </a:graphic>
          </wp:inline>
        </w:drawing>
      </w:r>
      <w:r>
        <w:rPr>
          <w:noProof/>
          <w:lang w:eastAsia="en-US" w:bidi="ar-SA"/>
        </w:rPr>
        <w:drawing>
          <wp:inline distT="0" distB="0" distL="0" distR="0">
            <wp:extent cx="5731510" cy="4333875"/>
            <wp:effectExtent l="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4"/>
                    <pic:cNvPicPr>
                      <a:picLocks noChangeAspect="1" noChangeArrowheads="1"/>
                    </pic:cNvPicPr>
                  </pic:nvPicPr>
                  <pic:blipFill>
                    <a:blip r:embed="rId21" cstate="print"/>
                    <a:stretch>
                      <a:fillRect/>
                    </a:stretch>
                  </pic:blipFill>
                  <pic:spPr bwMode="auto">
                    <a:xfrm>
                      <a:off x="0" y="0"/>
                      <a:ext cx="5731510" cy="4333875"/>
                    </a:xfrm>
                    <a:prstGeom prst="rect">
                      <a:avLst/>
                    </a:prstGeom>
                  </pic:spPr>
                </pic:pic>
              </a:graphicData>
            </a:graphic>
          </wp:inline>
        </w:drawing>
      </w:r>
      <w:r>
        <w:rPr>
          <w:noProof/>
          <w:lang w:eastAsia="en-US" w:bidi="ar-SA"/>
        </w:rPr>
        <w:drawing>
          <wp:inline distT="0" distB="0" distL="0" distR="0">
            <wp:extent cx="5731510" cy="4330700"/>
            <wp:effectExtent l="0" t="0" r="0" b="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5"/>
                    <pic:cNvPicPr>
                      <a:picLocks noChangeAspect="1" noChangeArrowheads="1"/>
                    </pic:cNvPicPr>
                  </pic:nvPicPr>
                  <pic:blipFill>
                    <a:blip r:embed="rId22"/>
                    <a:stretch>
                      <a:fillRect/>
                    </a:stretch>
                  </pic:blipFill>
                  <pic:spPr bwMode="auto">
                    <a:xfrm>
                      <a:off x="0" y="0"/>
                      <a:ext cx="5731510" cy="4330700"/>
                    </a:xfrm>
                    <a:prstGeom prst="rect">
                      <a:avLst/>
                    </a:prstGeom>
                  </pic:spPr>
                </pic:pic>
              </a:graphicData>
            </a:graphic>
          </wp:inline>
        </w:drawing>
      </w:r>
      <w:r>
        <w:rPr>
          <w:noProof/>
          <w:lang w:eastAsia="en-US" w:bidi="ar-SA"/>
        </w:rPr>
        <w:drawing>
          <wp:inline distT="0" distB="0" distL="0" distR="0">
            <wp:extent cx="5731510" cy="4333875"/>
            <wp:effectExtent l="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pic:cNvPicPr>
                      <a:picLocks noChangeAspect="1" noChangeArrowheads="1"/>
                    </pic:cNvPicPr>
                  </pic:nvPicPr>
                  <pic:blipFill>
                    <a:blip r:embed="rId23" cstate="print"/>
                    <a:stretch>
                      <a:fillRect/>
                    </a:stretch>
                  </pic:blipFill>
                  <pic:spPr bwMode="auto">
                    <a:xfrm>
                      <a:off x="0" y="0"/>
                      <a:ext cx="5731510" cy="4333875"/>
                    </a:xfrm>
                    <a:prstGeom prst="rect">
                      <a:avLst/>
                    </a:prstGeom>
                  </pic:spPr>
                </pic:pic>
              </a:graphicData>
            </a:graphic>
          </wp:inline>
        </w:drawing>
      </w:r>
      <w:r>
        <w:rPr>
          <w:noProof/>
          <w:lang w:eastAsia="en-US" w:bidi="ar-SA"/>
        </w:rPr>
        <w:drawing>
          <wp:inline distT="0" distB="0" distL="0" distR="0">
            <wp:extent cx="5731510" cy="4336415"/>
            <wp:effectExtent l="0" t="0" r="0" b="0"/>
            <wp:docPr id="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7"/>
                    <pic:cNvPicPr>
                      <a:picLocks noChangeAspect="1" noChangeArrowheads="1"/>
                    </pic:cNvPicPr>
                  </pic:nvPicPr>
                  <pic:blipFill>
                    <a:blip r:embed="rId24"/>
                    <a:stretch>
                      <a:fillRect/>
                    </a:stretch>
                  </pic:blipFill>
                  <pic:spPr bwMode="auto">
                    <a:xfrm>
                      <a:off x="0" y="0"/>
                      <a:ext cx="5731510" cy="4336415"/>
                    </a:xfrm>
                    <a:prstGeom prst="rect">
                      <a:avLst/>
                    </a:prstGeom>
                  </pic:spPr>
                </pic:pic>
              </a:graphicData>
            </a:graphic>
          </wp:inline>
        </w:drawing>
      </w:r>
      <w:r>
        <w:rPr>
          <w:noProof/>
          <w:lang w:eastAsia="en-US" w:bidi="ar-SA"/>
        </w:rPr>
        <w:drawing>
          <wp:inline distT="0" distB="0" distL="0" distR="0">
            <wp:extent cx="5731510" cy="4344670"/>
            <wp:effectExtent l="0" t="0" r="0" b="0"/>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8"/>
                    <pic:cNvPicPr>
                      <a:picLocks noChangeAspect="1" noChangeArrowheads="1"/>
                    </pic:cNvPicPr>
                  </pic:nvPicPr>
                  <pic:blipFill>
                    <a:blip r:embed="rId25" cstate="print"/>
                    <a:stretch>
                      <a:fillRect/>
                    </a:stretch>
                  </pic:blipFill>
                  <pic:spPr bwMode="auto">
                    <a:xfrm>
                      <a:off x="0" y="0"/>
                      <a:ext cx="5731510" cy="4344670"/>
                    </a:xfrm>
                    <a:prstGeom prst="rect">
                      <a:avLst/>
                    </a:prstGeom>
                  </pic:spPr>
                </pic:pic>
              </a:graphicData>
            </a:graphic>
          </wp:inline>
        </w:drawing>
      </w:r>
      <w:r>
        <w:rPr>
          <w:noProof/>
          <w:lang w:eastAsia="en-US" w:bidi="ar-SA"/>
        </w:rPr>
        <w:drawing>
          <wp:inline distT="0" distB="0" distL="0" distR="0">
            <wp:extent cx="5731510" cy="4333875"/>
            <wp:effectExtent l="0" t="0" r="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9"/>
                    <pic:cNvPicPr>
                      <a:picLocks noChangeAspect="1" noChangeArrowheads="1"/>
                    </pic:cNvPicPr>
                  </pic:nvPicPr>
                  <pic:blipFill>
                    <a:blip r:embed="rId26" cstate="print"/>
                    <a:stretch>
                      <a:fillRect/>
                    </a:stretch>
                  </pic:blipFill>
                  <pic:spPr bwMode="auto">
                    <a:xfrm>
                      <a:off x="0" y="0"/>
                      <a:ext cx="5731510" cy="4333875"/>
                    </a:xfrm>
                    <a:prstGeom prst="rect">
                      <a:avLst/>
                    </a:prstGeom>
                  </pic:spPr>
                </pic:pic>
              </a:graphicData>
            </a:graphic>
          </wp:inline>
        </w:drawing>
      </w:r>
      <w:r>
        <w:rPr>
          <w:noProof/>
          <w:lang w:eastAsia="en-US" w:bidi="ar-SA"/>
        </w:rPr>
        <w:drawing>
          <wp:inline distT="0" distB="0" distL="0" distR="0">
            <wp:extent cx="5731510" cy="4337685"/>
            <wp:effectExtent l="0" t="0" r="0" b="0"/>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
                    <pic:cNvPicPr>
                      <a:picLocks noChangeAspect="1" noChangeArrowheads="1"/>
                    </pic:cNvPicPr>
                  </pic:nvPicPr>
                  <pic:blipFill>
                    <a:blip r:embed="rId27" cstate="print"/>
                    <a:stretch>
                      <a:fillRect/>
                    </a:stretch>
                  </pic:blipFill>
                  <pic:spPr bwMode="auto">
                    <a:xfrm>
                      <a:off x="0" y="0"/>
                      <a:ext cx="5731510" cy="4337685"/>
                    </a:xfrm>
                    <a:prstGeom prst="rect">
                      <a:avLst/>
                    </a:prstGeom>
                  </pic:spPr>
                </pic:pic>
              </a:graphicData>
            </a:graphic>
          </wp:inline>
        </w:drawing>
      </w:r>
    </w:p>
    <w:sectPr w:rsidR="007B356F" w:rsidSect="0029651E">
      <w:footerReference w:type="even" r:id="rId28"/>
      <w:footerReference w:type="default" r:id="rId29"/>
      <w:footerReference w:type="first" r:id="rId30"/>
      <w:pgSz w:w="11906" w:h="16838"/>
      <w:pgMar w:top="1440" w:right="1440" w:bottom="1440" w:left="1440" w:header="0"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E82" w:rsidRDefault="00B67E82">
      <w:r>
        <w:separator/>
      </w:r>
    </w:p>
  </w:endnote>
  <w:endnote w:type="continuationSeparator" w:id="1">
    <w:p w:rsidR="00B67E82" w:rsidRDefault="00B67E8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FreeSans">
    <w:altName w:val="Arial"/>
    <w:panose1 w:val="00000000000000000000"/>
    <w:charset w:val="00"/>
    <w:family w:val="roman"/>
    <w:notTrueType/>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56F" w:rsidRDefault="007B35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56F" w:rsidRDefault="00BD1DC7">
    <w:pPr>
      <w:jc w:val="right"/>
    </w:pPr>
    <w:r>
      <w:fldChar w:fldCharType="begin"/>
    </w:r>
    <w:r w:rsidR="004255E9">
      <w:instrText xml:space="preserve"> PAGE </w:instrText>
    </w:r>
    <w:r>
      <w:fldChar w:fldCharType="separate"/>
    </w:r>
    <w:r w:rsidR="00B67E82">
      <w:rPr>
        <w:noProof/>
      </w:rPr>
      <w:t>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56F" w:rsidRDefault="00BD1DC7">
    <w:pPr>
      <w:jc w:val="right"/>
    </w:pPr>
    <w:r>
      <w:fldChar w:fldCharType="begin"/>
    </w:r>
    <w:r w:rsidR="004255E9">
      <w:instrText xml:space="preserve"> PAGE </w:instrText>
    </w:r>
    <w:r>
      <w:fldChar w:fldCharType="separate"/>
    </w:r>
    <w:r w:rsidR="004255E9">
      <w:t>32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E82" w:rsidRDefault="00B67E82">
      <w:r>
        <w:separator/>
      </w:r>
    </w:p>
  </w:footnote>
  <w:footnote w:type="continuationSeparator" w:id="1">
    <w:p w:rsidR="00B67E82" w:rsidRDefault="00B67E8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autoHyphenation/>
  <w:characterSpacingControl w:val="doNotCompress"/>
  <w:savePreviewPicture/>
  <w:footnotePr>
    <w:footnote w:id="0"/>
    <w:footnote w:id="1"/>
  </w:footnotePr>
  <w:endnotePr>
    <w:endnote w:id="0"/>
    <w:endnote w:id="1"/>
  </w:endnotePr>
  <w:compat/>
  <w:rsids>
    <w:rsidRoot w:val="007B356F"/>
    <w:rsid w:val="00065DB6"/>
    <w:rsid w:val="0023010E"/>
    <w:rsid w:val="0029651E"/>
    <w:rsid w:val="002A6A33"/>
    <w:rsid w:val="00310BA0"/>
    <w:rsid w:val="004255E9"/>
    <w:rsid w:val="00452DB1"/>
    <w:rsid w:val="00463FCD"/>
    <w:rsid w:val="004E4B00"/>
    <w:rsid w:val="0056488B"/>
    <w:rsid w:val="0058258A"/>
    <w:rsid w:val="00716C20"/>
    <w:rsid w:val="0078040A"/>
    <w:rsid w:val="007B356F"/>
    <w:rsid w:val="008307D2"/>
    <w:rsid w:val="008F3F68"/>
    <w:rsid w:val="008F6131"/>
    <w:rsid w:val="00961653"/>
    <w:rsid w:val="00990666"/>
    <w:rsid w:val="009F3E86"/>
    <w:rsid w:val="00AA7DBD"/>
    <w:rsid w:val="00B65A3F"/>
    <w:rsid w:val="00B67E82"/>
    <w:rsid w:val="00BD1DC7"/>
    <w:rsid w:val="00C3180B"/>
    <w:rsid w:val="00C93BAE"/>
    <w:rsid w:val="00D34D70"/>
    <w:rsid w:val="00E04CFC"/>
    <w:rsid w:val="00ED180B"/>
    <w:rsid w:val="00EE1F40"/>
    <w:rsid w:val="00F170B4"/>
    <w:rsid w:val="00F27F8B"/>
    <w:rsid w:val="00F342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51E"/>
  </w:style>
  <w:style w:type="paragraph" w:styleId="Heading1">
    <w:name w:val="heading 1"/>
    <w:basedOn w:val="Heading"/>
    <w:uiPriority w:val="9"/>
    <w:qFormat/>
    <w:rsid w:val="0029651E"/>
    <w:pPr>
      <w:spacing w:before="480" w:line="360" w:lineRule="auto"/>
      <w:outlineLvl w:val="0"/>
    </w:pPr>
    <w:rPr>
      <w:rFonts w:ascii="Arial" w:eastAsia="Arial" w:hAnsi="Arial" w:cs="Arial"/>
      <w:b/>
      <w:bCs/>
      <w:color w:val="000000"/>
    </w:rPr>
  </w:style>
  <w:style w:type="paragraph" w:styleId="Heading2">
    <w:name w:val="heading 2"/>
    <w:basedOn w:val="Heading"/>
    <w:uiPriority w:val="9"/>
    <w:unhideWhenUsed/>
    <w:qFormat/>
    <w:rsid w:val="0029651E"/>
    <w:pPr>
      <w:spacing w:before="160" w:after="80" w:line="360" w:lineRule="auto"/>
      <w:outlineLvl w:val="1"/>
    </w:pPr>
    <w:rPr>
      <w:rFonts w:ascii="Arial" w:eastAsia="Arial" w:hAnsi="Arial" w:cs="Arial"/>
      <w:b/>
      <w:bCs/>
      <w:color w:val="000000"/>
      <w:sz w:val="24"/>
      <w:szCs w:val="24"/>
    </w:rPr>
  </w:style>
  <w:style w:type="paragraph" w:styleId="Heading3">
    <w:name w:val="heading 3"/>
    <w:basedOn w:val="Heading"/>
    <w:uiPriority w:val="9"/>
    <w:unhideWhenUsed/>
    <w:qFormat/>
    <w:rsid w:val="0029651E"/>
    <w:pPr>
      <w:spacing w:before="40" w:after="200" w:line="360" w:lineRule="auto"/>
      <w:outlineLvl w:val="2"/>
    </w:pPr>
    <w:rPr>
      <w:rFonts w:ascii="Arial" w:eastAsia="Arial" w:hAnsi="Arial" w:cs="Arial"/>
      <w:b/>
      <w:bCs/>
      <w:color w:val="000000"/>
      <w:sz w:val="24"/>
      <w:szCs w:val="24"/>
    </w:rPr>
  </w:style>
  <w:style w:type="paragraph" w:styleId="Heading4">
    <w:name w:val="heading 4"/>
    <w:basedOn w:val="Heading"/>
    <w:uiPriority w:val="9"/>
    <w:semiHidden/>
    <w:unhideWhenUsed/>
    <w:qFormat/>
    <w:rsid w:val="0029651E"/>
    <w:pPr>
      <w:outlineLvl w:val="3"/>
    </w:pPr>
    <w:rPr>
      <w:i/>
      <w:iCs/>
      <w:color w:val="2E74B5"/>
    </w:rPr>
  </w:style>
  <w:style w:type="paragraph" w:styleId="Heading5">
    <w:name w:val="heading 5"/>
    <w:basedOn w:val="Heading"/>
    <w:uiPriority w:val="9"/>
    <w:semiHidden/>
    <w:unhideWhenUsed/>
    <w:qFormat/>
    <w:rsid w:val="0029651E"/>
    <w:pPr>
      <w:outlineLvl w:val="4"/>
    </w:pPr>
    <w:rPr>
      <w:color w:val="2E74B5"/>
    </w:rPr>
  </w:style>
  <w:style w:type="paragraph" w:styleId="Heading6">
    <w:name w:val="heading 6"/>
    <w:basedOn w:val="Heading"/>
    <w:uiPriority w:val="9"/>
    <w:semiHidden/>
    <w:unhideWhenUsed/>
    <w:qFormat/>
    <w:rsid w:val="0029651E"/>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9651E"/>
    <w:rPr>
      <w:color w:val="0563C1"/>
      <w:u w:val="single"/>
    </w:rPr>
  </w:style>
  <w:style w:type="character" w:customStyle="1" w:styleId="FootnoteCharacters">
    <w:name w:val="Footnote Characters"/>
    <w:uiPriority w:val="99"/>
    <w:semiHidden/>
    <w:unhideWhenUsed/>
    <w:qFormat/>
    <w:rsid w:val="0029651E"/>
    <w:rPr>
      <w:vertAlign w:val="superscript"/>
    </w:rPr>
  </w:style>
  <w:style w:type="character" w:styleId="FootnoteReference">
    <w:name w:val="footnote reference"/>
    <w:rsid w:val="0029651E"/>
    <w:rPr>
      <w:vertAlign w:val="superscript"/>
    </w:rPr>
  </w:style>
  <w:style w:type="character" w:customStyle="1" w:styleId="FootnoteTextChar">
    <w:name w:val="Footnote Text Char"/>
    <w:link w:val="FootnoteText"/>
    <w:uiPriority w:val="99"/>
    <w:semiHidden/>
    <w:unhideWhenUsed/>
    <w:qFormat/>
    <w:rsid w:val="0029651E"/>
    <w:rPr>
      <w:sz w:val="20"/>
      <w:szCs w:val="20"/>
    </w:rPr>
  </w:style>
  <w:style w:type="character" w:customStyle="1" w:styleId="EndnoteCharacters">
    <w:name w:val="Endnote Characters"/>
    <w:uiPriority w:val="99"/>
    <w:semiHidden/>
    <w:unhideWhenUsed/>
    <w:qFormat/>
    <w:rsid w:val="0029651E"/>
    <w:rPr>
      <w:vertAlign w:val="superscript"/>
    </w:rPr>
  </w:style>
  <w:style w:type="character" w:styleId="EndnoteReference">
    <w:name w:val="endnote reference"/>
    <w:rsid w:val="0029651E"/>
    <w:rPr>
      <w:vertAlign w:val="superscript"/>
    </w:rPr>
  </w:style>
  <w:style w:type="character" w:customStyle="1" w:styleId="EndnoteTextChar">
    <w:name w:val="Endnote Text Char"/>
    <w:link w:val="EndnoteText"/>
    <w:uiPriority w:val="99"/>
    <w:semiHidden/>
    <w:unhideWhenUsed/>
    <w:qFormat/>
    <w:rsid w:val="0029651E"/>
    <w:rPr>
      <w:sz w:val="20"/>
      <w:szCs w:val="20"/>
    </w:rPr>
  </w:style>
  <w:style w:type="character" w:customStyle="1" w:styleId="IndexLink">
    <w:name w:val="Index Link"/>
    <w:qFormat/>
    <w:rsid w:val="0029651E"/>
  </w:style>
  <w:style w:type="paragraph" w:customStyle="1" w:styleId="Heading">
    <w:name w:val="Heading"/>
    <w:basedOn w:val="Normal"/>
    <w:next w:val="BodyText"/>
    <w:qFormat/>
    <w:rsid w:val="0029651E"/>
    <w:pPr>
      <w:keepNext/>
      <w:spacing w:before="240" w:after="120"/>
    </w:pPr>
    <w:rPr>
      <w:rFonts w:ascii="Liberation Sans" w:eastAsia="Noto Sans CJK SC" w:hAnsi="Liberation Sans" w:cs="FreeSans"/>
      <w:sz w:val="28"/>
      <w:szCs w:val="28"/>
    </w:rPr>
  </w:style>
  <w:style w:type="paragraph" w:styleId="BodyText">
    <w:name w:val="Body Text"/>
    <w:basedOn w:val="Normal"/>
    <w:rsid w:val="0029651E"/>
    <w:pPr>
      <w:spacing w:after="140" w:line="276" w:lineRule="auto"/>
    </w:pPr>
  </w:style>
  <w:style w:type="paragraph" w:styleId="List">
    <w:name w:val="List"/>
    <w:basedOn w:val="BodyText"/>
    <w:rsid w:val="0029651E"/>
    <w:rPr>
      <w:rFonts w:cs="FreeSans"/>
    </w:rPr>
  </w:style>
  <w:style w:type="paragraph" w:styleId="Caption">
    <w:name w:val="caption"/>
    <w:basedOn w:val="Normal"/>
    <w:qFormat/>
    <w:rsid w:val="0029651E"/>
    <w:pPr>
      <w:suppressLineNumbers/>
      <w:spacing w:before="120" w:after="120"/>
    </w:pPr>
    <w:rPr>
      <w:rFonts w:cs="FreeSans"/>
      <w:i/>
      <w:iCs/>
    </w:rPr>
  </w:style>
  <w:style w:type="paragraph" w:customStyle="1" w:styleId="Index">
    <w:name w:val="Index"/>
    <w:basedOn w:val="Normal"/>
    <w:qFormat/>
    <w:rsid w:val="0029651E"/>
    <w:pPr>
      <w:suppressLineNumbers/>
    </w:pPr>
    <w:rPr>
      <w:rFonts w:cs="FreeSans"/>
    </w:rPr>
  </w:style>
  <w:style w:type="paragraph" w:styleId="Title">
    <w:name w:val="Title"/>
    <w:basedOn w:val="Heading"/>
    <w:uiPriority w:val="10"/>
    <w:qFormat/>
    <w:rsid w:val="0029651E"/>
    <w:rPr>
      <w:sz w:val="56"/>
      <w:szCs w:val="56"/>
    </w:rPr>
  </w:style>
  <w:style w:type="paragraph" w:customStyle="1" w:styleId="StrongEmphasis">
    <w:name w:val="Strong Emphasis"/>
    <w:qFormat/>
    <w:rsid w:val="0029651E"/>
    <w:rPr>
      <w:b/>
      <w:bCs/>
    </w:rPr>
  </w:style>
  <w:style w:type="paragraph" w:styleId="ListParagraph">
    <w:name w:val="List Paragraph"/>
    <w:qFormat/>
    <w:rsid w:val="0029651E"/>
  </w:style>
  <w:style w:type="paragraph" w:styleId="FootnoteText">
    <w:name w:val="footnote text"/>
    <w:basedOn w:val="Normal"/>
    <w:link w:val="FootnoteTextChar"/>
    <w:uiPriority w:val="99"/>
    <w:semiHidden/>
    <w:unhideWhenUsed/>
    <w:rsid w:val="0029651E"/>
    <w:rPr>
      <w:sz w:val="20"/>
      <w:szCs w:val="20"/>
    </w:rPr>
  </w:style>
  <w:style w:type="paragraph" w:styleId="EndnoteText">
    <w:name w:val="endnote text"/>
    <w:basedOn w:val="Normal"/>
    <w:link w:val="EndnoteTextChar"/>
    <w:uiPriority w:val="99"/>
    <w:semiHidden/>
    <w:unhideWhenUsed/>
    <w:rsid w:val="0029651E"/>
    <w:rPr>
      <w:sz w:val="20"/>
      <w:szCs w:val="20"/>
    </w:rPr>
  </w:style>
  <w:style w:type="paragraph" w:customStyle="1" w:styleId="HeaderandFooter">
    <w:name w:val="Header and Footer"/>
    <w:basedOn w:val="Normal"/>
    <w:qFormat/>
    <w:rsid w:val="0029651E"/>
  </w:style>
  <w:style w:type="paragraph" w:styleId="Footer">
    <w:name w:val="footer"/>
    <w:basedOn w:val="HeaderandFooter"/>
    <w:rsid w:val="0029651E"/>
  </w:style>
  <w:style w:type="paragraph" w:styleId="TOC1">
    <w:name w:val="toc 1"/>
    <w:basedOn w:val="Index"/>
    <w:uiPriority w:val="39"/>
    <w:rsid w:val="0029651E"/>
    <w:pPr>
      <w:tabs>
        <w:tab w:val="right" w:leader="dot" w:pos="9026"/>
      </w:tabs>
    </w:pPr>
  </w:style>
  <w:style w:type="paragraph" w:styleId="TOC2">
    <w:name w:val="toc 2"/>
    <w:basedOn w:val="Index"/>
    <w:uiPriority w:val="39"/>
    <w:rsid w:val="0029651E"/>
    <w:pPr>
      <w:tabs>
        <w:tab w:val="right" w:leader="dot" w:pos="8743"/>
      </w:tabs>
      <w:ind w:left="283"/>
    </w:pPr>
  </w:style>
  <w:style w:type="paragraph" w:styleId="TOC3">
    <w:name w:val="toc 3"/>
    <w:basedOn w:val="Index"/>
    <w:uiPriority w:val="39"/>
    <w:rsid w:val="0029651E"/>
    <w:pPr>
      <w:tabs>
        <w:tab w:val="right" w:leader="dot" w:pos="8459"/>
      </w:tabs>
      <w:ind w:left="567"/>
    </w:pPr>
  </w:style>
  <w:style w:type="paragraph" w:customStyle="1" w:styleId="p1">
    <w:name w:val="p1"/>
    <w:basedOn w:val="Normal"/>
    <w:rsid w:val="00716C20"/>
    <w:pPr>
      <w:suppressAutoHyphens w:val="0"/>
      <w:spacing w:before="100" w:beforeAutospacing="1" w:after="100" w:afterAutospacing="1"/>
    </w:pPr>
    <w:rPr>
      <w:rFonts w:ascii="Times New Roman" w:eastAsia="Times New Roman" w:hAnsi="Times New Roman" w:cs="Times New Roman"/>
      <w:lang w:val="en-GB" w:eastAsia="en-GB" w:bidi="ar-SA"/>
    </w:rPr>
  </w:style>
  <w:style w:type="paragraph" w:styleId="BalloonText">
    <w:name w:val="Balloon Text"/>
    <w:basedOn w:val="Normal"/>
    <w:link w:val="BalloonTextChar"/>
    <w:uiPriority w:val="99"/>
    <w:semiHidden/>
    <w:unhideWhenUsed/>
    <w:rsid w:val="00F27F8B"/>
    <w:rPr>
      <w:rFonts w:ascii="Tahoma" w:hAnsi="Tahoma" w:cs="Mangal"/>
      <w:sz w:val="16"/>
      <w:szCs w:val="14"/>
    </w:rPr>
  </w:style>
  <w:style w:type="character" w:customStyle="1" w:styleId="BalloonTextChar">
    <w:name w:val="Balloon Text Char"/>
    <w:basedOn w:val="DefaultParagraphFont"/>
    <w:link w:val="BalloonText"/>
    <w:uiPriority w:val="99"/>
    <w:semiHidden/>
    <w:rsid w:val="00F27F8B"/>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oter" Target="footer3.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32</Pages>
  <Words>6121</Words>
  <Characters>34893</Characters>
  <Application>Microsoft Office Word</Application>
  <DocSecurity>0</DocSecurity>
  <Lines>290</Lines>
  <Paragraphs>81</Paragraphs>
  <ScaleCrop>false</ScaleCrop>
  <Company/>
  <LinksUpToDate>false</LinksUpToDate>
  <CharactersWithSpaces>40933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Florina Dinitica</dc:creator>
  <cp:lastModifiedBy>cristian.dinicuta@yahoo.com</cp:lastModifiedBy>
  <cp:revision>7</cp:revision>
  <dcterms:created xsi:type="dcterms:W3CDTF">2026-06-16T19:46:00Z</dcterms:created>
  <dcterms:modified xsi:type="dcterms:W3CDTF">2026-06-19T09:39:00Z</dcterms:modified>
  <dc:language>en-US</dc:language>
</cp:coreProperties>
</file>