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AD4E2" w14:textId="77777777" w:rsidR="00142201" w:rsidRDefault="00142201" w:rsidP="00142201">
      <w:pPr>
        <w:jc w:val="center"/>
        <w:rPr>
          <w:rFonts w:eastAsia="Times New Roman" w:cs="Times New Roman"/>
          <w:b/>
          <w:sz w:val="32"/>
          <w:szCs w:val="32"/>
        </w:rPr>
      </w:pPr>
    </w:p>
    <w:p w14:paraId="271ADD61" w14:textId="77777777" w:rsidR="00142201" w:rsidRDefault="00142201" w:rsidP="00142201">
      <w:pPr>
        <w:jc w:val="center"/>
        <w:rPr>
          <w:rFonts w:eastAsia="Times New Roman" w:cs="Times New Roman"/>
          <w:b/>
          <w:sz w:val="32"/>
          <w:szCs w:val="32"/>
        </w:rPr>
      </w:pPr>
    </w:p>
    <w:p w14:paraId="6C9CDEFC" w14:textId="77777777" w:rsidR="00142201" w:rsidRDefault="00142201" w:rsidP="00142201">
      <w:pPr>
        <w:jc w:val="center"/>
        <w:rPr>
          <w:rFonts w:eastAsia="Times New Roman" w:cs="Times New Roman"/>
          <w:b/>
          <w:sz w:val="32"/>
          <w:szCs w:val="32"/>
        </w:rPr>
      </w:pPr>
    </w:p>
    <w:p w14:paraId="3C15F9AC" w14:textId="77777777" w:rsidR="00142201" w:rsidRDefault="00142201" w:rsidP="00142201">
      <w:pPr>
        <w:jc w:val="center"/>
        <w:rPr>
          <w:rFonts w:eastAsia="Times New Roman" w:cs="Times New Roman"/>
          <w:b/>
          <w:sz w:val="32"/>
          <w:szCs w:val="32"/>
        </w:rPr>
      </w:pPr>
    </w:p>
    <w:p w14:paraId="5E36A282" w14:textId="77777777" w:rsidR="00142201" w:rsidRDefault="00142201" w:rsidP="00142201">
      <w:pPr>
        <w:jc w:val="center"/>
        <w:rPr>
          <w:rFonts w:eastAsia="Times New Roman" w:cs="Times New Roman"/>
          <w:b/>
          <w:sz w:val="32"/>
          <w:szCs w:val="32"/>
        </w:rPr>
      </w:pPr>
    </w:p>
    <w:p w14:paraId="3FA37986" w14:textId="321802F8" w:rsidR="00142201" w:rsidRPr="00142201" w:rsidRDefault="00142201" w:rsidP="00142201">
      <w:pPr>
        <w:jc w:val="center"/>
        <w:rPr>
          <w:rFonts w:eastAsia="Times New Roman" w:cs="Times New Roman"/>
          <w:b/>
          <w:sz w:val="32"/>
          <w:szCs w:val="32"/>
        </w:rPr>
      </w:pPr>
      <w:r w:rsidRPr="00142201">
        <w:rPr>
          <w:rFonts w:eastAsia="Times New Roman" w:cs="Times New Roman"/>
          <w:b/>
          <w:sz w:val="32"/>
          <w:szCs w:val="32"/>
        </w:rPr>
        <w:t>Module Name:</w:t>
      </w:r>
      <w:r w:rsidRPr="00142201">
        <w:rPr>
          <w:sz w:val="32"/>
          <w:szCs w:val="28"/>
        </w:rPr>
        <w:t xml:space="preserve"> </w:t>
      </w:r>
      <w:r w:rsidRPr="00142201">
        <w:rPr>
          <w:rFonts w:eastAsia="Times New Roman" w:cs="Times New Roman"/>
          <w:b/>
          <w:sz w:val="32"/>
          <w:szCs w:val="32"/>
        </w:rPr>
        <w:t>Legal Process</w:t>
      </w:r>
    </w:p>
    <w:p w14:paraId="74A2437C" w14:textId="7B6496EC" w:rsidR="00142201" w:rsidRDefault="00142201" w:rsidP="00142201">
      <w:pPr>
        <w:jc w:val="center"/>
        <w:rPr>
          <w:rFonts w:eastAsia="Times New Roman" w:cs="Times New Roman"/>
          <w:b/>
          <w:sz w:val="32"/>
          <w:szCs w:val="32"/>
        </w:rPr>
      </w:pPr>
      <w:r w:rsidRPr="00142201">
        <w:rPr>
          <w:rFonts w:eastAsia="Times New Roman" w:cs="Times New Roman"/>
          <w:b/>
          <w:sz w:val="32"/>
          <w:szCs w:val="32"/>
        </w:rPr>
        <w:t>Module Code:</w:t>
      </w:r>
      <w:r w:rsidRPr="00142201">
        <w:rPr>
          <w:sz w:val="32"/>
          <w:szCs w:val="28"/>
        </w:rPr>
        <w:t xml:space="preserve"> </w:t>
      </w:r>
      <w:r w:rsidRPr="00142201">
        <w:rPr>
          <w:rFonts w:eastAsia="Times New Roman" w:cs="Times New Roman"/>
          <w:b/>
          <w:sz w:val="32"/>
          <w:szCs w:val="32"/>
        </w:rPr>
        <w:t>BMLW4006</w:t>
      </w:r>
    </w:p>
    <w:p w14:paraId="28888E05" w14:textId="10689F57" w:rsidR="00F402D8" w:rsidRPr="00142201" w:rsidRDefault="00F402D8" w:rsidP="00142201">
      <w:pPr>
        <w:jc w:val="center"/>
        <w:rPr>
          <w:rFonts w:eastAsia="Times New Roman" w:cs="Times New Roman"/>
          <w:b/>
          <w:sz w:val="32"/>
          <w:szCs w:val="32"/>
        </w:rPr>
      </w:pPr>
      <w:r>
        <w:rPr>
          <w:rFonts w:eastAsia="Times New Roman" w:cs="Times New Roman"/>
          <w:b/>
          <w:sz w:val="32"/>
          <w:szCs w:val="32"/>
        </w:rPr>
        <w:t xml:space="preserve">Module Leader: </w:t>
      </w:r>
      <w:r w:rsidRPr="00F402D8">
        <w:rPr>
          <w:rFonts w:eastAsia="Times New Roman" w:cs="Times New Roman"/>
          <w:b/>
          <w:sz w:val="32"/>
          <w:szCs w:val="32"/>
        </w:rPr>
        <w:t>Zita Draper</w:t>
      </w:r>
    </w:p>
    <w:p w14:paraId="2CDF08D3" w14:textId="16A66F4F" w:rsidR="00142201" w:rsidRPr="00142201" w:rsidRDefault="00142201" w:rsidP="00142201">
      <w:pPr>
        <w:jc w:val="center"/>
        <w:rPr>
          <w:rFonts w:eastAsia="Times New Roman" w:cs="Times New Roman"/>
          <w:b/>
          <w:sz w:val="32"/>
          <w:szCs w:val="32"/>
        </w:rPr>
      </w:pPr>
      <w:r w:rsidRPr="00142201">
        <w:rPr>
          <w:rFonts w:eastAsia="Times New Roman" w:cs="Times New Roman"/>
          <w:b/>
          <w:sz w:val="32"/>
          <w:szCs w:val="32"/>
        </w:rPr>
        <w:t>Student Name:</w:t>
      </w:r>
      <w:r w:rsidRPr="00142201">
        <w:rPr>
          <w:sz w:val="32"/>
          <w:szCs w:val="28"/>
        </w:rPr>
        <w:t xml:space="preserve"> </w:t>
      </w:r>
      <w:r w:rsidRPr="00142201">
        <w:rPr>
          <w:rFonts w:eastAsia="Times New Roman" w:cs="Times New Roman"/>
          <w:b/>
          <w:sz w:val="32"/>
          <w:szCs w:val="32"/>
        </w:rPr>
        <w:t>Maria Daniela Dan</w:t>
      </w:r>
    </w:p>
    <w:p w14:paraId="27B63256" w14:textId="6F479504" w:rsidR="00142201" w:rsidRPr="00142201" w:rsidRDefault="00142201" w:rsidP="00142201">
      <w:pPr>
        <w:jc w:val="center"/>
        <w:rPr>
          <w:rFonts w:eastAsia="Times New Roman" w:cs="Times New Roman"/>
          <w:b/>
          <w:sz w:val="32"/>
          <w:szCs w:val="32"/>
        </w:rPr>
      </w:pPr>
      <w:r w:rsidRPr="00142201">
        <w:rPr>
          <w:rFonts w:eastAsia="Times New Roman" w:cs="Times New Roman"/>
          <w:b/>
          <w:sz w:val="32"/>
          <w:szCs w:val="32"/>
        </w:rPr>
        <w:t>Student ID:</w:t>
      </w:r>
      <w:r w:rsidR="00A44DA4">
        <w:rPr>
          <w:rFonts w:eastAsia="Times New Roman" w:cs="Times New Roman"/>
          <w:b/>
          <w:sz w:val="32"/>
          <w:szCs w:val="32"/>
        </w:rPr>
        <w:t>2323942</w:t>
      </w:r>
    </w:p>
    <w:p w14:paraId="047B3083" w14:textId="15FD0BB1" w:rsidR="00142201" w:rsidRDefault="00142201">
      <w:pPr>
        <w:rPr>
          <w:rFonts w:eastAsia="Times New Roman" w:cs="Times New Roman"/>
          <w:b/>
          <w:szCs w:val="24"/>
        </w:rPr>
      </w:pPr>
      <w:r>
        <w:rPr>
          <w:rFonts w:eastAsia="Times New Roman" w:cs="Times New Roman"/>
          <w:b/>
          <w:szCs w:val="24"/>
        </w:rPr>
        <w:br w:type="page"/>
      </w:r>
    </w:p>
    <w:p w14:paraId="00000001" w14:textId="322D073B" w:rsidR="003236EC" w:rsidRDefault="00A44DA4" w:rsidP="00CD43E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Introduction </w:t>
      </w:r>
    </w:p>
    <w:p w14:paraId="00000002" w14:textId="1282889E" w:rsidR="003236EC" w:rsidRDefault="00A44DA4" w:rsidP="00CD43E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 is a special system of a country that maintains numerous rules and regulations. Every </w:t>
      </w:r>
      <w:r w:rsidR="008C48BE">
        <w:rPr>
          <w:rFonts w:ascii="Times New Roman" w:eastAsia="Times New Roman" w:hAnsi="Times New Roman" w:cs="Times New Roman"/>
          <w:sz w:val="24"/>
          <w:szCs w:val="24"/>
        </w:rPr>
        <w:t>citizen of a country</w:t>
      </w:r>
      <w:r>
        <w:rPr>
          <w:rFonts w:ascii="Times New Roman" w:eastAsia="Times New Roman" w:hAnsi="Times New Roman" w:cs="Times New Roman"/>
          <w:sz w:val="24"/>
          <w:szCs w:val="24"/>
        </w:rPr>
        <w:t xml:space="preserve"> must follow s</w:t>
      </w:r>
      <w:r w:rsidR="008C48BE">
        <w:rPr>
          <w:rFonts w:ascii="Times New Roman" w:eastAsia="Times New Roman" w:hAnsi="Times New Roman" w:cs="Times New Roman"/>
          <w:sz w:val="24"/>
          <w:szCs w:val="24"/>
        </w:rPr>
        <w:t>ome</w:t>
      </w:r>
      <w:r>
        <w:rPr>
          <w:rFonts w:ascii="Times New Roman" w:eastAsia="Times New Roman" w:hAnsi="Times New Roman" w:cs="Times New Roman"/>
          <w:sz w:val="24"/>
          <w:szCs w:val="24"/>
        </w:rPr>
        <w:t xml:space="preserve"> legal practices</w:t>
      </w:r>
      <w:r w:rsidR="008C48BE">
        <w:rPr>
          <w:rFonts w:ascii="Times New Roman" w:eastAsia="Times New Roman" w:hAnsi="Times New Roman" w:cs="Times New Roman"/>
          <w:sz w:val="24"/>
          <w:szCs w:val="24"/>
        </w:rPr>
        <w:t xml:space="preserve"> and protocols</w:t>
      </w:r>
      <w:r>
        <w:rPr>
          <w:rFonts w:ascii="Times New Roman" w:eastAsia="Times New Roman" w:hAnsi="Times New Roman" w:cs="Times New Roman"/>
          <w:sz w:val="24"/>
          <w:szCs w:val="24"/>
        </w:rPr>
        <w:t xml:space="preserve">. It indicates basic constitutional rights along with prospects for making informed </w:t>
      </w:r>
      <w:r>
        <w:rPr>
          <w:rFonts w:ascii="Times New Roman" w:eastAsia="Times New Roman" w:hAnsi="Times New Roman" w:cs="Times New Roman"/>
          <w:sz w:val="24"/>
          <w:szCs w:val="24"/>
        </w:rPr>
        <w:t>decisions</w:t>
      </w:r>
      <w:r w:rsidR="00863756">
        <w:rPr>
          <w:rFonts w:ascii="Times New Roman" w:eastAsia="Times New Roman" w:hAnsi="Times New Roman" w:cs="Times New Roman"/>
          <w:sz w:val="24"/>
          <w:szCs w:val="24"/>
        </w:rPr>
        <w:t xml:space="preserve"> (</w:t>
      </w:r>
      <w:r w:rsidR="00863756" w:rsidRPr="00822DD3">
        <w:rPr>
          <w:rFonts w:ascii="Times New Roman" w:hAnsi="Times New Roman" w:cs="Times New Roman"/>
          <w:color w:val="222222"/>
          <w:sz w:val="24"/>
          <w:szCs w:val="24"/>
          <w:shd w:val="clear" w:color="auto" w:fill="FFFFFF"/>
        </w:rPr>
        <w:t>Craig and De Búrca, 2020</w:t>
      </w:r>
      <w:r w:rsidR="0086375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following essay will depict various knowledge and understanding of such legal proceedings and legislations. It would observe and examine the conceptual legal methods through precedent as well as statutes. The concept of a UK executive will be discussed at the beginning of the essay. Following that the power theory will be depicted here. Further, the way the executive is held to account, some benefits and drawbacks along with reform suggestions will be mentioned. </w:t>
      </w:r>
    </w:p>
    <w:p w14:paraId="5D8BFC41" w14:textId="77777777" w:rsidR="00DE1A2A" w:rsidRDefault="00DE1A2A">
      <w:pPr>
        <w:spacing w:line="276" w:lineRule="auto"/>
        <w:jc w:val="left"/>
        <w:rPr>
          <w:rFonts w:eastAsia="Times New Roman" w:cs="Times New Roman"/>
          <w:b/>
          <w:szCs w:val="24"/>
        </w:rPr>
      </w:pPr>
      <w:r>
        <w:rPr>
          <w:rFonts w:eastAsia="Times New Roman" w:cs="Times New Roman"/>
          <w:b/>
          <w:szCs w:val="24"/>
        </w:rPr>
        <w:br w:type="page"/>
      </w:r>
    </w:p>
    <w:p w14:paraId="00000003" w14:textId="053F0413" w:rsidR="003236EC" w:rsidRDefault="00A44DA4" w:rsidP="00CD43E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Discussion</w:t>
      </w:r>
    </w:p>
    <w:p w14:paraId="00000004" w14:textId="2F2AFC0F" w:rsidR="003236EC" w:rsidRDefault="00A44DA4" w:rsidP="00CD43E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executive indicates to the government which is mainly responsible for making any kind of informative decisions as well as maintaining different kinds of rules and regulations. The House of Commons is a vital aspect of the UK executive. They have been generally invited to shape the government. The Prime Minister, Cabinet and numerous junior ministers together form the parliament. Those are typically selected through the winning party. The most valuable person of that party is the Prime minister generally</w:t>
      </w:r>
      <w:r>
        <w:rPr>
          <w:rFonts w:ascii="Times New Roman" w:eastAsia="Times New Roman" w:hAnsi="Times New Roman" w:cs="Times New Roman"/>
          <w:sz w:val="24"/>
          <w:szCs w:val="24"/>
        </w:rPr>
        <w:t xml:space="preserve"> referred to as the leader of the system. The prime minister has a special power to choose other members and is also accountable for regulating the policies and decisions</w:t>
      </w:r>
      <w:r w:rsidR="00200AA2">
        <w:rPr>
          <w:rFonts w:ascii="Times New Roman" w:eastAsia="Times New Roman" w:hAnsi="Times New Roman" w:cs="Times New Roman"/>
          <w:sz w:val="24"/>
          <w:szCs w:val="24"/>
        </w:rPr>
        <w:t xml:space="preserve"> (</w:t>
      </w:r>
      <w:r w:rsidR="00200AA2" w:rsidRPr="00822DD3">
        <w:rPr>
          <w:rFonts w:ascii="Times New Roman" w:hAnsi="Times New Roman" w:cs="Times New Roman"/>
          <w:color w:val="222222"/>
          <w:sz w:val="24"/>
          <w:szCs w:val="24"/>
          <w:shd w:val="clear" w:color="auto" w:fill="FFFFFF"/>
        </w:rPr>
        <w:t>Craig and De Búrca, 2020</w:t>
      </w:r>
      <w:r w:rsidR="00200AA2">
        <w:rPr>
          <w:rFonts w:ascii="Times New Roman" w:eastAsia="Times New Roman" w:hAnsi="Times New Roman" w:cs="Times New Roman"/>
          <w:sz w:val="24"/>
          <w:szCs w:val="24"/>
        </w:rPr>
        <w:t>)</w:t>
      </w:r>
      <w:r>
        <w:rPr>
          <w:rFonts w:ascii="Times New Roman" w:eastAsia="Times New Roman" w:hAnsi="Times New Roman" w:cs="Times New Roman"/>
          <w:sz w:val="24"/>
          <w:szCs w:val="24"/>
        </w:rPr>
        <w:t>. In addition to this, the working principles of the civil service department and other government sectors have also been controlled by the Prime minister. The House of Lords also comes under the UK executive. Executives have been considered as the top workers of the government. Their main tasks include checking v</w:t>
      </w:r>
      <w:r>
        <w:rPr>
          <w:rFonts w:ascii="Times New Roman" w:eastAsia="Times New Roman" w:hAnsi="Times New Roman" w:cs="Times New Roman"/>
          <w:sz w:val="24"/>
          <w:szCs w:val="24"/>
        </w:rPr>
        <w:t>arious operations, monetary systems and generic procedures of an organisation or business. They operate the most vital part of the government regulatory bodies and are often known as the most motivational people</w:t>
      </w:r>
      <w:r w:rsidR="00CD43E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822024008"/>
          <w:citation/>
        </w:sdtPr>
        <w:sdtEndPr/>
        <w:sdtContent>
          <w:r w:rsidR="00CD43E5">
            <w:rPr>
              <w:rFonts w:ascii="Times New Roman" w:eastAsia="Times New Roman" w:hAnsi="Times New Roman" w:cs="Times New Roman"/>
              <w:sz w:val="24"/>
              <w:szCs w:val="24"/>
            </w:rPr>
            <w:fldChar w:fldCharType="begin"/>
          </w:r>
          <w:r w:rsidR="00CD43E5">
            <w:rPr>
              <w:rFonts w:ascii="Times New Roman" w:eastAsia="Times New Roman" w:hAnsi="Times New Roman" w:cs="Times New Roman"/>
              <w:sz w:val="24"/>
              <w:szCs w:val="24"/>
              <w:lang w:val="en-US"/>
            </w:rPr>
            <w:instrText xml:space="preserve"> CITATION con241 \l 1033 </w:instrText>
          </w:r>
          <w:r w:rsidR="00CD43E5">
            <w:rPr>
              <w:rFonts w:ascii="Times New Roman" w:eastAsia="Times New Roman" w:hAnsi="Times New Roman" w:cs="Times New Roman"/>
              <w:sz w:val="24"/>
              <w:szCs w:val="24"/>
            </w:rPr>
            <w:fldChar w:fldCharType="separate"/>
          </w:r>
          <w:r w:rsidR="00CD43E5" w:rsidRPr="00CD43E5">
            <w:rPr>
              <w:rFonts w:ascii="Times New Roman" w:eastAsia="Times New Roman" w:hAnsi="Times New Roman" w:cs="Times New Roman"/>
              <w:noProof/>
              <w:sz w:val="24"/>
              <w:szCs w:val="24"/>
              <w:lang w:val="en-US"/>
            </w:rPr>
            <w:t>(consoc, 2024)</w:t>
          </w:r>
          <w:r w:rsidR="00CD43E5">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00000005" w14:textId="40E79B7A" w:rsidR="003236EC" w:rsidRDefault="00A44DA4" w:rsidP="00CD43E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Separation of power refers to the power of the government which is used to maintain the operations of different government branches. For instance, the power of the federal government has been utilised in the executive, legislative and judicial sections. The notion of 'separation of power' within the UK works in a slightly distinct way compared to other nations. In the United Kingdom, the practice of separation of power has been classified through the fusion of authority as well as checking and balancing sys</w:t>
      </w:r>
      <w:r>
        <w:rPr>
          <w:rFonts w:ascii="Times New Roman" w:eastAsia="Times New Roman" w:hAnsi="Times New Roman" w:cs="Times New Roman"/>
          <w:sz w:val="24"/>
          <w:szCs w:val="24"/>
        </w:rPr>
        <w:t>tems. The 'executive branch', 'legislative branch', 'judicial branch', 'parliamentary scrutiny' and 'traditions and convention' are examples of those branches. The executive branch which is the most vital part of the UK government has been controlled by the Prime minister along with the Monarch</w:t>
      </w:r>
      <w:r w:rsidR="00200AA2">
        <w:rPr>
          <w:rFonts w:ascii="Times New Roman" w:eastAsia="Times New Roman" w:hAnsi="Times New Roman" w:cs="Times New Roman"/>
          <w:sz w:val="24"/>
          <w:szCs w:val="24"/>
        </w:rPr>
        <w:t xml:space="preserve"> (</w:t>
      </w:r>
      <w:r w:rsidR="00200AA2" w:rsidRPr="00822DD3">
        <w:rPr>
          <w:rFonts w:ascii="Times New Roman" w:hAnsi="Times New Roman" w:cs="Times New Roman"/>
          <w:color w:val="222222"/>
          <w:sz w:val="24"/>
          <w:szCs w:val="24"/>
          <w:shd w:val="clear" w:color="auto" w:fill="FFFFFF"/>
        </w:rPr>
        <w:t>Sánchez-Monedero</w:t>
      </w:r>
      <w:r w:rsidR="00200AA2">
        <w:rPr>
          <w:rFonts w:ascii="Times New Roman" w:hAnsi="Times New Roman" w:cs="Times New Roman"/>
          <w:color w:val="222222"/>
          <w:sz w:val="24"/>
          <w:szCs w:val="24"/>
          <w:shd w:val="clear" w:color="auto" w:fill="FFFFFF"/>
        </w:rPr>
        <w:t xml:space="preserve"> </w:t>
      </w:r>
      <w:r w:rsidR="00200AA2">
        <w:rPr>
          <w:rFonts w:ascii="Times New Roman" w:hAnsi="Times New Roman" w:cs="Times New Roman"/>
          <w:i/>
          <w:iCs/>
          <w:color w:val="222222"/>
          <w:sz w:val="24"/>
          <w:szCs w:val="24"/>
          <w:shd w:val="clear" w:color="auto" w:fill="FFFFFF"/>
        </w:rPr>
        <w:t xml:space="preserve">et al., </w:t>
      </w:r>
      <w:r w:rsidR="00200AA2">
        <w:rPr>
          <w:rFonts w:ascii="Times New Roman" w:hAnsi="Times New Roman" w:cs="Times New Roman"/>
          <w:color w:val="222222"/>
          <w:sz w:val="24"/>
          <w:szCs w:val="24"/>
          <w:shd w:val="clear" w:color="auto" w:fill="FFFFFF"/>
        </w:rPr>
        <w:t>2020</w:t>
      </w:r>
      <w:r w:rsidR="00200AA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head of the government is known as Prime Minister whereas, the head of the state of the state is known </w:t>
      </w:r>
      <w:r>
        <w:rPr>
          <w:rFonts w:ascii="Times New Roman" w:eastAsia="Times New Roman" w:hAnsi="Times New Roman" w:cs="Times New Roman"/>
          <w:sz w:val="24"/>
          <w:szCs w:val="24"/>
        </w:rPr>
        <w:lastRenderedPageBreak/>
        <w:t xml:space="preserve">as the Monarch. The executive branch has been </w:t>
      </w:r>
      <w:r>
        <w:rPr>
          <w:rFonts w:ascii="Times New Roman" w:eastAsia="Times New Roman" w:hAnsi="Times New Roman" w:cs="Times New Roman"/>
          <w:sz w:val="24"/>
          <w:szCs w:val="24"/>
        </w:rPr>
        <w:t xml:space="preserve">accountable for applying along with regulating the laws, maintaining public affairs as well as representing the nation towards the globe. A Prime Minister has lots of power including nominating ministers, suggesting innovative policies along with making informed decisions. Parliament follows the scrutiny method very strictly for handling different regulations of the executive branch. Parliament members could ask numerous queries towards the government minister, discuss several policies, suggest adjustments </w:t>
      </w:r>
      <w:r>
        <w:rPr>
          <w:rFonts w:ascii="Times New Roman" w:eastAsia="Times New Roman" w:hAnsi="Times New Roman" w:cs="Times New Roman"/>
          <w:sz w:val="24"/>
          <w:szCs w:val="24"/>
        </w:rPr>
        <w:t>along with using a voting system for essential matters. The committees of the parliament play a vital role in analysing the government working process, determining inquiries and maintaining the government system. According to the power theory, the procedure of holding the UK executive depends upon several unique arrangements. Parliamentary democracy offers a daily evaluation of accountability for maintaining the UK executive</w:t>
      </w:r>
      <w:r w:rsidR="00CD43E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73239484"/>
          <w:citation/>
        </w:sdtPr>
        <w:sdtEndPr/>
        <w:sdtContent>
          <w:r w:rsidR="00CD43E5">
            <w:rPr>
              <w:rFonts w:ascii="Times New Roman" w:eastAsia="Times New Roman" w:hAnsi="Times New Roman" w:cs="Times New Roman"/>
              <w:sz w:val="24"/>
              <w:szCs w:val="24"/>
            </w:rPr>
            <w:fldChar w:fldCharType="begin"/>
          </w:r>
          <w:r w:rsidR="00CD43E5">
            <w:rPr>
              <w:rFonts w:ascii="Times New Roman" w:eastAsia="Times New Roman" w:hAnsi="Times New Roman" w:cs="Times New Roman"/>
              <w:sz w:val="24"/>
              <w:szCs w:val="24"/>
              <w:lang w:val="en-US"/>
            </w:rPr>
            <w:instrText xml:space="preserve"> CITATION uol23 \l 1033 </w:instrText>
          </w:r>
          <w:r w:rsidR="00CD43E5">
            <w:rPr>
              <w:rFonts w:ascii="Times New Roman" w:eastAsia="Times New Roman" w:hAnsi="Times New Roman" w:cs="Times New Roman"/>
              <w:sz w:val="24"/>
              <w:szCs w:val="24"/>
            </w:rPr>
            <w:fldChar w:fldCharType="separate"/>
          </w:r>
          <w:r w:rsidR="00CD43E5" w:rsidRPr="00CD43E5">
            <w:rPr>
              <w:rFonts w:ascii="Times New Roman" w:eastAsia="Times New Roman" w:hAnsi="Times New Roman" w:cs="Times New Roman"/>
              <w:noProof/>
              <w:sz w:val="24"/>
              <w:szCs w:val="24"/>
              <w:lang w:val="en-US"/>
            </w:rPr>
            <w:t>(uollb, 2023)</w:t>
          </w:r>
          <w:r w:rsidR="00CD43E5">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00000006" w14:textId="50FC7F16" w:rsidR="003236EC" w:rsidRDefault="00A44DA4" w:rsidP="00CD43E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Parliament is mainly responsible for holding the executive to account via querying, debating as well as selecting committees. A few policies and actions are also important for such decisions. For maintaining such accounts scrutiny plays a crucial role and it should be transparent. Parliamentary debate along with questions keeps the government system one step ahead. Scrutiny must influence as well as suggest the government to follow all the variations. The roles and responsibilities of the Parliament have be</w:t>
      </w:r>
      <w:r>
        <w:rPr>
          <w:rFonts w:ascii="Times New Roman" w:eastAsia="Times New Roman" w:hAnsi="Times New Roman" w:cs="Times New Roman"/>
          <w:sz w:val="24"/>
          <w:szCs w:val="24"/>
        </w:rPr>
        <w:t>en mainly separated into two different sections. One of them is known as 'The House of Commons' whereas the other one is known as 'House of Lords. Those two government regulatory bodies have distinct roles and responsibilities in the case of holding the government</w:t>
      </w:r>
      <w:r w:rsidR="00200AA2">
        <w:rPr>
          <w:rFonts w:ascii="Times New Roman" w:eastAsia="Times New Roman" w:hAnsi="Times New Roman" w:cs="Times New Roman"/>
          <w:sz w:val="24"/>
          <w:szCs w:val="24"/>
        </w:rPr>
        <w:t xml:space="preserve"> (</w:t>
      </w:r>
      <w:r w:rsidR="00200AA2" w:rsidRPr="00822DD3">
        <w:rPr>
          <w:rFonts w:ascii="Times New Roman" w:hAnsi="Times New Roman" w:cs="Times New Roman"/>
          <w:color w:val="222222"/>
          <w:sz w:val="24"/>
          <w:szCs w:val="24"/>
          <w:shd w:val="clear" w:color="auto" w:fill="FFFFFF"/>
        </w:rPr>
        <w:t>Farrow</w:t>
      </w:r>
      <w:r w:rsidR="00200AA2">
        <w:rPr>
          <w:rFonts w:ascii="Times New Roman" w:hAnsi="Times New Roman" w:cs="Times New Roman"/>
          <w:color w:val="222222"/>
          <w:sz w:val="24"/>
          <w:szCs w:val="24"/>
          <w:shd w:val="clear" w:color="auto" w:fill="FFFFFF"/>
        </w:rPr>
        <w:t>, 2020</w:t>
      </w:r>
      <w:r w:rsidR="00200AA2">
        <w:rPr>
          <w:rFonts w:ascii="Times New Roman" w:eastAsia="Times New Roman" w:hAnsi="Times New Roman" w:cs="Times New Roman"/>
          <w:sz w:val="24"/>
          <w:szCs w:val="24"/>
        </w:rPr>
        <w:t>)</w:t>
      </w:r>
      <w:r>
        <w:rPr>
          <w:rFonts w:ascii="Times New Roman" w:eastAsia="Times New Roman" w:hAnsi="Times New Roman" w:cs="Times New Roman"/>
          <w:sz w:val="24"/>
          <w:szCs w:val="24"/>
        </w:rPr>
        <w:t>. Such roles are mainly maintained by different policies, actions as well as legislation suggested by government executives. The 'House of Commons' is considered the second-largest political party that shapes the government system. T</w:t>
      </w:r>
      <w:r>
        <w:rPr>
          <w:rFonts w:ascii="Times New Roman" w:eastAsia="Times New Roman" w:hAnsi="Times New Roman" w:cs="Times New Roman"/>
          <w:sz w:val="24"/>
          <w:szCs w:val="24"/>
        </w:rPr>
        <w:t xml:space="preserve">hey have been provided time in the direction of holding the executive via the Prime Minister's queries as well as other ministers' queries. These meetings </w:t>
      </w:r>
      <w:r>
        <w:rPr>
          <w:rFonts w:ascii="Times New Roman" w:eastAsia="Times New Roman" w:hAnsi="Times New Roman" w:cs="Times New Roman"/>
          <w:sz w:val="24"/>
          <w:szCs w:val="24"/>
        </w:rPr>
        <w:lastRenderedPageBreak/>
        <w:t xml:space="preserve">authorise direct scrutiny of executive members in the time of legislative policy procedures along with other ongoing actions. Furthermore, numerous 'Departmental Select Committees' are formed by them with the help of a government branch like foreign policies or agriculture. On the other hand, the 'House of Lords also has similar capabilities within their </w:t>
      </w:r>
      <w:r>
        <w:rPr>
          <w:rFonts w:ascii="Times New Roman" w:eastAsia="Times New Roman" w:hAnsi="Times New Roman" w:cs="Times New Roman"/>
          <w:sz w:val="24"/>
          <w:szCs w:val="24"/>
        </w:rPr>
        <w:t>committees. However, the main strength of them is situated between their political impartiality. The possibility of having non-government members inside the House of Lords is high. The members of the system have not been forced to give their vote due to such impartiality. It reforms a superior environment of greater scrutiny on the government as well as merging with non-government members. This indicates that the executive of the government must recheck and rethink the policies for keeping these safe</w:t>
      </w:r>
      <w:r w:rsidR="00CD43E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3721468"/>
          <w:citation/>
        </w:sdtPr>
        <w:sdtEndPr/>
        <w:sdtContent>
          <w:r w:rsidR="00CD43E5">
            <w:rPr>
              <w:rFonts w:ascii="Times New Roman" w:eastAsia="Times New Roman" w:hAnsi="Times New Roman" w:cs="Times New Roman"/>
              <w:sz w:val="24"/>
              <w:szCs w:val="24"/>
            </w:rPr>
            <w:fldChar w:fldCharType="begin"/>
          </w:r>
          <w:r w:rsidR="00CD43E5">
            <w:rPr>
              <w:rFonts w:ascii="Times New Roman" w:eastAsia="Times New Roman" w:hAnsi="Times New Roman" w:cs="Times New Roman"/>
              <w:sz w:val="24"/>
              <w:szCs w:val="24"/>
              <w:lang w:val="en-US"/>
            </w:rPr>
            <w:instrText xml:space="preserve"> CITATION par24 \l 1033 </w:instrText>
          </w:r>
          <w:r w:rsidR="00CD43E5">
            <w:rPr>
              <w:rFonts w:ascii="Times New Roman" w:eastAsia="Times New Roman" w:hAnsi="Times New Roman" w:cs="Times New Roman"/>
              <w:sz w:val="24"/>
              <w:szCs w:val="24"/>
            </w:rPr>
            <w:fldChar w:fldCharType="separate"/>
          </w:r>
          <w:r w:rsidR="00CD43E5" w:rsidRPr="00CD43E5">
            <w:rPr>
              <w:rFonts w:ascii="Times New Roman" w:eastAsia="Times New Roman" w:hAnsi="Times New Roman" w:cs="Times New Roman"/>
              <w:noProof/>
              <w:sz w:val="24"/>
              <w:szCs w:val="24"/>
              <w:lang w:val="en-US"/>
            </w:rPr>
            <w:t>(parliament, 2024)</w:t>
          </w:r>
          <w:r w:rsidR="00CD43E5">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00000007" w14:textId="115428FF" w:rsidR="003236EC" w:rsidRDefault="00A44DA4" w:rsidP="00CD43E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executive captures a huge power inside the UK system. Most legislation has been established towards the Parliament via the government. The government suggests an annual cost for maintaining all different processes inside it. They are also responsible for making a wide range of policies via superior decisions within different sections like transportation systems, healthcare systems as well as educational systems. Such policies have been frequently performed via secondary legislation. The executive also h</w:t>
      </w:r>
      <w:r>
        <w:rPr>
          <w:rFonts w:ascii="Times New Roman" w:eastAsia="Times New Roman" w:hAnsi="Times New Roman" w:cs="Times New Roman"/>
          <w:sz w:val="24"/>
          <w:szCs w:val="24"/>
        </w:rPr>
        <w:t>as some other strengths that are known as 'Prerogative powers'. These powers have been mainly controlled by the theory of Monarch. They could be utilised without getting consent from the Parliament. Such powers include controlling foreign policies, conducting diplomacy as well as granting honours. Such powers are frequently controversial as there have been limited constraints on their utilisation via the executive</w:t>
      </w:r>
      <w:r w:rsidR="00200AA2">
        <w:rPr>
          <w:rFonts w:ascii="Times New Roman" w:eastAsia="Times New Roman" w:hAnsi="Times New Roman" w:cs="Times New Roman"/>
          <w:sz w:val="24"/>
          <w:szCs w:val="24"/>
        </w:rPr>
        <w:t xml:space="preserve"> (</w:t>
      </w:r>
      <w:r w:rsidR="00200AA2" w:rsidRPr="00822DD3">
        <w:rPr>
          <w:rFonts w:ascii="Times New Roman" w:hAnsi="Times New Roman" w:cs="Times New Roman"/>
          <w:color w:val="222222"/>
          <w:sz w:val="24"/>
          <w:szCs w:val="24"/>
          <w:shd w:val="clear" w:color="auto" w:fill="FFFFFF"/>
        </w:rPr>
        <w:t>Horseman</w:t>
      </w:r>
      <w:r w:rsidR="00200AA2">
        <w:rPr>
          <w:rFonts w:ascii="Times New Roman" w:hAnsi="Times New Roman" w:cs="Times New Roman"/>
          <w:color w:val="222222"/>
          <w:sz w:val="24"/>
          <w:szCs w:val="24"/>
          <w:shd w:val="clear" w:color="auto" w:fill="FFFFFF"/>
        </w:rPr>
        <w:t xml:space="preserve"> </w:t>
      </w:r>
      <w:r w:rsidR="00200AA2">
        <w:rPr>
          <w:rFonts w:ascii="Times New Roman" w:hAnsi="Times New Roman" w:cs="Times New Roman"/>
          <w:i/>
          <w:iCs/>
          <w:color w:val="222222"/>
          <w:sz w:val="24"/>
          <w:szCs w:val="24"/>
          <w:shd w:val="clear" w:color="auto" w:fill="FFFFFF"/>
        </w:rPr>
        <w:t xml:space="preserve">et al., </w:t>
      </w:r>
      <w:r w:rsidR="00200AA2">
        <w:rPr>
          <w:rFonts w:ascii="Times New Roman" w:hAnsi="Times New Roman" w:cs="Times New Roman"/>
          <w:color w:val="222222"/>
          <w:sz w:val="24"/>
          <w:szCs w:val="24"/>
          <w:shd w:val="clear" w:color="auto" w:fill="FFFFFF"/>
        </w:rPr>
        <w:t>2020</w:t>
      </w:r>
      <w:r w:rsidR="00200AA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current scrutiny assessments about EU business might be executed via taking benefits of the government principles that are proposed for inviting the Common Ministers to take questions through the second chamber committee. The House of Commons has several arrangements, however, this should turn out to be a normal principle for the ministers of the Commons to come before the suggested Committee. The </w:t>
      </w:r>
      <w:r>
        <w:rPr>
          <w:rFonts w:ascii="Times New Roman" w:eastAsia="Times New Roman" w:hAnsi="Times New Roman" w:cs="Times New Roman"/>
          <w:sz w:val="24"/>
          <w:szCs w:val="24"/>
        </w:rPr>
        <w:lastRenderedPageBreak/>
        <w:t>principle will support the scrutiny arrangements regulated via the 'Common Scrutiny Committee'. Some huge</w:t>
      </w:r>
      <w:r>
        <w:rPr>
          <w:rFonts w:ascii="Times New Roman" w:eastAsia="Times New Roman" w:hAnsi="Times New Roman" w:cs="Times New Roman"/>
          <w:sz w:val="24"/>
          <w:szCs w:val="24"/>
        </w:rPr>
        <w:t xml:space="preserve"> disadvantages have been observed inside the system. However, there must be some public meeting towards any kind of formal confirmation via the 'Committee of Parliament'. There is also the possibility of severe risks which can be declined by other members. Parliament Committee also has no right to change their decision for any kind of responsible minister. A high level of satisfactory balance is required there for maintaining the situation which can be possible by the appropriate committee in numerous ways.</w:t>
      </w:r>
      <w:r>
        <w:rPr>
          <w:rFonts w:ascii="Times New Roman" w:eastAsia="Times New Roman" w:hAnsi="Times New Roman" w:cs="Times New Roman"/>
          <w:sz w:val="24"/>
          <w:szCs w:val="24"/>
        </w:rPr>
        <w:t xml:space="preserve"> However, no such distinct role could be noticed inside the second chamber within the location</w:t>
      </w:r>
      <w:r w:rsidR="00200AA2">
        <w:rPr>
          <w:rFonts w:ascii="Times New Roman" w:eastAsia="Times New Roman" w:hAnsi="Times New Roman" w:cs="Times New Roman"/>
          <w:sz w:val="24"/>
          <w:szCs w:val="24"/>
        </w:rPr>
        <w:t xml:space="preserve"> (</w:t>
      </w:r>
      <w:r w:rsidR="00200AA2" w:rsidRPr="00822DD3">
        <w:rPr>
          <w:rFonts w:ascii="Times New Roman" w:hAnsi="Times New Roman" w:cs="Times New Roman"/>
          <w:color w:val="222222"/>
          <w:sz w:val="24"/>
          <w:szCs w:val="24"/>
          <w:shd w:val="clear" w:color="auto" w:fill="FFFFFF"/>
        </w:rPr>
        <w:t>Mavin</w:t>
      </w:r>
      <w:r w:rsidR="00200AA2">
        <w:rPr>
          <w:rFonts w:ascii="Times New Roman" w:hAnsi="Times New Roman" w:cs="Times New Roman"/>
          <w:color w:val="222222"/>
          <w:sz w:val="24"/>
          <w:szCs w:val="24"/>
          <w:shd w:val="clear" w:color="auto" w:fill="FFFFFF"/>
        </w:rPr>
        <w:t xml:space="preserve"> </w:t>
      </w:r>
      <w:r w:rsidR="00200AA2">
        <w:rPr>
          <w:rFonts w:ascii="Times New Roman" w:hAnsi="Times New Roman" w:cs="Times New Roman"/>
          <w:i/>
          <w:iCs/>
          <w:color w:val="222222"/>
          <w:sz w:val="24"/>
          <w:szCs w:val="24"/>
          <w:shd w:val="clear" w:color="auto" w:fill="FFFFFF"/>
        </w:rPr>
        <w:t xml:space="preserve">et al., </w:t>
      </w:r>
      <w:r w:rsidR="00200AA2">
        <w:rPr>
          <w:rFonts w:ascii="Times New Roman" w:hAnsi="Times New Roman" w:cs="Times New Roman"/>
          <w:color w:val="222222"/>
          <w:sz w:val="24"/>
          <w:szCs w:val="24"/>
          <w:shd w:val="clear" w:color="auto" w:fill="FFFFFF"/>
        </w:rPr>
        <w:t>2023</w:t>
      </w:r>
      <w:r w:rsidR="00200AA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0000008" w14:textId="0AE8A552" w:rsidR="003236EC" w:rsidRDefault="00A44DA4" w:rsidP="00CD43E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law commission has used up several times in the direction of generating numerous plans for potential locations of law reform. The main purpose of this is to ensure the law fairly by making it easy and cost-effective through conducting numerous research as well as meetings within a particular location of law. Finally, the recommendation is also required to provide towards the parliament in which enhancements have been needed</w:t>
      </w:r>
      <w:r w:rsidR="00200AA2">
        <w:rPr>
          <w:rFonts w:ascii="Times New Roman" w:eastAsia="Times New Roman" w:hAnsi="Times New Roman" w:cs="Times New Roman"/>
          <w:sz w:val="24"/>
          <w:szCs w:val="24"/>
        </w:rPr>
        <w:t xml:space="preserve"> (</w:t>
      </w:r>
      <w:r w:rsidR="00200AA2" w:rsidRPr="00822DD3">
        <w:rPr>
          <w:rFonts w:ascii="Times New Roman" w:hAnsi="Times New Roman" w:cs="Times New Roman"/>
          <w:color w:val="222222"/>
          <w:sz w:val="24"/>
          <w:szCs w:val="24"/>
          <w:shd w:val="clear" w:color="auto" w:fill="FFFFFF"/>
        </w:rPr>
        <w:t>Wegrich</w:t>
      </w:r>
      <w:r w:rsidR="00200AA2">
        <w:rPr>
          <w:rFonts w:ascii="Times New Roman" w:hAnsi="Times New Roman" w:cs="Times New Roman"/>
          <w:color w:val="222222"/>
          <w:sz w:val="24"/>
          <w:szCs w:val="24"/>
          <w:shd w:val="clear" w:color="auto" w:fill="FFFFFF"/>
        </w:rPr>
        <w:t>, 2021</w:t>
      </w:r>
      <w:r w:rsidR="00200AA2">
        <w:rPr>
          <w:rFonts w:ascii="Times New Roman" w:eastAsia="Times New Roman" w:hAnsi="Times New Roman" w:cs="Times New Roman"/>
          <w:sz w:val="24"/>
          <w:szCs w:val="24"/>
        </w:rPr>
        <w:t>)</w:t>
      </w:r>
      <w:r>
        <w:rPr>
          <w:rFonts w:ascii="Times New Roman" w:eastAsia="Times New Roman" w:hAnsi="Times New Roman" w:cs="Times New Roman"/>
          <w:sz w:val="24"/>
          <w:szCs w:val="24"/>
        </w:rPr>
        <w:t>. Legal reform has been the procedure of examining present laws along with recommending and performing variations within the legal infrastructure. Their common purpose is to boost justice as well as effectiveness. Again, scrutiny has been another vital part which can be used in reform suggestions. It generally ensures that government regulatory bodies stay transparent, open to all as well as accountable. As a consequence, it will enhance public policy and different services. With the help of</w:t>
      </w:r>
      <w:r>
        <w:rPr>
          <w:rFonts w:ascii="Times New Roman" w:eastAsia="Times New Roman" w:hAnsi="Times New Roman" w:cs="Times New Roman"/>
          <w:sz w:val="24"/>
          <w:szCs w:val="24"/>
        </w:rPr>
        <w:t xml:space="preserve"> scrutiny government regulatory bodies can easily make informed decisions which are very clear along with being accessible towards every person in the country. Such a decision-making process assists enormously in reform suggestions</w:t>
      </w:r>
      <w:r w:rsidR="00200AA2">
        <w:rPr>
          <w:rFonts w:ascii="Times New Roman" w:eastAsia="Times New Roman" w:hAnsi="Times New Roman" w:cs="Times New Roman"/>
          <w:sz w:val="24"/>
          <w:szCs w:val="24"/>
        </w:rPr>
        <w:t xml:space="preserve"> (</w:t>
      </w:r>
      <w:r w:rsidR="00200AA2" w:rsidRPr="00822DD3">
        <w:rPr>
          <w:rFonts w:ascii="Times New Roman" w:hAnsi="Times New Roman" w:cs="Times New Roman"/>
          <w:color w:val="222222"/>
          <w:sz w:val="24"/>
          <w:szCs w:val="24"/>
          <w:shd w:val="clear" w:color="auto" w:fill="FFFFFF"/>
        </w:rPr>
        <w:t>GiRaRd</w:t>
      </w:r>
      <w:r w:rsidR="00200AA2">
        <w:rPr>
          <w:rFonts w:ascii="Times New Roman" w:hAnsi="Times New Roman" w:cs="Times New Roman"/>
          <w:color w:val="222222"/>
          <w:sz w:val="24"/>
          <w:szCs w:val="24"/>
          <w:shd w:val="clear" w:color="auto" w:fill="FFFFFF"/>
        </w:rPr>
        <w:t>, 2022</w:t>
      </w:r>
      <w:r w:rsidR="00200AA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146B60D" w14:textId="77777777" w:rsidR="00DE1A2A" w:rsidRDefault="00DE1A2A">
      <w:pPr>
        <w:spacing w:line="276" w:lineRule="auto"/>
        <w:jc w:val="left"/>
        <w:rPr>
          <w:rFonts w:eastAsia="Times New Roman" w:cs="Times New Roman"/>
          <w:b/>
          <w:szCs w:val="24"/>
        </w:rPr>
      </w:pPr>
      <w:r>
        <w:rPr>
          <w:rFonts w:eastAsia="Times New Roman" w:cs="Times New Roman"/>
          <w:b/>
          <w:szCs w:val="24"/>
        </w:rPr>
        <w:br w:type="page"/>
      </w:r>
    </w:p>
    <w:p w14:paraId="00000009" w14:textId="5E594206" w:rsidR="003236EC" w:rsidRDefault="00A44DA4" w:rsidP="00CD43E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Conclusion </w:t>
      </w:r>
    </w:p>
    <w:p w14:paraId="0000000A" w14:textId="7EDA5FEF" w:rsidR="00200AA2" w:rsidRDefault="00A44DA4" w:rsidP="00CD43E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 consists of numerous legal practices which play an essential role in maintaining the behaviour and attitude of every person. The following essay has demonstrated numerous concepts of UK executive and their responsibilities. Therefore, </w:t>
      </w:r>
      <w:r w:rsidR="003F7308">
        <w:rPr>
          <w:rFonts w:ascii="Times New Roman" w:eastAsia="Times New Roman" w:hAnsi="Times New Roman" w:cs="Times New Roman"/>
          <w:sz w:val="24"/>
          <w:szCs w:val="24"/>
        </w:rPr>
        <w:t>the essay</w:t>
      </w:r>
      <w:r>
        <w:rPr>
          <w:rFonts w:ascii="Times New Roman" w:eastAsia="Times New Roman" w:hAnsi="Times New Roman" w:cs="Times New Roman"/>
          <w:sz w:val="24"/>
          <w:szCs w:val="24"/>
        </w:rPr>
        <w:t xml:space="preserve"> has illustrated the 'Separation of power theory' and its importance. Moreover, the process of holding to account by executives is showcased in this essay. In addition to this, the benefits as well as the drawbacks of such an account are highlighted here. The essay has depicted the significance of the scrutiny method and its working principles for making a superior government. Finally, it has explained the reform suggestions at the end of the essay.</w:t>
      </w:r>
    </w:p>
    <w:p w14:paraId="42A0DF51" w14:textId="77777777" w:rsidR="00200AA2" w:rsidRDefault="00200AA2">
      <w:pPr>
        <w:spacing w:line="276" w:lineRule="auto"/>
        <w:jc w:val="left"/>
        <w:rPr>
          <w:rFonts w:eastAsia="Times New Roman" w:cs="Times New Roman"/>
          <w:szCs w:val="24"/>
        </w:rPr>
      </w:pPr>
      <w:r>
        <w:rPr>
          <w:rFonts w:eastAsia="Times New Roman" w:cs="Times New Roman"/>
          <w:szCs w:val="24"/>
        </w:rPr>
        <w:br w:type="page"/>
      </w:r>
    </w:p>
    <w:p w14:paraId="17C5E646" w14:textId="4A72B981" w:rsidR="003236EC" w:rsidRPr="00200AA2" w:rsidRDefault="00200AA2" w:rsidP="00CD43E5">
      <w:pPr>
        <w:pStyle w:val="Normal1"/>
        <w:spacing w:line="480" w:lineRule="auto"/>
        <w:jc w:val="both"/>
        <w:rPr>
          <w:rFonts w:ascii="Times New Roman" w:eastAsia="Times New Roman" w:hAnsi="Times New Roman" w:cs="Times New Roman"/>
          <w:b/>
          <w:bCs/>
          <w:sz w:val="24"/>
          <w:szCs w:val="24"/>
        </w:rPr>
      </w:pPr>
      <w:r w:rsidRPr="00200AA2">
        <w:rPr>
          <w:rFonts w:ascii="Times New Roman" w:eastAsia="Times New Roman" w:hAnsi="Times New Roman" w:cs="Times New Roman"/>
          <w:b/>
          <w:bCs/>
          <w:sz w:val="24"/>
          <w:szCs w:val="24"/>
        </w:rPr>
        <w:lastRenderedPageBreak/>
        <w:t>References</w:t>
      </w:r>
    </w:p>
    <w:p w14:paraId="162AF473" w14:textId="77777777" w:rsidR="00200AA2" w:rsidRPr="00200AA2" w:rsidRDefault="00200AA2" w:rsidP="00200AA2">
      <w:pPr>
        <w:pStyle w:val="Bibliography"/>
        <w:rPr>
          <w:noProof/>
          <w:szCs w:val="24"/>
        </w:rPr>
      </w:pPr>
      <w:r w:rsidRPr="00200AA2">
        <w:rPr>
          <w:noProof/>
        </w:rPr>
        <w:t xml:space="preserve">consoc, (2024). </w:t>
      </w:r>
      <w:r w:rsidRPr="00200AA2">
        <w:rPr>
          <w:i/>
          <w:iCs/>
          <w:noProof/>
        </w:rPr>
        <w:t xml:space="preserve">The executive. </w:t>
      </w:r>
      <w:r w:rsidRPr="00200AA2">
        <w:rPr>
          <w:noProof/>
        </w:rPr>
        <w:t xml:space="preserve">[Online] Available at: </w:t>
      </w:r>
      <w:hyperlink r:id="rId7" w:anchor="executive" w:history="1">
        <w:r w:rsidRPr="00200AA2">
          <w:rPr>
            <w:rStyle w:val="Hyperlink"/>
            <w:noProof/>
            <w:color w:val="auto"/>
            <w:u w:val="none"/>
          </w:rPr>
          <w:t>https://consoc.org.uk/the-constitution-explained/the-executive/#executive</w:t>
        </w:r>
      </w:hyperlink>
      <w:r w:rsidRPr="00200AA2">
        <w:rPr>
          <w:noProof/>
        </w:rPr>
        <w:t xml:space="preserve"> [Accessed 15 February 2024].</w:t>
      </w:r>
    </w:p>
    <w:p w14:paraId="08F0A3BE" w14:textId="77777777" w:rsidR="00200AA2" w:rsidRPr="00822DD3" w:rsidRDefault="00200AA2" w:rsidP="00200AA2">
      <w:pPr>
        <w:rPr>
          <w:rFonts w:cs="Times New Roman"/>
          <w:color w:val="222222"/>
          <w:szCs w:val="24"/>
          <w:shd w:val="clear" w:color="auto" w:fill="FFFFFF"/>
        </w:rPr>
      </w:pPr>
      <w:r w:rsidRPr="00822DD3">
        <w:rPr>
          <w:rFonts w:cs="Times New Roman"/>
          <w:color w:val="222222"/>
          <w:szCs w:val="24"/>
          <w:shd w:val="clear" w:color="auto" w:fill="FFFFFF"/>
        </w:rPr>
        <w:t xml:space="preserve">Craig, P. and De Búrca, G., </w:t>
      </w:r>
      <w:r>
        <w:rPr>
          <w:rFonts w:cs="Times New Roman"/>
          <w:color w:val="222222"/>
          <w:szCs w:val="24"/>
          <w:shd w:val="clear" w:color="auto" w:fill="FFFFFF"/>
        </w:rPr>
        <w:t>(</w:t>
      </w:r>
      <w:r w:rsidRPr="00822DD3">
        <w:rPr>
          <w:rFonts w:cs="Times New Roman"/>
          <w:color w:val="222222"/>
          <w:szCs w:val="24"/>
          <w:shd w:val="clear" w:color="auto" w:fill="FFFFFF"/>
        </w:rPr>
        <w:t>2020</w:t>
      </w:r>
      <w:r>
        <w:rPr>
          <w:rFonts w:cs="Times New Roman"/>
          <w:color w:val="222222"/>
          <w:szCs w:val="24"/>
          <w:shd w:val="clear" w:color="auto" w:fill="FFFFFF"/>
        </w:rPr>
        <w:t>)</w:t>
      </w:r>
      <w:r w:rsidRPr="00822DD3">
        <w:rPr>
          <w:rFonts w:cs="Times New Roman"/>
          <w:color w:val="222222"/>
          <w:szCs w:val="24"/>
          <w:shd w:val="clear" w:color="auto" w:fill="FFFFFF"/>
        </w:rPr>
        <w:t>. </w:t>
      </w:r>
      <w:r w:rsidRPr="00822DD3">
        <w:rPr>
          <w:rFonts w:cs="Times New Roman"/>
          <w:i/>
          <w:iCs/>
          <w:color w:val="222222"/>
          <w:szCs w:val="24"/>
          <w:shd w:val="clear" w:color="auto" w:fill="FFFFFF"/>
        </w:rPr>
        <w:t>EU Law: Text, Cases, and Materials UK Version</w:t>
      </w:r>
      <w:r w:rsidRPr="00822DD3">
        <w:rPr>
          <w:rFonts w:cs="Times New Roman"/>
          <w:color w:val="222222"/>
          <w:szCs w:val="24"/>
          <w:shd w:val="clear" w:color="auto" w:fill="FFFFFF"/>
        </w:rPr>
        <w:t>. Oxford University Press, USA.</w:t>
      </w:r>
    </w:p>
    <w:p w14:paraId="12C659D6" w14:textId="77777777" w:rsidR="00200AA2" w:rsidRPr="00822DD3" w:rsidRDefault="00200AA2" w:rsidP="00200AA2">
      <w:pPr>
        <w:rPr>
          <w:rFonts w:cs="Times New Roman"/>
          <w:color w:val="222222"/>
          <w:szCs w:val="24"/>
          <w:shd w:val="clear" w:color="auto" w:fill="FFFFFF"/>
        </w:rPr>
      </w:pPr>
      <w:r w:rsidRPr="00822DD3">
        <w:rPr>
          <w:rFonts w:cs="Times New Roman"/>
          <w:color w:val="222222"/>
          <w:szCs w:val="24"/>
          <w:shd w:val="clear" w:color="auto" w:fill="FFFFFF"/>
        </w:rPr>
        <w:t xml:space="preserve">Farrow, K., </w:t>
      </w:r>
      <w:r>
        <w:rPr>
          <w:rFonts w:cs="Times New Roman"/>
          <w:color w:val="222222"/>
          <w:szCs w:val="24"/>
          <w:shd w:val="clear" w:color="auto" w:fill="FFFFFF"/>
        </w:rPr>
        <w:t>(</w:t>
      </w:r>
      <w:r w:rsidRPr="00822DD3">
        <w:rPr>
          <w:rFonts w:cs="Times New Roman"/>
          <w:color w:val="222222"/>
          <w:szCs w:val="24"/>
          <w:shd w:val="clear" w:color="auto" w:fill="FFFFFF"/>
        </w:rPr>
        <w:t>2020</w:t>
      </w:r>
      <w:r>
        <w:rPr>
          <w:rFonts w:cs="Times New Roman"/>
          <w:color w:val="222222"/>
          <w:szCs w:val="24"/>
          <w:shd w:val="clear" w:color="auto" w:fill="FFFFFF"/>
        </w:rPr>
        <w:t>)</w:t>
      </w:r>
      <w:r w:rsidRPr="00822DD3">
        <w:rPr>
          <w:rFonts w:cs="Times New Roman"/>
          <w:color w:val="222222"/>
          <w:szCs w:val="24"/>
          <w:shd w:val="clear" w:color="auto" w:fill="FFFFFF"/>
        </w:rPr>
        <w:t>. Policing the pandemic in the UK using the principles of procedural justice. </w:t>
      </w:r>
      <w:r w:rsidRPr="00822DD3">
        <w:rPr>
          <w:rFonts w:cs="Times New Roman"/>
          <w:i/>
          <w:iCs/>
          <w:color w:val="222222"/>
          <w:szCs w:val="24"/>
          <w:shd w:val="clear" w:color="auto" w:fill="FFFFFF"/>
        </w:rPr>
        <w:t>Policing: a journal of policy and practice</w:t>
      </w:r>
      <w:r w:rsidRPr="00822DD3">
        <w:rPr>
          <w:rFonts w:cs="Times New Roman"/>
          <w:color w:val="222222"/>
          <w:szCs w:val="24"/>
          <w:shd w:val="clear" w:color="auto" w:fill="FFFFFF"/>
        </w:rPr>
        <w:t>, </w:t>
      </w:r>
      <w:r w:rsidRPr="00822DD3">
        <w:rPr>
          <w:rFonts w:cs="Times New Roman"/>
          <w:i/>
          <w:iCs/>
          <w:color w:val="222222"/>
          <w:szCs w:val="24"/>
          <w:shd w:val="clear" w:color="auto" w:fill="FFFFFF"/>
        </w:rPr>
        <w:t>14</w:t>
      </w:r>
      <w:r w:rsidRPr="00822DD3">
        <w:rPr>
          <w:rFonts w:cs="Times New Roman"/>
          <w:color w:val="222222"/>
          <w:szCs w:val="24"/>
          <w:shd w:val="clear" w:color="auto" w:fill="FFFFFF"/>
        </w:rPr>
        <w:t>(3), pp.587-592.</w:t>
      </w:r>
    </w:p>
    <w:p w14:paraId="5E7127DA" w14:textId="77777777" w:rsidR="00200AA2" w:rsidRPr="00822DD3" w:rsidRDefault="00200AA2" w:rsidP="00200AA2">
      <w:pPr>
        <w:rPr>
          <w:rFonts w:cs="Times New Roman"/>
          <w:color w:val="222222"/>
          <w:szCs w:val="24"/>
          <w:shd w:val="clear" w:color="auto" w:fill="FFFFFF"/>
        </w:rPr>
      </w:pPr>
      <w:r w:rsidRPr="00822DD3">
        <w:rPr>
          <w:rFonts w:cs="Times New Roman"/>
          <w:color w:val="222222"/>
          <w:szCs w:val="24"/>
          <w:shd w:val="clear" w:color="auto" w:fill="FFFFFF"/>
        </w:rPr>
        <w:t xml:space="preserve">GiRaRd, R., </w:t>
      </w:r>
      <w:r>
        <w:rPr>
          <w:rFonts w:cs="Times New Roman"/>
          <w:color w:val="222222"/>
          <w:szCs w:val="24"/>
          <w:shd w:val="clear" w:color="auto" w:fill="FFFFFF"/>
        </w:rPr>
        <w:t>(</w:t>
      </w:r>
      <w:r w:rsidRPr="00822DD3">
        <w:rPr>
          <w:rFonts w:cs="Times New Roman"/>
          <w:color w:val="222222"/>
          <w:szCs w:val="24"/>
          <w:shd w:val="clear" w:color="auto" w:fill="FFFFFF"/>
        </w:rPr>
        <w:t>2022</w:t>
      </w:r>
      <w:r>
        <w:rPr>
          <w:rFonts w:cs="Times New Roman"/>
          <w:color w:val="222222"/>
          <w:szCs w:val="24"/>
          <w:shd w:val="clear" w:color="auto" w:fill="FFFFFF"/>
        </w:rPr>
        <w:t>)</w:t>
      </w:r>
      <w:r w:rsidRPr="00822DD3">
        <w:rPr>
          <w:rFonts w:cs="Times New Roman"/>
          <w:color w:val="222222"/>
          <w:szCs w:val="24"/>
          <w:shd w:val="clear" w:color="auto" w:fill="FFFFFF"/>
        </w:rPr>
        <w:t>. Populism, Executive Power, and" Constitutional Impatience": Courts as Institutional Stabilisers in the United Kingdom. </w:t>
      </w:r>
      <w:r w:rsidRPr="00822DD3">
        <w:rPr>
          <w:rFonts w:cs="Times New Roman"/>
          <w:i/>
          <w:iCs/>
          <w:color w:val="222222"/>
          <w:szCs w:val="24"/>
          <w:shd w:val="clear" w:color="auto" w:fill="FFFFFF"/>
        </w:rPr>
        <w:t>Const. Stud.</w:t>
      </w:r>
      <w:r w:rsidRPr="00822DD3">
        <w:rPr>
          <w:rFonts w:cs="Times New Roman"/>
          <w:color w:val="222222"/>
          <w:szCs w:val="24"/>
          <w:shd w:val="clear" w:color="auto" w:fill="FFFFFF"/>
        </w:rPr>
        <w:t>, </w:t>
      </w:r>
      <w:r w:rsidRPr="00822DD3">
        <w:rPr>
          <w:rFonts w:cs="Times New Roman"/>
          <w:i/>
          <w:iCs/>
          <w:color w:val="222222"/>
          <w:szCs w:val="24"/>
          <w:shd w:val="clear" w:color="auto" w:fill="FFFFFF"/>
        </w:rPr>
        <w:t>8</w:t>
      </w:r>
      <w:r w:rsidRPr="00822DD3">
        <w:rPr>
          <w:rFonts w:cs="Times New Roman"/>
          <w:color w:val="222222"/>
          <w:szCs w:val="24"/>
          <w:shd w:val="clear" w:color="auto" w:fill="FFFFFF"/>
        </w:rPr>
        <w:t>, p.35.</w:t>
      </w:r>
    </w:p>
    <w:p w14:paraId="3612D07B" w14:textId="77777777" w:rsidR="00200AA2" w:rsidRPr="00822DD3" w:rsidRDefault="00200AA2" w:rsidP="00200AA2">
      <w:pPr>
        <w:rPr>
          <w:rFonts w:cs="Times New Roman"/>
          <w:color w:val="222222"/>
          <w:szCs w:val="24"/>
          <w:shd w:val="clear" w:color="auto" w:fill="FFFFFF"/>
        </w:rPr>
      </w:pPr>
      <w:r w:rsidRPr="00822DD3">
        <w:rPr>
          <w:rFonts w:cs="Times New Roman"/>
          <w:color w:val="222222"/>
          <w:szCs w:val="24"/>
          <w:shd w:val="clear" w:color="auto" w:fill="FFFFFF"/>
        </w:rPr>
        <w:t xml:space="preserve">Horseman, Z., Hamilton, S., Noble, H., Jones, A., Rafferty, A.M., Holloway, A., Reid, J., Harris, R., Smith, P. and Kelly, D., </w:t>
      </w:r>
      <w:r>
        <w:rPr>
          <w:rFonts w:cs="Times New Roman"/>
          <w:color w:val="222222"/>
          <w:szCs w:val="24"/>
          <w:shd w:val="clear" w:color="auto" w:fill="FFFFFF"/>
        </w:rPr>
        <w:t>(</w:t>
      </w:r>
      <w:r w:rsidRPr="00822DD3">
        <w:rPr>
          <w:rFonts w:cs="Times New Roman"/>
          <w:color w:val="222222"/>
          <w:szCs w:val="24"/>
          <w:shd w:val="clear" w:color="auto" w:fill="FFFFFF"/>
        </w:rPr>
        <w:t>2020</w:t>
      </w:r>
      <w:r>
        <w:rPr>
          <w:rFonts w:cs="Times New Roman"/>
          <w:color w:val="222222"/>
          <w:szCs w:val="24"/>
          <w:shd w:val="clear" w:color="auto" w:fill="FFFFFF"/>
        </w:rPr>
        <w:t>)</w:t>
      </w:r>
      <w:r w:rsidRPr="00822DD3">
        <w:rPr>
          <w:rFonts w:cs="Times New Roman"/>
          <w:color w:val="222222"/>
          <w:szCs w:val="24"/>
          <w:shd w:val="clear" w:color="auto" w:fill="FFFFFF"/>
        </w:rPr>
        <w:t>. Identifying the challenges and opportunities of the executive nurse director role in the UK: a scoping review. </w:t>
      </w:r>
      <w:r w:rsidRPr="00822DD3">
        <w:rPr>
          <w:rFonts w:cs="Times New Roman"/>
          <w:i/>
          <w:iCs/>
          <w:color w:val="222222"/>
          <w:szCs w:val="24"/>
          <w:shd w:val="clear" w:color="auto" w:fill="FFFFFF"/>
        </w:rPr>
        <w:t>Nursing Management</w:t>
      </w:r>
      <w:r w:rsidRPr="00822DD3">
        <w:rPr>
          <w:rFonts w:cs="Times New Roman"/>
          <w:color w:val="222222"/>
          <w:szCs w:val="24"/>
          <w:shd w:val="clear" w:color="auto" w:fill="FFFFFF"/>
        </w:rPr>
        <w:t>, </w:t>
      </w:r>
      <w:r w:rsidRPr="00822DD3">
        <w:rPr>
          <w:rFonts w:cs="Times New Roman"/>
          <w:i/>
          <w:iCs/>
          <w:color w:val="222222"/>
          <w:szCs w:val="24"/>
          <w:shd w:val="clear" w:color="auto" w:fill="FFFFFF"/>
        </w:rPr>
        <w:t>27</w:t>
      </w:r>
      <w:r w:rsidRPr="00822DD3">
        <w:rPr>
          <w:rFonts w:cs="Times New Roman"/>
          <w:color w:val="222222"/>
          <w:szCs w:val="24"/>
          <w:shd w:val="clear" w:color="auto" w:fill="FFFFFF"/>
        </w:rPr>
        <w:t>(6).</w:t>
      </w:r>
    </w:p>
    <w:p w14:paraId="0AD4C2F2" w14:textId="77777777" w:rsidR="00200AA2" w:rsidRPr="00822DD3" w:rsidRDefault="00200AA2" w:rsidP="00200AA2">
      <w:pPr>
        <w:rPr>
          <w:rFonts w:cs="Times New Roman"/>
          <w:color w:val="222222"/>
          <w:szCs w:val="24"/>
          <w:shd w:val="clear" w:color="auto" w:fill="FFFFFF"/>
        </w:rPr>
      </w:pPr>
      <w:r w:rsidRPr="00822DD3">
        <w:rPr>
          <w:rFonts w:cs="Times New Roman"/>
          <w:color w:val="222222"/>
          <w:szCs w:val="24"/>
          <w:shd w:val="clear" w:color="auto" w:fill="FFFFFF"/>
        </w:rPr>
        <w:t xml:space="preserve">Mavin, S., James, J., Patterson, N., Stabler, A. and Corlett, S., </w:t>
      </w:r>
      <w:r>
        <w:rPr>
          <w:rFonts w:cs="Times New Roman"/>
          <w:color w:val="222222"/>
          <w:szCs w:val="24"/>
          <w:shd w:val="clear" w:color="auto" w:fill="FFFFFF"/>
        </w:rPr>
        <w:t>(</w:t>
      </w:r>
      <w:r w:rsidRPr="00822DD3">
        <w:rPr>
          <w:rFonts w:cs="Times New Roman"/>
          <w:color w:val="222222"/>
          <w:szCs w:val="24"/>
          <w:shd w:val="clear" w:color="auto" w:fill="FFFFFF"/>
        </w:rPr>
        <w:t>2023</w:t>
      </w:r>
      <w:r>
        <w:rPr>
          <w:rFonts w:cs="Times New Roman"/>
          <w:color w:val="222222"/>
          <w:szCs w:val="24"/>
          <w:shd w:val="clear" w:color="auto" w:fill="FFFFFF"/>
        </w:rPr>
        <w:t>)</w:t>
      </w:r>
      <w:r w:rsidRPr="00822DD3">
        <w:rPr>
          <w:rFonts w:cs="Times New Roman"/>
          <w:color w:val="222222"/>
          <w:szCs w:val="24"/>
          <w:shd w:val="clear" w:color="auto" w:fill="FFFFFF"/>
        </w:rPr>
        <w:t>. Flipping the normative: Developing and delivering a critical pedagogy for executive education in a UK business school. </w:t>
      </w:r>
      <w:r w:rsidRPr="00822DD3">
        <w:rPr>
          <w:rFonts w:cs="Times New Roman"/>
          <w:i/>
          <w:iCs/>
          <w:color w:val="222222"/>
          <w:szCs w:val="24"/>
          <w:shd w:val="clear" w:color="auto" w:fill="FFFFFF"/>
        </w:rPr>
        <w:t>Management Learning</w:t>
      </w:r>
      <w:r w:rsidRPr="00822DD3">
        <w:rPr>
          <w:rFonts w:cs="Times New Roman"/>
          <w:color w:val="222222"/>
          <w:szCs w:val="24"/>
          <w:shd w:val="clear" w:color="auto" w:fill="FFFFFF"/>
        </w:rPr>
        <w:t>, p.13505076231162717.</w:t>
      </w:r>
    </w:p>
    <w:p w14:paraId="1F47839A" w14:textId="77777777" w:rsidR="00200AA2" w:rsidRPr="00200AA2" w:rsidRDefault="00200AA2" w:rsidP="00200AA2">
      <w:pPr>
        <w:pStyle w:val="Bibliography"/>
        <w:rPr>
          <w:noProof/>
        </w:rPr>
      </w:pPr>
      <w:r w:rsidRPr="00200AA2">
        <w:rPr>
          <w:noProof/>
        </w:rPr>
        <w:t xml:space="preserve">parliament, (2024). </w:t>
      </w:r>
      <w:r w:rsidRPr="00200AA2">
        <w:rPr>
          <w:i/>
          <w:iCs/>
          <w:noProof/>
        </w:rPr>
        <w:t xml:space="preserve">Chapter 2: Holding the Executive to Account. </w:t>
      </w:r>
      <w:r w:rsidRPr="00200AA2">
        <w:rPr>
          <w:noProof/>
        </w:rPr>
        <w:t xml:space="preserve">[Online] Available at: </w:t>
      </w:r>
      <w:hyperlink r:id="rId8" w:history="1">
        <w:r w:rsidRPr="00200AA2">
          <w:rPr>
            <w:rStyle w:val="Hyperlink"/>
            <w:noProof/>
            <w:color w:val="auto"/>
            <w:u w:val="none"/>
          </w:rPr>
          <w:t>https://publications.parliament.uk/pa/ld201012/ldselect/ldspeak/136/13605.htm</w:t>
        </w:r>
      </w:hyperlink>
      <w:r w:rsidRPr="00200AA2">
        <w:rPr>
          <w:noProof/>
        </w:rPr>
        <w:t xml:space="preserve"> [Accessed 15 February 2024].</w:t>
      </w:r>
    </w:p>
    <w:p w14:paraId="15905B94" w14:textId="77777777" w:rsidR="00200AA2" w:rsidRPr="00822DD3" w:rsidRDefault="00200AA2" w:rsidP="00200AA2">
      <w:pPr>
        <w:rPr>
          <w:rFonts w:cs="Times New Roman"/>
          <w:color w:val="222222"/>
          <w:szCs w:val="24"/>
          <w:shd w:val="clear" w:color="auto" w:fill="FFFFFF"/>
        </w:rPr>
      </w:pPr>
      <w:r w:rsidRPr="00822DD3">
        <w:rPr>
          <w:rFonts w:cs="Times New Roman"/>
          <w:color w:val="222222"/>
          <w:szCs w:val="24"/>
          <w:shd w:val="clear" w:color="auto" w:fill="FFFFFF"/>
        </w:rPr>
        <w:t xml:space="preserve">Sánchez-Monedero, J., Dencik, L. and Edwards, L., </w:t>
      </w:r>
      <w:r>
        <w:rPr>
          <w:rFonts w:cs="Times New Roman"/>
          <w:color w:val="222222"/>
          <w:szCs w:val="24"/>
          <w:shd w:val="clear" w:color="auto" w:fill="FFFFFF"/>
        </w:rPr>
        <w:t>(</w:t>
      </w:r>
      <w:r w:rsidRPr="00822DD3">
        <w:rPr>
          <w:rFonts w:cs="Times New Roman"/>
          <w:color w:val="222222"/>
          <w:szCs w:val="24"/>
          <w:shd w:val="clear" w:color="auto" w:fill="FFFFFF"/>
        </w:rPr>
        <w:t>2020</w:t>
      </w:r>
      <w:r>
        <w:rPr>
          <w:rFonts w:cs="Times New Roman"/>
          <w:color w:val="222222"/>
          <w:szCs w:val="24"/>
          <w:shd w:val="clear" w:color="auto" w:fill="FFFFFF"/>
        </w:rPr>
        <w:t>)</w:t>
      </w:r>
      <w:r w:rsidRPr="00822DD3">
        <w:rPr>
          <w:rFonts w:cs="Times New Roman"/>
          <w:color w:val="222222"/>
          <w:szCs w:val="24"/>
          <w:shd w:val="clear" w:color="auto" w:fill="FFFFFF"/>
        </w:rPr>
        <w:t>, January. What does it mean to'solve'the problem of discrimination in hiring? Social, technical and legal perspectives from the UK on automated hiring systems. In </w:t>
      </w:r>
      <w:r w:rsidRPr="00822DD3">
        <w:rPr>
          <w:rFonts w:cs="Times New Roman"/>
          <w:i/>
          <w:iCs/>
          <w:color w:val="222222"/>
          <w:szCs w:val="24"/>
          <w:shd w:val="clear" w:color="auto" w:fill="FFFFFF"/>
        </w:rPr>
        <w:t>Proceedings of the 2020 conference on fairness, accountability, and transparency</w:t>
      </w:r>
      <w:r w:rsidRPr="00822DD3">
        <w:rPr>
          <w:rFonts w:cs="Times New Roman"/>
          <w:color w:val="222222"/>
          <w:szCs w:val="24"/>
          <w:shd w:val="clear" w:color="auto" w:fill="FFFFFF"/>
        </w:rPr>
        <w:t> (pp. 458-468).</w:t>
      </w:r>
    </w:p>
    <w:p w14:paraId="5E15EBD2" w14:textId="77777777" w:rsidR="00200AA2" w:rsidRDefault="00200AA2" w:rsidP="00200AA2">
      <w:pPr>
        <w:pStyle w:val="Bibliography"/>
        <w:rPr>
          <w:noProof/>
        </w:rPr>
      </w:pPr>
      <w:r w:rsidRPr="00200AA2">
        <w:rPr>
          <w:noProof/>
        </w:rPr>
        <w:t xml:space="preserve">uollb, (2023). </w:t>
      </w:r>
      <w:r w:rsidRPr="00200AA2">
        <w:rPr>
          <w:i/>
          <w:iCs/>
          <w:noProof/>
        </w:rPr>
        <w:t xml:space="preserve">Separation of Powers in United Kingdom. </w:t>
      </w:r>
      <w:r w:rsidRPr="00200AA2">
        <w:rPr>
          <w:noProof/>
        </w:rPr>
        <w:t xml:space="preserve">[Online] Available at: </w:t>
      </w:r>
      <w:hyperlink r:id="rId9" w:history="1">
        <w:r w:rsidRPr="00200AA2">
          <w:rPr>
            <w:rStyle w:val="Hyperlink"/>
            <w:noProof/>
            <w:color w:val="auto"/>
            <w:u w:val="none"/>
          </w:rPr>
          <w:t>https://uollb.com/blog/english-common-law/separation-of-powers-in-united-kingdom</w:t>
        </w:r>
      </w:hyperlink>
      <w:r w:rsidRPr="00200AA2">
        <w:rPr>
          <w:noProof/>
        </w:rPr>
        <w:t xml:space="preserve"> [Accessed 15 February 2024].</w:t>
      </w:r>
    </w:p>
    <w:p w14:paraId="0A04B3D4" w14:textId="77777777" w:rsidR="00200AA2" w:rsidRPr="00822DD3" w:rsidRDefault="00200AA2" w:rsidP="00200AA2">
      <w:pPr>
        <w:rPr>
          <w:rFonts w:cs="Times New Roman"/>
          <w:sz w:val="28"/>
          <w:szCs w:val="28"/>
        </w:rPr>
      </w:pPr>
      <w:r w:rsidRPr="00822DD3">
        <w:rPr>
          <w:rFonts w:cs="Times New Roman"/>
          <w:color w:val="222222"/>
          <w:szCs w:val="24"/>
          <w:shd w:val="clear" w:color="auto" w:fill="FFFFFF"/>
        </w:rPr>
        <w:lastRenderedPageBreak/>
        <w:t xml:space="preserve">Wegrich, K., </w:t>
      </w:r>
      <w:r>
        <w:rPr>
          <w:rFonts w:cs="Times New Roman"/>
          <w:color w:val="222222"/>
          <w:szCs w:val="24"/>
          <w:shd w:val="clear" w:color="auto" w:fill="FFFFFF"/>
        </w:rPr>
        <w:t>(</w:t>
      </w:r>
      <w:r w:rsidRPr="00822DD3">
        <w:rPr>
          <w:rFonts w:cs="Times New Roman"/>
          <w:color w:val="222222"/>
          <w:szCs w:val="24"/>
          <w:shd w:val="clear" w:color="auto" w:fill="FFFFFF"/>
        </w:rPr>
        <w:t>2021</w:t>
      </w:r>
      <w:r>
        <w:rPr>
          <w:rFonts w:cs="Times New Roman"/>
          <w:color w:val="222222"/>
          <w:szCs w:val="24"/>
          <w:shd w:val="clear" w:color="auto" w:fill="FFFFFF"/>
        </w:rPr>
        <w:t>)</w:t>
      </w:r>
      <w:r w:rsidRPr="00822DD3">
        <w:rPr>
          <w:rFonts w:cs="Times New Roman"/>
          <w:color w:val="222222"/>
          <w:szCs w:val="24"/>
          <w:shd w:val="clear" w:color="auto" w:fill="FFFFFF"/>
        </w:rPr>
        <w:t>. Varieties of executive styles. In </w:t>
      </w:r>
      <w:r w:rsidRPr="00822DD3">
        <w:rPr>
          <w:rFonts w:cs="Times New Roman"/>
          <w:i/>
          <w:iCs/>
          <w:color w:val="222222"/>
          <w:szCs w:val="24"/>
          <w:shd w:val="clear" w:color="auto" w:fill="FFFFFF"/>
        </w:rPr>
        <w:t>The Routledge handbook of policy styles</w:t>
      </w:r>
      <w:r w:rsidRPr="00822DD3">
        <w:rPr>
          <w:rFonts w:cs="Times New Roman"/>
          <w:color w:val="222222"/>
          <w:szCs w:val="24"/>
          <w:shd w:val="clear" w:color="auto" w:fill="FFFFFF"/>
        </w:rPr>
        <w:t> (pp. 328-339). Routledge.</w:t>
      </w:r>
    </w:p>
    <w:p w14:paraId="7C298A92" w14:textId="77777777" w:rsidR="00200AA2" w:rsidRPr="00200AA2" w:rsidRDefault="00200AA2" w:rsidP="00200AA2"/>
    <w:p w14:paraId="530B40CA" w14:textId="37140ABE" w:rsidR="00200AA2" w:rsidRDefault="00200AA2" w:rsidP="00200AA2"/>
    <w:p w14:paraId="3EB2EE72" w14:textId="77777777" w:rsidR="00200AA2" w:rsidRDefault="00200AA2" w:rsidP="00CD43E5">
      <w:pPr>
        <w:pStyle w:val="Normal1"/>
        <w:spacing w:line="480" w:lineRule="auto"/>
        <w:jc w:val="both"/>
        <w:rPr>
          <w:rFonts w:ascii="Times New Roman" w:eastAsia="Times New Roman" w:hAnsi="Times New Roman" w:cs="Times New Roman"/>
          <w:sz w:val="24"/>
          <w:szCs w:val="24"/>
        </w:rPr>
      </w:pPr>
    </w:p>
    <w:sectPr w:rsidR="00200AA2" w:rsidSect="004F06C5">
      <w:headerReference w:type="default" r:id="rId10"/>
      <w:footerReference w:type="default" r:id="rId11"/>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E870D4" w14:textId="77777777" w:rsidR="00E426A2" w:rsidRDefault="00E426A2" w:rsidP="00142201">
      <w:pPr>
        <w:spacing w:line="240" w:lineRule="auto"/>
      </w:pPr>
      <w:r>
        <w:separator/>
      </w:r>
    </w:p>
  </w:endnote>
  <w:endnote w:type="continuationSeparator" w:id="0">
    <w:p w14:paraId="3BBE6E6D" w14:textId="77777777" w:rsidR="00E426A2" w:rsidRDefault="00E426A2" w:rsidP="001422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9103929"/>
      <w:docPartObj>
        <w:docPartGallery w:val="Page Numbers (Bottom of Page)"/>
        <w:docPartUnique/>
      </w:docPartObj>
    </w:sdtPr>
    <w:sdtEndPr/>
    <w:sdtContent>
      <w:sdt>
        <w:sdtPr>
          <w:id w:val="-1769616900"/>
          <w:docPartObj>
            <w:docPartGallery w:val="Page Numbers (Top of Page)"/>
            <w:docPartUnique/>
          </w:docPartObj>
        </w:sdtPr>
        <w:sdtEndPr/>
        <w:sdtContent>
          <w:p w14:paraId="64CC6B51" w14:textId="0E3D829C" w:rsidR="00142201" w:rsidRDefault="0014220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FCF2D99" w14:textId="77777777" w:rsidR="00142201" w:rsidRDefault="00142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F5124" w14:textId="77777777" w:rsidR="00E426A2" w:rsidRDefault="00E426A2" w:rsidP="00142201">
      <w:pPr>
        <w:spacing w:line="240" w:lineRule="auto"/>
      </w:pPr>
      <w:r>
        <w:separator/>
      </w:r>
    </w:p>
  </w:footnote>
  <w:footnote w:type="continuationSeparator" w:id="0">
    <w:p w14:paraId="7F523CCA" w14:textId="77777777" w:rsidR="00E426A2" w:rsidRDefault="00E426A2" w:rsidP="001422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1C1AF" w14:textId="6B6A79C9" w:rsidR="00142201" w:rsidRDefault="00142201" w:rsidP="00142201">
    <w:pPr>
      <w:jc w:val="right"/>
    </w:pPr>
    <w:r w:rsidRPr="00142201">
      <w:t>Legal Process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6EC"/>
    <w:rsid w:val="00142201"/>
    <w:rsid w:val="001C0285"/>
    <w:rsid w:val="00200AA2"/>
    <w:rsid w:val="003236EC"/>
    <w:rsid w:val="003F7308"/>
    <w:rsid w:val="004F06C5"/>
    <w:rsid w:val="00525283"/>
    <w:rsid w:val="005A0372"/>
    <w:rsid w:val="006C1C3B"/>
    <w:rsid w:val="00863756"/>
    <w:rsid w:val="008C48BE"/>
    <w:rsid w:val="00A44DA4"/>
    <w:rsid w:val="00B7732B"/>
    <w:rsid w:val="00CD43E5"/>
    <w:rsid w:val="00DE1A2A"/>
    <w:rsid w:val="00E426A2"/>
    <w:rsid w:val="00F3168F"/>
    <w:rsid w:val="00F40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F6645"/>
  <w15:docId w15:val="{5B84B6CC-FA0E-4B45-9C10-A1628E974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201"/>
    <w:pPr>
      <w:spacing w:line="480" w:lineRule="auto"/>
      <w:jc w:val="both"/>
    </w:pPr>
    <w:rPr>
      <w:rFonts w:ascii="Times New Roman" w:hAnsi="Times New Roman"/>
      <w:sz w:val="24"/>
    </w:rPr>
  </w:style>
  <w:style w:type="paragraph" w:styleId="Heading1">
    <w:name w:val="heading 1"/>
    <w:basedOn w:val="Normal1"/>
    <w:next w:val="Normal1"/>
    <w:link w:val="Heading1Char"/>
    <w:uiPriority w:val="9"/>
    <w:qFormat/>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42201"/>
    <w:pPr>
      <w:tabs>
        <w:tab w:val="center" w:pos="4680"/>
        <w:tab w:val="right" w:pos="9360"/>
      </w:tabs>
      <w:spacing w:line="240" w:lineRule="auto"/>
    </w:pPr>
  </w:style>
  <w:style w:type="character" w:customStyle="1" w:styleId="HeaderChar">
    <w:name w:val="Header Char"/>
    <w:basedOn w:val="DefaultParagraphFont"/>
    <w:link w:val="Header"/>
    <w:uiPriority w:val="99"/>
    <w:rsid w:val="00142201"/>
    <w:rPr>
      <w:rFonts w:ascii="Times New Roman" w:hAnsi="Times New Roman"/>
      <w:sz w:val="24"/>
    </w:rPr>
  </w:style>
  <w:style w:type="paragraph" w:styleId="Footer">
    <w:name w:val="footer"/>
    <w:basedOn w:val="Normal"/>
    <w:link w:val="FooterChar"/>
    <w:uiPriority w:val="99"/>
    <w:unhideWhenUsed/>
    <w:rsid w:val="00142201"/>
    <w:pPr>
      <w:tabs>
        <w:tab w:val="center" w:pos="4680"/>
        <w:tab w:val="right" w:pos="9360"/>
      </w:tabs>
      <w:spacing w:line="240" w:lineRule="auto"/>
    </w:pPr>
  </w:style>
  <w:style w:type="character" w:customStyle="1" w:styleId="FooterChar">
    <w:name w:val="Footer Char"/>
    <w:basedOn w:val="DefaultParagraphFont"/>
    <w:link w:val="Footer"/>
    <w:uiPriority w:val="99"/>
    <w:rsid w:val="00142201"/>
    <w:rPr>
      <w:rFonts w:ascii="Times New Roman" w:hAnsi="Times New Roman"/>
      <w:sz w:val="24"/>
    </w:rPr>
  </w:style>
  <w:style w:type="character" w:customStyle="1" w:styleId="Heading1Char">
    <w:name w:val="Heading 1 Char"/>
    <w:basedOn w:val="DefaultParagraphFont"/>
    <w:link w:val="Heading1"/>
    <w:uiPriority w:val="9"/>
    <w:rsid w:val="00200AA2"/>
    <w:rPr>
      <w:sz w:val="40"/>
      <w:szCs w:val="40"/>
    </w:rPr>
  </w:style>
  <w:style w:type="paragraph" w:styleId="Bibliography">
    <w:name w:val="Bibliography"/>
    <w:basedOn w:val="Normal"/>
    <w:next w:val="Normal"/>
    <w:uiPriority w:val="37"/>
    <w:unhideWhenUsed/>
    <w:rsid w:val="00200AA2"/>
  </w:style>
  <w:style w:type="character" w:styleId="Hyperlink">
    <w:name w:val="Hyperlink"/>
    <w:basedOn w:val="DefaultParagraphFont"/>
    <w:uiPriority w:val="99"/>
    <w:unhideWhenUsed/>
    <w:rsid w:val="00200AA2"/>
    <w:rPr>
      <w:color w:val="0000FF" w:themeColor="hyperlink"/>
      <w:u w:val="single"/>
    </w:rPr>
  </w:style>
  <w:style w:type="character" w:styleId="UnresolvedMention">
    <w:name w:val="Unresolved Mention"/>
    <w:basedOn w:val="DefaultParagraphFont"/>
    <w:uiPriority w:val="99"/>
    <w:semiHidden/>
    <w:unhideWhenUsed/>
    <w:rsid w:val="00200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640778">
      <w:bodyDiv w:val="1"/>
      <w:marLeft w:val="0"/>
      <w:marRight w:val="0"/>
      <w:marTop w:val="0"/>
      <w:marBottom w:val="0"/>
      <w:divBdr>
        <w:top w:val="none" w:sz="0" w:space="0" w:color="auto"/>
        <w:left w:val="none" w:sz="0" w:space="0" w:color="auto"/>
        <w:bottom w:val="none" w:sz="0" w:space="0" w:color="auto"/>
        <w:right w:val="none" w:sz="0" w:space="0" w:color="auto"/>
      </w:divBdr>
    </w:div>
    <w:div w:id="494688490">
      <w:bodyDiv w:val="1"/>
      <w:marLeft w:val="0"/>
      <w:marRight w:val="0"/>
      <w:marTop w:val="0"/>
      <w:marBottom w:val="0"/>
      <w:divBdr>
        <w:top w:val="none" w:sz="0" w:space="0" w:color="auto"/>
        <w:left w:val="none" w:sz="0" w:space="0" w:color="auto"/>
        <w:bottom w:val="none" w:sz="0" w:space="0" w:color="auto"/>
        <w:right w:val="none" w:sz="0" w:space="0" w:color="auto"/>
      </w:divBdr>
    </w:div>
    <w:div w:id="1908417719">
      <w:bodyDiv w:val="1"/>
      <w:marLeft w:val="0"/>
      <w:marRight w:val="0"/>
      <w:marTop w:val="0"/>
      <w:marBottom w:val="0"/>
      <w:divBdr>
        <w:top w:val="none" w:sz="0" w:space="0" w:color="auto"/>
        <w:left w:val="none" w:sz="0" w:space="0" w:color="auto"/>
        <w:bottom w:val="none" w:sz="0" w:space="0" w:color="auto"/>
        <w:right w:val="none" w:sz="0" w:space="0" w:color="auto"/>
      </w:divBdr>
    </w:div>
    <w:div w:id="20162973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ld201012/ldselect/ldspeak/136/13605.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nsoc.org.uk/the-constitution-explained/the-executiv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ollb.com/blog/english-common-law/separation-of-powers-in-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con241</b:Tag>
    <b:SourceType>InternetSite</b:SourceType>
    <b:Guid>{FC817C63-F72C-468C-8A55-E8C4A0846C0B}</b:Guid>
    <b:Author>
      <b:Author>
        <b:Corporate>consoc</b:Corporate>
      </b:Author>
    </b:Author>
    <b:Title>The executive</b:Title>
    <b:Year>2024</b:Year>
    <b:YearAccessed>2024</b:YearAccessed>
    <b:MonthAccessed>February</b:MonthAccessed>
    <b:DayAccessed>15</b:DayAccessed>
    <b:URL>https://consoc.org.uk/the-constitution-explained/the-executive/#executive</b:URL>
    <b:RefOrder>1</b:RefOrder>
  </b:Source>
  <b:Source>
    <b:Tag>uol23</b:Tag>
    <b:SourceType>InternetSite</b:SourceType>
    <b:Guid>{1DC33B34-493C-4EC1-998B-1CDA095C47FF}</b:Guid>
    <b:Author>
      <b:Author>
        <b:Corporate>uollb</b:Corporate>
      </b:Author>
    </b:Author>
    <b:Title>Separation of Powers in United Kingdom</b:Title>
    <b:Year>2023</b:Year>
    <b:YearAccessed>2024</b:YearAccessed>
    <b:MonthAccessed>February</b:MonthAccessed>
    <b:DayAccessed>15</b:DayAccessed>
    <b:URL>https://uollb.com/blog/english-common-law/separation-of-powers-in-united-kingdom</b:URL>
    <b:RefOrder>2</b:RefOrder>
  </b:Source>
  <b:Source>
    <b:Tag>par24</b:Tag>
    <b:SourceType>InternetSite</b:SourceType>
    <b:Guid>{5C7575EC-80EA-4AEC-BF2F-81EA37D8D2EF}</b:Guid>
    <b:Author>
      <b:Author>
        <b:Corporate>parliament</b:Corporate>
      </b:Author>
    </b:Author>
    <b:Title>Chapter 2: Holding the Executive to Account</b:Title>
    <b:Year>2024</b:Year>
    <b:YearAccessed>2024</b:YearAccessed>
    <b:MonthAccessed>February</b:MonthAccessed>
    <b:DayAccessed>15</b:DayAccessed>
    <b:URL>https://publications.parliament.uk/pa/ld201012/ldselect/ldspeak/136/13605.htm</b:URL>
    <b:RefOrder>3</b:RefOrder>
  </b:Source>
</b:Sources>
</file>

<file path=customXml/itemProps1.xml><?xml version="1.0" encoding="utf-8"?>
<ds:datastoreItem xmlns:ds="http://schemas.openxmlformats.org/officeDocument/2006/customXml" ds:itemID="{09B771A1-7C15-44D0-8E81-90581F0B4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1864</Words>
  <Characters>10626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Moldovan</cp:lastModifiedBy>
  <cp:revision>42</cp:revision>
  <dcterms:created xsi:type="dcterms:W3CDTF">2024-02-21T08:59:00Z</dcterms:created>
  <dcterms:modified xsi:type="dcterms:W3CDTF">2024-07-17T13:32:00Z</dcterms:modified>
</cp:coreProperties>
</file>