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45788173"/>
        <w:docPartObj>
          <w:docPartGallery w:val="AutoText"/>
        </w:docPartObj>
      </w:sdtPr>
      <w:sdtContent>
        <w:p w14:paraId="2114CEF4" w14:textId="77777777" w:rsidR="00460E73" w:rsidRDefault="00000000">
          <w:r>
            <w:rPr>
              <w:noProof/>
            </w:rPr>
            <mc:AlternateContent>
              <mc:Choice Requires="wps">
                <w:drawing>
                  <wp:anchor distT="0" distB="0" distL="114300" distR="114300" simplePos="0" relativeHeight="251659264" behindDoc="1" locked="0" layoutInCell="1" allowOverlap="0" wp14:anchorId="5077730B" wp14:editId="11854D82">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60E73" w14:paraId="18A10CC1" w14:textId="77777777">
                                  <w:trPr>
                                    <w:trHeight w:hRule="exact" w:val="9360"/>
                                  </w:trPr>
                                  <w:tc>
                                    <w:tcPr>
                                      <w:tcW w:w="5000" w:type="pct"/>
                                    </w:tcPr>
                                    <w:p w14:paraId="65661784" w14:textId="77777777" w:rsidR="00460E73" w:rsidRDefault="00000000">
                                      <w:r>
                                        <w:rPr>
                                          <w:noProof/>
                                        </w:rPr>
                                        <w:drawing>
                                          <wp:inline distT="0" distB="0" distL="0" distR="0" wp14:anchorId="62D2AB0F" wp14:editId="54543A4E">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9">
                                                      <a:extLst>
                                                        <a:ext uri="{28A0092B-C50C-407E-A947-70E740481C1C}">
                                                          <a14:useLocalDpi xmlns:a14="http://schemas.microsoft.com/office/drawing/2010/main" val="0"/>
                                                        </a:ext>
                                                      </a:extLst>
                                                    </a:blip>
                                                    <a:srcRect l="14648" r="14648"/>
                                                    <a:stretch>
                                                      <a:fillRect/>
                                                    </a:stretch>
                                                  </pic:blipFill>
                                                  <pic:spPr>
                                                    <a:xfrm>
                                                      <a:off x="0" y="0"/>
                                                      <a:ext cx="6858000" cy="5980176"/>
                                                    </a:xfrm>
                                                    <a:prstGeom prst="rect">
                                                      <a:avLst/>
                                                    </a:prstGeom>
                                                    <a:ln>
                                                      <a:noFill/>
                                                    </a:ln>
                                                  </pic:spPr>
                                                </pic:pic>
                                              </a:graphicData>
                                            </a:graphic>
                                          </wp:inline>
                                        </w:drawing>
                                      </w:r>
                                    </w:p>
                                  </w:tc>
                                </w:tr>
                                <w:tr w:rsidR="00460E73" w14:paraId="34A07EE8" w14:textId="77777777">
                                  <w:trPr>
                                    <w:trHeight w:hRule="exact" w:val="4320"/>
                                  </w:trPr>
                                  <w:tc>
                                    <w:tcPr>
                                      <w:tcW w:w="5000" w:type="pct"/>
                                      <w:shd w:val="clear" w:color="auto" w:fill="156082" w:themeFill="accent1"/>
                                      <w:vAlign w:val="center"/>
                                    </w:tcPr>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4536"/>
                                      </w:tblGrid>
                                      <w:tr w:rsidR="001C6FEE" w14:paraId="0413CE5B" w14:textId="77777777">
                                        <w:trPr>
                                          <w:gridAfter w:val="1"/>
                                          <w:wAfter w:w="4536" w:type="dxa"/>
                                        </w:trPr>
                                        <w:tc>
                                          <w:tcPr>
                                            <w:tcW w:w="2093" w:type="dxa"/>
                                            <w:tcBorders>
                                              <w:top w:val="single" w:sz="4" w:space="0" w:color="auto"/>
                                              <w:left w:val="single" w:sz="4" w:space="0" w:color="auto"/>
                                              <w:bottom w:val="single" w:sz="4" w:space="0" w:color="auto"/>
                                              <w:right w:val="single" w:sz="4" w:space="0" w:color="auto"/>
                                            </w:tcBorders>
                                          </w:tcPr>
                                          <w:p w14:paraId="4DD0DC4D" w14:textId="5A8AD8CC" w:rsidR="001C6FEE" w:rsidRDefault="001C6FEE" w:rsidP="00C0556C">
                                            <w:pPr>
                                              <w:spacing w:before="120" w:after="120"/>
                                              <w:jc w:val="both"/>
                                              <w:rPr>
                                                <w:rFonts w:ascii="Arial" w:hAnsi="Arial" w:cs="Arial"/>
                                                <w:b/>
                                                <w:sz w:val="22"/>
                                                <w:szCs w:val="22"/>
                                              </w:rPr>
                                            </w:pPr>
                                            <w:r>
                                              <w:rPr>
                                                <w:rFonts w:ascii="Arial" w:hAnsi="Arial" w:cs="Arial"/>
                                                <w:b/>
                                                <w:sz w:val="22"/>
                                                <w:szCs w:val="22"/>
                                              </w:rPr>
                                              <w:t>Student NO</w:t>
                                            </w:r>
                                          </w:p>
                                        </w:tc>
                                        <w:tc>
                                          <w:tcPr>
                                            <w:tcW w:w="3293" w:type="dxa"/>
                                            <w:tcBorders>
                                              <w:top w:val="single" w:sz="4" w:space="0" w:color="auto"/>
                                              <w:left w:val="single" w:sz="4" w:space="0" w:color="auto"/>
                                              <w:bottom w:val="single" w:sz="4" w:space="0" w:color="auto"/>
                                              <w:right w:val="single" w:sz="4" w:space="0" w:color="auto"/>
                                            </w:tcBorders>
                                          </w:tcPr>
                                          <w:p w14:paraId="60A06371" w14:textId="5F40C4DC" w:rsidR="001C6FEE" w:rsidRDefault="001C6FEE" w:rsidP="00C0556C">
                                            <w:pPr>
                                              <w:spacing w:before="120" w:after="120"/>
                                              <w:jc w:val="both"/>
                                              <w:rPr>
                                                <w:rFonts w:ascii="Arial" w:hAnsi="Arial" w:cs="Arial"/>
                                                <w:b/>
                                                <w:sz w:val="22"/>
                                                <w:szCs w:val="22"/>
                                              </w:rPr>
                                            </w:pPr>
                                            <w:r>
                                              <w:rPr>
                                                <w:rFonts w:ascii="Arial" w:hAnsi="Arial" w:cs="Arial"/>
                                                <w:b/>
                                                <w:sz w:val="22"/>
                                                <w:szCs w:val="22"/>
                                              </w:rPr>
                                              <w:t>2440118</w:t>
                                            </w:r>
                                          </w:p>
                                        </w:tc>
                                      </w:tr>
                                      <w:tr w:rsidR="00C0556C" w14:paraId="78AC376F" w14:textId="77777777">
                                        <w:trPr>
                                          <w:gridAfter w:val="1"/>
                                          <w:wAfter w:w="4536" w:type="dxa"/>
                                        </w:trPr>
                                        <w:tc>
                                          <w:tcPr>
                                            <w:tcW w:w="2093" w:type="dxa"/>
                                            <w:tcBorders>
                                              <w:top w:val="single" w:sz="4" w:space="0" w:color="auto"/>
                                              <w:left w:val="single" w:sz="4" w:space="0" w:color="auto"/>
                                              <w:bottom w:val="single" w:sz="4" w:space="0" w:color="auto"/>
                                              <w:right w:val="single" w:sz="4" w:space="0" w:color="auto"/>
                                            </w:tcBorders>
                                            <w:hideMark/>
                                          </w:tcPr>
                                          <w:p w14:paraId="1304D5A6" w14:textId="77777777" w:rsidR="00C0556C" w:rsidRDefault="00C0556C" w:rsidP="00C0556C">
                                            <w:pPr>
                                              <w:spacing w:before="120" w:after="120"/>
                                              <w:jc w:val="both"/>
                                              <w:rPr>
                                                <w:rFonts w:ascii="Arial" w:eastAsia="Times New Roman" w:hAnsi="Arial" w:cs="Arial"/>
                                                <w:b/>
                                                <w:kern w:val="0"/>
                                                <w:sz w:val="22"/>
                                                <w:szCs w:val="22"/>
                                                <w:lang w:eastAsia="en-GB"/>
                                                <w14:ligatures w14:val="none"/>
                                              </w:rPr>
                                            </w:pPr>
                                            <w:r>
                                              <w:rPr>
                                                <w:rFonts w:ascii="Arial" w:hAnsi="Arial" w:cs="Arial"/>
                                                <w:b/>
                                                <w:sz w:val="22"/>
                                                <w:szCs w:val="22"/>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3B85020B" w14:textId="2E290C02" w:rsidR="00C0556C" w:rsidRDefault="00C0556C" w:rsidP="00C0556C">
                                            <w:pPr>
                                              <w:spacing w:before="120" w:after="120"/>
                                              <w:jc w:val="both"/>
                                              <w:rPr>
                                                <w:rFonts w:ascii="Arial" w:hAnsi="Arial" w:cs="Arial"/>
                                                <w:b/>
                                                <w:sz w:val="22"/>
                                                <w:szCs w:val="22"/>
                                              </w:rPr>
                                            </w:pP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t>Mohamad A Idris</w:t>
                                            </w:r>
                                            <w:r>
                                              <w:rPr>
                                                <w:rFonts w:ascii="Arial" w:hAnsi="Arial" w:cs="Arial"/>
                                                <w:b/>
                                                <w:sz w:val="22"/>
                                                <w:szCs w:val="22"/>
                                              </w:rPr>
                                              <w:t> </w:t>
                                            </w:r>
                                            <w:r>
                                              <w:rPr>
                                                <w:rFonts w:ascii="Arial" w:hAnsi="Arial" w:cs="Arial"/>
                                                <w:b/>
                                                <w:sz w:val="22"/>
                                                <w:szCs w:val="22"/>
                                              </w:rPr>
                                              <w:t> </w:t>
                                            </w:r>
                                          </w:p>
                                        </w:tc>
                                      </w:tr>
                                      <w:tr w:rsidR="00C0556C" w14:paraId="0897460A" w14:textId="77777777">
                                        <w:tc>
                                          <w:tcPr>
                                            <w:tcW w:w="2093" w:type="dxa"/>
                                            <w:tcBorders>
                                              <w:top w:val="single" w:sz="4" w:space="0" w:color="auto"/>
                                              <w:left w:val="single" w:sz="4" w:space="0" w:color="auto"/>
                                              <w:bottom w:val="single" w:sz="4" w:space="0" w:color="auto"/>
                                              <w:right w:val="single" w:sz="4" w:space="0" w:color="auto"/>
                                            </w:tcBorders>
                                            <w:hideMark/>
                                          </w:tcPr>
                                          <w:p w14:paraId="01D79C8E" w14:textId="77777777" w:rsidR="00C0556C" w:rsidRDefault="00C0556C" w:rsidP="00C0556C">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2"/>
                                            <w:tcBorders>
                                              <w:top w:val="single" w:sz="4" w:space="0" w:color="auto"/>
                                              <w:left w:val="single" w:sz="4" w:space="0" w:color="auto"/>
                                              <w:bottom w:val="single" w:sz="4" w:space="0" w:color="auto"/>
                                              <w:right w:val="single" w:sz="4" w:space="0" w:color="auto"/>
                                            </w:tcBorders>
                                            <w:hideMark/>
                                          </w:tcPr>
                                          <w:p w14:paraId="479DB78C" w14:textId="77777777" w:rsidR="00C0556C" w:rsidRDefault="00C0556C" w:rsidP="00C0556C">
                                            <w:pPr>
                                              <w:spacing w:before="120" w:after="120"/>
                                              <w:jc w:val="both"/>
                                              <w:rPr>
                                                <w:rFonts w:ascii="Arial" w:hAnsi="Arial" w:cs="Arial"/>
                                                <w:b/>
                                                <w:sz w:val="22"/>
                                                <w:szCs w:val="22"/>
                                              </w:rPr>
                                            </w:pPr>
                                            <w:r>
                                              <w:rPr>
                                                <w:rFonts w:ascii="Arial" w:hAnsi="Arial" w:cs="Arial"/>
                                                <w:b/>
                                                <w:bCs/>
                                                <w:sz w:val="22"/>
                                                <w:szCs w:val="22"/>
                                              </w:rPr>
                                              <w:t xml:space="preserve">CertHE Computing Skills for Workplace </w:t>
                                            </w:r>
                                          </w:p>
                                        </w:tc>
                                      </w:tr>
                                      <w:tr w:rsidR="00C0556C" w14:paraId="60EB345F" w14:textId="77777777">
                                        <w:tc>
                                          <w:tcPr>
                                            <w:tcW w:w="2093" w:type="dxa"/>
                                            <w:tcBorders>
                                              <w:top w:val="single" w:sz="4" w:space="0" w:color="auto"/>
                                              <w:left w:val="single" w:sz="4" w:space="0" w:color="auto"/>
                                              <w:bottom w:val="single" w:sz="4" w:space="0" w:color="auto"/>
                                              <w:right w:val="single" w:sz="4" w:space="0" w:color="auto"/>
                                            </w:tcBorders>
                                            <w:hideMark/>
                                          </w:tcPr>
                                          <w:p w14:paraId="2E669F63" w14:textId="77777777" w:rsidR="00C0556C" w:rsidRDefault="00C0556C" w:rsidP="00C0556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2"/>
                                            <w:tcBorders>
                                              <w:top w:val="single" w:sz="4" w:space="0" w:color="auto"/>
                                              <w:left w:val="single" w:sz="4" w:space="0" w:color="auto"/>
                                              <w:bottom w:val="single" w:sz="4" w:space="0" w:color="auto"/>
                                              <w:right w:val="single" w:sz="4" w:space="0" w:color="auto"/>
                                            </w:tcBorders>
                                            <w:hideMark/>
                                          </w:tcPr>
                                          <w:p w14:paraId="31FD63D2" w14:textId="77777777" w:rsidR="00C0556C" w:rsidRDefault="00C0556C" w:rsidP="00C0556C">
                                            <w:pPr>
                                              <w:spacing w:before="120" w:after="120"/>
                                              <w:jc w:val="both"/>
                                              <w:rPr>
                                                <w:rFonts w:ascii="Arial" w:hAnsi="Arial" w:cs="Arial"/>
                                                <w:b/>
                                                <w:sz w:val="22"/>
                                                <w:szCs w:val="22"/>
                                              </w:rPr>
                                            </w:pPr>
                                            <w:r>
                                              <w:rPr>
                                                <w:rFonts w:ascii="Arial" w:hAnsi="Arial" w:cs="Arial"/>
                                                <w:b/>
                                                <w:bCs/>
                                                <w:sz w:val="22"/>
                                                <w:szCs w:val="22"/>
                                              </w:rPr>
                                              <w:t>Networks and Cyber Security Essentials</w:t>
                                            </w:r>
                                            <w:r>
                                              <w:rPr>
                                                <w:rFonts w:ascii="Arial" w:hAnsi="Arial" w:cs="Arial"/>
                                                <w:b/>
                                                <w:sz w:val="22"/>
                                                <w:szCs w:val="22"/>
                                              </w:rPr>
                                              <w:t> </w:t>
                                            </w:r>
                                          </w:p>
                                        </w:tc>
                                      </w:tr>
                                      <w:tr w:rsidR="00C0556C" w14:paraId="0B6E406E" w14:textId="77777777" w:rsidTr="001C6FEE">
                                        <w:tc>
                                          <w:tcPr>
                                            <w:tcW w:w="2093" w:type="dxa"/>
                                            <w:tcBorders>
                                              <w:top w:val="single" w:sz="4" w:space="0" w:color="auto"/>
                                              <w:left w:val="single" w:sz="4" w:space="0" w:color="auto"/>
                                              <w:bottom w:val="single" w:sz="4" w:space="0" w:color="auto"/>
                                              <w:right w:val="single" w:sz="4" w:space="0" w:color="auto"/>
                                            </w:tcBorders>
                                            <w:hideMark/>
                                          </w:tcPr>
                                          <w:p w14:paraId="3A450C7C" w14:textId="77777777" w:rsidR="00C0556C" w:rsidRDefault="00C0556C" w:rsidP="00C0556C">
                                            <w:pPr>
                                              <w:spacing w:before="120" w:after="120"/>
                                              <w:jc w:val="both"/>
                                              <w:rPr>
                                                <w:rFonts w:ascii="Arial" w:hAnsi="Arial" w:cs="Arial"/>
                                                <w:b/>
                                                <w:sz w:val="22"/>
                                                <w:szCs w:val="22"/>
                                              </w:rPr>
                                            </w:pPr>
                                            <w:r>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hideMark/>
                                          </w:tcPr>
                                          <w:p w14:paraId="05FCC113" w14:textId="77777777" w:rsidR="00C0556C" w:rsidRDefault="00C0556C" w:rsidP="00C0556C">
                                            <w:pPr>
                                              <w:spacing w:before="120" w:after="120"/>
                                              <w:jc w:val="both"/>
                                              <w:rPr>
                                                <w:rFonts w:ascii="Arial" w:hAnsi="Arial" w:cs="Arial"/>
                                                <w:b/>
                                                <w:sz w:val="22"/>
                                                <w:szCs w:val="22"/>
                                              </w:rPr>
                                            </w:pPr>
                                            <w:r>
                                              <w:rPr>
                                                <w:rFonts w:ascii="Arial" w:hAnsi="Arial" w:cs="Arial"/>
                                                <w:b/>
                                                <w:sz w:val="22"/>
                                                <w:szCs w:val="22"/>
                                              </w:rPr>
                                              <w:t>ACCA4024</w:t>
                                            </w:r>
                                          </w:p>
                                        </w:tc>
                                        <w:tc>
                                          <w:tcPr>
                                            <w:tcW w:w="4536" w:type="dxa"/>
                                            <w:vAlign w:val="center"/>
                                            <w:hideMark/>
                                          </w:tcPr>
                                          <w:p w14:paraId="4C87A914" w14:textId="77777777" w:rsidR="00C0556C" w:rsidRDefault="00C0556C" w:rsidP="00C0556C">
                                            <w:pPr>
                                              <w:rPr>
                                                <w:sz w:val="20"/>
                                                <w:szCs w:val="20"/>
                                              </w:rPr>
                                            </w:pPr>
                                          </w:p>
                                        </w:tc>
                                      </w:tr>
                                      <w:tr w:rsidR="00C0556C" w14:paraId="76ABF440" w14:textId="77777777" w:rsidTr="001C6FEE">
                                        <w:tc>
                                          <w:tcPr>
                                            <w:tcW w:w="2093" w:type="dxa"/>
                                            <w:tcBorders>
                                              <w:top w:val="single" w:sz="4" w:space="0" w:color="auto"/>
                                              <w:left w:val="single" w:sz="4" w:space="0" w:color="auto"/>
                                              <w:bottom w:val="single" w:sz="4" w:space="0" w:color="auto"/>
                                              <w:right w:val="single" w:sz="4" w:space="0" w:color="auto"/>
                                            </w:tcBorders>
                                            <w:hideMark/>
                                          </w:tcPr>
                                          <w:p w14:paraId="1FAA7F79" w14:textId="77777777" w:rsidR="00C0556C" w:rsidRDefault="00C0556C" w:rsidP="00C0556C">
                                            <w:pPr>
                                              <w:spacing w:before="120" w:after="120"/>
                                              <w:jc w:val="both"/>
                                              <w:rPr>
                                                <w:rFonts w:ascii="Arial" w:hAnsi="Arial" w:cs="Arial"/>
                                                <w:b/>
                                                <w:sz w:val="22"/>
                                                <w:szCs w:val="22"/>
                                              </w:rPr>
                                            </w:pPr>
                                            <w:r>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hideMark/>
                                          </w:tcPr>
                                          <w:p w14:paraId="6AE911AE" w14:textId="77777777" w:rsidR="00C0556C" w:rsidRDefault="00C0556C" w:rsidP="00C0556C">
                                            <w:pPr>
                                              <w:spacing w:before="120" w:after="120"/>
                                              <w:jc w:val="both"/>
                                              <w:rPr>
                                                <w:rFonts w:ascii="Arial" w:hAnsi="Arial" w:cs="Arial"/>
                                                <w:b/>
                                                <w:bCs/>
                                                <w:sz w:val="20"/>
                                                <w:szCs w:val="20"/>
                                              </w:rPr>
                                            </w:pPr>
                                            <w:r>
                                              <w:rPr>
                                                <w:rFonts w:ascii="Arial" w:hAnsi="Arial" w:cs="Arial"/>
                                                <w:b/>
                                                <w:bCs/>
                                                <w:sz w:val="20"/>
                                                <w:szCs w:val="20"/>
                                              </w:rPr>
                                              <w:t>Muhammad Azeem Abbas</w:t>
                                            </w:r>
                                          </w:p>
                                        </w:tc>
                                        <w:tc>
                                          <w:tcPr>
                                            <w:tcW w:w="4536" w:type="dxa"/>
                                            <w:vAlign w:val="center"/>
                                            <w:hideMark/>
                                          </w:tcPr>
                                          <w:p w14:paraId="0A58406B" w14:textId="77777777" w:rsidR="00C0556C" w:rsidRDefault="00C0556C" w:rsidP="00C0556C">
                                            <w:pPr>
                                              <w:rPr>
                                                <w:sz w:val="20"/>
                                                <w:szCs w:val="20"/>
                                              </w:rPr>
                                            </w:pPr>
                                          </w:p>
                                        </w:tc>
                                      </w:tr>
                                    </w:tbl>
                                    <w:p w14:paraId="59E801F8" w14:textId="07FB01C9" w:rsidR="00460E73" w:rsidRPr="00C0556C" w:rsidRDefault="00460E73" w:rsidP="00C0556C">
                                      <w:pPr>
                                        <w:pStyle w:val="NoSpacing"/>
                                        <w:spacing w:before="200" w:line="216" w:lineRule="auto"/>
                                        <w:ind w:right="720"/>
                                        <w:rPr>
                                          <w:rFonts w:asciiTheme="majorHAnsi" w:hAnsiTheme="majorHAnsi"/>
                                          <w:color w:val="FFFFFF" w:themeColor="background1"/>
                                          <w:sz w:val="96"/>
                                          <w:szCs w:val="96"/>
                                        </w:rPr>
                                      </w:pPr>
                                    </w:p>
                                  </w:tc>
                                </w:tr>
                                <w:tr w:rsidR="00460E73" w14:paraId="3ED5ED85"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60E73" w14:paraId="76F41E6A" w14:textId="77777777">
                                        <w:trPr>
                                          <w:trHeight w:hRule="exact" w:val="720"/>
                                        </w:trPr>
                                        <w:tc>
                                          <w:tcPr>
                                            <w:tcW w:w="3590" w:type="dxa"/>
                                            <w:vAlign w:val="center"/>
                                          </w:tcPr>
                                          <w:p w14:paraId="0C314EC5" w14:textId="11228201" w:rsidR="00460E73" w:rsidRDefault="00460E73" w:rsidP="00296045">
                                            <w:pPr>
                                              <w:pStyle w:val="NoSpacing"/>
                                              <w:ind w:right="144"/>
                                              <w:rPr>
                                                <w:color w:val="FFFFFF" w:themeColor="background1"/>
                                              </w:rPr>
                                            </w:pPr>
                                          </w:p>
                                        </w:tc>
                                        <w:tc>
                                          <w:tcPr>
                                            <w:tcW w:w="3591" w:type="dxa"/>
                                            <w:vAlign w:val="center"/>
                                          </w:tcPr>
                                          <w:sdt>
                                            <w:sdtPr>
                                              <w:rPr>
                                                <w:color w:val="FFFFFF" w:themeColor="background1"/>
                                              </w:rPr>
                                              <w:alias w:val="Date"/>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5AA78FCA" w14:textId="1991FCB8" w:rsidR="00460E73" w:rsidRDefault="00296045">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944295F" w14:textId="5715D13C" w:rsidR="00460E73" w:rsidRDefault="00296045">
                                                <w:pPr>
                                                  <w:pStyle w:val="NoSpacing"/>
                                                  <w:ind w:left="144" w:right="720"/>
                                                  <w:jc w:val="right"/>
                                                  <w:rPr>
                                                    <w:color w:val="FFFFFF" w:themeColor="background1"/>
                                                  </w:rPr>
                                                </w:pPr>
                                                <w:r>
                                                  <w:rPr>
                                                    <w:color w:val="FFFFFF" w:themeColor="background1"/>
                                                  </w:rPr>
                                                  <w:t xml:space="preserve">     </w:t>
                                                </w:r>
                                              </w:p>
                                            </w:tc>
                                          </w:sdtContent>
                                        </w:sdt>
                                      </w:tr>
                                    </w:tbl>
                                    <w:p w14:paraId="0E3FC0D9" w14:textId="77777777" w:rsidR="00460E73" w:rsidRDefault="00460E73"/>
                                  </w:tc>
                                </w:tr>
                              </w:tbl>
                              <w:p w14:paraId="3005D2FF" w14:textId="77777777" w:rsidR="00460E73" w:rsidRDefault="00460E73"/>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5077730B"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rap-distance-left:9pt;mso-wrap-distance-top:0;mso-wrap-distance-right:9pt;mso-wrap-distance-bottom:0;mso-position-horizontal:center;mso-position-horizontal-relative:page;mso-position-vertical:center;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60E73" w14:paraId="18A10CC1" w14:textId="77777777">
                            <w:trPr>
                              <w:trHeight w:hRule="exact" w:val="9360"/>
                            </w:trPr>
                            <w:tc>
                              <w:tcPr>
                                <w:tcW w:w="5000" w:type="pct"/>
                              </w:tcPr>
                              <w:p w14:paraId="65661784" w14:textId="77777777" w:rsidR="00460E73" w:rsidRDefault="00000000">
                                <w:r>
                                  <w:rPr>
                                    <w:noProof/>
                                  </w:rPr>
                                  <w:drawing>
                                    <wp:inline distT="0" distB="0" distL="0" distR="0" wp14:anchorId="62D2AB0F" wp14:editId="54543A4E">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9">
                                                <a:extLst>
                                                  <a:ext uri="{28A0092B-C50C-407E-A947-70E740481C1C}">
                                                    <a14:useLocalDpi xmlns:a14="http://schemas.microsoft.com/office/drawing/2010/main" val="0"/>
                                                  </a:ext>
                                                </a:extLst>
                                              </a:blip>
                                              <a:srcRect l="14648" r="14648"/>
                                              <a:stretch>
                                                <a:fillRect/>
                                              </a:stretch>
                                            </pic:blipFill>
                                            <pic:spPr>
                                              <a:xfrm>
                                                <a:off x="0" y="0"/>
                                                <a:ext cx="6858000" cy="5980176"/>
                                              </a:xfrm>
                                              <a:prstGeom prst="rect">
                                                <a:avLst/>
                                              </a:prstGeom>
                                              <a:ln>
                                                <a:noFill/>
                                              </a:ln>
                                            </pic:spPr>
                                          </pic:pic>
                                        </a:graphicData>
                                      </a:graphic>
                                    </wp:inline>
                                  </w:drawing>
                                </w:r>
                              </w:p>
                            </w:tc>
                          </w:tr>
                          <w:tr w:rsidR="00460E73" w14:paraId="34A07EE8" w14:textId="77777777">
                            <w:trPr>
                              <w:trHeight w:hRule="exact" w:val="4320"/>
                            </w:trPr>
                            <w:tc>
                              <w:tcPr>
                                <w:tcW w:w="5000" w:type="pct"/>
                                <w:shd w:val="clear" w:color="auto" w:fill="156082" w:themeFill="accent1"/>
                                <w:vAlign w:val="center"/>
                              </w:tcPr>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4536"/>
                                </w:tblGrid>
                                <w:tr w:rsidR="001C6FEE" w14:paraId="0413CE5B" w14:textId="77777777">
                                  <w:trPr>
                                    <w:gridAfter w:val="1"/>
                                    <w:wAfter w:w="4536" w:type="dxa"/>
                                  </w:trPr>
                                  <w:tc>
                                    <w:tcPr>
                                      <w:tcW w:w="2093" w:type="dxa"/>
                                      <w:tcBorders>
                                        <w:top w:val="single" w:sz="4" w:space="0" w:color="auto"/>
                                        <w:left w:val="single" w:sz="4" w:space="0" w:color="auto"/>
                                        <w:bottom w:val="single" w:sz="4" w:space="0" w:color="auto"/>
                                        <w:right w:val="single" w:sz="4" w:space="0" w:color="auto"/>
                                      </w:tcBorders>
                                    </w:tcPr>
                                    <w:p w14:paraId="4DD0DC4D" w14:textId="5A8AD8CC" w:rsidR="001C6FEE" w:rsidRDefault="001C6FEE" w:rsidP="00C0556C">
                                      <w:pPr>
                                        <w:spacing w:before="120" w:after="120"/>
                                        <w:jc w:val="both"/>
                                        <w:rPr>
                                          <w:rFonts w:ascii="Arial" w:hAnsi="Arial" w:cs="Arial"/>
                                          <w:b/>
                                          <w:sz w:val="22"/>
                                          <w:szCs w:val="22"/>
                                        </w:rPr>
                                      </w:pPr>
                                      <w:r>
                                        <w:rPr>
                                          <w:rFonts w:ascii="Arial" w:hAnsi="Arial" w:cs="Arial"/>
                                          <w:b/>
                                          <w:sz w:val="22"/>
                                          <w:szCs w:val="22"/>
                                        </w:rPr>
                                        <w:t>Student NO</w:t>
                                      </w:r>
                                    </w:p>
                                  </w:tc>
                                  <w:tc>
                                    <w:tcPr>
                                      <w:tcW w:w="3293" w:type="dxa"/>
                                      <w:tcBorders>
                                        <w:top w:val="single" w:sz="4" w:space="0" w:color="auto"/>
                                        <w:left w:val="single" w:sz="4" w:space="0" w:color="auto"/>
                                        <w:bottom w:val="single" w:sz="4" w:space="0" w:color="auto"/>
                                        <w:right w:val="single" w:sz="4" w:space="0" w:color="auto"/>
                                      </w:tcBorders>
                                    </w:tcPr>
                                    <w:p w14:paraId="60A06371" w14:textId="5F40C4DC" w:rsidR="001C6FEE" w:rsidRDefault="001C6FEE" w:rsidP="00C0556C">
                                      <w:pPr>
                                        <w:spacing w:before="120" w:after="120"/>
                                        <w:jc w:val="both"/>
                                        <w:rPr>
                                          <w:rFonts w:ascii="Arial" w:hAnsi="Arial" w:cs="Arial"/>
                                          <w:b/>
                                          <w:sz w:val="22"/>
                                          <w:szCs w:val="22"/>
                                        </w:rPr>
                                      </w:pPr>
                                      <w:r>
                                        <w:rPr>
                                          <w:rFonts w:ascii="Arial" w:hAnsi="Arial" w:cs="Arial"/>
                                          <w:b/>
                                          <w:sz w:val="22"/>
                                          <w:szCs w:val="22"/>
                                        </w:rPr>
                                        <w:t>2440118</w:t>
                                      </w:r>
                                    </w:p>
                                  </w:tc>
                                </w:tr>
                                <w:tr w:rsidR="00C0556C" w14:paraId="78AC376F" w14:textId="77777777">
                                  <w:trPr>
                                    <w:gridAfter w:val="1"/>
                                    <w:wAfter w:w="4536" w:type="dxa"/>
                                  </w:trPr>
                                  <w:tc>
                                    <w:tcPr>
                                      <w:tcW w:w="2093" w:type="dxa"/>
                                      <w:tcBorders>
                                        <w:top w:val="single" w:sz="4" w:space="0" w:color="auto"/>
                                        <w:left w:val="single" w:sz="4" w:space="0" w:color="auto"/>
                                        <w:bottom w:val="single" w:sz="4" w:space="0" w:color="auto"/>
                                        <w:right w:val="single" w:sz="4" w:space="0" w:color="auto"/>
                                      </w:tcBorders>
                                      <w:hideMark/>
                                    </w:tcPr>
                                    <w:p w14:paraId="1304D5A6" w14:textId="77777777" w:rsidR="00C0556C" w:rsidRDefault="00C0556C" w:rsidP="00C0556C">
                                      <w:pPr>
                                        <w:spacing w:before="120" w:after="120"/>
                                        <w:jc w:val="both"/>
                                        <w:rPr>
                                          <w:rFonts w:ascii="Arial" w:eastAsia="Times New Roman" w:hAnsi="Arial" w:cs="Arial"/>
                                          <w:b/>
                                          <w:kern w:val="0"/>
                                          <w:sz w:val="22"/>
                                          <w:szCs w:val="22"/>
                                          <w:lang w:eastAsia="en-GB"/>
                                          <w14:ligatures w14:val="none"/>
                                        </w:rPr>
                                      </w:pPr>
                                      <w:r>
                                        <w:rPr>
                                          <w:rFonts w:ascii="Arial" w:hAnsi="Arial" w:cs="Arial"/>
                                          <w:b/>
                                          <w:sz w:val="22"/>
                                          <w:szCs w:val="22"/>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3B85020B" w14:textId="2E290C02" w:rsidR="00C0556C" w:rsidRDefault="00C0556C" w:rsidP="00C0556C">
                                      <w:pPr>
                                        <w:spacing w:before="120" w:after="120"/>
                                        <w:jc w:val="both"/>
                                        <w:rPr>
                                          <w:rFonts w:ascii="Arial" w:hAnsi="Arial" w:cs="Arial"/>
                                          <w:b/>
                                          <w:sz w:val="22"/>
                                          <w:szCs w:val="22"/>
                                        </w:rPr>
                                      </w:pP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t>Mohamad A Idris</w:t>
                                      </w:r>
                                      <w:r>
                                        <w:rPr>
                                          <w:rFonts w:ascii="Arial" w:hAnsi="Arial" w:cs="Arial"/>
                                          <w:b/>
                                          <w:sz w:val="22"/>
                                          <w:szCs w:val="22"/>
                                        </w:rPr>
                                        <w:t> </w:t>
                                      </w:r>
                                      <w:r>
                                        <w:rPr>
                                          <w:rFonts w:ascii="Arial" w:hAnsi="Arial" w:cs="Arial"/>
                                          <w:b/>
                                          <w:sz w:val="22"/>
                                          <w:szCs w:val="22"/>
                                        </w:rPr>
                                        <w:t> </w:t>
                                      </w:r>
                                    </w:p>
                                  </w:tc>
                                </w:tr>
                                <w:tr w:rsidR="00C0556C" w14:paraId="0897460A" w14:textId="77777777">
                                  <w:tc>
                                    <w:tcPr>
                                      <w:tcW w:w="2093" w:type="dxa"/>
                                      <w:tcBorders>
                                        <w:top w:val="single" w:sz="4" w:space="0" w:color="auto"/>
                                        <w:left w:val="single" w:sz="4" w:space="0" w:color="auto"/>
                                        <w:bottom w:val="single" w:sz="4" w:space="0" w:color="auto"/>
                                        <w:right w:val="single" w:sz="4" w:space="0" w:color="auto"/>
                                      </w:tcBorders>
                                      <w:hideMark/>
                                    </w:tcPr>
                                    <w:p w14:paraId="01D79C8E" w14:textId="77777777" w:rsidR="00C0556C" w:rsidRDefault="00C0556C" w:rsidP="00C0556C">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2"/>
                                      <w:tcBorders>
                                        <w:top w:val="single" w:sz="4" w:space="0" w:color="auto"/>
                                        <w:left w:val="single" w:sz="4" w:space="0" w:color="auto"/>
                                        <w:bottom w:val="single" w:sz="4" w:space="0" w:color="auto"/>
                                        <w:right w:val="single" w:sz="4" w:space="0" w:color="auto"/>
                                      </w:tcBorders>
                                      <w:hideMark/>
                                    </w:tcPr>
                                    <w:p w14:paraId="479DB78C" w14:textId="77777777" w:rsidR="00C0556C" w:rsidRDefault="00C0556C" w:rsidP="00C0556C">
                                      <w:pPr>
                                        <w:spacing w:before="120" w:after="120"/>
                                        <w:jc w:val="both"/>
                                        <w:rPr>
                                          <w:rFonts w:ascii="Arial" w:hAnsi="Arial" w:cs="Arial"/>
                                          <w:b/>
                                          <w:sz w:val="22"/>
                                          <w:szCs w:val="22"/>
                                        </w:rPr>
                                      </w:pPr>
                                      <w:r>
                                        <w:rPr>
                                          <w:rFonts w:ascii="Arial" w:hAnsi="Arial" w:cs="Arial"/>
                                          <w:b/>
                                          <w:bCs/>
                                          <w:sz w:val="22"/>
                                          <w:szCs w:val="22"/>
                                        </w:rPr>
                                        <w:t xml:space="preserve">CertHE Computing Skills for Workplace </w:t>
                                      </w:r>
                                    </w:p>
                                  </w:tc>
                                </w:tr>
                                <w:tr w:rsidR="00C0556C" w14:paraId="60EB345F" w14:textId="77777777">
                                  <w:tc>
                                    <w:tcPr>
                                      <w:tcW w:w="2093" w:type="dxa"/>
                                      <w:tcBorders>
                                        <w:top w:val="single" w:sz="4" w:space="0" w:color="auto"/>
                                        <w:left w:val="single" w:sz="4" w:space="0" w:color="auto"/>
                                        <w:bottom w:val="single" w:sz="4" w:space="0" w:color="auto"/>
                                        <w:right w:val="single" w:sz="4" w:space="0" w:color="auto"/>
                                      </w:tcBorders>
                                      <w:hideMark/>
                                    </w:tcPr>
                                    <w:p w14:paraId="2E669F63" w14:textId="77777777" w:rsidR="00C0556C" w:rsidRDefault="00C0556C" w:rsidP="00C0556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2"/>
                                      <w:tcBorders>
                                        <w:top w:val="single" w:sz="4" w:space="0" w:color="auto"/>
                                        <w:left w:val="single" w:sz="4" w:space="0" w:color="auto"/>
                                        <w:bottom w:val="single" w:sz="4" w:space="0" w:color="auto"/>
                                        <w:right w:val="single" w:sz="4" w:space="0" w:color="auto"/>
                                      </w:tcBorders>
                                      <w:hideMark/>
                                    </w:tcPr>
                                    <w:p w14:paraId="31FD63D2" w14:textId="77777777" w:rsidR="00C0556C" w:rsidRDefault="00C0556C" w:rsidP="00C0556C">
                                      <w:pPr>
                                        <w:spacing w:before="120" w:after="120"/>
                                        <w:jc w:val="both"/>
                                        <w:rPr>
                                          <w:rFonts w:ascii="Arial" w:hAnsi="Arial" w:cs="Arial"/>
                                          <w:b/>
                                          <w:sz w:val="22"/>
                                          <w:szCs w:val="22"/>
                                        </w:rPr>
                                      </w:pPr>
                                      <w:r>
                                        <w:rPr>
                                          <w:rFonts w:ascii="Arial" w:hAnsi="Arial" w:cs="Arial"/>
                                          <w:b/>
                                          <w:bCs/>
                                          <w:sz w:val="22"/>
                                          <w:szCs w:val="22"/>
                                        </w:rPr>
                                        <w:t>Networks and Cyber Security Essentials</w:t>
                                      </w:r>
                                      <w:r>
                                        <w:rPr>
                                          <w:rFonts w:ascii="Arial" w:hAnsi="Arial" w:cs="Arial"/>
                                          <w:b/>
                                          <w:sz w:val="22"/>
                                          <w:szCs w:val="22"/>
                                        </w:rPr>
                                        <w:t> </w:t>
                                      </w:r>
                                    </w:p>
                                  </w:tc>
                                </w:tr>
                                <w:tr w:rsidR="00C0556C" w14:paraId="0B6E406E" w14:textId="77777777" w:rsidTr="001C6FEE">
                                  <w:tc>
                                    <w:tcPr>
                                      <w:tcW w:w="2093" w:type="dxa"/>
                                      <w:tcBorders>
                                        <w:top w:val="single" w:sz="4" w:space="0" w:color="auto"/>
                                        <w:left w:val="single" w:sz="4" w:space="0" w:color="auto"/>
                                        <w:bottom w:val="single" w:sz="4" w:space="0" w:color="auto"/>
                                        <w:right w:val="single" w:sz="4" w:space="0" w:color="auto"/>
                                      </w:tcBorders>
                                      <w:hideMark/>
                                    </w:tcPr>
                                    <w:p w14:paraId="3A450C7C" w14:textId="77777777" w:rsidR="00C0556C" w:rsidRDefault="00C0556C" w:rsidP="00C0556C">
                                      <w:pPr>
                                        <w:spacing w:before="120" w:after="120"/>
                                        <w:jc w:val="both"/>
                                        <w:rPr>
                                          <w:rFonts w:ascii="Arial" w:hAnsi="Arial" w:cs="Arial"/>
                                          <w:b/>
                                          <w:sz w:val="22"/>
                                          <w:szCs w:val="22"/>
                                        </w:rPr>
                                      </w:pPr>
                                      <w:r>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hideMark/>
                                    </w:tcPr>
                                    <w:p w14:paraId="05FCC113" w14:textId="77777777" w:rsidR="00C0556C" w:rsidRDefault="00C0556C" w:rsidP="00C0556C">
                                      <w:pPr>
                                        <w:spacing w:before="120" w:after="120"/>
                                        <w:jc w:val="both"/>
                                        <w:rPr>
                                          <w:rFonts w:ascii="Arial" w:hAnsi="Arial" w:cs="Arial"/>
                                          <w:b/>
                                          <w:sz w:val="22"/>
                                          <w:szCs w:val="22"/>
                                        </w:rPr>
                                      </w:pPr>
                                      <w:r>
                                        <w:rPr>
                                          <w:rFonts w:ascii="Arial" w:hAnsi="Arial" w:cs="Arial"/>
                                          <w:b/>
                                          <w:sz w:val="22"/>
                                          <w:szCs w:val="22"/>
                                        </w:rPr>
                                        <w:t>ACCA4024</w:t>
                                      </w:r>
                                    </w:p>
                                  </w:tc>
                                  <w:tc>
                                    <w:tcPr>
                                      <w:tcW w:w="4536" w:type="dxa"/>
                                      <w:vAlign w:val="center"/>
                                      <w:hideMark/>
                                    </w:tcPr>
                                    <w:p w14:paraId="4C87A914" w14:textId="77777777" w:rsidR="00C0556C" w:rsidRDefault="00C0556C" w:rsidP="00C0556C">
                                      <w:pPr>
                                        <w:rPr>
                                          <w:sz w:val="20"/>
                                          <w:szCs w:val="20"/>
                                        </w:rPr>
                                      </w:pPr>
                                    </w:p>
                                  </w:tc>
                                </w:tr>
                                <w:tr w:rsidR="00C0556C" w14:paraId="76ABF440" w14:textId="77777777" w:rsidTr="001C6FEE">
                                  <w:tc>
                                    <w:tcPr>
                                      <w:tcW w:w="2093" w:type="dxa"/>
                                      <w:tcBorders>
                                        <w:top w:val="single" w:sz="4" w:space="0" w:color="auto"/>
                                        <w:left w:val="single" w:sz="4" w:space="0" w:color="auto"/>
                                        <w:bottom w:val="single" w:sz="4" w:space="0" w:color="auto"/>
                                        <w:right w:val="single" w:sz="4" w:space="0" w:color="auto"/>
                                      </w:tcBorders>
                                      <w:hideMark/>
                                    </w:tcPr>
                                    <w:p w14:paraId="1FAA7F79" w14:textId="77777777" w:rsidR="00C0556C" w:rsidRDefault="00C0556C" w:rsidP="00C0556C">
                                      <w:pPr>
                                        <w:spacing w:before="120" w:after="120"/>
                                        <w:jc w:val="both"/>
                                        <w:rPr>
                                          <w:rFonts w:ascii="Arial" w:hAnsi="Arial" w:cs="Arial"/>
                                          <w:b/>
                                          <w:sz w:val="22"/>
                                          <w:szCs w:val="22"/>
                                        </w:rPr>
                                      </w:pPr>
                                      <w:r>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hideMark/>
                                    </w:tcPr>
                                    <w:p w14:paraId="6AE911AE" w14:textId="77777777" w:rsidR="00C0556C" w:rsidRDefault="00C0556C" w:rsidP="00C0556C">
                                      <w:pPr>
                                        <w:spacing w:before="120" w:after="120"/>
                                        <w:jc w:val="both"/>
                                        <w:rPr>
                                          <w:rFonts w:ascii="Arial" w:hAnsi="Arial" w:cs="Arial"/>
                                          <w:b/>
                                          <w:bCs/>
                                          <w:sz w:val="20"/>
                                          <w:szCs w:val="20"/>
                                        </w:rPr>
                                      </w:pPr>
                                      <w:r>
                                        <w:rPr>
                                          <w:rFonts w:ascii="Arial" w:hAnsi="Arial" w:cs="Arial"/>
                                          <w:b/>
                                          <w:bCs/>
                                          <w:sz w:val="20"/>
                                          <w:szCs w:val="20"/>
                                        </w:rPr>
                                        <w:t>Muhammad Azeem Abbas</w:t>
                                      </w:r>
                                    </w:p>
                                  </w:tc>
                                  <w:tc>
                                    <w:tcPr>
                                      <w:tcW w:w="4536" w:type="dxa"/>
                                      <w:vAlign w:val="center"/>
                                      <w:hideMark/>
                                    </w:tcPr>
                                    <w:p w14:paraId="0A58406B" w14:textId="77777777" w:rsidR="00C0556C" w:rsidRDefault="00C0556C" w:rsidP="00C0556C">
                                      <w:pPr>
                                        <w:rPr>
                                          <w:sz w:val="20"/>
                                          <w:szCs w:val="20"/>
                                        </w:rPr>
                                      </w:pPr>
                                    </w:p>
                                  </w:tc>
                                </w:tr>
                              </w:tbl>
                              <w:p w14:paraId="59E801F8" w14:textId="07FB01C9" w:rsidR="00460E73" w:rsidRPr="00C0556C" w:rsidRDefault="00460E73" w:rsidP="00C0556C">
                                <w:pPr>
                                  <w:pStyle w:val="NoSpacing"/>
                                  <w:spacing w:before="200" w:line="216" w:lineRule="auto"/>
                                  <w:ind w:right="720"/>
                                  <w:rPr>
                                    <w:rFonts w:asciiTheme="majorHAnsi" w:hAnsiTheme="majorHAnsi"/>
                                    <w:color w:val="FFFFFF" w:themeColor="background1"/>
                                    <w:sz w:val="96"/>
                                    <w:szCs w:val="96"/>
                                  </w:rPr>
                                </w:pPr>
                              </w:p>
                            </w:tc>
                          </w:tr>
                          <w:tr w:rsidR="00460E73" w14:paraId="3ED5ED85"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60E73" w14:paraId="76F41E6A" w14:textId="77777777">
                                  <w:trPr>
                                    <w:trHeight w:hRule="exact" w:val="720"/>
                                  </w:trPr>
                                  <w:tc>
                                    <w:tcPr>
                                      <w:tcW w:w="3590" w:type="dxa"/>
                                      <w:vAlign w:val="center"/>
                                    </w:tcPr>
                                    <w:p w14:paraId="0C314EC5" w14:textId="11228201" w:rsidR="00460E73" w:rsidRDefault="00460E73" w:rsidP="00296045">
                                      <w:pPr>
                                        <w:pStyle w:val="NoSpacing"/>
                                        <w:ind w:right="144"/>
                                        <w:rPr>
                                          <w:color w:val="FFFFFF" w:themeColor="background1"/>
                                        </w:rPr>
                                      </w:pPr>
                                    </w:p>
                                  </w:tc>
                                  <w:tc>
                                    <w:tcPr>
                                      <w:tcW w:w="3591" w:type="dxa"/>
                                      <w:vAlign w:val="center"/>
                                    </w:tcPr>
                                    <w:sdt>
                                      <w:sdtPr>
                                        <w:rPr>
                                          <w:color w:val="FFFFFF" w:themeColor="background1"/>
                                        </w:rPr>
                                        <w:alias w:val="Date"/>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5AA78FCA" w14:textId="1991FCB8" w:rsidR="00460E73" w:rsidRDefault="00296045">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944295F" w14:textId="5715D13C" w:rsidR="00460E73" w:rsidRDefault="00296045">
                                          <w:pPr>
                                            <w:pStyle w:val="NoSpacing"/>
                                            <w:ind w:left="144" w:right="720"/>
                                            <w:jc w:val="right"/>
                                            <w:rPr>
                                              <w:color w:val="FFFFFF" w:themeColor="background1"/>
                                            </w:rPr>
                                          </w:pPr>
                                          <w:r>
                                            <w:rPr>
                                              <w:color w:val="FFFFFF" w:themeColor="background1"/>
                                            </w:rPr>
                                            <w:t xml:space="preserve">     </w:t>
                                          </w:r>
                                        </w:p>
                                      </w:tc>
                                    </w:sdtContent>
                                  </w:sdt>
                                </w:tr>
                              </w:tbl>
                              <w:p w14:paraId="0E3FC0D9" w14:textId="77777777" w:rsidR="00460E73" w:rsidRDefault="00460E73"/>
                            </w:tc>
                          </w:tr>
                        </w:tbl>
                        <w:p w14:paraId="3005D2FF" w14:textId="77777777" w:rsidR="00460E73" w:rsidRDefault="00460E73"/>
                      </w:txbxContent>
                    </v:textbox>
                    <w10:wrap anchorx="page" anchory="page"/>
                  </v:shape>
                </w:pict>
              </mc:Fallback>
            </mc:AlternateContent>
          </w:r>
        </w:p>
        <w:p w14:paraId="3654255B" w14:textId="77777777" w:rsidR="00460E73" w:rsidRDefault="00000000">
          <w:r>
            <w:br w:type="page"/>
          </w:r>
        </w:p>
      </w:sdtContent>
    </w:sdt>
    <w:sdt>
      <w:sdtPr>
        <w:id w:val="23406085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D22C7E4" w14:textId="64C57A84" w:rsidR="002271D6" w:rsidRDefault="002271D6">
          <w:pPr>
            <w:pStyle w:val="TOCHeading"/>
          </w:pPr>
          <w:r>
            <w:t>Contents</w:t>
          </w:r>
        </w:p>
        <w:p w14:paraId="1BAC6A1B" w14:textId="388A0ED0" w:rsidR="002271D6" w:rsidRDefault="002271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301449" w:history="1">
            <w:r w:rsidRPr="00713B13">
              <w:rPr>
                <w:rStyle w:val="Hyperlink"/>
                <w:noProof/>
              </w:rPr>
              <w:t>Introduction</w:t>
            </w:r>
            <w:r>
              <w:rPr>
                <w:noProof/>
                <w:webHidden/>
              </w:rPr>
              <w:tab/>
            </w:r>
            <w:r>
              <w:rPr>
                <w:noProof/>
                <w:webHidden/>
              </w:rPr>
              <w:fldChar w:fldCharType="begin"/>
            </w:r>
            <w:r>
              <w:rPr>
                <w:noProof/>
                <w:webHidden/>
              </w:rPr>
              <w:instrText xml:space="preserve"> PAGEREF _Toc227301449 \h </w:instrText>
            </w:r>
            <w:r>
              <w:rPr>
                <w:noProof/>
                <w:webHidden/>
              </w:rPr>
            </w:r>
            <w:r>
              <w:rPr>
                <w:noProof/>
                <w:webHidden/>
              </w:rPr>
              <w:fldChar w:fldCharType="separate"/>
            </w:r>
            <w:r>
              <w:rPr>
                <w:noProof/>
                <w:webHidden/>
              </w:rPr>
              <w:t>2</w:t>
            </w:r>
            <w:r>
              <w:rPr>
                <w:noProof/>
                <w:webHidden/>
              </w:rPr>
              <w:fldChar w:fldCharType="end"/>
            </w:r>
          </w:hyperlink>
        </w:p>
        <w:p w14:paraId="406F47BA" w14:textId="461E79C8" w:rsidR="002271D6" w:rsidRDefault="002271D6">
          <w:pPr>
            <w:pStyle w:val="TOC1"/>
            <w:tabs>
              <w:tab w:val="right" w:leader="dot" w:pos="9016"/>
            </w:tabs>
            <w:rPr>
              <w:rFonts w:eastAsiaTheme="minorEastAsia"/>
              <w:noProof/>
              <w:lang w:eastAsia="en-GB"/>
            </w:rPr>
          </w:pPr>
          <w:hyperlink w:anchor="_Toc227301450" w:history="1">
            <w:r w:rsidRPr="00713B13">
              <w:rPr>
                <w:rStyle w:val="Hyperlink"/>
                <w:noProof/>
              </w:rPr>
              <w:t>Comprehensive Data Security and Governance Framework</w:t>
            </w:r>
            <w:r>
              <w:rPr>
                <w:noProof/>
                <w:webHidden/>
              </w:rPr>
              <w:tab/>
            </w:r>
            <w:r>
              <w:rPr>
                <w:noProof/>
                <w:webHidden/>
              </w:rPr>
              <w:fldChar w:fldCharType="begin"/>
            </w:r>
            <w:r>
              <w:rPr>
                <w:noProof/>
                <w:webHidden/>
              </w:rPr>
              <w:instrText xml:space="preserve"> PAGEREF _Toc227301450 \h </w:instrText>
            </w:r>
            <w:r>
              <w:rPr>
                <w:noProof/>
                <w:webHidden/>
              </w:rPr>
            </w:r>
            <w:r>
              <w:rPr>
                <w:noProof/>
                <w:webHidden/>
              </w:rPr>
              <w:fldChar w:fldCharType="separate"/>
            </w:r>
            <w:r>
              <w:rPr>
                <w:noProof/>
                <w:webHidden/>
              </w:rPr>
              <w:t>5</w:t>
            </w:r>
            <w:r>
              <w:rPr>
                <w:noProof/>
                <w:webHidden/>
              </w:rPr>
              <w:fldChar w:fldCharType="end"/>
            </w:r>
          </w:hyperlink>
        </w:p>
        <w:p w14:paraId="081F9413" w14:textId="27503981" w:rsidR="002271D6" w:rsidRDefault="002271D6">
          <w:pPr>
            <w:pStyle w:val="TOC1"/>
            <w:tabs>
              <w:tab w:val="right" w:leader="dot" w:pos="9016"/>
            </w:tabs>
            <w:rPr>
              <w:rFonts w:eastAsiaTheme="minorEastAsia"/>
              <w:noProof/>
              <w:lang w:eastAsia="en-GB"/>
            </w:rPr>
          </w:pPr>
          <w:hyperlink w:anchor="_Toc227301451" w:history="1">
            <w:r w:rsidRPr="00713B13">
              <w:rPr>
                <w:rStyle w:val="Hyperlink"/>
                <w:noProof/>
              </w:rPr>
              <w:t>The framework is built upon five pillars:</w:t>
            </w:r>
            <w:r>
              <w:rPr>
                <w:noProof/>
                <w:webHidden/>
              </w:rPr>
              <w:tab/>
            </w:r>
            <w:r>
              <w:rPr>
                <w:noProof/>
                <w:webHidden/>
              </w:rPr>
              <w:fldChar w:fldCharType="begin"/>
            </w:r>
            <w:r>
              <w:rPr>
                <w:noProof/>
                <w:webHidden/>
              </w:rPr>
              <w:instrText xml:space="preserve"> PAGEREF _Toc227301451 \h </w:instrText>
            </w:r>
            <w:r>
              <w:rPr>
                <w:noProof/>
                <w:webHidden/>
              </w:rPr>
            </w:r>
            <w:r>
              <w:rPr>
                <w:noProof/>
                <w:webHidden/>
              </w:rPr>
              <w:fldChar w:fldCharType="separate"/>
            </w:r>
            <w:r>
              <w:rPr>
                <w:noProof/>
                <w:webHidden/>
              </w:rPr>
              <w:t>6</w:t>
            </w:r>
            <w:r>
              <w:rPr>
                <w:noProof/>
                <w:webHidden/>
              </w:rPr>
              <w:fldChar w:fldCharType="end"/>
            </w:r>
          </w:hyperlink>
        </w:p>
        <w:p w14:paraId="3E8046CA" w14:textId="570138A3" w:rsidR="002271D6" w:rsidRDefault="002271D6">
          <w:pPr>
            <w:pStyle w:val="TOC1"/>
            <w:tabs>
              <w:tab w:val="right" w:leader="dot" w:pos="9016"/>
            </w:tabs>
            <w:rPr>
              <w:rFonts w:eastAsiaTheme="minorEastAsia"/>
              <w:noProof/>
              <w:lang w:eastAsia="en-GB"/>
            </w:rPr>
          </w:pPr>
          <w:hyperlink w:anchor="_Toc227301452" w:history="1">
            <w:r w:rsidRPr="00713B13">
              <w:rPr>
                <w:rStyle w:val="Hyperlink"/>
                <w:noProof/>
              </w:rPr>
              <w:t>5.0 Mitigation Measures Specific technical and organisational controls to counter identified threats. Unauthorized Cloud Access,</w:t>
            </w:r>
            <w:r>
              <w:rPr>
                <w:noProof/>
                <w:webHidden/>
              </w:rPr>
              <w:tab/>
            </w:r>
            <w:r>
              <w:rPr>
                <w:noProof/>
                <w:webHidden/>
              </w:rPr>
              <w:fldChar w:fldCharType="begin"/>
            </w:r>
            <w:r>
              <w:rPr>
                <w:noProof/>
                <w:webHidden/>
              </w:rPr>
              <w:instrText xml:space="preserve"> PAGEREF _Toc227301452 \h </w:instrText>
            </w:r>
            <w:r>
              <w:rPr>
                <w:noProof/>
                <w:webHidden/>
              </w:rPr>
            </w:r>
            <w:r>
              <w:rPr>
                <w:noProof/>
                <w:webHidden/>
              </w:rPr>
              <w:fldChar w:fldCharType="separate"/>
            </w:r>
            <w:r>
              <w:rPr>
                <w:noProof/>
                <w:webHidden/>
              </w:rPr>
              <w:t>8</w:t>
            </w:r>
            <w:r>
              <w:rPr>
                <w:noProof/>
                <w:webHidden/>
              </w:rPr>
              <w:fldChar w:fldCharType="end"/>
            </w:r>
          </w:hyperlink>
        </w:p>
        <w:p w14:paraId="5A287B76" w14:textId="0048188D" w:rsidR="002271D6" w:rsidRDefault="002271D6">
          <w:pPr>
            <w:pStyle w:val="TOC1"/>
            <w:tabs>
              <w:tab w:val="right" w:leader="dot" w:pos="9016"/>
            </w:tabs>
            <w:rPr>
              <w:rFonts w:eastAsiaTheme="minorEastAsia"/>
              <w:noProof/>
              <w:lang w:eastAsia="en-GB"/>
            </w:rPr>
          </w:pPr>
          <w:hyperlink w:anchor="_Toc227301453" w:history="1">
            <w:r w:rsidRPr="00713B13">
              <w:rPr>
                <w:rStyle w:val="Hyperlink"/>
                <w:noProof/>
              </w:rPr>
              <w:t>Conclusion</w:t>
            </w:r>
            <w:r>
              <w:rPr>
                <w:noProof/>
                <w:webHidden/>
              </w:rPr>
              <w:tab/>
            </w:r>
            <w:r>
              <w:rPr>
                <w:noProof/>
                <w:webHidden/>
              </w:rPr>
              <w:fldChar w:fldCharType="begin"/>
            </w:r>
            <w:r>
              <w:rPr>
                <w:noProof/>
                <w:webHidden/>
              </w:rPr>
              <w:instrText xml:space="preserve"> PAGEREF _Toc227301453 \h </w:instrText>
            </w:r>
            <w:r>
              <w:rPr>
                <w:noProof/>
                <w:webHidden/>
              </w:rPr>
            </w:r>
            <w:r>
              <w:rPr>
                <w:noProof/>
                <w:webHidden/>
              </w:rPr>
              <w:fldChar w:fldCharType="separate"/>
            </w:r>
            <w:r>
              <w:rPr>
                <w:noProof/>
                <w:webHidden/>
              </w:rPr>
              <w:t>11</w:t>
            </w:r>
            <w:r>
              <w:rPr>
                <w:noProof/>
                <w:webHidden/>
              </w:rPr>
              <w:fldChar w:fldCharType="end"/>
            </w:r>
          </w:hyperlink>
        </w:p>
        <w:p w14:paraId="5E155407" w14:textId="585EA821" w:rsidR="002271D6" w:rsidRDefault="002271D6">
          <w:pPr>
            <w:pStyle w:val="TOC1"/>
            <w:tabs>
              <w:tab w:val="right" w:leader="dot" w:pos="9016"/>
            </w:tabs>
            <w:rPr>
              <w:rFonts w:eastAsiaTheme="minorEastAsia"/>
              <w:noProof/>
              <w:lang w:eastAsia="en-GB"/>
            </w:rPr>
          </w:pPr>
          <w:hyperlink w:anchor="_Toc227301454" w:history="1">
            <w:r w:rsidRPr="00713B13">
              <w:rPr>
                <w:rStyle w:val="Hyperlink"/>
                <w:noProof/>
                <w:lang w:val="en-US" w:eastAsia="zh-CN" w:bidi="ar"/>
              </w:rPr>
              <w:t>Cyber Threat Table: Analyze and Protect Tools</w:t>
            </w:r>
            <w:r>
              <w:rPr>
                <w:noProof/>
                <w:webHidden/>
              </w:rPr>
              <w:tab/>
            </w:r>
            <w:r>
              <w:rPr>
                <w:noProof/>
                <w:webHidden/>
              </w:rPr>
              <w:fldChar w:fldCharType="begin"/>
            </w:r>
            <w:r>
              <w:rPr>
                <w:noProof/>
                <w:webHidden/>
              </w:rPr>
              <w:instrText xml:space="preserve"> PAGEREF _Toc227301454 \h </w:instrText>
            </w:r>
            <w:r>
              <w:rPr>
                <w:noProof/>
                <w:webHidden/>
              </w:rPr>
            </w:r>
            <w:r>
              <w:rPr>
                <w:noProof/>
                <w:webHidden/>
              </w:rPr>
              <w:fldChar w:fldCharType="separate"/>
            </w:r>
            <w:r>
              <w:rPr>
                <w:noProof/>
                <w:webHidden/>
              </w:rPr>
              <w:t>12</w:t>
            </w:r>
            <w:r>
              <w:rPr>
                <w:noProof/>
                <w:webHidden/>
              </w:rPr>
              <w:fldChar w:fldCharType="end"/>
            </w:r>
          </w:hyperlink>
        </w:p>
        <w:p w14:paraId="73457B8A" w14:textId="30DA40CB" w:rsidR="002271D6" w:rsidRDefault="002271D6">
          <w:pPr>
            <w:pStyle w:val="TOC1"/>
            <w:tabs>
              <w:tab w:val="right" w:leader="dot" w:pos="9016"/>
            </w:tabs>
            <w:rPr>
              <w:rFonts w:eastAsiaTheme="minorEastAsia"/>
              <w:noProof/>
              <w:lang w:eastAsia="en-GB"/>
            </w:rPr>
          </w:pPr>
          <w:hyperlink w:anchor="_Toc227301455" w:history="1">
            <w:r w:rsidRPr="00713B13">
              <w:rPr>
                <w:rStyle w:val="Hyperlink"/>
                <w:noProof/>
              </w:rPr>
              <w:t>Samples of Cybersecurity Accident:1</w:t>
            </w:r>
            <w:r>
              <w:rPr>
                <w:noProof/>
                <w:webHidden/>
              </w:rPr>
              <w:tab/>
            </w:r>
            <w:r>
              <w:rPr>
                <w:noProof/>
                <w:webHidden/>
              </w:rPr>
              <w:fldChar w:fldCharType="begin"/>
            </w:r>
            <w:r>
              <w:rPr>
                <w:noProof/>
                <w:webHidden/>
              </w:rPr>
              <w:instrText xml:space="preserve"> PAGEREF _Toc227301455 \h </w:instrText>
            </w:r>
            <w:r>
              <w:rPr>
                <w:noProof/>
                <w:webHidden/>
              </w:rPr>
            </w:r>
            <w:r>
              <w:rPr>
                <w:noProof/>
                <w:webHidden/>
              </w:rPr>
              <w:fldChar w:fldCharType="separate"/>
            </w:r>
            <w:r>
              <w:rPr>
                <w:noProof/>
                <w:webHidden/>
              </w:rPr>
              <w:t>14</w:t>
            </w:r>
            <w:r>
              <w:rPr>
                <w:noProof/>
                <w:webHidden/>
              </w:rPr>
              <w:fldChar w:fldCharType="end"/>
            </w:r>
          </w:hyperlink>
        </w:p>
        <w:p w14:paraId="4BA145A8" w14:textId="203779E0" w:rsidR="002271D6" w:rsidRDefault="002271D6">
          <w:pPr>
            <w:pStyle w:val="TOC1"/>
            <w:tabs>
              <w:tab w:val="right" w:leader="dot" w:pos="9016"/>
            </w:tabs>
            <w:rPr>
              <w:rFonts w:eastAsiaTheme="minorEastAsia"/>
              <w:noProof/>
              <w:lang w:eastAsia="en-GB"/>
            </w:rPr>
          </w:pPr>
          <w:hyperlink w:anchor="_Toc227301456" w:history="1">
            <w:r w:rsidRPr="00713B13">
              <w:rPr>
                <w:rStyle w:val="Hyperlink"/>
                <w:noProof/>
              </w:rPr>
              <w:t>References</w:t>
            </w:r>
            <w:r>
              <w:rPr>
                <w:noProof/>
                <w:webHidden/>
              </w:rPr>
              <w:tab/>
            </w:r>
            <w:r>
              <w:rPr>
                <w:noProof/>
                <w:webHidden/>
              </w:rPr>
              <w:fldChar w:fldCharType="begin"/>
            </w:r>
            <w:r>
              <w:rPr>
                <w:noProof/>
                <w:webHidden/>
              </w:rPr>
              <w:instrText xml:space="preserve"> PAGEREF _Toc227301456 \h </w:instrText>
            </w:r>
            <w:r>
              <w:rPr>
                <w:noProof/>
                <w:webHidden/>
              </w:rPr>
            </w:r>
            <w:r>
              <w:rPr>
                <w:noProof/>
                <w:webHidden/>
              </w:rPr>
              <w:fldChar w:fldCharType="separate"/>
            </w:r>
            <w:r>
              <w:rPr>
                <w:noProof/>
                <w:webHidden/>
              </w:rPr>
              <w:t>18</w:t>
            </w:r>
            <w:r>
              <w:rPr>
                <w:noProof/>
                <w:webHidden/>
              </w:rPr>
              <w:fldChar w:fldCharType="end"/>
            </w:r>
          </w:hyperlink>
        </w:p>
        <w:p w14:paraId="3A5B6F83" w14:textId="0B4B59EC" w:rsidR="002271D6" w:rsidRDefault="002271D6">
          <w:r>
            <w:rPr>
              <w:b/>
              <w:bCs/>
              <w:noProof/>
            </w:rPr>
            <w:fldChar w:fldCharType="end"/>
          </w:r>
        </w:p>
      </w:sdtContent>
    </w:sdt>
    <w:p w14:paraId="44C94007" w14:textId="77777777" w:rsidR="00460E73" w:rsidRDefault="00460E73"/>
    <w:p w14:paraId="77AA2C99" w14:textId="77777777" w:rsidR="00460E73" w:rsidRDefault="00460E73"/>
    <w:p w14:paraId="567DE48A" w14:textId="77777777" w:rsidR="00460E73" w:rsidRDefault="00460E73"/>
    <w:p w14:paraId="36B55ED2" w14:textId="77777777" w:rsidR="00460E73" w:rsidRDefault="00460E73"/>
    <w:p w14:paraId="67036C36" w14:textId="77777777" w:rsidR="00460E73" w:rsidRDefault="00460E73"/>
    <w:p w14:paraId="095B503A" w14:textId="77777777" w:rsidR="00460E73" w:rsidRDefault="00460E73"/>
    <w:p w14:paraId="0F21772C" w14:textId="77777777" w:rsidR="00460E73" w:rsidRDefault="00460E73"/>
    <w:p w14:paraId="11E58C02" w14:textId="77777777" w:rsidR="00460E73" w:rsidRDefault="00460E73"/>
    <w:p w14:paraId="2E38E4F8" w14:textId="77777777" w:rsidR="00460E73" w:rsidRDefault="00460E73"/>
    <w:p w14:paraId="57B4D96E" w14:textId="77777777" w:rsidR="00460E73" w:rsidRDefault="00460E73"/>
    <w:p w14:paraId="50063AE9" w14:textId="77777777" w:rsidR="00460E73" w:rsidRDefault="00460E73"/>
    <w:p w14:paraId="1A0ED058" w14:textId="77777777" w:rsidR="00460E73" w:rsidRDefault="00460E73"/>
    <w:p w14:paraId="455B6F53" w14:textId="77777777" w:rsidR="00460E73" w:rsidRDefault="00460E73"/>
    <w:p w14:paraId="5FCA9532" w14:textId="77777777" w:rsidR="00460E73" w:rsidRDefault="00460E73"/>
    <w:p w14:paraId="79CA9B64" w14:textId="77777777" w:rsidR="00460E73" w:rsidRDefault="00460E73"/>
    <w:p w14:paraId="6CB851AC" w14:textId="77777777" w:rsidR="00460E73" w:rsidRDefault="00460E73"/>
    <w:p w14:paraId="7622278C" w14:textId="77777777" w:rsidR="00460E73" w:rsidRDefault="00460E73"/>
    <w:p w14:paraId="17540DA3" w14:textId="77777777" w:rsidR="00460E73" w:rsidRDefault="00460E73"/>
    <w:p w14:paraId="0E9BEFB9" w14:textId="77777777" w:rsidR="00460E73" w:rsidRDefault="00460E73"/>
    <w:p w14:paraId="0F4846F4" w14:textId="77777777" w:rsidR="00460E73" w:rsidRDefault="00460E73"/>
    <w:p w14:paraId="2B66639E" w14:textId="77777777" w:rsidR="00F47341" w:rsidRDefault="00F47341"/>
    <w:p w14:paraId="62D6C1B3" w14:textId="035788AD" w:rsidR="00460E73" w:rsidRDefault="00000000" w:rsidP="00640F6A">
      <w:pPr>
        <w:pStyle w:val="Heading1"/>
      </w:pPr>
      <w:bookmarkStart w:id="0" w:name="_Toc227301449"/>
      <w:r>
        <w:t>Introduction</w:t>
      </w:r>
      <w:bookmarkEnd w:id="0"/>
      <w:r>
        <w:t xml:space="preserve"> </w:t>
      </w:r>
    </w:p>
    <w:p w14:paraId="63D1DFAB" w14:textId="6372C905" w:rsidR="00460E73" w:rsidRDefault="00000000">
      <w:r>
        <w:t xml:space="preserve">Building a secure network for is like constructing a fortress: we need to lay a solid physical foundation and then establish multiple layers of </w:t>
      </w:r>
      <w:r w:rsidR="00F47341">
        <w:t>defence</w:t>
      </w:r>
      <w:r>
        <w:t xml:space="preserve"> to protect what's inside. here is a comprehensive breakdown of what we need, covering both the physical setup and the cybersecurity measures.</w:t>
      </w:r>
      <w:r>
        <w:br/>
      </w:r>
      <w:r>
        <w:br/>
        <w:t>We can approach this as a project with two main phases:</w:t>
      </w:r>
    </w:p>
    <w:p w14:paraId="057E95B1" w14:textId="77777777" w:rsidR="00460E73" w:rsidRDefault="00000000">
      <w:r>
        <w:t xml:space="preserve"> - Building the Network Infrastructure and then. </w:t>
      </w:r>
    </w:p>
    <w:p w14:paraId="6AAE84B3" w14:textId="77777777" w:rsidR="00F47341" w:rsidRDefault="00000000">
      <w:r>
        <w:t xml:space="preserve">- Securing It </w:t>
      </w:r>
      <w:r w:rsidR="00F47341">
        <w:t>Cybersecurity.</w:t>
      </w:r>
      <w:r>
        <w:br/>
        <w:t xml:space="preserve"> Phase 1: Building the Physical Network</w:t>
      </w:r>
      <w:r>
        <w:br/>
      </w:r>
      <w:r>
        <w:br/>
        <w:t>Before we secure anything, we need a reliable and well-planned network. This involves choosing the right type of network and gathering the essential hardware.</w:t>
      </w:r>
      <w:r>
        <w:br/>
      </w:r>
      <w:r>
        <w:br/>
        <w:t>1. Choose Network Type:</w:t>
      </w:r>
      <w:r>
        <w:br/>
        <w:t xml:space="preserve">· Wired Network: Ideal for desktop computers, servers, and printers that don't move. It offers the fastest and most secure </w:t>
      </w:r>
      <w:r w:rsidR="00F47341">
        <w:t>connection.</w:t>
      </w:r>
      <w:r>
        <w:br/>
        <w:t xml:space="preserve">· Wireless Network: Essential for mobile devices like laptops, tablets, and phones. It provides flexibility but needs strong security </w:t>
      </w:r>
      <w:r w:rsidR="00F47341">
        <w:t>measures.</w:t>
      </w:r>
      <w:r>
        <w:br/>
        <w:t xml:space="preserve">· Hybrid Network: The most common and recommended choice for businesses. It combines the speed and security of wired connections for static devices with the convenience of Wi-Fi for mobile </w:t>
      </w:r>
      <w:r w:rsidR="00F47341">
        <w:t>ones.</w:t>
      </w:r>
      <w:r>
        <w:br/>
      </w:r>
      <w:r>
        <w:br/>
        <w:t>2. Gather Essential Hardware</w:t>
      </w:r>
      <w:r>
        <w:br/>
        <w:t>Here is a checklist of the physical components you will need:</w:t>
      </w:r>
      <w:r>
        <w:br/>
        <w:t>Hardware component function, why it's Important for router connects your business to your Internet Service Provider (ISP). This is your gateway to the internet. Usually provided by your ISP.</w:t>
      </w:r>
      <w:r>
        <w:br/>
        <w:t>Router Directs traffic between your local network and the internet. Choose a business-grade router for better performance, security features, like firewall and VPN support, and the ability to handle more connected devices.</w:t>
      </w:r>
      <w:r>
        <w:br/>
        <w:t xml:space="preserve">Network Switch Connects all your wired devices, computers, printers, servers, to the network. A managed switch is highly recommended as it allows you to monitor traffic, prioritize data quality of service, and configure secure virtual Local Area Networks </w:t>
      </w:r>
      <w:r>
        <w:lastRenderedPageBreak/>
        <w:t>(VLANs).</w:t>
      </w:r>
      <w:r>
        <w:br/>
        <w:t>Wireless Access Point (WAP): Broadcasts the Wi-Fi signal throughout your office. For reliable coverage, use multiple WAPs instead of relying on a consumer-grade router's built-in Wi-Fi. This eliminates dead zones.</w:t>
      </w:r>
      <w:r>
        <w:br/>
        <w:t xml:space="preserve">Ethernet Cables </w:t>
      </w:r>
      <w:r w:rsidR="00F47341">
        <w:t>the</w:t>
      </w:r>
      <w:r>
        <w:t xml:space="preserve"> physical cables that connect wired devices to the switch. Use cables for reliable gigabit speeds and to reduce interference.</w:t>
      </w:r>
      <w:r>
        <w:br/>
        <w:t>Patch panel a central panel where all the Ethernet cables from wall outlets terminate. Keeps your wiring organized, tidy, and easy to troubleshoot. It connects to your switch via short cables.</w:t>
      </w:r>
      <w:r>
        <w:br/>
        <w:t>Server and network attached storage NAS: Optional but recommended, centralizes file storage, backups, and application hosting. Makes data management, sharing, and backup easier and more secure.</w:t>
      </w:r>
      <w:r>
        <w:br/>
        <w:t>Uninterruptible Power Supply UPS: Provides temporary battery power during an outage. Protects your critical equipment like router, switch, server from power surges and allows for safe shutdown, preventing data loss.</w:t>
      </w:r>
      <w:r>
        <w:br/>
      </w:r>
      <w:r>
        <w:br/>
        <w:t>Pro-Tip for Setup: Plan your network by mapping out where devices will go. Run cables to desks for static devices, like desktops, to free up Wi-Fi bandwidth for mobile devices, improving performance for everyone.</w:t>
      </w:r>
      <w:r>
        <w:br/>
      </w:r>
    </w:p>
    <w:p w14:paraId="1B822F7B" w14:textId="77777777" w:rsidR="00D16D21" w:rsidRDefault="00000000">
      <w:r>
        <w:t>Phase 2: Implementing Cybersecurity Layers</w:t>
      </w:r>
      <w:r>
        <w:br/>
      </w:r>
      <w:r>
        <w:br/>
        <w:t xml:space="preserve">Once your network is physically set up, the next step is to build your </w:t>
      </w:r>
      <w:r w:rsidR="00F47341">
        <w:t>defences</w:t>
      </w:r>
      <w:r>
        <w:t>. This is your cybersecurity layer, designed to protect your data and devices from threats. A multi-layered approach is key.</w:t>
      </w:r>
      <w:r>
        <w:br/>
      </w:r>
      <w:r>
        <w:br/>
        <w:t>1. Secure the Perimeter (Network Security)</w:t>
      </w:r>
      <w:r>
        <w:br/>
      </w:r>
      <w:r>
        <w:br/>
        <w:t xml:space="preserve">· Hardware Firewall: Don't just rely on a basic router. Consider a dedicated hardware firewall or a Unified Threat Management (UTM) appliance placed between your modem and your network. This device inspects all traffic coming in and </w:t>
      </w:r>
      <w:r w:rsidR="00F47341">
        <w:t>out.</w:t>
      </w:r>
      <w:r>
        <w:t xml:space="preserve"> Ensure its firmware is always </w:t>
      </w:r>
      <w:r w:rsidR="00F47341">
        <w:t>updated.</w:t>
      </w:r>
      <w:r>
        <w:br/>
        <w:t xml:space="preserve">· Network Segmentation (VLANs): Use your managed switch to create separate virtual networks. For example, create a Guest Wi-Fi network completely isolated from your Internal Business Network (where sensitive data lives) and another for Security Cameras. This prevents a compromised guest device from accessing your company </w:t>
      </w:r>
      <w:r w:rsidR="00F47341">
        <w:t>files.</w:t>
      </w:r>
      <w:r>
        <w:br/>
      </w:r>
      <w:r>
        <w:br/>
        <w:t>2. Protect Your Devices (Endpoint Security)</w:t>
      </w:r>
      <w:r>
        <w:br/>
        <w:t xml:space="preserve">· Endpoint Detection and Response (EDR): Move beyond basic antivirus. EDR software </w:t>
      </w:r>
      <w:r>
        <w:lastRenderedPageBreak/>
        <w:t xml:space="preserve">on all laptops, desktops, and servers provides advanced threat detection, monitoring for suspicious </w:t>
      </w:r>
      <w:r w:rsidR="00F47341">
        <w:t>behaviours</w:t>
      </w:r>
      <w:r>
        <w:t xml:space="preserve"> and automatically responding to </w:t>
      </w:r>
      <w:r w:rsidR="00F47341">
        <w:t>incidents.</w:t>
      </w:r>
      <w:r>
        <w:br/>
        <w:t xml:space="preserve">· Patch Management: Enable automatic updates for operating systems (Windows, macOS) and all software (Zoom, Adobe, Chrome). Outdated software is a top reason for </w:t>
      </w:r>
      <w:r w:rsidR="00F47341">
        <w:t>breaches.</w:t>
      </w:r>
    </w:p>
    <w:p w14:paraId="38B4C7F1" w14:textId="0D464C01" w:rsidR="00460E73" w:rsidRDefault="00000000">
      <w:r>
        <w:t>3. Control Access (Identity Management)</w:t>
      </w:r>
      <w:r>
        <w:br/>
      </w:r>
      <w:r>
        <w:br/>
        <w:t>· Multi-Factor Authentication (MFA): This is non-negotiable. Require MFA for every single account, especially email, banking, and remote access. It ensures that a stolen password is not enough to log in.</w:t>
      </w:r>
      <w:r>
        <w:br/>
        <w:t xml:space="preserve">· Least Privilege Access: Give employees access only to the files and systems they absolutely need to do their jobs. A junior staff member shouldn't have access to HR payroll </w:t>
      </w:r>
      <w:r w:rsidR="00D16D21">
        <w:t>folders.</w:t>
      </w:r>
      <w:r>
        <w:br/>
        <w:t xml:space="preserve">· Strong Password Policy: Use a password manager to enforce long, unique passwords for every </w:t>
      </w:r>
      <w:r w:rsidR="00D16D21">
        <w:t>service.</w:t>
      </w:r>
      <w:r>
        <w:br/>
      </w:r>
      <w:r>
        <w:br/>
        <w:t>4. Secure Your Data (Data Protection)</w:t>
      </w:r>
      <w:r>
        <w:br/>
      </w:r>
      <w:r>
        <w:br/>
        <w:t>· Encryption: Encrypt all sensitive data. This includes data on devices (full-disk encryption) and data sent over the network (using encrypted protocols and ensuring your website uses HTTPS) .</w:t>
      </w:r>
      <w:r>
        <w:br/>
        <w:t>· Regular Backups: Follow the 3-2-1 Backup Rule: Keep at least 3 copies of your data, on 2 different types of media (e.g., an external drive and the cloud), with 1 copy stored off-site. Crucially, test restoring from your backups regularly to ensure they wor</w:t>
      </w:r>
      <w:r w:rsidR="00D16D21">
        <w:t>k</w:t>
      </w:r>
      <w:r>
        <w:t>.</w:t>
      </w:r>
      <w:r>
        <w:br/>
      </w:r>
      <w:r>
        <w:br/>
        <w:t>5. Strengthen Your Human Firewall (Policies &amp; Training)</w:t>
      </w:r>
      <w:r>
        <w:br/>
      </w:r>
      <w:r>
        <w:br/>
        <w:t>· Security Awareness Training: Regularly train employees to spot phishing emails, avoid suspicious links, and understand safe internet practices. Since human error causes a huge percentage of breaches, this training is your most important investment.</w:t>
      </w:r>
      <w:r>
        <w:br/>
        <w:t>· Incident Response Plan: Have a simple, written plan for what to do if a breach happens. Who do you call? How do you isolate an infected computer? How do you restore from backups? Practice this plan.</w:t>
      </w:r>
      <w:r>
        <w:br/>
      </w:r>
      <w:r>
        <w:br/>
        <w:t xml:space="preserve">6. Monitor and </w:t>
      </w:r>
      <w:r w:rsidR="00D16D21">
        <w:t>maintain</w:t>
      </w:r>
      <w:r>
        <w:br/>
      </w:r>
      <w:r>
        <w:br/>
        <w:t>· Logging and Monitoring: Set up your firewall and systems to create logs. Reviewing these logs (or using a service that does) can help you spot unusual activity, like a strange device trying to connect, before it becomes a major issue.</w:t>
      </w:r>
      <w:r>
        <w:br/>
      </w:r>
      <w:r>
        <w:br/>
      </w:r>
      <w:r>
        <w:lastRenderedPageBreak/>
        <w:t>Building a secure network is not a one-time task but an ongoing process. Start with the physical setup using quality hardware, then methodically work through these security layers.</w:t>
      </w:r>
    </w:p>
    <w:p w14:paraId="5CF9CF2C" w14:textId="77777777" w:rsidR="00D16D21" w:rsidRDefault="00000000">
      <w:r>
        <w:t xml:space="preserve"> </w:t>
      </w:r>
    </w:p>
    <w:p w14:paraId="36A7D9E8" w14:textId="77777777" w:rsidR="00D16D21" w:rsidRDefault="00D16D21"/>
    <w:p w14:paraId="0A673F52" w14:textId="768DBD66" w:rsidR="00460E73" w:rsidRDefault="00000000" w:rsidP="00640F6A">
      <w:pPr>
        <w:pStyle w:val="Heading1"/>
      </w:pPr>
      <w:bookmarkStart w:id="1" w:name="_Toc227301450"/>
      <w:r>
        <w:rPr>
          <w:rFonts w:hint="eastAsia"/>
        </w:rPr>
        <w:t>Comprehensive Data Security and Governance Framework</w:t>
      </w:r>
      <w:bookmarkEnd w:id="1"/>
    </w:p>
    <w:p w14:paraId="35F4ED4E" w14:textId="77777777" w:rsidR="00460E73" w:rsidRDefault="00000000">
      <w:r>
        <w:rPr>
          <w:b/>
          <w:bCs/>
        </w:rPr>
        <w:t>Role:</w:t>
      </w:r>
      <w:r>
        <w:t xml:space="preserve"> IT Security Manager</w:t>
      </w:r>
      <w:r>
        <w:br/>
      </w:r>
      <w:r>
        <w:rPr>
          <w:b/>
          <w:bCs/>
        </w:rPr>
        <w:t>Organisation:</w:t>
      </w:r>
      <w:r>
        <w:t xml:space="preserve"> UK Healthcare Technology Company</w:t>
      </w:r>
      <w:r>
        <w:br/>
      </w:r>
      <w:r>
        <w:rPr>
          <w:b/>
          <w:bCs/>
        </w:rPr>
        <w:t>Scope:</w:t>
      </w:r>
      <w:r>
        <w:t xml:space="preserve"> Protection of sensitive patient data, compliance with UK GDPR and NHS Digital Security Standards</w:t>
      </w:r>
    </w:p>
    <w:p w14:paraId="77EA131B" w14:textId="77777777" w:rsidR="00460E73" w:rsidRDefault="00000000">
      <w:r>
        <w:t>The healthcare sector is a high-value target for cybercriminals due to the sensitivity and financial value of patient data. As a UK-based healthcare technology provider processing large volumes of sensitive health records, our organisation faces heightened risk from cyberattacks, insider threats, regulatory non-compliance, and operational disruption.</w:t>
      </w:r>
    </w:p>
    <w:p w14:paraId="69EBDDE1" w14:textId="37E005E6" w:rsidR="00460E73" w:rsidRDefault="00000000">
      <w:r>
        <w:t xml:space="preserve">Recent incidents including unauthorised cloud data access and a ransomware attack demonstrate vulnerabilities in access control, monitoring, and resilience planning. This report presents a comprehensive </w:t>
      </w:r>
      <w:r w:rsidR="00D16D21">
        <w:t>d</w:t>
      </w:r>
      <w:r>
        <w:t xml:space="preserve">ata </w:t>
      </w:r>
      <w:r w:rsidR="00D16D21">
        <w:t>s</w:t>
      </w:r>
      <w:r>
        <w:t xml:space="preserve">ecurity and </w:t>
      </w:r>
      <w:r w:rsidR="00D16D21">
        <w:t>g</w:t>
      </w:r>
      <w:r>
        <w:t xml:space="preserve">overnance </w:t>
      </w:r>
      <w:r w:rsidR="00D16D21">
        <w:t>f</w:t>
      </w:r>
      <w:r>
        <w:t>ramework designed to:</w:t>
      </w:r>
    </w:p>
    <w:p w14:paraId="18ABF04F" w14:textId="77777777" w:rsidR="00460E73" w:rsidRDefault="00000000">
      <w:r>
        <w:t>Strengthen confidentiality, integrity, and availability (CIA) of data</w:t>
      </w:r>
    </w:p>
    <w:p w14:paraId="172ECBF0" w14:textId="77777777" w:rsidR="00460E73" w:rsidRDefault="00000000">
      <w:r>
        <w:t>Ensure compliance with UK GDPR and NHS Digital Security Standards</w:t>
      </w:r>
    </w:p>
    <w:p w14:paraId="7952635E" w14:textId="77777777" w:rsidR="00460E73" w:rsidRDefault="00000000">
      <w:r>
        <w:t>Mitigate internal and external cyber threats</w:t>
      </w:r>
    </w:p>
    <w:p w14:paraId="68BAFB4A" w14:textId="77777777" w:rsidR="00460E73" w:rsidRDefault="00000000">
      <w:r>
        <w:t>Establish proactive monitoring and incident response capabilities</w:t>
      </w:r>
    </w:p>
    <w:p w14:paraId="684746AF" w14:textId="77777777" w:rsidR="00460E73" w:rsidRDefault="00000000">
      <w:r>
        <w:t>Foster a culture of security awareness</w:t>
      </w:r>
    </w:p>
    <w:p w14:paraId="116F8AA2" w14:textId="77777777" w:rsidR="00460E73" w:rsidRDefault="00000000">
      <w:r>
        <w:t>The framework aligns with recognised standards such as ISO/IEC 27001 and the NCSC Cyber Assessment Framework and adopts a Zero Trust security approach.</w:t>
      </w:r>
    </w:p>
    <w:p w14:paraId="027E1B9D" w14:textId="77777777" w:rsidR="00460E73" w:rsidRDefault="00000000">
      <w:r>
        <w:t xml:space="preserve">This report outlines a comprehensive data security and governance framework for HPA, a healthcare technology company processing sensitive UK patient data. In response to recent data protection incidents, this framework is designed to systematically strengthen defences, ensure compliance with the UK GDPR and NHS Digital Security Standards, and cultivate a robust security culture. </w:t>
      </w:r>
    </w:p>
    <w:p w14:paraId="32E65800" w14:textId="77777777" w:rsidR="00640F6A" w:rsidRDefault="00640F6A"/>
    <w:p w14:paraId="05739030" w14:textId="77777777" w:rsidR="00640F6A" w:rsidRDefault="00640F6A"/>
    <w:p w14:paraId="4D88BB3B" w14:textId="77777777" w:rsidR="002271D6" w:rsidRDefault="002271D6" w:rsidP="002271D6">
      <w:pPr>
        <w:pStyle w:val="Heading1"/>
      </w:pPr>
    </w:p>
    <w:p w14:paraId="3AF616B3" w14:textId="5ECBDA76" w:rsidR="00460E73" w:rsidRDefault="00000000" w:rsidP="002271D6">
      <w:pPr>
        <w:pStyle w:val="Heading1"/>
      </w:pPr>
      <w:bookmarkStart w:id="2" w:name="_Toc227301451"/>
      <w:r>
        <w:t>The framework is built upon five pillars:</w:t>
      </w:r>
      <w:bookmarkEnd w:id="2"/>
      <w:r>
        <w:t xml:space="preserve"> </w:t>
      </w:r>
    </w:p>
    <w:p w14:paraId="0DD1A182" w14:textId="77777777" w:rsidR="00460E73" w:rsidRDefault="00000000">
      <w:pPr>
        <w:numPr>
          <w:ilvl w:val="0"/>
          <w:numId w:val="1"/>
        </w:numPr>
      </w:pPr>
      <w:r>
        <w:t>Identification of threats, security policies, mitigation measures, monitoring and response, and Training and awareness. Implementation of this integrated plan will significantly reduce risk, protect patient information, and restore stakeholder trust, securing HPA’s position as a reliable partner in the UK healthcare sector.</w:t>
      </w:r>
    </w:p>
    <w:p w14:paraId="3E2D9F7D" w14:textId="663B75A3" w:rsidR="00460E73" w:rsidRDefault="00000000">
      <w:r>
        <w:t xml:space="preserve">2.0 Introduction &amp; Scope HPA operates in a high-risk, high-trust environment. The sensitive nature of patient data, stringent regulatory landscape UK GDPR, and NHS data security and protection toolkit, and evolving cyber-threat landscape </w:t>
      </w:r>
      <w:r w:rsidR="00D16D21">
        <w:t>require</w:t>
      </w:r>
      <w:r>
        <w:t xml:space="preserve"> </w:t>
      </w:r>
      <w:r w:rsidR="00D16D21">
        <w:t>experience</w:t>
      </w:r>
      <w:r>
        <w:t xml:space="preserve">, proactive security status. Recent incidents involving unauthorised cloud access and ransomware highlight critical vulnerabilities. This framework provides a strategic roadmap to transition from a reactive to a proactive and resilient security model, embedding data protection into the fabric of the organisation’s operations. </w:t>
      </w:r>
    </w:p>
    <w:p w14:paraId="774C5F24" w14:textId="75F709F6" w:rsidR="00460E73" w:rsidRDefault="00000000">
      <w:r>
        <w:t xml:space="preserve">Identification of threats is a clear understanding of threats is </w:t>
      </w:r>
      <w:r w:rsidR="00D16D21">
        <w:t>fundamental</w:t>
      </w:r>
      <w:r>
        <w:t>. Threats are categorised as Internal and External.</w:t>
      </w:r>
    </w:p>
    <w:p w14:paraId="16FB2538" w14:textId="2146166F" w:rsidR="00460E73" w:rsidRDefault="00000000">
      <w:r>
        <w:t xml:space="preserve"> 3.1 Internal Threats Insider threats malicious: </w:t>
      </w:r>
    </w:p>
    <w:p w14:paraId="3BCF873F" w14:textId="75DFA17E" w:rsidR="00460E73" w:rsidRDefault="00000000">
      <w:r>
        <w:t xml:space="preserve">- </w:t>
      </w:r>
      <w:r w:rsidR="00D16D21">
        <w:t>Neglected</w:t>
      </w:r>
      <w:r>
        <w:t xml:space="preserve"> employees or contractors with privileged access intentionally exfiltrating data, sabotaging systems, or facilitating external attacks. </w:t>
      </w:r>
    </w:p>
    <w:p w14:paraId="238454AE" w14:textId="77777777" w:rsidR="00460E73" w:rsidRDefault="00000000">
      <w:r>
        <w:t xml:space="preserve">- Insider Threats: Well-meaning staff who cause breaches through human error, such as misconfiguring cloud storage, falling for phishing attacks, losing devices, or emailing data to incorrect recipients. </w:t>
      </w:r>
    </w:p>
    <w:p w14:paraId="26B1540E" w14:textId="77777777" w:rsidR="00460E73" w:rsidRDefault="00000000">
      <w:r>
        <w:t xml:space="preserve">- Inadequate access controls: Overly permissive user privileges, dormant accounts of former employees, and lack of role-based access control leading to unnecessary data exposure. </w:t>
      </w:r>
    </w:p>
    <w:p w14:paraId="7BF26371" w14:textId="77777777" w:rsidR="00460E73" w:rsidRDefault="00000000">
      <w:r>
        <w:t xml:space="preserve">-Weak development practices: Vulnerabilities in HPA’s proprietary software or analytics platforms due to insecure coding practices, lack of penetration testing, and insufficient software development life cycle security integration. </w:t>
      </w:r>
    </w:p>
    <w:p w14:paraId="05505A8A" w14:textId="1F434C52" w:rsidR="00460E73" w:rsidRDefault="00000000">
      <w:r>
        <w:t xml:space="preserve"> 3.2 External threats ransomware and malware:</w:t>
      </w:r>
    </w:p>
    <w:p w14:paraId="0C72D908" w14:textId="73D3AED7" w:rsidR="00460E73" w:rsidRDefault="00000000">
      <w:r>
        <w:t xml:space="preserve"> - Targeted attacks, like the one experienced, that encrypt data on analytics servers, demanding payment for restoration. This leads to operational disruption and potential data theft.</w:t>
      </w:r>
    </w:p>
    <w:p w14:paraId="2CFCC739" w14:textId="77777777" w:rsidR="00460E73" w:rsidRDefault="00000000">
      <w:r>
        <w:lastRenderedPageBreak/>
        <w:t xml:space="preserve">- Phishing and social engineering: False communications designed to steal credentials or deliver malware, often the initial vector for larger breaches. </w:t>
      </w:r>
    </w:p>
    <w:p w14:paraId="78739BD6" w14:textId="77777777" w:rsidR="00460E73" w:rsidRDefault="00000000">
      <w:r>
        <w:t xml:space="preserve">- Cloud configuration exploitation: Automated scans and targeted attacks seeking misconfigured cloud services storage, databases to gain unauthorized access. </w:t>
      </w:r>
    </w:p>
    <w:p w14:paraId="062E618C" w14:textId="77777777" w:rsidR="00460E73" w:rsidRDefault="00000000">
      <w:r>
        <w:t xml:space="preserve">-Advanced continued threats: Sophisticated, state-sponsored or criminal groups conducting prolonged, stealthy campaigns to exfiltrate sensitive health data for espionage or fraud. </w:t>
      </w:r>
    </w:p>
    <w:p w14:paraId="3C60F4A0" w14:textId="77777777" w:rsidR="00460E73" w:rsidRDefault="00000000">
      <w:r>
        <w:t>-Third-party and supply chain risk: Vulnerabilities in vendors, partners, or open-source software components integrated into HPA’s environment.</w:t>
      </w:r>
    </w:p>
    <w:p w14:paraId="6E9583E0" w14:textId="77777777" w:rsidR="00460E73" w:rsidRDefault="00000000">
      <w:r>
        <w:t>-DDoS attacks: Attempts to overwhelm network resources, causing service disruption for client hospitals and clinics.</w:t>
      </w:r>
    </w:p>
    <w:p w14:paraId="78F11BD6" w14:textId="1AE77222" w:rsidR="00460E73" w:rsidRDefault="00000000">
      <w:r>
        <w:t xml:space="preserve"> 4.0 Security Policies provide the formal rules and standards governing HPA’s security posture. All policies shall be reviewed annually and aligned with ISO 27001, NIST CSF, UK GDPR, and NHS standards. </w:t>
      </w:r>
    </w:p>
    <w:p w14:paraId="54C5DD7F" w14:textId="77777777" w:rsidR="00460E73" w:rsidRDefault="00000000">
      <w:r>
        <w:t xml:space="preserve">-1. Data classification and handling policy: Mandates classification of all data, NHS confidential, patient Identifiable. Defines strict handling rules for storage, transmission, and destruction per classification level. </w:t>
      </w:r>
    </w:p>
    <w:p w14:paraId="45CF3B9C" w14:textId="3C1237ED" w:rsidR="00460E73" w:rsidRDefault="00000000">
      <w:r>
        <w:t>-2. Access control policy: Enforces the principles of requires robust authentication MFA for all access, timely user supplying and un</w:t>
      </w:r>
      <w:r w:rsidR="00D16D21">
        <w:t xml:space="preserve"> </w:t>
      </w:r>
      <w:r>
        <w:t>supplying, and regular access reviews.</w:t>
      </w:r>
    </w:p>
    <w:p w14:paraId="3A2EADC8" w14:textId="77777777" w:rsidR="00460E73" w:rsidRDefault="00000000">
      <w:r>
        <w:t xml:space="preserve">-3. Cloud security policy: Establishes mandatory security configurations for all cloud services, including encryption at rest and in transit, logging enabled, and formal change management for configuration. </w:t>
      </w:r>
    </w:p>
    <w:p w14:paraId="2BCDB0E4" w14:textId="77777777" w:rsidR="00460E73" w:rsidRDefault="00000000">
      <w:r>
        <w:t xml:space="preserve">-4. Network security policy: Defines segmentation strategies, isolating analytics servers from general corporate networks, firewall rules, and secure remote access protocols VPN with MFA. </w:t>
      </w:r>
    </w:p>
    <w:p w14:paraId="0D07EF80" w14:textId="77777777" w:rsidR="00460E73" w:rsidRDefault="00000000">
      <w:r>
        <w:t xml:space="preserve">-5. Incident response and breach notification policy: Formalises roles, responsibilities, and procedures for detecting, reporting, responding to, and recovering from incidents. Includes strict timelines for internal escalation and regulatory reporting per UK GDPR less than72-hour mandate. </w:t>
      </w:r>
    </w:p>
    <w:p w14:paraId="047BBEB8" w14:textId="77777777" w:rsidR="00460E73" w:rsidRDefault="00000000">
      <w:r>
        <w:t xml:space="preserve">-6. Acceptable use policy clearly outlines acceptable and forbidden use of company IT assets, including email, internet, and software. </w:t>
      </w:r>
    </w:p>
    <w:p w14:paraId="1A505BAF" w14:textId="66AAAE6B" w:rsidR="00460E73" w:rsidRDefault="00000000">
      <w:r>
        <w:t>-</w:t>
      </w:r>
      <w:r w:rsidR="00D16D21">
        <w:t>7. Password</w:t>
      </w:r>
      <w:r>
        <w:t xml:space="preserve"> authentication policy: Requires strong, unique passwords and mandates multi-factor Authentication MFA for all systems accessing sensitive data or administrative functions. </w:t>
      </w:r>
    </w:p>
    <w:p w14:paraId="17D9FCF4" w14:textId="28085FA7" w:rsidR="00460E73" w:rsidRDefault="00000000">
      <w:r>
        <w:lastRenderedPageBreak/>
        <w:t>-8. Software development security policy: Integrates security into the so</w:t>
      </w:r>
      <w:r w:rsidR="00AD51DD">
        <w:t>f</w:t>
      </w:r>
      <w:r>
        <w:t xml:space="preserve">tware security, requiring threat modelling, static and dynamic code analysis, and penetration testing before deployment. </w:t>
      </w:r>
    </w:p>
    <w:p w14:paraId="20C9CED8" w14:textId="77777777" w:rsidR="00460E73" w:rsidRDefault="00000000" w:rsidP="002271D6">
      <w:pPr>
        <w:pStyle w:val="Heading1"/>
      </w:pPr>
      <w:bookmarkStart w:id="3" w:name="_Toc227301452"/>
      <w:r>
        <w:t>5.0 Mitigation Measures Specific technical and organisational controls to counter identified threats. Unauthorized Cloud Access,</w:t>
      </w:r>
      <w:bookmarkEnd w:id="3"/>
      <w:r>
        <w:t xml:space="preserve"> </w:t>
      </w:r>
    </w:p>
    <w:p w14:paraId="791102C4" w14:textId="6B229058" w:rsidR="00460E73" w:rsidRDefault="00000000">
      <w:r>
        <w:t xml:space="preserve">1.Cloud security posture management and configuration hardening. Deploy a tool with </w:t>
      </w:r>
      <w:r w:rsidR="00AD51DD">
        <w:t>firm’s</w:t>
      </w:r>
      <w:r>
        <w:t xml:space="preserve"> like, Wiz, Prisma Cloud, to continuously scan environments for mis configurations against NHS benchmarks. Automate where possible. Implement Infrastructure templates with security baked in. </w:t>
      </w:r>
    </w:p>
    <w:p w14:paraId="1CA4124A" w14:textId="4DA48E59" w:rsidR="00460E73" w:rsidRDefault="00000000">
      <w:r>
        <w:t>2. Enhanced data encryption and access logging. Enforce mandatory encryption for all data using customer-managed keys where feasible. Enable detailed access logging for all cloud storage and datab</w:t>
      </w:r>
      <w:r w:rsidR="00AD51DD">
        <w:t>ase</w:t>
      </w:r>
      <w:r>
        <w:t xml:space="preserve">. Logs must be stored in a secure security information and event management. </w:t>
      </w:r>
    </w:p>
    <w:p w14:paraId="5D5E68BD" w14:textId="42DFCC6A" w:rsidR="00460E73" w:rsidRDefault="00000000">
      <w:r>
        <w:t xml:space="preserve">Ransomware &amp; malware: </w:t>
      </w:r>
    </w:p>
    <w:p w14:paraId="09E4FBEC" w14:textId="77777777" w:rsidR="00460E73" w:rsidRDefault="00000000">
      <w:r>
        <w:t xml:space="preserve">3.Network segmentation &amp; endpoint protection. Implement strict network segmentation micro-segmentation ideally to isolate analytics servers, development environments, and corporate networks. Deploy next-generation antivirus and firewall and endpoint detection and response solutions on all endpoints and servers, with 24/7 managed threat hunting. </w:t>
      </w:r>
    </w:p>
    <w:p w14:paraId="30A1375F" w14:textId="77777777" w:rsidR="00460E73" w:rsidRDefault="00000000">
      <w:r>
        <w:t xml:space="preserve">4. Robust, Immutable Backups. Implement the 3-2-1 backup rule, 3 copies, on 2 different media, with 1 copy offline. Regularly test backup restoration processes. Air-gapped or cloud backups are critical for analytics server data. </w:t>
      </w:r>
    </w:p>
    <w:p w14:paraId="32AD062D" w14:textId="286698C3" w:rsidR="00460E73" w:rsidRDefault="00000000">
      <w:r>
        <w:t xml:space="preserve"> Insider threats &amp; errors </w:t>
      </w:r>
    </w:p>
    <w:p w14:paraId="32D2B4BB" w14:textId="77777777" w:rsidR="00460E73" w:rsidRDefault="00000000">
      <w:pPr>
        <w:numPr>
          <w:ilvl w:val="0"/>
          <w:numId w:val="2"/>
        </w:numPr>
      </w:pPr>
      <w:r>
        <w:t xml:space="preserve">Privileged access management and user behaviour analytics, solution to vault, monitor, and session-record all privileged access, admin accounts. Implement a solution to baseline normal user behaviour and flag anomalies, bulk downloads, access at unusual hours. </w:t>
      </w:r>
    </w:p>
    <w:p w14:paraId="2F3779AF" w14:textId="77777777" w:rsidR="00AD51DD" w:rsidRDefault="00000000" w:rsidP="00AD51DD">
      <w:pPr>
        <w:numPr>
          <w:ilvl w:val="0"/>
          <w:numId w:val="2"/>
        </w:numPr>
      </w:pPr>
      <w:r>
        <w:t xml:space="preserve">Data loss prevention. Deploy a network and endpoint DLP solution to monitor and block unauthorized attempts to exfiltrate sensitive patient data via email, web uploads, or USB devices, based on the Data Classification policy. </w:t>
      </w:r>
    </w:p>
    <w:p w14:paraId="183B9B4C" w14:textId="3DEA6460" w:rsidR="00460E73" w:rsidRDefault="00000000" w:rsidP="00AD51DD">
      <w:pPr>
        <w:numPr>
          <w:ilvl w:val="0"/>
          <w:numId w:val="2"/>
        </w:numPr>
      </w:pPr>
      <w:r>
        <w:t xml:space="preserve">Phishing and credential </w:t>
      </w:r>
      <w:r w:rsidR="00AD51DD">
        <w:t>theft.</w:t>
      </w:r>
      <w:r>
        <w:t xml:space="preserve"> Advanced email security and mandatory. Implement an advanced email gateway with URL rewriting, attachment sandboxing, and </w:t>
      </w:r>
      <w:r>
        <w:lastRenderedPageBreak/>
        <w:t xml:space="preserve">impersonation protection. using phishing-resistant methods security keys for administrative accounts. Regulatory non-compliance </w:t>
      </w:r>
    </w:p>
    <w:p w14:paraId="41C166E9" w14:textId="77777777" w:rsidR="00460E73" w:rsidRDefault="00000000">
      <w:pPr>
        <w:numPr>
          <w:ilvl w:val="0"/>
          <w:numId w:val="2"/>
        </w:numPr>
      </w:pPr>
      <w:r>
        <w:t xml:space="preserve">Automated compliance monitoring and data protection impact assessment integration. Utilise the cloud security posture management tool and security information and event management tools to generate automated compliance reports against UK GDPR and NHS requirements. Integrate Data Protection Impact Assessments into all project lifecycles for new data processing activities. </w:t>
      </w:r>
    </w:p>
    <w:p w14:paraId="3395CA3E" w14:textId="77777777" w:rsidR="00460E73" w:rsidRPr="002271D6" w:rsidRDefault="00000000">
      <w:pPr>
        <w:rPr>
          <w:sz w:val="28"/>
          <w:szCs w:val="28"/>
        </w:rPr>
      </w:pPr>
      <w:r w:rsidRPr="002271D6">
        <w:rPr>
          <w:sz w:val="28"/>
          <w:szCs w:val="28"/>
        </w:rPr>
        <w:t xml:space="preserve">6.0 Monitoring and Response Plan A proactive, cyclical approach is required prepare, identify, contain, eradicate, recover, and learn. </w:t>
      </w:r>
    </w:p>
    <w:p w14:paraId="147C7EF3" w14:textId="77777777" w:rsidR="00460E73" w:rsidRDefault="00000000">
      <w:r>
        <w:t xml:space="preserve">6.1 Continuous Monitoring Architecture Centralised SIEM: </w:t>
      </w:r>
    </w:p>
    <w:p w14:paraId="071EDC44" w14:textId="77777777" w:rsidR="00460E73" w:rsidRDefault="00000000">
      <w:r>
        <w:t xml:space="preserve">Aggregate logs from all critical systems cloud, network, endpoints, applications into a central security information and event management system. Security operations centre: Establish a dedicated internal team or contract a managed security service provider for round-the-clock monitoring, alert triage, and initial response. </w:t>
      </w:r>
    </w:p>
    <w:p w14:paraId="45F4C1B8" w14:textId="77777777" w:rsidR="00460E73" w:rsidRDefault="00000000">
      <w:r>
        <w:t xml:space="preserve">Threat Intelligence Feeds: Integrate industry-specific healthcare threat intelligence to tailor detection rules to relevant threats. </w:t>
      </w:r>
    </w:p>
    <w:p w14:paraId="59B87F57" w14:textId="77777777" w:rsidR="00460E73" w:rsidRDefault="00000000">
      <w:r>
        <w:t xml:space="preserve">Key Stages: Preparation: Maintain the IR plan, contact lists, and communication templates. </w:t>
      </w:r>
    </w:p>
    <w:p w14:paraId="15FA2219" w14:textId="77777777" w:rsidR="00460E73" w:rsidRDefault="00000000">
      <w:r>
        <w:t xml:space="preserve">Identification &amp; Triage: SOC analyses SIEM alerts. A pre-defined severity matrix triggers appropriate response levels. </w:t>
      </w:r>
    </w:p>
    <w:p w14:paraId="37FAC55E" w14:textId="77777777" w:rsidR="00460E73" w:rsidRDefault="00000000">
      <w:r>
        <w:t xml:space="preserve">Containment: Immediate isolation of affected systems, network quarantine followed by longer-term containment, credential resets. </w:t>
      </w:r>
    </w:p>
    <w:p w14:paraId="2A72680A" w14:textId="77777777" w:rsidR="00460E73" w:rsidRDefault="00000000">
      <w:r>
        <w:t xml:space="preserve">Eradication &amp; Recovery: Identify root cause, remove malware, patch vulnerabilities. restore systems from clean, validated backups. Post-Incident activity lessons learned, mandatory review within 2 weeks. Document findings, update policies controls, and refine detection rules. This feedback loop is critical for maturity. </w:t>
      </w:r>
    </w:p>
    <w:p w14:paraId="13B77C75" w14:textId="012E6295" w:rsidR="002271D6" w:rsidRPr="002271D6" w:rsidRDefault="00000000">
      <w:pPr>
        <w:rPr>
          <w:sz w:val="28"/>
          <w:szCs w:val="28"/>
        </w:rPr>
      </w:pPr>
      <w:r w:rsidRPr="002271D6">
        <w:rPr>
          <w:sz w:val="28"/>
          <w:szCs w:val="28"/>
        </w:rPr>
        <w:t xml:space="preserve">7.0 Training and Awareness Program Technology alone is insufficient. Employees are the first and last line of defence. </w:t>
      </w:r>
    </w:p>
    <w:p w14:paraId="6F21DEED" w14:textId="77777777" w:rsidR="00460E73" w:rsidRDefault="00000000">
      <w:r>
        <w:t xml:space="preserve">Program Goal: To create a sustainable human firewall by fostering a culture of shared responsibility for data security. </w:t>
      </w:r>
    </w:p>
    <w:p w14:paraId="01721507" w14:textId="525B817E" w:rsidR="00460E73" w:rsidRDefault="00000000">
      <w:r>
        <w:t xml:space="preserve">Core </w:t>
      </w:r>
      <w:r w:rsidR="00AD51DD">
        <w:t>p</w:t>
      </w:r>
      <w:r>
        <w:t>rinciples</w:t>
      </w:r>
      <w:r w:rsidR="00AD51DD">
        <w:t xml:space="preserve"> c</w:t>
      </w:r>
      <w:r>
        <w:t xml:space="preserve">ontinuous, not annual move beyond annual checkbox training to ongoing engagement. </w:t>
      </w:r>
    </w:p>
    <w:p w14:paraId="109D5961" w14:textId="77777777" w:rsidR="00460E73" w:rsidRDefault="00000000">
      <w:r>
        <w:t xml:space="preserve">Role-Based: Tailor content for developers, data analysts, HR, and executives. Engaging &amp; Relevant: Use healthcare-specific scenarios, gamification, and phishing simulations. </w:t>
      </w:r>
    </w:p>
    <w:p w14:paraId="7F7A9BAD" w14:textId="77777777" w:rsidR="00460E73" w:rsidRDefault="00000000">
      <w:r>
        <w:lastRenderedPageBreak/>
        <w:t xml:space="preserve">Measured: Track metrics beyond completion rates, phishing click rates, reported incidents. </w:t>
      </w:r>
    </w:p>
    <w:p w14:paraId="60D23687" w14:textId="77777777" w:rsidR="002271D6" w:rsidRDefault="002271D6"/>
    <w:p w14:paraId="1DB34575" w14:textId="111B5680" w:rsidR="00460E73" w:rsidRDefault="00000000">
      <w:r>
        <w:t xml:space="preserve">Program Components: </w:t>
      </w:r>
    </w:p>
    <w:p w14:paraId="017C5048" w14:textId="77777777" w:rsidR="00460E73" w:rsidRDefault="00000000">
      <w:pPr>
        <w:numPr>
          <w:ilvl w:val="0"/>
          <w:numId w:val="4"/>
        </w:numPr>
      </w:pPr>
      <w:r>
        <w:t xml:space="preserve">Foundation Training Mandatory, on hire &amp; annually: </w:t>
      </w:r>
    </w:p>
    <w:p w14:paraId="1920852B" w14:textId="77777777" w:rsidR="00460E73" w:rsidRDefault="00000000">
      <w:r>
        <w:t xml:space="preserve">1.Core modules: data protection UK GDPR, acceptable use, password hygiene, phishing awareness, physical security, and Incident reporting procedures. </w:t>
      </w:r>
    </w:p>
    <w:p w14:paraId="0FA18024" w14:textId="77777777" w:rsidR="00460E73" w:rsidRDefault="00000000">
      <w:r>
        <w:t xml:space="preserve">Format: Interactive e-learning with short knowledge checks. </w:t>
      </w:r>
    </w:p>
    <w:p w14:paraId="41BDA8ED" w14:textId="77777777" w:rsidR="00460E73" w:rsidRDefault="00000000">
      <w:pPr>
        <w:numPr>
          <w:ilvl w:val="0"/>
          <w:numId w:val="1"/>
        </w:numPr>
      </w:pPr>
      <w:r>
        <w:t xml:space="preserve">Phishing simulation campaigns: Run controlled, internal phishing tests with increasing sophistication. Those who fail are automatically enrolled in a short, remedial training module. Celebrate and reward employees who consistently report simulations. </w:t>
      </w:r>
    </w:p>
    <w:p w14:paraId="24066501" w14:textId="77777777" w:rsidR="00460E73" w:rsidRDefault="00000000">
      <w:pPr>
        <w:numPr>
          <w:ilvl w:val="0"/>
          <w:numId w:val="1"/>
        </w:numPr>
      </w:pPr>
      <w:r>
        <w:t xml:space="preserve">Role-specific deep dives: </w:t>
      </w:r>
    </w:p>
    <w:p w14:paraId="245D8B84" w14:textId="77777777" w:rsidR="00460E73" w:rsidRDefault="00000000">
      <w:pPr>
        <w:numPr>
          <w:ilvl w:val="0"/>
          <w:numId w:val="1"/>
        </w:numPr>
      </w:pPr>
      <w:r>
        <w:t xml:space="preserve">Developers: Secure coding, policy, data analysts cloud engineers, secure data handling, cloud configuration best practices. </w:t>
      </w:r>
    </w:p>
    <w:p w14:paraId="33BE0A9D" w14:textId="77777777" w:rsidR="00460E73" w:rsidRDefault="00000000">
      <w:pPr>
        <w:numPr>
          <w:ilvl w:val="0"/>
          <w:numId w:val="1"/>
        </w:numPr>
      </w:pPr>
      <w:r>
        <w:t>Leadership Board: Cyber risk governance, regulatory responsibilities, crisis communication.</w:t>
      </w:r>
    </w:p>
    <w:p w14:paraId="1CAA03B3" w14:textId="77777777" w:rsidR="00460E73" w:rsidRDefault="00000000">
      <w:pPr>
        <w:numPr>
          <w:ilvl w:val="0"/>
          <w:numId w:val="1"/>
        </w:numPr>
      </w:pPr>
      <w:r>
        <w:t xml:space="preserve">Continuous Engagement: </w:t>
      </w:r>
    </w:p>
    <w:p w14:paraId="415CBBA0" w14:textId="77777777" w:rsidR="00460E73" w:rsidRDefault="00000000">
      <w:pPr>
        <w:numPr>
          <w:ilvl w:val="0"/>
          <w:numId w:val="1"/>
        </w:numPr>
      </w:pPr>
      <w:r>
        <w:t xml:space="preserve">Security champions network: Recruit volunteers from each department to disseminate messages and provide feedback. Monthly security bulletins short emails or intranet posts on topical threats, policy reminders, and positive security stories. Promote and simplify the reporting process for suspicious emails or activity, ensuring free culture for good-faith reports. </w:t>
      </w:r>
    </w:p>
    <w:p w14:paraId="3AA5BC35" w14:textId="77777777" w:rsidR="00460E73" w:rsidRDefault="00000000">
      <w:r>
        <w:t xml:space="preserve">8- Metrics &amp; Reporting: </w:t>
      </w:r>
    </w:p>
    <w:p w14:paraId="033208A3" w14:textId="77777777" w:rsidR="00460E73" w:rsidRDefault="00000000">
      <w:r>
        <w:t xml:space="preserve">Track: Training completion, phishing simulation click report rates, number of internal security incidents reported, time to report. Report metrics quarterly to the Board to demonstrate cultural progress. </w:t>
      </w:r>
    </w:p>
    <w:p w14:paraId="75393722" w14:textId="77777777" w:rsidR="002271D6" w:rsidRDefault="002271D6"/>
    <w:p w14:paraId="6DB863C4" w14:textId="77777777" w:rsidR="002271D6" w:rsidRDefault="002271D6"/>
    <w:p w14:paraId="65301FB4" w14:textId="77777777" w:rsidR="002271D6" w:rsidRDefault="002271D6"/>
    <w:p w14:paraId="011C9279" w14:textId="77777777" w:rsidR="002271D6" w:rsidRDefault="002271D6"/>
    <w:p w14:paraId="6FB15C46" w14:textId="77777777" w:rsidR="002271D6" w:rsidRDefault="002271D6"/>
    <w:p w14:paraId="33BF7C53" w14:textId="77777777" w:rsidR="002271D6" w:rsidRDefault="002271D6"/>
    <w:p w14:paraId="3706067E" w14:textId="77777777" w:rsidR="002271D6" w:rsidRDefault="002271D6"/>
    <w:p w14:paraId="4C92F253" w14:textId="77777777" w:rsidR="002271D6" w:rsidRDefault="002271D6"/>
    <w:p w14:paraId="3181FE5A" w14:textId="7D33F034" w:rsidR="00460E73" w:rsidRDefault="00000000" w:rsidP="002271D6">
      <w:pPr>
        <w:pStyle w:val="Heading1"/>
      </w:pPr>
      <w:bookmarkStart w:id="4" w:name="_Toc227301453"/>
      <w:r>
        <w:t>Conclusion</w:t>
      </w:r>
      <w:bookmarkEnd w:id="4"/>
      <w:r>
        <w:t xml:space="preserve"> </w:t>
      </w:r>
    </w:p>
    <w:p w14:paraId="630791D2" w14:textId="77777777" w:rsidR="00460E73" w:rsidRDefault="00000000">
      <w:r>
        <w:t xml:space="preserve">This framework provides HPA with a holistic, actionable plan to secure sensitive patient data, achieve compliance, and rebuild trust. The interconnected nature of the five pillars ensures defences are layered and resilient. </w:t>
      </w:r>
    </w:p>
    <w:p w14:paraId="34720EF0" w14:textId="77777777" w:rsidR="00460E73" w:rsidRDefault="00000000">
      <w:r>
        <w:t xml:space="preserve">Recommended Immediate Next Steps: </w:t>
      </w:r>
    </w:p>
    <w:p w14:paraId="16B3EB60" w14:textId="77777777" w:rsidR="00460E73" w:rsidRDefault="00000000">
      <w:pPr>
        <w:numPr>
          <w:ilvl w:val="0"/>
          <w:numId w:val="5"/>
        </w:numPr>
      </w:pPr>
      <w:r>
        <w:t xml:space="preserve">Board Approval &amp; Funding: Secure commitment and resources for implementation. </w:t>
      </w:r>
    </w:p>
    <w:p w14:paraId="0F5981B8" w14:textId="77777777" w:rsidR="00460E73" w:rsidRDefault="00000000">
      <w:pPr>
        <w:numPr>
          <w:ilvl w:val="0"/>
          <w:numId w:val="5"/>
        </w:numPr>
      </w:pPr>
      <w:r>
        <w:t xml:space="preserve">Project Initiation: Form a dedicated programme team with cross-functional representation IT, Security, Legal, HR, Operations. </w:t>
      </w:r>
    </w:p>
    <w:p w14:paraId="77D21A06" w14:textId="77777777" w:rsidR="00460E73" w:rsidRDefault="00000000">
      <w:pPr>
        <w:numPr>
          <w:ilvl w:val="0"/>
          <w:numId w:val="5"/>
        </w:numPr>
      </w:pPr>
      <w:r>
        <w:t xml:space="preserve">Policy Finalisation &amp; Communication: Finalise and formally communicate the new Security Policies. </w:t>
      </w:r>
    </w:p>
    <w:p w14:paraId="523D627F" w14:textId="78B85FE2" w:rsidR="00460E73" w:rsidRDefault="00000000">
      <w:pPr>
        <w:numPr>
          <w:ilvl w:val="0"/>
          <w:numId w:val="5"/>
        </w:numPr>
      </w:pPr>
      <w:r>
        <w:t xml:space="preserve">Technology collecting &amp; deployment: Begin collecting for critical tools identified like cloud security poster management, endpoint detection and response, security information and event </w:t>
      </w:r>
      <w:r w:rsidR="00AD51DD">
        <w:t>engagement</w:t>
      </w:r>
      <w:r>
        <w:t xml:space="preserve">, </w:t>
      </w:r>
      <w:r w:rsidR="00AD51DD">
        <w:t>privileged</w:t>
      </w:r>
      <w:r>
        <w:t xml:space="preserve"> access management, data loss prevention. </w:t>
      </w:r>
    </w:p>
    <w:p w14:paraId="17F887F8" w14:textId="77777777" w:rsidR="00460E73" w:rsidRDefault="00000000">
      <w:pPr>
        <w:pStyle w:val="ListParagraph"/>
        <w:numPr>
          <w:ilvl w:val="0"/>
          <w:numId w:val="5"/>
        </w:numPr>
      </w:pPr>
      <w:r>
        <w:t>Launch Phase 1 Training: Roll out the foundation training and first phishing simulation to all staff within 90 days. By adopting this proactive and comprehensive framework, HPA will not only protect the patients it serves but also secure its own future as a trusted leader in healthcare technology.</w:t>
      </w:r>
    </w:p>
    <w:p w14:paraId="3484E2CD" w14:textId="77777777" w:rsidR="00460E73" w:rsidRDefault="00460E73"/>
    <w:tbl>
      <w:tblPr>
        <w:tblStyle w:val="TableGrid"/>
        <w:tblpPr w:leftFromText="180" w:rightFromText="180" w:vertAnchor="page" w:tblpY="2173"/>
        <w:tblW w:w="9231" w:type="dxa"/>
        <w:tblInd w:w="0" w:type="dxa"/>
        <w:tblLook w:val="04A0" w:firstRow="1" w:lastRow="0" w:firstColumn="1" w:lastColumn="0" w:noHBand="0" w:noVBand="1"/>
      </w:tblPr>
      <w:tblGrid>
        <w:gridCol w:w="1968"/>
        <w:gridCol w:w="1969"/>
        <w:gridCol w:w="1969"/>
        <w:gridCol w:w="3325"/>
      </w:tblGrid>
      <w:tr w:rsidR="00460E73" w14:paraId="75AC5C5F" w14:textId="77777777">
        <w:trPr>
          <w:trHeight w:val="494"/>
        </w:trPr>
        <w:tc>
          <w:tcPr>
            <w:tcW w:w="1968" w:type="dxa"/>
            <w:tcBorders>
              <w:top w:val="single" w:sz="4" w:space="0" w:color="auto"/>
              <w:left w:val="single" w:sz="4" w:space="0" w:color="auto"/>
              <w:bottom w:val="single" w:sz="4" w:space="0" w:color="auto"/>
              <w:right w:val="single" w:sz="4" w:space="0" w:color="auto"/>
            </w:tcBorders>
          </w:tcPr>
          <w:p w14:paraId="68FDA4AB" w14:textId="77777777" w:rsidR="00460E73" w:rsidRDefault="00000000">
            <w:pPr>
              <w:spacing w:after="0" w:line="240" w:lineRule="auto"/>
              <w:rPr>
                <w:rFonts w:ascii="Arial" w:hAnsi="Arial" w:cs="Arial" w:hint="default"/>
                <w:color w:val="EE0000"/>
                <w:sz w:val="20"/>
                <w:szCs w:val="20"/>
              </w:rPr>
            </w:pPr>
            <w:r>
              <w:rPr>
                <w:rFonts w:ascii="Arial" w:eastAsia="Aptos" w:hAnsi="Arial" w:cs="Arial"/>
                <w:color w:val="EE0000"/>
                <w:sz w:val="20"/>
                <w:szCs w:val="20"/>
                <w:lang w:val="en-US" w:eastAsia="zh-CN" w:bidi="ar"/>
              </w:rPr>
              <w:lastRenderedPageBreak/>
              <w:t>Threat Category</w:t>
            </w:r>
          </w:p>
        </w:tc>
        <w:tc>
          <w:tcPr>
            <w:tcW w:w="1969" w:type="dxa"/>
            <w:tcBorders>
              <w:top w:val="single" w:sz="4" w:space="0" w:color="auto"/>
              <w:left w:val="single" w:sz="4" w:space="0" w:color="auto"/>
              <w:bottom w:val="single" w:sz="4" w:space="0" w:color="auto"/>
              <w:right w:val="single" w:sz="4" w:space="0" w:color="auto"/>
            </w:tcBorders>
          </w:tcPr>
          <w:p w14:paraId="65A317EC"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 xml:space="preserve"> Primary Target (Entry/Goal</w:t>
            </w:r>
          </w:p>
        </w:tc>
        <w:tc>
          <w:tcPr>
            <w:tcW w:w="1969" w:type="dxa"/>
            <w:tcBorders>
              <w:top w:val="single" w:sz="4" w:space="0" w:color="auto"/>
              <w:left w:val="single" w:sz="4" w:space="0" w:color="auto"/>
              <w:bottom w:val="single" w:sz="4" w:space="0" w:color="auto"/>
              <w:right w:val="single" w:sz="4" w:space="0" w:color="auto"/>
            </w:tcBorders>
          </w:tcPr>
          <w:p w14:paraId="3CD9B6D7"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Attack Method</w:t>
            </w:r>
          </w:p>
        </w:tc>
        <w:tc>
          <w:tcPr>
            <w:tcW w:w="3325" w:type="dxa"/>
            <w:tcBorders>
              <w:top w:val="single" w:sz="4" w:space="0" w:color="auto"/>
              <w:left w:val="single" w:sz="4" w:space="0" w:color="auto"/>
              <w:bottom w:val="single" w:sz="4" w:space="0" w:color="auto"/>
              <w:right w:val="single" w:sz="4" w:space="0" w:color="auto"/>
            </w:tcBorders>
          </w:tcPr>
          <w:p w14:paraId="0748247C" w14:textId="4D430C1F"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 xml:space="preserve">Primary </w:t>
            </w:r>
            <w:r w:rsidR="00AD51DD">
              <w:rPr>
                <w:rFonts w:ascii="Arial" w:eastAsia="Aptos" w:hAnsi="Arial" w:cs="Arial" w:hint="default"/>
                <w:sz w:val="20"/>
                <w:szCs w:val="20"/>
                <w:lang w:val="en-US" w:eastAsia="zh-CN" w:bidi="ar"/>
              </w:rPr>
              <w:t>Defense</w:t>
            </w:r>
            <w:r>
              <w:rPr>
                <w:rFonts w:ascii="Arial" w:eastAsia="Aptos" w:hAnsi="Arial" w:cs="Arial" w:hint="default"/>
                <w:sz w:val="20"/>
                <w:szCs w:val="20"/>
                <w:lang w:val="en-US" w:eastAsia="zh-CN" w:bidi="ar"/>
              </w:rPr>
              <w:t xml:space="preserve"> Mechanism</w:t>
            </w:r>
          </w:p>
        </w:tc>
      </w:tr>
      <w:tr w:rsidR="00460E73" w14:paraId="286DE924" w14:textId="77777777">
        <w:trPr>
          <w:trHeight w:val="1249"/>
        </w:trPr>
        <w:tc>
          <w:tcPr>
            <w:tcW w:w="1968" w:type="dxa"/>
            <w:tcBorders>
              <w:top w:val="single" w:sz="4" w:space="0" w:color="auto"/>
              <w:left w:val="single" w:sz="4" w:space="0" w:color="auto"/>
              <w:bottom w:val="single" w:sz="4" w:space="0" w:color="auto"/>
              <w:right w:val="single" w:sz="4" w:space="0" w:color="auto"/>
            </w:tcBorders>
          </w:tcPr>
          <w:p w14:paraId="7060929C" w14:textId="77777777" w:rsidR="00460E73" w:rsidRDefault="00000000">
            <w:pPr>
              <w:spacing w:after="0" w:line="240" w:lineRule="auto"/>
              <w:rPr>
                <w:rFonts w:ascii="Arial" w:hAnsi="Arial" w:cs="Arial" w:hint="default"/>
                <w:color w:val="EE0000"/>
                <w:sz w:val="20"/>
                <w:szCs w:val="20"/>
              </w:rPr>
            </w:pPr>
            <w:r>
              <w:rPr>
                <w:rFonts w:ascii="Arial" w:eastAsia="Aptos" w:hAnsi="Arial" w:cs="Arial" w:hint="default"/>
                <w:color w:val="EE0000"/>
                <w:sz w:val="20"/>
                <w:szCs w:val="20"/>
                <w:lang w:val="en-US" w:eastAsia="zh-CN" w:bidi="ar"/>
              </w:rPr>
              <w:t xml:space="preserve">Ransomware (Double Extortion) </w:t>
            </w:r>
          </w:p>
        </w:tc>
        <w:tc>
          <w:tcPr>
            <w:tcW w:w="1969" w:type="dxa"/>
            <w:tcBorders>
              <w:top w:val="single" w:sz="4" w:space="0" w:color="auto"/>
              <w:left w:val="single" w:sz="4" w:space="0" w:color="auto"/>
              <w:bottom w:val="single" w:sz="4" w:space="0" w:color="auto"/>
              <w:right w:val="single" w:sz="4" w:space="0" w:color="auto"/>
            </w:tcBorders>
          </w:tcPr>
          <w:p w14:paraId="43E54C4E"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 xml:space="preserve">User Devices &amp; Servers </w:t>
            </w:r>
          </w:p>
        </w:tc>
        <w:tc>
          <w:tcPr>
            <w:tcW w:w="1969" w:type="dxa"/>
            <w:tcBorders>
              <w:top w:val="single" w:sz="4" w:space="0" w:color="auto"/>
              <w:left w:val="single" w:sz="4" w:space="0" w:color="auto"/>
              <w:bottom w:val="single" w:sz="4" w:space="0" w:color="auto"/>
              <w:right w:val="single" w:sz="4" w:space="0" w:color="auto"/>
            </w:tcBorders>
          </w:tcPr>
          <w:p w14:paraId="4EAD19E3"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Encrypting local data followed by data exfiltration for blackmail purposes.</w:t>
            </w:r>
          </w:p>
        </w:tc>
        <w:tc>
          <w:tcPr>
            <w:tcW w:w="3325" w:type="dxa"/>
            <w:tcBorders>
              <w:top w:val="single" w:sz="4" w:space="0" w:color="auto"/>
              <w:left w:val="single" w:sz="4" w:space="0" w:color="auto"/>
              <w:bottom w:val="single" w:sz="4" w:space="0" w:color="auto"/>
              <w:right w:val="single" w:sz="4" w:space="0" w:color="auto"/>
            </w:tcBorders>
          </w:tcPr>
          <w:p w14:paraId="61C6F33A"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 xml:space="preserve"> Immutable Backup &amp; XDR: Storage that is isolated and cannot be removed by attackers.</w:t>
            </w:r>
          </w:p>
        </w:tc>
      </w:tr>
      <w:tr w:rsidR="00460E73" w14:paraId="72616AB5" w14:textId="77777777">
        <w:trPr>
          <w:trHeight w:val="1236"/>
        </w:trPr>
        <w:tc>
          <w:tcPr>
            <w:tcW w:w="1968" w:type="dxa"/>
            <w:tcBorders>
              <w:top w:val="single" w:sz="4" w:space="0" w:color="auto"/>
              <w:left w:val="single" w:sz="4" w:space="0" w:color="auto"/>
              <w:bottom w:val="single" w:sz="4" w:space="0" w:color="auto"/>
              <w:right w:val="single" w:sz="4" w:space="0" w:color="auto"/>
            </w:tcBorders>
          </w:tcPr>
          <w:p w14:paraId="1B95C13A" w14:textId="77777777" w:rsidR="00460E73" w:rsidRDefault="00000000">
            <w:pPr>
              <w:spacing w:after="0" w:line="240" w:lineRule="auto"/>
              <w:rPr>
                <w:rFonts w:ascii="Arial" w:hAnsi="Arial" w:cs="Arial" w:hint="default"/>
                <w:color w:val="EE0000"/>
                <w:sz w:val="20"/>
                <w:szCs w:val="20"/>
              </w:rPr>
            </w:pPr>
            <w:r>
              <w:rPr>
                <w:rFonts w:ascii="Arial" w:eastAsia="Aptos" w:hAnsi="Arial" w:cs="Arial" w:hint="default"/>
                <w:color w:val="EE0000"/>
                <w:sz w:val="20"/>
                <w:szCs w:val="20"/>
                <w:lang w:val="en-US" w:eastAsia="zh-CN" w:bidi="ar"/>
              </w:rPr>
              <w:t>Supply Chain Attack</w:t>
            </w:r>
          </w:p>
        </w:tc>
        <w:tc>
          <w:tcPr>
            <w:tcW w:w="1969" w:type="dxa"/>
            <w:tcBorders>
              <w:top w:val="single" w:sz="4" w:space="0" w:color="auto"/>
              <w:left w:val="single" w:sz="4" w:space="0" w:color="auto"/>
              <w:bottom w:val="single" w:sz="4" w:space="0" w:color="auto"/>
              <w:right w:val="single" w:sz="4" w:space="0" w:color="auto"/>
            </w:tcBorders>
          </w:tcPr>
          <w:p w14:paraId="5B229BEB"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Third-Party Software Updates</w:t>
            </w:r>
          </w:p>
        </w:tc>
        <w:tc>
          <w:tcPr>
            <w:tcW w:w="1969" w:type="dxa"/>
            <w:tcBorders>
              <w:top w:val="single" w:sz="4" w:space="0" w:color="auto"/>
              <w:left w:val="single" w:sz="4" w:space="0" w:color="auto"/>
              <w:bottom w:val="single" w:sz="4" w:space="0" w:color="auto"/>
              <w:right w:val="single" w:sz="4" w:space="0" w:color="auto"/>
            </w:tcBorders>
          </w:tcPr>
          <w:p w14:paraId="59C47C02"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Introducing malicious code into legitimate software provided by trusted vendors.</w:t>
            </w:r>
          </w:p>
        </w:tc>
        <w:tc>
          <w:tcPr>
            <w:tcW w:w="3325" w:type="dxa"/>
            <w:tcBorders>
              <w:top w:val="single" w:sz="4" w:space="0" w:color="auto"/>
              <w:left w:val="single" w:sz="4" w:space="0" w:color="auto"/>
              <w:bottom w:val="single" w:sz="4" w:space="0" w:color="auto"/>
              <w:right w:val="single" w:sz="4" w:space="0" w:color="auto"/>
            </w:tcBorders>
          </w:tcPr>
          <w:p w14:paraId="61D6394F"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Software Bill of Materials (SBOM): Thorough evaluation of third-party dependencies and code signing.</w:t>
            </w:r>
          </w:p>
        </w:tc>
      </w:tr>
      <w:tr w:rsidR="00460E73" w14:paraId="5CC0A682" w14:textId="77777777">
        <w:trPr>
          <w:trHeight w:val="1249"/>
        </w:trPr>
        <w:tc>
          <w:tcPr>
            <w:tcW w:w="1968" w:type="dxa"/>
            <w:tcBorders>
              <w:top w:val="single" w:sz="4" w:space="0" w:color="auto"/>
              <w:left w:val="single" w:sz="4" w:space="0" w:color="auto"/>
              <w:bottom w:val="single" w:sz="4" w:space="0" w:color="auto"/>
              <w:right w:val="single" w:sz="4" w:space="0" w:color="auto"/>
            </w:tcBorders>
          </w:tcPr>
          <w:p w14:paraId="1E4787E2" w14:textId="77777777" w:rsidR="00460E73" w:rsidRDefault="00000000">
            <w:pPr>
              <w:spacing w:after="0" w:line="240" w:lineRule="auto"/>
              <w:rPr>
                <w:rFonts w:ascii="Arial" w:hAnsi="Arial" w:cs="Arial" w:hint="default"/>
                <w:color w:val="EE0000"/>
                <w:sz w:val="20"/>
                <w:szCs w:val="20"/>
              </w:rPr>
            </w:pPr>
            <w:r>
              <w:rPr>
                <w:rFonts w:ascii="Arial" w:eastAsia="Aptos" w:hAnsi="Arial" w:cs="Arial" w:hint="default"/>
                <w:color w:val="EE0000"/>
                <w:sz w:val="20"/>
                <w:szCs w:val="20"/>
                <w:lang w:val="en-US" w:eastAsia="zh-CN" w:bidi="ar"/>
              </w:rPr>
              <w:t>Advanced Persistent Threat (APT</w:t>
            </w:r>
          </w:p>
        </w:tc>
        <w:tc>
          <w:tcPr>
            <w:tcW w:w="1969" w:type="dxa"/>
            <w:tcBorders>
              <w:top w:val="single" w:sz="4" w:space="0" w:color="auto"/>
              <w:left w:val="single" w:sz="4" w:space="0" w:color="auto"/>
              <w:bottom w:val="single" w:sz="4" w:space="0" w:color="auto"/>
              <w:right w:val="single" w:sz="4" w:space="0" w:color="auto"/>
            </w:tcBorders>
          </w:tcPr>
          <w:p w14:paraId="3934B2C2"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Network Infrastructure</w:t>
            </w:r>
          </w:p>
        </w:tc>
        <w:tc>
          <w:tcPr>
            <w:tcW w:w="1969" w:type="dxa"/>
            <w:tcBorders>
              <w:top w:val="single" w:sz="4" w:space="0" w:color="auto"/>
              <w:left w:val="single" w:sz="4" w:space="0" w:color="auto"/>
              <w:bottom w:val="single" w:sz="4" w:space="0" w:color="auto"/>
              <w:right w:val="single" w:sz="4" w:space="0" w:color="auto"/>
            </w:tcBorders>
          </w:tcPr>
          <w:p w14:paraId="35BA8528"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Covert, long-term infiltration to extract data or monitor communications.</w:t>
            </w:r>
          </w:p>
        </w:tc>
        <w:tc>
          <w:tcPr>
            <w:tcW w:w="3325" w:type="dxa"/>
            <w:tcBorders>
              <w:top w:val="single" w:sz="4" w:space="0" w:color="auto"/>
              <w:left w:val="single" w:sz="4" w:space="0" w:color="auto"/>
              <w:bottom w:val="single" w:sz="4" w:space="0" w:color="auto"/>
              <w:right w:val="single" w:sz="4" w:space="0" w:color="auto"/>
            </w:tcBorders>
          </w:tcPr>
          <w:p w14:paraId="4F9330B6"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 xml:space="preserve"> Network Micro-segmentation: Splitting the network into smaller segments to hinder lateral movement.</w:t>
            </w:r>
          </w:p>
        </w:tc>
      </w:tr>
      <w:tr w:rsidR="00460E73" w14:paraId="531BD1A9" w14:textId="77777777">
        <w:trPr>
          <w:trHeight w:val="1497"/>
        </w:trPr>
        <w:tc>
          <w:tcPr>
            <w:tcW w:w="1968" w:type="dxa"/>
            <w:tcBorders>
              <w:top w:val="single" w:sz="4" w:space="0" w:color="auto"/>
              <w:left w:val="single" w:sz="4" w:space="0" w:color="auto"/>
              <w:bottom w:val="single" w:sz="4" w:space="0" w:color="auto"/>
              <w:right w:val="single" w:sz="4" w:space="0" w:color="auto"/>
            </w:tcBorders>
          </w:tcPr>
          <w:p w14:paraId="65C0B4BF" w14:textId="77777777" w:rsidR="00460E73" w:rsidRDefault="00000000">
            <w:pPr>
              <w:spacing w:after="0" w:line="240" w:lineRule="auto"/>
              <w:rPr>
                <w:rFonts w:ascii="Arial" w:hAnsi="Arial" w:cs="Arial" w:hint="default"/>
                <w:color w:val="EE0000"/>
                <w:sz w:val="20"/>
                <w:szCs w:val="20"/>
              </w:rPr>
            </w:pPr>
            <w:r>
              <w:rPr>
                <w:rFonts w:ascii="Arial" w:eastAsia="Aptos" w:hAnsi="Arial" w:cs="Arial" w:hint="default"/>
                <w:color w:val="EE0000"/>
                <w:sz w:val="20"/>
                <w:szCs w:val="20"/>
                <w:lang w:val="en-US" w:eastAsia="zh-CN" w:bidi="ar"/>
              </w:rPr>
              <w:t>Business Email Compromise</w:t>
            </w:r>
          </w:p>
        </w:tc>
        <w:tc>
          <w:tcPr>
            <w:tcW w:w="1969" w:type="dxa"/>
            <w:tcBorders>
              <w:top w:val="single" w:sz="4" w:space="0" w:color="auto"/>
              <w:left w:val="single" w:sz="4" w:space="0" w:color="auto"/>
              <w:bottom w:val="single" w:sz="4" w:space="0" w:color="auto"/>
              <w:right w:val="single" w:sz="4" w:space="0" w:color="auto"/>
            </w:tcBorders>
          </w:tcPr>
          <w:p w14:paraId="2CE2F654"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Communication Platforms (Email/Teams</w:t>
            </w:r>
          </w:p>
        </w:tc>
        <w:tc>
          <w:tcPr>
            <w:tcW w:w="1969" w:type="dxa"/>
            <w:tcBorders>
              <w:top w:val="single" w:sz="4" w:space="0" w:color="auto"/>
              <w:left w:val="single" w:sz="4" w:space="0" w:color="auto"/>
              <w:bottom w:val="single" w:sz="4" w:space="0" w:color="auto"/>
              <w:right w:val="single" w:sz="4" w:space="0" w:color="auto"/>
            </w:tcBorders>
          </w:tcPr>
          <w:p w14:paraId="1A10C06C"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Employing social engineering or deepfakes to impersonate executives for financial gain.</w:t>
            </w:r>
          </w:p>
        </w:tc>
        <w:tc>
          <w:tcPr>
            <w:tcW w:w="3325" w:type="dxa"/>
            <w:tcBorders>
              <w:top w:val="single" w:sz="4" w:space="0" w:color="auto"/>
              <w:left w:val="single" w:sz="4" w:space="0" w:color="auto"/>
              <w:bottom w:val="single" w:sz="4" w:space="0" w:color="auto"/>
              <w:right w:val="single" w:sz="4" w:space="0" w:color="auto"/>
            </w:tcBorders>
          </w:tcPr>
          <w:p w14:paraId="0FB2A2CA"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 xml:space="preserve"> DMARC &amp; MFA: Enforcement of strict email authentication standards and hardware-based solutions.</w:t>
            </w:r>
          </w:p>
        </w:tc>
      </w:tr>
      <w:tr w:rsidR="00460E73" w14:paraId="1329AD77" w14:textId="77777777">
        <w:trPr>
          <w:trHeight w:val="1249"/>
        </w:trPr>
        <w:tc>
          <w:tcPr>
            <w:tcW w:w="1968" w:type="dxa"/>
            <w:tcBorders>
              <w:top w:val="single" w:sz="4" w:space="0" w:color="auto"/>
              <w:left w:val="single" w:sz="4" w:space="0" w:color="auto"/>
              <w:bottom w:val="single" w:sz="4" w:space="0" w:color="auto"/>
              <w:right w:val="single" w:sz="4" w:space="0" w:color="auto"/>
            </w:tcBorders>
          </w:tcPr>
          <w:p w14:paraId="6D4715A9" w14:textId="77777777" w:rsidR="00460E73" w:rsidRDefault="00460E73">
            <w:pPr>
              <w:spacing w:after="0" w:line="240" w:lineRule="auto"/>
              <w:rPr>
                <w:rFonts w:ascii="Arial" w:hAnsi="Arial" w:cs="Arial" w:hint="default"/>
                <w:color w:val="EE0000"/>
                <w:sz w:val="20"/>
                <w:szCs w:val="20"/>
              </w:rPr>
            </w:pPr>
          </w:p>
          <w:p w14:paraId="5B16E95B" w14:textId="77777777" w:rsidR="00460E73" w:rsidRDefault="00000000">
            <w:pPr>
              <w:spacing w:after="0" w:line="240" w:lineRule="auto"/>
              <w:rPr>
                <w:rFonts w:ascii="Arial" w:hAnsi="Arial" w:cs="Arial" w:hint="default"/>
                <w:color w:val="EE0000"/>
                <w:sz w:val="20"/>
                <w:szCs w:val="20"/>
              </w:rPr>
            </w:pPr>
            <w:r>
              <w:rPr>
                <w:rFonts w:ascii="Arial" w:eastAsia="Aptos" w:hAnsi="Arial" w:cs="Arial" w:hint="default"/>
                <w:color w:val="EE0000"/>
                <w:sz w:val="20"/>
                <w:szCs w:val="20"/>
                <w:lang w:val="en-US" w:eastAsia="zh-CN" w:bidi="ar"/>
              </w:rPr>
              <w:t>Zero-Day Exploit</w:t>
            </w:r>
          </w:p>
        </w:tc>
        <w:tc>
          <w:tcPr>
            <w:tcW w:w="1969" w:type="dxa"/>
            <w:tcBorders>
              <w:top w:val="single" w:sz="4" w:space="0" w:color="auto"/>
              <w:left w:val="single" w:sz="4" w:space="0" w:color="auto"/>
              <w:bottom w:val="single" w:sz="4" w:space="0" w:color="auto"/>
              <w:right w:val="single" w:sz="4" w:space="0" w:color="auto"/>
            </w:tcBorders>
          </w:tcPr>
          <w:p w14:paraId="190336BB"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Application Layer (Software)</w:t>
            </w:r>
          </w:p>
        </w:tc>
        <w:tc>
          <w:tcPr>
            <w:tcW w:w="1969" w:type="dxa"/>
            <w:tcBorders>
              <w:top w:val="single" w:sz="4" w:space="0" w:color="auto"/>
              <w:left w:val="single" w:sz="4" w:space="0" w:color="auto"/>
              <w:bottom w:val="single" w:sz="4" w:space="0" w:color="auto"/>
              <w:right w:val="single" w:sz="4" w:space="0" w:color="auto"/>
            </w:tcBorders>
          </w:tcPr>
          <w:p w14:paraId="2B576247"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Taking advantage of unpatched vulnerabilities in software that are not yet known</w:t>
            </w:r>
          </w:p>
        </w:tc>
        <w:tc>
          <w:tcPr>
            <w:tcW w:w="3325" w:type="dxa"/>
            <w:tcBorders>
              <w:top w:val="single" w:sz="4" w:space="0" w:color="auto"/>
              <w:left w:val="single" w:sz="4" w:space="0" w:color="auto"/>
              <w:bottom w:val="single" w:sz="4" w:space="0" w:color="auto"/>
              <w:right w:val="single" w:sz="4" w:space="0" w:color="auto"/>
            </w:tcBorders>
          </w:tcPr>
          <w:p w14:paraId="5261F610"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WAF &amp; Virtual Patching: Utilizing Web Application Firewalls to block suspicious traffic patterns.</w:t>
            </w:r>
          </w:p>
        </w:tc>
      </w:tr>
      <w:tr w:rsidR="00460E73" w14:paraId="7414576E" w14:textId="77777777">
        <w:trPr>
          <w:trHeight w:val="1744"/>
        </w:trPr>
        <w:tc>
          <w:tcPr>
            <w:tcW w:w="1968" w:type="dxa"/>
            <w:tcBorders>
              <w:top w:val="single" w:sz="4" w:space="0" w:color="auto"/>
              <w:left w:val="single" w:sz="4" w:space="0" w:color="auto"/>
              <w:bottom w:val="single" w:sz="4" w:space="0" w:color="auto"/>
              <w:right w:val="single" w:sz="4" w:space="0" w:color="auto"/>
            </w:tcBorders>
          </w:tcPr>
          <w:p w14:paraId="40F0660D" w14:textId="77777777" w:rsidR="00460E73" w:rsidRDefault="00460E73">
            <w:pPr>
              <w:spacing w:after="0" w:line="240" w:lineRule="auto"/>
              <w:rPr>
                <w:rFonts w:ascii="Arial" w:hAnsi="Arial" w:cs="Arial" w:hint="default"/>
                <w:color w:val="EE0000"/>
                <w:sz w:val="20"/>
                <w:szCs w:val="20"/>
              </w:rPr>
            </w:pPr>
          </w:p>
          <w:p w14:paraId="6187E6EC" w14:textId="77777777" w:rsidR="00460E73" w:rsidRDefault="00460E73">
            <w:pPr>
              <w:spacing w:after="0" w:line="240" w:lineRule="auto"/>
              <w:rPr>
                <w:rFonts w:ascii="Arial" w:hAnsi="Arial" w:cs="Arial" w:hint="default"/>
                <w:color w:val="EE0000"/>
                <w:sz w:val="20"/>
                <w:szCs w:val="20"/>
              </w:rPr>
            </w:pPr>
          </w:p>
          <w:p w14:paraId="35B2E2A6" w14:textId="77777777" w:rsidR="00460E73" w:rsidRDefault="00000000">
            <w:pPr>
              <w:spacing w:after="0" w:line="240" w:lineRule="auto"/>
              <w:rPr>
                <w:rFonts w:ascii="Arial" w:hAnsi="Arial" w:cs="Arial" w:hint="default"/>
                <w:color w:val="EE0000"/>
                <w:sz w:val="20"/>
                <w:szCs w:val="20"/>
              </w:rPr>
            </w:pPr>
            <w:r>
              <w:rPr>
                <w:rFonts w:ascii="Arial" w:eastAsia="Aptos" w:hAnsi="Arial" w:cs="Arial" w:hint="default"/>
                <w:color w:val="EE0000"/>
                <w:sz w:val="20"/>
                <w:szCs w:val="20"/>
                <w:lang w:val="en-US" w:eastAsia="zh-CN" w:bidi="ar"/>
              </w:rPr>
              <w:t>DDoS (Distributed Denial of Service)</w:t>
            </w:r>
          </w:p>
        </w:tc>
        <w:tc>
          <w:tcPr>
            <w:tcW w:w="1969" w:type="dxa"/>
            <w:tcBorders>
              <w:top w:val="single" w:sz="4" w:space="0" w:color="auto"/>
              <w:left w:val="single" w:sz="4" w:space="0" w:color="auto"/>
              <w:bottom w:val="single" w:sz="4" w:space="0" w:color="auto"/>
              <w:right w:val="single" w:sz="4" w:space="0" w:color="auto"/>
            </w:tcBorders>
          </w:tcPr>
          <w:p w14:paraId="2AADB7E6" w14:textId="77777777" w:rsidR="00460E73" w:rsidRDefault="00460E73">
            <w:pPr>
              <w:spacing w:after="0" w:line="240" w:lineRule="auto"/>
              <w:rPr>
                <w:rFonts w:ascii="Arial" w:hAnsi="Arial" w:cs="Arial" w:hint="default"/>
                <w:sz w:val="20"/>
                <w:szCs w:val="20"/>
              </w:rPr>
            </w:pPr>
          </w:p>
          <w:p w14:paraId="6574B1DE"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External Network Perimeter</w:t>
            </w:r>
            <w:r>
              <w:rPr>
                <w:rFonts w:ascii="Arial" w:eastAsia="Aptos" w:hAnsi="Arial" w:cs="Arial" w:hint="default"/>
                <w:sz w:val="20"/>
                <w:szCs w:val="20"/>
                <w:lang w:val="en-US" w:eastAsia="zh-CN" w:bidi="ar"/>
              </w:rPr>
              <w:tab/>
            </w:r>
          </w:p>
        </w:tc>
        <w:tc>
          <w:tcPr>
            <w:tcW w:w="1969" w:type="dxa"/>
            <w:tcBorders>
              <w:top w:val="single" w:sz="4" w:space="0" w:color="auto"/>
              <w:left w:val="single" w:sz="4" w:space="0" w:color="auto"/>
              <w:bottom w:val="single" w:sz="4" w:space="0" w:color="auto"/>
              <w:right w:val="single" w:sz="4" w:space="0" w:color="auto"/>
            </w:tcBorders>
          </w:tcPr>
          <w:p w14:paraId="48D87E25" w14:textId="77777777" w:rsidR="00460E73" w:rsidRDefault="00460E73">
            <w:pPr>
              <w:spacing w:after="0" w:line="240" w:lineRule="auto"/>
              <w:rPr>
                <w:rFonts w:ascii="Arial" w:hAnsi="Arial" w:cs="Arial" w:hint="default"/>
                <w:sz w:val="20"/>
                <w:szCs w:val="20"/>
              </w:rPr>
            </w:pPr>
          </w:p>
          <w:p w14:paraId="346C2BE2"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Overloading servers with excessive junk traffic to disrupt services.</w:t>
            </w:r>
          </w:p>
        </w:tc>
        <w:tc>
          <w:tcPr>
            <w:tcW w:w="3325" w:type="dxa"/>
            <w:tcBorders>
              <w:top w:val="single" w:sz="4" w:space="0" w:color="auto"/>
              <w:left w:val="single" w:sz="4" w:space="0" w:color="auto"/>
              <w:bottom w:val="single" w:sz="4" w:space="0" w:color="auto"/>
              <w:right w:val="single" w:sz="4" w:space="0" w:color="auto"/>
            </w:tcBorders>
          </w:tcPr>
          <w:p w14:paraId="34DC39CB" w14:textId="77777777" w:rsidR="00460E73" w:rsidRDefault="00460E73">
            <w:pPr>
              <w:spacing w:after="0" w:line="240" w:lineRule="auto"/>
              <w:rPr>
                <w:rFonts w:ascii="Arial" w:hAnsi="Arial" w:cs="Arial" w:hint="default"/>
                <w:sz w:val="20"/>
                <w:szCs w:val="20"/>
              </w:rPr>
            </w:pPr>
          </w:p>
          <w:p w14:paraId="7FA1FF87" w14:textId="24EBFB75"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 xml:space="preserve"> Cloud </w:t>
            </w:r>
            <w:r w:rsidR="00AD51DD">
              <w:rPr>
                <w:rFonts w:ascii="Arial" w:eastAsia="Aptos" w:hAnsi="Arial" w:cs="Arial" w:hint="default"/>
                <w:sz w:val="20"/>
                <w:szCs w:val="20"/>
                <w:lang w:val="en-US" w:eastAsia="zh-CN" w:bidi="ar"/>
              </w:rPr>
              <w:t>Centers</w:t>
            </w:r>
          </w:p>
          <w:p w14:paraId="04D4D5A2"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Employing traffic filtering services that manage and cleanse incoming data.</w:t>
            </w:r>
          </w:p>
        </w:tc>
      </w:tr>
      <w:tr w:rsidR="00460E73" w14:paraId="7BB2DA27" w14:textId="77777777">
        <w:trPr>
          <w:trHeight w:val="1236"/>
        </w:trPr>
        <w:tc>
          <w:tcPr>
            <w:tcW w:w="1968" w:type="dxa"/>
            <w:tcBorders>
              <w:top w:val="single" w:sz="4" w:space="0" w:color="auto"/>
              <w:left w:val="single" w:sz="4" w:space="0" w:color="auto"/>
              <w:bottom w:val="single" w:sz="4" w:space="0" w:color="auto"/>
              <w:right w:val="single" w:sz="4" w:space="0" w:color="auto"/>
            </w:tcBorders>
          </w:tcPr>
          <w:p w14:paraId="4B6AFDE9" w14:textId="77777777" w:rsidR="00460E73" w:rsidRDefault="00460E73">
            <w:pPr>
              <w:spacing w:after="0" w:line="240" w:lineRule="auto"/>
              <w:rPr>
                <w:rFonts w:ascii="Arial" w:hAnsi="Arial" w:cs="Arial" w:hint="default"/>
                <w:color w:val="EE0000"/>
                <w:sz w:val="20"/>
                <w:szCs w:val="20"/>
              </w:rPr>
            </w:pPr>
          </w:p>
          <w:p w14:paraId="629BC3A9" w14:textId="77777777" w:rsidR="00460E73" w:rsidRDefault="00000000">
            <w:pPr>
              <w:spacing w:after="0" w:line="240" w:lineRule="auto"/>
              <w:rPr>
                <w:rFonts w:ascii="Arial" w:hAnsi="Arial" w:cs="Arial" w:hint="default"/>
                <w:color w:val="EE0000"/>
                <w:sz w:val="20"/>
                <w:szCs w:val="20"/>
              </w:rPr>
            </w:pPr>
            <w:r>
              <w:rPr>
                <w:rFonts w:ascii="Arial" w:eastAsia="Aptos" w:hAnsi="Arial" w:cs="Arial" w:hint="default"/>
                <w:color w:val="EE0000"/>
                <w:sz w:val="20"/>
                <w:szCs w:val="20"/>
                <w:lang w:val="en-US" w:eastAsia="zh-CN" w:bidi="ar"/>
              </w:rPr>
              <w:t>Insider Threat Internal Databases</w:t>
            </w:r>
          </w:p>
        </w:tc>
        <w:tc>
          <w:tcPr>
            <w:tcW w:w="1969" w:type="dxa"/>
            <w:tcBorders>
              <w:top w:val="single" w:sz="4" w:space="0" w:color="auto"/>
              <w:left w:val="single" w:sz="4" w:space="0" w:color="auto"/>
              <w:bottom w:val="single" w:sz="4" w:space="0" w:color="auto"/>
              <w:right w:val="single" w:sz="4" w:space="0" w:color="auto"/>
            </w:tcBorders>
          </w:tcPr>
          <w:p w14:paraId="0CAE1971"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HR Systems</w:t>
            </w:r>
            <w:r>
              <w:rPr>
                <w:rFonts w:ascii="Arial" w:eastAsia="Aptos" w:hAnsi="Arial" w:cs="Arial" w:hint="default"/>
                <w:sz w:val="20"/>
                <w:szCs w:val="20"/>
                <w:lang w:val="en-US" w:eastAsia="zh-CN" w:bidi="ar"/>
              </w:rPr>
              <w:tab/>
              <w:t>Harmful or careless actions by authorized staff or contractors.</w:t>
            </w:r>
          </w:p>
        </w:tc>
        <w:tc>
          <w:tcPr>
            <w:tcW w:w="1969" w:type="dxa"/>
            <w:tcBorders>
              <w:top w:val="single" w:sz="4" w:space="0" w:color="auto"/>
              <w:left w:val="single" w:sz="4" w:space="0" w:color="auto"/>
              <w:bottom w:val="single" w:sz="4" w:space="0" w:color="auto"/>
              <w:right w:val="single" w:sz="4" w:space="0" w:color="auto"/>
            </w:tcBorders>
          </w:tcPr>
          <w:p w14:paraId="0E12BEDF" w14:textId="70A021A6"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 xml:space="preserve">User </w:t>
            </w:r>
            <w:r w:rsidR="00AD51DD">
              <w:rPr>
                <w:rFonts w:ascii="Arial" w:eastAsia="Aptos" w:hAnsi="Arial" w:cs="Arial" w:hint="default"/>
                <w:sz w:val="20"/>
                <w:szCs w:val="20"/>
                <w:lang w:val="en-US" w:eastAsia="zh-CN" w:bidi="ar"/>
              </w:rPr>
              <w:t>Behaviors</w:t>
            </w:r>
            <w:r>
              <w:rPr>
                <w:rFonts w:ascii="Arial" w:eastAsia="Aptos" w:hAnsi="Arial" w:cs="Arial" w:hint="default"/>
                <w:sz w:val="20"/>
                <w:szCs w:val="20"/>
                <w:lang w:val="en-US" w:eastAsia="zh-CN" w:bidi="ar"/>
              </w:rPr>
              <w:t xml:space="preserve"> Analytics</w:t>
            </w:r>
          </w:p>
        </w:tc>
        <w:tc>
          <w:tcPr>
            <w:tcW w:w="3325" w:type="dxa"/>
            <w:tcBorders>
              <w:top w:val="single" w:sz="4" w:space="0" w:color="auto"/>
              <w:left w:val="single" w:sz="4" w:space="0" w:color="auto"/>
              <w:bottom w:val="single" w:sz="4" w:space="0" w:color="auto"/>
              <w:right w:val="single" w:sz="4" w:space="0" w:color="auto"/>
            </w:tcBorders>
          </w:tcPr>
          <w:p w14:paraId="00313B0C"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 xml:space="preserve"> Monitoring data access or downloads, along with prohibiting USB usage.</w:t>
            </w:r>
          </w:p>
        </w:tc>
      </w:tr>
      <w:tr w:rsidR="00460E73" w14:paraId="05CA975E" w14:textId="77777777">
        <w:trPr>
          <w:trHeight w:val="1497"/>
        </w:trPr>
        <w:tc>
          <w:tcPr>
            <w:tcW w:w="1968" w:type="dxa"/>
            <w:tcBorders>
              <w:top w:val="single" w:sz="4" w:space="0" w:color="auto"/>
              <w:left w:val="single" w:sz="4" w:space="0" w:color="auto"/>
              <w:bottom w:val="single" w:sz="4" w:space="0" w:color="auto"/>
              <w:right w:val="single" w:sz="4" w:space="0" w:color="auto"/>
            </w:tcBorders>
          </w:tcPr>
          <w:p w14:paraId="1767FD1D" w14:textId="77777777" w:rsidR="00460E73" w:rsidRDefault="00460E73">
            <w:pPr>
              <w:spacing w:after="0" w:line="240" w:lineRule="auto"/>
              <w:rPr>
                <w:rFonts w:ascii="Arial" w:hAnsi="Arial" w:cs="Arial" w:hint="default"/>
                <w:color w:val="EE0000"/>
                <w:sz w:val="20"/>
                <w:szCs w:val="20"/>
              </w:rPr>
            </w:pPr>
          </w:p>
          <w:p w14:paraId="0B65F577" w14:textId="77777777" w:rsidR="00460E73" w:rsidRDefault="00000000">
            <w:pPr>
              <w:spacing w:after="0" w:line="240" w:lineRule="auto"/>
              <w:rPr>
                <w:rFonts w:ascii="Arial" w:hAnsi="Arial" w:cs="Arial" w:hint="default"/>
                <w:color w:val="EE0000"/>
                <w:sz w:val="20"/>
                <w:szCs w:val="20"/>
              </w:rPr>
            </w:pPr>
            <w:r>
              <w:rPr>
                <w:rFonts w:ascii="Arial" w:eastAsia="Aptos" w:hAnsi="Arial" w:cs="Arial" w:hint="default"/>
                <w:color w:val="EE0000"/>
                <w:sz w:val="20"/>
                <w:szCs w:val="20"/>
                <w:lang w:val="en-US" w:eastAsia="zh-CN" w:bidi="ar"/>
              </w:rPr>
              <w:t>Phishing Credential Harvesting</w:t>
            </w:r>
          </w:p>
        </w:tc>
        <w:tc>
          <w:tcPr>
            <w:tcW w:w="1969" w:type="dxa"/>
            <w:tcBorders>
              <w:top w:val="single" w:sz="4" w:space="0" w:color="auto"/>
              <w:left w:val="single" w:sz="4" w:space="0" w:color="auto"/>
              <w:bottom w:val="single" w:sz="4" w:space="0" w:color="auto"/>
              <w:right w:val="single" w:sz="4" w:space="0" w:color="auto"/>
            </w:tcBorders>
          </w:tcPr>
          <w:p w14:paraId="618684FC"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the Human ElementMisleading websites or messages aimed at capturing login credentials.</w:t>
            </w:r>
          </w:p>
        </w:tc>
        <w:tc>
          <w:tcPr>
            <w:tcW w:w="1969" w:type="dxa"/>
            <w:tcBorders>
              <w:top w:val="single" w:sz="4" w:space="0" w:color="auto"/>
              <w:left w:val="single" w:sz="4" w:space="0" w:color="auto"/>
              <w:bottom w:val="single" w:sz="4" w:space="0" w:color="auto"/>
              <w:right w:val="single" w:sz="4" w:space="0" w:color="auto"/>
            </w:tcBorders>
          </w:tcPr>
          <w:p w14:paraId="00A89E94" w14:textId="77777777"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Zero Trust Identity</w:t>
            </w:r>
          </w:p>
        </w:tc>
        <w:tc>
          <w:tcPr>
            <w:tcW w:w="3325" w:type="dxa"/>
            <w:tcBorders>
              <w:top w:val="single" w:sz="4" w:space="0" w:color="auto"/>
              <w:left w:val="single" w:sz="4" w:space="0" w:color="auto"/>
              <w:bottom w:val="single" w:sz="4" w:space="0" w:color="auto"/>
              <w:right w:val="single" w:sz="4" w:space="0" w:color="auto"/>
            </w:tcBorders>
          </w:tcPr>
          <w:p w14:paraId="5FD83DE0" w14:textId="5AF4C4A9" w:rsidR="00460E73" w:rsidRDefault="00000000">
            <w:pPr>
              <w:spacing w:after="0" w:line="240" w:lineRule="auto"/>
              <w:rPr>
                <w:rFonts w:ascii="Arial" w:hAnsi="Arial" w:cs="Arial" w:hint="default"/>
                <w:sz w:val="20"/>
                <w:szCs w:val="20"/>
              </w:rPr>
            </w:pPr>
            <w:r>
              <w:rPr>
                <w:rFonts w:ascii="Arial" w:eastAsia="Aptos" w:hAnsi="Arial" w:cs="Arial" w:hint="default"/>
                <w:sz w:val="20"/>
                <w:szCs w:val="20"/>
                <w:lang w:val="en-US" w:eastAsia="zh-CN" w:bidi="ar"/>
              </w:rPr>
              <w:t xml:space="preserve">Confirming identity based on device integrity, user location, and </w:t>
            </w:r>
            <w:r w:rsidR="00AD51DD">
              <w:rPr>
                <w:rFonts w:ascii="Arial" w:eastAsia="Aptos" w:hAnsi="Arial" w:cs="Arial" w:hint="default"/>
                <w:sz w:val="20"/>
                <w:szCs w:val="20"/>
                <w:lang w:val="en-US" w:eastAsia="zh-CN" w:bidi="ar"/>
              </w:rPr>
              <w:t>behavioral</w:t>
            </w:r>
            <w:r>
              <w:rPr>
                <w:rFonts w:ascii="Arial" w:eastAsia="Aptos" w:hAnsi="Arial" w:cs="Arial" w:hint="default"/>
                <w:sz w:val="20"/>
                <w:szCs w:val="20"/>
                <w:lang w:val="en-US" w:eastAsia="zh-CN" w:bidi="ar"/>
              </w:rPr>
              <w:t xml:space="preserve"> patterns.</w:t>
            </w:r>
          </w:p>
        </w:tc>
      </w:tr>
    </w:tbl>
    <w:p w14:paraId="481D99AF" w14:textId="2E47E523" w:rsidR="00460E73" w:rsidRPr="00C96AA0" w:rsidRDefault="00000000" w:rsidP="002271D6">
      <w:pPr>
        <w:pStyle w:val="Heading1"/>
        <w:rPr>
          <w:lang w:val="en-US"/>
        </w:rPr>
      </w:pPr>
      <w:bookmarkStart w:id="5" w:name="_Toc227301454"/>
      <w:r w:rsidRPr="00C96AA0">
        <w:rPr>
          <w:rFonts w:hint="eastAsia"/>
          <w:lang w:val="en-US" w:eastAsia="zh-CN" w:bidi="ar"/>
        </w:rPr>
        <w:t>Cyber Threat</w:t>
      </w:r>
      <w:r w:rsidR="00AD51DD" w:rsidRPr="00C96AA0">
        <w:rPr>
          <w:lang w:val="en-US" w:eastAsia="zh-CN" w:bidi="ar"/>
        </w:rPr>
        <w:t xml:space="preserve"> Table</w:t>
      </w:r>
      <w:r w:rsidRPr="00C96AA0">
        <w:rPr>
          <w:rFonts w:hint="eastAsia"/>
          <w:lang w:val="en-US" w:eastAsia="zh-CN" w:bidi="ar"/>
        </w:rPr>
        <w:t xml:space="preserve">: </w:t>
      </w:r>
      <w:r w:rsidR="00C96AA0" w:rsidRPr="00C96AA0">
        <w:rPr>
          <w:lang w:val="en-US" w:eastAsia="zh-CN" w:bidi="ar"/>
        </w:rPr>
        <w:t>Analyze</w:t>
      </w:r>
      <w:r w:rsidRPr="00C96AA0">
        <w:rPr>
          <w:rFonts w:hint="eastAsia"/>
          <w:lang w:val="en-US" w:eastAsia="zh-CN" w:bidi="ar"/>
        </w:rPr>
        <w:t xml:space="preserve"> and </w:t>
      </w:r>
      <w:r w:rsidR="00C96AA0" w:rsidRPr="00C96AA0">
        <w:rPr>
          <w:lang w:val="en-US" w:eastAsia="zh-CN" w:bidi="ar"/>
        </w:rPr>
        <w:t>Protect</w:t>
      </w:r>
      <w:r w:rsidRPr="00C96AA0">
        <w:rPr>
          <w:rFonts w:hint="eastAsia"/>
          <w:lang w:val="en-US" w:eastAsia="zh-CN" w:bidi="ar"/>
        </w:rPr>
        <w:t xml:space="preserve"> </w:t>
      </w:r>
      <w:r w:rsidR="00C96AA0" w:rsidRPr="00C96AA0">
        <w:rPr>
          <w:lang w:val="en-US" w:eastAsia="zh-CN" w:bidi="ar"/>
        </w:rPr>
        <w:t>Tools</w:t>
      </w:r>
      <w:bookmarkEnd w:id="5"/>
    </w:p>
    <w:p w14:paraId="329DB2AE" w14:textId="3CAE66D0" w:rsidR="00460E73" w:rsidRDefault="00460E73">
      <w:pPr>
        <w:spacing w:line="276" w:lineRule="auto"/>
        <w:rPr>
          <w:lang w:val="en-US"/>
        </w:rPr>
      </w:pPr>
    </w:p>
    <w:p w14:paraId="66DC8A76" w14:textId="77777777" w:rsidR="00460E73" w:rsidRDefault="00460E73"/>
    <w:p w14:paraId="00A74407" w14:textId="77777777" w:rsidR="00C96AA0" w:rsidRDefault="00C96AA0"/>
    <w:p w14:paraId="5A6ADB99" w14:textId="27B505DA" w:rsidR="00460E73" w:rsidRDefault="00460E73"/>
    <w:p w14:paraId="6592CC98" w14:textId="77777777" w:rsidR="00ED51F4" w:rsidRDefault="00ED51F4"/>
    <w:p w14:paraId="194591C6" w14:textId="77777777" w:rsidR="00ED51F4" w:rsidRDefault="00ED51F4"/>
    <w:p w14:paraId="28FE6428" w14:textId="0C17061A" w:rsidR="00ED51F4" w:rsidRDefault="00ED51F4">
      <w:r>
        <w:rPr>
          <w:noProof/>
          <w14:ligatures w14:val="none"/>
        </w:rPr>
        <w:drawing>
          <wp:inline distT="0" distB="0" distL="0" distR="0" wp14:anchorId="6A51BA42" wp14:editId="4B72618A">
            <wp:extent cx="5415981" cy="2348346"/>
            <wp:effectExtent l="0" t="0" r="0" b="0"/>
            <wp:docPr id="1669826149" name="Picture 1" descr="Essential cybersecurity components forming a comprehensive security strategy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826149" name="Picture 1" descr="Essential cybersecurity components forming a comprehensive security strategy framewor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458043" cy="2366584"/>
                    </a:xfrm>
                    <a:prstGeom prst="rect">
                      <a:avLst/>
                    </a:prstGeom>
                    <a:noFill/>
                    <a:ln>
                      <a:noFill/>
                    </a:ln>
                  </pic:spPr>
                </pic:pic>
              </a:graphicData>
            </a:graphic>
          </wp:inline>
        </w:drawing>
      </w:r>
    </w:p>
    <w:p w14:paraId="1AF96427" w14:textId="77777777" w:rsidR="00AC2603" w:rsidRPr="00AC2603" w:rsidRDefault="00AC2603" w:rsidP="00AC2603">
      <w:pPr>
        <w:rPr>
          <w:sz w:val="20"/>
          <w:szCs w:val="20"/>
        </w:rPr>
      </w:pPr>
      <w:r w:rsidRPr="00AC2603">
        <w:rPr>
          <w:b/>
          <w:bCs/>
          <w:sz w:val="20"/>
          <w:szCs w:val="20"/>
        </w:rPr>
        <w:t>Governance, Risk Management, and Compliance (GRC)</w:t>
      </w:r>
    </w:p>
    <w:p w14:paraId="6117719B" w14:textId="77777777" w:rsidR="000169AE" w:rsidRPr="00AC2603" w:rsidRDefault="000169AE">
      <w:pPr>
        <w:rPr>
          <w:sz w:val="20"/>
          <w:szCs w:val="20"/>
        </w:rPr>
      </w:pPr>
    </w:p>
    <w:tbl>
      <w:tblPr>
        <w:tblW w:w="11280" w:type="dxa"/>
        <w:tblInd w:w="108" w:type="dxa"/>
        <w:tblCellMar>
          <w:top w:w="15" w:type="dxa"/>
          <w:left w:w="15" w:type="dxa"/>
          <w:bottom w:w="15" w:type="dxa"/>
          <w:right w:w="15" w:type="dxa"/>
        </w:tblCellMar>
        <w:tblLook w:val="04A0" w:firstRow="1" w:lastRow="0" w:firstColumn="1" w:lastColumn="0" w:noHBand="0" w:noVBand="1"/>
      </w:tblPr>
      <w:tblGrid>
        <w:gridCol w:w="1199"/>
        <w:gridCol w:w="4808"/>
        <w:gridCol w:w="5273"/>
      </w:tblGrid>
      <w:tr w:rsidR="00AC2603" w:rsidRPr="00AC2603" w14:paraId="5186E3C8" w14:textId="77777777">
        <w:tc>
          <w:tcPr>
            <w:tcW w:w="0" w:type="auto"/>
            <w:tcBorders>
              <w:top w:val="nil"/>
              <w:left w:val="nil"/>
              <w:bottom w:val="nil"/>
              <w:right w:val="nil"/>
            </w:tcBorders>
            <w:tcMar>
              <w:top w:w="150" w:type="dxa"/>
              <w:left w:w="0" w:type="dxa"/>
              <w:bottom w:w="150" w:type="dxa"/>
              <w:right w:w="240" w:type="dxa"/>
            </w:tcMar>
            <w:vAlign w:val="center"/>
            <w:hideMark/>
          </w:tcPr>
          <w:p w14:paraId="0FD03C3B" w14:textId="77777777" w:rsidR="00AC2603" w:rsidRPr="00AC2603" w:rsidRDefault="00AC2603" w:rsidP="00296E5A">
            <w:pPr>
              <w:jc w:val="center"/>
              <w:rPr>
                <w:sz w:val="20"/>
                <w:szCs w:val="20"/>
              </w:rPr>
            </w:pPr>
            <w:r w:rsidRPr="00AC2603">
              <w:rPr>
                <w:b/>
                <w:bCs/>
                <w:sz w:val="20"/>
                <w:szCs w:val="20"/>
              </w:rPr>
              <w:t>Feature</w:t>
            </w:r>
          </w:p>
        </w:tc>
        <w:tc>
          <w:tcPr>
            <w:tcW w:w="0" w:type="auto"/>
            <w:tcBorders>
              <w:top w:val="nil"/>
              <w:left w:val="nil"/>
              <w:bottom w:val="nil"/>
              <w:right w:val="nil"/>
            </w:tcBorders>
            <w:tcMar>
              <w:top w:w="150" w:type="dxa"/>
              <w:left w:w="240" w:type="dxa"/>
              <w:bottom w:w="150" w:type="dxa"/>
              <w:right w:w="240" w:type="dxa"/>
            </w:tcMar>
            <w:vAlign w:val="center"/>
            <w:hideMark/>
          </w:tcPr>
          <w:p w14:paraId="42A350C4" w14:textId="77777777" w:rsidR="00AC2603" w:rsidRPr="00AC2603" w:rsidRDefault="00AC2603" w:rsidP="00296E5A">
            <w:pPr>
              <w:jc w:val="center"/>
              <w:rPr>
                <w:sz w:val="20"/>
                <w:szCs w:val="20"/>
              </w:rPr>
            </w:pPr>
            <w:r w:rsidRPr="00AC2603">
              <w:rPr>
                <w:b/>
                <w:bCs/>
                <w:sz w:val="20"/>
                <w:szCs w:val="20"/>
              </w:rPr>
              <w:t>ISO/IEC 27001</w:t>
            </w:r>
          </w:p>
        </w:tc>
        <w:tc>
          <w:tcPr>
            <w:tcW w:w="0" w:type="auto"/>
            <w:tcBorders>
              <w:top w:val="nil"/>
              <w:left w:val="nil"/>
              <w:bottom w:val="nil"/>
              <w:right w:val="nil"/>
            </w:tcBorders>
            <w:tcMar>
              <w:top w:w="150" w:type="dxa"/>
              <w:left w:w="240" w:type="dxa"/>
              <w:bottom w:w="150" w:type="dxa"/>
              <w:right w:w="240" w:type="dxa"/>
            </w:tcMar>
            <w:vAlign w:val="center"/>
            <w:hideMark/>
          </w:tcPr>
          <w:p w14:paraId="0E5E44ED" w14:textId="77777777" w:rsidR="00AC2603" w:rsidRPr="00AC2603" w:rsidRDefault="00AC2603" w:rsidP="00296E5A">
            <w:pPr>
              <w:rPr>
                <w:sz w:val="20"/>
                <w:szCs w:val="20"/>
              </w:rPr>
            </w:pPr>
            <w:r w:rsidRPr="00AC2603">
              <w:rPr>
                <w:b/>
                <w:bCs/>
                <w:sz w:val="20"/>
                <w:szCs w:val="20"/>
              </w:rPr>
              <w:t>NIST Cybersecurity Framework (CSF)</w:t>
            </w:r>
          </w:p>
        </w:tc>
      </w:tr>
      <w:tr w:rsidR="00AC2603" w:rsidRPr="00AC2603" w14:paraId="4ACB4855" w14:textId="77777777">
        <w:tc>
          <w:tcPr>
            <w:tcW w:w="0" w:type="auto"/>
            <w:tcBorders>
              <w:top w:val="nil"/>
              <w:left w:val="nil"/>
              <w:bottom w:val="nil"/>
              <w:right w:val="nil"/>
            </w:tcBorders>
            <w:tcMar>
              <w:top w:w="150" w:type="dxa"/>
              <w:left w:w="0" w:type="dxa"/>
              <w:bottom w:w="150" w:type="dxa"/>
              <w:right w:w="240" w:type="dxa"/>
            </w:tcMar>
            <w:vAlign w:val="center"/>
            <w:hideMark/>
          </w:tcPr>
          <w:p w14:paraId="3EDD4586" w14:textId="77777777" w:rsidR="00AC2603" w:rsidRPr="00AC2603" w:rsidRDefault="00AC2603" w:rsidP="00296E5A">
            <w:pPr>
              <w:jc w:val="center"/>
              <w:rPr>
                <w:sz w:val="20"/>
                <w:szCs w:val="20"/>
              </w:rPr>
            </w:pPr>
            <w:r w:rsidRPr="00AC2603">
              <w:rPr>
                <w:b/>
                <w:bCs/>
                <w:sz w:val="20"/>
                <w:szCs w:val="20"/>
              </w:rPr>
              <w:t>Origin</w:t>
            </w:r>
          </w:p>
        </w:tc>
        <w:tc>
          <w:tcPr>
            <w:tcW w:w="0" w:type="auto"/>
            <w:tcBorders>
              <w:top w:val="nil"/>
              <w:left w:val="nil"/>
              <w:bottom w:val="nil"/>
              <w:right w:val="nil"/>
            </w:tcBorders>
            <w:tcMar>
              <w:top w:w="150" w:type="dxa"/>
              <w:left w:w="240" w:type="dxa"/>
              <w:bottom w:w="150" w:type="dxa"/>
              <w:right w:w="240" w:type="dxa"/>
            </w:tcMar>
            <w:vAlign w:val="center"/>
            <w:hideMark/>
          </w:tcPr>
          <w:p w14:paraId="49C105AA" w14:textId="77777777" w:rsidR="00AC2603" w:rsidRPr="00AC2603" w:rsidRDefault="00AC2603" w:rsidP="00296E5A">
            <w:pPr>
              <w:jc w:val="center"/>
              <w:rPr>
                <w:sz w:val="20"/>
                <w:szCs w:val="20"/>
              </w:rPr>
            </w:pPr>
            <w:r w:rsidRPr="00AC2603">
              <w:rPr>
                <w:sz w:val="20"/>
                <w:szCs w:val="20"/>
              </w:rPr>
              <w:t>International Organization for Standardization (ISO)</w:t>
            </w:r>
          </w:p>
        </w:tc>
        <w:tc>
          <w:tcPr>
            <w:tcW w:w="0" w:type="auto"/>
            <w:tcBorders>
              <w:top w:val="nil"/>
              <w:left w:val="nil"/>
              <w:bottom w:val="nil"/>
              <w:right w:val="nil"/>
            </w:tcBorders>
            <w:tcMar>
              <w:top w:w="150" w:type="dxa"/>
              <w:left w:w="240" w:type="dxa"/>
              <w:bottom w:w="150" w:type="dxa"/>
              <w:right w:w="0" w:type="dxa"/>
            </w:tcMar>
            <w:vAlign w:val="center"/>
            <w:hideMark/>
          </w:tcPr>
          <w:p w14:paraId="0D031863" w14:textId="77777777" w:rsidR="00AC2603" w:rsidRPr="00AC2603" w:rsidRDefault="00AC2603" w:rsidP="00296E5A">
            <w:pPr>
              <w:rPr>
                <w:sz w:val="20"/>
                <w:szCs w:val="20"/>
              </w:rPr>
            </w:pPr>
            <w:r w:rsidRPr="00AC2603">
              <w:rPr>
                <w:sz w:val="20"/>
                <w:szCs w:val="20"/>
              </w:rPr>
              <w:t>U.S. National Institute of Standards and Technology (NIST)</w:t>
            </w:r>
          </w:p>
        </w:tc>
      </w:tr>
      <w:tr w:rsidR="00AC2603" w:rsidRPr="00AC2603" w14:paraId="580978C5" w14:textId="77777777">
        <w:tc>
          <w:tcPr>
            <w:tcW w:w="0" w:type="auto"/>
            <w:tcBorders>
              <w:top w:val="nil"/>
              <w:left w:val="nil"/>
              <w:bottom w:val="nil"/>
              <w:right w:val="nil"/>
            </w:tcBorders>
            <w:tcMar>
              <w:top w:w="150" w:type="dxa"/>
              <w:left w:w="0" w:type="dxa"/>
              <w:bottom w:w="150" w:type="dxa"/>
              <w:right w:w="240" w:type="dxa"/>
            </w:tcMar>
            <w:vAlign w:val="center"/>
            <w:hideMark/>
          </w:tcPr>
          <w:p w14:paraId="73A2D1D2" w14:textId="77777777" w:rsidR="00AC2603" w:rsidRPr="00AC2603" w:rsidRDefault="00AC2603" w:rsidP="00296E5A">
            <w:pPr>
              <w:jc w:val="center"/>
              <w:rPr>
                <w:sz w:val="20"/>
                <w:szCs w:val="20"/>
              </w:rPr>
            </w:pPr>
            <w:r w:rsidRPr="00AC2603">
              <w:rPr>
                <w:b/>
                <w:bCs/>
                <w:sz w:val="20"/>
                <w:szCs w:val="20"/>
              </w:rPr>
              <w:t>Structure</w:t>
            </w:r>
          </w:p>
        </w:tc>
        <w:tc>
          <w:tcPr>
            <w:tcW w:w="0" w:type="auto"/>
            <w:tcBorders>
              <w:top w:val="nil"/>
              <w:left w:val="nil"/>
              <w:bottom w:val="nil"/>
              <w:right w:val="nil"/>
            </w:tcBorders>
            <w:tcMar>
              <w:top w:w="150" w:type="dxa"/>
              <w:left w:w="240" w:type="dxa"/>
              <w:bottom w:w="150" w:type="dxa"/>
              <w:right w:w="240" w:type="dxa"/>
            </w:tcMar>
            <w:vAlign w:val="center"/>
            <w:hideMark/>
          </w:tcPr>
          <w:p w14:paraId="4858698A" w14:textId="77777777" w:rsidR="00AC2603" w:rsidRPr="00AC2603" w:rsidRDefault="00AC2603" w:rsidP="00296E5A">
            <w:pPr>
              <w:jc w:val="center"/>
              <w:rPr>
                <w:sz w:val="20"/>
                <w:szCs w:val="20"/>
              </w:rPr>
            </w:pPr>
            <w:r w:rsidRPr="00AC2603">
              <w:rPr>
                <w:sz w:val="20"/>
                <w:szCs w:val="20"/>
              </w:rPr>
              <w:t>Prescriptive; requires implementation of specific controls (Annex A) within an ISMS.</w:t>
            </w:r>
          </w:p>
        </w:tc>
        <w:tc>
          <w:tcPr>
            <w:tcW w:w="0" w:type="auto"/>
            <w:tcBorders>
              <w:top w:val="nil"/>
              <w:left w:val="nil"/>
              <w:bottom w:val="nil"/>
              <w:right w:val="nil"/>
            </w:tcBorders>
            <w:tcMar>
              <w:top w:w="150" w:type="dxa"/>
              <w:left w:w="240" w:type="dxa"/>
              <w:bottom w:w="150" w:type="dxa"/>
              <w:right w:w="0" w:type="dxa"/>
            </w:tcMar>
            <w:vAlign w:val="center"/>
            <w:hideMark/>
          </w:tcPr>
          <w:p w14:paraId="02D59D8A" w14:textId="77777777" w:rsidR="00AC2603" w:rsidRPr="00AC2603" w:rsidRDefault="00AC2603" w:rsidP="00296E5A">
            <w:pPr>
              <w:rPr>
                <w:sz w:val="20"/>
                <w:szCs w:val="20"/>
              </w:rPr>
            </w:pPr>
            <w:r w:rsidRPr="00AC2603">
              <w:rPr>
                <w:sz w:val="20"/>
                <w:szCs w:val="20"/>
              </w:rPr>
              <w:t>Framework-based; organised around 5 core functions: Identify, Protect, Detect, Respond, Recover.</w:t>
            </w:r>
          </w:p>
        </w:tc>
      </w:tr>
      <w:tr w:rsidR="00AC2603" w:rsidRPr="00AC2603" w14:paraId="2E9BF91A" w14:textId="77777777">
        <w:tc>
          <w:tcPr>
            <w:tcW w:w="0" w:type="auto"/>
            <w:tcBorders>
              <w:top w:val="nil"/>
              <w:left w:val="nil"/>
              <w:bottom w:val="nil"/>
              <w:right w:val="nil"/>
            </w:tcBorders>
            <w:tcMar>
              <w:top w:w="150" w:type="dxa"/>
              <w:left w:w="0" w:type="dxa"/>
              <w:bottom w:w="150" w:type="dxa"/>
              <w:right w:w="240" w:type="dxa"/>
            </w:tcMar>
            <w:vAlign w:val="center"/>
            <w:hideMark/>
          </w:tcPr>
          <w:p w14:paraId="7E6AFBE6" w14:textId="77777777" w:rsidR="00AC2603" w:rsidRPr="00AC2603" w:rsidRDefault="00AC2603" w:rsidP="00296E5A">
            <w:pPr>
              <w:jc w:val="center"/>
              <w:rPr>
                <w:sz w:val="20"/>
                <w:szCs w:val="20"/>
              </w:rPr>
            </w:pPr>
            <w:r w:rsidRPr="00AC2603">
              <w:rPr>
                <w:b/>
                <w:bCs/>
                <w:sz w:val="20"/>
                <w:szCs w:val="20"/>
              </w:rPr>
              <w:t>Focus</w:t>
            </w:r>
          </w:p>
        </w:tc>
        <w:tc>
          <w:tcPr>
            <w:tcW w:w="0" w:type="auto"/>
            <w:tcBorders>
              <w:top w:val="nil"/>
              <w:left w:val="nil"/>
              <w:bottom w:val="nil"/>
              <w:right w:val="nil"/>
            </w:tcBorders>
            <w:tcMar>
              <w:top w:w="150" w:type="dxa"/>
              <w:left w:w="240" w:type="dxa"/>
              <w:bottom w:w="150" w:type="dxa"/>
              <w:right w:w="240" w:type="dxa"/>
            </w:tcMar>
            <w:vAlign w:val="center"/>
            <w:hideMark/>
          </w:tcPr>
          <w:p w14:paraId="694EB1B2" w14:textId="77777777" w:rsidR="00AC2603" w:rsidRPr="00AC2603" w:rsidRDefault="00AC2603" w:rsidP="00296E5A">
            <w:pPr>
              <w:jc w:val="center"/>
              <w:rPr>
                <w:sz w:val="20"/>
                <w:szCs w:val="20"/>
              </w:rPr>
            </w:pPr>
            <w:r w:rsidRPr="00AC2603">
              <w:rPr>
                <w:sz w:val="20"/>
                <w:szCs w:val="20"/>
              </w:rPr>
              <w:t>Process and certification. Demonstrates a formal, audited ISMS.</w:t>
            </w:r>
          </w:p>
        </w:tc>
        <w:tc>
          <w:tcPr>
            <w:tcW w:w="0" w:type="auto"/>
            <w:tcBorders>
              <w:top w:val="nil"/>
              <w:left w:val="nil"/>
              <w:bottom w:val="nil"/>
              <w:right w:val="nil"/>
            </w:tcBorders>
            <w:tcMar>
              <w:top w:w="150" w:type="dxa"/>
              <w:left w:w="240" w:type="dxa"/>
              <w:bottom w:w="150" w:type="dxa"/>
              <w:right w:w="0" w:type="dxa"/>
            </w:tcMar>
            <w:vAlign w:val="center"/>
            <w:hideMark/>
          </w:tcPr>
          <w:p w14:paraId="0B03DF58" w14:textId="77777777" w:rsidR="00AC2603" w:rsidRPr="00AC2603" w:rsidRDefault="00AC2603" w:rsidP="00296E5A">
            <w:pPr>
              <w:rPr>
                <w:sz w:val="20"/>
                <w:szCs w:val="20"/>
              </w:rPr>
            </w:pPr>
            <w:r w:rsidRPr="00AC2603">
              <w:rPr>
                <w:sz w:val="20"/>
                <w:szCs w:val="20"/>
              </w:rPr>
              <w:t>Risk management and outcomes. Provides a common language for cybersecurity risk.</w:t>
            </w:r>
          </w:p>
        </w:tc>
      </w:tr>
      <w:tr w:rsidR="00AC2603" w:rsidRPr="00AC2603" w14:paraId="1104CABA" w14:textId="77777777">
        <w:tc>
          <w:tcPr>
            <w:tcW w:w="0" w:type="auto"/>
            <w:tcBorders>
              <w:top w:val="nil"/>
              <w:left w:val="nil"/>
              <w:bottom w:val="nil"/>
              <w:right w:val="nil"/>
            </w:tcBorders>
            <w:tcMar>
              <w:top w:w="150" w:type="dxa"/>
              <w:left w:w="0" w:type="dxa"/>
              <w:bottom w:w="150" w:type="dxa"/>
              <w:right w:w="240" w:type="dxa"/>
            </w:tcMar>
            <w:vAlign w:val="center"/>
            <w:hideMark/>
          </w:tcPr>
          <w:p w14:paraId="30B034E3" w14:textId="77777777" w:rsidR="00AC2603" w:rsidRPr="00AC2603" w:rsidRDefault="00AC2603" w:rsidP="00296E5A">
            <w:pPr>
              <w:jc w:val="center"/>
              <w:rPr>
                <w:sz w:val="20"/>
                <w:szCs w:val="20"/>
              </w:rPr>
            </w:pPr>
            <w:r w:rsidRPr="00AC2603">
              <w:rPr>
                <w:b/>
                <w:bCs/>
                <w:sz w:val="20"/>
                <w:szCs w:val="20"/>
              </w:rPr>
              <w:t>Typical Use</w:t>
            </w:r>
          </w:p>
        </w:tc>
        <w:tc>
          <w:tcPr>
            <w:tcW w:w="0" w:type="auto"/>
            <w:tcBorders>
              <w:top w:val="nil"/>
              <w:left w:val="nil"/>
              <w:bottom w:val="nil"/>
              <w:right w:val="nil"/>
            </w:tcBorders>
            <w:tcMar>
              <w:top w:w="150" w:type="dxa"/>
              <w:left w:w="240" w:type="dxa"/>
              <w:bottom w:w="150" w:type="dxa"/>
              <w:right w:w="240" w:type="dxa"/>
            </w:tcMar>
            <w:vAlign w:val="center"/>
            <w:hideMark/>
          </w:tcPr>
          <w:p w14:paraId="72E9A527" w14:textId="77777777" w:rsidR="00AC2603" w:rsidRPr="00AC2603" w:rsidRDefault="00AC2603" w:rsidP="00296E5A">
            <w:pPr>
              <w:jc w:val="center"/>
              <w:rPr>
                <w:sz w:val="20"/>
                <w:szCs w:val="20"/>
              </w:rPr>
            </w:pPr>
            <w:r w:rsidRPr="00AC2603">
              <w:rPr>
                <w:sz w:val="20"/>
                <w:szCs w:val="20"/>
              </w:rPr>
              <w:t>Formal certification, regulatory compliance, structured ISMS implementation.</w:t>
            </w:r>
          </w:p>
        </w:tc>
        <w:tc>
          <w:tcPr>
            <w:tcW w:w="0" w:type="auto"/>
            <w:tcBorders>
              <w:top w:val="nil"/>
              <w:left w:val="nil"/>
              <w:bottom w:val="nil"/>
              <w:right w:val="nil"/>
            </w:tcBorders>
            <w:tcMar>
              <w:top w:w="150" w:type="dxa"/>
              <w:left w:w="240" w:type="dxa"/>
              <w:bottom w:w="150" w:type="dxa"/>
              <w:right w:w="0" w:type="dxa"/>
            </w:tcMar>
            <w:vAlign w:val="center"/>
            <w:hideMark/>
          </w:tcPr>
          <w:p w14:paraId="0871CE52" w14:textId="77777777" w:rsidR="00AC2603" w:rsidRPr="00AC2603" w:rsidRDefault="00AC2603" w:rsidP="00296E5A">
            <w:pPr>
              <w:rPr>
                <w:sz w:val="20"/>
                <w:szCs w:val="20"/>
              </w:rPr>
            </w:pPr>
            <w:r w:rsidRPr="00AC2603">
              <w:rPr>
                <w:sz w:val="20"/>
                <w:szCs w:val="20"/>
              </w:rPr>
              <w:t>Strategic planning, maturity assessment, and cross-functional risk communication.</w:t>
            </w:r>
          </w:p>
        </w:tc>
      </w:tr>
      <w:tr w:rsidR="00AC2603" w:rsidRPr="00AC2603" w14:paraId="6D281D04" w14:textId="77777777">
        <w:tc>
          <w:tcPr>
            <w:tcW w:w="0" w:type="auto"/>
            <w:tcBorders>
              <w:top w:val="nil"/>
              <w:left w:val="nil"/>
              <w:bottom w:val="nil"/>
              <w:right w:val="nil"/>
            </w:tcBorders>
            <w:tcMar>
              <w:top w:w="150" w:type="dxa"/>
              <w:left w:w="0" w:type="dxa"/>
              <w:bottom w:w="150" w:type="dxa"/>
              <w:right w:w="240" w:type="dxa"/>
            </w:tcMar>
            <w:vAlign w:val="center"/>
            <w:hideMark/>
          </w:tcPr>
          <w:p w14:paraId="7FE1F81D" w14:textId="77777777" w:rsidR="00AC2603" w:rsidRPr="00AC2603" w:rsidRDefault="00AC2603" w:rsidP="00296E5A">
            <w:pPr>
              <w:jc w:val="center"/>
              <w:rPr>
                <w:sz w:val="20"/>
                <w:szCs w:val="20"/>
              </w:rPr>
            </w:pPr>
            <w:r w:rsidRPr="00AC2603">
              <w:rPr>
                <w:b/>
                <w:bCs/>
                <w:sz w:val="20"/>
                <w:szCs w:val="20"/>
              </w:rPr>
              <w:t>Flexibility</w:t>
            </w:r>
          </w:p>
        </w:tc>
        <w:tc>
          <w:tcPr>
            <w:tcW w:w="0" w:type="auto"/>
            <w:tcBorders>
              <w:top w:val="nil"/>
              <w:left w:val="nil"/>
              <w:bottom w:val="nil"/>
              <w:right w:val="nil"/>
            </w:tcBorders>
            <w:tcMar>
              <w:top w:w="150" w:type="dxa"/>
              <w:left w:w="240" w:type="dxa"/>
              <w:bottom w:w="150" w:type="dxa"/>
              <w:right w:w="240" w:type="dxa"/>
            </w:tcMar>
            <w:vAlign w:val="center"/>
            <w:hideMark/>
          </w:tcPr>
          <w:p w14:paraId="1AF879BB" w14:textId="77777777" w:rsidR="00AC2603" w:rsidRPr="00AC2603" w:rsidRDefault="00AC2603" w:rsidP="00296E5A">
            <w:pPr>
              <w:jc w:val="center"/>
              <w:rPr>
                <w:sz w:val="20"/>
                <w:szCs w:val="20"/>
              </w:rPr>
            </w:pPr>
            <w:r w:rsidRPr="00AC2603">
              <w:rPr>
                <w:sz w:val="20"/>
                <w:szCs w:val="20"/>
              </w:rPr>
              <w:t>Lower; controls are explicitly defined but can be tailored.</w:t>
            </w:r>
          </w:p>
        </w:tc>
        <w:tc>
          <w:tcPr>
            <w:tcW w:w="0" w:type="auto"/>
            <w:tcBorders>
              <w:top w:val="nil"/>
              <w:left w:val="nil"/>
              <w:bottom w:val="nil"/>
              <w:right w:val="nil"/>
            </w:tcBorders>
            <w:tcMar>
              <w:top w:w="150" w:type="dxa"/>
              <w:left w:w="240" w:type="dxa"/>
              <w:bottom w:w="150" w:type="dxa"/>
              <w:right w:w="0" w:type="dxa"/>
            </w:tcMar>
            <w:vAlign w:val="center"/>
            <w:hideMark/>
          </w:tcPr>
          <w:p w14:paraId="4962C4E3" w14:textId="77777777" w:rsidR="00AC2603" w:rsidRPr="00AC2603" w:rsidRDefault="00AC2603" w:rsidP="00296E5A">
            <w:pPr>
              <w:rPr>
                <w:sz w:val="20"/>
                <w:szCs w:val="20"/>
              </w:rPr>
            </w:pPr>
            <w:r w:rsidRPr="00AC2603">
              <w:rPr>
                <w:sz w:val="20"/>
                <w:szCs w:val="20"/>
              </w:rPr>
              <w:t>Higher; acts as a flexible framework adaptable to any organisation's specific risks.</w:t>
            </w:r>
          </w:p>
        </w:tc>
      </w:tr>
    </w:tbl>
    <w:p w14:paraId="304A234F" w14:textId="77777777" w:rsidR="000169AE" w:rsidRDefault="000169AE"/>
    <w:p w14:paraId="5B8BC140" w14:textId="77777777" w:rsidR="000169AE" w:rsidRDefault="000169AE"/>
    <w:p w14:paraId="0F11B24E" w14:textId="77777777" w:rsidR="00AC2603" w:rsidRDefault="00AC2603" w:rsidP="000169AE">
      <w:pPr>
        <w:rPr>
          <w:b/>
          <w:bCs/>
        </w:rPr>
      </w:pPr>
    </w:p>
    <w:p w14:paraId="4422C095" w14:textId="77777777" w:rsidR="00AC2603" w:rsidRDefault="00AC2603" w:rsidP="000169AE">
      <w:pPr>
        <w:rPr>
          <w:b/>
          <w:bCs/>
        </w:rPr>
      </w:pPr>
    </w:p>
    <w:p w14:paraId="143C121A" w14:textId="34F207D2" w:rsidR="000169AE" w:rsidRPr="000169AE" w:rsidRDefault="000169AE" w:rsidP="002271D6">
      <w:pPr>
        <w:pStyle w:val="Heading1"/>
      </w:pPr>
      <w:bookmarkStart w:id="6" w:name="_Toc227301455"/>
      <w:r w:rsidRPr="000169AE">
        <w:lastRenderedPageBreak/>
        <w:t>Samples of Cybersecurity Accident:1</w:t>
      </w:r>
      <w:bookmarkEnd w:id="6"/>
    </w:p>
    <w:p w14:paraId="5F8F3BDF" w14:textId="77777777" w:rsidR="000169AE" w:rsidRPr="000169AE" w:rsidRDefault="000169AE" w:rsidP="000169AE">
      <w:pPr>
        <w:rPr>
          <w:b/>
          <w:bCs/>
        </w:rPr>
      </w:pPr>
      <w:r w:rsidRPr="000169AE">
        <w:rPr>
          <w:b/>
          <w:bCs/>
        </w:rPr>
        <w:t xml:space="preserve"> </w:t>
      </w:r>
    </w:p>
    <w:p w14:paraId="14F8BE58" w14:textId="77777777" w:rsidR="000169AE" w:rsidRPr="000169AE" w:rsidRDefault="000169AE" w:rsidP="000169AE">
      <w:pPr>
        <w:rPr>
          <w:b/>
          <w:bCs/>
        </w:rPr>
      </w:pPr>
      <w:r w:rsidRPr="000169AE">
        <w:rPr>
          <w:b/>
          <w:bCs/>
        </w:rPr>
        <w:t>Criminals hijack thousands of devices to create never-before-seen cyber weapon</w:t>
      </w:r>
    </w:p>
    <w:p w14:paraId="25AAF1C3" w14:textId="77777777" w:rsidR="000169AE" w:rsidRPr="000169AE" w:rsidRDefault="000169AE" w:rsidP="000169AE">
      <w:pPr>
        <w:rPr>
          <w:b/>
          <w:bCs/>
        </w:rPr>
      </w:pPr>
      <w:r w:rsidRPr="000169AE">
        <w:rPr>
          <w:b/>
          <w:bCs/>
        </w:rPr>
        <w:t>Victims of the KadNap botnet are spread throughout the world</w:t>
      </w:r>
    </w:p>
    <w:p w14:paraId="2A099DBB" w14:textId="77777777" w:rsidR="000169AE" w:rsidRPr="000169AE" w:rsidRDefault="000169AE" w:rsidP="000169AE">
      <w:pPr>
        <w:rPr>
          <w:i/>
          <w:iCs/>
        </w:rPr>
      </w:pPr>
      <w:hyperlink r:id="rId11" w:history="1">
        <w:r w:rsidRPr="000169AE">
          <w:rPr>
            <w:rStyle w:val="Hyperlink"/>
            <w:b/>
            <w:bCs/>
            <w:i/>
            <w:iCs/>
          </w:rPr>
          <w:t>Anthony Cuthbertson</w:t>
        </w:r>
      </w:hyperlink>
    </w:p>
    <w:p w14:paraId="4DF4EB3F" w14:textId="77777777" w:rsidR="000169AE" w:rsidRPr="000169AE" w:rsidRDefault="000169AE" w:rsidP="000169AE">
      <w:r w:rsidRPr="000169AE">
        <w:t>Monday 16 March 2026 14:13 GMT</w:t>
      </w:r>
    </w:p>
    <w:p w14:paraId="47F1A155" w14:textId="77777777" w:rsidR="000169AE" w:rsidRPr="000169AE" w:rsidRDefault="000169AE" w:rsidP="000169AE">
      <w:pPr>
        <w:rPr>
          <w:b/>
          <w:bCs/>
        </w:rPr>
      </w:pPr>
      <w:r w:rsidRPr="000169AE">
        <w:rPr>
          <w:b/>
          <w:bCs/>
        </w:rPr>
        <w:t xml:space="preserve"> </w:t>
      </w:r>
    </w:p>
    <w:p w14:paraId="1BC724BB" w14:textId="77777777" w:rsidR="000169AE" w:rsidRPr="000169AE" w:rsidRDefault="000169AE" w:rsidP="000169AE">
      <w:pPr>
        <w:rPr>
          <w:b/>
          <w:bCs/>
        </w:rPr>
      </w:pPr>
      <w:r w:rsidRPr="000169AE">
        <w:rPr>
          <w:b/>
          <w:bCs/>
        </w:rPr>
        <w:t xml:space="preserve"> </w:t>
      </w:r>
    </w:p>
    <w:p w14:paraId="41D8CE29" w14:textId="77777777" w:rsidR="000169AE" w:rsidRPr="000169AE" w:rsidRDefault="000169AE" w:rsidP="000169AE">
      <w:pPr>
        <w:rPr>
          <w:b/>
          <w:bCs/>
        </w:rPr>
      </w:pPr>
      <w:r w:rsidRPr="000169AE">
        <w:rPr>
          <w:b/>
          <w:bCs/>
        </w:rPr>
        <w:t xml:space="preserve">Criminals have secretly hijacked more than 14,000 devices worldwide in order to carry out attacks that are almost impossible to protect against, </w:t>
      </w:r>
      <w:hyperlink r:id="rId12" w:history="1">
        <w:r w:rsidRPr="000169AE">
          <w:rPr>
            <w:rStyle w:val="Hyperlink"/>
            <w:b/>
            <w:bCs/>
          </w:rPr>
          <w:t>security</w:t>
        </w:r>
      </w:hyperlink>
      <w:r w:rsidRPr="000169AE">
        <w:rPr>
          <w:b/>
          <w:bCs/>
        </w:rPr>
        <w:t xml:space="preserve"> researchers have warned.</w:t>
      </w:r>
    </w:p>
    <w:p w14:paraId="3569C586" w14:textId="77777777" w:rsidR="000169AE" w:rsidRPr="000169AE" w:rsidRDefault="000169AE" w:rsidP="000169AE">
      <w:pPr>
        <w:rPr>
          <w:b/>
          <w:bCs/>
        </w:rPr>
      </w:pPr>
      <w:r w:rsidRPr="000169AE">
        <w:rPr>
          <w:b/>
          <w:bCs/>
        </w:rPr>
        <w:t xml:space="preserve">The majority of devices infected by the sophisticated new </w:t>
      </w:r>
      <w:hyperlink r:id="rId13" w:history="1">
        <w:r w:rsidRPr="000169AE">
          <w:rPr>
            <w:rStyle w:val="Hyperlink"/>
            <w:b/>
            <w:bCs/>
          </w:rPr>
          <w:t>malware</w:t>
        </w:r>
      </w:hyperlink>
      <w:r w:rsidRPr="000169AE">
        <w:rPr>
          <w:b/>
          <w:bCs/>
        </w:rPr>
        <w:t xml:space="preserve">, dubbed ‘KadNap’, are Asus routers, which are being used to route malicious traffic to carry out large-scale </w:t>
      </w:r>
      <w:hyperlink r:id="rId14" w:history="1">
        <w:r w:rsidRPr="000169AE">
          <w:rPr>
            <w:rStyle w:val="Hyperlink"/>
            <w:b/>
            <w:bCs/>
          </w:rPr>
          <w:t>cyberattacks</w:t>
        </w:r>
      </w:hyperlink>
      <w:r w:rsidRPr="000169AE">
        <w:rPr>
          <w:b/>
          <w:bCs/>
        </w:rPr>
        <w:t>.</w:t>
      </w:r>
    </w:p>
    <w:p w14:paraId="35CB7C39" w14:textId="77777777" w:rsidR="000169AE" w:rsidRPr="000169AE" w:rsidRDefault="000169AE" w:rsidP="000169AE">
      <w:pPr>
        <w:rPr>
          <w:b/>
          <w:bCs/>
        </w:rPr>
      </w:pPr>
      <w:r w:rsidRPr="000169AE">
        <w:rPr>
          <w:b/>
          <w:bCs/>
        </w:rPr>
        <w:t xml:space="preserve">Details of the KadNap botnet were shared by the </w:t>
      </w:r>
      <w:hyperlink r:id="rId15" w:history="1">
        <w:r w:rsidRPr="000169AE">
          <w:rPr>
            <w:rStyle w:val="Hyperlink"/>
            <w:b/>
            <w:bCs/>
          </w:rPr>
          <w:t>cybersecurity</w:t>
        </w:r>
      </w:hyperlink>
      <w:r w:rsidRPr="000169AE">
        <w:rPr>
          <w:b/>
          <w:bCs/>
        </w:rPr>
        <w:t xml:space="preserve"> firm Lumen in a new report, which revealed that it is using a decentralised peer-to-peer system to avoid network detection.</w:t>
      </w:r>
    </w:p>
    <w:p w14:paraId="5A6968AD" w14:textId="77777777" w:rsidR="000169AE" w:rsidRPr="000169AE" w:rsidRDefault="000169AE" w:rsidP="000169AE">
      <w:pPr>
        <w:rPr>
          <w:b/>
          <w:bCs/>
        </w:rPr>
      </w:pPr>
      <w:r w:rsidRPr="000169AE">
        <w:rPr>
          <w:b/>
          <w:bCs/>
        </w:rPr>
        <w:t xml:space="preserve">A botnet is created by compromising the security of internet-connected devices, which can range from routers to smart </w:t>
      </w:r>
    </w:p>
    <w:p w14:paraId="18E1AA1D" w14:textId="77777777" w:rsidR="000169AE" w:rsidRPr="000169AE" w:rsidRDefault="000169AE" w:rsidP="000169AE">
      <w:pPr>
        <w:rPr>
          <w:b/>
          <w:bCs/>
        </w:rPr>
      </w:pPr>
      <w:r w:rsidRPr="000169AE">
        <w:rPr>
          <w:b/>
          <w:bCs/>
        </w:rPr>
        <w:t xml:space="preserve"> </w:t>
      </w:r>
    </w:p>
    <w:p w14:paraId="2447D847" w14:textId="77777777" w:rsidR="000169AE" w:rsidRPr="000169AE" w:rsidRDefault="000169AE" w:rsidP="000169AE">
      <w:pPr>
        <w:rPr>
          <w:b/>
          <w:bCs/>
        </w:rPr>
      </w:pPr>
      <w:r w:rsidRPr="000169AE">
        <w:rPr>
          <w:b/>
          <w:bCs/>
        </w:rPr>
        <w:t xml:space="preserve"> </w:t>
      </w:r>
    </w:p>
    <w:p w14:paraId="7340E90B" w14:textId="77777777" w:rsidR="000169AE" w:rsidRPr="000169AE" w:rsidRDefault="000169AE" w:rsidP="000169AE">
      <w:pPr>
        <w:rPr>
          <w:b/>
          <w:bCs/>
        </w:rPr>
      </w:pPr>
      <w:r w:rsidRPr="000169AE">
        <w:rPr>
          <w:b/>
          <w:bCs/>
        </w:rPr>
        <w:t xml:space="preserve"> </w:t>
      </w:r>
    </w:p>
    <w:p w14:paraId="1C392F41" w14:textId="77777777" w:rsidR="000169AE" w:rsidRPr="000169AE" w:rsidRDefault="000169AE" w:rsidP="000169AE">
      <w:pPr>
        <w:rPr>
          <w:b/>
          <w:bCs/>
        </w:rPr>
      </w:pPr>
      <w:r w:rsidRPr="000169AE">
        <w:rPr>
          <w:b/>
          <w:bCs/>
        </w:rPr>
        <w:t xml:space="preserve"> </w:t>
      </w:r>
    </w:p>
    <w:p w14:paraId="72683BB5" w14:textId="77777777" w:rsidR="000169AE" w:rsidRDefault="000169AE" w:rsidP="000169AE">
      <w:pPr>
        <w:rPr>
          <w:b/>
          <w:bCs/>
        </w:rPr>
      </w:pPr>
    </w:p>
    <w:p w14:paraId="38235194" w14:textId="77777777" w:rsidR="000169AE" w:rsidRDefault="000169AE" w:rsidP="000169AE">
      <w:pPr>
        <w:rPr>
          <w:b/>
          <w:bCs/>
        </w:rPr>
      </w:pPr>
    </w:p>
    <w:p w14:paraId="3F04D4C4" w14:textId="77777777" w:rsidR="000169AE" w:rsidRDefault="000169AE" w:rsidP="000169AE">
      <w:pPr>
        <w:rPr>
          <w:b/>
          <w:bCs/>
        </w:rPr>
      </w:pPr>
    </w:p>
    <w:p w14:paraId="74F3031F" w14:textId="77777777" w:rsidR="000169AE" w:rsidRDefault="000169AE" w:rsidP="000169AE">
      <w:pPr>
        <w:rPr>
          <w:b/>
          <w:bCs/>
        </w:rPr>
      </w:pPr>
    </w:p>
    <w:p w14:paraId="0835111E" w14:textId="77777777" w:rsidR="000169AE" w:rsidRDefault="000169AE" w:rsidP="000169AE">
      <w:pPr>
        <w:rPr>
          <w:b/>
          <w:bCs/>
        </w:rPr>
      </w:pPr>
    </w:p>
    <w:p w14:paraId="4A7F68BF" w14:textId="77777777" w:rsidR="000169AE" w:rsidRDefault="000169AE" w:rsidP="000169AE">
      <w:pPr>
        <w:rPr>
          <w:b/>
          <w:bCs/>
        </w:rPr>
      </w:pPr>
    </w:p>
    <w:p w14:paraId="7E11B369" w14:textId="77777777" w:rsidR="00AC2603" w:rsidRDefault="00AC2603" w:rsidP="000169AE">
      <w:pPr>
        <w:rPr>
          <w:b/>
          <w:bCs/>
        </w:rPr>
      </w:pPr>
    </w:p>
    <w:p w14:paraId="58D68596" w14:textId="7E14C68B" w:rsidR="000169AE" w:rsidRPr="000169AE" w:rsidRDefault="000169AE" w:rsidP="000169AE">
      <w:pPr>
        <w:rPr>
          <w:b/>
          <w:bCs/>
        </w:rPr>
      </w:pPr>
      <w:r w:rsidRPr="000169AE">
        <w:rPr>
          <w:b/>
          <w:bCs/>
        </w:rPr>
        <w:lastRenderedPageBreak/>
        <w:t>Accedent2</w:t>
      </w:r>
    </w:p>
    <w:p w14:paraId="38CFB571" w14:textId="77777777" w:rsidR="000169AE" w:rsidRPr="000169AE" w:rsidRDefault="000169AE" w:rsidP="000169AE">
      <w:pPr>
        <w:rPr>
          <w:b/>
          <w:bCs/>
        </w:rPr>
      </w:pPr>
      <w:r w:rsidRPr="000169AE">
        <w:rPr>
          <w:b/>
          <w:bCs/>
        </w:rPr>
        <w:t>A test from the UWTSD support Team to Jeck our Security knowledge, first the e-mail I received and the second and the third e-mails. The training I had to avoid such security issues.</w:t>
      </w:r>
    </w:p>
    <w:p w14:paraId="318C39DB" w14:textId="3CF651E3" w:rsidR="000169AE" w:rsidRPr="000169AE" w:rsidRDefault="000169AE" w:rsidP="000169AE">
      <w:pPr>
        <w:rPr>
          <w:b/>
          <w:bCs/>
        </w:rPr>
      </w:pPr>
      <w:r w:rsidRPr="000169AE">
        <w:rPr>
          <w:b/>
          <w:bCs/>
        </w:rPr>
        <w:t xml:space="preserve"> Account verification</w:t>
      </w:r>
    </w:p>
    <w:p w14:paraId="6B945C6D" w14:textId="77777777" w:rsidR="000169AE" w:rsidRPr="000169AE" w:rsidRDefault="000169AE" w:rsidP="000169AE">
      <w:pPr>
        <w:rPr>
          <w:b/>
          <w:bCs/>
        </w:rPr>
      </w:pPr>
      <w:r w:rsidRPr="000169AE">
        <w:rPr>
          <w:b/>
          <w:bCs/>
        </w:rPr>
        <w:t>Summarise</w:t>
      </w:r>
    </w:p>
    <w:p w14:paraId="35AAA195" w14:textId="77777777" w:rsidR="000169AE" w:rsidRPr="000169AE" w:rsidRDefault="000169AE" w:rsidP="000169AE">
      <w:pPr>
        <w:rPr>
          <w:b/>
          <w:bCs/>
        </w:rPr>
      </w:pPr>
      <w:r w:rsidRPr="000169AE">
        <w:rPr>
          <w:b/>
          <w:bCs/>
        </w:rPr>
        <w:t>Teams support&lt;teamsnoreply@templateau.com&gt;</w:t>
      </w:r>
    </w:p>
    <w:p w14:paraId="6E059ED4" w14:textId="77777777" w:rsidR="000169AE" w:rsidRPr="000169AE" w:rsidRDefault="000169AE" w:rsidP="000169AE">
      <w:pPr>
        <w:rPr>
          <w:b/>
          <w:bCs/>
        </w:rPr>
      </w:pPr>
      <w:r w:rsidRPr="000169AE">
        <w:rPr>
          <w:rFonts w:ascii="Arial" w:hAnsi="Arial" w:cs="Arial"/>
          <w:b/>
          <w:bCs/>
        </w:rPr>
        <w:t>​</w:t>
      </w:r>
      <w:r w:rsidRPr="000169AE">
        <w:rPr>
          <w:b/>
          <w:bCs/>
        </w:rPr>
        <w:t>Mohamad Idris (2440118)</w:t>
      </w:r>
      <w:r w:rsidRPr="000169AE">
        <w:rPr>
          <w:rFonts w:ascii="Arial" w:hAnsi="Arial" w:cs="Arial"/>
          <w:b/>
          <w:bCs/>
        </w:rPr>
        <w:t>​</w:t>
      </w:r>
    </w:p>
    <w:p w14:paraId="23F66164" w14:textId="2E103158" w:rsidR="000169AE" w:rsidRPr="000169AE" w:rsidRDefault="000169AE" w:rsidP="000169AE">
      <w:pPr>
        <w:rPr>
          <w:b/>
          <w:bCs/>
        </w:rPr>
      </w:pPr>
      <w:r w:rsidRPr="000169AE">
        <w:rPr>
          <w:noProof/>
        </w:rPr>
        <w:drawing>
          <wp:inline distT="0" distB="0" distL="0" distR="0" wp14:anchorId="1ABEBC5A" wp14:editId="47AFB9C4">
            <wp:extent cx="304800" cy="304800"/>
            <wp:effectExtent l="0" t="0" r="0" b="0"/>
            <wp:docPr id="809458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bl>
      <w:tblPr>
        <w:tblW w:w="0" w:type="auto"/>
        <w:jc w:val="center"/>
        <w:tblCellMar>
          <w:left w:w="0" w:type="dxa"/>
          <w:right w:w="0" w:type="dxa"/>
        </w:tblCellMar>
        <w:tblLook w:val="04A0" w:firstRow="1" w:lastRow="0" w:firstColumn="1" w:lastColumn="0" w:noHBand="0" w:noVBand="1"/>
      </w:tblPr>
      <w:tblGrid>
        <w:gridCol w:w="9026"/>
      </w:tblGrid>
      <w:tr w:rsidR="000169AE" w:rsidRPr="000169AE" w14:paraId="6DC82BDE" w14:textId="77777777">
        <w:trPr>
          <w:jc w:val="center"/>
        </w:trPr>
        <w:tc>
          <w:tcPr>
            <w:tcW w:w="15000" w:type="dxa"/>
            <w:tcBorders>
              <w:top w:val="nil"/>
              <w:left w:val="nil"/>
              <w:bottom w:val="nil"/>
              <w:right w:val="nil"/>
            </w:tcBorders>
            <w:vAlign w:val="center"/>
          </w:tcPr>
          <w:tbl>
            <w:tblPr>
              <w:tblW w:w="0" w:type="auto"/>
              <w:jc w:val="center"/>
              <w:tblCellMar>
                <w:left w:w="0" w:type="dxa"/>
                <w:right w:w="0" w:type="dxa"/>
              </w:tblCellMar>
              <w:tblLook w:val="04A0" w:firstRow="1" w:lastRow="0" w:firstColumn="1" w:lastColumn="0" w:noHBand="0" w:noVBand="1"/>
            </w:tblPr>
            <w:tblGrid>
              <w:gridCol w:w="9000"/>
            </w:tblGrid>
            <w:tr w:rsidR="000169AE" w:rsidRPr="000169AE" w14:paraId="012EB8DB" w14:textId="77777777">
              <w:trPr>
                <w:jc w:val="center"/>
              </w:trPr>
              <w:tc>
                <w:tcPr>
                  <w:tcW w:w="0" w:type="auto"/>
                  <w:tcBorders>
                    <w:top w:val="nil"/>
                    <w:left w:val="nil"/>
                    <w:bottom w:val="nil"/>
                    <w:right w:val="nil"/>
                  </w:tcBorders>
                  <w:vAlign w:val="center"/>
                </w:tcPr>
                <w:tbl>
                  <w:tblPr>
                    <w:tblW w:w="9000" w:type="dxa"/>
                    <w:jc w:val="center"/>
                    <w:tblCellMar>
                      <w:left w:w="0" w:type="dxa"/>
                      <w:right w:w="0" w:type="dxa"/>
                    </w:tblCellMar>
                    <w:tblLook w:val="04A0" w:firstRow="1" w:lastRow="0" w:firstColumn="1" w:lastColumn="0" w:noHBand="0" w:noVBand="1"/>
                  </w:tblPr>
                  <w:tblGrid>
                    <w:gridCol w:w="9000"/>
                  </w:tblGrid>
                  <w:tr w:rsidR="000169AE" w:rsidRPr="000169AE" w14:paraId="6CB8BC5F" w14:textId="77777777">
                    <w:trPr>
                      <w:jc w:val="center"/>
                    </w:trPr>
                    <w:tc>
                      <w:tcPr>
                        <w:tcW w:w="0" w:type="auto"/>
                        <w:tcBorders>
                          <w:top w:val="nil"/>
                          <w:left w:val="nil"/>
                          <w:bottom w:val="nil"/>
                          <w:right w:val="nil"/>
                        </w:tcBorders>
                        <w:vAlign w:val="center"/>
                      </w:tcPr>
                      <w:tbl>
                        <w:tblPr>
                          <w:tblW w:w="0" w:type="auto"/>
                          <w:tblCellSpacing w:w="15" w:type="dxa"/>
                          <w:tblCellMar>
                            <w:left w:w="0" w:type="dxa"/>
                            <w:right w:w="0" w:type="dxa"/>
                          </w:tblCellMar>
                          <w:tblLook w:val="04A0" w:firstRow="1" w:lastRow="0" w:firstColumn="1" w:lastColumn="0" w:noHBand="0" w:noVBand="1"/>
                        </w:tblPr>
                        <w:tblGrid>
                          <w:gridCol w:w="9000"/>
                        </w:tblGrid>
                        <w:tr w:rsidR="000169AE" w:rsidRPr="000169AE" w14:paraId="1500A172" w14:textId="77777777">
                          <w:trPr>
                            <w:tblCellSpacing w:w="15" w:type="dxa"/>
                          </w:trPr>
                          <w:tc>
                            <w:tcPr>
                              <w:tcW w:w="0" w:type="auto"/>
                              <w:tcBorders>
                                <w:top w:val="nil"/>
                                <w:left w:val="nil"/>
                                <w:bottom w:val="nil"/>
                                <w:right w:val="nil"/>
                              </w:tcBorders>
                              <w:tcMar>
                                <w:top w:w="15" w:type="dxa"/>
                                <w:left w:w="15" w:type="dxa"/>
                                <w:bottom w:w="15" w:type="dxa"/>
                                <w:right w:w="15" w:type="dxa"/>
                              </w:tcMar>
                              <w:vAlign w:val="center"/>
                            </w:tcPr>
                            <w:p w14:paraId="3E0305C1" w14:textId="77777777" w:rsidR="000169AE" w:rsidRPr="000169AE" w:rsidRDefault="000169AE" w:rsidP="000169AE">
                              <w:pPr>
                                <w:rPr>
                                  <w:b/>
                                  <w:bCs/>
                                </w:rPr>
                              </w:pPr>
                            </w:p>
                          </w:tc>
                        </w:tr>
                        <w:tr w:rsidR="000169AE" w:rsidRPr="000169AE" w14:paraId="5DF6AAC0" w14:textId="77777777">
                          <w:trPr>
                            <w:tblCellSpacing w:w="15" w:type="dxa"/>
                          </w:trPr>
                          <w:tc>
                            <w:tcPr>
                              <w:tcW w:w="0" w:type="auto"/>
                              <w:tcBorders>
                                <w:top w:val="nil"/>
                                <w:left w:val="nil"/>
                                <w:bottom w:val="nil"/>
                                <w:right w:val="nil"/>
                              </w:tcBorders>
                              <w:tcMar>
                                <w:top w:w="300" w:type="dxa"/>
                                <w:left w:w="480" w:type="dxa"/>
                                <w:bottom w:w="15" w:type="dxa"/>
                                <w:right w:w="15" w:type="dxa"/>
                              </w:tcMar>
                              <w:vAlign w:val="center"/>
                              <w:hideMark/>
                            </w:tcPr>
                            <w:p w14:paraId="543E4E35" w14:textId="77777777" w:rsidR="000169AE" w:rsidRPr="000169AE" w:rsidRDefault="000169AE" w:rsidP="000169AE">
                              <w:pPr>
                                <w:rPr>
                                  <w:b/>
                                  <w:bCs/>
                                </w:rPr>
                              </w:pPr>
                              <w:r w:rsidRPr="000169AE">
                                <w:rPr>
                                  <w:b/>
                                  <w:bCs/>
                                </w:rPr>
                                <w:t>Dear Mohamad,</w:t>
                              </w:r>
                            </w:p>
                            <w:p w14:paraId="754B1F24" w14:textId="77777777" w:rsidR="000169AE" w:rsidRPr="000169AE" w:rsidRDefault="000169AE" w:rsidP="000169AE">
                              <w:pPr>
                                <w:rPr>
                                  <w:b/>
                                  <w:bCs/>
                                </w:rPr>
                              </w:pPr>
                              <w:r w:rsidRPr="000169AE">
                                <w:rPr>
                                  <w:b/>
                                  <w:bCs/>
                                </w:rPr>
                                <w:br/>
                              </w:r>
                            </w:p>
                          </w:tc>
                        </w:tr>
                        <w:tr w:rsidR="000169AE" w:rsidRPr="000169AE" w14:paraId="5C246CA8" w14:textId="77777777">
                          <w:trPr>
                            <w:tblCellSpacing w:w="15" w:type="dxa"/>
                          </w:trPr>
                          <w:tc>
                            <w:tcPr>
                              <w:tcW w:w="0" w:type="auto"/>
                              <w:tcBorders>
                                <w:top w:val="nil"/>
                                <w:left w:val="nil"/>
                                <w:bottom w:val="nil"/>
                                <w:right w:val="nil"/>
                              </w:tcBorders>
                              <w:tcMar>
                                <w:top w:w="15" w:type="dxa"/>
                                <w:left w:w="495" w:type="dxa"/>
                                <w:bottom w:w="15" w:type="dxa"/>
                                <w:right w:w="15" w:type="dxa"/>
                              </w:tcMar>
                              <w:vAlign w:val="center"/>
                            </w:tcPr>
                            <w:p w14:paraId="5B017F8F" w14:textId="77777777" w:rsidR="000169AE" w:rsidRPr="000169AE" w:rsidRDefault="000169AE" w:rsidP="000169AE">
                              <w:pPr>
                                <w:rPr>
                                  <w:b/>
                                  <w:bCs/>
                                </w:rPr>
                              </w:pPr>
                              <w:r w:rsidRPr="000169AE">
                                <w:rPr>
                                  <w:b/>
                                  <w:bCs/>
                                </w:rPr>
                                <w:t>We're committed to maintaining the security of your account. As part of our ongoing efforts to ensure the safety of your data, we're requesting a quick verification. Please click on the following link to verify your Microsoft Teams account:</w:t>
                              </w:r>
                            </w:p>
                            <w:p w14:paraId="63877BCC" w14:textId="77777777" w:rsidR="000169AE" w:rsidRPr="000169AE" w:rsidRDefault="000169AE" w:rsidP="000169AE">
                              <w:pPr>
                                <w:rPr>
                                  <w:b/>
                                  <w:bCs/>
                                </w:rPr>
                              </w:pPr>
                            </w:p>
                            <w:p w14:paraId="5FA51BB2" w14:textId="77777777" w:rsidR="000169AE" w:rsidRPr="000169AE" w:rsidRDefault="000169AE" w:rsidP="000169AE">
                              <w:pPr>
                                <w:rPr>
                                  <w:b/>
                                  <w:bCs/>
                                </w:rPr>
                              </w:pPr>
                              <w:hyperlink r:id="rId17" w:tooltip="https://www.templateau.com/gbr/4e0f11f9-046e-4505-9cb8-db2152311e21/d64646dc-7651-4cea-bbc8-099a2ed10628/6042c58c-b798-4e38-9f13-cdef831ea915/login?id=UGlNK0tJSGhxZEFzUlFMaGlLenF2ZDQ0WlhCNU92eUU0d0wrb1FpVFJ0eE43ZkZzeWNWeGVHa1NRT0hOdFV2K1p6YnZ3WGVaS3VsSzRnY0tFN" w:history="1">
                                <w:r w:rsidRPr="000169AE">
                                  <w:rPr>
                                    <w:rStyle w:val="Hyperlink"/>
                                  </w:rPr>
                                  <w:t>Click Here</w:t>
                                </w:r>
                              </w:hyperlink>
                            </w:p>
                          </w:tc>
                        </w:tr>
                      </w:tbl>
                      <w:p w14:paraId="7C693F92" w14:textId="77777777" w:rsidR="000169AE" w:rsidRPr="000169AE" w:rsidRDefault="000169AE" w:rsidP="000169AE">
                        <w:pPr>
                          <w:rPr>
                            <w:b/>
                            <w:bCs/>
                          </w:rPr>
                        </w:pPr>
                      </w:p>
                    </w:tc>
                  </w:tr>
                </w:tbl>
                <w:p w14:paraId="061F7DEE" w14:textId="77777777" w:rsidR="000169AE" w:rsidRPr="000169AE" w:rsidRDefault="000169AE" w:rsidP="000169AE">
                  <w:pPr>
                    <w:rPr>
                      <w:b/>
                      <w:bCs/>
                    </w:rPr>
                  </w:pPr>
                </w:p>
              </w:tc>
            </w:tr>
          </w:tbl>
          <w:p w14:paraId="78764F2B" w14:textId="77777777" w:rsidR="000169AE" w:rsidRPr="000169AE" w:rsidRDefault="000169AE" w:rsidP="000169AE">
            <w:pPr>
              <w:rPr>
                <w:b/>
                <w:bCs/>
              </w:rPr>
            </w:pPr>
          </w:p>
        </w:tc>
      </w:tr>
    </w:tbl>
    <w:p w14:paraId="3347C3C8" w14:textId="77777777" w:rsidR="000169AE" w:rsidRPr="000169AE" w:rsidRDefault="000169AE" w:rsidP="000169AE">
      <w:pPr>
        <w:rPr>
          <w:b/>
          <w:bCs/>
        </w:rPr>
      </w:pPr>
      <w:r w:rsidRPr="000169AE">
        <w:rPr>
          <w:b/>
          <w:bCs/>
        </w:rPr>
        <w:t xml:space="preserve"> </w:t>
      </w:r>
    </w:p>
    <w:p w14:paraId="632EAB4B" w14:textId="77777777" w:rsidR="000169AE" w:rsidRPr="000169AE" w:rsidRDefault="000169AE" w:rsidP="000169AE">
      <w:pPr>
        <w:rPr>
          <w:b/>
          <w:bCs/>
        </w:rPr>
      </w:pPr>
      <w:r w:rsidRPr="000169AE">
        <w:rPr>
          <w:b/>
          <w:bCs/>
        </w:rPr>
        <w:t xml:space="preserve"> </w:t>
      </w:r>
    </w:p>
    <w:p w14:paraId="106E3BB5" w14:textId="77777777" w:rsidR="000169AE" w:rsidRPr="000169AE" w:rsidRDefault="000169AE" w:rsidP="000169AE">
      <w:pPr>
        <w:rPr>
          <w:b/>
          <w:bCs/>
        </w:rPr>
      </w:pPr>
      <w:r w:rsidRPr="000169AE">
        <w:rPr>
          <w:b/>
          <w:bCs/>
        </w:rPr>
        <w:t xml:space="preserve"> </w:t>
      </w:r>
    </w:p>
    <w:p w14:paraId="6FF551F6" w14:textId="77777777" w:rsidR="000169AE" w:rsidRPr="000169AE" w:rsidRDefault="000169AE" w:rsidP="000169AE">
      <w:pPr>
        <w:rPr>
          <w:b/>
          <w:bCs/>
        </w:rPr>
      </w:pPr>
      <w:r w:rsidRPr="000169AE">
        <w:rPr>
          <w:b/>
          <w:bCs/>
        </w:rPr>
        <w:t xml:space="preserve"> </w:t>
      </w:r>
    </w:p>
    <w:p w14:paraId="315647F3" w14:textId="77777777" w:rsidR="000169AE" w:rsidRPr="000169AE" w:rsidRDefault="000169AE" w:rsidP="000169AE">
      <w:pPr>
        <w:rPr>
          <w:b/>
          <w:bCs/>
        </w:rPr>
      </w:pPr>
      <w:r w:rsidRPr="000169AE">
        <w:rPr>
          <w:b/>
          <w:bCs/>
        </w:rPr>
        <w:t xml:space="preserve"> </w:t>
      </w:r>
    </w:p>
    <w:p w14:paraId="5612F93C" w14:textId="77777777" w:rsidR="000169AE" w:rsidRPr="000169AE" w:rsidRDefault="000169AE" w:rsidP="000169AE">
      <w:pPr>
        <w:rPr>
          <w:b/>
          <w:bCs/>
        </w:rPr>
      </w:pPr>
      <w:r w:rsidRPr="000169AE">
        <w:rPr>
          <w:b/>
          <w:bCs/>
        </w:rPr>
        <w:t xml:space="preserve"> </w:t>
      </w:r>
    </w:p>
    <w:p w14:paraId="30F06956" w14:textId="1B86B773" w:rsidR="000169AE" w:rsidRPr="000169AE" w:rsidRDefault="000169AE" w:rsidP="000169AE">
      <w:pPr>
        <w:rPr>
          <w:b/>
          <w:bCs/>
        </w:rPr>
      </w:pPr>
      <w:r w:rsidRPr="000169AE">
        <w:rPr>
          <w:noProof/>
        </w:rPr>
        <w:drawing>
          <wp:inline distT="0" distB="0" distL="0" distR="0" wp14:anchorId="224C8A7C" wp14:editId="2225B468">
            <wp:extent cx="949325" cy="616585"/>
            <wp:effectExtent l="0" t="0" r="0" b="0"/>
            <wp:docPr id="14565916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49325" cy="616585"/>
                    </a:xfrm>
                    <a:prstGeom prst="rect">
                      <a:avLst/>
                    </a:prstGeom>
                    <a:noFill/>
                    <a:ln>
                      <a:noFill/>
                    </a:ln>
                  </pic:spPr>
                </pic:pic>
              </a:graphicData>
            </a:graphic>
          </wp:inline>
        </w:drawing>
      </w:r>
      <w:r w:rsidRPr="000169AE">
        <w:rPr>
          <w:noProof/>
        </w:rPr>
        <w:drawing>
          <wp:inline distT="0" distB="0" distL="0" distR="0" wp14:anchorId="6D697CF4" wp14:editId="70D73E61">
            <wp:extent cx="949325" cy="616585"/>
            <wp:effectExtent l="0" t="0" r="0" b="0"/>
            <wp:docPr id="729572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49325" cy="616585"/>
                    </a:xfrm>
                    <a:prstGeom prst="rect">
                      <a:avLst/>
                    </a:prstGeom>
                    <a:noFill/>
                    <a:ln>
                      <a:noFill/>
                    </a:ln>
                  </pic:spPr>
                </pic:pic>
              </a:graphicData>
            </a:graphic>
          </wp:inline>
        </w:drawing>
      </w:r>
    </w:p>
    <w:p w14:paraId="1205C95C" w14:textId="77777777" w:rsidR="000169AE" w:rsidRPr="000169AE" w:rsidRDefault="000169AE" w:rsidP="000169AE">
      <w:pPr>
        <w:rPr>
          <w:b/>
          <w:bCs/>
        </w:rPr>
      </w:pPr>
      <w:r w:rsidRPr="000169AE">
        <w:rPr>
          <w:b/>
          <w:bCs/>
        </w:rPr>
        <w:t xml:space="preserve"> </w:t>
      </w:r>
    </w:p>
    <w:p w14:paraId="030A7BFB" w14:textId="77777777" w:rsidR="000169AE" w:rsidRPr="000169AE" w:rsidRDefault="000169AE" w:rsidP="000169AE">
      <w:pPr>
        <w:rPr>
          <w:b/>
          <w:bCs/>
        </w:rPr>
      </w:pPr>
      <w:r w:rsidRPr="000169AE">
        <w:rPr>
          <w:b/>
          <w:bCs/>
        </w:rPr>
        <w:t xml:space="preserve"> </w:t>
      </w:r>
    </w:p>
    <w:p w14:paraId="44431071" w14:textId="1567995A" w:rsidR="000169AE" w:rsidRPr="000169AE" w:rsidRDefault="000169AE" w:rsidP="000169AE">
      <w:pPr>
        <w:rPr>
          <w:b/>
          <w:bCs/>
        </w:rPr>
      </w:pPr>
      <w:r w:rsidRPr="000169AE">
        <w:rPr>
          <w:noProof/>
        </w:rPr>
        <w:lastRenderedPageBreak/>
        <w:drawing>
          <wp:inline distT="0" distB="0" distL="0" distR="0" wp14:anchorId="02EB888B" wp14:editId="6B7F803D">
            <wp:extent cx="5064125" cy="7079615"/>
            <wp:effectExtent l="0" t="0" r="3175" b="6985"/>
            <wp:docPr id="21167493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64125" cy="7079615"/>
                    </a:xfrm>
                    <a:prstGeom prst="rect">
                      <a:avLst/>
                    </a:prstGeom>
                    <a:noFill/>
                    <a:ln>
                      <a:noFill/>
                    </a:ln>
                  </pic:spPr>
                </pic:pic>
              </a:graphicData>
            </a:graphic>
          </wp:inline>
        </w:drawing>
      </w:r>
      <w:r w:rsidRPr="000169AE">
        <w:rPr>
          <w:b/>
          <w:bCs/>
        </w:rPr>
        <w:t xml:space="preserve"> </w:t>
      </w:r>
    </w:p>
    <w:p w14:paraId="5BDAAB19" w14:textId="77777777" w:rsidR="000169AE" w:rsidRPr="000169AE" w:rsidRDefault="000169AE" w:rsidP="000169AE">
      <w:pPr>
        <w:rPr>
          <w:b/>
          <w:bCs/>
        </w:rPr>
      </w:pPr>
      <w:r w:rsidRPr="000169AE">
        <w:rPr>
          <w:b/>
          <w:bCs/>
        </w:rPr>
        <w:t xml:space="preserve"> </w:t>
      </w:r>
    </w:p>
    <w:p w14:paraId="6EE2CC13" w14:textId="77777777" w:rsidR="000169AE" w:rsidRPr="000169AE" w:rsidRDefault="000169AE" w:rsidP="000169AE">
      <w:pPr>
        <w:rPr>
          <w:b/>
          <w:bCs/>
        </w:rPr>
      </w:pPr>
      <w:r w:rsidRPr="000169AE">
        <w:rPr>
          <w:b/>
          <w:bCs/>
        </w:rPr>
        <w:t xml:space="preserve"> </w:t>
      </w:r>
    </w:p>
    <w:p w14:paraId="0DBBE79F" w14:textId="48A5B5A1" w:rsidR="000169AE" w:rsidRPr="000169AE" w:rsidRDefault="000169AE" w:rsidP="000169AE">
      <w:pPr>
        <w:rPr>
          <w:b/>
          <w:bCs/>
        </w:rPr>
      </w:pPr>
      <w:r w:rsidRPr="000169AE">
        <w:rPr>
          <w:noProof/>
        </w:rPr>
        <w:lastRenderedPageBreak/>
        <w:drawing>
          <wp:inline distT="0" distB="0" distL="0" distR="0" wp14:anchorId="20E1DF31" wp14:editId="0AFA8AA6">
            <wp:extent cx="5064125" cy="7114540"/>
            <wp:effectExtent l="0" t="0" r="3175" b="0"/>
            <wp:docPr id="7434044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64125" cy="7114540"/>
                    </a:xfrm>
                    <a:prstGeom prst="rect">
                      <a:avLst/>
                    </a:prstGeom>
                    <a:noFill/>
                    <a:ln>
                      <a:noFill/>
                    </a:ln>
                  </pic:spPr>
                </pic:pic>
              </a:graphicData>
            </a:graphic>
          </wp:inline>
        </w:drawing>
      </w:r>
      <w:r w:rsidRPr="000169AE">
        <w:rPr>
          <w:b/>
          <w:bCs/>
        </w:rPr>
        <w:t xml:space="preserve"> </w:t>
      </w:r>
    </w:p>
    <w:p w14:paraId="7CB175D5" w14:textId="77777777" w:rsidR="000169AE" w:rsidRPr="000169AE" w:rsidRDefault="000169AE" w:rsidP="000169AE">
      <w:pPr>
        <w:rPr>
          <w:b/>
          <w:bCs/>
        </w:rPr>
      </w:pPr>
      <w:r w:rsidRPr="000169AE">
        <w:rPr>
          <w:b/>
          <w:bCs/>
        </w:rPr>
        <w:t xml:space="preserve"> </w:t>
      </w:r>
    </w:p>
    <w:p w14:paraId="3F0259A0" w14:textId="77777777" w:rsidR="000169AE" w:rsidRPr="000169AE" w:rsidRDefault="000169AE" w:rsidP="000169AE">
      <w:pPr>
        <w:rPr>
          <w:b/>
          <w:bCs/>
        </w:rPr>
      </w:pPr>
      <w:r w:rsidRPr="000169AE">
        <w:rPr>
          <w:b/>
          <w:bCs/>
        </w:rPr>
        <w:t xml:space="preserve"> </w:t>
      </w:r>
    </w:p>
    <w:p w14:paraId="583522AB" w14:textId="77777777" w:rsidR="000169AE" w:rsidRPr="000169AE" w:rsidRDefault="000169AE" w:rsidP="000169AE">
      <w:pPr>
        <w:rPr>
          <w:b/>
          <w:bCs/>
        </w:rPr>
      </w:pPr>
      <w:r w:rsidRPr="000169AE">
        <w:rPr>
          <w:b/>
          <w:bCs/>
        </w:rPr>
        <w:t xml:space="preserve"> </w:t>
      </w:r>
    </w:p>
    <w:p w14:paraId="097FE845" w14:textId="77777777" w:rsidR="000169AE" w:rsidRPr="000169AE" w:rsidRDefault="000169AE" w:rsidP="000169AE">
      <w:pPr>
        <w:rPr>
          <w:b/>
          <w:bCs/>
        </w:rPr>
      </w:pPr>
      <w:r w:rsidRPr="000169AE">
        <w:rPr>
          <w:b/>
          <w:bCs/>
        </w:rPr>
        <w:t xml:space="preserve"> </w:t>
      </w:r>
    </w:p>
    <w:p w14:paraId="65CC7890" w14:textId="77777777" w:rsidR="000169AE" w:rsidRDefault="000169AE" w:rsidP="000169AE">
      <w:pPr>
        <w:rPr>
          <w:b/>
          <w:bCs/>
        </w:rPr>
      </w:pPr>
      <w:r w:rsidRPr="000169AE">
        <w:rPr>
          <w:b/>
          <w:bCs/>
        </w:rPr>
        <w:t xml:space="preserve"> </w:t>
      </w:r>
    </w:p>
    <w:p w14:paraId="4BAEF566" w14:textId="02FE032D" w:rsidR="000169AE" w:rsidRPr="000169AE" w:rsidRDefault="000169AE" w:rsidP="002271D6">
      <w:pPr>
        <w:pStyle w:val="Heading1"/>
      </w:pPr>
      <w:bookmarkStart w:id="7" w:name="_Toc227301456"/>
      <w:r w:rsidRPr="000169AE">
        <w:lastRenderedPageBreak/>
        <w:t>References</w:t>
      </w:r>
      <w:bookmarkEnd w:id="7"/>
    </w:p>
    <w:p w14:paraId="12092CE3" w14:textId="77777777" w:rsidR="000169AE" w:rsidRPr="000169AE" w:rsidRDefault="000169AE" w:rsidP="000169AE">
      <w:pPr>
        <w:rPr>
          <w:b/>
          <w:bCs/>
        </w:rPr>
      </w:pPr>
      <w:r w:rsidRPr="000169AE">
        <w:rPr>
          <w:b/>
          <w:bCs/>
        </w:rPr>
        <w:t xml:space="preserve">[1] A. Cuthbertson, “Criminals hijack thousands of devices to create never-before-seen cyber weapon,” </w:t>
      </w:r>
      <w:r w:rsidRPr="000169AE">
        <w:rPr>
          <w:b/>
          <w:bCs/>
          <w:i/>
          <w:iCs/>
        </w:rPr>
        <w:t>The Independent</w:t>
      </w:r>
      <w:r w:rsidRPr="000169AE">
        <w:rPr>
          <w:b/>
          <w:bCs/>
        </w:rPr>
        <w:t>, Mar. 16, 2026. https://www.independent.co.uk/tech/security/cyber-weapon-kadnap-botnet-hijack-malware-b2937703.html (accessed Mar. 30, 2026).</w:t>
      </w:r>
    </w:p>
    <w:p w14:paraId="40C3B8C8" w14:textId="4008B0BC" w:rsidR="000169AE" w:rsidRPr="000169AE" w:rsidRDefault="000169AE" w:rsidP="000169AE">
      <w:pPr>
        <w:rPr>
          <w:b/>
          <w:bCs/>
        </w:rPr>
      </w:pPr>
      <w:r w:rsidRPr="000169AE">
        <w:rPr>
          <w:b/>
          <w:bCs/>
        </w:rPr>
        <w:t>‌</w:t>
      </w:r>
      <w:r>
        <w:rPr>
          <w:b/>
          <w:bCs/>
        </w:rPr>
        <w:t xml:space="preserve">[2] </w:t>
      </w:r>
      <w:r w:rsidRPr="000169AE">
        <w:t xml:space="preserve">Anderson, R. (2020). </w:t>
      </w:r>
      <w:r w:rsidRPr="000169AE">
        <w:rPr>
          <w:i/>
          <w:iCs/>
        </w:rPr>
        <w:t>Security Engineering: A Guide to Building Dependable Distributed Systems</w:t>
      </w:r>
      <w:r w:rsidRPr="000169AE">
        <w:t xml:space="preserve"> (3rd ed.). John Wiley &amp; Sons.</w:t>
      </w:r>
    </w:p>
    <w:p w14:paraId="2F94AC25" w14:textId="036C4D2A" w:rsidR="000169AE" w:rsidRPr="000169AE" w:rsidRDefault="000169AE" w:rsidP="000169AE">
      <w:r>
        <w:t xml:space="preserve">[3] </w:t>
      </w:r>
      <w:r w:rsidRPr="000169AE">
        <w:t xml:space="preserve">CrowdStrike. (2021). </w:t>
      </w:r>
      <w:r w:rsidRPr="000169AE">
        <w:rPr>
          <w:i/>
          <w:iCs/>
        </w:rPr>
        <w:t>Global Threat Report 2021</w:t>
      </w:r>
      <w:r w:rsidRPr="000169AE">
        <w:t>. CrowdStrike Holdings, Inc.</w:t>
      </w:r>
    </w:p>
    <w:p w14:paraId="759CD8F6" w14:textId="683C9192" w:rsidR="000169AE" w:rsidRPr="000169AE" w:rsidRDefault="000169AE" w:rsidP="000169AE">
      <w:r>
        <w:t xml:space="preserve">[4] </w:t>
      </w:r>
      <w:r w:rsidRPr="000169AE">
        <w:t>FireEye. (2020). *M-Trends 2020: Annual Threat Report*. FireEye, Inc.</w:t>
      </w:r>
    </w:p>
    <w:p w14:paraId="1D3C4730" w14:textId="5D2FF5F1" w:rsidR="000169AE" w:rsidRPr="000169AE" w:rsidRDefault="000169AE" w:rsidP="000169AE">
      <w:r>
        <w:t xml:space="preserve">[5] </w:t>
      </w:r>
      <w:r w:rsidRPr="000169AE">
        <w:t xml:space="preserve">NIST. (2020). </w:t>
      </w:r>
      <w:r w:rsidRPr="000169AE">
        <w:rPr>
          <w:i/>
          <w:iCs/>
        </w:rPr>
        <w:t>Zero Trust Architecture</w:t>
      </w:r>
      <w:r w:rsidRPr="000169AE">
        <w:t xml:space="preserve"> (NIST Special Publication 800-207). National Institute of Standards and Technology. </w:t>
      </w:r>
      <w:hyperlink r:id="rId22" w:history="1">
        <w:r w:rsidRPr="000169AE">
          <w:rPr>
            <w:rStyle w:val="Hyperlink"/>
          </w:rPr>
          <w:t>https://doi.org/10.6028/NIST.SP.800-207</w:t>
        </w:r>
      </w:hyperlink>
    </w:p>
    <w:p w14:paraId="2C83AC9E" w14:textId="2BB29BB6" w:rsidR="000169AE" w:rsidRPr="000169AE" w:rsidRDefault="000169AE" w:rsidP="000169AE">
      <w:r>
        <w:t xml:space="preserve">[6] </w:t>
      </w:r>
      <w:r w:rsidRPr="000169AE">
        <w:t xml:space="preserve">SANS Institute. (2021). </w:t>
      </w:r>
      <w:r w:rsidRPr="000169AE">
        <w:rPr>
          <w:i/>
          <w:iCs/>
        </w:rPr>
        <w:t>The SolarWinds Hack: Lessons Learned</w:t>
      </w:r>
      <w:r w:rsidRPr="000169AE">
        <w:t>. SANS Institute Information Security Reading Room.</w:t>
      </w:r>
    </w:p>
    <w:p w14:paraId="5281FB5F" w14:textId="195D2101" w:rsidR="000169AE" w:rsidRPr="000169AE" w:rsidRDefault="000169AE" w:rsidP="000169AE">
      <w:r>
        <w:t xml:space="preserve">[7] </w:t>
      </w:r>
      <w:r w:rsidRPr="000169AE">
        <w:t xml:space="preserve">Sophos. (2023). </w:t>
      </w:r>
      <w:r w:rsidRPr="000169AE">
        <w:rPr>
          <w:i/>
          <w:iCs/>
        </w:rPr>
        <w:t>The State of Ransomware 2023</w:t>
      </w:r>
      <w:r w:rsidRPr="000169AE">
        <w:t>. Sophos Group PLC.</w:t>
      </w:r>
    </w:p>
    <w:p w14:paraId="05814B87" w14:textId="77777777" w:rsidR="00460DA0" w:rsidRDefault="000169AE" w:rsidP="00460DA0">
      <w:r>
        <w:t xml:space="preserve">[8] </w:t>
      </w:r>
      <w:r w:rsidRPr="000169AE">
        <w:t xml:space="preserve">Stallings, W., &amp; Brown, L. (2018). </w:t>
      </w:r>
      <w:r w:rsidRPr="000169AE">
        <w:rPr>
          <w:i/>
          <w:iCs/>
        </w:rPr>
        <w:t>Computer Security: Principles and Practice</w:t>
      </w:r>
      <w:r w:rsidRPr="000169AE">
        <w:t xml:space="preserve"> (4th ed.). Pearson Education.</w:t>
      </w:r>
      <w:r w:rsidR="00460DA0" w:rsidRPr="00460DA0">
        <w:t xml:space="preserve"> </w:t>
      </w:r>
    </w:p>
    <w:p w14:paraId="3A67BBF9" w14:textId="588D12B4" w:rsidR="00460DA0" w:rsidRPr="00460DA0" w:rsidRDefault="00460DA0" w:rsidP="00460DA0">
      <w:r>
        <w:t xml:space="preserve">[9] </w:t>
      </w:r>
      <w:r w:rsidRPr="00460DA0">
        <w:rPr>
          <w:rFonts w:ascii="Calibri" w:eastAsia="Times New Roman" w:hAnsi="Calibri" w:cs="Calibri"/>
          <w:kern w:val="0"/>
          <w:sz w:val="27"/>
          <w:szCs w:val="27"/>
          <w:lang w:eastAsia="en-GB"/>
          <w14:ligatures w14:val="none"/>
        </w:rPr>
        <w:t>“Data Security and Protection Toolkit - NHS Standards Directory,” </w:t>
      </w:r>
      <w:r w:rsidRPr="00460DA0">
        <w:rPr>
          <w:rFonts w:ascii="Calibri" w:eastAsia="Times New Roman" w:hAnsi="Calibri" w:cs="Calibri"/>
          <w:i/>
          <w:iCs/>
          <w:kern w:val="0"/>
          <w:sz w:val="27"/>
          <w:szCs w:val="27"/>
          <w:lang w:eastAsia="en-GB"/>
          <w14:ligatures w14:val="none"/>
        </w:rPr>
        <w:t>Standards.nhs.uk</w:t>
      </w:r>
      <w:r w:rsidRPr="00460DA0">
        <w:rPr>
          <w:rFonts w:ascii="Calibri" w:eastAsia="Times New Roman" w:hAnsi="Calibri" w:cs="Calibri"/>
          <w:kern w:val="0"/>
          <w:sz w:val="27"/>
          <w:szCs w:val="27"/>
          <w:lang w:eastAsia="en-GB"/>
          <w14:ligatures w14:val="none"/>
        </w:rPr>
        <w:t>, 2023. https://standards.nhs.uk/published-standards/data-security-and-protection-toolkit</w:t>
      </w:r>
      <w:r>
        <w:rPr>
          <w:rFonts w:ascii="Calibri" w:eastAsia="Times New Roman" w:hAnsi="Calibri" w:cs="Calibri"/>
          <w:kern w:val="0"/>
          <w:sz w:val="27"/>
          <w:szCs w:val="27"/>
          <w:lang w:eastAsia="en-GB"/>
          <w14:ligatures w14:val="none"/>
        </w:rPr>
        <w:t>.</w:t>
      </w:r>
    </w:p>
    <w:p w14:paraId="38A30AC3" w14:textId="77777777" w:rsidR="00460DA0" w:rsidRPr="00460DA0" w:rsidRDefault="00460DA0" w:rsidP="00460DA0">
      <w:pPr>
        <w:spacing w:before="100" w:beforeAutospacing="1" w:after="100" w:afterAutospacing="1" w:line="240" w:lineRule="auto"/>
        <w:rPr>
          <w:rFonts w:ascii="Calibri" w:eastAsia="Times New Roman" w:hAnsi="Calibri" w:cs="Calibri"/>
          <w:kern w:val="0"/>
          <w:sz w:val="27"/>
          <w:szCs w:val="27"/>
          <w:lang w:eastAsia="en-GB"/>
          <w14:ligatures w14:val="none"/>
        </w:rPr>
      </w:pPr>
      <w:r w:rsidRPr="00460DA0">
        <w:rPr>
          <w:rFonts w:ascii="Calibri" w:eastAsia="Times New Roman" w:hAnsi="Calibri" w:cs="Calibri"/>
          <w:kern w:val="0"/>
          <w:sz w:val="27"/>
          <w:szCs w:val="27"/>
          <w:lang w:eastAsia="en-GB"/>
          <w14:ligatures w14:val="none"/>
        </w:rPr>
        <w:t>‌</w:t>
      </w:r>
    </w:p>
    <w:p w14:paraId="6A22A3E6" w14:textId="50243F1B" w:rsidR="00460DA0" w:rsidRPr="000169AE" w:rsidRDefault="00460DA0" w:rsidP="000169AE"/>
    <w:p w14:paraId="562DF190" w14:textId="77777777" w:rsidR="000169AE" w:rsidRDefault="000169AE"/>
    <w:sectPr w:rsidR="000169AE">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BEDA9" w14:textId="77777777" w:rsidR="00A93E70" w:rsidRDefault="00A93E70">
      <w:pPr>
        <w:spacing w:line="240" w:lineRule="auto"/>
      </w:pPr>
      <w:r>
        <w:separator/>
      </w:r>
    </w:p>
  </w:endnote>
  <w:endnote w:type="continuationSeparator" w:id="0">
    <w:p w14:paraId="4A60C846" w14:textId="77777777" w:rsidR="00A93E70" w:rsidRDefault="00A93E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等线 Light">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300780"/>
      <w:docPartObj>
        <w:docPartGallery w:val="Page Numbers (Bottom of Page)"/>
        <w:docPartUnique/>
      </w:docPartObj>
    </w:sdtPr>
    <w:sdtEndPr>
      <w:rPr>
        <w:noProof/>
      </w:rPr>
    </w:sdtEndPr>
    <w:sdtContent>
      <w:p w14:paraId="0E3BCDD7" w14:textId="0849E10A" w:rsidR="00F47341" w:rsidRDefault="00F473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47C029" w14:textId="77777777" w:rsidR="00F47341" w:rsidRDefault="00F473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950F0" w14:textId="77777777" w:rsidR="00A93E70" w:rsidRDefault="00A93E70">
      <w:pPr>
        <w:spacing w:after="0"/>
      </w:pPr>
      <w:r>
        <w:separator/>
      </w:r>
    </w:p>
  </w:footnote>
  <w:footnote w:type="continuationSeparator" w:id="0">
    <w:p w14:paraId="277EC9B8" w14:textId="77777777" w:rsidR="00A93E70" w:rsidRDefault="00A93E7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45FEA"/>
    <w:multiLevelType w:val="multilevel"/>
    <w:tmpl w:val="1F745FEA"/>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2EE96192"/>
    <w:multiLevelType w:val="multilevel"/>
    <w:tmpl w:val="2EE96192"/>
    <w:lvl w:ilvl="0">
      <w:start w:val="5"/>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3FF429EE"/>
    <w:multiLevelType w:val="multilevel"/>
    <w:tmpl w:val="3FF429EE"/>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5D043EEE"/>
    <w:multiLevelType w:val="multilevel"/>
    <w:tmpl w:val="5D043EEE"/>
    <w:lvl w:ilvl="0">
      <w:start w:val="7"/>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0791BB0"/>
    <w:multiLevelType w:val="multilevel"/>
    <w:tmpl w:val="70791BB0"/>
    <w:lvl w:ilvl="0">
      <w:start w:val="1"/>
      <w:numFmt w:val="decimal"/>
      <w:lvlText w:val="%1."/>
      <w:lvlJc w:val="left"/>
      <w:pPr>
        <w:tabs>
          <w:tab w:val="left" w:pos="312"/>
        </w:tabs>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3556161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455601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624495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5919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75114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12E"/>
    <w:rsid w:val="000169AE"/>
    <w:rsid w:val="0004412E"/>
    <w:rsid w:val="001420F9"/>
    <w:rsid w:val="001A6F24"/>
    <w:rsid w:val="001C6FEE"/>
    <w:rsid w:val="0022343E"/>
    <w:rsid w:val="002271D6"/>
    <w:rsid w:val="00296045"/>
    <w:rsid w:val="00296E5A"/>
    <w:rsid w:val="003D4470"/>
    <w:rsid w:val="00413814"/>
    <w:rsid w:val="00460DA0"/>
    <w:rsid w:val="00460E73"/>
    <w:rsid w:val="004A3173"/>
    <w:rsid w:val="00501A9F"/>
    <w:rsid w:val="00640F6A"/>
    <w:rsid w:val="006F37ED"/>
    <w:rsid w:val="0075735D"/>
    <w:rsid w:val="008340AE"/>
    <w:rsid w:val="00892A31"/>
    <w:rsid w:val="008D4456"/>
    <w:rsid w:val="00937C04"/>
    <w:rsid w:val="00A93E70"/>
    <w:rsid w:val="00AC2603"/>
    <w:rsid w:val="00AD51DD"/>
    <w:rsid w:val="00BB0D07"/>
    <w:rsid w:val="00C0556C"/>
    <w:rsid w:val="00C96AA0"/>
    <w:rsid w:val="00CA2534"/>
    <w:rsid w:val="00D16D21"/>
    <w:rsid w:val="00E30C89"/>
    <w:rsid w:val="00E461A8"/>
    <w:rsid w:val="00ED51F4"/>
    <w:rsid w:val="00F43D15"/>
    <w:rsid w:val="00F47341"/>
    <w:rsid w:val="00FF423B"/>
    <w:rsid w:val="41EF4B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ECCA7F6"/>
  <w15:docId w15:val="{1E44435C-24D8-4F3D-A60A-36C98ABB8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uiPriority w:val="39"/>
    <w:rPr>
      <w:rFonts w:hint="eastAsia"/>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styleId="NoSpacing">
    <w:name w:val="No Spacing"/>
    <w:uiPriority w:val="1"/>
    <w:qFormat/>
    <w:rPr>
      <w:rFonts w:asciiTheme="minorHAnsi" w:eastAsiaTheme="minorHAnsi" w:hAnsiTheme="minorHAnsi" w:cstheme="minorBidi"/>
      <w:color w:val="0E2841" w:themeColor="text2"/>
      <w:lang w:val="en-US" w:eastAsia="en-US"/>
    </w:rPr>
  </w:style>
  <w:style w:type="paragraph" w:styleId="Header">
    <w:name w:val="header"/>
    <w:basedOn w:val="Normal"/>
    <w:link w:val="HeaderChar"/>
    <w:uiPriority w:val="99"/>
    <w:unhideWhenUsed/>
    <w:rsid w:val="00F47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341"/>
    <w:rPr>
      <w:rFonts w:asciiTheme="minorHAnsi" w:eastAsiaTheme="minorHAnsi" w:hAnsiTheme="minorHAnsi" w:cstheme="minorBidi"/>
      <w:kern w:val="2"/>
      <w:sz w:val="24"/>
      <w:szCs w:val="24"/>
      <w:lang w:eastAsia="en-US"/>
      <w14:ligatures w14:val="standardContextual"/>
    </w:rPr>
  </w:style>
  <w:style w:type="paragraph" w:styleId="Footer">
    <w:name w:val="footer"/>
    <w:basedOn w:val="Normal"/>
    <w:link w:val="FooterChar"/>
    <w:uiPriority w:val="99"/>
    <w:unhideWhenUsed/>
    <w:rsid w:val="00F47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341"/>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0169AE"/>
    <w:rPr>
      <w:color w:val="467886" w:themeColor="hyperlink"/>
      <w:u w:val="single"/>
    </w:rPr>
  </w:style>
  <w:style w:type="character" w:styleId="UnresolvedMention">
    <w:name w:val="Unresolved Mention"/>
    <w:basedOn w:val="DefaultParagraphFont"/>
    <w:uiPriority w:val="99"/>
    <w:semiHidden/>
    <w:unhideWhenUsed/>
    <w:rsid w:val="000169AE"/>
    <w:rPr>
      <w:color w:val="605E5C"/>
      <w:shd w:val="clear" w:color="auto" w:fill="E1DFDD"/>
    </w:rPr>
  </w:style>
  <w:style w:type="paragraph" w:styleId="TOCHeading">
    <w:name w:val="TOC Heading"/>
    <w:basedOn w:val="Heading1"/>
    <w:next w:val="Normal"/>
    <w:uiPriority w:val="39"/>
    <w:unhideWhenUsed/>
    <w:qFormat/>
    <w:rsid w:val="00FF423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40F6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pendent.co.uk/topic/malware" TargetMode="Externa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hyperlink" Target="https://www.independent.co.uk/topic/security" TargetMode="External"/><Relationship Id="rId17" Type="http://schemas.openxmlformats.org/officeDocument/2006/relationships/hyperlink" Target="https://www.templateau.com/gbr/4e0f11f9-046e-4505-9cb8-db2152311e21/d64646dc-7651-4cea-bbc8-099a2ed10628/6042c58c-b798-4e38-9f13-cdef831ea915/login?id=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pendent.co.uk/author/anthony-cuthbertson"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independent.co.uk/topic/cyber-security"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ndependent.co.uk/topic/cyberattacks" TargetMode="External"/><Relationship Id="rId22" Type="http://schemas.openxmlformats.org/officeDocument/2006/relationships/hyperlink" Target="https://doi.org/10.6028/NIST.SP.800-207"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B39A50C-D71D-467A-A19B-5AF98A08BBD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19</Pages>
  <Words>4123</Words>
  <Characters>23502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Mohamad Idris (2440118)</dc:creator>
  <cp:lastModifiedBy>Mohamad Idris (2440118)</cp:lastModifiedBy>
  <cp:revision>9</cp:revision>
  <dcterms:created xsi:type="dcterms:W3CDTF">2026-04-17T04:03:00Z</dcterms:created>
  <dcterms:modified xsi:type="dcterms:W3CDTF">2026-04-17T05:59:00Z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09ed6328-40af-43e7-822b-0e648c0ca542</vt:lpwstr>
  </property>
  <property fmtid="{D5CDD505-2E9C-101B-9397-08002B2CF9AE}" pid="3" name="KSOProductBuildVer">
    <vt:lpwstr>2057-12.9.0.21549</vt:lpwstr>
  </property>
  <property fmtid="{D5CDD505-2E9C-101B-9397-08002B2CF9AE}" pid="4" name="ICV">
    <vt:lpwstr>DC64DFF71070485B9CC437BCB2E9CC43_12</vt:lpwstr>
  </property>
</Properties>
</file>