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A453747" w:rsidRDefault="00012B16" w14:paraId="65A9A7FA" w14:textId="356445F9">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Pr="00A47621" w:rsidR="00563B58" w:rsidP="0040668F" w:rsidRDefault="00563B58" w14:paraId="6303AB61" w14:textId="77777777">
      <w:pPr>
        <w:rPr>
          <w:rFonts w:ascii="Times New Roman" w:hAnsi="Times New Roman" w:cs="Times New Roman"/>
          <w:sz w:val="24"/>
          <w:szCs w:val="24"/>
        </w:rPr>
      </w:pPr>
    </w:p>
    <w:p w:rsidRPr="00F927A1" w:rsidR="00F927A1" w:rsidP="00FF7EBB" w:rsidRDefault="00F927A1" w14:paraId="1ED29290" w14:textId="77777777">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Pr="00DC2924" w:rsidR="0085230E" w:rsidP="00FF7EBB" w:rsidRDefault="0085230E" w14:paraId="0F4D6E7D" w14:textId="7C8C013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Pr="0085230E" w:rsidR="00706BB5" w:rsidP="00FF7EBB" w:rsidRDefault="00706BB5" w14:paraId="2216C5B7" w14:textId="5A138451">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P="00FF7EBB" w:rsidRDefault="00F927A1" w14:paraId="28947286" w14:textId="77777777">
      <w:pPr>
        <w:overflowPunct/>
        <w:autoSpaceDE/>
        <w:autoSpaceDN/>
        <w:adjustRightInd/>
        <w:ind w:right="-957"/>
        <w:textAlignment w:val="auto"/>
        <w:rPr>
          <w:rFonts w:ascii="Times New Roman" w:hAnsi="Times New Roman" w:cs="Times New Roman"/>
          <w:b/>
          <w:color w:val="auto"/>
          <w:sz w:val="48"/>
        </w:rPr>
      </w:pPr>
    </w:p>
    <w:p w:rsidRPr="00FE5F90" w:rsidR="00F927A1" w:rsidP="00F927A1" w:rsidRDefault="00F927A1" w14:paraId="61FA5299" w14:textId="77777777">
      <w:pPr>
        <w:overflowPunct/>
        <w:autoSpaceDE/>
        <w:autoSpaceDN/>
        <w:adjustRightInd/>
        <w:ind w:right="-957"/>
        <w:textAlignment w:val="auto"/>
        <w:rPr>
          <w:rFonts w:ascii="Times New Roman" w:hAnsi="Times New Roman" w:cs="Times New Roman"/>
          <w:b/>
          <w:color w:val="auto"/>
          <w:sz w:val="18"/>
          <w:szCs w:val="2"/>
        </w:rPr>
      </w:pPr>
    </w:p>
    <w:p w:rsidRPr="00F927A1" w:rsidR="00F927A1" w:rsidP="00F927A1" w:rsidRDefault="0085230E" w14:paraId="5B3FA234" w14:textId="7777777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Pr="00706BB5" w:rsidR="00F927A1" w:rsidRDefault="00F927A1" w14:paraId="333E90F0" w14:textId="62DD2FD5">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Pr="00F15354" w:rsidR="6E4F6729">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Pr="00FE5F90" w:rsidR="0085230E" w:rsidP="00F927A1" w:rsidRDefault="0085230E" w14:paraId="024B1E2F" w14:textId="77777777">
      <w:pPr>
        <w:overflowPunct/>
        <w:autoSpaceDE/>
        <w:autoSpaceDN/>
        <w:adjustRightInd/>
        <w:ind w:right="-957"/>
        <w:textAlignment w:val="auto"/>
        <w:rPr>
          <w:rFonts w:ascii="Times New Roman" w:hAnsi="Times New Roman" w:cs="Times New Roman"/>
          <w:b/>
          <w:color w:val="auto"/>
          <w:sz w:val="14"/>
          <w:szCs w:val="2"/>
        </w:rPr>
      </w:pPr>
    </w:p>
    <w:p w:rsidRPr="00F927A1" w:rsidR="0085230E" w:rsidP="00F927A1" w:rsidRDefault="0085230E" w14:paraId="16D1A022" w14:textId="77777777">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8"/>
      </w:tblGrid>
      <w:tr w:rsidRPr="005D3F07" w:rsidR="00F927A1" w:rsidTr="005D3F07" w14:paraId="68CAA39D" w14:textId="77777777">
        <w:tc>
          <w:tcPr>
            <w:tcW w:w="10368" w:type="dxa"/>
            <w:shd w:val="clear" w:color="auto" w:fill="auto"/>
          </w:tcPr>
          <w:p w:rsidR="00986B43" w:rsidP="005D3F07" w:rsidRDefault="00986B43" w14:paraId="02F8EE88" w14:textId="5A2E451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E6143">
              <w:rPr>
                <w:rFonts w:ascii="Times New Roman" w:hAnsi="Times New Roman" w:cs="Times New Roman"/>
                <w:b/>
                <w:color w:val="auto"/>
                <w:sz w:val="48"/>
              </w:rPr>
              <w:t>Yasmin Etoumi</w:t>
            </w:r>
          </w:p>
          <w:p w:rsidR="009C337F" w:rsidP="005D3F07" w:rsidRDefault="009C337F" w14:paraId="0B6CD0DB" w14:textId="689515B5">
            <w:pPr>
              <w:overflowPunct/>
              <w:autoSpaceDE/>
              <w:autoSpaceDN/>
              <w:adjustRightInd/>
              <w:ind w:right="-957"/>
              <w:textAlignment w:val="auto"/>
              <w:rPr>
                <w:rFonts w:ascii="Times New Roman" w:hAnsi="Times New Roman" w:cs="Times New Roman"/>
                <w:b/>
                <w:color w:val="auto"/>
                <w:sz w:val="48"/>
              </w:rPr>
            </w:pPr>
          </w:p>
          <w:p w:rsidR="009C337F" w:rsidP="005D3F07" w:rsidRDefault="009C337F" w14:paraId="3A6EAAC7" w14:textId="7A99C25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E6143">
              <w:rPr>
                <w:rFonts w:ascii="Times New Roman" w:hAnsi="Times New Roman" w:cs="Times New Roman"/>
                <w:b/>
                <w:color w:val="auto"/>
                <w:sz w:val="48"/>
              </w:rPr>
              <w:t xml:space="preserve"> yetoumi1@gmail.com</w:t>
            </w:r>
          </w:p>
          <w:p w:rsidR="00986B43" w:rsidP="005D3F07" w:rsidRDefault="00986B43" w14:paraId="22E38809" w14:textId="77777777">
            <w:pPr>
              <w:overflowPunct/>
              <w:autoSpaceDE/>
              <w:autoSpaceDN/>
              <w:adjustRightInd/>
              <w:ind w:right="-957"/>
              <w:textAlignment w:val="auto"/>
              <w:rPr>
                <w:rFonts w:ascii="Times New Roman" w:hAnsi="Times New Roman" w:cs="Times New Roman"/>
                <w:b/>
                <w:color w:val="auto"/>
                <w:sz w:val="48"/>
              </w:rPr>
            </w:pPr>
          </w:p>
          <w:p w:rsidR="00F927A1" w:rsidP="005D3F07" w:rsidRDefault="0085230E" w14:paraId="0DE696B2" w14:textId="7777777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Pr="005D3F07" w:rsidR="00F927A1">
              <w:rPr>
                <w:rFonts w:ascii="Times New Roman" w:hAnsi="Times New Roman" w:cs="Times New Roman"/>
                <w:b/>
                <w:color w:val="auto"/>
                <w:sz w:val="48"/>
              </w:rPr>
              <w:t xml:space="preserve"> Number:</w:t>
            </w:r>
          </w:p>
          <w:p w:rsidRPr="005D3F07" w:rsidR="003E6143" w:rsidP="005D3F07" w:rsidRDefault="003E6143" w14:paraId="5C0067DA" w14:textId="44BF451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2220591</w:t>
            </w:r>
          </w:p>
          <w:p w:rsidRPr="005D3F07" w:rsidR="0085230E" w:rsidP="005D3F07" w:rsidRDefault="0085230E" w14:paraId="622FD17A" w14:textId="77777777">
            <w:pPr>
              <w:overflowPunct/>
              <w:autoSpaceDE/>
              <w:autoSpaceDN/>
              <w:adjustRightInd/>
              <w:ind w:right="-957"/>
              <w:textAlignment w:val="auto"/>
              <w:rPr>
                <w:rFonts w:ascii="Times New Roman" w:hAnsi="Times New Roman" w:cs="Times New Roman"/>
                <w:b/>
                <w:color w:val="auto"/>
                <w:sz w:val="48"/>
              </w:rPr>
            </w:pPr>
          </w:p>
          <w:p w:rsidRPr="005D3F07" w:rsidR="0085230E" w:rsidP="005D3F07" w:rsidRDefault="00706BB5" w14:paraId="5F84129B" w14:textId="31C56729">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Pr="00F927A1" w:rsidR="00F927A1" w:rsidP="00986B43" w:rsidRDefault="008420E1" w14:paraId="40F3C009" w14:textId="7777777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Pr="00F927A1" w:rsidR="00F927A1" w:rsidP="00F927A1" w:rsidRDefault="00F927A1" w14:paraId="621AF8BA" w14:textId="77777777">
      <w:pPr>
        <w:overflowPunct/>
        <w:autoSpaceDE/>
        <w:autoSpaceDN/>
        <w:adjustRightInd/>
        <w:textAlignment w:val="auto"/>
        <w:rPr>
          <w:rFonts w:ascii="Times New Roman" w:hAnsi="Times New Roman" w:cs="Times New Roman"/>
          <w:color w:val="auto"/>
          <w:sz w:val="24"/>
        </w:rPr>
      </w:pPr>
    </w:p>
    <w:p w:rsidRPr="00F927A1" w:rsidR="00F927A1" w:rsidP="00F927A1" w:rsidRDefault="00F927A1" w14:paraId="3FC4E125" w14:textId="77777777">
      <w:pPr>
        <w:overflowPunct/>
        <w:autoSpaceDE/>
        <w:autoSpaceDN/>
        <w:adjustRightInd/>
        <w:ind w:right="-957"/>
        <w:textAlignment w:val="auto"/>
        <w:rPr>
          <w:rFonts w:ascii="Times New Roman" w:hAnsi="Times New Roman" w:cs="Times New Roman"/>
          <w:b/>
          <w:color w:val="auto"/>
          <w:sz w:val="48"/>
        </w:rPr>
      </w:pPr>
    </w:p>
    <w:p w:rsidR="007F312E" w:rsidP="531B68EC" w:rsidRDefault="007F312E" w14:paraId="70797153" w14:noSpellErr="1" w14:textId="610E0455">
      <w:pPr>
        <w:pStyle w:val="Normal"/>
        <w:jc w:val="center"/>
        <w:rPr>
          <w:b w:val="1"/>
          <w:bCs w:val="1"/>
          <w:sz w:val="24"/>
          <w:szCs w:val="24"/>
        </w:rPr>
      </w:pPr>
    </w:p>
    <w:p w:rsidR="00D3203C" w:rsidP="00EE5BC3" w:rsidRDefault="00D3203C" w14:paraId="1D68DA91" w14:textId="77777777">
      <w:pPr>
        <w:jc w:val="center"/>
        <w:rPr>
          <w:b/>
          <w:sz w:val="24"/>
          <w:szCs w:val="24"/>
        </w:rPr>
      </w:pPr>
    </w:p>
    <w:p w:rsidRPr="00EE5BC3" w:rsidR="000D0BB6" w:rsidP="00EE5BC3" w:rsidRDefault="00337FEF" w14:paraId="0EF984DF" w14:textId="02707E04">
      <w:pPr>
        <w:jc w:val="center"/>
        <w:rPr>
          <w:b/>
          <w:sz w:val="28"/>
          <w:szCs w:val="28"/>
        </w:rPr>
      </w:pPr>
      <w:r w:rsidRPr="00EE5BC3">
        <w:rPr>
          <w:b/>
          <w:sz w:val="28"/>
          <w:szCs w:val="28"/>
        </w:rPr>
        <w:t>Task 4</w:t>
      </w:r>
    </w:p>
    <w:p w:rsidRPr="00EE5BC3" w:rsidR="00002C7A" w:rsidP="00EE5BC3" w:rsidRDefault="00002C7A" w14:paraId="156B2346" w14:textId="77777777">
      <w:pPr>
        <w:jc w:val="center"/>
        <w:rPr>
          <w:b/>
          <w:sz w:val="28"/>
          <w:szCs w:val="28"/>
        </w:rPr>
      </w:pPr>
    </w:p>
    <w:p w:rsidRPr="00EE5BC3" w:rsidR="00002C7A" w:rsidP="00EE5BC3" w:rsidRDefault="00002C7A" w14:paraId="4A34FA1D" w14:textId="77777777">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rsidRPr="008B28E7" w:rsidR="000D0BB6" w:rsidP="00FF7EBB" w:rsidRDefault="000D0BB6" w14:paraId="6D6C0186" w14:textId="77777777">
      <w:pPr>
        <w:jc w:val="both"/>
        <w:rPr>
          <w:b/>
          <w:sz w:val="24"/>
          <w:szCs w:val="24"/>
        </w:rPr>
      </w:pPr>
    </w:p>
    <w:p w:rsidRPr="00EE5BC3" w:rsidR="00337FEF" w:rsidP="00FF7EBB" w:rsidRDefault="008B28E7" w14:paraId="63836D76" w14:textId="77777777">
      <w:pPr>
        <w:ind w:left="-90"/>
        <w:jc w:val="both"/>
        <w:rPr>
          <w:b/>
          <w:i/>
          <w:sz w:val="24"/>
          <w:szCs w:val="24"/>
        </w:rPr>
      </w:pPr>
      <w:r w:rsidRPr="00EE5BC3">
        <w:rPr>
          <w:b/>
          <w:i/>
          <w:sz w:val="24"/>
          <w:szCs w:val="24"/>
        </w:rPr>
        <w:t xml:space="preserve">Guidance: </w:t>
      </w:r>
    </w:p>
    <w:p w:rsidRPr="008B28E7" w:rsidR="00633165" w:rsidP="531B68EC" w:rsidRDefault="00633165" w14:paraId="7A8069C4" w14:textId="0BF91132">
      <w:pPr>
        <w:ind w:left="-90"/>
        <w:jc w:val="both"/>
        <w:rPr>
          <w:i w:val="1"/>
          <w:iCs w:val="1"/>
          <w:sz w:val="24"/>
          <w:szCs w:val="24"/>
        </w:rPr>
      </w:pPr>
      <w:r w:rsidRPr="531B68EC" w:rsidR="00012B16">
        <w:rPr>
          <w:i w:val="1"/>
          <w:iCs w:val="1"/>
          <w:sz w:val="24"/>
          <w:szCs w:val="24"/>
        </w:rPr>
        <w:t>Social Care Wales</w:t>
      </w:r>
      <w:r w:rsidRPr="531B68EC" w:rsidR="008B28E7">
        <w:rPr>
          <w:i w:val="1"/>
          <w:iCs w:val="1"/>
          <w:sz w:val="24"/>
          <w:szCs w:val="24"/>
        </w:rPr>
        <w:t xml:space="preserve"> require newly qualified social workers </w:t>
      </w:r>
      <w:r w:rsidRPr="531B68EC" w:rsidR="00D60F88">
        <w:rPr>
          <w:i w:val="1"/>
          <w:iCs w:val="1"/>
          <w:sz w:val="24"/>
          <w:szCs w:val="24"/>
        </w:rPr>
        <w:t xml:space="preserve">to provide evidence of </w:t>
      </w:r>
      <w:r w:rsidRPr="531B68EC" w:rsidR="008B28E7">
        <w:rPr>
          <w:i w:val="1"/>
          <w:iCs w:val="1"/>
          <w:sz w:val="24"/>
          <w:szCs w:val="24"/>
        </w:rPr>
        <w:t xml:space="preserve">their </w:t>
      </w:r>
      <w:r w:rsidRPr="531B68EC" w:rsidR="00D60F88">
        <w:rPr>
          <w:i w:val="1"/>
          <w:iCs w:val="1"/>
          <w:sz w:val="24"/>
          <w:szCs w:val="24"/>
        </w:rPr>
        <w:t>understanding of safeguarding work with adults and children</w:t>
      </w:r>
      <w:r w:rsidRPr="531B68EC" w:rsidR="008B28E7">
        <w:rPr>
          <w:i w:val="1"/>
          <w:iCs w:val="1"/>
          <w:sz w:val="24"/>
          <w:szCs w:val="24"/>
        </w:rPr>
        <w:t>.</w:t>
      </w:r>
      <w:r w:rsidRPr="531B68EC" w:rsidR="00D60F88">
        <w:rPr>
          <w:i w:val="1"/>
          <w:iCs w:val="1"/>
          <w:sz w:val="24"/>
          <w:szCs w:val="24"/>
        </w:rPr>
        <w:t xml:space="preserve"> </w:t>
      </w:r>
      <w:r w:rsidRPr="531B68EC" w:rsidR="004911B4">
        <w:rPr>
          <w:i w:val="1"/>
          <w:iCs w:val="1"/>
          <w:sz w:val="24"/>
          <w:szCs w:val="24"/>
        </w:rPr>
        <w:t>The</w:t>
      </w:r>
      <w:r w:rsidRPr="531B68EC" w:rsidR="00D60F88">
        <w:rPr>
          <w:i w:val="1"/>
          <w:iCs w:val="1"/>
          <w:sz w:val="24"/>
          <w:szCs w:val="24"/>
        </w:rPr>
        <w:t xml:space="preserve"> assignment below will enable you to </w:t>
      </w:r>
      <w:r w:rsidRPr="531B68EC" w:rsidR="00EE5BC3">
        <w:rPr>
          <w:i w:val="1"/>
          <w:iCs w:val="1"/>
          <w:sz w:val="24"/>
          <w:szCs w:val="24"/>
        </w:rPr>
        <w:t>demonstrate</w:t>
      </w:r>
      <w:r w:rsidRPr="531B68EC" w:rsidR="00EE5BC3">
        <w:rPr>
          <w:i w:val="1"/>
          <w:iCs w:val="1"/>
          <w:sz w:val="24"/>
          <w:szCs w:val="24"/>
        </w:rPr>
        <w:t xml:space="preserve"> this</w:t>
      </w:r>
      <w:r w:rsidRPr="531B68EC" w:rsidR="008B28E7">
        <w:rPr>
          <w:i w:val="1"/>
          <w:iCs w:val="1"/>
          <w:sz w:val="24"/>
          <w:szCs w:val="24"/>
        </w:rPr>
        <w:t xml:space="preserve">. </w:t>
      </w:r>
      <w:r w:rsidRPr="531B68EC" w:rsidR="008B28E7">
        <w:rPr>
          <w:b w:val="1"/>
          <w:bCs w:val="1"/>
          <w:i w:val="1"/>
          <w:iCs w:val="1"/>
          <w:sz w:val="24"/>
          <w:szCs w:val="24"/>
        </w:rPr>
        <w:t>N.B</w:t>
      </w:r>
      <w:r w:rsidRPr="531B68EC" w:rsidR="008B28E7">
        <w:rPr>
          <w:i w:val="1"/>
          <w:iCs w:val="1"/>
          <w:sz w:val="24"/>
          <w:szCs w:val="24"/>
        </w:rPr>
        <w:t xml:space="preserve">. </w:t>
      </w:r>
      <w:r w:rsidRPr="531B68EC" w:rsidR="00D60F88">
        <w:rPr>
          <w:i w:val="1"/>
          <w:iCs w:val="1"/>
          <w:sz w:val="24"/>
          <w:szCs w:val="24"/>
        </w:rPr>
        <w:t xml:space="preserve">if your </w:t>
      </w:r>
      <w:r w:rsidRPr="531B68EC" w:rsidR="009D477B">
        <w:rPr>
          <w:i w:val="1"/>
          <w:iCs w:val="1"/>
          <w:sz w:val="24"/>
          <w:szCs w:val="24"/>
        </w:rPr>
        <w:t>usual area</w:t>
      </w:r>
      <w:r w:rsidRPr="531B68EC" w:rsidR="00D60F88">
        <w:rPr>
          <w:i w:val="1"/>
          <w:iCs w:val="1"/>
          <w:sz w:val="24"/>
          <w:szCs w:val="24"/>
        </w:rPr>
        <w:t xml:space="preserve"> of work is with </w:t>
      </w:r>
      <w:r w:rsidRPr="531B68EC" w:rsidR="00D60F88">
        <w:rPr>
          <w:i w:val="1"/>
          <w:iCs w:val="1"/>
          <w:sz w:val="24"/>
          <w:szCs w:val="24"/>
        </w:rPr>
        <w:t>children</w:t>
      </w:r>
      <w:r w:rsidRPr="531B68EC" w:rsidR="00D60F88">
        <w:rPr>
          <w:i w:val="1"/>
          <w:iCs w:val="1"/>
          <w:sz w:val="24"/>
          <w:szCs w:val="24"/>
        </w:rPr>
        <w:t xml:space="preserve"> please write about adult</w:t>
      </w:r>
      <w:r w:rsidRPr="531B68EC" w:rsidR="003C19F1">
        <w:rPr>
          <w:i w:val="1"/>
          <w:iCs w:val="1"/>
          <w:sz w:val="24"/>
          <w:szCs w:val="24"/>
        </w:rPr>
        <w:t xml:space="preserve"> safeguarding. I</w:t>
      </w:r>
      <w:r w:rsidRPr="531B68EC" w:rsidR="00D60F88">
        <w:rPr>
          <w:i w:val="1"/>
          <w:iCs w:val="1"/>
          <w:sz w:val="24"/>
          <w:szCs w:val="24"/>
        </w:rPr>
        <w:t xml:space="preserve">f you </w:t>
      </w:r>
      <w:r w:rsidRPr="531B68EC" w:rsidR="009D477B">
        <w:rPr>
          <w:i w:val="1"/>
          <w:iCs w:val="1"/>
          <w:sz w:val="24"/>
          <w:szCs w:val="24"/>
        </w:rPr>
        <w:t>usually work</w:t>
      </w:r>
      <w:r w:rsidRPr="531B68EC" w:rsidR="00D60F88">
        <w:rPr>
          <w:i w:val="1"/>
          <w:iCs w:val="1"/>
          <w:sz w:val="24"/>
          <w:szCs w:val="24"/>
        </w:rPr>
        <w:t xml:space="preserve"> with adults</w:t>
      </w:r>
      <w:r w:rsidRPr="531B68EC" w:rsidR="3CD2139F">
        <w:rPr>
          <w:i w:val="1"/>
          <w:iCs w:val="1"/>
          <w:sz w:val="24"/>
          <w:szCs w:val="24"/>
        </w:rPr>
        <w:t>,</w:t>
      </w:r>
      <w:r w:rsidRPr="531B68EC" w:rsidR="00D60F88">
        <w:rPr>
          <w:i w:val="1"/>
          <w:iCs w:val="1"/>
          <w:sz w:val="24"/>
          <w:szCs w:val="24"/>
        </w:rPr>
        <w:t xml:space="preserve"> then write about child</w:t>
      </w:r>
      <w:r w:rsidRPr="531B68EC" w:rsidR="003C19F1">
        <w:rPr>
          <w:i w:val="1"/>
          <w:iCs w:val="1"/>
          <w:sz w:val="24"/>
          <w:szCs w:val="24"/>
        </w:rPr>
        <w:t xml:space="preserve"> safeguarding</w:t>
      </w:r>
      <w:r w:rsidRPr="531B68EC" w:rsidR="00D60F88">
        <w:rPr>
          <w:i w:val="1"/>
          <w:iCs w:val="1"/>
          <w:sz w:val="24"/>
          <w:szCs w:val="24"/>
        </w:rPr>
        <w:t xml:space="preserve">. </w:t>
      </w:r>
      <w:r w:rsidRPr="531B68EC" w:rsidR="00337FEF">
        <w:rPr>
          <w:i w:val="1"/>
          <w:iCs w:val="1"/>
          <w:sz w:val="24"/>
          <w:szCs w:val="24"/>
        </w:rPr>
        <w:t xml:space="preserve"> </w:t>
      </w:r>
      <w:r w:rsidRPr="531B68EC" w:rsidR="0079422A">
        <w:rPr>
          <w:i w:val="1"/>
          <w:iCs w:val="1"/>
          <w:sz w:val="24"/>
          <w:szCs w:val="24"/>
        </w:rPr>
        <w:t>E</w:t>
      </w:r>
      <w:r w:rsidRPr="531B68EC" w:rsidR="00337FEF">
        <w:rPr>
          <w:i w:val="1"/>
          <w:iCs w:val="1"/>
          <w:sz w:val="24"/>
          <w:szCs w:val="24"/>
        </w:rPr>
        <w:t xml:space="preserve">nsure you meet </w:t>
      </w:r>
      <w:r w:rsidRPr="531B68EC" w:rsidR="00FC0334">
        <w:rPr>
          <w:i w:val="1"/>
          <w:iCs w:val="1"/>
          <w:sz w:val="24"/>
          <w:szCs w:val="24"/>
        </w:rPr>
        <w:t>the</w:t>
      </w:r>
      <w:r w:rsidRPr="531B68EC" w:rsidR="00AA7960">
        <w:rPr>
          <w:i w:val="1"/>
          <w:iCs w:val="1"/>
          <w:sz w:val="24"/>
          <w:szCs w:val="24"/>
        </w:rPr>
        <w:t xml:space="preserve"> </w:t>
      </w:r>
      <w:r w:rsidRPr="531B68EC" w:rsidR="00064063">
        <w:rPr>
          <w:i w:val="1"/>
          <w:iCs w:val="1"/>
          <w:sz w:val="24"/>
          <w:szCs w:val="24"/>
        </w:rPr>
        <w:t xml:space="preserve">learning out comes for this task </w:t>
      </w:r>
      <w:r w:rsidRPr="531B68EC" w:rsidR="0079422A">
        <w:rPr>
          <w:i w:val="1"/>
          <w:iCs w:val="1"/>
          <w:sz w:val="24"/>
          <w:szCs w:val="24"/>
        </w:rPr>
        <w:t>(</w:t>
      </w:r>
      <w:r w:rsidRPr="531B68EC" w:rsidR="00064063">
        <w:rPr>
          <w:i w:val="1"/>
          <w:iCs w:val="1"/>
          <w:sz w:val="24"/>
          <w:szCs w:val="24"/>
        </w:rPr>
        <w:t xml:space="preserve">see appendix </w:t>
      </w:r>
      <w:r w:rsidRPr="531B68EC" w:rsidR="003D1BC0">
        <w:rPr>
          <w:i w:val="1"/>
          <w:iCs w:val="1"/>
          <w:sz w:val="24"/>
          <w:szCs w:val="24"/>
        </w:rPr>
        <w:t>5</w:t>
      </w:r>
      <w:r w:rsidRPr="531B68EC" w:rsidR="00064063">
        <w:rPr>
          <w:i w:val="1"/>
          <w:iCs w:val="1"/>
          <w:sz w:val="24"/>
          <w:szCs w:val="24"/>
        </w:rPr>
        <w:t xml:space="preserve"> </w:t>
      </w:r>
      <w:r w:rsidRPr="531B68EC" w:rsidR="00FC0334">
        <w:rPr>
          <w:i w:val="1"/>
          <w:iCs w:val="1"/>
          <w:sz w:val="24"/>
          <w:szCs w:val="24"/>
        </w:rPr>
        <w:t>of the</w:t>
      </w:r>
      <w:r w:rsidRPr="531B68EC" w:rsidR="007A628F">
        <w:rPr>
          <w:i w:val="1"/>
          <w:iCs w:val="1"/>
          <w:sz w:val="24"/>
          <w:szCs w:val="24"/>
        </w:rPr>
        <w:t xml:space="preserve"> h</w:t>
      </w:r>
      <w:r w:rsidRPr="531B68EC" w:rsidR="00FC0334">
        <w:rPr>
          <w:i w:val="1"/>
          <w:iCs w:val="1"/>
          <w:sz w:val="24"/>
          <w:szCs w:val="24"/>
        </w:rPr>
        <w:t>andbook</w:t>
      </w:r>
      <w:r w:rsidRPr="531B68EC" w:rsidR="0079422A">
        <w:rPr>
          <w:i w:val="1"/>
          <w:iCs w:val="1"/>
          <w:sz w:val="24"/>
          <w:szCs w:val="24"/>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8B28E7" w:rsidR="005A545C" w:rsidTr="531B68EC" w14:paraId="152141E6" w14:textId="77777777">
        <w:tc>
          <w:tcPr>
            <w:tcW w:w="10188" w:type="dxa"/>
            <w:shd w:val="clear" w:color="auto" w:fill="auto"/>
            <w:tcMar/>
          </w:tcPr>
          <w:p w:rsidRPr="00EB695F" w:rsidR="00337FEF" w:rsidP="00FF7EBB" w:rsidRDefault="00337FEF" w14:paraId="2B66890D" w14:textId="56A37C4F">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rsidR="003E6143" w:rsidP="00FF7EBB" w:rsidRDefault="00BB7FD2" w14:paraId="1A98E8AE" w14:textId="77777777">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Pr="006108C9" w:rsidR="00DA22EC">
              <w:rPr>
                <w:sz w:val="24"/>
                <w:szCs w:val="24"/>
              </w:rPr>
              <w:t>the</w:t>
            </w:r>
            <w:r w:rsidRPr="006108C9" w:rsidR="005A545C">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Pr="006108C9" w:rsidR="005A545C">
              <w:rPr>
                <w:sz w:val="24"/>
                <w:szCs w:val="24"/>
              </w:rPr>
              <w:t>national, local and organisational policies and procedures</w:t>
            </w:r>
            <w:r>
              <w:rPr>
                <w:sz w:val="24"/>
                <w:szCs w:val="24"/>
              </w:rPr>
              <w:t xml:space="preserve"> for safeguarding.</w:t>
            </w:r>
          </w:p>
          <w:p w:rsidR="003E6143" w:rsidP="00FF7EBB" w:rsidRDefault="003E6143" w14:paraId="180E1B11" w14:textId="77777777">
            <w:pPr>
              <w:jc w:val="both"/>
              <w:rPr>
                <w:sz w:val="24"/>
                <w:szCs w:val="24"/>
              </w:rPr>
            </w:pPr>
          </w:p>
          <w:p w:rsidRPr="006108C9" w:rsidR="003E6143" w:rsidP="003E6143" w:rsidRDefault="003E6143" w14:paraId="28534894" w14:textId="77777777">
            <w:pPr>
              <w:jc w:val="both"/>
              <w:rPr>
                <w:sz w:val="24"/>
                <w:szCs w:val="24"/>
              </w:rPr>
            </w:pPr>
          </w:p>
          <w:p w:rsidR="008B28E7" w:rsidP="00FF7EBB" w:rsidRDefault="003E6143" w14:paraId="17A49383" w14:textId="054B37D1">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r w:rsidR="00BB7FD2">
              <w:rPr>
                <w:sz w:val="24"/>
                <w:szCs w:val="24"/>
              </w:rPr>
              <w:t xml:space="preserve"> </w:t>
            </w:r>
          </w:p>
          <w:p w:rsidR="003E6143" w:rsidP="00FF7EBB" w:rsidRDefault="003E6143" w14:paraId="39481AB2" w14:textId="77777777">
            <w:pPr>
              <w:jc w:val="both"/>
              <w:rPr>
                <w:sz w:val="24"/>
                <w:szCs w:val="24"/>
              </w:rPr>
            </w:pPr>
          </w:p>
          <w:p w:rsidR="006108C9" w:rsidP="00FF7EBB" w:rsidRDefault="006108C9" w14:paraId="1FBBCFA0" w14:textId="77777777">
            <w:pPr>
              <w:jc w:val="both"/>
              <w:rPr>
                <w:sz w:val="24"/>
                <w:szCs w:val="24"/>
              </w:rPr>
            </w:pPr>
          </w:p>
          <w:p w:rsidR="003E6143" w:rsidP="003E6143" w:rsidRDefault="003E6143" w14:paraId="0999CEB0" w14:textId="77777777">
            <w:pPr>
              <w:jc w:val="both"/>
              <w:rPr>
                <w:sz w:val="24"/>
                <w:szCs w:val="24"/>
              </w:rPr>
            </w:pPr>
            <w:r>
              <w:rPr>
                <w:sz w:val="24"/>
                <w:szCs w:val="24"/>
              </w:rPr>
              <w:t xml:space="preserve">Legislation and policies that relate to children’s safeguarding </w:t>
            </w:r>
            <w:proofErr w:type="gramStart"/>
            <w:r>
              <w:rPr>
                <w:sz w:val="24"/>
                <w:szCs w:val="24"/>
              </w:rPr>
              <w:t>in particular in</w:t>
            </w:r>
            <w:proofErr w:type="gramEnd"/>
            <w:r>
              <w:rPr>
                <w:sz w:val="24"/>
                <w:szCs w:val="24"/>
              </w:rPr>
              <w:t xml:space="preserve"> Wales are the Children Act (CA, 1989 and 2004); the United Nations Convention on the Rights of the Child 1989 (UNCRC) (UNICEF, 1989) and the Social Services and Wellbeing Act (SSWBA) (2014).</w:t>
            </w:r>
          </w:p>
          <w:p w:rsidR="003E6143" w:rsidP="003E6143" w:rsidRDefault="003E6143" w14:paraId="6C9AFEB1" w14:textId="77777777">
            <w:pPr>
              <w:jc w:val="both"/>
              <w:rPr>
                <w:sz w:val="24"/>
                <w:szCs w:val="24"/>
              </w:rPr>
            </w:pPr>
          </w:p>
          <w:p w:rsidR="003E6143" w:rsidP="003E6143" w:rsidRDefault="003E6143" w14:paraId="1129B474" w14:textId="77777777">
            <w:pPr>
              <w:jc w:val="both"/>
              <w:rPr>
                <w:color w:val="auto"/>
                <w:sz w:val="24"/>
                <w:szCs w:val="24"/>
              </w:rPr>
            </w:pPr>
            <w:r>
              <w:rPr>
                <w:sz w:val="24"/>
                <w:szCs w:val="24"/>
              </w:rPr>
              <w:t xml:space="preserve">The Children Act (1989 and 2004) highlights the effect of various types of abuse and offers a definition for the term ‘significant harm’, which became the threshold to warrant </w:t>
            </w:r>
            <w:r w:rsidRPr="00BF2C20">
              <w:rPr>
                <w:color w:val="auto"/>
                <w:sz w:val="24"/>
                <w:szCs w:val="24"/>
              </w:rPr>
              <w:t xml:space="preserve">mandatory intervention. It also determined that local authorities have a duty to investigate if they “have </w:t>
            </w:r>
            <w:r w:rsidRPr="008A33F2">
              <w:rPr>
                <w:color w:val="auto"/>
                <w:sz w:val="24"/>
                <w:szCs w:val="24"/>
              </w:rPr>
              <w:t xml:space="preserve">reasonable cause to suspect that a child who lives, or is found, in their area is suffering, or is likely to suffer, significant harm”. </w:t>
            </w:r>
            <w:r>
              <w:rPr>
                <w:color w:val="auto"/>
                <w:sz w:val="24"/>
                <w:szCs w:val="24"/>
              </w:rPr>
              <w:t xml:space="preserve">This duty on the local authority to investigate is also in S126 of SSWBA (2014). </w:t>
            </w:r>
          </w:p>
          <w:p w:rsidR="003E6143" w:rsidP="003E6143" w:rsidRDefault="003E6143" w14:paraId="07FC8C34" w14:textId="77777777">
            <w:pPr>
              <w:jc w:val="both"/>
              <w:rPr>
                <w:color w:val="auto"/>
                <w:sz w:val="24"/>
                <w:szCs w:val="24"/>
              </w:rPr>
            </w:pPr>
          </w:p>
          <w:p w:rsidR="003E6143" w:rsidP="003E6143" w:rsidRDefault="003E6143" w14:paraId="7E9B53FE" w14:textId="77777777">
            <w:pPr>
              <w:jc w:val="both"/>
              <w:rPr>
                <w:sz w:val="24"/>
                <w:szCs w:val="24"/>
              </w:rPr>
            </w:pPr>
            <w:r>
              <w:rPr>
                <w:color w:val="auto"/>
                <w:sz w:val="24"/>
                <w:szCs w:val="24"/>
              </w:rPr>
              <w:t xml:space="preserve">Previously, Working Together under the Children Act 2004 (WAG, 2006) supported agencies involved in safeguarding children with guidance on what their responsibilities and roles were and procedures within the process. It also provided identified the rights of children for example, protection from harm and a right to be heard (UNICEF, 1989). </w:t>
            </w:r>
            <w:r>
              <w:rPr>
                <w:sz w:val="24"/>
                <w:szCs w:val="24"/>
              </w:rPr>
              <w:t xml:space="preserve">The </w:t>
            </w:r>
            <w:proofErr w:type="gramStart"/>
            <w:r>
              <w:rPr>
                <w:sz w:val="24"/>
                <w:szCs w:val="24"/>
              </w:rPr>
              <w:t>All Wales Child</w:t>
            </w:r>
            <w:proofErr w:type="gramEnd"/>
            <w:r>
              <w:rPr>
                <w:sz w:val="24"/>
                <w:szCs w:val="24"/>
              </w:rPr>
              <w:t xml:space="preserve"> Protection Procedures (AWCPP) (SSIA, 2008) was then developed to highlight recommendations from reports, the CA (1989 and 2004) and Working Together under the Children Act 2004 (WAG, 2006) to explore arising areas of concern such as abuse via the internet. The Wales Safeguarding procedures replaced AWCPP (2008) (NSPCC, 2019).</w:t>
            </w:r>
          </w:p>
          <w:p w:rsidR="003E6143" w:rsidP="003E6143" w:rsidRDefault="003E6143" w14:paraId="27F244D1" w14:textId="77777777">
            <w:pPr>
              <w:jc w:val="both"/>
              <w:rPr>
                <w:color w:val="auto"/>
                <w:sz w:val="24"/>
                <w:szCs w:val="24"/>
              </w:rPr>
            </w:pPr>
          </w:p>
          <w:p w:rsidR="003E6143" w:rsidP="003E6143" w:rsidRDefault="003E6143" w14:paraId="1446BE0D" w14:textId="77777777">
            <w:pPr>
              <w:jc w:val="both"/>
              <w:rPr>
                <w:color w:val="auto"/>
                <w:sz w:val="24"/>
                <w:szCs w:val="24"/>
              </w:rPr>
            </w:pPr>
            <w:r>
              <w:rPr>
                <w:color w:val="auto"/>
                <w:sz w:val="24"/>
                <w:szCs w:val="24"/>
              </w:rPr>
              <w:t xml:space="preserve">The SSWBA (2014) came into force as a legal framework and changed the terminology being used in relation to children’s safeguarding from ‘vulnerable child’ to ‘child at risk’. It brought about the duty to report under S130. It highlights how wellbeing outcomes can be promoted and protected rather than focusing on evidencing abuse occurring, something which previous legislation focused heavily upon. </w:t>
            </w:r>
          </w:p>
          <w:p w:rsidR="003E6143" w:rsidP="003E6143" w:rsidRDefault="003E6143" w14:paraId="78F5AE12" w14:textId="77777777">
            <w:pPr>
              <w:jc w:val="both"/>
              <w:rPr>
                <w:sz w:val="24"/>
                <w:szCs w:val="24"/>
              </w:rPr>
            </w:pPr>
          </w:p>
          <w:p w:rsidR="003E6143" w:rsidP="003E6143" w:rsidRDefault="003E6143" w14:paraId="0423CEF8" w14:textId="77777777">
            <w:pPr>
              <w:jc w:val="both"/>
              <w:rPr>
                <w:sz w:val="24"/>
                <w:szCs w:val="24"/>
              </w:rPr>
            </w:pPr>
            <w:r>
              <w:rPr>
                <w:sz w:val="24"/>
                <w:szCs w:val="24"/>
              </w:rPr>
              <w:t xml:space="preserve">The SSWBA (2014) S47 outlines what duties the local authority </w:t>
            </w:r>
            <w:proofErr w:type="gramStart"/>
            <w:r>
              <w:rPr>
                <w:sz w:val="24"/>
                <w:szCs w:val="24"/>
              </w:rPr>
              <w:t>have</w:t>
            </w:r>
            <w:proofErr w:type="gramEnd"/>
            <w:r>
              <w:rPr>
                <w:sz w:val="24"/>
                <w:szCs w:val="24"/>
              </w:rPr>
              <w:t xml:space="preserve"> to undertake. In Part 7 of the Act is information regarding safeguarding both adults and children. It describes a “child at risk” in S30 (4) as a child who </w:t>
            </w:r>
            <w:proofErr w:type="gramStart"/>
            <w:r>
              <w:rPr>
                <w:sz w:val="24"/>
                <w:szCs w:val="24"/>
              </w:rPr>
              <w:t>“ (</w:t>
            </w:r>
            <w:proofErr w:type="gramEnd"/>
            <w:r>
              <w:rPr>
                <w:sz w:val="24"/>
                <w:szCs w:val="24"/>
              </w:rPr>
              <w:t xml:space="preserve">a) is experiencing or is at risk of abuse, neglect or other kinds of harm, and (b) has needs for care and support”. It is noted that it can be difficult to establish what is abuse and how various factors can </w:t>
            </w:r>
            <w:proofErr w:type="spellStart"/>
            <w:proofErr w:type="gramStart"/>
            <w:r>
              <w:rPr>
                <w:sz w:val="24"/>
                <w:szCs w:val="24"/>
              </w:rPr>
              <w:t>effect</w:t>
            </w:r>
            <w:proofErr w:type="spellEnd"/>
            <w:proofErr w:type="gramEnd"/>
            <w:r>
              <w:rPr>
                <w:sz w:val="24"/>
                <w:szCs w:val="24"/>
              </w:rPr>
              <w:t xml:space="preserve"> the situation such as context and age. However, there are various indicators that may contribute </w:t>
            </w:r>
            <w:proofErr w:type="gramStart"/>
            <w:r>
              <w:rPr>
                <w:sz w:val="24"/>
                <w:szCs w:val="24"/>
              </w:rPr>
              <w:t>in</w:t>
            </w:r>
            <w:proofErr w:type="gramEnd"/>
            <w:r>
              <w:rPr>
                <w:sz w:val="24"/>
                <w:szCs w:val="24"/>
              </w:rPr>
              <w:t xml:space="preserve"> identifying a child at risk which have been explored by The National Institute for Health Care and Excellence (2017). NICE (2017) highlight various indicators in relation to behaviour such as “</w:t>
            </w:r>
            <w:r w:rsidRPr="00C83921">
              <w:rPr>
                <w:sz w:val="24"/>
                <w:szCs w:val="24"/>
              </w:rPr>
              <w:t>if a child or young person displays or is reported to display a marked change in behaviour or emotional state that is a departure from what would be expected for their age and developmental stage and is not fully explained by a known stressful situation that is not part of child abuse and neglect (for example, bereavement or parental separation) or medical cause</w:t>
            </w:r>
            <w:r>
              <w:rPr>
                <w:sz w:val="24"/>
                <w:szCs w:val="24"/>
              </w:rPr>
              <w:t xml:space="preserve">”. </w:t>
            </w:r>
          </w:p>
          <w:p w:rsidR="003E6143" w:rsidP="003E6143" w:rsidRDefault="003E6143" w14:paraId="6CC7BF42" w14:textId="77777777">
            <w:pPr>
              <w:jc w:val="both"/>
              <w:rPr>
                <w:sz w:val="24"/>
                <w:szCs w:val="24"/>
              </w:rPr>
            </w:pPr>
          </w:p>
          <w:p w:rsidR="003E6143" w:rsidP="003E6143" w:rsidRDefault="003E6143" w14:paraId="46012589" w14:textId="77777777">
            <w:pPr>
              <w:jc w:val="both"/>
              <w:rPr>
                <w:sz w:val="24"/>
                <w:szCs w:val="24"/>
              </w:rPr>
            </w:pPr>
            <w:r>
              <w:rPr>
                <w:sz w:val="24"/>
                <w:szCs w:val="24"/>
              </w:rPr>
              <w:t>If concerns of abuse are raised under S126, the local authority has a duty to investigate as per SSWBA (2014) and S47 of the CA (1989) and a decision is to be made on any further action being required. Assessment is required under Part 3 of SSWBA (2014). If immediate action is needed, a strategy meeting is necessary as per S48 of the Children Act 1989.</w:t>
            </w:r>
          </w:p>
          <w:p w:rsidR="003E6143" w:rsidP="003E6143" w:rsidRDefault="003E6143" w14:paraId="3509DB9A" w14:textId="77777777">
            <w:pPr>
              <w:jc w:val="both"/>
              <w:rPr>
                <w:sz w:val="24"/>
                <w:szCs w:val="24"/>
              </w:rPr>
            </w:pPr>
          </w:p>
          <w:p w:rsidR="00FC0334" w:rsidP="00FF7EBB" w:rsidRDefault="00FC0334" w14:paraId="6D8CB8AF" w14:textId="25127EF1">
            <w:pPr>
              <w:jc w:val="both"/>
              <w:rPr>
                <w:sz w:val="24"/>
                <w:szCs w:val="24"/>
              </w:rPr>
            </w:pPr>
            <w:r w:rsidRPr="531B68EC" w:rsidR="003E6143">
              <w:rPr>
                <w:sz w:val="24"/>
                <w:szCs w:val="24"/>
              </w:rPr>
              <w:t>550 words</w:t>
            </w:r>
          </w:p>
          <w:p w:rsidRPr="008B28E7" w:rsidR="007A628F" w:rsidP="003E6143" w:rsidRDefault="007A628F" w14:paraId="03BD6D93" w14:textId="56AD433A">
            <w:pPr>
              <w:jc w:val="both"/>
              <w:rPr>
                <w:b/>
                <w:sz w:val="24"/>
                <w:szCs w:val="24"/>
              </w:rPr>
            </w:pPr>
          </w:p>
        </w:tc>
      </w:tr>
    </w:tbl>
    <w:p w:rsidRPr="008B28E7" w:rsidR="00AA666E" w:rsidP="00FF7EBB" w:rsidRDefault="00AA666E" w14:paraId="37E9CF73" w14:textId="77777777">
      <w:pPr>
        <w:jc w:val="both"/>
        <w:rPr>
          <w:sz w:val="24"/>
          <w:szCs w:val="24"/>
        </w:rPr>
      </w:pPr>
    </w:p>
    <w:p w:rsidRPr="008B28E7" w:rsidR="00AA666E" w:rsidP="00FF7EBB" w:rsidRDefault="00AA666E" w14:paraId="1FC83FC7" w14:textId="77777777">
      <w:pPr>
        <w:jc w:val="both"/>
        <w:rPr>
          <w:sz w:val="24"/>
          <w:szCs w:val="24"/>
        </w:rPr>
      </w:pPr>
    </w:p>
    <w:p w:rsidR="00AA666E" w:rsidP="00FF7EBB" w:rsidRDefault="00AA666E" w14:paraId="60437654" w14:textId="77777777">
      <w:pPr>
        <w:jc w:val="both"/>
        <w:rPr>
          <w:sz w:val="24"/>
          <w:szCs w:val="24"/>
        </w:rPr>
      </w:pPr>
    </w:p>
    <w:tbl>
      <w:tblPr>
        <w:tblpPr w:leftFromText="180" w:rightFromText="180" w:vertAnchor="text" w:horzAnchor="margin" w:tblpY="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8B28E7" w:rsidR="00FC0334" w:rsidTr="531B68EC" w14:paraId="3399E76C" w14:textId="77777777">
        <w:tc>
          <w:tcPr>
            <w:tcW w:w="10278" w:type="dxa"/>
            <w:shd w:val="clear" w:color="auto" w:fill="auto"/>
            <w:tcMar/>
          </w:tcPr>
          <w:p w:rsidRPr="00EB695F" w:rsidR="00FC0334" w:rsidP="00FC0334" w:rsidRDefault="00FC0334" w14:paraId="171F67D5" w14:textId="77777777">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FC0334" w:rsidP="00FC0334" w:rsidRDefault="00FC0334" w14:paraId="7B7B4827" w14:textId="65591576">
            <w:pPr>
              <w:jc w:val="both"/>
              <w:rPr>
                <w:sz w:val="24"/>
                <w:szCs w:val="24"/>
              </w:rPr>
            </w:pPr>
            <w:r w:rsidRPr="006108C9">
              <w:rPr>
                <w:sz w:val="24"/>
                <w:szCs w:val="24"/>
              </w:rPr>
              <w:t>Reflect on the difference between safeguarding in adul</w:t>
            </w:r>
            <w:r w:rsidRPr="00EC3A85">
              <w:rPr>
                <w:sz w:val="24"/>
                <w:szCs w:val="24"/>
              </w:rPr>
              <w:t>t</w:t>
            </w:r>
            <w:r w:rsidRPr="00EC3A85" w:rsidR="00C63CAB">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rsidRPr="006108C9" w:rsidR="00FC0334" w:rsidP="00FC0334" w:rsidRDefault="00FC0334" w14:paraId="438BF787" w14:textId="77777777">
            <w:pPr>
              <w:jc w:val="both"/>
              <w:rPr>
                <w:sz w:val="24"/>
                <w:szCs w:val="24"/>
              </w:rPr>
            </w:pPr>
          </w:p>
          <w:p w:rsidR="00FC0334" w:rsidP="00FC0334" w:rsidRDefault="00FC0334" w14:paraId="6BA3DD84" w14:textId="0013357A">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rsidR="00FC0334" w:rsidP="00FC0334" w:rsidRDefault="00FC0334" w14:paraId="03BEA9F1" w14:textId="77777777">
            <w:pPr>
              <w:jc w:val="both"/>
              <w:rPr>
                <w:sz w:val="24"/>
                <w:szCs w:val="24"/>
              </w:rPr>
            </w:pPr>
          </w:p>
          <w:p w:rsidR="003E6143" w:rsidP="00FC0334" w:rsidRDefault="003E6143" w14:paraId="057B39E4" w14:textId="77777777">
            <w:pPr>
              <w:jc w:val="both"/>
              <w:rPr>
                <w:sz w:val="24"/>
                <w:szCs w:val="24"/>
              </w:rPr>
            </w:pPr>
          </w:p>
          <w:p w:rsidR="003E6143" w:rsidP="003E6143" w:rsidRDefault="003E6143" w14:paraId="63689566" w14:textId="77777777">
            <w:pPr>
              <w:jc w:val="both"/>
              <w:rPr>
                <w:sz w:val="24"/>
                <w:szCs w:val="24"/>
              </w:rPr>
            </w:pPr>
            <w:r>
              <w:rPr>
                <w:sz w:val="24"/>
                <w:szCs w:val="24"/>
              </w:rPr>
              <w:t xml:space="preserve">Safeguarding of vulnerable people meaning both children and adults continues to be everyone’s responsibility (Social Care Wales, 2023). Whilst the differences between safeguarding in adults and children’s social work have decreased since the introduction of SSWBA (2014), it is noted that some variances remain. </w:t>
            </w:r>
          </w:p>
          <w:p w:rsidR="003E6143" w:rsidP="003E6143" w:rsidRDefault="003E6143" w14:paraId="3E386563" w14:textId="77777777">
            <w:pPr>
              <w:jc w:val="both"/>
              <w:rPr>
                <w:sz w:val="24"/>
                <w:szCs w:val="24"/>
              </w:rPr>
            </w:pPr>
          </w:p>
          <w:p w:rsidR="003E6143" w:rsidP="003E6143" w:rsidRDefault="003E6143" w14:paraId="1496600F" w14:textId="77777777">
            <w:pPr>
              <w:jc w:val="both"/>
              <w:rPr>
                <w:color w:val="auto"/>
                <w:sz w:val="24"/>
                <w:szCs w:val="24"/>
              </w:rPr>
            </w:pPr>
            <w:r>
              <w:rPr>
                <w:sz w:val="24"/>
                <w:szCs w:val="24"/>
              </w:rPr>
              <w:t xml:space="preserve">One of the main differences we can visibly see is the ability to decline interventions and the right to </w:t>
            </w:r>
            <w:proofErr w:type="spellStart"/>
            <w:r>
              <w:rPr>
                <w:sz w:val="24"/>
                <w:szCs w:val="24"/>
              </w:rPr>
              <w:t>self determination</w:t>
            </w:r>
            <w:proofErr w:type="spellEnd"/>
            <w:r>
              <w:rPr>
                <w:sz w:val="24"/>
                <w:szCs w:val="24"/>
              </w:rPr>
              <w:t xml:space="preserve"> </w:t>
            </w:r>
            <w:r w:rsidRPr="00B06BC7">
              <w:rPr>
                <w:color w:val="auto"/>
                <w:sz w:val="24"/>
                <w:szCs w:val="24"/>
              </w:rPr>
              <w:t>(Ann Craft Trust, 2022</w:t>
            </w:r>
            <w:r>
              <w:rPr>
                <w:sz w:val="24"/>
                <w:szCs w:val="24"/>
              </w:rPr>
              <w:t xml:space="preserve">). Adults </w:t>
            </w:r>
            <w:proofErr w:type="gramStart"/>
            <w:r>
              <w:rPr>
                <w:sz w:val="24"/>
                <w:szCs w:val="24"/>
              </w:rPr>
              <w:t>are able to</w:t>
            </w:r>
            <w:proofErr w:type="gramEnd"/>
            <w:r>
              <w:rPr>
                <w:sz w:val="24"/>
                <w:szCs w:val="24"/>
              </w:rPr>
              <w:t xml:space="preserve"> decline support if they have the mental capacity to make this decision as per the Mental Capacity Act (2005). Whereas children under the age of sixteen are not able to decline further intervention and support. If an individual is over the age of sixteen, according to the MCA (2005), they </w:t>
            </w:r>
            <w:proofErr w:type="gramStart"/>
            <w:r>
              <w:rPr>
                <w:sz w:val="24"/>
                <w:szCs w:val="24"/>
              </w:rPr>
              <w:t>are able to</w:t>
            </w:r>
            <w:proofErr w:type="gramEnd"/>
            <w:r>
              <w:rPr>
                <w:sz w:val="24"/>
                <w:szCs w:val="24"/>
              </w:rPr>
              <w:t xml:space="preserve"> decline intervention if it is agreed they have the capacity to do so. This also links to the differences in consent and how an adult is required to provide consent to a safeguarding </w:t>
            </w:r>
            <w:r>
              <w:rPr>
                <w:sz w:val="24"/>
                <w:szCs w:val="24"/>
              </w:rPr>
              <w:lastRenderedPageBreak/>
              <w:t xml:space="preserve">referral being made and if consent is not provided, this can defer the safeguarding going ahead, unless it is deemed to be a life threatening or a risk to the public </w:t>
            </w:r>
            <w:r w:rsidRPr="00831075">
              <w:rPr>
                <w:color w:val="auto"/>
                <w:sz w:val="24"/>
                <w:szCs w:val="24"/>
              </w:rPr>
              <w:t xml:space="preserve">(Social Care Wales, 2020). </w:t>
            </w:r>
            <w:r w:rsidRPr="00660D82">
              <w:rPr>
                <w:color w:val="auto"/>
                <w:sz w:val="24"/>
                <w:szCs w:val="24"/>
              </w:rPr>
              <w:t xml:space="preserve">If an adult does not agree to the safeguarding referral being made, if it is agreed they have the mental capacity to make this decision, it can be seen as them making an unwise decision. However, for children this is not the case. If a child is told about a potential safeguarding being made and they do not consent to this going further, this can be </w:t>
            </w:r>
            <w:proofErr w:type="gramStart"/>
            <w:r w:rsidRPr="00660D82">
              <w:rPr>
                <w:color w:val="auto"/>
                <w:sz w:val="24"/>
                <w:szCs w:val="24"/>
              </w:rPr>
              <w:t>overridden</w:t>
            </w:r>
            <w:proofErr w:type="gramEnd"/>
            <w:r w:rsidRPr="00660D82">
              <w:rPr>
                <w:color w:val="auto"/>
                <w:sz w:val="24"/>
                <w:szCs w:val="24"/>
              </w:rPr>
              <w:t xml:space="preserve"> and it can still go ahead</w:t>
            </w:r>
            <w:r>
              <w:rPr>
                <w:color w:val="auto"/>
                <w:sz w:val="24"/>
                <w:szCs w:val="24"/>
              </w:rPr>
              <w:t xml:space="preserve"> </w:t>
            </w:r>
            <w:r w:rsidRPr="00B06BC7">
              <w:rPr>
                <w:color w:val="auto"/>
                <w:sz w:val="24"/>
                <w:szCs w:val="24"/>
              </w:rPr>
              <w:t>(</w:t>
            </w:r>
            <w:r>
              <w:rPr>
                <w:color w:val="auto"/>
                <w:sz w:val="24"/>
                <w:szCs w:val="24"/>
              </w:rPr>
              <w:t>Social Care Wales</w:t>
            </w:r>
            <w:r w:rsidRPr="00B06BC7">
              <w:rPr>
                <w:color w:val="auto"/>
                <w:sz w:val="24"/>
                <w:szCs w:val="24"/>
              </w:rPr>
              <w:t xml:space="preserve">, 2020). </w:t>
            </w:r>
            <w:r>
              <w:rPr>
                <w:color w:val="auto"/>
                <w:sz w:val="24"/>
                <w:szCs w:val="24"/>
              </w:rPr>
              <w:t xml:space="preserve">Whilst this may seem like an unfair difference, it is perhaps </w:t>
            </w:r>
            <w:proofErr w:type="gramStart"/>
            <w:r>
              <w:rPr>
                <w:color w:val="auto"/>
                <w:sz w:val="24"/>
                <w:szCs w:val="24"/>
              </w:rPr>
              <w:t>due to the fact that</w:t>
            </w:r>
            <w:proofErr w:type="gramEnd"/>
            <w:r>
              <w:rPr>
                <w:color w:val="auto"/>
                <w:sz w:val="24"/>
                <w:szCs w:val="24"/>
              </w:rPr>
              <w:t xml:space="preserve"> a child may not be able to recognise risks as an adult would and it is the duty for the local authority to investigate concerns under S126 of the SSWBA (2014) and S47 of the Children Act (1989). </w:t>
            </w:r>
          </w:p>
          <w:p w:rsidR="003E6143" w:rsidP="003E6143" w:rsidRDefault="003E6143" w14:paraId="67EFD1CD" w14:textId="77777777">
            <w:pPr>
              <w:jc w:val="both"/>
              <w:rPr>
                <w:color w:val="auto"/>
                <w:sz w:val="24"/>
                <w:szCs w:val="24"/>
              </w:rPr>
            </w:pPr>
          </w:p>
          <w:p w:rsidRPr="001F76DD" w:rsidR="003E6143" w:rsidP="003E6143" w:rsidRDefault="003E6143" w14:paraId="765081B5" w14:textId="77777777">
            <w:pPr>
              <w:jc w:val="both"/>
              <w:rPr>
                <w:color w:val="auto"/>
                <w:sz w:val="24"/>
                <w:szCs w:val="24"/>
              </w:rPr>
            </w:pPr>
            <w:r>
              <w:rPr>
                <w:color w:val="auto"/>
                <w:sz w:val="24"/>
                <w:szCs w:val="24"/>
              </w:rPr>
              <w:t>Another difference that is highlighted is with the legislation being used in adults and children’s safeguarding. Whilst both rely upon the SSWBA (2014), children’s safeguarding is also linked to the Children Act (1989). There are some similarities in terms of the processes for each group however, the differences within legislation are apparent. For example, within the SSWBA (2014) the definitions of an adult at risk and a child at risk differ</w:t>
            </w:r>
            <w:r w:rsidRPr="007C706B">
              <w:rPr>
                <w:color w:val="auto"/>
                <w:sz w:val="24"/>
                <w:szCs w:val="24"/>
              </w:rPr>
              <w:t xml:space="preserve"> (Care inspectorate Wales, 2021). </w:t>
            </w:r>
            <w:r w:rsidRPr="0095069E">
              <w:rPr>
                <w:color w:val="auto"/>
                <w:sz w:val="24"/>
                <w:szCs w:val="24"/>
              </w:rPr>
              <w:t xml:space="preserve">This may be due to </w:t>
            </w:r>
            <w:r>
              <w:rPr>
                <w:color w:val="auto"/>
                <w:sz w:val="24"/>
                <w:szCs w:val="24"/>
              </w:rPr>
              <w:t xml:space="preserve">differences in terms of the types of abuse experienced, various contexts and differing impacts. As a result, adults and children’s safeguarding can be often kept separate from each other in terms of training due to the differences in processes, information and legislation followed </w:t>
            </w:r>
            <w:r w:rsidRPr="007E79AF">
              <w:rPr>
                <w:color w:val="auto"/>
                <w:sz w:val="24"/>
                <w:szCs w:val="24"/>
              </w:rPr>
              <w:t xml:space="preserve">(Norfolk Safeguarding Adults Board, 2021). </w:t>
            </w:r>
          </w:p>
          <w:p w:rsidR="003E6143" w:rsidP="003E6143" w:rsidRDefault="003E6143" w14:paraId="098CED99" w14:textId="77777777">
            <w:pPr>
              <w:jc w:val="both"/>
              <w:rPr>
                <w:color w:val="auto"/>
                <w:sz w:val="24"/>
                <w:szCs w:val="24"/>
              </w:rPr>
            </w:pPr>
          </w:p>
          <w:p w:rsidR="003E6143" w:rsidP="003E6143" w:rsidRDefault="003E6143" w14:paraId="7E83CF55" w14:textId="77777777">
            <w:pPr>
              <w:jc w:val="both"/>
              <w:rPr>
                <w:color w:val="auto"/>
                <w:sz w:val="24"/>
                <w:szCs w:val="24"/>
              </w:rPr>
            </w:pPr>
          </w:p>
          <w:p w:rsidR="003E6143" w:rsidP="003E6143" w:rsidRDefault="003E6143" w14:paraId="21B5FE65" w14:textId="77777777">
            <w:pPr>
              <w:jc w:val="both"/>
              <w:rPr>
                <w:color w:val="auto"/>
                <w:sz w:val="24"/>
                <w:szCs w:val="24"/>
              </w:rPr>
            </w:pPr>
          </w:p>
          <w:p w:rsidR="003E6143" w:rsidP="003E6143" w:rsidRDefault="003E6143" w14:paraId="5DED2EBF" w14:textId="77777777">
            <w:pPr>
              <w:jc w:val="both"/>
              <w:rPr>
                <w:color w:val="auto"/>
                <w:sz w:val="24"/>
                <w:szCs w:val="24"/>
              </w:rPr>
            </w:pPr>
          </w:p>
          <w:p w:rsidRPr="006108C9" w:rsidR="003E6143" w:rsidP="531B68EC" w:rsidRDefault="003E6143" w14:paraId="08760B3D" w14:textId="79E385C0">
            <w:pPr>
              <w:jc w:val="both"/>
              <w:rPr>
                <w:color w:val="auto"/>
                <w:sz w:val="24"/>
                <w:szCs w:val="24"/>
              </w:rPr>
            </w:pPr>
            <w:r w:rsidRPr="531B68EC" w:rsidR="003E6143">
              <w:rPr>
                <w:color w:val="auto"/>
                <w:sz w:val="24"/>
                <w:szCs w:val="24"/>
              </w:rPr>
              <w:t>Word count: 453</w:t>
            </w:r>
          </w:p>
        </w:tc>
      </w:tr>
    </w:tbl>
    <w:p w:rsidR="00FC0334" w:rsidP="00FC0334" w:rsidRDefault="00FC0334" w14:paraId="76FCF233" w14:textId="77777777">
      <w:pPr>
        <w:rPr>
          <w:sz w:val="24"/>
          <w:szCs w:val="24"/>
        </w:rPr>
      </w:pPr>
    </w:p>
    <w:sectPr w:rsidR="00FC0334" w:rsidSect="00B0789F">
      <w:headerReference w:type="default" r:id="rId12"/>
      <w:footerReference w:type="default" r:id="rId13"/>
      <w:pgSz w:w="12240" w:h="15840" w:orient="portrait"/>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0789F" w:rsidRDefault="00B0789F" w14:paraId="159F7AA2" w14:textId="77777777">
      <w:r>
        <w:separator/>
      </w:r>
    </w:p>
  </w:endnote>
  <w:endnote w:type="continuationSeparator" w:id="0">
    <w:p w:rsidR="00B0789F" w:rsidRDefault="00B0789F" w14:paraId="3082D47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5656A" w:rsidRDefault="00A5656A" w14:paraId="4FA3DEAF" w14:textId="311829FB">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rsidRPr="00E60F42" w:rsidR="00A5656A" w:rsidP="004C2D3A" w:rsidRDefault="00A5656A" w14:paraId="5CA2AEEC" w14:textId="77777777">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0789F" w:rsidRDefault="00B0789F" w14:paraId="2FB19869" w14:textId="77777777">
      <w:r>
        <w:separator/>
      </w:r>
    </w:p>
  </w:footnote>
  <w:footnote w:type="continuationSeparator" w:id="0">
    <w:p w:rsidR="00B0789F" w:rsidRDefault="00B0789F" w14:paraId="29F9529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5656A" w:rsidRDefault="00A5656A" w14:paraId="2053128E" w14:textId="52E03DEF">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968662216">
    <w:abstractNumId w:val="1"/>
    <w:lvlOverride w:ilvl="0">
      <w:lvl w:ilvl="0">
        <w:start w:val="1"/>
        <w:numFmt w:val="bullet"/>
        <w:lvlText w:val=""/>
        <w:lvlJc w:val="left"/>
        <w:pPr>
          <w:ind w:left="720" w:hanging="360"/>
        </w:pPr>
        <w:rPr>
          <w:rFonts w:hint="default" w:ascii="Symbol" w:hAnsi="Symbol"/>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D20"/>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143"/>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89F"/>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1B68EC"/>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LightList-Accent31" w:customStyle="1">
    <w:name w:val="Light List - Accent 31"/>
    <w:hidden/>
    <w:uiPriority w:val="99"/>
    <w:semiHidden/>
    <w:rsid w:val="004B6822"/>
    <w:rPr>
      <w:rFonts w:ascii="Arial" w:hAnsi="Arial" w:cs="Arial"/>
      <w:color w:val="000000"/>
    </w:rPr>
  </w:style>
  <w:style w:type="character" w:styleId="FooterChar" w:customStyle="1">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styleId="EndnoteTextChar" w:customStyle="1">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styleId="TitleChar" w:customStyle="1">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5" ma:contentTypeDescription="Create a new document." ma:contentTypeScope="" ma:versionID="e572d802a5e8f55d9061198e7e9f560d">
  <xsd:schema xmlns:xsd="http://www.w3.org/2001/XMLSchema" xmlns:xs="http://www.w3.org/2001/XMLSchema" xmlns:p="http://schemas.microsoft.com/office/2006/metadata/properties" xmlns:ns3="d8e79d84-78fb-44a9-92e9-d04bdd8f0359" targetNamespace="http://schemas.microsoft.com/office/2006/metadata/properties" ma:root="true" ma:fieldsID="f7f61ad24ccc2d25ae3cb8f396768bd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990F7664-91F0-423C-B9B7-E70F54AA6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B8520-07DA-4CD1-A752-AD40B0CC6B73}">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Yasmin Etoumi (2220591)</lastModifiedBy>
  <revision>4</revision>
  <lastPrinted>2020-02-11T19:20:00.0000000Z</lastPrinted>
  <dcterms:created xsi:type="dcterms:W3CDTF">2024-01-31T20:06:00.0000000Z</dcterms:created>
  <dcterms:modified xsi:type="dcterms:W3CDTF">2024-02-13T14:45:51.2898797Z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