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4DACD" w14:textId="77777777" w:rsidR="00CA3C27" w:rsidRDefault="00CA3C27">
      <w:pPr>
        <w:pStyle w:val="Title"/>
      </w:pPr>
      <w:bookmarkStart w:id="0" w:name="_rrpriprv6qra" w:colFirst="0" w:colLast="0"/>
      <w:bookmarkEnd w:id="0"/>
    </w:p>
    <w:p w14:paraId="416A99C1" w14:textId="4F409FC6" w:rsidR="00CA3C27" w:rsidRDefault="00C1634F">
      <w:pPr>
        <w:pStyle w:val="Title"/>
        <w:jc w:val="left"/>
      </w:pPr>
      <w:bookmarkStart w:id="1" w:name="_smzvr12i1t4b" w:colFirst="0" w:colLast="0"/>
      <w:bookmarkEnd w:id="1"/>
      <w:r>
        <w:t xml:space="preserve">                    </w:t>
      </w:r>
      <w:r>
        <w:rPr>
          <w:noProof/>
        </w:rPr>
        <w:drawing>
          <wp:inline distT="0" distB="0" distL="0" distR="0" wp14:anchorId="7B85CFE3" wp14:editId="4AE8F47B">
            <wp:extent cx="3639820" cy="1816735"/>
            <wp:effectExtent l="0" t="0" r="0" b="0"/>
            <wp:docPr id="22339349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93496"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31994C31" w14:textId="77777777" w:rsidR="00CA3C27" w:rsidRDefault="00CA3C27">
      <w:pPr>
        <w:pStyle w:val="Title"/>
      </w:pPr>
      <w:bookmarkStart w:id="2" w:name="_p2c49x16k5ku" w:colFirst="0" w:colLast="0"/>
      <w:bookmarkEnd w:id="2"/>
    </w:p>
    <w:p w14:paraId="2B60743A" w14:textId="77777777" w:rsidR="00C1634F" w:rsidRDefault="00C1634F" w:rsidP="00C1634F">
      <w:bookmarkStart w:id="3" w:name="_sracfd5jplp6" w:colFirst="0" w:colLast="0"/>
      <w:bookmarkStart w:id="4" w:name="_5xn2euhxa6m9" w:colFirst="0" w:colLast="0"/>
      <w:bookmarkEnd w:id="3"/>
      <w:bookmarkEnd w:id="4"/>
    </w:p>
    <w:p w14:paraId="5AE387F9" w14:textId="77777777" w:rsidR="00C1634F" w:rsidRDefault="00C1634F" w:rsidP="00C1634F"/>
    <w:p w14:paraId="40F3715C" w14:textId="77777777" w:rsidR="00C1634F" w:rsidRPr="00C1634F" w:rsidRDefault="00C1634F" w:rsidP="00C1634F"/>
    <w:p w14:paraId="7A7246AF" w14:textId="77777777" w:rsidR="00C1634F" w:rsidRPr="006856A5" w:rsidRDefault="00C1634F" w:rsidP="00C1634F">
      <w:pPr>
        <w:pBdr>
          <w:top w:val="nil"/>
          <w:left w:val="nil"/>
          <w:bottom w:val="nil"/>
          <w:right w:val="nil"/>
          <w:between w:val="nil"/>
        </w:pBdr>
        <w:jc w:val="center"/>
        <w:rPr>
          <w:b/>
          <w:bCs/>
          <w:sz w:val="28"/>
          <w:szCs w:val="28"/>
          <w:lang w:eastAsia="en-IN"/>
        </w:rPr>
      </w:pPr>
      <w:bookmarkStart w:id="5" w:name="_gspk5loj0odc" w:colFirst="0" w:colLast="0"/>
      <w:bookmarkStart w:id="6" w:name="_Hlk196308253"/>
      <w:bookmarkEnd w:id="5"/>
      <w:r w:rsidRPr="006856A5">
        <w:rPr>
          <w:b/>
          <w:bCs/>
          <w:sz w:val="28"/>
          <w:szCs w:val="28"/>
          <w:lang w:eastAsia="en-IN"/>
        </w:rPr>
        <w:t>Name: Alina Don</w:t>
      </w:r>
    </w:p>
    <w:p w14:paraId="0D0E90DA" w14:textId="77777777" w:rsidR="00C1634F" w:rsidRPr="006856A5" w:rsidRDefault="00C1634F" w:rsidP="00C1634F">
      <w:pPr>
        <w:pBdr>
          <w:top w:val="nil"/>
          <w:left w:val="nil"/>
          <w:bottom w:val="nil"/>
          <w:right w:val="nil"/>
          <w:between w:val="nil"/>
        </w:pBdr>
        <w:jc w:val="center"/>
        <w:rPr>
          <w:b/>
          <w:bCs/>
          <w:sz w:val="28"/>
          <w:szCs w:val="28"/>
          <w:lang w:eastAsia="en-IN"/>
        </w:rPr>
      </w:pPr>
      <w:r w:rsidRPr="006856A5">
        <w:rPr>
          <w:b/>
          <w:bCs/>
          <w:sz w:val="28"/>
          <w:szCs w:val="28"/>
          <w:lang w:eastAsia="en-IN"/>
        </w:rPr>
        <w:t>Student ID: 2209918</w:t>
      </w:r>
    </w:p>
    <w:p w14:paraId="02D7B69E" w14:textId="2E04D9A1" w:rsidR="00C1634F" w:rsidRPr="006856A5" w:rsidRDefault="00C1634F" w:rsidP="00C1634F">
      <w:pPr>
        <w:pBdr>
          <w:top w:val="nil"/>
          <w:left w:val="nil"/>
          <w:bottom w:val="nil"/>
          <w:right w:val="nil"/>
          <w:between w:val="nil"/>
        </w:pBdr>
        <w:jc w:val="center"/>
        <w:rPr>
          <w:b/>
          <w:bCs/>
          <w:sz w:val="28"/>
          <w:szCs w:val="28"/>
          <w:lang w:eastAsia="en-IN"/>
        </w:rPr>
      </w:pPr>
      <w:r w:rsidRPr="006856A5">
        <w:rPr>
          <w:b/>
          <w:bCs/>
          <w:sz w:val="28"/>
          <w:szCs w:val="28"/>
          <w:lang w:eastAsia="en-IN"/>
        </w:rPr>
        <w:t xml:space="preserve">Module code: </w:t>
      </w:r>
      <w:r>
        <w:rPr>
          <w:b/>
          <w:bCs/>
          <w:sz w:val="28"/>
          <w:szCs w:val="28"/>
          <w:lang w:eastAsia="en-IN"/>
        </w:rPr>
        <w:t>LCMB7024</w:t>
      </w:r>
    </w:p>
    <w:p w14:paraId="28858073" w14:textId="6C075D68" w:rsidR="00C1634F" w:rsidRPr="006856A5" w:rsidRDefault="00C1634F" w:rsidP="00C1634F">
      <w:pPr>
        <w:pBdr>
          <w:top w:val="nil"/>
          <w:left w:val="nil"/>
          <w:bottom w:val="nil"/>
          <w:right w:val="nil"/>
          <w:between w:val="nil"/>
        </w:pBdr>
        <w:jc w:val="center"/>
        <w:rPr>
          <w:b/>
          <w:bCs/>
          <w:sz w:val="28"/>
          <w:szCs w:val="28"/>
          <w:lang w:val="en" w:eastAsia="en-IN"/>
        </w:rPr>
      </w:pPr>
      <w:r w:rsidRPr="006856A5">
        <w:rPr>
          <w:b/>
          <w:bCs/>
          <w:sz w:val="28"/>
          <w:szCs w:val="28"/>
          <w:lang w:eastAsia="en-IN"/>
        </w:rPr>
        <w:t xml:space="preserve">Module name: </w:t>
      </w:r>
      <w:r>
        <w:rPr>
          <w:b/>
          <w:bCs/>
          <w:sz w:val="28"/>
          <w:szCs w:val="28"/>
          <w:lang w:val="en" w:eastAsia="en-IN"/>
        </w:rPr>
        <w:t>Marketing Management</w:t>
      </w:r>
    </w:p>
    <w:p w14:paraId="249D8656" w14:textId="780B3A18" w:rsidR="00C1634F" w:rsidRPr="006856A5" w:rsidRDefault="00C1634F" w:rsidP="00C1634F">
      <w:pPr>
        <w:pBdr>
          <w:top w:val="nil"/>
          <w:left w:val="nil"/>
          <w:bottom w:val="nil"/>
          <w:right w:val="nil"/>
          <w:between w:val="nil"/>
        </w:pBdr>
        <w:jc w:val="center"/>
        <w:rPr>
          <w:b/>
          <w:bCs/>
          <w:sz w:val="28"/>
          <w:szCs w:val="28"/>
          <w:lang w:eastAsia="en-IN"/>
        </w:rPr>
      </w:pPr>
      <w:r w:rsidRPr="006856A5">
        <w:rPr>
          <w:b/>
          <w:bCs/>
          <w:sz w:val="28"/>
          <w:szCs w:val="28"/>
          <w:lang w:eastAsia="en-IN"/>
        </w:rPr>
        <w:t>Ass</w:t>
      </w:r>
      <w:r>
        <w:rPr>
          <w:b/>
          <w:bCs/>
          <w:sz w:val="28"/>
          <w:szCs w:val="28"/>
          <w:lang w:eastAsia="en-IN"/>
        </w:rPr>
        <w:t xml:space="preserve">essment component 1: </w:t>
      </w:r>
      <w:r>
        <w:rPr>
          <w:b/>
          <w:bCs/>
          <w:sz w:val="28"/>
          <w:szCs w:val="28"/>
          <w:lang w:eastAsia="en-IN"/>
        </w:rPr>
        <w:t>Marketing Environment Analysis</w:t>
      </w:r>
    </w:p>
    <w:p w14:paraId="4A375175" w14:textId="21B5F0AE" w:rsidR="00C1634F" w:rsidRPr="006856A5" w:rsidRDefault="00C1634F" w:rsidP="00C1634F">
      <w:pPr>
        <w:pBdr>
          <w:top w:val="nil"/>
          <w:left w:val="nil"/>
          <w:bottom w:val="nil"/>
          <w:right w:val="nil"/>
          <w:between w:val="nil"/>
        </w:pBdr>
        <w:jc w:val="center"/>
        <w:rPr>
          <w:b/>
          <w:bCs/>
          <w:sz w:val="28"/>
          <w:szCs w:val="28"/>
          <w:lang w:eastAsia="en-IN"/>
        </w:rPr>
      </w:pPr>
      <w:r w:rsidRPr="006856A5">
        <w:rPr>
          <w:b/>
          <w:bCs/>
          <w:sz w:val="28"/>
          <w:szCs w:val="28"/>
          <w:lang w:eastAsia="en-IN"/>
        </w:rPr>
        <w:t xml:space="preserve">Lecturer: </w:t>
      </w:r>
      <w:r>
        <w:rPr>
          <w:b/>
          <w:bCs/>
          <w:sz w:val="28"/>
          <w:szCs w:val="28"/>
          <w:lang w:eastAsia="en-IN"/>
        </w:rPr>
        <w:t>Dr Laila Maazouz</w:t>
      </w:r>
    </w:p>
    <w:p w14:paraId="473CC288" w14:textId="77777777" w:rsidR="00C1634F" w:rsidRDefault="00C1634F" w:rsidP="00C1634F">
      <w:pPr>
        <w:rPr>
          <w:b/>
          <w:bCs/>
          <w:sz w:val="36"/>
          <w:szCs w:val="36"/>
        </w:rPr>
      </w:pPr>
    </w:p>
    <w:bookmarkEnd w:id="6"/>
    <w:p w14:paraId="7A9CEA6B" w14:textId="77777777" w:rsidR="00CA3C27" w:rsidRDefault="00CA3C27">
      <w:pPr>
        <w:pStyle w:val="Title"/>
      </w:pPr>
    </w:p>
    <w:p w14:paraId="5F2CD84E" w14:textId="77777777" w:rsidR="00C1634F" w:rsidRDefault="00C1634F" w:rsidP="00C1634F"/>
    <w:p w14:paraId="15B5B813" w14:textId="77777777" w:rsidR="00C1634F" w:rsidRDefault="00C1634F" w:rsidP="00C1634F"/>
    <w:p w14:paraId="3D9291F1" w14:textId="77777777" w:rsidR="00C1634F" w:rsidRDefault="00C1634F" w:rsidP="00C1634F"/>
    <w:p w14:paraId="7C48E6A7" w14:textId="77777777" w:rsidR="00C1634F" w:rsidRDefault="00C1634F" w:rsidP="00C1634F"/>
    <w:p w14:paraId="1D184A55" w14:textId="77777777" w:rsidR="00C1634F" w:rsidRDefault="00C1634F" w:rsidP="00C1634F"/>
    <w:p w14:paraId="6615914C" w14:textId="4A4B0A4A" w:rsidR="00CA3C27" w:rsidRDefault="00000000">
      <w:pPr>
        <w:jc w:val="center"/>
      </w:pPr>
      <w:r>
        <w:br w:type="page"/>
      </w:r>
    </w:p>
    <w:p w14:paraId="27E8C1D3" w14:textId="77777777" w:rsidR="00C1634F" w:rsidRDefault="00C1634F">
      <w:pPr>
        <w:jc w:val="center"/>
        <w:rPr>
          <w:b/>
          <w:sz w:val="28"/>
          <w:szCs w:val="28"/>
        </w:rPr>
      </w:pPr>
    </w:p>
    <w:p w14:paraId="6DA8AFE7" w14:textId="77777777" w:rsidR="00C1634F" w:rsidRDefault="00C1634F">
      <w:pPr>
        <w:jc w:val="center"/>
        <w:rPr>
          <w:b/>
          <w:sz w:val="28"/>
          <w:szCs w:val="28"/>
        </w:rPr>
      </w:pPr>
    </w:p>
    <w:p w14:paraId="6E77A04B" w14:textId="77777777" w:rsidR="00C1634F" w:rsidRPr="00C1634F" w:rsidRDefault="00C1634F" w:rsidP="00C1634F">
      <w:pPr>
        <w:jc w:val="center"/>
        <w:rPr>
          <w:b/>
          <w:i/>
          <w:sz w:val="28"/>
          <w:szCs w:val="28"/>
        </w:rPr>
      </w:pPr>
      <w:r w:rsidRPr="00C1634F">
        <w:rPr>
          <w:b/>
          <w:i/>
          <w:sz w:val="28"/>
          <w:szCs w:val="28"/>
        </w:rPr>
        <w:t>Marketing Environmental Analysis for Pioneers and Followers</w:t>
      </w:r>
    </w:p>
    <w:p w14:paraId="7E4D5A73" w14:textId="77777777" w:rsidR="00C1634F" w:rsidRPr="00C1634F" w:rsidRDefault="00C1634F" w:rsidP="00C1634F">
      <w:pPr>
        <w:jc w:val="center"/>
        <w:rPr>
          <w:b/>
          <w:i/>
          <w:sz w:val="28"/>
          <w:szCs w:val="28"/>
        </w:rPr>
      </w:pPr>
      <w:r w:rsidRPr="00C1634F">
        <w:rPr>
          <w:b/>
          <w:i/>
          <w:sz w:val="28"/>
          <w:szCs w:val="28"/>
        </w:rPr>
        <w:t xml:space="preserve">Chosen industry: UK electric vehicle (EV) industry, </w:t>
      </w:r>
    </w:p>
    <w:p w14:paraId="400EC8AA" w14:textId="7893DBB2" w:rsidR="00C1634F" w:rsidRDefault="00C1634F" w:rsidP="00C1634F">
      <w:pPr>
        <w:jc w:val="center"/>
        <w:rPr>
          <w:b/>
          <w:sz w:val="28"/>
          <w:szCs w:val="28"/>
        </w:rPr>
      </w:pPr>
      <w:r w:rsidRPr="00C1634F">
        <w:rPr>
          <w:b/>
          <w:i/>
          <w:sz w:val="28"/>
          <w:szCs w:val="28"/>
        </w:rPr>
        <w:t>Two macro-environmental Factors: Technological and Economic factors.</w:t>
      </w:r>
    </w:p>
    <w:p w14:paraId="3A744C93" w14:textId="77777777" w:rsidR="00C1634F" w:rsidRDefault="00C1634F">
      <w:pPr>
        <w:jc w:val="center"/>
        <w:rPr>
          <w:b/>
          <w:sz w:val="28"/>
          <w:szCs w:val="28"/>
        </w:rPr>
      </w:pPr>
    </w:p>
    <w:p w14:paraId="17549F10" w14:textId="77777777" w:rsidR="00C1634F" w:rsidRDefault="00C1634F">
      <w:pPr>
        <w:jc w:val="center"/>
        <w:rPr>
          <w:b/>
          <w:sz w:val="28"/>
          <w:szCs w:val="28"/>
        </w:rPr>
      </w:pPr>
    </w:p>
    <w:p w14:paraId="1BD57543" w14:textId="77777777" w:rsidR="00C1634F" w:rsidRDefault="00C1634F">
      <w:pPr>
        <w:jc w:val="center"/>
        <w:rPr>
          <w:b/>
          <w:sz w:val="28"/>
          <w:szCs w:val="28"/>
        </w:rPr>
      </w:pPr>
    </w:p>
    <w:p w14:paraId="0F6B2A1E" w14:textId="77777777" w:rsidR="00C1634F" w:rsidRDefault="00C1634F">
      <w:pPr>
        <w:jc w:val="center"/>
        <w:rPr>
          <w:b/>
          <w:sz w:val="28"/>
          <w:szCs w:val="28"/>
        </w:rPr>
      </w:pPr>
    </w:p>
    <w:p w14:paraId="0F537CE0" w14:textId="77777777" w:rsidR="00C1634F" w:rsidRDefault="00C1634F">
      <w:pPr>
        <w:jc w:val="center"/>
        <w:rPr>
          <w:b/>
          <w:sz w:val="28"/>
          <w:szCs w:val="28"/>
        </w:rPr>
      </w:pPr>
    </w:p>
    <w:p w14:paraId="290D1F63" w14:textId="77777777" w:rsidR="00C1634F" w:rsidRDefault="00C1634F">
      <w:pPr>
        <w:jc w:val="center"/>
        <w:rPr>
          <w:b/>
          <w:sz w:val="28"/>
          <w:szCs w:val="28"/>
        </w:rPr>
      </w:pPr>
    </w:p>
    <w:p w14:paraId="6473EBDF" w14:textId="1D3B8469" w:rsidR="00CA3C27" w:rsidRDefault="00000000">
      <w:pPr>
        <w:jc w:val="center"/>
        <w:rPr>
          <w:b/>
          <w:sz w:val="28"/>
          <w:szCs w:val="28"/>
        </w:rPr>
      </w:pPr>
      <w:r>
        <w:rPr>
          <w:b/>
          <w:sz w:val="28"/>
          <w:szCs w:val="28"/>
        </w:rPr>
        <w:t>Table of Contents</w:t>
      </w:r>
    </w:p>
    <w:sdt>
      <w:sdtPr>
        <w:id w:val="224569188"/>
        <w:docPartObj>
          <w:docPartGallery w:val="Table of Contents"/>
          <w:docPartUnique/>
        </w:docPartObj>
      </w:sdtPr>
      <w:sdtContent>
        <w:p w14:paraId="4E2CACFE" w14:textId="77777777" w:rsidR="00CA3C27" w:rsidRDefault="00000000">
          <w:pPr>
            <w:widowControl w:val="0"/>
            <w:tabs>
              <w:tab w:val="right" w:leader="dot" w:pos="1200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hx5b7ohtnkej">
            <w:r>
              <w:rPr>
                <w:b/>
                <w:color w:val="000000"/>
              </w:rPr>
              <w:t>1. Introduction</w:t>
            </w:r>
            <w:r>
              <w:rPr>
                <w:b/>
                <w:color w:val="000000"/>
              </w:rPr>
              <w:tab/>
              <w:t>3</w:t>
            </w:r>
          </w:hyperlink>
        </w:p>
        <w:p w14:paraId="22F56417" w14:textId="77777777" w:rsidR="00CA3C27" w:rsidRDefault="00000000">
          <w:pPr>
            <w:widowControl w:val="0"/>
            <w:tabs>
              <w:tab w:val="right" w:leader="dot" w:pos="12000"/>
            </w:tabs>
            <w:spacing w:before="60" w:line="240" w:lineRule="auto"/>
            <w:jc w:val="left"/>
            <w:rPr>
              <w:b/>
              <w:color w:val="000000"/>
            </w:rPr>
          </w:pPr>
          <w:hyperlink w:anchor="_ff7tyjdlf8l1">
            <w:r>
              <w:rPr>
                <w:b/>
                <w:color w:val="000000"/>
              </w:rPr>
              <w:t>2. Analysis of the Macro Marketing Environment</w:t>
            </w:r>
            <w:r>
              <w:rPr>
                <w:b/>
                <w:color w:val="000000"/>
              </w:rPr>
              <w:tab/>
              <w:t>3</w:t>
            </w:r>
          </w:hyperlink>
        </w:p>
        <w:p w14:paraId="3B0D9BB3" w14:textId="77777777" w:rsidR="00CA3C27" w:rsidRDefault="00000000">
          <w:pPr>
            <w:widowControl w:val="0"/>
            <w:tabs>
              <w:tab w:val="right" w:leader="dot" w:pos="12000"/>
            </w:tabs>
            <w:spacing w:before="60" w:line="240" w:lineRule="auto"/>
            <w:ind w:left="360"/>
            <w:jc w:val="left"/>
            <w:rPr>
              <w:color w:val="000000"/>
            </w:rPr>
          </w:pPr>
          <w:hyperlink w:anchor="_o6lnx6ncny5v">
            <w:r>
              <w:rPr>
                <w:color w:val="000000"/>
              </w:rPr>
              <w:t>2.1 Overview of the Macro Environment</w:t>
            </w:r>
            <w:r>
              <w:rPr>
                <w:color w:val="000000"/>
              </w:rPr>
              <w:tab/>
              <w:t>3</w:t>
            </w:r>
          </w:hyperlink>
        </w:p>
        <w:p w14:paraId="141AF799" w14:textId="77777777" w:rsidR="00CA3C27" w:rsidRDefault="00000000">
          <w:pPr>
            <w:widowControl w:val="0"/>
            <w:tabs>
              <w:tab w:val="right" w:leader="dot" w:pos="12000"/>
            </w:tabs>
            <w:spacing w:before="60" w:line="240" w:lineRule="auto"/>
            <w:ind w:left="360"/>
            <w:jc w:val="left"/>
            <w:rPr>
              <w:color w:val="000000"/>
            </w:rPr>
          </w:pPr>
          <w:hyperlink w:anchor="_9578sdp3x2q6">
            <w:r>
              <w:rPr>
                <w:color w:val="000000"/>
              </w:rPr>
              <w:t>2.2 Technological Factors</w:t>
            </w:r>
            <w:r>
              <w:rPr>
                <w:color w:val="000000"/>
              </w:rPr>
              <w:tab/>
              <w:t>3</w:t>
            </w:r>
          </w:hyperlink>
        </w:p>
        <w:p w14:paraId="69996CB1" w14:textId="77777777" w:rsidR="00CA3C27" w:rsidRDefault="00000000">
          <w:pPr>
            <w:widowControl w:val="0"/>
            <w:tabs>
              <w:tab w:val="right" w:leader="dot" w:pos="12000"/>
            </w:tabs>
            <w:spacing w:before="60" w:line="240" w:lineRule="auto"/>
            <w:ind w:left="360"/>
            <w:jc w:val="left"/>
            <w:rPr>
              <w:color w:val="000000"/>
            </w:rPr>
          </w:pPr>
          <w:hyperlink w:anchor="_da9bg9qv2gr6">
            <w:r>
              <w:rPr>
                <w:color w:val="000000"/>
              </w:rPr>
              <w:t>2.3 Economic Factors</w:t>
            </w:r>
            <w:r>
              <w:rPr>
                <w:color w:val="000000"/>
              </w:rPr>
              <w:tab/>
              <w:t>4</w:t>
            </w:r>
          </w:hyperlink>
        </w:p>
        <w:p w14:paraId="3DEBA069" w14:textId="77777777" w:rsidR="00CA3C27" w:rsidRDefault="00000000">
          <w:pPr>
            <w:widowControl w:val="0"/>
            <w:tabs>
              <w:tab w:val="right" w:leader="dot" w:pos="12000"/>
            </w:tabs>
            <w:spacing w:before="60" w:line="240" w:lineRule="auto"/>
            <w:ind w:left="360"/>
            <w:jc w:val="left"/>
            <w:rPr>
              <w:color w:val="000000"/>
            </w:rPr>
          </w:pPr>
          <w:hyperlink w:anchor="_r1ofcfv3x0c5">
            <w:r>
              <w:rPr>
                <w:color w:val="000000"/>
              </w:rPr>
              <w:t>2.4 Comparative Analysis and Synthesis</w:t>
            </w:r>
            <w:r>
              <w:rPr>
                <w:color w:val="000000"/>
              </w:rPr>
              <w:tab/>
              <w:t>5</w:t>
            </w:r>
          </w:hyperlink>
        </w:p>
        <w:p w14:paraId="1375BB62" w14:textId="77777777" w:rsidR="00CA3C27" w:rsidRDefault="00000000">
          <w:pPr>
            <w:widowControl w:val="0"/>
            <w:tabs>
              <w:tab w:val="right" w:leader="dot" w:pos="12000"/>
            </w:tabs>
            <w:spacing w:before="60" w:line="240" w:lineRule="auto"/>
            <w:jc w:val="left"/>
            <w:rPr>
              <w:b/>
              <w:color w:val="000000"/>
            </w:rPr>
          </w:pPr>
          <w:hyperlink w:anchor="_sxohhcgo77u">
            <w:r>
              <w:rPr>
                <w:b/>
                <w:color w:val="000000"/>
              </w:rPr>
              <w:t>3. Strategic Responses by Pioneers and Followers</w:t>
            </w:r>
            <w:r>
              <w:rPr>
                <w:b/>
                <w:color w:val="000000"/>
              </w:rPr>
              <w:tab/>
              <w:t>6</w:t>
            </w:r>
          </w:hyperlink>
        </w:p>
        <w:p w14:paraId="26A24CE9" w14:textId="77777777" w:rsidR="00CA3C27" w:rsidRDefault="00000000">
          <w:pPr>
            <w:widowControl w:val="0"/>
            <w:tabs>
              <w:tab w:val="right" w:leader="dot" w:pos="12000"/>
            </w:tabs>
            <w:spacing w:before="60" w:line="240" w:lineRule="auto"/>
            <w:ind w:left="360"/>
            <w:jc w:val="left"/>
            <w:rPr>
              <w:color w:val="000000"/>
            </w:rPr>
          </w:pPr>
          <w:hyperlink w:anchor="_vnyxpbs3jqh">
            <w:r>
              <w:rPr>
                <w:color w:val="000000"/>
              </w:rPr>
              <w:t>3.1 Pioneering Firms: Innovation, Leadership, and First-Mover Advantage</w:t>
            </w:r>
            <w:r>
              <w:rPr>
                <w:color w:val="000000"/>
              </w:rPr>
              <w:tab/>
              <w:t>6</w:t>
            </w:r>
          </w:hyperlink>
        </w:p>
        <w:p w14:paraId="3B6D43DD" w14:textId="77777777" w:rsidR="00CA3C27" w:rsidRDefault="00000000">
          <w:pPr>
            <w:widowControl w:val="0"/>
            <w:tabs>
              <w:tab w:val="right" w:leader="dot" w:pos="12000"/>
            </w:tabs>
            <w:spacing w:before="60" w:line="240" w:lineRule="auto"/>
            <w:ind w:left="360"/>
            <w:jc w:val="left"/>
            <w:rPr>
              <w:color w:val="000000"/>
            </w:rPr>
          </w:pPr>
          <w:hyperlink w:anchor="_sab6k2x2han6">
            <w:r>
              <w:rPr>
                <w:color w:val="000000"/>
              </w:rPr>
              <w:t>3.2 Follower Firms: Adaptation, Benchmarking, and Cost Efficiency</w:t>
            </w:r>
            <w:r>
              <w:rPr>
                <w:color w:val="000000"/>
              </w:rPr>
              <w:tab/>
              <w:t>7</w:t>
            </w:r>
          </w:hyperlink>
        </w:p>
        <w:p w14:paraId="69D1381E" w14:textId="77777777" w:rsidR="00CA3C27" w:rsidRDefault="00000000">
          <w:pPr>
            <w:widowControl w:val="0"/>
            <w:tabs>
              <w:tab w:val="right" w:leader="dot" w:pos="12000"/>
            </w:tabs>
            <w:spacing w:before="60" w:line="240" w:lineRule="auto"/>
            <w:ind w:left="360"/>
            <w:jc w:val="left"/>
            <w:rPr>
              <w:color w:val="000000"/>
            </w:rPr>
          </w:pPr>
          <w:hyperlink w:anchor="_zex4zyw2s674">
            <w:r>
              <w:rPr>
                <w:color w:val="000000"/>
              </w:rPr>
              <w:t>3.3 Comparative Strategic Dimensions</w:t>
            </w:r>
            <w:r>
              <w:rPr>
                <w:color w:val="000000"/>
              </w:rPr>
              <w:tab/>
              <w:t>8</w:t>
            </w:r>
          </w:hyperlink>
        </w:p>
        <w:p w14:paraId="1A62D801" w14:textId="77777777" w:rsidR="00CA3C27" w:rsidRDefault="00000000">
          <w:pPr>
            <w:widowControl w:val="0"/>
            <w:tabs>
              <w:tab w:val="right" w:leader="dot" w:pos="12000"/>
            </w:tabs>
            <w:spacing w:before="60" w:line="240" w:lineRule="auto"/>
            <w:ind w:left="360"/>
            <w:jc w:val="left"/>
            <w:rPr>
              <w:color w:val="000000"/>
            </w:rPr>
          </w:pPr>
          <w:hyperlink w:anchor="_pevc3rcn6mg1">
            <w:r>
              <w:rPr>
                <w:color w:val="000000"/>
              </w:rPr>
              <w:t>3.4 Integrating Strategic Models</w:t>
            </w:r>
            <w:r>
              <w:rPr>
                <w:color w:val="000000"/>
              </w:rPr>
              <w:tab/>
              <w:t>8</w:t>
            </w:r>
          </w:hyperlink>
        </w:p>
        <w:p w14:paraId="5D055090" w14:textId="77777777" w:rsidR="00CA3C27" w:rsidRDefault="00000000">
          <w:pPr>
            <w:widowControl w:val="0"/>
            <w:tabs>
              <w:tab w:val="right" w:leader="dot" w:pos="12000"/>
            </w:tabs>
            <w:spacing w:before="60" w:line="240" w:lineRule="auto"/>
            <w:jc w:val="left"/>
            <w:rPr>
              <w:b/>
              <w:color w:val="000000"/>
            </w:rPr>
          </w:pPr>
          <w:hyperlink w:anchor="_nzdoa0nmtkb9">
            <w:r>
              <w:rPr>
                <w:b/>
                <w:color w:val="000000"/>
              </w:rPr>
              <w:t>4. Discussion and Synthesis</w:t>
            </w:r>
            <w:r>
              <w:rPr>
                <w:b/>
                <w:color w:val="000000"/>
              </w:rPr>
              <w:tab/>
              <w:t>9</w:t>
            </w:r>
          </w:hyperlink>
        </w:p>
        <w:p w14:paraId="2FF098FA" w14:textId="77777777" w:rsidR="00CA3C27" w:rsidRDefault="00000000">
          <w:pPr>
            <w:widowControl w:val="0"/>
            <w:tabs>
              <w:tab w:val="right" w:leader="dot" w:pos="12000"/>
            </w:tabs>
            <w:spacing w:before="60" w:line="240" w:lineRule="auto"/>
            <w:ind w:left="360"/>
            <w:jc w:val="left"/>
            <w:rPr>
              <w:color w:val="000000"/>
            </w:rPr>
          </w:pPr>
          <w:hyperlink w:anchor="_7wo2ztq6x0e">
            <w:r>
              <w:rPr>
                <w:color w:val="000000"/>
              </w:rPr>
              <w:t>4.1 Linking to Theoretical Frameworks</w:t>
            </w:r>
            <w:r>
              <w:rPr>
                <w:color w:val="000000"/>
              </w:rPr>
              <w:tab/>
              <w:t>9</w:t>
            </w:r>
          </w:hyperlink>
        </w:p>
        <w:p w14:paraId="3C29818B" w14:textId="77777777" w:rsidR="00CA3C27" w:rsidRDefault="00000000">
          <w:pPr>
            <w:widowControl w:val="0"/>
            <w:tabs>
              <w:tab w:val="right" w:leader="dot" w:pos="12000"/>
            </w:tabs>
            <w:spacing w:before="60" w:line="240" w:lineRule="auto"/>
            <w:ind w:left="360"/>
            <w:jc w:val="left"/>
            <w:rPr>
              <w:color w:val="000000"/>
            </w:rPr>
          </w:pPr>
          <w:hyperlink w:anchor="_7cexv0gz6gh4">
            <w:r>
              <w:rPr>
                <w:color w:val="000000"/>
              </w:rPr>
              <w:t>4.2 Strategic Implications for Pioneers</w:t>
            </w:r>
            <w:r>
              <w:rPr>
                <w:color w:val="000000"/>
              </w:rPr>
              <w:tab/>
              <w:t>9</w:t>
            </w:r>
          </w:hyperlink>
        </w:p>
        <w:p w14:paraId="1F5B795B" w14:textId="77777777" w:rsidR="00CA3C27" w:rsidRDefault="00000000">
          <w:pPr>
            <w:widowControl w:val="0"/>
            <w:tabs>
              <w:tab w:val="right" w:leader="dot" w:pos="12000"/>
            </w:tabs>
            <w:spacing w:before="60" w:line="240" w:lineRule="auto"/>
            <w:ind w:left="360"/>
            <w:jc w:val="left"/>
            <w:rPr>
              <w:color w:val="000000"/>
            </w:rPr>
          </w:pPr>
          <w:hyperlink w:anchor="_e7i52gr35fzs">
            <w:r>
              <w:rPr>
                <w:color w:val="000000"/>
              </w:rPr>
              <w:t>4.3 Strategic Implications for Followers</w:t>
            </w:r>
            <w:r>
              <w:rPr>
                <w:color w:val="000000"/>
              </w:rPr>
              <w:tab/>
              <w:t>9</w:t>
            </w:r>
          </w:hyperlink>
        </w:p>
        <w:p w14:paraId="134B52F5" w14:textId="77777777" w:rsidR="00CA3C27" w:rsidRDefault="00000000">
          <w:pPr>
            <w:widowControl w:val="0"/>
            <w:tabs>
              <w:tab w:val="right" w:leader="dot" w:pos="12000"/>
            </w:tabs>
            <w:spacing w:before="60" w:line="240" w:lineRule="auto"/>
            <w:ind w:left="360"/>
            <w:jc w:val="left"/>
            <w:rPr>
              <w:color w:val="000000"/>
            </w:rPr>
          </w:pPr>
          <w:hyperlink w:anchor="_vaz8pnn24ve4">
            <w:r>
              <w:rPr>
                <w:color w:val="000000"/>
              </w:rPr>
              <w:t>4.4 Industry Evolution and Marketing Transformation</w:t>
            </w:r>
            <w:r>
              <w:rPr>
                <w:color w:val="000000"/>
              </w:rPr>
              <w:tab/>
              <w:t>9</w:t>
            </w:r>
          </w:hyperlink>
        </w:p>
        <w:p w14:paraId="4BBA2BA3" w14:textId="77777777" w:rsidR="00CA3C27" w:rsidRDefault="00000000">
          <w:pPr>
            <w:widowControl w:val="0"/>
            <w:tabs>
              <w:tab w:val="right" w:leader="dot" w:pos="12000"/>
            </w:tabs>
            <w:spacing w:before="60" w:line="240" w:lineRule="auto"/>
            <w:jc w:val="left"/>
            <w:rPr>
              <w:b/>
              <w:color w:val="000000"/>
            </w:rPr>
          </w:pPr>
          <w:hyperlink w:anchor="_z2h3gblvh1li">
            <w:r>
              <w:rPr>
                <w:b/>
                <w:color w:val="000000"/>
              </w:rPr>
              <w:t>5. Conclusion</w:t>
            </w:r>
            <w:r>
              <w:rPr>
                <w:b/>
                <w:color w:val="000000"/>
              </w:rPr>
              <w:tab/>
              <w:t>10</w:t>
            </w:r>
          </w:hyperlink>
        </w:p>
        <w:p w14:paraId="4028F39E" w14:textId="77777777" w:rsidR="00CA3C27" w:rsidRDefault="00000000">
          <w:pPr>
            <w:widowControl w:val="0"/>
            <w:tabs>
              <w:tab w:val="right" w:leader="dot" w:pos="12000"/>
            </w:tabs>
            <w:spacing w:before="60" w:line="240" w:lineRule="auto"/>
            <w:jc w:val="left"/>
            <w:rPr>
              <w:b/>
              <w:color w:val="000000"/>
            </w:rPr>
          </w:pPr>
          <w:hyperlink w:anchor="_kl2k45fpiw6z">
            <w:r>
              <w:rPr>
                <w:b/>
                <w:color w:val="000000"/>
              </w:rPr>
              <w:t>Reference</w:t>
            </w:r>
            <w:r>
              <w:rPr>
                <w:b/>
                <w:color w:val="000000"/>
              </w:rPr>
              <w:tab/>
              <w:t>11</w:t>
            </w:r>
          </w:hyperlink>
          <w:r>
            <w:fldChar w:fldCharType="end"/>
          </w:r>
        </w:p>
      </w:sdtContent>
    </w:sdt>
    <w:p w14:paraId="7E16C159" w14:textId="77777777" w:rsidR="00CA3C27" w:rsidRDefault="00000000">
      <w:pPr>
        <w:jc w:val="center"/>
      </w:pPr>
      <w:r>
        <w:br w:type="page"/>
      </w:r>
    </w:p>
    <w:p w14:paraId="4A046213" w14:textId="77777777" w:rsidR="00CA3C27" w:rsidRDefault="00000000">
      <w:pPr>
        <w:pStyle w:val="Heading1"/>
      </w:pPr>
      <w:bookmarkStart w:id="7" w:name="_hx5b7ohtnkej" w:colFirst="0" w:colLast="0"/>
      <w:bookmarkEnd w:id="7"/>
      <w:r>
        <w:lastRenderedPageBreak/>
        <w:t>1. Introduction</w:t>
      </w:r>
    </w:p>
    <w:p w14:paraId="25335EBA" w14:textId="77777777" w:rsidR="00CA3C27" w:rsidRDefault="00000000">
      <w:r>
        <w:t>The marketing environment refers to every external and internal pressure that affects the capability of an organisation to effectively serve its customers. It is separated into micro-environment which includes immediate stakeholders, such as customers, competitors and suppliers, and the macro-environment which includes broader societal factors, such as technology, economy and regulation. The report is devoted to the industry of electric vehicles (EV) in the UK, which studies technological and economic factors as the main macro-environmental forces (Deloitte, 2020). It also makes a difference between the pioneering companies (e.g. Tesla, Nissan) and follower organisations (e.g. BMW, Hyundai) analysing the reaction of both to external forces. The report is supposed to evaluate opportunities, threats, and strategic implications on sustainable competitiveness.</w:t>
      </w:r>
    </w:p>
    <w:p w14:paraId="3EC5C7A8" w14:textId="77777777" w:rsidR="00CA3C27" w:rsidRDefault="00000000">
      <w:pPr>
        <w:pStyle w:val="Heading1"/>
      </w:pPr>
      <w:bookmarkStart w:id="8" w:name="_ff7tyjdlf8l1" w:colFirst="0" w:colLast="0"/>
      <w:bookmarkEnd w:id="8"/>
      <w:r>
        <w:t>2. Analysis of the Macro Marketing Environment</w:t>
      </w:r>
    </w:p>
    <w:p w14:paraId="448959D0" w14:textId="77777777" w:rsidR="00CA3C27" w:rsidRDefault="00000000">
      <w:pPr>
        <w:pStyle w:val="Heading2"/>
      </w:pPr>
      <w:bookmarkStart w:id="9" w:name="_o6lnx6ncny5v" w:colFirst="0" w:colLast="0"/>
      <w:bookmarkEnd w:id="9"/>
      <w:r>
        <w:t>2.1 Overview of the Macro Environment</w:t>
      </w:r>
    </w:p>
    <w:p w14:paraId="64475BF9" w14:textId="77777777" w:rsidR="00CA3C27" w:rsidRDefault="00000000">
      <w:r>
        <w:t>The financial climate has been favourable, so the environment factor is satisfactory.</w:t>
      </w:r>
    </w:p>
    <w:p w14:paraId="20A05060" w14:textId="77777777" w:rsidR="00CA3C27" w:rsidRDefault="00000000">
      <w:r>
        <w:t>External forces that cannot be controlled by a firm but have a critical impact on the market positioning and long-term strategy of a firm make up the macro marketing environment (Kotler and Keller, 2022). The technological and economical aspects of the PESTLE framework have significant roles in the EV industry in the UK because they directly affect innovation, affordability of consumers, and policy compatibility with net-zero objectives. The conflict between these forces forms divergent directions of pioneers, who innovate, and followers, who are utilising established market models.</w:t>
      </w:r>
    </w:p>
    <w:p w14:paraId="41384273" w14:textId="77777777" w:rsidR="00CA3C27" w:rsidRDefault="00000000">
      <w:pPr>
        <w:pStyle w:val="Heading2"/>
      </w:pPr>
      <w:bookmarkStart w:id="10" w:name="_9578sdp3x2q6" w:colFirst="0" w:colLast="0"/>
      <w:bookmarkEnd w:id="10"/>
      <w:r>
        <w:t>2.2 Technological Factors</w:t>
      </w:r>
    </w:p>
    <w:p w14:paraId="265A0BDF" w14:textId="77777777" w:rsidR="00CA3C27" w:rsidRDefault="00000000">
      <w:r>
        <w:t>The main disruption factor in the EV sector is technological advancement. The government of the UK has set its goal of banning the sale of new petrol and diesel cars by 2035, which has intensified the exploration of battery performance, charging systems, and digital connectivity. As stated by the Society of Motor Manufacturers and Traders (SMMT, 2025), electric car registrations in the UK have increased by 17% on a year-on-year basis, indicating that people in the United Kingdom are willing to adopt clean mobility.</w:t>
      </w:r>
    </w:p>
    <w:p w14:paraId="67863889" w14:textId="77777777" w:rsidR="00CA3C27" w:rsidRDefault="00000000">
      <w:pPr>
        <w:rPr>
          <w:b/>
        </w:rPr>
      </w:pPr>
      <w:r>
        <w:rPr>
          <w:b/>
        </w:rPr>
        <w:t>Opportunities for Pioneering Firms</w:t>
      </w:r>
    </w:p>
    <w:p w14:paraId="2333C766" w14:textId="77777777" w:rsidR="00CA3C27" w:rsidRDefault="00000000">
      <w:r>
        <w:t xml:space="preserve">First mover advantages have helped pioneers create battery innovation, autonomous systems, and over-the-air software upgrades, such as Tesla and Nissan. As an example, Tesla has created the Gigafactory system, allowing their battery production to become </w:t>
      </w:r>
      <w:proofErr w:type="spellStart"/>
      <w:r>
        <w:t>verticalised</w:t>
      </w:r>
      <w:proofErr w:type="spellEnd"/>
      <w:r>
        <w:t xml:space="preserve">, reducing prices and clear-cutting their supply chain (Tesla, 2021). Combining AI-powered predictive </w:t>
      </w:r>
      <w:r>
        <w:lastRenderedPageBreak/>
        <w:t>maintenance and cloud-based connectivity increases product differentiation and perception of the brand. To the innovators, this brand equity based on technology enables the domination of the market and loyalty to the customers.</w:t>
      </w:r>
    </w:p>
    <w:p w14:paraId="14754F8D" w14:textId="77777777" w:rsidR="00CA3C27" w:rsidRDefault="00000000">
      <w:pPr>
        <w:rPr>
          <w:b/>
        </w:rPr>
      </w:pPr>
      <w:r>
        <w:rPr>
          <w:b/>
        </w:rPr>
        <w:t>Threats for Pioneering Firms</w:t>
      </w:r>
    </w:p>
    <w:p w14:paraId="7379903D" w14:textId="77777777" w:rsidR="00CA3C27" w:rsidRDefault="00000000">
      <w:r>
        <w:t>Technological evolution, however, is also a risk in costs and obsolescence. Profit margins may be decreased through high levels of R&amp;D spending and speed of innovation (Rađenović</w:t>
      </w:r>
      <w:r>
        <w:rPr>
          <w:i/>
        </w:rPr>
        <w:t xml:space="preserve"> et al., </w:t>
      </w:r>
      <w:r>
        <w:t>2023). The new technology is challenging pioneers with new developments like solid-state batteries that may make the current lithium-ion systems irrelevant. In addition, during the advanced stage of market maturity, the diffusion of knowledge enables the new entrants to imitate the innovations at reduced costs, which removes the advantage of pioneers.</w:t>
      </w:r>
    </w:p>
    <w:p w14:paraId="199F60F5" w14:textId="77777777" w:rsidR="00CA3C27" w:rsidRDefault="00000000">
      <w:pPr>
        <w:rPr>
          <w:b/>
        </w:rPr>
      </w:pPr>
      <w:r>
        <w:rPr>
          <w:b/>
        </w:rPr>
        <w:t>Opportunities for Follower Firms</w:t>
      </w:r>
    </w:p>
    <w:p w14:paraId="125766F5" w14:textId="77777777" w:rsidR="00CA3C27" w:rsidRDefault="00000000">
      <w:r>
        <w:t>Technological change presents strategic learning to the follower companies. Other firms such as Hyundai and Volkswagen take advantage of the initial development in the market by the pioneer companies to come up with low cost alternatives (OECD, 2022). Cost-effectiveness and modular production efficiency are facilitated through the application of shared EV platforms (e.g., MEB platform of Volkswagen). Technological spillovers and collaboration with battery suppliers can also be utilised by followers, and the barriers to entry are low, and innovation can be adopted faster.</w:t>
      </w:r>
    </w:p>
    <w:p w14:paraId="3E157136" w14:textId="77777777" w:rsidR="00CA3C27" w:rsidRDefault="00000000">
      <w:pPr>
        <w:rPr>
          <w:b/>
        </w:rPr>
      </w:pPr>
      <w:r>
        <w:rPr>
          <w:b/>
        </w:rPr>
        <w:t>Threats for Follower Firms</w:t>
      </w:r>
    </w:p>
    <w:p w14:paraId="57A504E6" w14:textId="77777777" w:rsidR="00CA3C27" w:rsidRDefault="00000000">
      <w:r>
        <w:t xml:space="preserve">However, the followers are vulnerable to becoming technological addicts as well as brand dilution in case they do not differentiate. The dependency on third party suppliers or ineffective charging systems may limit flexibility (Pavić, </w:t>
      </w:r>
      <w:proofErr w:type="spellStart"/>
      <w:r>
        <w:t>Capuder</w:t>
      </w:r>
      <w:proofErr w:type="spellEnd"/>
      <w:r>
        <w:t xml:space="preserve"> and </w:t>
      </w:r>
      <w:proofErr w:type="spellStart"/>
      <w:r>
        <w:t>Kuzle</w:t>
      </w:r>
      <w:proofErr w:type="spellEnd"/>
      <w:r>
        <w:t>, 2016). Moreover, innovation rate requires massive investment on research and development which is not suitable to companies with low budgetary allocations or those who are not strong in terms of innovation culture. With the pace of charging and integration into the digital ecosystem becoming a competitive reality, adherents need to be innovative or face the danger of being outperformed and lagging in popularity.</w:t>
      </w:r>
    </w:p>
    <w:p w14:paraId="70B9D50D" w14:textId="77777777" w:rsidR="00CA3C27" w:rsidRDefault="00000000">
      <w:pPr>
        <w:pStyle w:val="Heading2"/>
      </w:pPr>
      <w:bookmarkStart w:id="11" w:name="_da9bg9qv2gr6" w:colFirst="0" w:colLast="0"/>
      <w:bookmarkEnd w:id="11"/>
      <w:r>
        <w:t>2.3 Economic Factors</w:t>
      </w:r>
    </w:p>
    <w:p w14:paraId="242F4A56" w14:textId="77777777" w:rsidR="00CA3C27" w:rsidRDefault="00000000">
      <w:r>
        <w:t>The demand and cost structure of the EV market is highly influenced by economic factors including inflation, interest rates, disposable income and prices of energy. The real household disposable income decreased by 1.2% in 2024 and electricity expenses rose by 8 affecting consumer purchasing power (Deloitte, 2024). Concurrently, subsidies and tax concessions (e.g., Plug-in Car Grant) by the government have facilitated prices of EVs and their penetration in the market.</w:t>
      </w:r>
    </w:p>
    <w:p w14:paraId="45438D66" w14:textId="77777777" w:rsidR="00CA3C27" w:rsidRDefault="00000000">
      <w:pPr>
        <w:rPr>
          <w:b/>
        </w:rPr>
      </w:pPr>
      <w:r>
        <w:rPr>
          <w:b/>
        </w:rPr>
        <w:lastRenderedPageBreak/>
        <w:t>Opportunities for Pioneering Firms</w:t>
      </w:r>
    </w:p>
    <w:p w14:paraId="4B9458D2" w14:textId="77777777" w:rsidR="00CA3C27" w:rsidRDefault="00000000">
      <w:r>
        <w:t>In the case of pioneers, economic factors that support sustainability investment can support brand resilience. Tesla has a good value perception and brand elasticity indicated by its capacity to charge high prices even when inflation is taking place (IEA, 2024). The cost optimisation of the global production networks over geographies is able to counter local economic volatility. Moreover, through the government stimulus packages of green industries, access to financial incentives and carbon credits is increased, which pioneers can take advantage of to fund their R&amp;D in the long term and their shareholders have confidence.</w:t>
      </w:r>
    </w:p>
    <w:p w14:paraId="1520572B" w14:textId="77777777" w:rsidR="00CA3C27" w:rsidRDefault="00000000">
      <w:pPr>
        <w:rPr>
          <w:b/>
        </w:rPr>
      </w:pPr>
      <w:r>
        <w:rPr>
          <w:b/>
        </w:rPr>
        <w:t>Threats for Pioneering Firms</w:t>
      </w:r>
    </w:p>
    <w:p w14:paraId="14BCCF29" w14:textId="77777777" w:rsidR="00CA3C27" w:rsidRDefault="00000000">
      <w:r>
        <w:t>However, during the macroeconomic recessions, the pioneers are also exposed. Intensive capital production and reliance on battery material subject them to cost volatility. An example is that profitability can be distorted by changes in the prices of lithium and cobalt which are some of the main raw materials (Leader, Gaustad and Babbitt, 2019). Economic recessions may slow the adoption of high-end EVs by consumers, reducing the market to high-income groups. The innovators in these situations experience liquidity constraints and without external funding, it is hard to maintain innovation-led strategies.</w:t>
      </w:r>
    </w:p>
    <w:p w14:paraId="2A6416C3" w14:textId="77777777" w:rsidR="00CA3C27" w:rsidRDefault="00000000">
      <w:pPr>
        <w:rPr>
          <w:b/>
        </w:rPr>
      </w:pPr>
      <w:r>
        <w:rPr>
          <w:b/>
        </w:rPr>
        <w:t>Opportunities for Follower Firms</w:t>
      </w:r>
    </w:p>
    <w:p w14:paraId="5CC9F986" w14:textId="77777777" w:rsidR="00CA3C27" w:rsidRDefault="00000000">
      <w:r>
        <w:t>The followers are able to take advantage of the price sensitive segments in harsh economic situations. Through their cost leadership approach, companies such as BYD and MG Motors are able to market to middle-income earners who want to purchase cheap EVs (McKinsey &amp; Company, 2022). Joint ventures and common grounds allow reducing the unit cost and diversify on the market. Also, in inflationary times, the followers can gain an upper hand by localising production and sourcing to minimise foreign exchange risks.</w:t>
      </w:r>
    </w:p>
    <w:p w14:paraId="4B767CD8" w14:textId="77777777" w:rsidR="00CA3C27" w:rsidRDefault="00000000">
      <w:pPr>
        <w:rPr>
          <w:b/>
        </w:rPr>
      </w:pPr>
      <w:r>
        <w:rPr>
          <w:b/>
        </w:rPr>
        <w:t>Threats for Follower Firms</w:t>
      </w:r>
    </w:p>
    <w:p w14:paraId="1BA04B47" w14:textId="77777777" w:rsidR="00CA3C27" w:rsidRDefault="00000000">
      <w:r>
        <w:t>Nevertheless, the follower firms have the dilemma of profitability amid low marginal profitability. The tightening of the economy can diminish access to credit in the expansion or innovation. The uncertainty of consumer demand is also another factor that exerts pressure on the followers to strike a balance between cost efficiency and product quality. Without strong financial support, these companies will find themselves caught between high-end innovators and low end entrants in the new markets like China and India (McKinsey &amp; Company, 2025).</w:t>
      </w:r>
    </w:p>
    <w:p w14:paraId="6F74B057" w14:textId="77777777" w:rsidR="00CA3C27" w:rsidRDefault="00000000">
      <w:pPr>
        <w:pStyle w:val="Heading2"/>
      </w:pPr>
      <w:bookmarkStart w:id="12" w:name="_r1ofcfv3x0c5" w:colFirst="0" w:colLast="0"/>
      <w:bookmarkEnd w:id="12"/>
      <w:r>
        <w:t>2.4 Comparative Analysis and Synthesis</w:t>
      </w:r>
    </w:p>
    <w:p w14:paraId="6A9DF9BB" w14:textId="77777777" w:rsidR="00CA3C27" w:rsidRDefault="00000000">
      <w:r>
        <w:t xml:space="preserve">Both economic and technological forces provide a twofold effect i.e. providing new growth potential and enhancing competition. Innovators and followers are successful when they are a pioneer and a follower respectively, as innovation leadership and adaptive learning allows </w:t>
      </w:r>
      <w:r>
        <w:lastRenderedPageBreak/>
        <w:t>pioneers to flourish, cost optimisation allows followers to flourish. The framework of dynamic capabilities (Teece, 2018) is the most accurate description of how companies become competitive: the pace of innovation is maintained by reconfiguring technologies by the pioneer, and its followers can afford the cost and time benefits with the help of agility. Given the transition to a net-zero economy in the UK, the future success of both leaders and followers in the EV industry will be characterised by sustainable use of technology and the ability to make strategic neuro-economic decisions.</w:t>
      </w:r>
    </w:p>
    <w:p w14:paraId="49826C26" w14:textId="77777777" w:rsidR="00CA3C27" w:rsidRDefault="00000000">
      <w:pPr>
        <w:pStyle w:val="Heading1"/>
      </w:pPr>
      <w:bookmarkStart w:id="13" w:name="_sxohhcgo77u" w:colFirst="0" w:colLast="0"/>
      <w:bookmarkEnd w:id="13"/>
      <w:r>
        <w:t>3. Strategic Responses by Pioneers and Followers</w:t>
      </w:r>
    </w:p>
    <w:p w14:paraId="2B7BD941" w14:textId="77777777" w:rsidR="00CA3C27" w:rsidRDefault="00000000">
      <w:pPr>
        <w:pStyle w:val="Heading2"/>
      </w:pPr>
      <w:bookmarkStart w:id="14" w:name="_vnyxpbs3jqh" w:colFirst="0" w:colLast="0"/>
      <w:bookmarkEnd w:id="14"/>
      <w:r>
        <w:t>3.1 Pioneering Firms: Innovation, Leadership, and First-Mover Advantage</w:t>
      </w:r>
    </w:p>
    <w:p w14:paraId="494A5839" w14:textId="77777777" w:rsidR="00CA3C27" w:rsidRDefault="00000000">
      <w:r>
        <w:t>The first-mover companies are usually known to use innovation leadership to influence the consumer taste and industry norms. They position their strategies with the Matrix by Ansoff because they can develop markets and product innovation, which allows them to venture into unexplored customer segments and launch breakthrough products ahead of their rivals.</w:t>
      </w:r>
    </w:p>
    <w:p w14:paraId="442752BB" w14:textId="77777777" w:rsidR="00CA3C27" w:rsidRDefault="00000000">
      <w:r>
        <w:t>A perfect example of the pioneer strategy is Tesla, which has a vertically integrated business model that combines distribution, software ecosystems, and production. Tesla owns the entire value chain, including Gigafactories and Supercharger networks, which allow the company to have quality control and lessen reliance on third-party services, as well as to gain economies of scale. This integration driven by innovation makes Tesla a differentiator in the Porters Generic Strategies allowing higher prices to be charged due to higher performance, driving range, and computerised user experience.</w:t>
      </w:r>
    </w:p>
    <w:p w14:paraId="339DA979" w14:textId="77777777" w:rsidR="00CA3C27" w:rsidRDefault="00000000">
      <w:r>
        <w:t>Likewise, Nissan's first-mover advantage in the inexpensive EV market was achieved with the introduction of the Leaf (Nissan, 2020). Its strategic focus in investment in research and development, cooperations with the government and its environmental branding enabled it to penetrate the market early. The recent collaboration between Nissan and Renault as part of the Alliance 2030 strategy is yet another evidence of how pioneers maintain a leadership position by exchanging technologies across the brands and engaging in strategic alliances (Nissan, 2023).</w:t>
      </w:r>
    </w:p>
    <w:p w14:paraId="427B631E" w14:textId="77777777" w:rsidR="00CA3C27" w:rsidRDefault="00000000">
      <w:r>
        <w:t>Strategic defence of Innovation.</w:t>
      </w:r>
    </w:p>
    <w:p w14:paraId="12965FC6" w14:textId="77777777" w:rsidR="00CA3C27" w:rsidRDefault="00000000">
      <w:r>
        <w:t xml:space="preserve">Technology leadership does not only offer competitive advantage, but it is also a protective mechanism. Pioneers use Blue Ocean strategies to make spaces in the market unoccupied - the way Tesla chose to focus on over-the-air software updates and automated driving technology shows that technology can reinvent customer value (Blue Ocean Strategy, 2025). Furthermore, </w:t>
      </w:r>
      <w:r>
        <w:lastRenderedPageBreak/>
        <w:t>their improvement cycles also help them to make sure that incremental innovation is not limited to the introduction of the product to the first-movers.</w:t>
      </w:r>
    </w:p>
    <w:p w14:paraId="2DE4FBA8" w14:textId="77777777" w:rsidR="00CA3C27" w:rsidRDefault="00000000">
      <w:r>
        <w:t>Nonetheless, innovative approaches require a high amount of capital and tolerance of risk. This high cost of maintaining the leadership in innovation is captured in the R&amp;D intensity (R&amp;D expenditure in Tesla in 2024 was 3.1 billion) (Statista, 2025). During recessions, such reliance on innovation can put the innovators at risk of liquidity problems and operational pressure, especially in times when consumer activity is decelerating. However, these risks are alleviated by pioneers via brand loyalty and early adoption curves with the assistance of high switching costs resulting in integrated ecosystems.</w:t>
      </w:r>
    </w:p>
    <w:p w14:paraId="449735DF" w14:textId="77777777" w:rsidR="00CA3C27" w:rsidRDefault="00000000">
      <w:pPr>
        <w:pStyle w:val="Heading2"/>
      </w:pPr>
      <w:bookmarkStart w:id="15" w:name="_sab6k2x2han6" w:colFirst="0" w:colLast="0"/>
      <w:bookmarkEnd w:id="15"/>
      <w:r>
        <w:t>3.2 Follower Firms: Adaptation, Benchmarking, and Cost Efficiency</w:t>
      </w:r>
    </w:p>
    <w:p w14:paraId="77FA7DAE" w14:textId="77777777" w:rsidR="00CA3C27" w:rsidRDefault="00000000">
      <w:r>
        <w:t>In comparison, follower firm ventures join the market when technological uncertainties and consumer acceptance have been stabilised. Their approach is founded on minimisation of risks that are conducted using the market research and consumer insights of pioneers. Benchmarking and imitation enable the followers to optimise already existing technologies, cut cost of production and attract a broad consumer base that aims at gaining affordable prices and high quality products.</w:t>
      </w:r>
    </w:p>
    <w:p w14:paraId="5FB47BF6" w14:textId="77777777" w:rsidR="00CA3C27" w:rsidRDefault="00000000">
      <w:r>
        <w:t>This follower strategy is well depicted in the Volkswagen ID series. Following the success of Tesla, Volkswagen launched the ID.3 and ID.4 using the modular production method on its MEB platform, which can fit a range of models across brands (Audi, Skoda) (Volkswagen Group, 2025). The strategy is in line with the cost leadership strategy proposed by Porter due to the scale economies and efficient production without compromising on the quality standards.</w:t>
      </w:r>
    </w:p>
    <w:p w14:paraId="2A048108" w14:textId="77777777" w:rsidR="00CA3C27" w:rsidRDefault="00000000">
      <w:r>
        <w:t>Likewise, the Tesla high-end consumers segment was exploited by Hyundai through its IONIQ 5 to provide them with similar performance but at a cheaper price. The adaptive style of marketing the firm is customer-centric innovation- such as a heavy emphasis on fast charging and digitalisation, with affordability and design being the two distinct value propositions.</w:t>
      </w:r>
    </w:p>
    <w:p w14:paraId="09D6E2A1" w14:textId="77777777" w:rsidR="00CA3C27" w:rsidRDefault="00000000">
      <w:r>
        <w:t>The Mini Electric by BMW shows how the brand extension is used by the traditional car manufacturers in order to remain active in the market and change to new technologies. The dependence on hybrid designs and flexibility in the manufacturing process cushions BMW against risks, as it enables it to transform gradually instead of completely disrupting the process (BMW Group, 2025). According to the diversification quadrant of Ansoff, this strategy focuses on maintaining the market with the legacy and the slow adoption of innovations.</w:t>
      </w:r>
    </w:p>
    <w:p w14:paraId="13C10259" w14:textId="77777777" w:rsidR="00CA3C27" w:rsidRDefault="00000000">
      <w:pPr>
        <w:pStyle w:val="Heading2"/>
      </w:pPr>
      <w:bookmarkStart w:id="16" w:name="_zex4zyw2s674" w:colFirst="0" w:colLast="0"/>
      <w:bookmarkEnd w:id="16"/>
      <w:r>
        <w:lastRenderedPageBreak/>
        <w:t>3.3 Comparative Strategic Dimensions</w:t>
      </w:r>
    </w:p>
    <w:tbl>
      <w:tblPr>
        <w:tblStyle w:val="a"/>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5"/>
        <w:gridCol w:w="3936"/>
        <w:gridCol w:w="3434"/>
      </w:tblGrid>
      <w:tr w:rsidR="00CA3C27" w14:paraId="4DDCAA96" w14:textId="77777777">
        <w:trPr>
          <w:trHeight w:val="800"/>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83CB39" w14:textId="77777777" w:rsidR="00CA3C27" w:rsidRDefault="00000000">
            <w:pPr>
              <w:spacing w:line="240" w:lineRule="auto"/>
              <w:jc w:val="center"/>
              <w:rPr>
                <w:b/>
              </w:rPr>
            </w:pPr>
            <w:r>
              <w:rPr>
                <w:b/>
              </w:rPr>
              <w:t>Strategic Dimension</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84111" w14:textId="77777777" w:rsidR="00CA3C27" w:rsidRDefault="00000000">
            <w:pPr>
              <w:spacing w:line="240" w:lineRule="auto"/>
              <w:jc w:val="center"/>
              <w:rPr>
                <w:b/>
              </w:rPr>
            </w:pPr>
            <w:r>
              <w:rPr>
                <w:b/>
              </w:rPr>
              <w:t>Pioneering Firms (Tesla, Nissan)</w:t>
            </w:r>
          </w:p>
        </w:tc>
        <w:tc>
          <w:tcPr>
            <w:tcW w:w="34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510A7" w14:textId="77777777" w:rsidR="00CA3C27" w:rsidRDefault="00000000">
            <w:pPr>
              <w:spacing w:line="240" w:lineRule="auto"/>
              <w:jc w:val="center"/>
              <w:rPr>
                <w:b/>
              </w:rPr>
            </w:pPr>
            <w:r>
              <w:rPr>
                <w:b/>
              </w:rPr>
              <w:t>Follower Firms (Volkswagen, Hyundai, BMW)</w:t>
            </w:r>
          </w:p>
        </w:tc>
      </w:tr>
      <w:tr w:rsidR="00CA3C27" w14:paraId="722240AD" w14:textId="77777777">
        <w:trPr>
          <w:trHeight w:val="1085"/>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9271E" w14:textId="77777777" w:rsidR="00CA3C27" w:rsidRDefault="00000000">
            <w:pPr>
              <w:spacing w:line="240" w:lineRule="auto"/>
            </w:pPr>
            <w:r>
              <w:t>Innovation Focus</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AE6F96" w14:textId="77777777" w:rsidR="00CA3C27" w:rsidRDefault="00000000">
            <w:pPr>
              <w:spacing w:line="240" w:lineRule="auto"/>
            </w:pPr>
            <w:r>
              <w:t>Radical innovation; market creation through R&amp;D and proprietary technology.</w:t>
            </w:r>
          </w:p>
        </w:tc>
        <w:tc>
          <w:tcPr>
            <w:tcW w:w="34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FB7E1F" w14:textId="77777777" w:rsidR="00CA3C27" w:rsidRDefault="00000000">
            <w:pPr>
              <w:spacing w:line="240" w:lineRule="auto"/>
            </w:pPr>
            <w:r>
              <w:t>Incremental innovation; adaptation and replication of proven models.</w:t>
            </w:r>
          </w:p>
        </w:tc>
      </w:tr>
      <w:tr w:rsidR="00CA3C27" w14:paraId="1F90F60C" w14:textId="77777777">
        <w:trPr>
          <w:trHeight w:val="1085"/>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182FC0" w14:textId="77777777" w:rsidR="00CA3C27" w:rsidRDefault="00000000">
            <w:pPr>
              <w:spacing w:line="240" w:lineRule="auto"/>
            </w:pPr>
            <w:r>
              <w:t>Market Positioning</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EC98D0" w14:textId="77777777" w:rsidR="00CA3C27" w:rsidRDefault="00000000">
            <w:pPr>
              <w:spacing w:line="240" w:lineRule="auto"/>
            </w:pPr>
            <w:r>
              <w:t>Premium leadership and differentiation through quality, range, and digital features.</w:t>
            </w:r>
          </w:p>
        </w:tc>
        <w:tc>
          <w:tcPr>
            <w:tcW w:w="34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AF4904" w14:textId="77777777" w:rsidR="00CA3C27" w:rsidRDefault="00000000">
            <w:pPr>
              <w:spacing w:line="240" w:lineRule="auto"/>
            </w:pPr>
            <w:r>
              <w:t>Competitive pricing, reliability, and wide accessibility.</w:t>
            </w:r>
          </w:p>
        </w:tc>
      </w:tr>
      <w:tr w:rsidR="00CA3C27" w14:paraId="299BF403" w14:textId="77777777">
        <w:trPr>
          <w:trHeight w:val="800"/>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BEACD" w14:textId="77777777" w:rsidR="00CA3C27" w:rsidRDefault="00000000">
            <w:pPr>
              <w:spacing w:line="240" w:lineRule="auto"/>
            </w:pPr>
            <w:r>
              <w:t>Risk Strategy</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AB760A" w14:textId="77777777" w:rsidR="00CA3C27" w:rsidRDefault="00000000">
            <w:pPr>
              <w:spacing w:line="240" w:lineRule="auto"/>
            </w:pPr>
            <w:r>
              <w:t>High-risk, long-term orientation with volatile short-term returns.</w:t>
            </w:r>
          </w:p>
        </w:tc>
        <w:tc>
          <w:tcPr>
            <w:tcW w:w="34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C46FB" w14:textId="77777777" w:rsidR="00CA3C27" w:rsidRDefault="00000000">
            <w:pPr>
              <w:spacing w:line="240" w:lineRule="auto"/>
            </w:pPr>
            <w:r>
              <w:t>Low-risk, efficiency-based entry once technologies are validated.</w:t>
            </w:r>
          </w:p>
        </w:tc>
      </w:tr>
      <w:tr w:rsidR="00CA3C27" w14:paraId="36744499" w14:textId="77777777">
        <w:trPr>
          <w:trHeight w:val="1085"/>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CCF0F" w14:textId="77777777" w:rsidR="00CA3C27" w:rsidRDefault="00000000">
            <w:pPr>
              <w:spacing w:line="240" w:lineRule="auto"/>
            </w:pPr>
            <w:r>
              <w:t>Resource Allocation</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06697" w14:textId="77777777" w:rsidR="00CA3C27" w:rsidRDefault="00000000">
            <w:pPr>
              <w:spacing w:line="240" w:lineRule="auto"/>
            </w:pPr>
            <w:r>
              <w:t>Heavy investment in R&amp;D and infrastructure (e.g., Gigafactories).</w:t>
            </w:r>
          </w:p>
        </w:tc>
        <w:tc>
          <w:tcPr>
            <w:tcW w:w="34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C7728" w14:textId="77777777" w:rsidR="00CA3C27" w:rsidRDefault="00000000">
            <w:pPr>
              <w:spacing w:line="240" w:lineRule="auto"/>
            </w:pPr>
            <w:r>
              <w:t>Cost optimisation via shared platforms and supplier partnerships.</w:t>
            </w:r>
          </w:p>
        </w:tc>
      </w:tr>
      <w:tr w:rsidR="00CA3C27" w14:paraId="4F0C11B0" w14:textId="77777777">
        <w:trPr>
          <w:trHeight w:val="800"/>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88038" w14:textId="77777777" w:rsidR="00CA3C27" w:rsidRDefault="00000000">
            <w:pPr>
              <w:spacing w:line="240" w:lineRule="auto"/>
            </w:pPr>
            <w:r>
              <w:t>Brand Perception</w:t>
            </w:r>
          </w:p>
        </w:tc>
        <w:tc>
          <w:tcPr>
            <w:tcW w:w="3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BA7A2" w14:textId="77777777" w:rsidR="00CA3C27" w:rsidRDefault="00000000">
            <w:pPr>
              <w:spacing w:line="240" w:lineRule="auto"/>
            </w:pPr>
            <w:r>
              <w:t>Visionary, sustainability-driven, tech-oriented.</w:t>
            </w:r>
          </w:p>
        </w:tc>
        <w:tc>
          <w:tcPr>
            <w:tcW w:w="34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AA9AC" w14:textId="77777777" w:rsidR="00CA3C27" w:rsidRDefault="00000000">
            <w:pPr>
              <w:spacing w:line="240" w:lineRule="auto"/>
            </w:pPr>
            <w:r>
              <w:t>Pragmatic, customer-focused, value-for-money appeal.</w:t>
            </w:r>
          </w:p>
        </w:tc>
      </w:tr>
    </w:tbl>
    <w:p w14:paraId="1D0F5D7D" w14:textId="77777777" w:rsidR="00CA3C27" w:rsidRDefault="00000000">
      <w:pPr>
        <w:pStyle w:val="Heading2"/>
      </w:pPr>
      <w:bookmarkStart w:id="17" w:name="_pevc3rcn6mg1" w:colFirst="0" w:colLast="0"/>
      <w:bookmarkEnd w:id="17"/>
      <w:r>
        <w:t>3.4 Integrating Strategic Models</w:t>
      </w:r>
    </w:p>
    <w:p w14:paraId="71824200" w14:textId="77777777" w:rsidR="00CA3C27" w:rsidRDefault="00000000">
      <w:r>
        <w:t>The difference in approaches may be further explained using the known marketing frameworks:</w:t>
      </w:r>
    </w:p>
    <w:p w14:paraId="2D2ADFAE" w14:textId="77777777" w:rsidR="00CA3C27" w:rsidRDefault="00000000">
      <w:pPr>
        <w:numPr>
          <w:ilvl w:val="0"/>
          <w:numId w:val="1"/>
        </w:numPr>
        <w:rPr>
          <w:b/>
        </w:rPr>
      </w:pPr>
      <w:r>
        <w:rPr>
          <w:b/>
        </w:rPr>
        <w:t>Ansoff Matrix:</w:t>
      </w:r>
    </w:p>
    <w:p w14:paraId="60D3DC6B" w14:textId="77777777" w:rsidR="00CA3C27" w:rsidRDefault="00000000">
      <w:pPr>
        <w:numPr>
          <w:ilvl w:val="1"/>
          <w:numId w:val="1"/>
        </w:numPr>
      </w:pPr>
      <w:r>
        <w:t>Pioneers are involved in product and market development, and they bring new technologies to new markets (e.g. Tesla getting into the energy storage and AI markets).</w:t>
      </w:r>
    </w:p>
    <w:p w14:paraId="3ABBD647" w14:textId="77777777" w:rsidR="00CA3C27" w:rsidRDefault="00000000">
      <w:pPr>
        <w:numPr>
          <w:ilvl w:val="1"/>
          <w:numId w:val="1"/>
        </w:numPr>
      </w:pPr>
      <w:r>
        <w:t>The followers focus on penetration and diversification in the market, and provide different EV models to the already known audiences.</w:t>
      </w:r>
    </w:p>
    <w:p w14:paraId="531840BA" w14:textId="77777777" w:rsidR="00CA3C27" w:rsidRDefault="00000000">
      <w:pPr>
        <w:numPr>
          <w:ilvl w:val="0"/>
          <w:numId w:val="1"/>
        </w:numPr>
        <w:rPr>
          <w:b/>
        </w:rPr>
      </w:pPr>
      <w:r>
        <w:rPr>
          <w:b/>
        </w:rPr>
        <w:t>Porter’s Generic Strategies:</w:t>
      </w:r>
    </w:p>
    <w:p w14:paraId="6477FEBA" w14:textId="77777777" w:rsidR="00CA3C27" w:rsidRDefault="00000000">
      <w:pPr>
        <w:numPr>
          <w:ilvl w:val="1"/>
          <w:numId w:val="1"/>
        </w:numPr>
      </w:pPr>
      <w:r>
        <w:t>Innovation, the use of superior technology, and brand exclusivity are some of the differentiation tools used by pioneers.</w:t>
      </w:r>
    </w:p>
    <w:p w14:paraId="6A7419A2" w14:textId="77777777" w:rsidR="00CA3C27" w:rsidRDefault="00000000">
      <w:pPr>
        <w:numPr>
          <w:ilvl w:val="1"/>
          <w:numId w:val="1"/>
        </w:numPr>
      </w:pPr>
      <w:r>
        <w:t>The followers bring together cost leadership and focus, with quality and low prices.</w:t>
      </w:r>
    </w:p>
    <w:p w14:paraId="0308438E" w14:textId="77777777" w:rsidR="00CA3C27" w:rsidRDefault="00000000">
      <w:pPr>
        <w:numPr>
          <w:ilvl w:val="0"/>
          <w:numId w:val="1"/>
        </w:numPr>
        <w:rPr>
          <w:b/>
        </w:rPr>
      </w:pPr>
      <w:r>
        <w:rPr>
          <w:b/>
        </w:rPr>
        <w:t>Blue Ocean Strategy:</w:t>
      </w:r>
    </w:p>
    <w:p w14:paraId="6F14610B" w14:textId="77777777" w:rsidR="00CA3C27" w:rsidRDefault="00000000">
      <w:pPr>
        <w:numPr>
          <w:ilvl w:val="1"/>
          <w:numId w:val="1"/>
        </w:numPr>
      </w:pPr>
      <w:r>
        <w:lastRenderedPageBreak/>
        <w:t>Innovators build untapped markets through independent technology and software infrastructures.</w:t>
      </w:r>
    </w:p>
    <w:p w14:paraId="7BDBE79E" w14:textId="77777777" w:rsidR="00CA3C27" w:rsidRDefault="00000000">
      <w:pPr>
        <w:numPr>
          <w:ilvl w:val="1"/>
          <w:numId w:val="1"/>
        </w:numPr>
      </w:pPr>
      <w:r>
        <w:t>The residual blue oceans are identified by the followers with the targeted unmet affordability or design driven segments.</w:t>
      </w:r>
    </w:p>
    <w:p w14:paraId="3E519CA6" w14:textId="77777777" w:rsidR="00CA3C27" w:rsidRDefault="00000000">
      <w:pPr>
        <w:pStyle w:val="Heading1"/>
      </w:pPr>
      <w:bookmarkStart w:id="18" w:name="_nzdoa0nmtkb9" w:colFirst="0" w:colLast="0"/>
      <w:bookmarkEnd w:id="18"/>
      <w:r>
        <w:t>4. Discussion and Synthesis</w:t>
      </w:r>
    </w:p>
    <w:p w14:paraId="5BF356B5" w14:textId="77777777" w:rsidR="00CA3C27" w:rsidRDefault="00000000">
      <w:pPr>
        <w:pStyle w:val="Heading2"/>
      </w:pPr>
      <w:bookmarkStart w:id="19" w:name="_7wo2ztq6x0e" w:colFirst="0" w:colLast="0"/>
      <w:bookmarkEnd w:id="19"/>
      <w:r>
        <w:t>4.1 Linking to Theoretical Frameworks</w:t>
      </w:r>
    </w:p>
    <w:p w14:paraId="215245C2" w14:textId="77777777" w:rsidR="00CA3C27" w:rsidRDefault="00000000">
      <w:r>
        <w:t xml:space="preserve">The strategic differences found in pioneers and followers are quite congruent with the Diffusion of Innovation Theory proposed by Rogers, Singhal and Quinlan (2014) to capture the separation of innovations across the people. Pioneers are innovators, i.e. risk-takers, bringing new technologies into play, whereas followers are early adopters and early majority players who ride on well-established demand. The early introduction of high-performance EVs by Tesla influenced consumer expectations by allowing follower firms to introduce later with </w:t>
      </w:r>
      <w:proofErr w:type="spellStart"/>
      <w:r>
        <w:t>fine tuned</w:t>
      </w:r>
      <w:proofErr w:type="spellEnd"/>
      <w:r>
        <w:t xml:space="preserve"> models at a lower cost. Moreover, these strategies are based on the Competitive Advantage Theory of Porter (1985). Leaders gain the benefit of differentiation, i.e. gaining uniqueness through technology and brand prestige, and followers rely on cost leadership or focus differentiation by catering to the wider market at low cost. This two-sided dynamic leads to a healthy rivalry in the industry spurring innovation and value generation.</w:t>
      </w:r>
    </w:p>
    <w:p w14:paraId="6C4ADB72" w14:textId="77777777" w:rsidR="00CA3C27" w:rsidRDefault="00000000">
      <w:pPr>
        <w:pStyle w:val="Heading2"/>
      </w:pPr>
      <w:bookmarkStart w:id="20" w:name="_7cexv0gz6gh4" w:colFirst="0" w:colLast="0"/>
      <w:bookmarkEnd w:id="20"/>
      <w:r>
        <w:t>4.2 Strategic Implications for Pioneers</w:t>
      </w:r>
    </w:p>
    <w:p w14:paraId="0ED1988E" w14:textId="77777777" w:rsidR="00CA3C27" w:rsidRDefault="00000000">
      <w:r>
        <w:t>In the case of pioneers, sustainability of competitive advantage is through sustained reinvestment in R&amp;D and dynamic capabilities-sense making; seizing and reconfiguring resources. To stay a first-mover, it is necessary to not only be innovative but also manage the ecosystem as is the case with Tesla, which incorporated AI, battery supply chains, and energy solutions. Nevertheless, inventors need to avoid complacency and overextension, since markets become overcrowded, they will be shaken by second-generation technology of adaptive followers.</w:t>
      </w:r>
    </w:p>
    <w:p w14:paraId="19D6480B" w14:textId="77777777" w:rsidR="00CA3C27" w:rsidRDefault="00000000">
      <w:pPr>
        <w:pStyle w:val="Heading2"/>
      </w:pPr>
      <w:bookmarkStart w:id="21" w:name="_e7i52gr35fzs" w:colFirst="0" w:colLast="0"/>
      <w:bookmarkEnd w:id="21"/>
      <w:r>
        <w:t>4.3 Strategic Implications for Followers</w:t>
      </w:r>
    </w:p>
    <w:p w14:paraId="4C969A46" w14:textId="77777777" w:rsidR="00CA3C27" w:rsidRDefault="00000000">
      <w:r>
        <w:t xml:space="preserve">Strategic learning curves and benchmarking efficiency give the followers the ability to quickly catch-up without facing the cost of the first mover. They are cost competitive with their dependence on flexible manufacturing and collaboration with suppliers. But believers should no longer hide in copying but develop into ambidextrous innovation, which involves making a balance between taking advantage of the existing possibilities and discovering new innovations (Kraner, Kraner and </w:t>
      </w:r>
      <w:proofErr w:type="spellStart"/>
      <w:r>
        <w:t>Mahagaonkar</w:t>
      </w:r>
      <w:proofErr w:type="spellEnd"/>
      <w:r>
        <w:t>, 2018). Companies such as Hyundai are moving in this direction and are incorporating hydrogen power and digital connectivity in their future EVs.</w:t>
      </w:r>
    </w:p>
    <w:p w14:paraId="48A945D2" w14:textId="77777777" w:rsidR="00CA3C27" w:rsidRDefault="00000000">
      <w:pPr>
        <w:pStyle w:val="Heading2"/>
      </w:pPr>
      <w:bookmarkStart w:id="22" w:name="_vaz8pnn24ve4" w:colFirst="0" w:colLast="0"/>
      <w:bookmarkEnd w:id="22"/>
      <w:r>
        <w:lastRenderedPageBreak/>
        <w:t>4.4 Industry Evolution and Marketing Transformation</w:t>
      </w:r>
    </w:p>
    <w:p w14:paraId="20E873B1" w14:textId="77777777" w:rsidR="00CA3C27" w:rsidRDefault="00000000">
      <w:r>
        <w:t>The intersection of macro environmental factors, disruption of technology, energy shifts, as well as economic instability have augmented the velocity of marketing change in the EV sector. The market has seen a shift in competition whereby the long-term loyalty is determined by data analytic, after-sales service and sustainability communication. Marketing requirements that should be adopted by pioneers and followers include customer co-creation and digital personalisation.</w:t>
      </w:r>
    </w:p>
    <w:p w14:paraId="10AAFE15" w14:textId="77777777" w:rsidR="00CA3C27" w:rsidRDefault="00000000">
      <w:pPr>
        <w:pStyle w:val="Heading1"/>
      </w:pPr>
      <w:bookmarkStart w:id="23" w:name="_z2h3gblvh1li" w:colFirst="0" w:colLast="0"/>
      <w:bookmarkEnd w:id="23"/>
      <w:r>
        <w:t>5. Conclusion</w:t>
      </w:r>
    </w:p>
    <w:p w14:paraId="0AE228A0" w14:textId="344E57C8" w:rsidR="00CA3C27" w:rsidRDefault="00000000">
      <w:r>
        <w:t xml:space="preserve">The discussion reveals that the UK EV industry is defined by the technological and economic factors which are concrete in </w:t>
      </w:r>
      <w:r w:rsidR="00C1634F">
        <w:t>strategizing</w:t>
      </w:r>
      <w:r>
        <w:t xml:space="preserve"> the strategic responses. The models that characterise the pioneer companies such as Tesla and Nissan are innovation leadership and differentiation, and the models used by the follower companies such as Volkswagen, Hyundai and BMW to capture new market segments are cost efficiency and responsiveness. The two approaches are the secret of sustainable development of the industry. The paper identifies that the future competitiveness needs to be a dynamic response to macro-environmental trends and beyond that, to the digital transformation, sustainability and consumer empowerment- a future, in which leaders and followers are increasingly converging in their strategic focus.</w:t>
      </w:r>
      <w:r>
        <w:br w:type="page"/>
      </w:r>
    </w:p>
    <w:p w14:paraId="213D300F" w14:textId="77777777" w:rsidR="00CA3C27" w:rsidRDefault="00000000">
      <w:pPr>
        <w:pStyle w:val="Heading1"/>
      </w:pPr>
      <w:bookmarkStart w:id="24" w:name="_kl2k45fpiw6z" w:colFirst="0" w:colLast="0"/>
      <w:bookmarkEnd w:id="24"/>
      <w:r>
        <w:lastRenderedPageBreak/>
        <w:t>Reference</w:t>
      </w:r>
    </w:p>
    <w:p w14:paraId="43697030" w14:textId="77777777" w:rsidR="00CA3C27" w:rsidRDefault="00000000">
      <w:pPr>
        <w:spacing w:before="240" w:after="240"/>
      </w:pPr>
      <w:r>
        <w:t xml:space="preserve">Blue Ocean Strategy (2025) </w:t>
      </w:r>
      <w:r>
        <w:rPr>
          <w:i/>
        </w:rPr>
        <w:t>“TEACHING MATERIALS”</w:t>
      </w:r>
      <w:r>
        <w:t xml:space="preserve"> Available at:</w:t>
      </w:r>
      <w:hyperlink r:id="rId6">
        <w:r>
          <w:t xml:space="preserve"> </w:t>
        </w:r>
      </w:hyperlink>
      <w:hyperlink r:id="rId7">
        <w:r>
          <w:rPr>
            <w:color w:val="1155CC"/>
            <w:u w:val="single"/>
          </w:rPr>
          <w:t>https://www.blueoceanstrategy.com/teaching-materials/driving-the-future/</w:t>
        </w:r>
      </w:hyperlink>
      <w:r>
        <w:t xml:space="preserve"> [Accessed on 4</w:t>
      </w:r>
      <w:r>
        <w:rPr>
          <w:vertAlign w:val="superscript"/>
        </w:rPr>
        <w:t>th</w:t>
      </w:r>
      <w:r>
        <w:t xml:space="preserve"> October 2025]</w:t>
      </w:r>
    </w:p>
    <w:p w14:paraId="3F01B8E1" w14:textId="77777777" w:rsidR="00CA3C27" w:rsidRDefault="00000000">
      <w:pPr>
        <w:spacing w:before="240" w:after="240"/>
      </w:pPr>
      <w:r>
        <w:t xml:space="preserve">BMW Group (2025) </w:t>
      </w:r>
      <w:r>
        <w:rPr>
          <w:i/>
        </w:rPr>
        <w:t>“BMW GROUP REPORT 2024”</w:t>
      </w:r>
      <w:r>
        <w:t xml:space="preserve"> Available at:</w:t>
      </w:r>
      <w:hyperlink r:id="rId8">
        <w:r>
          <w:t xml:space="preserve"> </w:t>
        </w:r>
      </w:hyperlink>
      <w:hyperlink r:id="rId9">
        <w:r>
          <w:rPr>
            <w:color w:val="1155CC"/>
            <w:u w:val="single"/>
          </w:rPr>
          <w:t>https://www.bmwgroup.com/content/dam/grpw/websites/bmwgroup_com/ir/downloads/en/2025/bericht/BMW-Group-Report-2024-en.pdf</w:t>
        </w:r>
      </w:hyperlink>
      <w:r>
        <w:t xml:space="preserve"> [Accessed on 4</w:t>
      </w:r>
      <w:r>
        <w:rPr>
          <w:vertAlign w:val="superscript"/>
        </w:rPr>
        <w:t>th</w:t>
      </w:r>
      <w:r>
        <w:t xml:space="preserve"> October 2025]</w:t>
      </w:r>
    </w:p>
    <w:p w14:paraId="401E689B" w14:textId="77777777" w:rsidR="00CA3C27" w:rsidRDefault="00000000">
      <w:pPr>
        <w:spacing w:before="240" w:after="240"/>
      </w:pPr>
      <w:r>
        <w:t xml:space="preserve">Deloitte (2020) </w:t>
      </w:r>
      <w:r>
        <w:rPr>
          <w:i/>
        </w:rPr>
        <w:t>“Electric vehicles”</w:t>
      </w:r>
      <w:r>
        <w:t xml:space="preserve"> Available at:</w:t>
      </w:r>
      <w:hyperlink r:id="rId10">
        <w:r>
          <w:t xml:space="preserve"> </w:t>
        </w:r>
      </w:hyperlink>
      <w:hyperlink r:id="rId11">
        <w:r>
          <w:rPr>
            <w:color w:val="1155CC"/>
            <w:u w:val="single"/>
          </w:rPr>
          <w:t>https://www.deloitte.com/us/en/insights/topics/future-of-mobility/electric-vehicle-trends-2030.html</w:t>
        </w:r>
      </w:hyperlink>
      <w:r>
        <w:t xml:space="preserve"> [Accessed on 4</w:t>
      </w:r>
      <w:r>
        <w:rPr>
          <w:vertAlign w:val="superscript"/>
        </w:rPr>
        <w:t>th</w:t>
      </w:r>
      <w:r>
        <w:t xml:space="preserve"> October 2025]</w:t>
      </w:r>
    </w:p>
    <w:p w14:paraId="699FC61E" w14:textId="77777777" w:rsidR="00CA3C27" w:rsidRDefault="00000000">
      <w:pPr>
        <w:spacing w:before="240" w:after="240"/>
      </w:pPr>
      <w:r>
        <w:t xml:space="preserve">Deloitte (2024) </w:t>
      </w:r>
      <w:r>
        <w:rPr>
          <w:i/>
        </w:rPr>
        <w:t>“Global economic outlook, January 2024”</w:t>
      </w:r>
      <w:r>
        <w:t xml:space="preserve"> Available at:</w:t>
      </w:r>
      <w:hyperlink r:id="rId12">
        <w:r>
          <w:t xml:space="preserve"> </w:t>
        </w:r>
      </w:hyperlink>
      <w:hyperlink r:id="rId13">
        <w:r>
          <w:rPr>
            <w:color w:val="1155CC"/>
            <w:u w:val="single"/>
          </w:rPr>
          <w:t>https://www.deloitte.com/us/en/insights/topics/economy/global-economic-outlook-2024.html</w:t>
        </w:r>
      </w:hyperlink>
      <w:r>
        <w:t xml:space="preserve"> [Accessed on 4</w:t>
      </w:r>
      <w:r>
        <w:rPr>
          <w:vertAlign w:val="superscript"/>
        </w:rPr>
        <w:t>th</w:t>
      </w:r>
      <w:r>
        <w:t xml:space="preserve"> October 2025]</w:t>
      </w:r>
    </w:p>
    <w:p w14:paraId="31805580" w14:textId="77777777" w:rsidR="00CA3C27" w:rsidRDefault="00000000">
      <w:pPr>
        <w:spacing w:before="240" w:after="240"/>
      </w:pPr>
      <w:r>
        <w:t xml:space="preserve">IEA (2024) </w:t>
      </w:r>
      <w:r>
        <w:rPr>
          <w:i/>
        </w:rPr>
        <w:t>“Trends in the electric vehicle industry”</w:t>
      </w:r>
      <w:r>
        <w:t xml:space="preserve"> Available at:</w:t>
      </w:r>
      <w:hyperlink r:id="rId14">
        <w:r>
          <w:t xml:space="preserve"> </w:t>
        </w:r>
      </w:hyperlink>
      <w:hyperlink r:id="rId15">
        <w:r>
          <w:rPr>
            <w:color w:val="1155CC"/>
            <w:u w:val="single"/>
          </w:rPr>
          <w:t>https://www.iea.org/reports/global-ev-outlook-2024/trends-in-the-electric-vehicle-industry</w:t>
        </w:r>
      </w:hyperlink>
      <w:r>
        <w:t xml:space="preserve"> [Accessed on 4</w:t>
      </w:r>
      <w:r>
        <w:rPr>
          <w:vertAlign w:val="superscript"/>
        </w:rPr>
        <w:t>th</w:t>
      </w:r>
      <w:r>
        <w:t xml:space="preserve"> October 2025]</w:t>
      </w:r>
    </w:p>
    <w:p w14:paraId="235CD8DB" w14:textId="77777777" w:rsidR="00CA3C27" w:rsidRDefault="00000000">
      <w:pPr>
        <w:spacing w:before="240" w:after="240"/>
      </w:pPr>
      <w:r>
        <w:t xml:space="preserve">Keller, K.L. and Kotler, P., (2022). Branding in B2B firms. In </w:t>
      </w:r>
      <w:r>
        <w:rPr>
          <w:i/>
        </w:rPr>
        <w:t>Handbook of business-to-business marketing</w:t>
      </w:r>
      <w:r>
        <w:t xml:space="preserve"> (pp. 205-224). Edward Elgar Publishing.</w:t>
      </w:r>
    </w:p>
    <w:p w14:paraId="3BF81CBB" w14:textId="77777777" w:rsidR="00CA3C27" w:rsidRDefault="00000000">
      <w:pPr>
        <w:spacing w:before="240" w:after="240"/>
      </w:pPr>
      <w:r>
        <w:t xml:space="preserve">Kraner, J., Kraner, J. and </w:t>
      </w:r>
      <w:proofErr w:type="spellStart"/>
      <w:r>
        <w:t>Mahagaonkar</w:t>
      </w:r>
      <w:proofErr w:type="spellEnd"/>
      <w:r>
        <w:t xml:space="preserve">, (2018). </w:t>
      </w:r>
      <w:r>
        <w:rPr>
          <w:i/>
        </w:rPr>
        <w:t>Innovation in High Reliability Ambidextrous Organizations</w:t>
      </w:r>
      <w:r>
        <w:t>. springer.</w:t>
      </w:r>
    </w:p>
    <w:p w14:paraId="3872FD3D" w14:textId="77777777" w:rsidR="00CA3C27" w:rsidRDefault="00000000">
      <w:pPr>
        <w:spacing w:before="240" w:after="240"/>
      </w:pPr>
      <w:r>
        <w:t xml:space="preserve">Leader, A., Gaustad, G. and Babbitt, C., (2019). The effect of critical material prices on the competitiveness of clean energy technologies. </w:t>
      </w:r>
      <w:r>
        <w:rPr>
          <w:i/>
        </w:rPr>
        <w:t>Materials for Renewable and Sustainable Energy</w:t>
      </w:r>
      <w:r>
        <w:t xml:space="preserve">, </w:t>
      </w:r>
      <w:r>
        <w:rPr>
          <w:i/>
        </w:rPr>
        <w:t>8</w:t>
      </w:r>
      <w:r>
        <w:t>(2), p.8.</w:t>
      </w:r>
    </w:p>
    <w:p w14:paraId="2E69D5B1" w14:textId="77777777" w:rsidR="00CA3C27" w:rsidRDefault="00000000">
      <w:pPr>
        <w:spacing w:before="240" w:after="240"/>
      </w:pPr>
      <w:r>
        <w:t xml:space="preserve">McKinsey &amp; Company (2022) </w:t>
      </w:r>
      <w:r>
        <w:rPr>
          <w:i/>
        </w:rPr>
        <w:t>“New EV entrants disrupt Europe’s automotive market”</w:t>
      </w:r>
      <w:r>
        <w:t xml:space="preserve"> Available at:</w:t>
      </w:r>
      <w:hyperlink r:id="rId16">
        <w:r>
          <w:t xml:space="preserve"> </w:t>
        </w:r>
      </w:hyperlink>
      <w:hyperlink r:id="rId17">
        <w:r>
          <w:rPr>
            <w:color w:val="1155CC"/>
            <w:u w:val="single"/>
          </w:rPr>
          <w:t>https://www.mckinsey.com/industries/automotive-and-assembly/our-insights/new-ev-entrants-disrupt-europes-automotive-market</w:t>
        </w:r>
      </w:hyperlink>
      <w:r>
        <w:t xml:space="preserve"> [Accessed on 4</w:t>
      </w:r>
      <w:r>
        <w:rPr>
          <w:vertAlign w:val="superscript"/>
        </w:rPr>
        <w:t>th</w:t>
      </w:r>
      <w:r>
        <w:t xml:space="preserve"> October 2025]</w:t>
      </w:r>
    </w:p>
    <w:p w14:paraId="2D37BA8C" w14:textId="77777777" w:rsidR="00CA3C27" w:rsidRDefault="00000000">
      <w:pPr>
        <w:spacing w:before="240" w:after="240"/>
      </w:pPr>
      <w:r>
        <w:t xml:space="preserve">McKinsey &amp; Company (2025) </w:t>
      </w:r>
      <w:r>
        <w:rPr>
          <w:i/>
        </w:rPr>
        <w:t>“New twists in the electric-vehicle transition: A consumer perspective”</w:t>
      </w:r>
      <w:r>
        <w:t xml:space="preserve"> Available at:</w:t>
      </w:r>
      <w:hyperlink r:id="rId18">
        <w:r>
          <w:t xml:space="preserve"> </w:t>
        </w:r>
      </w:hyperlink>
      <w:hyperlink r:id="rId19">
        <w:r>
          <w:rPr>
            <w:color w:val="1155CC"/>
            <w:u w:val="single"/>
          </w:rPr>
          <w:t>https://www.mckinsey.com/features/mckinsey-center-for-future-</w:t>
        </w:r>
        <w:r>
          <w:rPr>
            <w:color w:val="1155CC"/>
            <w:u w:val="single"/>
          </w:rPr>
          <w:lastRenderedPageBreak/>
          <w:t>mobility/our-insights/new-twists-in-the-electric-vehicle-transition-a-consumer-perspective</w:t>
        </w:r>
      </w:hyperlink>
      <w:r>
        <w:t xml:space="preserve"> [Accessed on 4</w:t>
      </w:r>
      <w:r>
        <w:rPr>
          <w:vertAlign w:val="superscript"/>
        </w:rPr>
        <w:t>th</w:t>
      </w:r>
      <w:r>
        <w:t xml:space="preserve"> October 2025]</w:t>
      </w:r>
    </w:p>
    <w:p w14:paraId="4DFC5F21" w14:textId="77777777" w:rsidR="00CA3C27" w:rsidRDefault="00000000">
      <w:pPr>
        <w:spacing w:before="240" w:after="240"/>
      </w:pPr>
      <w:r>
        <w:t xml:space="preserve">Nissan (2020) </w:t>
      </w:r>
      <w:r>
        <w:rPr>
          <w:i/>
        </w:rPr>
        <w:t>“A decade of innovation – the LEAF’s incredible journey”</w:t>
      </w:r>
      <w:r>
        <w:t xml:space="preserve"> Available at:</w:t>
      </w:r>
      <w:hyperlink r:id="rId20">
        <w:r>
          <w:t xml:space="preserve"> </w:t>
        </w:r>
      </w:hyperlink>
      <w:hyperlink r:id="rId21">
        <w:r>
          <w:rPr>
            <w:color w:val="1155CC"/>
            <w:u w:val="single"/>
          </w:rPr>
          <w:t>https://www.nissan-global.com/EN/STORIES/RELEASES/nissan-leaf-10years/</w:t>
        </w:r>
      </w:hyperlink>
      <w:r>
        <w:t xml:space="preserve"> [Accessed on 4</w:t>
      </w:r>
      <w:r>
        <w:rPr>
          <w:vertAlign w:val="superscript"/>
        </w:rPr>
        <w:t>th</w:t>
      </w:r>
      <w:r>
        <w:t xml:space="preserve"> October 2025]</w:t>
      </w:r>
    </w:p>
    <w:p w14:paraId="65DA5FC2" w14:textId="77777777" w:rsidR="00CA3C27" w:rsidRDefault="00000000">
      <w:pPr>
        <w:spacing w:before="240" w:after="240"/>
      </w:pPr>
      <w:r>
        <w:t xml:space="preserve">Nissan (2023) </w:t>
      </w:r>
      <w:r>
        <w:rPr>
          <w:i/>
        </w:rPr>
        <w:t>“Renault-Nissan-Mitsubishi Alliance open a new chapter for their partnership”</w:t>
      </w:r>
      <w:r>
        <w:t xml:space="preserve"> Available at:</w:t>
      </w:r>
      <w:hyperlink r:id="rId22">
        <w:r>
          <w:t xml:space="preserve"> </w:t>
        </w:r>
      </w:hyperlink>
      <w:hyperlink r:id="rId23">
        <w:r>
          <w:rPr>
            <w:color w:val="1155CC"/>
            <w:u w:val="single"/>
          </w:rPr>
          <w:t>https://www.nissan-global.com/EN/COMPANY/ALLIANCE/</w:t>
        </w:r>
      </w:hyperlink>
      <w:r>
        <w:t xml:space="preserve"> [Accessed on 4</w:t>
      </w:r>
      <w:r>
        <w:rPr>
          <w:vertAlign w:val="superscript"/>
        </w:rPr>
        <w:t>th</w:t>
      </w:r>
      <w:r>
        <w:t xml:space="preserve"> October 2025]</w:t>
      </w:r>
    </w:p>
    <w:p w14:paraId="05988F77" w14:textId="77777777" w:rsidR="00CA3C27" w:rsidRDefault="00000000">
      <w:pPr>
        <w:spacing w:before="240" w:after="240"/>
      </w:pPr>
      <w:r>
        <w:t xml:space="preserve">OECD (2022) </w:t>
      </w:r>
      <w:r>
        <w:rPr>
          <w:i/>
        </w:rPr>
        <w:t>“OECD Reviews of Innovation Policy”</w:t>
      </w:r>
      <w:r>
        <w:t xml:space="preserve"> Available at:</w:t>
      </w:r>
      <w:hyperlink r:id="rId24">
        <w:r>
          <w:t xml:space="preserve"> </w:t>
        </w:r>
      </w:hyperlink>
      <w:hyperlink r:id="rId25">
        <w:r>
          <w:rPr>
            <w:color w:val="1155CC"/>
            <w:u w:val="single"/>
          </w:rPr>
          <w:t>https://www.oecd.org/content/dam/oecd/en/publications/reports/2022/10/oecd-reviews-of-innovation-policy-germany-2022_34a18c3c/50b32331-en.pdf</w:t>
        </w:r>
      </w:hyperlink>
      <w:r>
        <w:t xml:space="preserve"> [Accessed on 4</w:t>
      </w:r>
      <w:r>
        <w:rPr>
          <w:vertAlign w:val="superscript"/>
        </w:rPr>
        <w:t>th</w:t>
      </w:r>
      <w:r>
        <w:t xml:space="preserve"> October 2025]</w:t>
      </w:r>
    </w:p>
    <w:p w14:paraId="48C4709E" w14:textId="77777777" w:rsidR="00CA3C27" w:rsidRDefault="00000000">
      <w:pPr>
        <w:spacing w:before="240" w:after="240"/>
      </w:pPr>
      <w:r>
        <w:t xml:space="preserve">Pavić, I., </w:t>
      </w:r>
      <w:proofErr w:type="spellStart"/>
      <w:r>
        <w:t>Capuder</w:t>
      </w:r>
      <w:proofErr w:type="spellEnd"/>
      <w:r>
        <w:t xml:space="preserve">, T. and </w:t>
      </w:r>
      <w:proofErr w:type="spellStart"/>
      <w:r>
        <w:t>Kuzle</w:t>
      </w:r>
      <w:proofErr w:type="spellEnd"/>
      <w:r>
        <w:t xml:space="preserve">, I., (2016). Low carbon technologies as providers of operational flexibility in future power systems. </w:t>
      </w:r>
      <w:r>
        <w:rPr>
          <w:i/>
        </w:rPr>
        <w:t>Applied Energy</w:t>
      </w:r>
      <w:r>
        <w:t xml:space="preserve">, </w:t>
      </w:r>
      <w:r>
        <w:rPr>
          <w:i/>
        </w:rPr>
        <w:t>168</w:t>
      </w:r>
      <w:r>
        <w:t>, pp.724-738.</w:t>
      </w:r>
    </w:p>
    <w:p w14:paraId="33213391" w14:textId="77777777" w:rsidR="00CA3C27" w:rsidRDefault="00000000">
      <w:pPr>
        <w:spacing w:before="240" w:after="240"/>
      </w:pPr>
      <w:r>
        <w:t xml:space="preserve">Porter, M.E., (1985). Technology and competitive advantage. </w:t>
      </w:r>
      <w:r>
        <w:rPr>
          <w:i/>
        </w:rPr>
        <w:t>Journal of business strategy</w:t>
      </w:r>
      <w:r>
        <w:t xml:space="preserve">, </w:t>
      </w:r>
      <w:r>
        <w:rPr>
          <w:i/>
        </w:rPr>
        <w:t>5</w:t>
      </w:r>
      <w:r>
        <w:t>(3), pp.60-78.</w:t>
      </w:r>
    </w:p>
    <w:p w14:paraId="1BC4172C" w14:textId="77777777" w:rsidR="00CA3C27" w:rsidRDefault="00000000">
      <w:pPr>
        <w:spacing w:before="240" w:after="240"/>
      </w:pPr>
      <w:r>
        <w:t xml:space="preserve">Rađenović, T., Krstić, B., Janjić, I. and </w:t>
      </w:r>
      <w:proofErr w:type="spellStart"/>
      <w:r>
        <w:t>Vujatović</w:t>
      </w:r>
      <w:proofErr w:type="spellEnd"/>
      <w:r>
        <w:t xml:space="preserve">, M.J., (2023). The effects of R&amp;D performance on the profitability of highly innovative companies. </w:t>
      </w:r>
      <w:r>
        <w:rPr>
          <w:i/>
        </w:rPr>
        <w:t>Strategic Management-International Journal of Strategic Management and Decision Support Systems in Strategic Management</w:t>
      </w:r>
      <w:r>
        <w:t xml:space="preserve">, </w:t>
      </w:r>
      <w:r>
        <w:rPr>
          <w:i/>
        </w:rPr>
        <w:t>28</w:t>
      </w:r>
      <w:r>
        <w:t>(3).</w:t>
      </w:r>
    </w:p>
    <w:p w14:paraId="4CB9B020" w14:textId="77777777" w:rsidR="00CA3C27" w:rsidRDefault="00000000">
      <w:pPr>
        <w:spacing w:before="240" w:after="240"/>
      </w:pPr>
      <w:r>
        <w:t xml:space="preserve">Rogers, E.M., Singhal, A. and Quinlan, M.M., (2014). Diffusion of innovations. In </w:t>
      </w:r>
      <w:r>
        <w:rPr>
          <w:i/>
        </w:rPr>
        <w:t>An integrated approach to communication theory and research</w:t>
      </w:r>
      <w:r>
        <w:t xml:space="preserve"> (pp. 432-448). Routledge.</w:t>
      </w:r>
    </w:p>
    <w:p w14:paraId="0AA69DDC" w14:textId="77777777" w:rsidR="00CA3C27" w:rsidRDefault="00000000">
      <w:pPr>
        <w:spacing w:before="240" w:after="240"/>
      </w:pPr>
      <w:r>
        <w:t xml:space="preserve">SMMT (2025) </w:t>
      </w:r>
      <w:r>
        <w:rPr>
          <w:i/>
        </w:rPr>
        <w:t>“Record EV market share but weak private demand frustrates ambition”</w:t>
      </w:r>
      <w:r>
        <w:t xml:space="preserve"> Available at:</w:t>
      </w:r>
      <w:hyperlink r:id="rId26">
        <w:r>
          <w:t xml:space="preserve"> </w:t>
        </w:r>
      </w:hyperlink>
      <w:hyperlink r:id="rId27">
        <w:r>
          <w:rPr>
            <w:color w:val="1155CC"/>
            <w:u w:val="single"/>
          </w:rPr>
          <w:t>https://www.smmt.co.uk/record-ev-market-share-but-weak-private-demand-frustrates-ambition/</w:t>
        </w:r>
      </w:hyperlink>
      <w:r>
        <w:t xml:space="preserve"> [Accessed on 4</w:t>
      </w:r>
      <w:r>
        <w:rPr>
          <w:vertAlign w:val="superscript"/>
        </w:rPr>
        <w:t>th</w:t>
      </w:r>
      <w:r>
        <w:t xml:space="preserve"> October 2025]</w:t>
      </w:r>
    </w:p>
    <w:p w14:paraId="3502B96B" w14:textId="77777777" w:rsidR="00CA3C27" w:rsidRDefault="00000000">
      <w:pPr>
        <w:spacing w:before="240" w:after="240"/>
      </w:pPr>
      <w:r>
        <w:t xml:space="preserve">Statista (2025) </w:t>
      </w:r>
      <w:r>
        <w:rPr>
          <w:i/>
        </w:rPr>
        <w:t>“Tesla”</w:t>
      </w:r>
      <w:r>
        <w:t xml:space="preserve"> Available at:</w:t>
      </w:r>
      <w:hyperlink r:id="rId28">
        <w:r>
          <w:t xml:space="preserve"> </w:t>
        </w:r>
      </w:hyperlink>
      <w:hyperlink r:id="rId29">
        <w:r>
          <w:rPr>
            <w:color w:val="1155CC"/>
            <w:u w:val="single"/>
          </w:rPr>
          <w:t>https://www.statista.com/topics/2086/tesla/?srsltid=AfmBOoqEYyP9TpV_qhVffxi1PdBJSQ-q6dphbnymORsQiHPatX2CxZav</w:t>
        </w:r>
      </w:hyperlink>
      <w:r>
        <w:t xml:space="preserve"> [Accessed on 4</w:t>
      </w:r>
      <w:r>
        <w:rPr>
          <w:vertAlign w:val="superscript"/>
        </w:rPr>
        <w:t>th</w:t>
      </w:r>
      <w:r>
        <w:t xml:space="preserve"> October 2025]</w:t>
      </w:r>
    </w:p>
    <w:p w14:paraId="44901610" w14:textId="77777777" w:rsidR="00CA3C27" w:rsidRDefault="00000000">
      <w:pPr>
        <w:spacing w:before="240" w:after="240"/>
      </w:pPr>
      <w:r>
        <w:lastRenderedPageBreak/>
        <w:t xml:space="preserve">Teece, D.J., (2018). Business models and dynamic capabilities. </w:t>
      </w:r>
      <w:r>
        <w:rPr>
          <w:i/>
        </w:rPr>
        <w:t>Long range planning</w:t>
      </w:r>
      <w:r>
        <w:t xml:space="preserve">, </w:t>
      </w:r>
      <w:r>
        <w:rPr>
          <w:i/>
        </w:rPr>
        <w:t>51</w:t>
      </w:r>
      <w:r>
        <w:t>(1), pp.40-49.</w:t>
      </w:r>
    </w:p>
    <w:p w14:paraId="66AB35A2" w14:textId="77777777" w:rsidR="00CA3C27" w:rsidRDefault="00000000">
      <w:pPr>
        <w:spacing w:before="240" w:after="240"/>
      </w:pPr>
      <w:r>
        <w:t xml:space="preserve">Tesla (2021) </w:t>
      </w:r>
      <w:r>
        <w:rPr>
          <w:i/>
        </w:rPr>
        <w:t>“Impact Report 22021”</w:t>
      </w:r>
      <w:r>
        <w:t xml:space="preserve"> Available at:</w:t>
      </w:r>
      <w:hyperlink r:id="rId30">
        <w:r>
          <w:t xml:space="preserve"> </w:t>
        </w:r>
      </w:hyperlink>
      <w:hyperlink r:id="rId31">
        <w:r>
          <w:rPr>
            <w:color w:val="1155CC"/>
            <w:u w:val="single"/>
          </w:rPr>
          <w:t>https://www.tesla.com/ns_videos/2021-tesla-impact-report.pdf</w:t>
        </w:r>
      </w:hyperlink>
      <w:r>
        <w:t xml:space="preserve"> [Accessed on 4</w:t>
      </w:r>
      <w:r>
        <w:rPr>
          <w:vertAlign w:val="superscript"/>
        </w:rPr>
        <w:t>th</w:t>
      </w:r>
      <w:r>
        <w:t xml:space="preserve"> October 2025]</w:t>
      </w:r>
    </w:p>
    <w:p w14:paraId="51356F2D" w14:textId="77777777" w:rsidR="00CA3C27" w:rsidRDefault="00000000">
      <w:pPr>
        <w:spacing w:before="240" w:after="240"/>
      </w:pPr>
      <w:r>
        <w:t>Volkswagen Group (2025)</w:t>
      </w:r>
      <w:r>
        <w:rPr>
          <w:i/>
        </w:rPr>
        <w:t xml:space="preserve"> “Volkswagen Group strengthens its position as Europe's leading electric vehicle manufacturer with its family of small electric cars”</w:t>
      </w:r>
      <w:r>
        <w:t xml:space="preserve"> Available at:</w:t>
      </w:r>
      <w:hyperlink r:id="rId32">
        <w:r>
          <w:t xml:space="preserve"> </w:t>
        </w:r>
      </w:hyperlink>
      <w:hyperlink r:id="rId33">
        <w:r>
          <w:rPr>
            <w:color w:val="1155CC"/>
            <w:u w:val="single"/>
          </w:rPr>
          <w:t>https://www.volkswagen-group.com/en/press-releases/volkswagen-group-strengthens-its-position-as-europes-leading-electric-vehicle-manufacturer-with-its-family-of-small-electric-cars-19839</w:t>
        </w:r>
      </w:hyperlink>
      <w:r>
        <w:t xml:space="preserve"> [Accessed on 4</w:t>
      </w:r>
      <w:r>
        <w:rPr>
          <w:vertAlign w:val="superscript"/>
        </w:rPr>
        <w:t>th</w:t>
      </w:r>
      <w:r>
        <w:t xml:space="preserve"> October 2025]</w:t>
      </w:r>
    </w:p>
    <w:p w14:paraId="09F6FDB3" w14:textId="77777777" w:rsidR="00CA3C27" w:rsidRDefault="00CA3C27"/>
    <w:p w14:paraId="636F622A" w14:textId="77777777" w:rsidR="00CA3C27" w:rsidRDefault="00CA3C27"/>
    <w:sectPr w:rsidR="00CA3C2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785E03C-E7E0-448F-AE88-33370FEF40F9}"/>
  </w:font>
  <w:font w:name="Cambria">
    <w:panose1 w:val="02040503050406030204"/>
    <w:charset w:val="00"/>
    <w:family w:val="roman"/>
    <w:pitch w:val="variable"/>
    <w:sig w:usb0="E00006FF" w:usb1="420024FF" w:usb2="02000000" w:usb3="00000000" w:csb0="0000019F" w:csb1="00000000"/>
    <w:embedRegular r:id="rId2" w:fontKey="{C8E36A0F-7903-4325-8997-564D19FAB28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E4B57"/>
    <w:multiLevelType w:val="multilevel"/>
    <w:tmpl w:val="0DFCE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0239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C27"/>
    <w:rsid w:val="005062DC"/>
    <w:rsid w:val="00C1634F"/>
    <w:rsid w:val="00CA3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0039"/>
  <w15:docId w15:val="{BE010C44-6EA7-4E78-A713-BFD8B520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loitte.com/us/en/insights/topics/economy/global-economic-outlook-2024.html" TargetMode="External"/><Relationship Id="rId18" Type="http://schemas.openxmlformats.org/officeDocument/2006/relationships/hyperlink" Target="https://www.mckinsey.com/features/mckinsey-center-for-future-mobility/our-insights/new-twists-in-the-electric-vehicle-transition-a-consumer-perspective" TargetMode="External"/><Relationship Id="rId26" Type="http://schemas.openxmlformats.org/officeDocument/2006/relationships/hyperlink" Target="https://www.smmt.co.uk/record-ev-market-share-but-weak-private-demand-frustrates-ambition/" TargetMode="External"/><Relationship Id="rId3" Type="http://schemas.openxmlformats.org/officeDocument/2006/relationships/settings" Target="settings.xml"/><Relationship Id="rId21" Type="http://schemas.openxmlformats.org/officeDocument/2006/relationships/hyperlink" Target="https://www.nissan-global.com/EN/STORIES/RELEASES/nissan-leaf-10years/" TargetMode="External"/><Relationship Id="rId34" Type="http://schemas.openxmlformats.org/officeDocument/2006/relationships/fontTable" Target="fontTable.xml"/><Relationship Id="rId7" Type="http://schemas.openxmlformats.org/officeDocument/2006/relationships/hyperlink" Target="https://www.blueoceanstrategy.com/teaching-materials/driving-the-future/" TargetMode="External"/><Relationship Id="rId12" Type="http://schemas.openxmlformats.org/officeDocument/2006/relationships/hyperlink" Target="https://www.deloitte.com/us/en/insights/topics/economy/global-economic-outlook-2024.html" TargetMode="External"/><Relationship Id="rId17" Type="http://schemas.openxmlformats.org/officeDocument/2006/relationships/hyperlink" Target="https://www.mckinsey.com/industries/automotive-and-assembly/our-insights/new-ev-entrants-disrupt-europes-automotive-market" TargetMode="External"/><Relationship Id="rId25" Type="http://schemas.openxmlformats.org/officeDocument/2006/relationships/hyperlink" Target="https://www.oecd.org/content/dam/oecd/en/publications/reports/2022/10/oecd-reviews-of-innovation-policy-germany-2022_34a18c3c/50b32331-en.pdf" TargetMode="External"/><Relationship Id="rId33" Type="http://schemas.openxmlformats.org/officeDocument/2006/relationships/hyperlink" Target="https://www.volkswagen-group.com/en/press-releases/volkswagen-group-strengthens-its-position-as-europes-leading-electric-vehicle-manufacturer-with-its-family-of-small-electric-cars-19839" TargetMode="External"/><Relationship Id="rId2" Type="http://schemas.openxmlformats.org/officeDocument/2006/relationships/styles" Target="styles.xml"/><Relationship Id="rId16" Type="http://schemas.openxmlformats.org/officeDocument/2006/relationships/hyperlink" Target="https://www.mckinsey.com/industries/automotive-and-assembly/our-insights/new-ev-entrants-disrupt-europes-automotive-market" TargetMode="External"/><Relationship Id="rId20" Type="http://schemas.openxmlformats.org/officeDocument/2006/relationships/hyperlink" Target="https://www.nissan-global.com/EN/STORIES/RELEASES/nissan-leaf-10years/" TargetMode="External"/><Relationship Id="rId29" Type="http://schemas.openxmlformats.org/officeDocument/2006/relationships/hyperlink" Target="https://www.statista.com/topics/2086/tesla/?srsltid=AfmBOoqEYyP9TpV_qhVffxi1PdBJSQ-q6dphbnymORsQiHPatX2CxZav" TargetMode="External"/><Relationship Id="rId1" Type="http://schemas.openxmlformats.org/officeDocument/2006/relationships/numbering" Target="numbering.xml"/><Relationship Id="rId6" Type="http://schemas.openxmlformats.org/officeDocument/2006/relationships/hyperlink" Target="https://www.blueoceanstrategy.com/teaching-materials/driving-the-future/" TargetMode="External"/><Relationship Id="rId11" Type="http://schemas.openxmlformats.org/officeDocument/2006/relationships/hyperlink" Target="https://www.deloitte.com/us/en/insights/topics/future-of-mobility/electric-vehicle-trends-2030.html" TargetMode="External"/><Relationship Id="rId24" Type="http://schemas.openxmlformats.org/officeDocument/2006/relationships/hyperlink" Target="https://www.oecd.org/content/dam/oecd/en/publications/reports/2022/10/oecd-reviews-of-innovation-policy-germany-2022_34a18c3c/50b32331-en.pdf" TargetMode="External"/><Relationship Id="rId32" Type="http://schemas.openxmlformats.org/officeDocument/2006/relationships/hyperlink" Target="https://www.volkswagen-group.com/en/press-releases/volkswagen-group-strengthens-its-position-as-europes-leading-electric-vehicle-manufacturer-with-its-family-of-small-electric-cars-19839" TargetMode="External"/><Relationship Id="rId5" Type="http://schemas.openxmlformats.org/officeDocument/2006/relationships/image" Target="media/image1.png"/><Relationship Id="rId15" Type="http://schemas.openxmlformats.org/officeDocument/2006/relationships/hyperlink" Target="https://www.iea.org/reports/global-ev-outlook-2024/trends-in-the-electric-vehicle-industry" TargetMode="External"/><Relationship Id="rId23" Type="http://schemas.openxmlformats.org/officeDocument/2006/relationships/hyperlink" Target="https://www.nissan-global.com/EN/COMPANY/ALLIANCE/" TargetMode="External"/><Relationship Id="rId28" Type="http://schemas.openxmlformats.org/officeDocument/2006/relationships/hyperlink" Target="https://www.statista.com/topics/2086/tesla/?srsltid=AfmBOoqEYyP9TpV_qhVffxi1PdBJSQ-q6dphbnymORsQiHPatX2CxZav" TargetMode="External"/><Relationship Id="rId10" Type="http://schemas.openxmlformats.org/officeDocument/2006/relationships/hyperlink" Target="https://www.deloitte.com/us/en/insights/topics/future-of-mobility/electric-vehicle-trends-2030.html" TargetMode="External"/><Relationship Id="rId19" Type="http://schemas.openxmlformats.org/officeDocument/2006/relationships/hyperlink" Target="https://www.mckinsey.com/features/mckinsey-center-for-future-mobility/our-insights/new-twists-in-the-electric-vehicle-transition-a-consumer-perspective" TargetMode="External"/><Relationship Id="rId31" Type="http://schemas.openxmlformats.org/officeDocument/2006/relationships/hyperlink" Target="https://www.tesla.com/ns_videos/2021-tesla-impact-report.pdf" TargetMode="External"/><Relationship Id="rId4" Type="http://schemas.openxmlformats.org/officeDocument/2006/relationships/webSettings" Target="webSettings.xml"/><Relationship Id="rId9" Type="http://schemas.openxmlformats.org/officeDocument/2006/relationships/hyperlink" Target="https://www.bmwgroup.com/content/dam/grpw/websites/bmwgroup_com/ir/downloads/en/2025/bericht/BMW-Group-Report-2024-en.pdf" TargetMode="External"/><Relationship Id="rId14" Type="http://schemas.openxmlformats.org/officeDocument/2006/relationships/hyperlink" Target="https://www.iea.org/reports/global-ev-outlook-2024/trends-in-the-electric-vehicle-industry" TargetMode="External"/><Relationship Id="rId22" Type="http://schemas.openxmlformats.org/officeDocument/2006/relationships/hyperlink" Target="https://www.nissan-global.com/EN/COMPANY/ALLIANCE/" TargetMode="External"/><Relationship Id="rId27" Type="http://schemas.openxmlformats.org/officeDocument/2006/relationships/hyperlink" Target="https://www.smmt.co.uk/record-ev-market-share-but-weak-private-demand-frustrates-ambition/" TargetMode="External"/><Relationship Id="rId30" Type="http://schemas.openxmlformats.org/officeDocument/2006/relationships/hyperlink" Target="https://www.tesla.com/ns_videos/2021-tesla-impact-report.pdf" TargetMode="External"/><Relationship Id="rId35" Type="http://schemas.openxmlformats.org/officeDocument/2006/relationships/theme" Target="theme/theme1.xml"/><Relationship Id="rId8" Type="http://schemas.openxmlformats.org/officeDocument/2006/relationships/hyperlink" Target="https://www.bmwgroup.com/content/dam/grpw/websites/bmwgroup_com/ir/downloads/en/2025/bericht/BMW-Group-Report-2024-en.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4224</Words>
  <Characters>24078</Characters>
  <Application>Microsoft Office Word</Application>
  <DocSecurity>0</DocSecurity>
  <Lines>200</Lines>
  <Paragraphs>56</Paragraphs>
  <ScaleCrop>false</ScaleCrop>
  <Company/>
  <LinksUpToDate>false</LinksUpToDate>
  <CharactersWithSpaces>28246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Don</dc:creator>
  <cp:lastModifiedBy>Alina Don</cp:lastModifiedBy>
  <dcterms:created xsi:type="dcterms:W3CDTF">2025-11-19T08:59:00Z</dcterms:created>
  <dcterms:modified xsi:type="dcterms:W3CDTF">2025-11-19T09:08:00Z</dcterms:modified>
</cp:coreProperties>
</file>