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rFonts w:ascii="Arial" w:cs="Arial" w:eastAsia="Arial" w:hAnsi="Arial"/>
          <w:b w:val="1"/>
          <w:bCs w:val="1"/>
        </w:rPr>
      </w:pPr>
      <w:r w:rsidDel="00000000" w:rsidR="00000000" w:rsidRPr="00000000">
        <w:rPr>
          <w:rFonts w:ascii="Arial" w:cs="Arial" w:eastAsia="Arial" w:hAnsi="Arial"/>
          <w:b w:val="1"/>
          <w:bCs w:val="1"/>
        </w:rPr>
        <w:drawing>
          <wp:inline distB="0" distT="0" distL="0" distR="0">
            <wp:extent cx="2804094" cy="1131991"/>
            <wp:effectExtent b="0" l="0" r="0" t="0"/>
            <wp:docPr id="3"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804094" cy="1131991"/>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Student Name: </w:t>
      </w:r>
      <w:r w:rsidDel="00000000" w:rsidR="00000000" w:rsidRPr="00000000">
        <w:rPr>
          <w:rFonts w:ascii="Arial" w:cs="Arial" w:eastAsia="Arial" w:hAnsi="Arial"/>
          <w:rtl w:val="0"/>
        </w:rPr>
        <w:t xml:space="preserve">Mauricette Mhayerenge</w:t>
      </w:r>
      <w:r w:rsidDel="00000000" w:rsidR="00000000" w:rsidRPr="00000000">
        <w:rPr>
          <w:rtl w:val="0"/>
        </w:rPr>
      </w:r>
    </w:p>
    <w:p w:rsidR="00000000" w:rsidDel="00000000" w:rsidP="00000000" w:rsidRDefault="00000000" w:rsidRPr="00000000" w14:paraId="00000003">
      <w:pPr>
        <w:spacing w:line="360" w:lineRule="auto"/>
        <w:jc w:val="center"/>
        <w:rPr>
          <w:rFonts w:ascii="Arial" w:cs="Arial" w:eastAsia="Arial" w:hAnsi="Arial"/>
        </w:rPr>
      </w:pPr>
      <w:r w:rsidDel="00000000" w:rsidR="00000000" w:rsidRPr="00000000">
        <w:rPr>
          <w:rFonts w:ascii="Arial" w:cs="Arial" w:eastAsia="Arial" w:hAnsi="Arial"/>
          <w:b w:val="1"/>
          <w:bCs w:val="1"/>
          <w:rtl w:val="0"/>
        </w:rPr>
        <w:t xml:space="preserve">Student Number: </w:t>
      </w:r>
      <w:r w:rsidDel="00000000" w:rsidR="00000000" w:rsidRPr="00000000">
        <w:rPr>
          <w:rFonts w:ascii="Arial" w:cs="Arial" w:eastAsia="Arial" w:hAnsi="Arial"/>
          <w:rtl w:val="0"/>
        </w:rPr>
        <w:t xml:space="preserve">2420920</w:t>
      </w:r>
    </w:p>
    <w:p w:rsidR="00000000" w:rsidDel="00000000" w:rsidP="00000000" w:rsidRDefault="00000000" w:rsidRPr="00000000" w14:paraId="00000004">
      <w:pPr>
        <w:spacing w:line="360" w:lineRule="auto"/>
        <w:jc w:val="center"/>
        <w:rPr>
          <w:rFonts w:ascii="Arial" w:cs="Arial" w:eastAsia="Arial" w:hAnsi="Arial"/>
        </w:rPr>
      </w:pPr>
      <w:r w:rsidDel="00000000" w:rsidR="00000000" w:rsidRPr="00000000">
        <w:rPr>
          <w:rFonts w:ascii="Arial" w:cs="Arial" w:eastAsia="Arial" w:hAnsi="Arial"/>
          <w:b w:val="1"/>
          <w:bCs w:val="1"/>
          <w:rtl w:val="0"/>
        </w:rPr>
        <w:t xml:space="preserve">Module Title: </w:t>
      </w:r>
      <w:r w:rsidDel="00000000" w:rsidR="00000000" w:rsidRPr="00000000">
        <w:rPr>
          <w:rFonts w:ascii="Arial" w:cs="Arial" w:eastAsia="Arial" w:hAnsi="Arial"/>
          <w:rtl w:val="0"/>
        </w:rPr>
        <w:t xml:space="preserve">Change Makers – Creativity and Value Creation</w:t>
      </w:r>
    </w:p>
    <w:p w:rsidR="00000000" w:rsidDel="00000000" w:rsidP="00000000" w:rsidRDefault="00000000" w:rsidRPr="00000000" w14:paraId="00000005">
      <w:pPr>
        <w:spacing w:line="360" w:lineRule="auto"/>
        <w:jc w:val="center"/>
        <w:rPr>
          <w:rFonts w:ascii="Arial" w:cs="Arial" w:eastAsia="Arial" w:hAnsi="Arial"/>
          <w:b w:val="1"/>
          <w:bCs w:val="1"/>
        </w:rPr>
      </w:pPr>
      <w:r w:rsidDel="00000000" w:rsidR="00000000" w:rsidRPr="00000000">
        <w:rPr>
          <w:rFonts w:ascii="Arial" w:cs="Arial" w:eastAsia="Arial" w:hAnsi="Arial"/>
          <w:rtl w:val="0"/>
        </w:rPr>
        <w:t xml:space="preserve">Module Code: BMHP5014</w:t>
      </w:r>
      <w:r w:rsidDel="00000000" w:rsidR="00000000" w:rsidRPr="00000000">
        <w:rPr>
          <w:rtl w:val="0"/>
        </w:rPr>
      </w:r>
    </w:p>
    <w:p w:rsidR="00000000" w:rsidDel="00000000" w:rsidP="00000000" w:rsidRDefault="00000000" w:rsidRPr="00000000" w14:paraId="00000006">
      <w:pPr>
        <w:spacing w:line="360" w:lineRule="auto"/>
        <w:jc w:val="center"/>
        <w:rPr>
          <w:rFonts w:ascii="Arial" w:cs="Arial" w:eastAsia="Arial" w:hAnsi="Arial"/>
        </w:rPr>
      </w:pPr>
      <w:r w:rsidDel="00000000" w:rsidR="00000000" w:rsidRPr="00000000">
        <w:rPr>
          <w:rFonts w:ascii="Arial" w:cs="Arial" w:eastAsia="Arial" w:hAnsi="Arial"/>
          <w:rtl w:val="0"/>
        </w:rPr>
        <w:t xml:space="preserve">Lecture Name: Zara Ahmed</w:t>
      </w:r>
    </w:p>
    <w:p w:rsidR="00000000" w:rsidDel="00000000" w:rsidP="00000000" w:rsidRDefault="00000000" w:rsidRPr="00000000" w14:paraId="00000007">
      <w:pPr>
        <w:spacing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Assignment Title: </w:t>
      </w:r>
      <w:r w:rsidDel="00000000" w:rsidR="00000000" w:rsidRPr="00000000">
        <w:rPr>
          <w:rFonts w:ascii="Arial" w:cs="Arial" w:eastAsia="Arial" w:hAnsi="Arial"/>
          <w:rtl w:val="0"/>
        </w:rPr>
        <w:t xml:space="preserve">Online Off-Set Exercises</w:t>
      </w:r>
      <w:r w:rsidDel="00000000" w:rsidR="00000000" w:rsidRPr="00000000">
        <w:rPr>
          <w:rtl w:val="0"/>
        </w:rPr>
      </w:r>
    </w:p>
    <w:p w:rsidR="00000000" w:rsidDel="00000000" w:rsidP="00000000" w:rsidRDefault="00000000" w:rsidRPr="00000000" w14:paraId="00000008">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09">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Task 1: Concept Map</w:t>
      </w:r>
    </w:p>
    <w:p w:rsidR="00000000" w:rsidDel="00000000" w:rsidP="00000000" w:rsidRDefault="00000000" w:rsidRPr="00000000" w14:paraId="0000000A">
      <w:pPr>
        <w:spacing w:line="360" w:lineRule="auto"/>
        <w:jc w:val="both"/>
        <w:rPr>
          <w:rFonts w:ascii="Arial" w:cs="Arial" w:eastAsia="Arial" w:hAnsi="Arial"/>
        </w:rPr>
      </w:pPr>
      <w:r w:rsidDel="00000000" w:rsidR="00000000" w:rsidRPr="00000000">
        <w:rPr>
          <w:rFonts w:ascii="Arial" w:cs="Arial" w:eastAsia="Arial" w:hAnsi="Arial"/>
          <w:rtl w:val="0"/>
        </w:rPr>
        <w:t xml:space="preserve">Creativity, value creation, and health and social care improvement are closely connected concepts that contribute to the delivery of effective healthcare services. Creativity involves generating new ideas, innovative solutions, and alternative ways of addressing challenges within health and social care settings. Healthcare professionals use creativity to improve patient care, solve organisational problems, and develop services that better meet the needs of individuals and communities (Thabane et al., 2025).</w:t>
      </w:r>
    </w:p>
    <w:p w:rsidR="00000000" w:rsidDel="00000000" w:rsidP="00000000" w:rsidRDefault="00000000" w:rsidRPr="00000000" w14:paraId="0000000B">
      <w:pPr>
        <w:spacing w:line="360" w:lineRule="auto"/>
        <w:jc w:val="both"/>
        <w:rPr>
          <w:rFonts w:ascii="Arial" w:cs="Arial" w:eastAsia="Arial" w:hAnsi="Arial"/>
        </w:rPr>
      </w:pPr>
      <w:r w:rsidDel="00000000" w:rsidR="00000000" w:rsidRPr="00000000">
        <w:rPr>
          <w:rFonts w:ascii="Arial" w:cs="Arial" w:eastAsia="Arial" w:hAnsi="Arial"/>
          <w:rtl w:val="0"/>
        </w:rPr>
        <w:t xml:space="preserve">Creativity leads to value creation by introducing practices that improve efficiency, quality, and patient experiences. For example, digital health technologies, electronic patient records, and telehealth services were developed through creative thinking (Stoumpos, Kitsios and Talias, 2023). These innovations create value by reducing waiting times, improving communication between professionals, and increasing access to healthcare services. Value creation occurs when patients, healthcare providers, and organisations benefit from improved outcomes and more efficient use of resources.</w:t>
      </w:r>
    </w:p>
    <w:p w:rsidR="00000000" w:rsidDel="00000000" w:rsidP="00000000" w:rsidRDefault="00000000" w:rsidRPr="00000000" w14:paraId="0000000C">
      <w:pPr>
        <w:spacing w:line="360" w:lineRule="auto"/>
        <w:jc w:val="both"/>
        <w:rPr>
          <w:rFonts w:ascii="Arial" w:cs="Arial" w:eastAsia="Arial" w:hAnsi="Arial"/>
        </w:rPr>
      </w:pPr>
      <w:r w:rsidDel="00000000" w:rsidR="00000000" w:rsidRPr="00000000">
        <w:rPr>
          <w:rFonts w:ascii="Arial" w:cs="Arial" w:eastAsia="Arial" w:hAnsi="Arial"/>
          <w:rtl w:val="0"/>
        </w:rPr>
        <w:t xml:space="preserve">The creation of value directly contributes to health and social care improvement. When services become more efficient and patient-centred, individuals receive better care and experience higher levels of satisfaction. Improved systems also support healthcare professionals by reducing workload pressures and enabling them to focus more on patient needs. As a result, health outcomes improve, patient safety is strengthened, and healthcare organisations become more sustainable.</w:t>
      </w:r>
    </w:p>
    <w:p w:rsidR="00000000" w:rsidDel="00000000" w:rsidP="00000000" w:rsidRDefault="00000000" w:rsidRPr="00000000" w14:paraId="0000000D">
      <w:pPr>
        <w:spacing w:line="360" w:lineRule="auto"/>
        <w:jc w:val="both"/>
        <w:rPr>
          <w:rFonts w:ascii="Arial" w:cs="Arial" w:eastAsia="Arial" w:hAnsi="Arial"/>
        </w:rPr>
      </w:pPr>
      <w:r w:rsidDel="00000000" w:rsidR="00000000" w:rsidRPr="00000000">
        <w:rPr>
          <w:rFonts w:ascii="Arial" w:cs="Arial" w:eastAsia="Arial" w:hAnsi="Arial"/>
          <w:rtl w:val="0"/>
        </w:rPr>
        <w:t xml:space="preserve">In a health and social care context, these concepts operate as a continuous cycle. Creativity generates innovative ideas, value creation transforms those ideas into practical benefits, and health and social care improvement reflects the positive outcomes achieved. Together, they support the ongoing development of high-quality, effective, and person-centred care services that respond to the changing needs of society.</w:t>
      </w:r>
    </w:p>
    <w:p w:rsidR="00000000" w:rsidDel="00000000" w:rsidP="00000000" w:rsidRDefault="00000000" w:rsidRPr="00000000" w14:paraId="0000000E">
      <w:pPr>
        <w:spacing w:line="360" w:lineRule="auto"/>
        <w:jc w:val="both"/>
        <w:rPr>
          <w:rFonts w:ascii="Arial" w:cs="Arial" w:eastAsia="Arial" w:hAnsi="Arial"/>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-6349</wp:posOffset>
                </wp:positionH>
                <wp:positionV relativeFrom="paragraph">
                  <wp:posOffset>340995</wp:posOffset>
                </wp:positionV>
                <wp:extent cx="5026660" cy="3355340"/>
                <wp:effectExtent b="0" l="0" r="0" t="0"/>
                <wp:wrapNone/>
                <wp:docPr id="1" name=""/>
                <a:graphic>
                  <a:graphicData uri="http://schemas.microsoft.com/office/word/2010/wordprocessingShape">
                    <wps:wsp>
                      <wps:cNvSpPr/>
                      <wps:cNvPr id="2" name="Shape 2"/>
                      <wps:spPr>
                        <a:xfrm>
                          <a:off x="2839020" y="2108680"/>
                          <a:ext cx="5013960" cy="3342640"/>
                        </a:xfrm>
                        <a:prstGeom prst="rect">
                          <a:avLst/>
                        </a:prstGeom>
                        <a:noFill/>
                        <a:ln cap="flat" cmpd="sng" w="12700">
                          <a:solidFill>
                            <a:schemeClr val="lt1"/>
                          </a:solidFill>
                          <a:prstDash val="solid"/>
                          <a:miter lim="8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-6349</wp:posOffset>
                </wp:positionH>
                <wp:positionV relativeFrom="paragraph">
                  <wp:posOffset>340995</wp:posOffset>
                </wp:positionV>
                <wp:extent cx="5026660" cy="3355340"/>
                <wp:effectExtent b="0" l="0" r="0" t="0"/>
                <wp:wrapNone/>
                <wp:docPr id="1" name="image3.png"/>
                <a:graphic>
                  <a:graphicData uri="http://schemas.openxmlformats.org/drawingml/2006/picture">
                    <pic:pic>
                      <pic:nvPicPr>
                        <pic:cNvPr id="0" name="image3.png"/>
                        <pic:cNvPicPr preferRelativeResize="0"/>
                      </pic:nvPicPr>
                      <pic:blipFill>
                        <a:blip r:embed="rId8"/>
                        <a:srcRect/>
                        <a:stretch>
                          <a:fillRect/>
                        </a:stretch>
                      </pic:blipFill>
                      <pic:spPr>
                        <a:xfrm>
                          <a:off x="0" y="0"/>
                          <a:ext cx="5026660" cy="3355340"/>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-6349</wp:posOffset>
                </wp:positionH>
                <wp:positionV relativeFrom="paragraph">
                  <wp:posOffset>340995</wp:posOffset>
                </wp:positionV>
                <wp:extent cx="5026660" cy="3355340"/>
                <wp:effectExtent b="0" l="0" r="0" t="0"/>
                <wp:wrapNone/>
                <wp:docPr id="2" name=""/>
                <a:graphic>
                  <a:graphicData uri="http://schemas.microsoft.com/office/word/2010/wordprocessingShape">
                    <wps:wsp>
                      <wps:cNvSpPr/>
                      <wps:cNvPr id="3" name="Shape 3"/>
                      <wps:spPr>
                        <a:xfrm>
                          <a:off x="2839020" y="2108680"/>
                          <a:ext cx="5013960" cy="3342640"/>
                        </a:xfrm>
                        <a:prstGeom prst="rect">
                          <a:avLst/>
                        </a:prstGeom>
                        <a:noFill/>
                        <a:ln cap="flat" cmpd="sng" w="12700">
                          <a:solidFill>
                            <a:srgbClr val="171717"/>
                          </a:solidFill>
                          <a:prstDash val="solid"/>
                          <a:miter lim="8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-6349</wp:posOffset>
                </wp:positionH>
                <wp:positionV relativeFrom="paragraph">
                  <wp:posOffset>340995</wp:posOffset>
                </wp:positionV>
                <wp:extent cx="5026660" cy="3355340"/>
                <wp:effectExtent b="0" l="0" r="0" t="0"/>
                <wp:wrapNone/>
                <wp:docPr id="2" name="image4.png"/>
                <a:graphic>
                  <a:graphicData uri="http://schemas.openxmlformats.org/drawingml/2006/picture">
                    <pic:pic>
                      <pic:nvPicPr>
                        <pic:cNvPr id="0" name="image4.png"/>
                        <pic:cNvPicPr preferRelativeResize="0"/>
                      </pic:nvPicPr>
                      <pic:blipFill>
                        <a:blip r:embed="rId8"/>
                        <a:srcRect/>
                        <a:stretch>
                          <a:fillRect/>
                        </a:stretch>
                      </pic:blipFill>
                      <pic:spPr>
                        <a:xfrm>
                          <a:off x="0" y="0"/>
                          <a:ext cx="5026660" cy="3355340"/>
                        </a:xfrm>
                        <a:prstGeom prst="rect"/>
                        <a:ln/>
                      </pic:spPr>
                    </pic:pic>
                  </a:graphicData>
                </a:graphic>
              </wp:anchor>
            </w:drawing>
          </mc:Fallback>
        </mc:AlternateContent>
      </w:r>
    </w:p>
    <w:p w:rsidR="00000000" w:rsidDel="00000000" w:rsidP="00000000" w:rsidRDefault="00000000" w:rsidRPr="00000000" w14:paraId="0000000F">
      <w:pPr>
        <w:spacing w:line="360" w:lineRule="auto"/>
        <w:jc w:val="both"/>
        <w:rPr>
          <w:rFonts w:ascii="Arial" w:cs="Arial" w:eastAsia="Arial" w:hAnsi="Arial"/>
        </w:rPr>
      </w:pPr>
      <w:r w:rsidDel="00000000" w:rsidR="00000000" w:rsidRPr="00000000">
        <w:rPr>
          <w:rFonts w:ascii="Arial" w:cs="Arial" w:eastAsia="Arial" w:hAnsi="Arial"/>
        </w:rPr>
        <w:drawing>
          <wp:inline distB="0" distT="0" distL="0" distR="0">
            <wp:extent cx="5029124" cy="3352749"/>
            <wp:effectExtent b="0" l="0" r="0" t="0"/>
            <wp:docPr id="4"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029124" cy="3352749"/>
                    </a:xfrm>
                    <a:prstGeom prst="rect"/>
                    <a:ln/>
                  </pic:spPr>
                </pic:pic>
              </a:graphicData>
            </a:graphic>
          </wp:inline>
        </w:drawing>
      </w:r>
      <w:r w:rsidDel="00000000" w:rsidR="00000000" w:rsidRPr="00000000">
        <w:rPr>
          <w:rtl w:val="0"/>
        </w:rPr>
      </w:r>
    </w:p>
    <w:p w:rsidR="00000000" w:rsidDel="00000000" w:rsidP="00000000" w:rsidRDefault="00000000" w:rsidRPr="00000000" w14:paraId="00000010">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Figure 1:</w:t>
      </w:r>
      <w:r w:rsidDel="00000000" w:rsidR="00000000" w:rsidRPr="00000000">
        <w:rPr>
          <w:rFonts w:ascii="Arial" w:cs="Arial" w:eastAsia="Arial" w:hAnsi="Arial"/>
          <w:rtl w:val="0"/>
        </w:rPr>
        <w:t xml:space="preserve"> Relationship Between Creativity, Value Creation, and Health and Social Care Improvement</w:t>
      </w:r>
    </w:p>
    <w:p w:rsidR="00000000" w:rsidDel="00000000" w:rsidP="00000000" w:rsidRDefault="00000000" w:rsidRPr="00000000" w14:paraId="00000011">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Task 2: Self-Reflection of Group Activity (Gibbs’ Reflective Cycle)</w:t>
      </w:r>
    </w:p>
    <w:p w:rsidR="00000000" w:rsidDel="00000000" w:rsidP="00000000" w:rsidRDefault="00000000" w:rsidRPr="00000000" w14:paraId="00000012">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Description</w:t>
      </w:r>
    </w:p>
    <w:p w:rsidR="00000000" w:rsidDel="00000000" w:rsidP="00000000" w:rsidRDefault="00000000" w:rsidRPr="00000000" w14:paraId="00000013">
      <w:pPr>
        <w:spacing w:line="360" w:lineRule="auto"/>
        <w:jc w:val="both"/>
        <w:rPr>
          <w:rFonts w:ascii="Arial" w:cs="Arial" w:eastAsia="Arial" w:hAnsi="Arial"/>
        </w:rPr>
      </w:pPr>
      <w:r w:rsidDel="00000000" w:rsidR="00000000" w:rsidRPr="00000000">
        <w:rPr>
          <w:rFonts w:ascii="Arial" w:cs="Arial" w:eastAsia="Arial" w:hAnsi="Arial"/>
          <w:rtl w:val="0"/>
        </w:rPr>
        <w:t xml:space="preserve">During the Convergent and Divergent Thinking Paperclip activity, I worked with my group to generate different uses for a paperclip. The aim was to encourage creative thinking before narrowing ideas to the most practical options. I contributed around ten suggestions, including using a paperclip as a bookmark, keyring holder, cable organiser, and emergency zipper pull.</w:t>
      </w:r>
    </w:p>
    <w:p w:rsidR="00000000" w:rsidDel="00000000" w:rsidP="00000000" w:rsidRDefault="00000000" w:rsidRPr="00000000" w14:paraId="00000014">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Feelings</w:t>
      </w:r>
    </w:p>
    <w:p w:rsidR="00000000" w:rsidDel="00000000" w:rsidP="00000000" w:rsidRDefault="00000000" w:rsidRPr="00000000" w14:paraId="00000015">
      <w:pPr>
        <w:spacing w:line="360" w:lineRule="auto"/>
        <w:jc w:val="both"/>
        <w:rPr>
          <w:rFonts w:ascii="Arial" w:cs="Arial" w:eastAsia="Arial" w:hAnsi="Arial"/>
        </w:rPr>
      </w:pPr>
      <w:r w:rsidDel="00000000" w:rsidR="00000000" w:rsidRPr="00000000">
        <w:rPr>
          <w:rFonts w:ascii="Arial" w:cs="Arial" w:eastAsia="Arial" w:hAnsi="Arial"/>
          <w:rtl w:val="0"/>
        </w:rPr>
        <w:t xml:space="preserve">At first, I found it difficult to think beyond the traditional use of a paperclip. As the discussion continued, I became more confident and comfortable sharing ideas. I enjoyed hearing different perspectives from my group and felt motivated to contribute further.</w:t>
      </w:r>
    </w:p>
    <w:p w:rsidR="00000000" w:rsidDel="00000000" w:rsidP="00000000" w:rsidRDefault="00000000" w:rsidRPr="00000000" w14:paraId="00000016">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Evaluation</w:t>
      </w:r>
    </w:p>
    <w:p w:rsidR="00000000" w:rsidDel="00000000" w:rsidP="00000000" w:rsidRDefault="00000000" w:rsidRPr="00000000" w14:paraId="00000017">
      <w:pPr>
        <w:spacing w:line="360" w:lineRule="auto"/>
        <w:jc w:val="both"/>
        <w:rPr>
          <w:rFonts w:ascii="Arial" w:cs="Arial" w:eastAsia="Arial" w:hAnsi="Arial"/>
        </w:rPr>
      </w:pPr>
      <w:r w:rsidDel="00000000" w:rsidR="00000000" w:rsidRPr="00000000">
        <w:rPr>
          <w:rFonts w:ascii="Arial" w:cs="Arial" w:eastAsia="Arial" w:hAnsi="Arial"/>
          <w:rtl w:val="0"/>
        </w:rPr>
        <w:t xml:space="preserve">A positive aspect of the activity was the chance to consider a broad variety of ideas without immediate criticism, which encouraged creativity and participation. A challenge was deciding which ideas were realistic and worth developing. Some suggestions were imaginative but had practical limitations or risks.</w:t>
      </w:r>
    </w:p>
    <w:p w:rsidR="00000000" w:rsidDel="00000000" w:rsidP="00000000" w:rsidRDefault="00000000" w:rsidRPr="00000000" w14:paraId="00000018">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Analysis</w:t>
      </w:r>
    </w:p>
    <w:p w:rsidR="00000000" w:rsidDel="00000000" w:rsidP="00000000" w:rsidRDefault="00000000" w:rsidRPr="00000000" w14:paraId="00000019">
      <w:pPr>
        <w:spacing w:line="360" w:lineRule="auto"/>
        <w:jc w:val="both"/>
        <w:rPr>
          <w:rFonts w:ascii="Arial" w:cs="Arial" w:eastAsia="Arial" w:hAnsi="Arial"/>
        </w:rPr>
      </w:pPr>
      <w:r w:rsidDel="00000000" w:rsidR="00000000" w:rsidRPr="00000000">
        <w:rPr>
          <w:rFonts w:ascii="Arial" w:cs="Arial" w:eastAsia="Arial" w:hAnsi="Arial"/>
          <w:rtl w:val="0"/>
        </w:rPr>
        <w:t xml:space="preserve">The activity helped me understand the difference between divergent and convergent thinking. Divergent thinking involved generating many ideas without judgement, while convergent thinking required evaluating them and selecting the most suitable ones. I also learned the importance of considering risks and feasibility before making decisions (Ahmadpour, Shariati and Moghadam, 2025).</w:t>
      </w:r>
    </w:p>
    <w:p w:rsidR="00000000" w:rsidDel="00000000" w:rsidP="00000000" w:rsidRDefault="00000000" w:rsidRPr="00000000" w14:paraId="0000001A">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Conclusion</w:t>
      </w:r>
    </w:p>
    <w:p w:rsidR="00000000" w:rsidDel="00000000" w:rsidP="00000000" w:rsidRDefault="00000000" w:rsidRPr="00000000" w14:paraId="0000001B">
      <w:pPr>
        <w:spacing w:line="360" w:lineRule="auto"/>
        <w:jc w:val="both"/>
        <w:rPr>
          <w:rFonts w:ascii="Arial" w:cs="Arial" w:eastAsia="Arial" w:hAnsi="Arial"/>
        </w:rPr>
      </w:pPr>
      <w:r w:rsidDel="00000000" w:rsidR="00000000" w:rsidRPr="00000000">
        <w:rPr>
          <w:rFonts w:ascii="Arial" w:cs="Arial" w:eastAsia="Arial" w:hAnsi="Arial"/>
          <w:rtl w:val="0"/>
        </w:rPr>
        <w:t xml:space="preserve">The activity improved my creativity, communication, and problem-solving skills. I realised that innovative ideas often emerge when people feel comfortable sharing different viewpoints.</w:t>
      </w:r>
    </w:p>
    <w:p w:rsidR="00000000" w:rsidDel="00000000" w:rsidP="00000000" w:rsidRDefault="00000000" w:rsidRPr="00000000" w14:paraId="0000001C">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Action Plan</w:t>
      </w:r>
    </w:p>
    <w:p w:rsidR="00000000" w:rsidDel="00000000" w:rsidP="00000000" w:rsidRDefault="00000000" w:rsidRPr="00000000" w14:paraId="0000001D">
      <w:pPr>
        <w:spacing w:line="360" w:lineRule="auto"/>
        <w:jc w:val="both"/>
        <w:rPr>
          <w:rFonts w:ascii="Arial" w:cs="Arial" w:eastAsia="Arial" w:hAnsi="Arial"/>
        </w:rPr>
      </w:pPr>
      <w:r w:rsidDel="00000000" w:rsidR="00000000" w:rsidRPr="00000000">
        <w:rPr>
          <w:rFonts w:ascii="Arial" w:cs="Arial" w:eastAsia="Arial" w:hAnsi="Arial"/>
          <w:rtl w:val="0"/>
        </w:rPr>
        <w:t xml:space="preserve">In future group activities, I will contribute ideas more confidently and take a greater role in evaluating risks and selecting practical solutions. This experience strengthened my understanding of how divergent and convergent thinking support effective decision-making.</w:t>
      </w:r>
    </w:p>
    <w:p w:rsidR="00000000" w:rsidDel="00000000" w:rsidP="00000000" w:rsidRDefault="00000000" w:rsidRPr="00000000" w14:paraId="0000001E">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1F">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Task 3: Case Study of a UK Innovation – NHS App</w:t>
      </w:r>
    </w:p>
    <w:p w:rsidR="00000000" w:rsidDel="00000000" w:rsidP="00000000" w:rsidRDefault="00000000" w:rsidRPr="00000000" w14:paraId="00000020">
      <w:pPr>
        <w:spacing w:line="360" w:lineRule="auto"/>
        <w:jc w:val="both"/>
        <w:rPr>
          <w:rFonts w:ascii="Arial" w:cs="Arial" w:eastAsia="Arial" w:hAnsi="Arial"/>
        </w:rPr>
      </w:pPr>
      <w:r w:rsidDel="00000000" w:rsidR="00000000" w:rsidRPr="00000000">
        <w:rPr>
          <w:rFonts w:ascii="Arial" w:cs="Arial" w:eastAsia="Arial" w:hAnsi="Arial"/>
          <w:rtl w:val="0"/>
        </w:rPr>
        <w:t xml:space="preserve">The NHS App represents a significant digital innovation within the UK healthcare system. Launched by NHS England, the app was designed to improve access to healthcare services by allowing patients to manage aspects of their care through a smartphone or computer. It provides services such as booking appointments, ordering repeat prescriptions, viewing medical records, and accessing health advice. The innovation demonstrates how creativity and technology can be combined to improve patient experiences and healthcare delivery.</w:t>
      </w:r>
    </w:p>
    <w:p w:rsidR="00000000" w:rsidDel="00000000" w:rsidP="00000000" w:rsidRDefault="00000000" w:rsidRPr="00000000" w14:paraId="00000021">
      <w:pPr>
        <w:spacing w:line="360" w:lineRule="auto"/>
        <w:jc w:val="both"/>
        <w:rPr>
          <w:rFonts w:ascii="Arial" w:cs="Arial" w:eastAsia="Arial" w:hAnsi="Arial"/>
        </w:rPr>
      </w:pPr>
      <w:r w:rsidDel="00000000" w:rsidR="00000000" w:rsidRPr="00000000">
        <w:rPr>
          <w:rFonts w:ascii="Arial" w:cs="Arial" w:eastAsia="Arial" w:hAnsi="Arial"/>
          <w:rtl w:val="0"/>
        </w:rPr>
        <w:t xml:space="preserve">The development of the NHS App was driven by the need to make healthcare services more accessible and efficient. Traditionally, patients often needed to contact GP surgeries by telephone or visit in person to arrange appointments or request prescriptions. This process could be time-consuming for both patients and healthcare staff. The creative solution was to develop a digital platform that enables patients to complete many of these tasks independently. By using technology already familiar to most people, the NHS created a more convenient and user-friendly healthcare service.</w:t>
      </w:r>
    </w:p>
    <w:p w:rsidR="00000000" w:rsidDel="00000000" w:rsidP="00000000" w:rsidRDefault="00000000" w:rsidRPr="00000000" w14:paraId="00000022">
      <w:pPr>
        <w:spacing w:line="360" w:lineRule="auto"/>
        <w:jc w:val="both"/>
        <w:rPr>
          <w:rFonts w:ascii="Arial" w:cs="Arial" w:eastAsia="Arial" w:hAnsi="Arial"/>
        </w:rPr>
      </w:pPr>
      <w:r w:rsidDel="00000000" w:rsidR="00000000" w:rsidRPr="00000000">
        <w:rPr>
          <w:rFonts w:ascii="Arial" w:cs="Arial" w:eastAsia="Arial" w:hAnsi="Arial"/>
          <w:rtl w:val="0"/>
        </w:rPr>
        <w:t xml:space="preserve">Creative thinking was central to the design and implementation of the app. Rather than simply digitising existing systems, developers focused on creating an integrated platform that places patients at the centre of their care. During the COVID-19 pandemic, the app became even more valuable as it was used to provide vaccination records and COVID passes. This demonstrated the flexibility of the innovation and how creative thinking can help healthcare organisations respond quickly to changing circumstances.</w:t>
      </w:r>
    </w:p>
    <w:p w:rsidR="00000000" w:rsidDel="00000000" w:rsidP="00000000" w:rsidRDefault="00000000" w:rsidRPr="00000000" w14:paraId="00000023">
      <w:pPr>
        <w:spacing w:line="360" w:lineRule="auto"/>
        <w:jc w:val="both"/>
        <w:rPr>
          <w:rFonts w:ascii="Arial" w:cs="Arial" w:eastAsia="Arial" w:hAnsi="Arial"/>
        </w:rPr>
      </w:pPr>
      <w:r w:rsidDel="00000000" w:rsidR="00000000" w:rsidRPr="00000000">
        <w:rPr>
          <w:rFonts w:ascii="Arial" w:cs="Arial" w:eastAsia="Arial" w:hAnsi="Arial"/>
          <w:rtl w:val="0"/>
        </w:rPr>
        <w:t xml:space="preserve">The NHS App has created significant value for patients and service users. Patients can access healthcare services at any time without being restricted by surgery opening hours. This improves convenience, reduces delays, and increases patient engagement with their own health management. Healthcare organisations have also benefited from reduced administrative workloads, allowing staff to spend more time on direct patient care. In addition, digital access to health information supports better communication between patients and healthcare professionals (Torous et al., 2025, Department of Health and Social Care and NHS England, 2025) .</w:t>
      </w:r>
    </w:p>
    <w:p w:rsidR="00000000" w:rsidDel="00000000" w:rsidP="00000000" w:rsidRDefault="00000000" w:rsidRPr="00000000" w14:paraId="00000024">
      <w:pPr>
        <w:spacing w:line="360" w:lineRule="auto"/>
        <w:jc w:val="both"/>
        <w:rPr>
          <w:rFonts w:ascii="Arial" w:cs="Arial" w:eastAsia="Arial" w:hAnsi="Arial"/>
        </w:rPr>
      </w:pPr>
      <w:r w:rsidDel="00000000" w:rsidR="00000000" w:rsidRPr="00000000">
        <w:rPr>
          <w:rFonts w:ascii="Arial" w:cs="Arial" w:eastAsia="Arial" w:hAnsi="Arial"/>
          <w:rtl w:val="0"/>
        </w:rPr>
        <w:t xml:space="preserve">Overall, the NHS App is an excellent example of innovation within the UK healthcare system. Through the creative use of digital technology, it has transformed how patients interact with healthcare services. The innovation has improved accessibility, efficiency, and patient empowerment, demonstrating the positive impact that creative solutions can have on modern healthcare delivery.</w:t>
      </w:r>
    </w:p>
    <w:p w:rsidR="00000000" w:rsidDel="00000000" w:rsidP="00000000" w:rsidRDefault="00000000" w:rsidRPr="00000000" w14:paraId="00000025">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Task 4: Current Issue in Health and Social Care – Mental Health Stigma</w:t>
      </w:r>
    </w:p>
    <w:p w:rsidR="00000000" w:rsidDel="00000000" w:rsidP="00000000" w:rsidRDefault="00000000" w:rsidRPr="00000000" w14:paraId="00000026">
      <w:pPr>
        <w:spacing w:line="360" w:lineRule="auto"/>
        <w:jc w:val="both"/>
        <w:rPr>
          <w:rFonts w:ascii="Arial" w:cs="Arial" w:eastAsia="Arial" w:hAnsi="Arial"/>
        </w:rPr>
      </w:pPr>
      <w:r w:rsidDel="00000000" w:rsidR="00000000" w:rsidRPr="00000000">
        <w:rPr>
          <w:rFonts w:ascii="Arial" w:cs="Arial" w:eastAsia="Arial" w:hAnsi="Arial"/>
          <w:rtl w:val="0"/>
        </w:rPr>
        <w:t xml:space="preserve">Stigma related to mental health continues to pose a serious problem because it can prevent people from seeking help and accessing appropriate services. Negative attitudes towards mental illness often lead to discrimination, social exclusion, and delayed treatment, which can worsen health outcomes.</w:t>
      </w:r>
    </w:p>
    <w:p w:rsidR="00000000" w:rsidDel="00000000" w:rsidP="00000000" w:rsidRDefault="00000000" w:rsidRPr="00000000" w14:paraId="00000027">
      <w:pPr>
        <w:spacing w:line="360" w:lineRule="auto"/>
        <w:jc w:val="both"/>
        <w:rPr>
          <w:rFonts w:ascii="Arial" w:cs="Arial" w:eastAsia="Arial" w:hAnsi="Arial"/>
        </w:rPr>
      </w:pPr>
      <w:r w:rsidDel="00000000" w:rsidR="00000000" w:rsidRPr="00000000">
        <w:rPr>
          <w:rFonts w:ascii="Arial" w:cs="Arial" w:eastAsia="Arial" w:hAnsi="Arial"/>
          <w:rtl w:val="0"/>
        </w:rPr>
        <w:t xml:space="preserve">One study by Corrigan et al. (2014) examined the impact of public stigma on individuals living with mental health conditions. The researchers found that many people avoid seeking professional support because they fear being judged, labelled, or treated differently by others. The study also highlighted that stigma can reduce self-esteem and confidence, causing individuals to withdraw from social activities and healthcare services. As a result, mental health problems may become more severe before treatment is sought. The authors concluded that reducing stigma through education and public awareness is essential for improving access to care.</w:t>
      </w:r>
    </w:p>
    <w:p w:rsidR="00000000" w:rsidDel="00000000" w:rsidP="00000000" w:rsidRDefault="00000000" w:rsidRPr="00000000" w14:paraId="00000028">
      <w:pPr>
        <w:spacing w:line="360" w:lineRule="auto"/>
        <w:jc w:val="both"/>
        <w:rPr>
          <w:rFonts w:ascii="Arial" w:cs="Arial" w:eastAsia="Arial" w:hAnsi="Arial"/>
        </w:rPr>
      </w:pPr>
      <w:r w:rsidDel="00000000" w:rsidR="00000000" w:rsidRPr="00000000">
        <w:rPr>
          <w:rFonts w:ascii="Arial" w:cs="Arial" w:eastAsia="Arial" w:hAnsi="Arial"/>
          <w:rtl w:val="0"/>
        </w:rPr>
        <w:t xml:space="preserve">A second study by Clement et al. (2015) investigated how stigma influences help-seeking behaviour among people experiencing mental health difficulties. The researchers reviewed evidence from several studies and found that concerns about discrimination were one of the main barriers preventing individuals from accessing mental health support. Many participants reported feeling embarrassed about discussing their mental health problems or worried that others would view them negatively. The review showed that stigma exists in different settings, including workplaces, communities, and healthcare environments. The authors suggested that anti-stigma campaigns and supportive healthcare services could encourage more people to seek help at an earlier stage.</w:t>
      </w:r>
    </w:p>
    <w:p w:rsidR="00000000" w:rsidDel="00000000" w:rsidP="00000000" w:rsidRDefault="00000000" w:rsidRPr="00000000" w14:paraId="00000029">
      <w:pPr>
        <w:spacing w:line="360" w:lineRule="auto"/>
        <w:jc w:val="both"/>
        <w:rPr>
          <w:rFonts w:ascii="Arial" w:cs="Arial" w:eastAsia="Arial" w:hAnsi="Arial"/>
        </w:rPr>
      </w:pPr>
      <w:r w:rsidDel="00000000" w:rsidR="00000000" w:rsidRPr="00000000">
        <w:rPr>
          <w:rFonts w:ascii="Arial" w:cs="Arial" w:eastAsia="Arial" w:hAnsi="Arial"/>
          <w:rtl w:val="0"/>
        </w:rPr>
        <w:t xml:space="preserve">Overall, both studies demonstrate that mental health stigma is a major factor contributing to poor access to care. Fear of judgement and discrimination can discourage individuals from seeking support, leading to delayed treatment and poorer health outcomes. Addressing stigma remains an important priority for health and social care services.</w:t>
      </w:r>
    </w:p>
    <w:p w:rsidR="00000000" w:rsidDel="00000000" w:rsidP="00000000" w:rsidRDefault="00000000" w:rsidRPr="00000000" w14:paraId="0000002A">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2B">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Task 5: Podcast Script</w:t>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SF UI" w:cs=".SF UI" w:eastAsia=".SF UI" w:hAnsi=".SF UI"/>
          <w:b w:val="0"/>
          <w:bCs w:val="0"/>
          <w:i w:val="0"/>
          <w:iCs w:val="0"/>
          <w:smallCaps w:val="0"/>
          <w:strike w:val="0"/>
          <w:color w:val="000000"/>
          <w:sz w:val="29"/>
          <w:szCs w:val="29"/>
          <w:u w:val="none"/>
          <w:shd w:fill="auto" w:val="clear"/>
          <w:vertAlign w:val="baseline"/>
        </w:rPr>
      </w:pPr>
      <w:r w:rsidDel="00000000" w:rsidR="00000000" w:rsidRPr="00000000">
        <w:rPr>
          <w:rFonts w:ascii=".SFUI-SemiboldItalic" w:cs=".SFUI-SemiboldItalic" w:eastAsia=".SFUI-SemiboldItalic" w:hAnsi=".SFUI-SemiboldItalic"/>
          <w:b w:val="1"/>
          <w:bCs w:val="1"/>
          <w:i w:val="1"/>
          <w:iCs w:val="1"/>
          <w:smallCaps w:val="0"/>
          <w:strike w:val="0"/>
          <w:color w:val="000000"/>
          <w:sz w:val="29"/>
          <w:szCs w:val="29"/>
          <w:u w:val="none"/>
          <w:shd w:fill="auto" w:val="clear"/>
          <w:vertAlign w:val="baseline"/>
          <w:rtl w:val="0"/>
        </w:rPr>
        <w:t xml:space="preserve">Record a two-minute Podcast introducing your idea for component 2 using </w:t>
      </w:r>
      <w:r w:rsidDel="00000000" w:rsidR="00000000" w:rsidRPr="00000000">
        <w:rPr>
          <w:rFonts w:ascii=".SFUI-Semibold" w:cs=".SFUI-Semibold" w:eastAsia=".SFUI-Semibold" w:hAnsi=".SFUI-Semibold"/>
          <w:b w:val="1"/>
          <w:bCs w:val="1"/>
          <w:i w:val="0"/>
          <w:iCs w:val="0"/>
          <w:smallCaps w:val="0"/>
          <w:strike w:val="0"/>
          <w:color w:val="000000"/>
          <w:sz w:val="29"/>
          <w:szCs w:val="29"/>
          <w:u w:val="none"/>
          <w:shd w:fill="auto" w:val="clear"/>
          <w:vertAlign w:val="baseline"/>
          <w:rtl w:val="0"/>
        </w:rPr>
        <w:t xml:space="preserve">https://www.rev.com/onlinevoicerecorder</w:t>
      </w:r>
      <w:r w:rsidDel="00000000" w:rsidR="00000000" w:rsidRPr="00000000">
        <w:rPr>
          <w:rFonts w:ascii=".SFUI-SemiboldItalic" w:cs=".SFUI-SemiboldItalic" w:eastAsia=".SFUI-SemiboldItalic" w:hAnsi=".SFUI-SemiboldItalic"/>
          <w:b w:val="1"/>
          <w:bCs w:val="1"/>
          <w:i w:val="1"/>
          <w:iCs w:val="1"/>
          <w:smallCaps w:val="0"/>
          <w:strike w:val="0"/>
          <w:color w:val="000000"/>
          <w:sz w:val="29"/>
          <w:szCs w:val="29"/>
          <w:u w:val="none"/>
          <w:shd w:fill="auto" w:val="clear"/>
          <w:vertAlign w:val="baseline"/>
          <w:rtl w:val="0"/>
        </w:rPr>
        <w:t xml:space="preserve"> The MP3 audio must be downloaded and embedded as a file (see guidance video on how to do this here: https://www.youtube.com/watch?v=D21isId0agw) or an accessible OneDrive link if using a chromebook (make accessibility – anybody) before inserting into your portfolio. Check the accessibility of the link before submitting.</w:t>
      </w:r>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SF UI" w:cs=".SF UI" w:eastAsia=".SF UI" w:hAnsi=".SF UI"/>
          <w:b w:val="0"/>
          <w:bCs w:val="0"/>
          <w:i w:val="0"/>
          <w:iCs w:val="0"/>
          <w:smallCaps w:val="0"/>
          <w:strike w:val="0"/>
          <w:color w:val="000000"/>
          <w:sz w:val="29"/>
          <w:szCs w:val="29"/>
          <w:u w:val="none"/>
          <w:shd w:fill="auto" w:val="clear"/>
          <w:vertAlign w:val="baseline"/>
        </w:rPr>
      </w:pPr>
      <w:r w:rsidDel="00000000" w:rsidR="00000000" w:rsidRPr="00000000">
        <w:rPr>
          <w:rFonts w:ascii=".SFUI-SemiboldItalic" w:cs=".SFUI-SemiboldItalic" w:eastAsia=".SFUI-SemiboldItalic" w:hAnsi=".SFUI-SemiboldItalic"/>
          <w:b w:val="1"/>
          <w:bCs w:val="1"/>
          <w:i w:val="1"/>
          <w:iCs w:val="1"/>
          <w:smallCaps w:val="0"/>
          <w:strike w:val="0"/>
          <w:color w:val="000000"/>
          <w:sz w:val="29"/>
          <w:szCs w:val="29"/>
          <w:u w:val="none"/>
          <w:shd w:fill="auto" w:val="clear"/>
          <w:vertAlign w:val="baseline"/>
          <w:rtl w:val="0"/>
        </w:rPr>
        <w:t xml:space="preserve">Please refer to week 4 &amp; 6 content.</w:t>
      </w:r>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SF UI" w:cs=".SF UI" w:eastAsia=".SF UI" w:hAnsi=".SF UI"/>
          <w:b w:val="0"/>
          <w:bCs w:val="0"/>
          <w:i w:val="0"/>
          <w:iCs w:val="0"/>
          <w:smallCaps w:val="0"/>
          <w:strike w:val="0"/>
          <w:color w:val="000000"/>
          <w:sz w:val="29"/>
          <w:szCs w:val="29"/>
          <w:u w:val="none"/>
          <w:shd w:fill="auto" w:val="clear"/>
          <w:vertAlign w:val="baseline"/>
        </w:rPr>
      </w:pPr>
      <w:r w:rsidDel="00000000" w:rsidR="00000000" w:rsidRPr="00000000">
        <w:rPr>
          <w:rFonts w:ascii=".SFUI-SemiboldItalic" w:cs=".SFUI-SemiboldItalic" w:eastAsia=".SFUI-SemiboldItalic" w:hAnsi=".SFUI-SemiboldItalic"/>
          <w:b w:val="1"/>
          <w:bCs w:val="1"/>
          <w:i w:val="1"/>
          <w:iCs w:val="1"/>
          <w:smallCaps w:val="0"/>
          <w:strike w:val="0"/>
          <w:color w:val="000000"/>
          <w:sz w:val="29"/>
          <w:szCs w:val="29"/>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SF UI" w:cs=".SF UI" w:eastAsia=".SF UI" w:hAnsi=".SF UI"/>
          <w:b w:val="0"/>
          <w:bCs w:val="0"/>
          <w:i w:val="0"/>
          <w:iCs w:val="0"/>
          <w:smallCaps w:val="0"/>
          <w:strike w:val="0"/>
          <w:color w:val="000000"/>
          <w:sz w:val="29"/>
          <w:szCs w:val="29"/>
          <w:u w:val="none"/>
          <w:shd w:fill="auto" w:val="clear"/>
          <w:vertAlign w:val="baseline"/>
        </w:rPr>
      </w:pPr>
      <w:r w:rsidDel="00000000" w:rsidR="00000000" w:rsidRPr="00000000">
        <w:rPr>
          <w:rFonts w:ascii=".SFUI-SemiboldItalic" w:cs=".SFUI-SemiboldItalic" w:eastAsia=".SFUI-SemiboldItalic" w:hAnsi=".SFUI-SemiboldItalic"/>
          <w:b w:val="1"/>
          <w:bCs w:val="1"/>
          <w:i w:val="1"/>
          <w:iCs w:val="1"/>
          <w:smallCaps w:val="0"/>
          <w:strike w:val="0"/>
          <w:color w:val="000000"/>
          <w:sz w:val="29"/>
          <w:szCs w:val="29"/>
          <w:u w:val="none"/>
          <w:shd w:fill="auto" w:val="clear"/>
          <w:vertAlign w:val="baseline"/>
          <w:rtl w:val="0"/>
        </w:rPr>
        <w:t xml:space="preserve">[please insert file or link here]</w:t>
      </w:r>
      <w:r w:rsidDel="00000000" w:rsidR="00000000" w:rsidRPr="00000000">
        <w:rPr>
          <w:rtl w:val="0"/>
        </w:rPr>
      </w:r>
    </w:p>
    <w:p w:rsidR="00000000" w:rsidDel="00000000" w:rsidP="00000000" w:rsidRDefault="00000000" w:rsidRPr="00000000" w14:paraId="00000030">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31">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32">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33">
      <w:pPr>
        <w:spacing w:line="360" w:lineRule="auto"/>
        <w:jc w:val="both"/>
        <w:rPr>
          <w:rFonts w:ascii="Arial" w:cs="Arial" w:eastAsia="Arial" w:hAnsi="Arial"/>
          <w:b w:val="1"/>
          <w:bCs w:val="1"/>
        </w:rPr>
      </w:pPr>
      <w:hyperlink r:id="rId10">
        <w:r w:rsidDel="00000000" w:rsidR="00000000" w:rsidRPr="00000000">
          <w:rPr>
            <w:rFonts w:ascii="Arial" w:cs="Arial" w:eastAsia="Arial" w:hAnsi="Arial"/>
            <w:b w:val="1"/>
            <w:bCs w:val="1"/>
            <w:color w:val="0000ee"/>
            <w:u w:val="single"/>
            <w:rtl w:val="0"/>
          </w:rPr>
          <w:t xml:space="preserve">my-recording (7).mp3</w:t>
        </w:r>
      </w:hyperlink>
      <w:r w:rsidDel="00000000" w:rsidR="00000000" w:rsidRPr="00000000">
        <w:rPr>
          <w:rtl w:val="0"/>
        </w:rPr>
      </w:r>
    </w:p>
    <w:p w:rsidR="00000000" w:rsidDel="00000000" w:rsidP="00000000" w:rsidRDefault="00000000" w:rsidRPr="00000000" w14:paraId="00000034">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35">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36">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37">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38">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Task 6: NHS Leadership Framework Analysis</w:t>
      </w:r>
    </w:p>
    <w:p w:rsidR="00000000" w:rsidDel="00000000" w:rsidP="00000000" w:rsidRDefault="00000000" w:rsidRPr="00000000" w14:paraId="00000039">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Summary of the Key Components of the NHS Leadership Framework</w:t>
      </w:r>
    </w:p>
    <w:p w:rsidR="00000000" w:rsidDel="00000000" w:rsidP="00000000" w:rsidRDefault="00000000" w:rsidRPr="00000000" w14:paraId="0000003A">
      <w:pPr>
        <w:spacing w:line="360" w:lineRule="auto"/>
        <w:jc w:val="both"/>
        <w:rPr>
          <w:rFonts w:ascii="Arial" w:cs="Arial" w:eastAsia="Arial" w:hAnsi="Arial"/>
        </w:rPr>
      </w:pPr>
      <w:r w:rsidDel="00000000" w:rsidR="00000000" w:rsidRPr="00000000">
        <w:rPr>
          <w:rFonts w:ascii="Arial" w:cs="Arial" w:eastAsia="Arial" w:hAnsi="Arial"/>
          <w:rtl w:val="0"/>
        </w:rPr>
        <w:t xml:space="preserve">The NHS Leadership Framework was developed to help healthcare professionals understand and improve their leadership skills at all levels of the NHS. The framework recognises that leadership is not limited to senior managers; every healthcare worker can demonstrate leadership in their daily practice. It is designed to support high-quality patient care, effective teamwork, and continuous service improvement .</w:t>
      </w:r>
    </w:p>
    <w:p w:rsidR="00000000" w:rsidDel="00000000" w:rsidP="00000000" w:rsidRDefault="00000000" w:rsidRPr="00000000" w14:paraId="0000003B">
      <w:pPr>
        <w:spacing w:line="360" w:lineRule="auto"/>
        <w:jc w:val="both"/>
        <w:rPr>
          <w:rFonts w:ascii="Arial" w:cs="Arial" w:eastAsia="Arial" w:hAnsi="Arial"/>
        </w:rPr>
      </w:pPr>
      <w:r w:rsidDel="00000000" w:rsidR="00000000" w:rsidRPr="00000000">
        <w:rPr>
          <w:rFonts w:ascii="Arial" w:cs="Arial" w:eastAsia="Arial" w:hAnsi="Arial"/>
          <w:rtl w:val="0"/>
        </w:rPr>
        <w:t xml:space="preserve">The framework consists of several key components known as leadership dimensions. These include Demonstrating Personal Qualities, Working with Others, Managing Services, Improving Services, Setting Direction, Creating the Vision, and Delivering the Strategy. Together, these dimensions provide guidance on the knowledge, behaviours, and skills required for effective leadership.</w:t>
      </w:r>
    </w:p>
    <w:p w:rsidR="00000000" w:rsidDel="00000000" w:rsidP="00000000" w:rsidRDefault="00000000" w:rsidRPr="00000000" w14:paraId="0000003C">
      <w:pPr>
        <w:spacing w:line="360" w:lineRule="auto"/>
        <w:jc w:val="both"/>
        <w:rPr>
          <w:rFonts w:ascii="Arial" w:cs="Arial" w:eastAsia="Arial" w:hAnsi="Arial"/>
        </w:rPr>
      </w:pPr>
      <w:r w:rsidDel="00000000" w:rsidR="00000000" w:rsidRPr="00000000">
        <w:rPr>
          <w:rFonts w:ascii="Arial" w:cs="Arial" w:eastAsia="Arial" w:hAnsi="Arial"/>
          <w:rtl w:val="0"/>
        </w:rPr>
        <w:t xml:space="preserve">Demonstrating Personal Qualities focuses on self-awareness, integrity, resilience, and personal development. Working with Others emphasises communication, teamwork, and building positive relationships. Managing Services involves planning, organising resources, and ensuring quality care. Improving Services encourages innovation and the continuous evaluation of healthcare practices. Setting Direction and Creating the Vision help leaders identify future priorities and inspire others towards shared goals. Delivering the Strategy focuses on implementing plans effectively and achieving organisational objectives.</w:t>
      </w:r>
    </w:p>
    <w:p w:rsidR="00000000" w:rsidDel="00000000" w:rsidP="00000000" w:rsidRDefault="00000000" w:rsidRPr="00000000" w14:paraId="0000003D">
      <w:pPr>
        <w:spacing w:line="360" w:lineRule="auto"/>
        <w:jc w:val="both"/>
        <w:rPr>
          <w:rFonts w:ascii="Arial" w:cs="Arial" w:eastAsia="Arial" w:hAnsi="Arial"/>
          <w:u w:val="single"/>
        </w:rPr>
      </w:pPr>
      <w:r w:rsidDel="00000000" w:rsidR="00000000" w:rsidRPr="00000000">
        <w:rPr>
          <w:rFonts w:ascii="Arial" w:cs="Arial" w:eastAsia="Arial" w:hAnsi="Arial"/>
          <w:rtl w:val="0"/>
        </w:rPr>
        <w:t xml:space="preserve">Overall, the NHS Leadership Framework promotes leadership behaviours that support safe, patient-centred care and encourage staff to support the continuous enhancement of healthcare services (NHS England, 2025).</w:t>
      </w:r>
      <w:r w:rsidDel="00000000" w:rsidR="00000000" w:rsidRPr="00000000">
        <w:rPr>
          <w:rtl w:val="0"/>
        </w:rPr>
      </w:r>
    </w:p>
    <w:p w:rsidR="00000000" w:rsidDel="00000000" w:rsidP="00000000" w:rsidRDefault="00000000" w:rsidRPr="00000000" w14:paraId="0000003E">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How a Leader Can Use “Improving Services” to Encourage Creativity and Improve Care</w:t>
      </w:r>
    </w:p>
    <w:p w:rsidR="00000000" w:rsidDel="00000000" w:rsidP="00000000" w:rsidRDefault="00000000" w:rsidRPr="00000000" w14:paraId="0000003F">
      <w:pPr>
        <w:spacing w:line="360" w:lineRule="auto"/>
        <w:jc w:val="both"/>
        <w:rPr>
          <w:rFonts w:ascii="Arial" w:cs="Arial" w:eastAsia="Arial" w:hAnsi="Arial"/>
        </w:rPr>
      </w:pPr>
      <w:r w:rsidDel="00000000" w:rsidR="00000000" w:rsidRPr="00000000">
        <w:rPr>
          <w:rFonts w:ascii="Arial" w:cs="Arial" w:eastAsia="Arial" w:hAnsi="Arial"/>
          <w:rtl w:val="0"/>
        </w:rPr>
        <w:t xml:space="preserve">One important component of the NHS Leadership Framework is Improving Services. This dimension encourages leaders to identify opportunities for change and support innovative ways of working. A leader can use this component by promoting an atmosphere that supports staff in sharing ideas and suggesting improvements to patient care</w:t>
      </w:r>
      <w:r w:rsidDel="00000000" w:rsidR="00000000" w:rsidRPr="00000000">
        <w:rPr>
          <w:rFonts w:ascii="Arial" w:cs="Arial" w:eastAsia="Arial" w:hAnsi="Arial"/>
          <w:i w:val="1"/>
          <w:iCs w:val="1"/>
          <w:rtl w:val="0"/>
        </w:rPr>
        <w:t xml:space="preserve">.</w:t>
      </w:r>
      <w:r w:rsidDel="00000000" w:rsidR="00000000" w:rsidRPr="00000000">
        <w:rPr>
          <w:rtl w:val="0"/>
        </w:rPr>
      </w:r>
    </w:p>
    <w:p w:rsidR="00000000" w:rsidDel="00000000" w:rsidP="00000000" w:rsidRDefault="00000000" w:rsidRPr="00000000" w14:paraId="00000040">
      <w:pPr>
        <w:spacing w:line="360" w:lineRule="auto"/>
        <w:jc w:val="both"/>
        <w:rPr>
          <w:rFonts w:ascii="Arial" w:cs="Arial" w:eastAsia="Arial" w:hAnsi="Arial"/>
        </w:rPr>
      </w:pPr>
      <w:r w:rsidDel="00000000" w:rsidR="00000000" w:rsidRPr="00000000">
        <w:rPr>
          <w:rFonts w:ascii="Arial" w:cs="Arial" w:eastAsia="Arial" w:hAnsi="Arial"/>
          <w:rtl w:val="0"/>
        </w:rPr>
        <w:t xml:space="preserve">For example, a ward manager may organise regular team meetings where nurses, healthcare assistants, and other staff members discuss challenges and propose solutions. By listening to staff and involving them in decision-making, the leader promotes creativity and teamwork. Staff members often have practical insights from their daily experiences, which can lead to more effective and efficient care processes.</w:t>
      </w:r>
    </w:p>
    <w:p w:rsidR="00000000" w:rsidDel="00000000" w:rsidP="00000000" w:rsidRDefault="00000000" w:rsidRPr="00000000" w14:paraId="00000041">
      <w:pPr>
        <w:spacing w:line="360" w:lineRule="auto"/>
        <w:jc w:val="both"/>
        <w:rPr>
          <w:rFonts w:ascii="Arial" w:cs="Arial" w:eastAsia="Arial" w:hAnsi="Arial"/>
        </w:rPr>
      </w:pPr>
      <w:r w:rsidDel="00000000" w:rsidR="00000000" w:rsidRPr="00000000">
        <w:rPr>
          <w:rFonts w:ascii="Arial" w:cs="Arial" w:eastAsia="Arial" w:hAnsi="Arial"/>
          <w:rtl w:val="0"/>
        </w:rPr>
        <w:t xml:space="preserve">A leader can also encourage the use of evidence-based practice and quality improvement projects to test new approaches. When employees feel valued and supported, they are more willing to contribute innovative ideas. This can improve patient outcomes, increase staff satisfaction, and help the NHS provide safer and more effective healthcare services (Thapa, Gyawali and Kalauni, 2026) .</w:t>
      </w:r>
    </w:p>
    <w:p w:rsidR="00000000" w:rsidDel="00000000" w:rsidP="00000000" w:rsidRDefault="00000000" w:rsidRPr="00000000" w14:paraId="00000042">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Task 7: Self-Reflection Journal Entry</w:t>
      </w:r>
    </w:p>
    <w:p w:rsidR="00000000" w:rsidDel="00000000" w:rsidP="00000000" w:rsidRDefault="00000000" w:rsidRPr="00000000" w14:paraId="00000043">
      <w:pPr>
        <w:spacing w:line="360" w:lineRule="auto"/>
        <w:jc w:val="both"/>
        <w:rPr>
          <w:rFonts w:ascii="Arial" w:cs="Arial" w:eastAsia="Arial" w:hAnsi="Arial"/>
        </w:rPr>
      </w:pPr>
      <w:r w:rsidDel="00000000" w:rsidR="00000000" w:rsidRPr="00000000">
        <w:rPr>
          <w:rFonts w:ascii="Arial" w:cs="Arial" w:eastAsia="Arial" w:hAnsi="Arial"/>
          <w:rtl w:val="0"/>
        </w:rPr>
        <w:t xml:space="preserve">Throughout this module, my understanding of creativity and value creation within health and social care has developed significantly. At the beginning, I viewed creativity mainly as generating new ideas, but I now recognise it as a practical tool that drives meaningful improvements in services. Learning how creativity leads to value creation—by improving efficiency, quality, and patient experiences, has helped me see how innovation directly supports better outcomes for both patients and professionals.</w:t>
      </w:r>
    </w:p>
    <w:p w:rsidR="00000000" w:rsidDel="00000000" w:rsidP="00000000" w:rsidRDefault="00000000" w:rsidRPr="00000000" w14:paraId="00000044">
      <w:pPr>
        <w:spacing w:line="360" w:lineRule="auto"/>
        <w:jc w:val="both"/>
        <w:rPr>
          <w:rFonts w:ascii="Arial" w:cs="Arial" w:eastAsia="Arial" w:hAnsi="Arial"/>
        </w:rPr>
      </w:pPr>
      <w:r w:rsidDel="00000000" w:rsidR="00000000" w:rsidRPr="00000000">
        <w:rPr>
          <w:rFonts w:ascii="Arial" w:cs="Arial" w:eastAsia="Arial" w:hAnsi="Arial"/>
          <w:rtl w:val="0"/>
        </w:rPr>
        <w:t xml:space="preserve">The activities, particularly the divergent and convergent thinking task, strengthened my awareness of how creative processes work in practice. Generating ideas freely and then evaluating them taught me how structured creativity can lead to realistic and effective solutions. This understanding was reinforced when studying the NHS App, which demonstrated how creative digital innovation can transform accessibility, communication, and patient empowerment.</w:t>
      </w:r>
    </w:p>
    <w:p w:rsidR="00000000" w:rsidDel="00000000" w:rsidP="00000000" w:rsidRDefault="00000000" w:rsidRPr="00000000" w14:paraId="00000045">
      <w:pPr>
        <w:spacing w:line="360" w:lineRule="auto"/>
        <w:jc w:val="both"/>
        <w:rPr>
          <w:rFonts w:ascii="Arial" w:cs="Arial" w:eastAsia="Arial" w:hAnsi="Arial"/>
        </w:rPr>
      </w:pPr>
      <w:r w:rsidDel="00000000" w:rsidR="00000000" w:rsidRPr="00000000">
        <w:rPr>
          <w:rFonts w:ascii="Arial" w:cs="Arial" w:eastAsia="Arial" w:hAnsi="Arial"/>
          <w:rtl w:val="0"/>
        </w:rPr>
        <w:t xml:space="preserve">Exploring the NHS Leadership Framework also showed me how leaders can encourage creativity by supporting staff, promoting improvement, and creating environments where new ideas are valued.</w:t>
      </w:r>
    </w:p>
    <w:p w:rsidR="00000000" w:rsidDel="00000000" w:rsidP="00000000" w:rsidRDefault="00000000" w:rsidRPr="00000000" w14:paraId="00000046">
      <w:pPr>
        <w:spacing w:line="360" w:lineRule="auto"/>
        <w:jc w:val="both"/>
        <w:rPr>
          <w:rFonts w:ascii="Arial" w:cs="Arial" w:eastAsia="Arial" w:hAnsi="Arial"/>
        </w:rPr>
      </w:pPr>
      <w:r w:rsidDel="00000000" w:rsidR="00000000" w:rsidRPr="00000000">
        <w:rPr>
          <w:rFonts w:ascii="Arial" w:cs="Arial" w:eastAsia="Arial" w:hAnsi="Arial"/>
          <w:rtl w:val="0"/>
        </w:rPr>
        <w:t xml:space="preserve">Overall, this module has informed my professional practice by helping me appreciate creativity as an essential part of problem-solving and service improvement. I now feel more confident contributing ideas, evaluating risks, and recognising how value is created within health and social care settings.</w:t>
      </w:r>
    </w:p>
    <w:p w:rsidR="00000000" w:rsidDel="00000000" w:rsidP="00000000" w:rsidRDefault="00000000" w:rsidRPr="00000000" w14:paraId="00000047">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48">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References: </w:t>
      </w:r>
    </w:p>
    <w:p w:rsidR="00000000" w:rsidDel="00000000" w:rsidP="00000000" w:rsidRDefault="00000000" w:rsidRPr="00000000" w14:paraId="00000049">
      <w:pPr>
        <w:spacing w:line="360" w:lineRule="auto"/>
        <w:jc w:val="both"/>
        <w:rPr>
          <w:rFonts w:ascii="Arial" w:cs="Arial" w:eastAsia="Arial" w:hAnsi="Arial"/>
          <w:b w:val="1"/>
          <w:bCs w:val="1"/>
        </w:rPr>
      </w:pPr>
      <w:r w:rsidDel="00000000" w:rsidR="00000000" w:rsidRPr="00000000">
        <w:rPr>
          <w:rFonts w:ascii="Arial" w:cs="Arial" w:eastAsia="Arial" w:hAnsi="Arial"/>
          <w:rtl w:val="0"/>
        </w:rPr>
        <w:t xml:space="preserve">Ahmadpour, N., Shariati, A. and Moghadam, M.P. (2025) ‘Effect of narrative writing based on Gibbs’ reflective model on the empathy and communication skills of nursing students’, </w:t>
      </w:r>
      <w:r w:rsidDel="00000000" w:rsidR="00000000" w:rsidRPr="00000000">
        <w:rPr>
          <w:rFonts w:ascii="Arial" w:cs="Arial" w:eastAsia="Arial" w:hAnsi="Arial"/>
          <w:i w:val="1"/>
          <w:iCs w:val="1"/>
          <w:rtl w:val="0"/>
        </w:rPr>
        <w:t xml:space="preserve">BMC Medical Education</w:t>
      </w:r>
      <w:r w:rsidDel="00000000" w:rsidR="00000000" w:rsidRPr="00000000">
        <w:rPr>
          <w:rFonts w:ascii="Arial" w:cs="Arial" w:eastAsia="Arial" w:hAnsi="Arial"/>
          <w:rtl w:val="0"/>
        </w:rPr>
        <w:t xml:space="preserve">, 25(1), p. 10. Available at: </w:t>
      </w:r>
      <w:hyperlink r:id="rId11">
        <w:r w:rsidDel="00000000" w:rsidR="00000000" w:rsidRPr="00000000">
          <w:rPr>
            <w:rFonts w:ascii="Arial" w:cs="Arial" w:eastAsia="Arial" w:hAnsi="Arial"/>
            <w:color w:val="467886"/>
            <w:u w:val="single"/>
            <w:rtl w:val="0"/>
          </w:rPr>
          <w:t xml:space="preserve">https://doi.org/10.1186/s12909-024-06593-7</w:t>
        </w:r>
      </w:hyperlink>
      <w:r w:rsidDel="00000000" w:rsidR="00000000" w:rsidRPr="00000000">
        <w:rPr>
          <w:rFonts w:ascii="Arial" w:cs="Arial" w:eastAsia="Arial" w:hAnsi="Arial"/>
          <w:rtl w:val="0"/>
        </w:rPr>
        <w:t xml:space="preserve"> (Accessed: 4 June 2026). </w:t>
      </w:r>
      <w:r w:rsidDel="00000000" w:rsidR="00000000" w:rsidRPr="00000000">
        <w:rPr>
          <w:rtl w:val="0"/>
        </w:rPr>
      </w:r>
    </w:p>
    <w:p w:rsidR="00000000" w:rsidDel="00000000" w:rsidP="00000000" w:rsidRDefault="00000000" w:rsidRPr="00000000" w14:paraId="0000004A">
      <w:pPr>
        <w:rPr>
          <w:rFonts w:ascii="Arial" w:cs="Arial" w:eastAsia="Arial" w:hAnsi="Arial"/>
        </w:rPr>
      </w:pPr>
      <w:r w:rsidDel="00000000" w:rsidR="00000000" w:rsidRPr="00000000">
        <w:rPr>
          <w:rFonts w:ascii="Arial" w:cs="Arial" w:eastAsia="Arial" w:hAnsi="Arial"/>
          <w:rtl w:val="0"/>
        </w:rPr>
        <w:t xml:space="preserve">Clement, S., Schauman, O., Graham, T., Maggioni, F., Evans-Lacko, S., Bezborodovs, N., Morgan, C., Rüsch, N., Brown, J.S. and Thornicroft, G. (2015) ‘What is the impact of mental health-related stigma on help-seeking? A systematic review of quantitative and qualitative studies’, </w:t>
      </w:r>
      <w:r w:rsidDel="00000000" w:rsidR="00000000" w:rsidRPr="00000000">
        <w:rPr>
          <w:rFonts w:ascii="Arial" w:cs="Arial" w:eastAsia="Arial" w:hAnsi="Arial"/>
          <w:i w:val="1"/>
          <w:iCs w:val="1"/>
          <w:rtl w:val="0"/>
        </w:rPr>
        <w:t xml:space="preserve">Psychological Medicine</w:t>
      </w:r>
      <w:r w:rsidDel="00000000" w:rsidR="00000000" w:rsidRPr="00000000">
        <w:rPr>
          <w:rFonts w:ascii="Arial" w:cs="Arial" w:eastAsia="Arial" w:hAnsi="Arial"/>
          <w:rtl w:val="0"/>
        </w:rPr>
        <w:t xml:space="preserve">, 45(1), pp. 11–27. Available at: </w:t>
      </w:r>
      <w:hyperlink r:id="rId12">
        <w:r w:rsidDel="00000000" w:rsidR="00000000" w:rsidRPr="00000000">
          <w:rPr>
            <w:rFonts w:ascii="Arial" w:cs="Arial" w:eastAsia="Arial" w:hAnsi="Arial"/>
            <w:color w:val="467886"/>
            <w:u w:val="single"/>
            <w:rtl w:val="0"/>
          </w:rPr>
          <w:t xml:space="preserve">https://doi.org/10.1017/S0033291714000129</w:t>
        </w:r>
      </w:hyperlink>
      <w:r w:rsidDel="00000000" w:rsidR="00000000" w:rsidRPr="00000000">
        <w:rPr>
          <w:rFonts w:ascii="Arial" w:cs="Arial" w:eastAsia="Arial" w:hAnsi="Arial"/>
          <w:rtl w:val="0"/>
        </w:rPr>
        <w:t xml:space="preserve"> (Accessed: 4 June 2026).</w:t>
      </w:r>
    </w:p>
    <w:p w:rsidR="00000000" w:rsidDel="00000000" w:rsidP="00000000" w:rsidRDefault="00000000" w:rsidRPr="00000000" w14:paraId="0000004B">
      <w:pPr>
        <w:rPr>
          <w:rFonts w:ascii="Arial" w:cs="Arial" w:eastAsia="Arial" w:hAnsi="Arial"/>
        </w:rPr>
      </w:pPr>
      <w:r w:rsidDel="00000000" w:rsidR="00000000" w:rsidRPr="00000000">
        <w:rPr>
          <w:rFonts w:ascii="Arial" w:cs="Arial" w:eastAsia="Arial" w:hAnsi="Arial"/>
          <w:rtl w:val="0"/>
        </w:rPr>
        <w:t xml:space="preserve">Corrigan, P.W. and Watson, A.C. (2002) ‘Understanding the impact of stigma on people with mental illness’, </w:t>
      </w:r>
      <w:r w:rsidDel="00000000" w:rsidR="00000000" w:rsidRPr="00000000">
        <w:rPr>
          <w:rFonts w:ascii="Arial" w:cs="Arial" w:eastAsia="Arial" w:hAnsi="Arial"/>
          <w:i w:val="1"/>
          <w:iCs w:val="1"/>
          <w:rtl w:val="0"/>
        </w:rPr>
        <w:t xml:space="preserve">World Psychiatry</w:t>
      </w:r>
      <w:r w:rsidDel="00000000" w:rsidR="00000000" w:rsidRPr="00000000">
        <w:rPr>
          <w:rFonts w:ascii="Arial" w:cs="Arial" w:eastAsia="Arial" w:hAnsi="Arial"/>
          <w:rtl w:val="0"/>
        </w:rPr>
        <w:t xml:space="preserve">, 1(1), pp. 16–20. Available at: </w:t>
      </w:r>
      <w:hyperlink r:id="rId13">
        <w:r w:rsidDel="00000000" w:rsidR="00000000" w:rsidRPr="00000000">
          <w:rPr>
            <w:rFonts w:ascii="Arial" w:cs="Arial" w:eastAsia="Arial" w:hAnsi="Arial"/>
            <w:color w:val="467886"/>
            <w:u w:val="single"/>
            <w:rtl w:val="0"/>
          </w:rPr>
          <w:t xml:space="preserve">https://www.ncbi.nlm.nih.gov/pmc/articles/PMC1489832/</w:t>
        </w:r>
      </w:hyperlink>
      <w:r w:rsidDel="00000000" w:rsidR="00000000" w:rsidRPr="00000000">
        <w:rPr>
          <w:rFonts w:ascii="Arial" w:cs="Arial" w:eastAsia="Arial" w:hAnsi="Arial"/>
          <w:rtl w:val="0"/>
        </w:rPr>
        <w:t xml:space="preserve"> (Accessed: 4 June 2026).</w:t>
      </w:r>
    </w:p>
    <w:p w:rsidR="00000000" w:rsidDel="00000000" w:rsidP="00000000" w:rsidRDefault="00000000" w:rsidRPr="00000000" w14:paraId="0000004C">
      <w:pPr>
        <w:rPr>
          <w:rFonts w:ascii="Arial" w:cs="Arial" w:eastAsia="Arial" w:hAnsi="Arial"/>
        </w:rPr>
      </w:pPr>
      <w:r w:rsidDel="00000000" w:rsidR="00000000" w:rsidRPr="00000000">
        <w:rPr>
          <w:rtl w:val="0"/>
        </w:rPr>
      </w:r>
    </w:p>
    <w:p w:rsidR="00000000" w:rsidDel="00000000" w:rsidP="00000000" w:rsidRDefault="00000000" w:rsidRPr="00000000" w14:paraId="0000004D">
      <w:pPr>
        <w:rPr>
          <w:rFonts w:ascii="Arial" w:cs="Arial" w:eastAsia="Arial" w:hAnsi="Arial"/>
        </w:rPr>
      </w:pPr>
      <w:r w:rsidDel="00000000" w:rsidR="00000000" w:rsidRPr="00000000">
        <w:rPr>
          <w:rFonts w:ascii="Arial" w:cs="Arial" w:eastAsia="Arial" w:hAnsi="Arial"/>
          <w:rtl w:val="0"/>
        </w:rPr>
        <w:t xml:space="preserve">Department of Health and Social Care and NHS England (2025) </w:t>
      </w:r>
      <w:r w:rsidDel="00000000" w:rsidR="00000000" w:rsidRPr="00000000">
        <w:rPr>
          <w:rFonts w:ascii="Arial" w:cs="Arial" w:eastAsia="Arial" w:hAnsi="Arial"/>
          <w:i w:val="1"/>
          <w:iCs w:val="1"/>
          <w:rtl w:val="0"/>
        </w:rPr>
        <w:t xml:space="preserve">Managing healthcare easy as online banking with revamped NHS App</w:t>
      </w:r>
      <w:r w:rsidDel="00000000" w:rsidR="00000000" w:rsidRPr="00000000">
        <w:rPr>
          <w:rFonts w:ascii="Arial" w:cs="Arial" w:eastAsia="Arial" w:hAnsi="Arial"/>
          <w:rtl w:val="0"/>
        </w:rPr>
        <w:t xml:space="preserve">. GOV.UK, 3 July. Available at: </w:t>
      </w:r>
      <w:hyperlink r:id="rId14">
        <w:r w:rsidDel="00000000" w:rsidR="00000000" w:rsidRPr="00000000">
          <w:rPr>
            <w:rFonts w:ascii="Arial" w:cs="Arial" w:eastAsia="Arial" w:hAnsi="Arial"/>
            <w:color w:val="467886"/>
            <w:u w:val="single"/>
            <w:rtl w:val="0"/>
          </w:rPr>
          <w:t xml:space="preserve">https://www.gov.uk/government/news/managing-healthcare-easy-as-online-banking-with-revamped-nhs-app</w:t>
        </w:r>
      </w:hyperlink>
      <w:r w:rsidDel="00000000" w:rsidR="00000000" w:rsidRPr="00000000">
        <w:rPr>
          <w:rFonts w:ascii="Arial" w:cs="Arial" w:eastAsia="Arial" w:hAnsi="Arial"/>
          <w:rtl w:val="0"/>
        </w:rPr>
        <w:t xml:space="preserve"> (Accessed: 4 June 2026).</w:t>
      </w:r>
    </w:p>
    <w:p w:rsidR="00000000" w:rsidDel="00000000" w:rsidP="00000000" w:rsidRDefault="00000000" w:rsidRPr="00000000" w14:paraId="0000004E">
      <w:pPr>
        <w:rPr>
          <w:rFonts w:ascii="Arial" w:cs="Arial" w:eastAsia="Arial" w:hAnsi="Arial"/>
        </w:rPr>
      </w:pPr>
      <w:r w:rsidDel="00000000" w:rsidR="00000000" w:rsidRPr="00000000">
        <w:rPr>
          <w:rtl w:val="0"/>
        </w:rPr>
      </w:r>
    </w:p>
    <w:p w:rsidR="00000000" w:rsidDel="00000000" w:rsidP="00000000" w:rsidRDefault="00000000" w:rsidRPr="00000000" w14:paraId="0000004F">
      <w:pPr>
        <w:rPr>
          <w:rFonts w:ascii="Arial" w:cs="Arial" w:eastAsia="Arial" w:hAnsi="Arial"/>
        </w:rPr>
      </w:pPr>
      <w:r w:rsidDel="00000000" w:rsidR="00000000" w:rsidRPr="00000000">
        <w:rPr>
          <w:rFonts w:ascii="Arial" w:cs="Arial" w:eastAsia="Arial" w:hAnsi="Arial"/>
          <w:rtl w:val="0"/>
        </w:rPr>
        <w:t xml:space="preserve">NHS England (2025) </w:t>
      </w:r>
      <w:r w:rsidDel="00000000" w:rsidR="00000000" w:rsidRPr="00000000">
        <w:rPr>
          <w:rFonts w:ascii="Arial" w:cs="Arial" w:eastAsia="Arial" w:hAnsi="Arial"/>
          <w:i w:val="1"/>
          <w:iCs w:val="1"/>
          <w:rtl w:val="0"/>
        </w:rPr>
        <w:t xml:space="preserve">Management and leadership development</w:t>
      </w:r>
      <w:r w:rsidDel="00000000" w:rsidR="00000000" w:rsidRPr="00000000">
        <w:rPr>
          <w:rFonts w:ascii="Arial" w:cs="Arial" w:eastAsia="Arial" w:hAnsi="Arial"/>
          <w:rtl w:val="0"/>
        </w:rPr>
        <w:t xml:space="preserve">. Available at: </w:t>
      </w:r>
      <w:hyperlink r:id="rId15">
        <w:r w:rsidDel="00000000" w:rsidR="00000000" w:rsidRPr="00000000">
          <w:rPr>
            <w:rFonts w:ascii="Arial" w:cs="Arial" w:eastAsia="Arial" w:hAnsi="Arial"/>
            <w:color w:val="467886"/>
            <w:u w:val="single"/>
            <w:rtl w:val="0"/>
          </w:rPr>
          <w:t xml:space="preserve">https://www.england.nhs.uk/long-read/management-and-leadership-development/</w:t>
        </w:r>
      </w:hyperlink>
      <w:r w:rsidDel="00000000" w:rsidR="00000000" w:rsidRPr="00000000">
        <w:rPr>
          <w:rFonts w:ascii="Arial" w:cs="Arial" w:eastAsia="Arial" w:hAnsi="Arial"/>
          <w:rtl w:val="0"/>
        </w:rPr>
        <w:t xml:space="preserve"> (Accessed: 4 June 2026).</w:t>
      </w:r>
    </w:p>
    <w:p w:rsidR="00000000" w:rsidDel="00000000" w:rsidP="00000000" w:rsidRDefault="00000000" w:rsidRPr="00000000" w14:paraId="00000050">
      <w:pPr>
        <w:rPr>
          <w:rFonts w:ascii="Arial" w:cs="Arial" w:eastAsia="Arial" w:hAnsi="Arial"/>
        </w:rPr>
      </w:pPr>
      <w:r w:rsidDel="00000000" w:rsidR="00000000" w:rsidRPr="00000000">
        <w:rPr>
          <w:rtl w:val="0"/>
        </w:rPr>
      </w:r>
    </w:p>
    <w:p w:rsidR="00000000" w:rsidDel="00000000" w:rsidP="00000000" w:rsidRDefault="00000000" w:rsidRPr="00000000" w14:paraId="00000051">
      <w:pPr>
        <w:rPr>
          <w:rFonts w:ascii="Arial" w:cs="Arial" w:eastAsia="Arial" w:hAnsi="Arial"/>
        </w:rPr>
      </w:pPr>
      <w:r w:rsidDel="00000000" w:rsidR="00000000" w:rsidRPr="00000000">
        <w:rPr>
          <w:rFonts w:ascii="Arial" w:cs="Arial" w:eastAsia="Arial" w:hAnsi="Arial"/>
          <w:rtl w:val="0"/>
        </w:rPr>
        <w:t xml:space="preserve">Stoumpos, A.I., Kitsios, F. and Talias, M.A. (2023) ‘Digital transformation in healthcare: technology acceptance and its applications’, </w:t>
      </w:r>
      <w:r w:rsidDel="00000000" w:rsidR="00000000" w:rsidRPr="00000000">
        <w:rPr>
          <w:rFonts w:ascii="Arial" w:cs="Arial" w:eastAsia="Arial" w:hAnsi="Arial"/>
          <w:i w:val="1"/>
          <w:iCs w:val="1"/>
          <w:rtl w:val="0"/>
        </w:rPr>
        <w:t xml:space="preserve">International Journal of Environmental Research and Public Health</w:t>
      </w:r>
      <w:r w:rsidDel="00000000" w:rsidR="00000000" w:rsidRPr="00000000">
        <w:rPr>
          <w:rFonts w:ascii="Arial" w:cs="Arial" w:eastAsia="Arial" w:hAnsi="Arial"/>
          <w:rtl w:val="0"/>
        </w:rPr>
        <w:t xml:space="preserve">, 20(4), p. 3407. Available at: </w:t>
      </w:r>
      <w:hyperlink r:id="rId16">
        <w:r w:rsidDel="00000000" w:rsidR="00000000" w:rsidRPr="00000000">
          <w:rPr>
            <w:rFonts w:ascii="Arial" w:cs="Arial" w:eastAsia="Arial" w:hAnsi="Arial"/>
            <w:color w:val="467886"/>
            <w:u w:val="single"/>
            <w:rtl w:val="0"/>
          </w:rPr>
          <w:t xml:space="preserve">https://doi.org/10.3390/ijerph20043407</w:t>
        </w:r>
      </w:hyperlink>
      <w:r w:rsidDel="00000000" w:rsidR="00000000" w:rsidRPr="00000000">
        <w:rPr>
          <w:rFonts w:ascii="Arial" w:cs="Arial" w:eastAsia="Arial" w:hAnsi="Arial"/>
          <w:rtl w:val="0"/>
        </w:rPr>
        <w:t xml:space="preserve"> (Accessed: 4 June 2026).</w:t>
      </w:r>
    </w:p>
    <w:p w:rsidR="00000000" w:rsidDel="00000000" w:rsidP="00000000" w:rsidRDefault="00000000" w:rsidRPr="00000000" w14:paraId="00000052">
      <w:pPr>
        <w:rPr>
          <w:rFonts w:ascii="Arial" w:cs="Arial" w:eastAsia="Arial" w:hAnsi="Arial"/>
        </w:rPr>
      </w:pPr>
      <w:r w:rsidDel="00000000" w:rsidR="00000000" w:rsidRPr="00000000">
        <w:rPr>
          <w:rtl w:val="0"/>
        </w:rPr>
      </w:r>
    </w:p>
    <w:p w:rsidR="00000000" w:rsidDel="00000000" w:rsidP="00000000" w:rsidRDefault="00000000" w:rsidRPr="00000000" w14:paraId="00000053">
      <w:pPr>
        <w:rPr>
          <w:rFonts w:ascii="Arial" w:cs="Arial" w:eastAsia="Arial" w:hAnsi="Arial"/>
        </w:rPr>
      </w:pPr>
      <w:r w:rsidDel="00000000" w:rsidR="00000000" w:rsidRPr="00000000">
        <w:rPr>
          <w:rFonts w:ascii="Arial" w:cs="Arial" w:eastAsia="Arial" w:hAnsi="Arial"/>
          <w:rtl w:val="0"/>
        </w:rPr>
        <w:t xml:space="preserve">Thabane, A., Saleh, S., Pallapothu, S., McKechnie, T., Staibano, P., Busse, J.W., Calic, G., Sonnadara, R., Parpia, S. and Bhandari, M. (2025) ‘Creativity research in medicine and nursing: A scoping review’, </w:t>
      </w:r>
      <w:r w:rsidDel="00000000" w:rsidR="00000000" w:rsidRPr="00000000">
        <w:rPr>
          <w:rFonts w:ascii="Arial" w:cs="Arial" w:eastAsia="Arial" w:hAnsi="Arial"/>
          <w:i w:val="1"/>
          <w:iCs w:val="1"/>
          <w:rtl w:val="0"/>
        </w:rPr>
        <w:t xml:space="preserve">PLOS ONE</w:t>
      </w:r>
      <w:r w:rsidDel="00000000" w:rsidR="00000000" w:rsidRPr="00000000">
        <w:rPr>
          <w:rFonts w:ascii="Arial" w:cs="Arial" w:eastAsia="Arial" w:hAnsi="Arial"/>
          <w:rtl w:val="0"/>
        </w:rPr>
        <w:t xml:space="preserve">, 20(1), e0317209. Available at: </w:t>
      </w:r>
      <w:hyperlink r:id="rId17">
        <w:r w:rsidDel="00000000" w:rsidR="00000000" w:rsidRPr="00000000">
          <w:rPr>
            <w:rFonts w:ascii="Arial" w:cs="Arial" w:eastAsia="Arial" w:hAnsi="Arial"/>
            <w:color w:val="467886"/>
            <w:u w:val="single"/>
            <w:rtl w:val="0"/>
          </w:rPr>
          <w:t xml:space="preserve">https://doi.org/10.1371/journal.pone.0317209</w:t>
        </w:r>
      </w:hyperlink>
      <w:r w:rsidDel="00000000" w:rsidR="00000000" w:rsidRPr="00000000">
        <w:rPr>
          <w:rFonts w:ascii="Arial" w:cs="Arial" w:eastAsia="Arial" w:hAnsi="Arial"/>
          <w:rtl w:val="0"/>
        </w:rPr>
        <w:t xml:space="preserve"> (Accessed: 4 June 2026).</w:t>
      </w:r>
    </w:p>
    <w:p w:rsidR="00000000" w:rsidDel="00000000" w:rsidP="00000000" w:rsidRDefault="00000000" w:rsidRPr="00000000" w14:paraId="00000054">
      <w:pPr>
        <w:rPr>
          <w:rFonts w:ascii="Arial" w:cs="Arial" w:eastAsia="Arial" w:hAnsi="Arial"/>
        </w:rPr>
      </w:pPr>
      <w:r w:rsidDel="00000000" w:rsidR="00000000" w:rsidRPr="00000000">
        <w:rPr>
          <w:rtl w:val="0"/>
        </w:rPr>
      </w:r>
    </w:p>
    <w:p w:rsidR="00000000" w:rsidDel="00000000" w:rsidP="00000000" w:rsidRDefault="00000000" w:rsidRPr="00000000" w14:paraId="00000055">
      <w:pPr>
        <w:rPr>
          <w:rFonts w:ascii="Arial" w:cs="Arial" w:eastAsia="Arial" w:hAnsi="Arial"/>
        </w:rPr>
      </w:pPr>
      <w:r w:rsidDel="00000000" w:rsidR="00000000" w:rsidRPr="00000000">
        <w:rPr>
          <w:rFonts w:ascii="Arial" w:cs="Arial" w:eastAsia="Arial" w:hAnsi="Arial"/>
          <w:rtl w:val="0"/>
        </w:rPr>
        <w:t xml:space="preserve">Thapa, A., Gyawali, P. and Kalauni, D. (2026) ‘Leadership strategies to foster innovation in healthcare organizations of the UK: a systematic review’, </w:t>
      </w:r>
      <w:r w:rsidDel="00000000" w:rsidR="00000000" w:rsidRPr="00000000">
        <w:rPr>
          <w:rFonts w:ascii="Arial" w:cs="Arial" w:eastAsia="Arial" w:hAnsi="Arial"/>
          <w:i w:val="1"/>
          <w:iCs w:val="1"/>
          <w:rtl w:val="0"/>
        </w:rPr>
        <w:t xml:space="preserve">BMC Health Services Research</w:t>
      </w:r>
      <w:r w:rsidDel="00000000" w:rsidR="00000000" w:rsidRPr="00000000">
        <w:rPr>
          <w:rFonts w:ascii="Arial" w:cs="Arial" w:eastAsia="Arial" w:hAnsi="Arial"/>
          <w:rtl w:val="0"/>
        </w:rPr>
        <w:t xml:space="preserve">, 26(1), p. 222. Available at: </w:t>
      </w:r>
      <w:hyperlink r:id="rId18">
        <w:r w:rsidDel="00000000" w:rsidR="00000000" w:rsidRPr="00000000">
          <w:rPr>
            <w:rFonts w:ascii="Arial" w:cs="Arial" w:eastAsia="Arial" w:hAnsi="Arial"/>
            <w:color w:val="467886"/>
            <w:u w:val="single"/>
            <w:rtl w:val="0"/>
          </w:rPr>
          <w:t xml:space="preserve">https://doi.org/10.1186/s12913-026-14017-z</w:t>
        </w:r>
      </w:hyperlink>
      <w:r w:rsidDel="00000000" w:rsidR="00000000" w:rsidRPr="00000000">
        <w:rPr>
          <w:rFonts w:ascii="Arial" w:cs="Arial" w:eastAsia="Arial" w:hAnsi="Arial"/>
          <w:rtl w:val="0"/>
        </w:rPr>
        <w:t xml:space="preserve"> (Accessed: 4 June 2026).</w:t>
      </w:r>
    </w:p>
    <w:p w:rsidR="00000000" w:rsidDel="00000000" w:rsidP="00000000" w:rsidRDefault="00000000" w:rsidRPr="00000000" w14:paraId="00000056">
      <w:pPr>
        <w:rPr>
          <w:rFonts w:ascii="Arial" w:cs="Arial" w:eastAsia="Arial" w:hAnsi="Arial"/>
        </w:rPr>
      </w:pPr>
      <w:r w:rsidDel="00000000" w:rsidR="00000000" w:rsidRPr="00000000">
        <w:rPr>
          <w:rtl w:val="0"/>
        </w:rPr>
      </w:r>
    </w:p>
    <w:p w:rsidR="00000000" w:rsidDel="00000000" w:rsidP="00000000" w:rsidRDefault="00000000" w:rsidRPr="00000000" w14:paraId="00000057">
      <w:pPr>
        <w:rPr>
          <w:rFonts w:ascii="Arial" w:cs="Arial" w:eastAsia="Arial" w:hAnsi="Arial"/>
        </w:rPr>
      </w:pPr>
      <w:r w:rsidDel="00000000" w:rsidR="00000000" w:rsidRPr="00000000">
        <w:rPr>
          <w:rFonts w:ascii="Arial" w:cs="Arial" w:eastAsia="Arial" w:hAnsi="Arial"/>
          <w:rtl w:val="0"/>
        </w:rPr>
        <w:t xml:space="preserve">Torous, J., Linardon, J., Goldberg, S.B., Sun, S., Bell, I., Nicholas, J., Hassan, L., Hua, Y., Milton, A. and Firth, J. (2025) ‘The evolving field of digital mental health: current evidence and implementation issues for smartphone apps, generative artificial intelligence, and virtual reality’, </w:t>
      </w:r>
      <w:r w:rsidDel="00000000" w:rsidR="00000000" w:rsidRPr="00000000">
        <w:rPr>
          <w:rFonts w:ascii="Arial" w:cs="Arial" w:eastAsia="Arial" w:hAnsi="Arial"/>
          <w:i w:val="1"/>
          <w:iCs w:val="1"/>
          <w:rtl w:val="0"/>
        </w:rPr>
        <w:t xml:space="preserve">World Psychiatry</w:t>
      </w:r>
      <w:r w:rsidDel="00000000" w:rsidR="00000000" w:rsidRPr="00000000">
        <w:rPr>
          <w:rFonts w:ascii="Arial" w:cs="Arial" w:eastAsia="Arial" w:hAnsi="Arial"/>
          <w:rtl w:val="0"/>
        </w:rPr>
        <w:t xml:space="preserve">, 24(2), pp. 156–174. Available at: </w:t>
      </w:r>
      <w:hyperlink r:id="rId19">
        <w:r w:rsidDel="00000000" w:rsidR="00000000" w:rsidRPr="00000000">
          <w:rPr>
            <w:rFonts w:ascii="Arial" w:cs="Arial" w:eastAsia="Arial" w:hAnsi="Arial"/>
            <w:color w:val="467886"/>
            <w:u w:val="single"/>
            <w:rtl w:val="0"/>
          </w:rPr>
          <w:t xml:space="preserve">https://doi.org/10.1002/wps.21299</w:t>
        </w:r>
      </w:hyperlink>
      <w:r w:rsidDel="00000000" w:rsidR="00000000" w:rsidRPr="00000000">
        <w:rPr>
          <w:rFonts w:ascii="Arial" w:cs="Arial" w:eastAsia="Arial" w:hAnsi="Arial"/>
          <w:rtl w:val="0"/>
        </w:rPr>
        <w:t xml:space="preserve"> (Accessed: 4 June 2026).</w:t>
      </w:r>
    </w:p>
    <w:p w:rsidR="00000000" w:rsidDel="00000000" w:rsidP="00000000" w:rsidRDefault="00000000" w:rsidRPr="00000000" w14:paraId="00000058">
      <w:pPr>
        <w:rPr>
          <w:rFonts w:ascii="Arial" w:cs="Arial" w:eastAsia="Arial" w:hAnsi="Arial"/>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SFUI-SemiboldItalic"/>
  <w:font w:name="Aptos"/>
  <w:font w:name="Play">
    <w:embedRegular w:fontKey="{00000000-0000-0000-0000-000000000000}" r:id="rId1" w:subsetted="0"/>
    <w:embedBold w:fontKey="{00000000-0000-0000-0000-000000000000}" r:id="rId2" w:subsetted="0"/>
  </w:font>
  <w:font w:name=".SF UI"/>
  <w:font w:name=".SFUI-Semibold"/>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1186/s12909-024-06593-7" TargetMode="External"/><Relationship Id="rId10" Type="http://schemas.openxmlformats.org/officeDocument/2006/relationships/hyperlink" Target="https://drive.google.com/file/d/15S8X974d986ri2r_HKqaD2gq7ZxXbYZJ/view?usp=drive_link" TargetMode="External"/><Relationship Id="rId13" Type="http://schemas.openxmlformats.org/officeDocument/2006/relationships/hyperlink" Target="https://www.ncbi.nlm.nih.gov/pmc/articles/PMC1489832/" TargetMode="External"/><Relationship Id="rId12" Type="http://schemas.openxmlformats.org/officeDocument/2006/relationships/hyperlink" Target="https://doi.org/10.1017/S0033291714000129"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5" Type="http://schemas.openxmlformats.org/officeDocument/2006/relationships/hyperlink" Target="https://www.england.nhs.uk/long-read/management-and-leadership-development/?utm_source=chatgpt.com" TargetMode="External"/><Relationship Id="rId14" Type="http://schemas.openxmlformats.org/officeDocument/2006/relationships/hyperlink" Target="https://www.gov.uk/government/news/managing-healthcare-easy-as-online-banking-with-revamped-nhs-app" TargetMode="External"/><Relationship Id="rId17" Type="http://schemas.openxmlformats.org/officeDocument/2006/relationships/hyperlink" Target="https://doi.org/10.1371/journal.pone.0317209" TargetMode="External"/><Relationship Id="rId16" Type="http://schemas.openxmlformats.org/officeDocument/2006/relationships/hyperlink" Target="https://doi.org/10.3390/ijerph20043407" TargetMode="External"/><Relationship Id="rId5" Type="http://schemas.openxmlformats.org/officeDocument/2006/relationships/styles" Target="styles.xml"/><Relationship Id="rId19" Type="http://schemas.openxmlformats.org/officeDocument/2006/relationships/hyperlink" Target="https://doi.org/10.1002/wps.21299" TargetMode="External"/><Relationship Id="rId6" Type="http://schemas.openxmlformats.org/officeDocument/2006/relationships/customXml" Target="../customXML/item1.xml"/><Relationship Id="rId18" Type="http://schemas.openxmlformats.org/officeDocument/2006/relationships/hyperlink" Target="https://doi.org/10.1186/s12913-026-14017-z" TargetMode="External"/><Relationship Id="rId7" Type="http://schemas.openxmlformats.org/officeDocument/2006/relationships/image" Target="media/image1.pn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2gdywpZ5ZAzZKyJinsOpkglFoiA==">CgMxLjA4AHIhMVJUTnhTOWZoc1J2cFlQdmE0Qk9MRDRnRTJaaTl5Mm85</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