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AI Acknowledgement - I used Microsoft Copilot to help me structure my presentation, and that no AI was used for the writing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 of this assignment. </w:t>
      </w:r>
    </w:p>
    <w:p w:rsidR="00000000" w:rsidDel="00000000" w:rsidP="00000000" w:rsidRDefault="00000000" w:rsidRPr="00000000" w14:paraId="00000002">
      <w:pPr>
        <w:rPr>
          <w:rFonts w:ascii="Lexend" w:cs="Lexend" w:eastAsia="Lexend" w:hAnsi="Lexend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Lexend" w:cs="Lexend" w:eastAsia="Lexend" w:hAnsi="Lexend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Lexend" w:cs="Lexend" w:eastAsia="Lexend" w:hAnsi="Lexend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Lexend" w:cs="Lexend" w:eastAsia="Lexend" w:hAnsi="Lexend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</w:rPr>
        <w:drawing>
          <wp:inline distB="114300" distT="114300" distL="114300" distR="114300">
            <wp:extent cx="2725738" cy="2049277"/>
            <wp:effectExtent b="0" l="0" r="0" t="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25738" cy="20492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</w:rPr>
        <w:drawing>
          <wp:inline distB="114300" distT="114300" distL="114300" distR="114300">
            <wp:extent cx="2710837" cy="2025569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10837" cy="20255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</w:rPr>
        <w:drawing>
          <wp:inline distB="114300" distT="114300" distL="114300" distR="114300">
            <wp:extent cx="2530776" cy="1890713"/>
            <wp:effectExtent b="0" l="0" r="0" t="0"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30776" cy="1890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</w:rPr>
        <w:drawing>
          <wp:inline distB="114300" distT="114300" distL="114300" distR="114300">
            <wp:extent cx="2652713" cy="2005709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2713" cy="20057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</w:rPr>
        <w:drawing>
          <wp:inline distB="114300" distT="114300" distL="114300" distR="114300">
            <wp:extent cx="2689028" cy="2014538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89028" cy="20145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</w:rPr>
        <w:drawing>
          <wp:inline distB="114300" distT="114300" distL="114300" distR="114300">
            <wp:extent cx="2757488" cy="2058924"/>
            <wp:effectExtent b="0" l="0" r="0" t="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57488" cy="20589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</w:rPr>
        <w:drawing>
          <wp:inline distB="114300" distT="114300" distL="114300" distR="114300">
            <wp:extent cx="2681288" cy="1984506"/>
            <wp:effectExtent b="0" l="0" r="0" t="0"/>
            <wp:docPr id="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81288" cy="19845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</w:rPr>
        <w:drawing>
          <wp:inline distB="114300" distT="114300" distL="114300" distR="114300">
            <wp:extent cx="2671763" cy="2001603"/>
            <wp:effectExtent b="0" l="0" r="0" t="0"/>
            <wp:docPr id="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71763" cy="20016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LINK TO POWERPOINT 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hyperlink r:id="rId1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highlight w:val="white"/>
            <w:u w:val="single"/>
            <w:rtl w:val="0"/>
          </w:rPr>
          <w:t xml:space="preserve">https://docs.google.com/presentation/d/1bqSWhNekmGMlRyItxRRBzmCqS56XUgs0/edit?usp=sharing&amp;ouid=112287189676877257520&amp;rtpof=true&amp;sd=true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All images were taken from ‘Stock Images’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REFERENCES FOR POWERPOINT AND SPEECH|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Jansson, A. (2021). </w:t>
      </w:r>
      <w:r w:rsidDel="00000000" w:rsidR="00000000" w:rsidRPr="00000000">
        <w:rPr>
          <w:rFonts w:ascii="Merriweather" w:cs="Merriweather" w:eastAsia="Merriweather" w:hAnsi="Merriweather"/>
          <w:i w:val="1"/>
          <w:iCs w:val="1"/>
          <w:sz w:val="20"/>
          <w:szCs w:val="20"/>
          <w:highlight w:val="white"/>
          <w:rtl w:val="0"/>
        </w:rPr>
        <w:t xml:space="preserve">From melancholia to depression: Disordered mood in nineteenth‑century psychiatry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(pp. 63–88).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Springer.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Klibansky, R., Panofsky, E., &amp; Saxl, F. (1964). </w:t>
      </w:r>
      <w:r w:rsidDel="00000000" w:rsidR="00000000" w:rsidRPr="00000000">
        <w:rPr>
          <w:rFonts w:ascii="Merriweather" w:cs="Merriweather" w:eastAsia="Merriweather" w:hAnsi="Merriweather"/>
          <w:i w:val="1"/>
          <w:iCs w:val="1"/>
          <w:sz w:val="20"/>
          <w:szCs w:val="20"/>
          <w:highlight w:val="white"/>
          <w:rtl w:val="0"/>
        </w:rPr>
        <w:t xml:space="preserve">Saturn and melancholy: Studies in the history of natural philosophy, religion and art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 (pp. 112–113). Thomas Nelson &amp; Sons.</w:t>
      </w:r>
    </w:p>
    <w:p w:rsidR="00000000" w:rsidDel="00000000" w:rsidP="00000000" w:rsidRDefault="00000000" w:rsidRPr="00000000" w14:paraId="0000003F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81817"/>
          <w:sz w:val="24"/>
          <w:szCs w:val="24"/>
          <w:highlight w:val="white"/>
          <w:rtl w:val="0"/>
        </w:rPr>
        <w:t xml:space="preserve">Kroll, J., &amp; Bachrach, B. (1984). Sin and mental illness in the Middle Ages.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81817"/>
          <w:sz w:val="24"/>
          <w:szCs w:val="24"/>
          <w:highlight w:val="white"/>
          <w:rtl w:val="0"/>
        </w:rPr>
        <w:t xml:space="preserve">Psychological Medicine</w:t>
      </w:r>
      <w:r w:rsidDel="00000000" w:rsidR="00000000" w:rsidRPr="00000000">
        <w:rPr>
          <w:rFonts w:ascii="Times New Roman" w:cs="Times New Roman" w:eastAsia="Times New Roman" w:hAnsi="Times New Roman"/>
          <w:color w:val="181817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81817"/>
          <w:sz w:val="24"/>
          <w:szCs w:val="24"/>
          <w:highlight w:val="white"/>
          <w:rtl w:val="0"/>
        </w:rPr>
        <w:t xml:space="preserve">14</w:t>
      </w:r>
      <w:r w:rsidDel="00000000" w:rsidR="00000000" w:rsidRPr="00000000">
        <w:rPr>
          <w:rFonts w:ascii="Times New Roman" w:cs="Times New Roman" w:eastAsia="Times New Roman" w:hAnsi="Times New Roman"/>
          <w:color w:val="181817"/>
          <w:sz w:val="24"/>
          <w:szCs w:val="24"/>
          <w:highlight w:val="white"/>
          <w:rtl w:val="0"/>
        </w:rPr>
        <w:t xml:space="preserve">(3), 507–514. doi:10.1017/S0033291700015105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Porter, R. (2002). </w:t>
      </w:r>
      <w:r w:rsidDel="00000000" w:rsidR="00000000" w:rsidRPr="00000000">
        <w:rPr>
          <w:rFonts w:ascii="Merriweather" w:cs="Merriweather" w:eastAsia="Merriweather" w:hAnsi="Merriweather"/>
          <w:i w:val="1"/>
          <w:iCs w:val="1"/>
          <w:sz w:val="20"/>
          <w:szCs w:val="20"/>
          <w:highlight w:val="white"/>
          <w:rtl w:val="0"/>
        </w:rPr>
        <w:t xml:space="preserve">Madness: A brief history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. Oxford University Press.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Tacchi, M. J., &amp; Scott, J. (2017). </w:t>
      </w:r>
      <w:r w:rsidDel="00000000" w:rsidR="00000000" w:rsidRPr="00000000">
        <w:rPr>
          <w:rFonts w:ascii="Merriweather" w:cs="Merriweather" w:eastAsia="Merriweather" w:hAnsi="Merriweather"/>
          <w:i w:val="1"/>
          <w:iCs w:val="1"/>
          <w:sz w:val="20"/>
          <w:szCs w:val="20"/>
          <w:highlight w:val="white"/>
          <w:rtl w:val="0"/>
        </w:rPr>
        <w:t xml:space="preserve">Depression: A very short introduction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highlight w:val="white"/>
          <w:rtl w:val="0"/>
        </w:rPr>
        <w:t xml:space="preserve">. Oxford University Press.</w:t>
      </w:r>
    </w:p>
    <w:p w:rsidR="00000000" w:rsidDel="00000000" w:rsidP="00000000" w:rsidRDefault="00000000" w:rsidRPr="00000000" w14:paraId="00000045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Merriweather" w:cs="Merriweather" w:eastAsia="Merriweather" w:hAnsi="Merriweather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Lexend">
    <w:embedRegular w:fontKey="{00000000-0000-0000-0000-000000000000}" r:id="rId1" w:subsetted="0"/>
    <w:embedBold w:fontKey="{00000000-0000-0000-0000-000000000000}" r:id="rId2" w:subsetted="0"/>
  </w:font>
  <w:font w:name="Merriweather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2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hyperlink" Target="https://docs.google.com/presentation/d/1bqSWhNekmGMlRyItxRRBzmCqS56XUgs0/edit?usp=sharing&amp;ouid=112287189676877257520&amp;rtpof=true&amp;sd=true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-regular.ttf"/><Relationship Id="rId2" Type="http://schemas.openxmlformats.org/officeDocument/2006/relationships/font" Target="fonts/Lexend-bold.ttf"/><Relationship Id="rId3" Type="http://schemas.openxmlformats.org/officeDocument/2006/relationships/font" Target="fonts/Merriweather-regular.ttf"/><Relationship Id="rId4" Type="http://schemas.openxmlformats.org/officeDocument/2006/relationships/font" Target="fonts/Merriweather-bold.ttf"/><Relationship Id="rId5" Type="http://schemas.openxmlformats.org/officeDocument/2006/relationships/font" Target="fonts/Merriweather-italic.ttf"/><Relationship Id="rId6" Type="http://schemas.openxmlformats.org/officeDocument/2006/relationships/font" Target="fonts/Merriweather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