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217569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224D6">
              <w:rPr>
                <w:rFonts w:ascii="Times New Roman" w:hAnsi="Times New Roman" w:cs="Times New Roman"/>
                <w:b/>
                <w:color w:val="auto"/>
                <w:sz w:val="48"/>
              </w:rPr>
              <w:t xml:space="preserve">Zara Morgan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02114527" w14:textId="0C0E9C14" w:rsidR="003C722F" w:rsidRPr="003C722F" w:rsidRDefault="009C337F" w:rsidP="005D3F07">
            <w:pPr>
              <w:overflowPunct/>
              <w:autoSpaceDE/>
              <w:autoSpaceDN/>
              <w:adjustRightInd/>
              <w:ind w:right="-957"/>
              <w:textAlignment w:val="auto"/>
            </w:pPr>
            <w:r>
              <w:rPr>
                <w:rFonts w:ascii="Times New Roman" w:hAnsi="Times New Roman" w:cs="Times New Roman"/>
                <w:b/>
                <w:color w:val="auto"/>
                <w:sz w:val="48"/>
              </w:rPr>
              <w:t>Email address:</w:t>
            </w:r>
            <w:r w:rsidR="003C722F">
              <w:rPr>
                <w:rFonts w:ascii="Times New Roman" w:hAnsi="Times New Roman" w:cs="Times New Roman"/>
                <w:b/>
                <w:color w:val="auto"/>
                <w:sz w:val="48"/>
              </w:rPr>
              <w:t xml:space="preserve"> zara.morgan@swansea.gov.uk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AF3079F" w:rsidR="00F927A1" w:rsidRPr="00CB5B88" w:rsidRDefault="0085230E" w:rsidP="005D3F07">
            <w:pPr>
              <w:overflowPunct/>
              <w:autoSpaceDE/>
              <w:autoSpaceDN/>
              <w:adjustRightInd/>
              <w:ind w:right="-957"/>
              <w:textAlignment w:val="auto"/>
              <w:rPr>
                <w:rFonts w:ascii="Times New Roman" w:hAnsi="Times New Roman" w:cs="Times New Roman"/>
                <w:b/>
                <w:color w:val="auto"/>
                <w:sz w:val="40"/>
                <w:szCs w:val="16"/>
              </w:rPr>
            </w:pPr>
            <w:r w:rsidRPr="00CB5B88">
              <w:rPr>
                <w:rFonts w:ascii="Times New Roman" w:hAnsi="Times New Roman" w:cs="Times New Roman"/>
                <w:b/>
                <w:color w:val="auto"/>
                <w:sz w:val="40"/>
                <w:szCs w:val="16"/>
              </w:rPr>
              <w:t>Learner’s University Registration</w:t>
            </w:r>
            <w:r w:rsidR="00F927A1" w:rsidRPr="00CB5B88">
              <w:rPr>
                <w:rFonts w:ascii="Times New Roman" w:hAnsi="Times New Roman" w:cs="Times New Roman"/>
                <w:b/>
                <w:color w:val="auto"/>
                <w:sz w:val="40"/>
                <w:szCs w:val="16"/>
              </w:rPr>
              <w:t xml:space="preserve"> Number:</w:t>
            </w:r>
            <w:r w:rsidR="00CB5B88" w:rsidRPr="00CB5B88">
              <w:rPr>
                <w:rFonts w:ascii="Times New Roman" w:hAnsi="Times New Roman" w:cs="Times New Roman"/>
                <w:b/>
                <w:color w:val="auto"/>
                <w:sz w:val="40"/>
                <w:szCs w:val="16"/>
              </w:rPr>
              <w:t xml:space="preserve"> 0300288</w:t>
            </w:r>
          </w:p>
          <w:p w14:paraId="622FD17A" w14:textId="77777777" w:rsidR="0085230E" w:rsidRPr="00CB5B88" w:rsidRDefault="0085230E" w:rsidP="005D3F07">
            <w:pPr>
              <w:overflowPunct/>
              <w:autoSpaceDE/>
              <w:autoSpaceDN/>
              <w:adjustRightInd/>
              <w:ind w:right="-957"/>
              <w:textAlignment w:val="auto"/>
              <w:rPr>
                <w:rFonts w:ascii="Times New Roman" w:hAnsi="Times New Roman" w:cs="Times New Roman"/>
                <w:b/>
                <w:color w:val="auto"/>
                <w:sz w:val="40"/>
                <w:szCs w:val="16"/>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50DAD9A" w14:textId="77777777" w:rsidR="0058530B" w:rsidRDefault="0058530B" w:rsidP="0058530B">
      <w:pPr>
        <w:keepNext/>
        <w:spacing w:before="240" w:after="60"/>
        <w:jc w:val="both"/>
        <w:rPr>
          <w:b/>
          <w:sz w:val="28"/>
          <w:szCs w:val="28"/>
        </w:rPr>
      </w:pPr>
      <w:r>
        <w:rPr>
          <w:b/>
          <w:sz w:val="28"/>
          <w:szCs w:val="28"/>
        </w:rPr>
        <w:t>Reference List</w:t>
      </w:r>
    </w:p>
    <w:p w14:paraId="78C99C99" w14:textId="77777777" w:rsidR="0058530B" w:rsidRDefault="0058530B" w:rsidP="0058530B">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9898780" w14:textId="77777777" w:rsidR="0058530B" w:rsidRDefault="0058530B" w:rsidP="0058530B">
      <w:pPr>
        <w:jc w:val="both"/>
        <w:rPr>
          <w:b/>
          <w:bCs/>
          <w:sz w:val="24"/>
          <w:szCs w:val="24"/>
        </w:rPr>
      </w:pPr>
    </w:p>
    <w:p w14:paraId="5C202552" w14:textId="033C6AE5" w:rsidR="0058530B" w:rsidRPr="00EA4D6F" w:rsidRDefault="0058530B" w:rsidP="0058530B">
      <w:pPr>
        <w:rPr>
          <w:b/>
          <w:bCs/>
          <w:sz w:val="24"/>
          <w:szCs w:val="24"/>
        </w:rPr>
      </w:pPr>
      <w:r w:rsidRPr="00EA4D6F">
        <w:rPr>
          <w:b/>
          <w:bCs/>
          <w:sz w:val="24"/>
          <w:szCs w:val="24"/>
        </w:rPr>
        <w:t xml:space="preserve">References- </w:t>
      </w:r>
      <w:r w:rsidR="00051F3B">
        <w:rPr>
          <w:b/>
          <w:bCs/>
          <w:sz w:val="24"/>
          <w:szCs w:val="24"/>
        </w:rPr>
        <w:t xml:space="preserve">Task </w:t>
      </w:r>
      <w:r w:rsidRPr="00EA4D6F">
        <w:rPr>
          <w:b/>
          <w:bCs/>
          <w:sz w:val="24"/>
          <w:szCs w:val="24"/>
        </w:rPr>
        <w:t>1a</w:t>
      </w:r>
    </w:p>
    <w:p w14:paraId="5844A33D" w14:textId="77777777" w:rsidR="0058530B" w:rsidRPr="00EA4D6F" w:rsidRDefault="0058530B" w:rsidP="0058530B">
      <w:pPr>
        <w:rPr>
          <w:b/>
          <w:bCs/>
          <w:sz w:val="24"/>
          <w:szCs w:val="24"/>
        </w:rPr>
      </w:pPr>
    </w:p>
    <w:p w14:paraId="5C373CF1" w14:textId="77777777" w:rsidR="0058530B" w:rsidRPr="00EA4D6F" w:rsidRDefault="0058530B" w:rsidP="0058530B">
      <w:pPr>
        <w:rPr>
          <w:b/>
          <w:bCs/>
          <w:sz w:val="24"/>
          <w:szCs w:val="24"/>
        </w:rPr>
      </w:pPr>
      <w:r w:rsidRPr="00EA4D6F">
        <w:rPr>
          <w:sz w:val="24"/>
          <w:szCs w:val="24"/>
        </w:rPr>
        <w:t xml:space="preserve">Brandon, M., Bailey, S., </w:t>
      </w:r>
      <w:proofErr w:type="spellStart"/>
      <w:r w:rsidRPr="00EA4D6F">
        <w:rPr>
          <w:sz w:val="24"/>
          <w:szCs w:val="24"/>
        </w:rPr>
        <w:t>Belderson</w:t>
      </w:r>
      <w:proofErr w:type="spellEnd"/>
      <w:r w:rsidRPr="00EA4D6F">
        <w:rPr>
          <w:sz w:val="24"/>
          <w:szCs w:val="24"/>
        </w:rPr>
        <w:t xml:space="preserve">, P., Warren, C., Gardener, R. and Dodsworth, J., 2009. </w:t>
      </w:r>
      <w:r w:rsidRPr="00EA4D6F">
        <w:rPr>
          <w:i/>
          <w:iCs/>
          <w:sz w:val="24"/>
          <w:szCs w:val="24"/>
        </w:rPr>
        <w:t>Understanding Serious Case Reviews and their impact: Department for Children, Schools and Families</w:t>
      </w:r>
      <w:r w:rsidRPr="00EA4D6F">
        <w:rPr>
          <w:sz w:val="24"/>
          <w:szCs w:val="24"/>
        </w:rPr>
        <w:t>. London: Department for Children, Schools and Families.</w:t>
      </w:r>
    </w:p>
    <w:p w14:paraId="4E29C4F6" w14:textId="77777777" w:rsidR="0058530B" w:rsidRPr="00EA4D6F" w:rsidRDefault="0058530B" w:rsidP="0058530B">
      <w:pPr>
        <w:rPr>
          <w:sz w:val="24"/>
          <w:szCs w:val="24"/>
        </w:rPr>
      </w:pPr>
    </w:p>
    <w:p w14:paraId="33760249" w14:textId="77777777" w:rsidR="0058530B" w:rsidRPr="00EA4D6F" w:rsidRDefault="0058530B" w:rsidP="0058530B">
      <w:pPr>
        <w:rPr>
          <w:sz w:val="24"/>
          <w:szCs w:val="24"/>
        </w:rPr>
      </w:pPr>
      <w:r w:rsidRPr="00EA4D6F">
        <w:rPr>
          <w:sz w:val="24"/>
          <w:szCs w:val="24"/>
        </w:rPr>
        <w:t xml:space="preserve">Dyke, C., 2023. </w:t>
      </w:r>
      <w:r w:rsidRPr="00EA4D6F">
        <w:rPr>
          <w:i/>
          <w:iCs/>
          <w:sz w:val="24"/>
          <w:szCs w:val="24"/>
        </w:rPr>
        <w:t>Writing Analytical Assessments in Social Work</w:t>
      </w:r>
      <w:r w:rsidRPr="00EA4D6F">
        <w:rPr>
          <w:sz w:val="24"/>
          <w:szCs w:val="24"/>
        </w:rPr>
        <w:t xml:space="preserve">. 3rd ed. London: Routledge. </w:t>
      </w:r>
      <w:hyperlink r:id="rId11" w:history="1">
        <w:r w:rsidRPr="00EA4D6F">
          <w:rPr>
            <w:rStyle w:val="Hyperlink"/>
            <w:sz w:val="24"/>
            <w:szCs w:val="24"/>
          </w:rPr>
          <w:t>https://doi.org/10.4324/9781041057970</w:t>
        </w:r>
      </w:hyperlink>
    </w:p>
    <w:p w14:paraId="51427A18" w14:textId="77777777" w:rsidR="0058530B" w:rsidRPr="00EA4D6F" w:rsidRDefault="0058530B" w:rsidP="0058530B">
      <w:pPr>
        <w:rPr>
          <w:sz w:val="24"/>
          <w:szCs w:val="24"/>
        </w:rPr>
      </w:pPr>
    </w:p>
    <w:p w14:paraId="7E52C0CF" w14:textId="77777777" w:rsidR="0058530B" w:rsidRPr="00EA4D6F" w:rsidRDefault="0058530B" w:rsidP="0058530B">
      <w:pPr>
        <w:rPr>
          <w:sz w:val="24"/>
          <w:szCs w:val="24"/>
        </w:rPr>
      </w:pPr>
      <w:r w:rsidRPr="00EA4D6F">
        <w:rPr>
          <w:sz w:val="24"/>
          <w:szCs w:val="24"/>
        </w:rPr>
        <w:t xml:space="preserve">Evans, M. &amp; Harvey, D. (2022) </w:t>
      </w:r>
      <w:r w:rsidRPr="00EA4D6F">
        <w:rPr>
          <w:i/>
          <w:iCs/>
          <w:sz w:val="24"/>
          <w:szCs w:val="24"/>
        </w:rPr>
        <w:t>Social Work Law: Applying the Law in Practice</w:t>
      </w:r>
      <w:r w:rsidRPr="00EA4D6F">
        <w:rPr>
          <w:sz w:val="24"/>
          <w:szCs w:val="24"/>
        </w:rPr>
        <w:t xml:space="preserve">. 1st </w:t>
      </w:r>
      <w:proofErr w:type="spellStart"/>
      <w:r w:rsidRPr="00EA4D6F">
        <w:rPr>
          <w:sz w:val="24"/>
          <w:szCs w:val="24"/>
        </w:rPr>
        <w:t>edn</w:t>
      </w:r>
      <w:proofErr w:type="spellEnd"/>
      <w:r w:rsidRPr="00EA4D6F">
        <w:rPr>
          <w:sz w:val="24"/>
          <w:szCs w:val="24"/>
        </w:rPr>
        <w:t xml:space="preserve">. London: Critical Publishing. Available at: </w:t>
      </w:r>
      <w:hyperlink r:id="rId12" w:tgtFrame="_blank" w:history="1">
        <w:r w:rsidRPr="00EA4D6F">
          <w:rPr>
            <w:rStyle w:val="Hyperlink"/>
            <w:sz w:val="24"/>
            <w:szCs w:val="24"/>
          </w:rPr>
          <w:t>https://www.taylorfrancis.com/books/mono/10.4324/9781041056935/social-work-law-denise-harvey-michelle-evans</w:t>
        </w:r>
      </w:hyperlink>
      <w:r w:rsidRPr="00EA4D6F">
        <w:rPr>
          <w:sz w:val="24"/>
          <w:szCs w:val="24"/>
        </w:rPr>
        <w:t xml:space="preserve"> (Accessed: 7 October 2025).</w:t>
      </w:r>
    </w:p>
    <w:p w14:paraId="47BBBA16" w14:textId="77777777" w:rsidR="0058530B" w:rsidRPr="00EA4D6F" w:rsidRDefault="0058530B" w:rsidP="0058530B">
      <w:pPr>
        <w:rPr>
          <w:sz w:val="24"/>
          <w:szCs w:val="24"/>
        </w:rPr>
      </w:pPr>
    </w:p>
    <w:p w14:paraId="07DEC59F" w14:textId="77777777" w:rsidR="0058530B" w:rsidRPr="00EA4D6F" w:rsidRDefault="0058530B" w:rsidP="0058530B">
      <w:pPr>
        <w:rPr>
          <w:sz w:val="24"/>
          <w:szCs w:val="24"/>
        </w:rPr>
      </w:pPr>
      <w:r w:rsidRPr="00EA4D6F">
        <w:rPr>
          <w:sz w:val="24"/>
          <w:szCs w:val="24"/>
        </w:rPr>
        <w:t xml:space="preserve">Helm, D., 2011. Judgements or assumptions? The role of analysis in assessing children and young people’s needs. </w:t>
      </w:r>
      <w:r w:rsidRPr="00EA4D6F">
        <w:rPr>
          <w:i/>
          <w:iCs/>
          <w:sz w:val="24"/>
          <w:szCs w:val="24"/>
        </w:rPr>
        <w:t>British Journal of Social Work</w:t>
      </w:r>
      <w:r w:rsidRPr="00EA4D6F">
        <w:rPr>
          <w:sz w:val="24"/>
          <w:szCs w:val="24"/>
        </w:rPr>
        <w:t>, 41(5), pp.894–911.https://doi.org/10.1093/</w:t>
      </w:r>
      <w:proofErr w:type="spellStart"/>
      <w:r w:rsidRPr="00EA4D6F">
        <w:rPr>
          <w:sz w:val="24"/>
          <w:szCs w:val="24"/>
        </w:rPr>
        <w:t>bjsw</w:t>
      </w:r>
      <w:proofErr w:type="spellEnd"/>
      <w:r w:rsidRPr="00EA4D6F">
        <w:rPr>
          <w:sz w:val="24"/>
          <w:szCs w:val="24"/>
        </w:rPr>
        <w:t>/bcr096</w:t>
      </w:r>
    </w:p>
    <w:p w14:paraId="08502042" w14:textId="77777777" w:rsidR="0058530B" w:rsidRPr="00EA4D6F" w:rsidRDefault="0058530B" w:rsidP="0058530B">
      <w:pPr>
        <w:rPr>
          <w:sz w:val="24"/>
          <w:szCs w:val="24"/>
        </w:rPr>
      </w:pPr>
    </w:p>
    <w:p w14:paraId="04F24000" w14:textId="77777777" w:rsidR="0058530B" w:rsidRPr="00EA4D6F" w:rsidRDefault="0058530B" w:rsidP="0058530B">
      <w:pPr>
        <w:rPr>
          <w:sz w:val="24"/>
          <w:szCs w:val="24"/>
        </w:rPr>
      </w:pPr>
      <w:r w:rsidRPr="00EA4D6F">
        <w:rPr>
          <w:sz w:val="24"/>
          <w:szCs w:val="24"/>
        </w:rPr>
        <w:t xml:space="preserve">Jasper, M., 2013. </w:t>
      </w:r>
      <w:r w:rsidRPr="00EA4D6F">
        <w:rPr>
          <w:i/>
          <w:iCs/>
          <w:sz w:val="24"/>
          <w:szCs w:val="24"/>
        </w:rPr>
        <w:t>Beginning Reflective Practice</w:t>
      </w:r>
      <w:r w:rsidRPr="00EA4D6F">
        <w:rPr>
          <w:sz w:val="24"/>
          <w:szCs w:val="24"/>
        </w:rPr>
        <w:t>. 2nd ed. Andover: Cengage Learning.</w:t>
      </w:r>
    </w:p>
    <w:p w14:paraId="5C8DE011" w14:textId="77777777" w:rsidR="0058530B" w:rsidRPr="00EA4D6F" w:rsidRDefault="0058530B" w:rsidP="0058530B">
      <w:pPr>
        <w:rPr>
          <w:sz w:val="24"/>
          <w:szCs w:val="24"/>
        </w:rPr>
      </w:pPr>
    </w:p>
    <w:p w14:paraId="49D9E27D" w14:textId="77777777" w:rsidR="0058530B" w:rsidRPr="00EA4D6F" w:rsidRDefault="0058530B" w:rsidP="0058530B">
      <w:pPr>
        <w:rPr>
          <w:sz w:val="24"/>
          <w:szCs w:val="24"/>
        </w:rPr>
      </w:pPr>
      <w:r w:rsidRPr="00EA4D6F">
        <w:rPr>
          <w:sz w:val="24"/>
          <w:szCs w:val="24"/>
        </w:rPr>
        <w:t xml:space="preserve">NSPCC Learning (2023) </w:t>
      </w:r>
      <w:r w:rsidRPr="00EA4D6F">
        <w:rPr>
          <w:i/>
          <w:iCs/>
          <w:sz w:val="24"/>
          <w:szCs w:val="24"/>
        </w:rPr>
        <w:t>Working together to safeguard children 2023: summary of changes</w:t>
      </w:r>
      <w:r w:rsidRPr="00EA4D6F">
        <w:rPr>
          <w:sz w:val="24"/>
          <w:szCs w:val="24"/>
        </w:rPr>
        <w:t xml:space="preserve">. Available at: </w:t>
      </w:r>
      <w:hyperlink r:id="rId13" w:tgtFrame="_blank" w:history="1">
        <w:r w:rsidRPr="00EA4D6F">
          <w:rPr>
            <w:rStyle w:val="Hyperlink"/>
            <w:sz w:val="24"/>
            <w:szCs w:val="24"/>
          </w:rPr>
          <w:t>https://learning.nspcc.org.uk/research-resources/2023/working-together-to-safeguard-children-2023-summary-of-changes</w:t>
        </w:r>
      </w:hyperlink>
      <w:r w:rsidRPr="00EA4D6F">
        <w:rPr>
          <w:sz w:val="24"/>
          <w:szCs w:val="24"/>
        </w:rPr>
        <w:t xml:space="preserve"> (Accessed: 7 October 2025)</w:t>
      </w:r>
    </w:p>
    <w:p w14:paraId="46D2A7FB" w14:textId="77777777" w:rsidR="0058530B" w:rsidRPr="00EA4D6F" w:rsidRDefault="0058530B" w:rsidP="0058530B">
      <w:pPr>
        <w:rPr>
          <w:sz w:val="24"/>
          <w:szCs w:val="24"/>
        </w:rPr>
      </w:pPr>
    </w:p>
    <w:p w14:paraId="1A832878" w14:textId="77777777" w:rsidR="0058530B" w:rsidRPr="00EA4D6F" w:rsidRDefault="0058530B" w:rsidP="0058530B">
      <w:pPr>
        <w:rPr>
          <w:sz w:val="24"/>
          <w:szCs w:val="24"/>
        </w:rPr>
      </w:pPr>
      <w:r w:rsidRPr="00EA4D6F">
        <w:rPr>
          <w:sz w:val="24"/>
          <w:szCs w:val="24"/>
        </w:rPr>
        <w:t xml:space="preserve">Ravalier, J.M. et al., 2023. A rapid review of reflective supervision in social work. </w:t>
      </w:r>
      <w:r w:rsidRPr="00EA4D6F">
        <w:rPr>
          <w:i/>
          <w:iCs/>
          <w:sz w:val="24"/>
          <w:szCs w:val="24"/>
        </w:rPr>
        <w:t>The British Journal of Social Work</w:t>
      </w:r>
      <w:r w:rsidRPr="00EA4D6F">
        <w:rPr>
          <w:sz w:val="24"/>
          <w:szCs w:val="24"/>
        </w:rPr>
        <w:t xml:space="preserve">, 53(4), pp.1945–1962. </w:t>
      </w:r>
      <w:hyperlink r:id="rId14" w:history="1">
        <w:r w:rsidRPr="00EA4D6F">
          <w:rPr>
            <w:rStyle w:val="Hyperlink"/>
            <w:sz w:val="24"/>
            <w:szCs w:val="24"/>
          </w:rPr>
          <w:t>https://doi.org/10.1093/bjsw/bcac223</w:t>
        </w:r>
      </w:hyperlink>
    </w:p>
    <w:p w14:paraId="34B446BB" w14:textId="77777777" w:rsidR="0058530B" w:rsidRPr="00EA4D6F" w:rsidRDefault="0058530B" w:rsidP="0058530B">
      <w:pPr>
        <w:rPr>
          <w:sz w:val="24"/>
          <w:szCs w:val="24"/>
        </w:rPr>
      </w:pPr>
    </w:p>
    <w:p w14:paraId="030A4430" w14:textId="77777777" w:rsidR="0058530B" w:rsidRPr="00EA4D6F" w:rsidRDefault="0058530B" w:rsidP="0058530B">
      <w:pPr>
        <w:rPr>
          <w:sz w:val="24"/>
          <w:szCs w:val="24"/>
        </w:rPr>
      </w:pPr>
      <w:r w:rsidRPr="00EA4D6F">
        <w:rPr>
          <w:sz w:val="24"/>
          <w:szCs w:val="24"/>
        </w:rPr>
        <w:t xml:space="preserve">Social Care Wales (2025) </w:t>
      </w:r>
      <w:r w:rsidRPr="00EA4D6F">
        <w:rPr>
          <w:i/>
          <w:iCs/>
          <w:sz w:val="24"/>
          <w:szCs w:val="24"/>
        </w:rPr>
        <w:t>Assessment, analysis and decision making</w:t>
      </w:r>
      <w:r w:rsidRPr="00EA4D6F">
        <w:rPr>
          <w:sz w:val="24"/>
          <w:szCs w:val="24"/>
        </w:rPr>
        <w:t xml:space="preserve">. Available at: </w:t>
      </w:r>
      <w:hyperlink r:id="rId15" w:tgtFrame="_blank" w:history="1">
        <w:r w:rsidRPr="00EA4D6F">
          <w:rPr>
            <w:rStyle w:val="Hyperlink"/>
            <w:sz w:val="24"/>
            <w:szCs w:val="24"/>
          </w:rPr>
          <w:t>https://socialcare.wales/social-work-resources-library/assessment-analysis-and-decision-making</w:t>
        </w:r>
      </w:hyperlink>
      <w:r w:rsidRPr="00EA4D6F">
        <w:rPr>
          <w:sz w:val="24"/>
          <w:szCs w:val="24"/>
        </w:rPr>
        <w:t xml:space="preserve"> (Accessed: 7 October 2025).</w:t>
      </w:r>
    </w:p>
    <w:p w14:paraId="3BE68728" w14:textId="77777777" w:rsidR="0058530B" w:rsidRPr="00EA4D6F" w:rsidRDefault="0058530B" w:rsidP="0058530B">
      <w:pPr>
        <w:rPr>
          <w:sz w:val="24"/>
          <w:szCs w:val="24"/>
        </w:rPr>
      </w:pPr>
    </w:p>
    <w:p w14:paraId="15DBD956" w14:textId="77777777" w:rsidR="0058530B" w:rsidRPr="00EA4D6F" w:rsidRDefault="0058530B" w:rsidP="0058530B">
      <w:pPr>
        <w:rPr>
          <w:sz w:val="24"/>
          <w:szCs w:val="24"/>
        </w:rPr>
      </w:pPr>
      <w:r w:rsidRPr="00EA4D6F">
        <w:rPr>
          <w:sz w:val="24"/>
          <w:szCs w:val="24"/>
        </w:rPr>
        <w:lastRenderedPageBreak/>
        <w:t xml:space="preserve">Symonds, J., Miles, C., Steel, M., Porter, S. and Williams, V., 2020. Making person-centred assessments. </w:t>
      </w:r>
      <w:r w:rsidRPr="00EA4D6F">
        <w:rPr>
          <w:i/>
          <w:iCs/>
          <w:sz w:val="24"/>
          <w:szCs w:val="24"/>
        </w:rPr>
        <w:t>Journal of Social Work</w:t>
      </w:r>
      <w:r w:rsidRPr="00EA4D6F">
        <w:rPr>
          <w:sz w:val="24"/>
          <w:szCs w:val="24"/>
        </w:rPr>
        <w:t xml:space="preserve">, 20(4), pp.431–447. </w:t>
      </w:r>
      <w:hyperlink r:id="rId16" w:history="1">
        <w:r w:rsidRPr="00EA4D6F">
          <w:rPr>
            <w:rStyle w:val="Hyperlink"/>
            <w:sz w:val="24"/>
            <w:szCs w:val="24"/>
          </w:rPr>
          <w:t>https://doi.org/10.1177/1468017319830593</w:t>
        </w:r>
      </w:hyperlink>
    </w:p>
    <w:p w14:paraId="2E2D6D85" w14:textId="77777777" w:rsidR="0058530B" w:rsidRPr="00EA4D6F" w:rsidRDefault="0058530B" w:rsidP="0058530B">
      <w:pPr>
        <w:rPr>
          <w:sz w:val="24"/>
          <w:szCs w:val="24"/>
        </w:rPr>
      </w:pPr>
    </w:p>
    <w:p w14:paraId="1FCF406A" w14:textId="77777777" w:rsidR="0058530B" w:rsidRPr="00EA4D6F" w:rsidRDefault="0058530B" w:rsidP="0058530B">
      <w:pPr>
        <w:rPr>
          <w:sz w:val="24"/>
          <w:szCs w:val="24"/>
        </w:rPr>
      </w:pPr>
      <w:r w:rsidRPr="00EA4D6F">
        <w:rPr>
          <w:sz w:val="24"/>
          <w:szCs w:val="24"/>
        </w:rPr>
        <w:t xml:space="preserve">Tang, W.-G. &amp; Vandenberghe, C. (2021) </w:t>
      </w:r>
      <w:r w:rsidRPr="00EA4D6F">
        <w:rPr>
          <w:i/>
          <w:iCs/>
          <w:sz w:val="24"/>
          <w:szCs w:val="24"/>
        </w:rPr>
        <w:t>Role overload and work performance: The role of psychological strain and leader–member exchange</w:t>
      </w:r>
      <w:r w:rsidRPr="00EA4D6F">
        <w:rPr>
          <w:sz w:val="24"/>
          <w:szCs w:val="24"/>
        </w:rPr>
        <w:t xml:space="preserve">. </w:t>
      </w:r>
      <w:r w:rsidRPr="00EA4D6F">
        <w:rPr>
          <w:i/>
          <w:iCs/>
          <w:sz w:val="24"/>
          <w:szCs w:val="24"/>
        </w:rPr>
        <w:t>Frontiers in Psychology</w:t>
      </w:r>
      <w:r w:rsidRPr="00EA4D6F">
        <w:rPr>
          <w:sz w:val="24"/>
          <w:szCs w:val="24"/>
        </w:rPr>
        <w:t>, 12, Article 691207. Available at: https://doi.org/10.3389/fpsyg.2021.691207 (Accessed: 7 October 2025)</w:t>
      </w:r>
    </w:p>
    <w:p w14:paraId="6CE6E5B7" w14:textId="77777777" w:rsidR="0058530B" w:rsidRPr="00EA4D6F" w:rsidRDefault="0058530B" w:rsidP="0058530B">
      <w:pPr>
        <w:rPr>
          <w:sz w:val="24"/>
          <w:szCs w:val="24"/>
        </w:rPr>
      </w:pPr>
    </w:p>
    <w:p w14:paraId="71079B0F" w14:textId="77777777" w:rsidR="0058530B" w:rsidRPr="00EA4D6F" w:rsidRDefault="0058530B" w:rsidP="0058530B">
      <w:pPr>
        <w:rPr>
          <w:sz w:val="24"/>
          <w:szCs w:val="24"/>
        </w:rPr>
      </w:pPr>
      <w:r w:rsidRPr="00EA4D6F">
        <w:rPr>
          <w:sz w:val="24"/>
          <w:szCs w:val="24"/>
        </w:rPr>
        <w:t xml:space="preserve">Wales Centre for Public Policy (WCPP), 2021. </w:t>
      </w:r>
      <w:r w:rsidRPr="00EA4D6F">
        <w:rPr>
          <w:i/>
          <w:iCs/>
          <w:sz w:val="24"/>
          <w:szCs w:val="24"/>
        </w:rPr>
        <w:t>Multi-agency working and outcomes for children looked after: Evidence review</w:t>
      </w:r>
      <w:r w:rsidRPr="00EA4D6F">
        <w:rPr>
          <w:sz w:val="24"/>
          <w:szCs w:val="24"/>
        </w:rPr>
        <w:t xml:space="preserve">. [pdf] Available at: </w:t>
      </w:r>
      <w:hyperlink r:id="rId17" w:tgtFrame="_blank" w:history="1">
        <w:r w:rsidRPr="00EA4D6F">
          <w:rPr>
            <w:rStyle w:val="Hyperlink"/>
            <w:sz w:val="24"/>
            <w:szCs w:val="24"/>
          </w:rPr>
          <w:t>https://www.wcpp.org.uk/wp-content/uploads/2021/09/Multi-agency-working-and-outcomes-for-children-looked-after-Evidence-review.pdf</w:t>
        </w:r>
      </w:hyperlink>
      <w:r w:rsidRPr="00EA4D6F">
        <w:rPr>
          <w:sz w:val="24"/>
          <w:szCs w:val="24"/>
        </w:rPr>
        <w:t xml:space="preserve"> [Accessed 6 Oct. 2025].</w:t>
      </w:r>
    </w:p>
    <w:p w14:paraId="4BD478C6" w14:textId="77777777" w:rsidR="0058530B" w:rsidRPr="00EA4D6F" w:rsidRDefault="0058530B" w:rsidP="0058530B">
      <w:pPr>
        <w:rPr>
          <w:sz w:val="24"/>
          <w:szCs w:val="24"/>
        </w:rPr>
      </w:pPr>
    </w:p>
    <w:p w14:paraId="312A142E" w14:textId="77777777" w:rsidR="0058530B" w:rsidRPr="00EA4D6F" w:rsidRDefault="0058530B" w:rsidP="0058530B">
      <w:pPr>
        <w:rPr>
          <w:sz w:val="24"/>
          <w:szCs w:val="24"/>
        </w:rPr>
      </w:pPr>
      <w:r w:rsidRPr="00EA4D6F">
        <w:rPr>
          <w:sz w:val="24"/>
          <w:szCs w:val="24"/>
        </w:rPr>
        <w:t xml:space="preserve">Walton, R., 1976. </w:t>
      </w:r>
      <w:r w:rsidRPr="00EA4D6F">
        <w:rPr>
          <w:i/>
          <w:iCs/>
          <w:sz w:val="24"/>
          <w:szCs w:val="24"/>
        </w:rPr>
        <w:t>The best interests of the child</w:t>
      </w:r>
      <w:r w:rsidRPr="00EA4D6F">
        <w:rPr>
          <w:sz w:val="24"/>
          <w:szCs w:val="24"/>
        </w:rPr>
        <w:t>. The British Journal of Social Work, 6(3), pp.307–313. https://doi.org/10.1093/oxfordjournals.bjsw.a056730</w:t>
      </w:r>
    </w:p>
    <w:p w14:paraId="3654F0CB" w14:textId="77777777" w:rsidR="0058530B" w:rsidRPr="00EA4D6F" w:rsidRDefault="0058530B" w:rsidP="0058530B">
      <w:pPr>
        <w:rPr>
          <w:b/>
          <w:bCs/>
          <w:sz w:val="24"/>
          <w:szCs w:val="24"/>
        </w:rPr>
      </w:pPr>
    </w:p>
    <w:p w14:paraId="73A66B8B" w14:textId="77777777" w:rsidR="0058530B" w:rsidRPr="00EA4D6F" w:rsidRDefault="0058530B" w:rsidP="0058530B">
      <w:pPr>
        <w:rPr>
          <w:b/>
          <w:bCs/>
          <w:sz w:val="24"/>
          <w:szCs w:val="24"/>
        </w:rPr>
      </w:pPr>
    </w:p>
    <w:p w14:paraId="52789E7E" w14:textId="61B293EF" w:rsidR="0058530B" w:rsidRPr="00EA4D6F" w:rsidRDefault="0058530B" w:rsidP="0058530B">
      <w:pPr>
        <w:rPr>
          <w:b/>
          <w:bCs/>
          <w:sz w:val="24"/>
          <w:szCs w:val="24"/>
        </w:rPr>
      </w:pPr>
      <w:r w:rsidRPr="00EA4D6F">
        <w:rPr>
          <w:b/>
          <w:bCs/>
          <w:sz w:val="24"/>
          <w:szCs w:val="24"/>
        </w:rPr>
        <w:t xml:space="preserve">References- </w:t>
      </w:r>
      <w:r w:rsidR="00051F3B">
        <w:rPr>
          <w:b/>
          <w:bCs/>
          <w:sz w:val="24"/>
          <w:szCs w:val="24"/>
        </w:rPr>
        <w:t>Task</w:t>
      </w:r>
      <w:r w:rsidRPr="00EA4D6F">
        <w:rPr>
          <w:b/>
          <w:bCs/>
          <w:sz w:val="24"/>
          <w:szCs w:val="24"/>
        </w:rPr>
        <w:t xml:space="preserve"> 1b</w:t>
      </w:r>
    </w:p>
    <w:p w14:paraId="7865304C" w14:textId="77777777" w:rsidR="0058530B" w:rsidRPr="00EA4D6F" w:rsidRDefault="0058530B" w:rsidP="0058530B">
      <w:pPr>
        <w:rPr>
          <w:sz w:val="24"/>
          <w:szCs w:val="24"/>
        </w:rPr>
      </w:pPr>
    </w:p>
    <w:p w14:paraId="5CFABC5C" w14:textId="77777777" w:rsidR="0058530B" w:rsidRPr="00EA4D6F" w:rsidRDefault="0058530B" w:rsidP="0058530B">
      <w:pPr>
        <w:rPr>
          <w:sz w:val="24"/>
          <w:szCs w:val="24"/>
        </w:rPr>
      </w:pPr>
      <w:r w:rsidRPr="00EA4D6F">
        <w:rPr>
          <w:sz w:val="24"/>
          <w:szCs w:val="24"/>
        </w:rPr>
        <w:t xml:space="preserve">Jasper, M., 2013. </w:t>
      </w:r>
      <w:r w:rsidRPr="00EA4D6F">
        <w:rPr>
          <w:i/>
          <w:iCs/>
          <w:sz w:val="24"/>
          <w:szCs w:val="24"/>
        </w:rPr>
        <w:t>Beginning Reflective Practice</w:t>
      </w:r>
      <w:r w:rsidRPr="00EA4D6F">
        <w:rPr>
          <w:sz w:val="24"/>
          <w:szCs w:val="24"/>
        </w:rPr>
        <w:t xml:space="preserve">. 2nd </w:t>
      </w:r>
      <w:proofErr w:type="spellStart"/>
      <w:r w:rsidRPr="00EA4D6F">
        <w:rPr>
          <w:sz w:val="24"/>
          <w:szCs w:val="24"/>
        </w:rPr>
        <w:t>edn</w:t>
      </w:r>
      <w:proofErr w:type="spellEnd"/>
      <w:r w:rsidRPr="00EA4D6F">
        <w:rPr>
          <w:sz w:val="24"/>
          <w:szCs w:val="24"/>
        </w:rPr>
        <w:t>. Andover: Cengage Learning.</w:t>
      </w:r>
    </w:p>
    <w:p w14:paraId="1A18ECDE" w14:textId="77777777" w:rsidR="0058530B" w:rsidRPr="00EA4D6F" w:rsidRDefault="0058530B" w:rsidP="0058530B">
      <w:pPr>
        <w:rPr>
          <w:sz w:val="24"/>
          <w:szCs w:val="24"/>
        </w:rPr>
      </w:pPr>
      <w:r w:rsidRPr="00EA4D6F">
        <w:rPr>
          <w:sz w:val="24"/>
          <w:szCs w:val="24"/>
        </w:rPr>
        <w:t xml:space="preserve">Mattison, M., 2000. Ethical decision making: The person in the process. </w:t>
      </w:r>
      <w:r w:rsidRPr="00EA4D6F">
        <w:rPr>
          <w:i/>
          <w:iCs/>
          <w:sz w:val="24"/>
          <w:szCs w:val="24"/>
        </w:rPr>
        <w:t>Social Work</w:t>
      </w:r>
      <w:r w:rsidRPr="00EA4D6F">
        <w:rPr>
          <w:sz w:val="24"/>
          <w:szCs w:val="24"/>
        </w:rPr>
        <w:t xml:space="preserve">, 45(3), pp.201–212. </w:t>
      </w:r>
      <w:hyperlink r:id="rId18" w:history="1">
        <w:r w:rsidRPr="00EA4D6F">
          <w:rPr>
            <w:rStyle w:val="Hyperlink"/>
            <w:sz w:val="24"/>
            <w:szCs w:val="24"/>
          </w:rPr>
          <w:t>https://doi.org/10.1093/sw/45.3.201</w:t>
        </w:r>
      </w:hyperlink>
    </w:p>
    <w:p w14:paraId="4943B326" w14:textId="77777777" w:rsidR="0058530B" w:rsidRPr="00EA4D6F" w:rsidRDefault="0058530B" w:rsidP="0058530B">
      <w:pPr>
        <w:rPr>
          <w:sz w:val="24"/>
          <w:szCs w:val="24"/>
        </w:rPr>
      </w:pPr>
    </w:p>
    <w:p w14:paraId="453CA2FA" w14:textId="77777777" w:rsidR="0058530B" w:rsidRPr="00EA4D6F" w:rsidRDefault="0058530B" w:rsidP="0058530B">
      <w:pPr>
        <w:rPr>
          <w:sz w:val="24"/>
          <w:szCs w:val="24"/>
        </w:rPr>
      </w:pPr>
      <w:r w:rsidRPr="00EA4D6F">
        <w:rPr>
          <w:sz w:val="24"/>
          <w:szCs w:val="24"/>
        </w:rPr>
        <w:t xml:space="preserve">Social Care Wales, 2025. </w:t>
      </w:r>
      <w:r w:rsidRPr="00EA4D6F">
        <w:rPr>
          <w:i/>
          <w:iCs/>
          <w:sz w:val="24"/>
          <w:szCs w:val="24"/>
        </w:rPr>
        <w:t>Assessment, analysis and decision making</w:t>
      </w:r>
      <w:r w:rsidRPr="00EA4D6F">
        <w:rPr>
          <w:sz w:val="24"/>
          <w:szCs w:val="24"/>
        </w:rPr>
        <w:t>. [online] Available at: &lt;https://socialcare.wales/social-work-resources-library/assessment-analysis-and-decision-making&gt; [Accessed 5 Oct. 2025].</w:t>
      </w:r>
    </w:p>
    <w:p w14:paraId="4245396C" w14:textId="77777777" w:rsidR="0058530B" w:rsidRPr="00EA4D6F" w:rsidRDefault="0058530B" w:rsidP="0058530B">
      <w:pPr>
        <w:rPr>
          <w:sz w:val="24"/>
          <w:szCs w:val="24"/>
        </w:rPr>
      </w:pPr>
    </w:p>
    <w:p w14:paraId="74B8AD96" w14:textId="77777777" w:rsidR="0058530B" w:rsidRPr="00EA4D6F" w:rsidRDefault="0058530B" w:rsidP="0058530B">
      <w:pPr>
        <w:rPr>
          <w:sz w:val="24"/>
          <w:szCs w:val="24"/>
        </w:rPr>
      </w:pPr>
      <w:r w:rsidRPr="00EA4D6F">
        <w:rPr>
          <w:sz w:val="24"/>
          <w:szCs w:val="24"/>
        </w:rPr>
        <w:t xml:space="preserve">Wise, R., 2019. A key part of being a social work student is service user feedback – why does this stop after qualification? </w:t>
      </w:r>
      <w:r w:rsidRPr="00EA4D6F">
        <w:rPr>
          <w:i/>
          <w:iCs/>
          <w:sz w:val="24"/>
          <w:szCs w:val="24"/>
        </w:rPr>
        <w:t>Community Care</w:t>
      </w:r>
      <w:r w:rsidRPr="00EA4D6F">
        <w:rPr>
          <w:sz w:val="24"/>
          <w:szCs w:val="24"/>
        </w:rPr>
        <w:t>, 21 March. [online] Available at:&lt;https://www.communitycare.co.uk/2019/03/21/key-part-social-work-student-service-user-feedback-stop-qualification/&gt; [Accessed 2 Oct. 2025].</w:t>
      </w:r>
    </w:p>
    <w:p w14:paraId="6BE84D06" w14:textId="77777777" w:rsidR="0058530B" w:rsidRPr="00EA4D6F" w:rsidRDefault="0058530B" w:rsidP="0058530B">
      <w:pPr>
        <w:rPr>
          <w:sz w:val="24"/>
          <w:szCs w:val="24"/>
        </w:rPr>
      </w:pPr>
    </w:p>
    <w:p w14:paraId="49DFD0FF" w14:textId="7DE81911" w:rsidR="0058530B" w:rsidRPr="00EA4D6F" w:rsidRDefault="0058530B" w:rsidP="0058530B">
      <w:pPr>
        <w:rPr>
          <w:b/>
          <w:bCs/>
          <w:sz w:val="24"/>
          <w:szCs w:val="24"/>
        </w:rPr>
      </w:pPr>
      <w:r w:rsidRPr="00EA4D6F">
        <w:rPr>
          <w:b/>
          <w:bCs/>
          <w:sz w:val="24"/>
          <w:szCs w:val="24"/>
        </w:rPr>
        <w:t xml:space="preserve">References- </w:t>
      </w:r>
      <w:r w:rsidR="00051F3B">
        <w:rPr>
          <w:b/>
          <w:bCs/>
          <w:sz w:val="24"/>
          <w:szCs w:val="24"/>
        </w:rPr>
        <w:t xml:space="preserve">Task </w:t>
      </w:r>
      <w:r w:rsidRPr="00EA4D6F">
        <w:rPr>
          <w:b/>
          <w:bCs/>
          <w:sz w:val="24"/>
          <w:szCs w:val="24"/>
        </w:rPr>
        <w:t>2</w:t>
      </w:r>
    </w:p>
    <w:p w14:paraId="2A619D2E" w14:textId="77777777" w:rsidR="0058530B" w:rsidRPr="00EA4D6F" w:rsidRDefault="0058530B" w:rsidP="0058530B">
      <w:pPr>
        <w:rPr>
          <w:sz w:val="24"/>
          <w:szCs w:val="24"/>
        </w:rPr>
      </w:pPr>
    </w:p>
    <w:p w14:paraId="7DD7BFAE" w14:textId="77777777" w:rsidR="0058530B" w:rsidRPr="00EA4D6F" w:rsidRDefault="0058530B" w:rsidP="0058530B">
      <w:pPr>
        <w:rPr>
          <w:sz w:val="24"/>
          <w:szCs w:val="24"/>
        </w:rPr>
      </w:pPr>
      <w:r w:rsidRPr="00EA4D6F">
        <w:rPr>
          <w:sz w:val="24"/>
          <w:szCs w:val="24"/>
        </w:rPr>
        <w:t xml:space="preserve">Adams, R., Dominelli, L. and Payne, M. (2009). </w:t>
      </w:r>
      <w:r w:rsidRPr="00EA4D6F">
        <w:rPr>
          <w:i/>
          <w:iCs/>
          <w:sz w:val="24"/>
          <w:szCs w:val="24"/>
        </w:rPr>
        <w:t>Critical Practice in Social Work</w:t>
      </w:r>
      <w:r w:rsidRPr="00EA4D6F">
        <w:rPr>
          <w:sz w:val="24"/>
          <w:szCs w:val="24"/>
        </w:rPr>
        <w:t>. 2nd ed. Basingstoke: Palgrave Macmillan.</w:t>
      </w:r>
    </w:p>
    <w:p w14:paraId="58E16B79" w14:textId="77777777" w:rsidR="0058530B" w:rsidRPr="00EA4D6F" w:rsidRDefault="0058530B" w:rsidP="0058530B">
      <w:pPr>
        <w:rPr>
          <w:sz w:val="24"/>
          <w:szCs w:val="24"/>
        </w:rPr>
      </w:pPr>
    </w:p>
    <w:p w14:paraId="5AE4E523" w14:textId="77777777" w:rsidR="0058530B" w:rsidRPr="00EA4D6F" w:rsidRDefault="0058530B" w:rsidP="0058530B">
      <w:pPr>
        <w:rPr>
          <w:sz w:val="24"/>
          <w:szCs w:val="24"/>
        </w:rPr>
      </w:pPr>
      <w:r w:rsidRPr="00EA4D6F">
        <w:rPr>
          <w:sz w:val="24"/>
          <w:szCs w:val="24"/>
        </w:rPr>
        <w:t xml:space="preserve">Feldman, G. (2019) </w:t>
      </w:r>
      <w:r w:rsidRPr="00EA4D6F">
        <w:rPr>
          <w:i/>
          <w:iCs/>
          <w:sz w:val="24"/>
          <w:szCs w:val="24"/>
        </w:rPr>
        <w:t>Towards a relational approach to poverty in social work: Research and practice considerations</w:t>
      </w:r>
      <w:r w:rsidRPr="00EA4D6F">
        <w:rPr>
          <w:sz w:val="24"/>
          <w:szCs w:val="24"/>
        </w:rPr>
        <w:t>. British Journal of Social Work, 49(7), pp. 1705–1722. Available at: https://doi.org/10.1093/bjsw/bcy111 (Accessed: 5 October 2025).</w:t>
      </w:r>
    </w:p>
    <w:p w14:paraId="1A3743F0" w14:textId="77777777" w:rsidR="0058530B" w:rsidRPr="00EA4D6F" w:rsidRDefault="0058530B" w:rsidP="0058530B">
      <w:pPr>
        <w:rPr>
          <w:sz w:val="24"/>
          <w:szCs w:val="24"/>
        </w:rPr>
      </w:pPr>
    </w:p>
    <w:p w14:paraId="553607F5" w14:textId="77777777" w:rsidR="0058530B" w:rsidRPr="00EA4D6F" w:rsidRDefault="0058530B" w:rsidP="0058530B">
      <w:pPr>
        <w:rPr>
          <w:sz w:val="24"/>
          <w:szCs w:val="24"/>
        </w:rPr>
      </w:pPr>
      <w:r w:rsidRPr="00EA4D6F">
        <w:rPr>
          <w:sz w:val="24"/>
          <w:szCs w:val="24"/>
        </w:rPr>
        <w:t xml:space="preserve">Maclean, S. &amp; Harrison, R., 2015. </w:t>
      </w:r>
      <w:r w:rsidRPr="00EA4D6F">
        <w:rPr>
          <w:i/>
          <w:iCs/>
          <w:sz w:val="24"/>
          <w:szCs w:val="24"/>
        </w:rPr>
        <w:t>Theory and Practice: A Straightforward Guide for Social Work Students</w:t>
      </w:r>
      <w:r w:rsidRPr="00EA4D6F">
        <w:rPr>
          <w:sz w:val="24"/>
          <w:szCs w:val="24"/>
        </w:rPr>
        <w:t>. 3rd ed. Kirwin Maclean Associates.</w:t>
      </w:r>
    </w:p>
    <w:p w14:paraId="14DC1D92" w14:textId="77777777" w:rsidR="0058530B" w:rsidRPr="00EA4D6F" w:rsidRDefault="0058530B" w:rsidP="0058530B">
      <w:pPr>
        <w:rPr>
          <w:sz w:val="24"/>
          <w:szCs w:val="24"/>
        </w:rPr>
      </w:pPr>
      <w:r w:rsidRPr="00EA4D6F">
        <w:rPr>
          <w:sz w:val="24"/>
          <w:szCs w:val="24"/>
        </w:rPr>
        <w:t xml:space="preserve">National Assembly for Wales (2011) </w:t>
      </w:r>
      <w:r w:rsidRPr="00EA4D6F">
        <w:rPr>
          <w:i/>
          <w:iCs/>
          <w:sz w:val="24"/>
          <w:szCs w:val="24"/>
        </w:rPr>
        <w:t>Welsh Language (Wales) Measure 2011</w:t>
      </w:r>
      <w:r w:rsidRPr="00EA4D6F">
        <w:rPr>
          <w:sz w:val="24"/>
          <w:szCs w:val="24"/>
        </w:rPr>
        <w:t xml:space="preserve">. Available at: </w:t>
      </w:r>
      <w:hyperlink r:id="rId19" w:tgtFrame="_blank" w:history="1">
        <w:r w:rsidRPr="00EA4D6F">
          <w:rPr>
            <w:rStyle w:val="Hyperlink"/>
            <w:sz w:val="24"/>
            <w:szCs w:val="24"/>
          </w:rPr>
          <w:t>https://www.legislation.gov.uk/mwa/2011/1/contents</w:t>
        </w:r>
      </w:hyperlink>
      <w:r w:rsidRPr="00EA4D6F">
        <w:rPr>
          <w:sz w:val="24"/>
          <w:szCs w:val="24"/>
        </w:rPr>
        <w:t xml:space="preserve"> (Accessed: 5 October 2025).</w:t>
      </w:r>
    </w:p>
    <w:p w14:paraId="5B671C2A" w14:textId="77777777" w:rsidR="0058530B" w:rsidRPr="00EA4D6F" w:rsidRDefault="0058530B" w:rsidP="0058530B">
      <w:pPr>
        <w:rPr>
          <w:sz w:val="24"/>
          <w:szCs w:val="24"/>
        </w:rPr>
      </w:pPr>
    </w:p>
    <w:p w14:paraId="1DB064F5" w14:textId="77777777" w:rsidR="0058530B" w:rsidRPr="00EA4D6F" w:rsidRDefault="0058530B" w:rsidP="0058530B">
      <w:pPr>
        <w:rPr>
          <w:sz w:val="24"/>
          <w:szCs w:val="24"/>
        </w:rPr>
      </w:pPr>
      <w:proofErr w:type="spellStart"/>
      <w:r w:rsidRPr="00EA4D6F">
        <w:rPr>
          <w:sz w:val="24"/>
          <w:szCs w:val="24"/>
        </w:rPr>
        <w:lastRenderedPageBreak/>
        <w:t>Rodat</w:t>
      </w:r>
      <w:proofErr w:type="spellEnd"/>
      <w:r w:rsidRPr="00EA4D6F">
        <w:rPr>
          <w:sz w:val="24"/>
          <w:szCs w:val="24"/>
        </w:rPr>
        <w:t xml:space="preserve">, S. (2019). </w:t>
      </w:r>
      <w:r w:rsidRPr="00EA4D6F">
        <w:rPr>
          <w:i/>
          <w:iCs/>
          <w:sz w:val="24"/>
          <w:szCs w:val="24"/>
        </w:rPr>
        <w:t>Listening in verbal communication: Aspects regarding active listening in theoretical models of social work</w:t>
      </w:r>
      <w:r w:rsidRPr="00EA4D6F">
        <w:rPr>
          <w:sz w:val="24"/>
          <w:szCs w:val="24"/>
        </w:rPr>
        <w:t xml:space="preserve">. </w:t>
      </w:r>
      <w:r w:rsidRPr="00EA4D6F">
        <w:rPr>
          <w:i/>
          <w:iCs/>
          <w:sz w:val="24"/>
          <w:szCs w:val="24"/>
        </w:rPr>
        <w:t>Annals of the University of Craiova for Journalism, Communication and Management</w:t>
      </w:r>
      <w:r w:rsidRPr="00EA4D6F">
        <w:rPr>
          <w:sz w:val="24"/>
          <w:szCs w:val="24"/>
        </w:rPr>
        <w:t>, 5, pp.139–158. Available at: https://www.researchgate.net/publication/342947452 [Accessed 6 Oct. 2025].</w:t>
      </w:r>
    </w:p>
    <w:p w14:paraId="131DBB7C" w14:textId="77777777" w:rsidR="0058530B" w:rsidRPr="00EA4D6F" w:rsidRDefault="0058530B" w:rsidP="0058530B">
      <w:pPr>
        <w:rPr>
          <w:sz w:val="24"/>
          <w:szCs w:val="24"/>
        </w:rPr>
      </w:pPr>
    </w:p>
    <w:p w14:paraId="76AE4B87" w14:textId="77777777" w:rsidR="0058530B" w:rsidRPr="00EA4D6F" w:rsidRDefault="0058530B" w:rsidP="0058530B">
      <w:pPr>
        <w:rPr>
          <w:sz w:val="24"/>
          <w:szCs w:val="24"/>
        </w:rPr>
      </w:pPr>
      <w:r w:rsidRPr="00EA4D6F">
        <w:rPr>
          <w:sz w:val="24"/>
          <w:szCs w:val="24"/>
        </w:rPr>
        <w:t xml:space="preserve">Social Care Wales (2017). </w:t>
      </w:r>
      <w:r w:rsidRPr="00EA4D6F">
        <w:rPr>
          <w:i/>
          <w:iCs/>
          <w:sz w:val="24"/>
          <w:szCs w:val="24"/>
        </w:rPr>
        <w:t>Code of Professional Practice for Social Care</w:t>
      </w:r>
      <w:r w:rsidRPr="00EA4D6F">
        <w:rPr>
          <w:sz w:val="24"/>
          <w:szCs w:val="24"/>
        </w:rPr>
        <w:t xml:space="preserve">. Cardiff: Social Care Wales. Available at: </w:t>
      </w:r>
      <w:hyperlink r:id="rId20" w:tgtFrame="_blank" w:history="1">
        <w:r w:rsidRPr="00EA4D6F">
          <w:rPr>
            <w:rStyle w:val="Hyperlink"/>
            <w:sz w:val="24"/>
            <w:szCs w:val="24"/>
          </w:rPr>
          <w:t>https://socialcare.wales/cms-assets/documents/Code-of-Professional-Practice-for-Social-Care-web-version.pdf</w:t>
        </w:r>
      </w:hyperlink>
      <w:r w:rsidRPr="00EA4D6F">
        <w:rPr>
          <w:sz w:val="24"/>
          <w:szCs w:val="24"/>
        </w:rPr>
        <w:t xml:space="preserve"> [Accessed 6 Oct. 2025].</w:t>
      </w:r>
    </w:p>
    <w:p w14:paraId="17945ED3" w14:textId="77777777" w:rsidR="0058530B" w:rsidRPr="00EA4D6F" w:rsidRDefault="0058530B" w:rsidP="0058530B">
      <w:pPr>
        <w:rPr>
          <w:sz w:val="24"/>
          <w:szCs w:val="24"/>
        </w:rPr>
      </w:pPr>
    </w:p>
    <w:p w14:paraId="320683F8" w14:textId="77777777" w:rsidR="0058530B" w:rsidRPr="00EA4D6F" w:rsidRDefault="0058530B" w:rsidP="0058530B">
      <w:pPr>
        <w:rPr>
          <w:sz w:val="24"/>
          <w:szCs w:val="24"/>
        </w:rPr>
      </w:pPr>
      <w:r w:rsidRPr="00EA4D6F">
        <w:rPr>
          <w:sz w:val="24"/>
          <w:szCs w:val="24"/>
        </w:rPr>
        <w:t xml:space="preserve">Tascón, S.M. (2018). </w:t>
      </w:r>
      <w:r w:rsidRPr="00EA4D6F">
        <w:rPr>
          <w:i/>
          <w:iCs/>
          <w:sz w:val="24"/>
          <w:szCs w:val="24"/>
        </w:rPr>
        <w:t>Visual Communication for Social Work Practice: Power, Culture, Analysis</w:t>
      </w:r>
      <w:r w:rsidRPr="00EA4D6F">
        <w:rPr>
          <w:sz w:val="24"/>
          <w:szCs w:val="24"/>
        </w:rPr>
        <w:t xml:space="preserve">. London: Routledge. </w:t>
      </w:r>
      <w:hyperlink r:id="rId21" w:history="1">
        <w:r w:rsidRPr="00EA4D6F">
          <w:rPr>
            <w:rStyle w:val="Hyperlink"/>
            <w:sz w:val="24"/>
            <w:szCs w:val="24"/>
          </w:rPr>
          <w:t>https://doi.org/10.4324/9781351241977</w:t>
        </w:r>
      </w:hyperlink>
    </w:p>
    <w:p w14:paraId="3F01873A" w14:textId="77777777" w:rsidR="0058530B" w:rsidRPr="00EA4D6F" w:rsidRDefault="0058530B" w:rsidP="0058530B">
      <w:pPr>
        <w:rPr>
          <w:sz w:val="24"/>
          <w:szCs w:val="24"/>
        </w:rPr>
      </w:pPr>
    </w:p>
    <w:p w14:paraId="38AD9682" w14:textId="77777777" w:rsidR="0058530B" w:rsidRPr="00EA4D6F" w:rsidRDefault="0058530B" w:rsidP="0058530B">
      <w:pPr>
        <w:rPr>
          <w:sz w:val="24"/>
          <w:szCs w:val="24"/>
        </w:rPr>
      </w:pPr>
      <w:r w:rsidRPr="00EA4D6F">
        <w:rPr>
          <w:sz w:val="24"/>
          <w:szCs w:val="24"/>
        </w:rPr>
        <w:t xml:space="preserve">Turnell, A. and Edwards, S. (1999) Signs of Safety: A solution and </w:t>
      </w:r>
      <w:proofErr w:type="gramStart"/>
      <w:r w:rsidRPr="00EA4D6F">
        <w:rPr>
          <w:sz w:val="24"/>
          <w:szCs w:val="24"/>
        </w:rPr>
        <w:t>safety oriented</w:t>
      </w:r>
      <w:proofErr w:type="gramEnd"/>
      <w:r w:rsidRPr="00EA4D6F">
        <w:rPr>
          <w:sz w:val="24"/>
          <w:szCs w:val="24"/>
        </w:rPr>
        <w:t xml:space="preserve"> approach to child protection casework. New York: Norton.</w:t>
      </w:r>
    </w:p>
    <w:p w14:paraId="7673DC47" w14:textId="77777777" w:rsidR="0058530B" w:rsidRPr="00EA4D6F" w:rsidRDefault="0058530B" w:rsidP="0058530B">
      <w:pPr>
        <w:rPr>
          <w:sz w:val="24"/>
          <w:szCs w:val="24"/>
        </w:rPr>
      </w:pPr>
    </w:p>
    <w:p w14:paraId="55D694F1" w14:textId="77777777" w:rsidR="0058530B" w:rsidRPr="00EA4D6F" w:rsidRDefault="0058530B" w:rsidP="0058530B">
      <w:pPr>
        <w:rPr>
          <w:sz w:val="24"/>
          <w:szCs w:val="24"/>
        </w:rPr>
      </w:pPr>
      <w:r w:rsidRPr="00EA4D6F">
        <w:rPr>
          <w:sz w:val="24"/>
          <w:szCs w:val="24"/>
        </w:rPr>
        <w:t xml:space="preserve">Welsh Government (2025) </w:t>
      </w:r>
      <w:r w:rsidRPr="00EA4D6F">
        <w:rPr>
          <w:i/>
          <w:iCs/>
          <w:sz w:val="24"/>
          <w:szCs w:val="24"/>
        </w:rPr>
        <w:t>Welsh Index of Multiple Deprivation</w:t>
      </w:r>
      <w:r w:rsidRPr="00EA4D6F">
        <w:rPr>
          <w:sz w:val="24"/>
          <w:szCs w:val="24"/>
        </w:rPr>
        <w:t xml:space="preserve">. Available at: </w:t>
      </w:r>
      <w:hyperlink r:id="rId22" w:tgtFrame="_blank" w:history="1">
        <w:r w:rsidRPr="00EA4D6F">
          <w:rPr>
            <w:rStyle w:val="Hyperlink"/>
            <w:sz w:val="24"/>
            <w:szCs w:val="24"/>
          </w:rPr>
          <w:t>https://www.gov.wales/welsh-index-multiple-deprivation</w:t>
        </w:r>
      </w:hyperlink>
      <w:r w:rsidRPr="00EA4D6F">
        <w:rPr>
          <w:sz w:val="24"/>
          <w:szCs w:val="24"/>
        </w:rPr>
        <w:t xml:space="preserve"> (Accessed: 2 October 2025).</w:t>
      </w:r>
    </w:p>
    <w:p w14:paraId="241CB2DA" w14:textId="77777777" w:rsidR="0058530B" w:rsidRPr="00EA4D6F" w:rsidRDefault="0058530B" w:rsidP="0058530B">
      <w:pPr>
        <w:rPr>
          <w:sz w:val="24"/>
          <w:szCs w:val="24"/>
        </w:rPr>
      </w:pPr>
    </w:p>
    <w:p w14:paraId="7C060BBD" w14:textId="77777777" w:rsidR="0058530B" w:rsidRPr="00EA4D6F" w:rsidRDefault="0058530B" w:rsidP="0058530B">
      <w:pPr>
        <w:rPr>
          <w:sz w:val="24"/>
          <w:szCs w:val="24"/>
        </w:rPr>
      </w:pPr>
      <w:r w:rsidRPr="00EA4D6F">
        <w:rPr>
          <w:sz w:val="24"/>
          <w:szCs w:val="24"/>
        </w:rPr>
        <w:t xml:space="preserve">Welsh Government (2015a) </w:t>
      </w:r>
      <w:r w:rsidRPr="00EA4D6F">
        <w:rPr>
          <w:i/>
          <w:iCs/>
          <w:sz w:val="24"/>
          <w:szCs w:val="24"/>
        </w:rPr>
        <w:t>Delivering the ‘Active Offer’ Information Pack – Social Services and Social Care</w:t>
      </w:r>
      <w:r w:rsidRPr="00EA4D6F">
        <w:rPr>
          <w:sz w:val="24"/>
          <w:szCs w:val="24"/>
        </w:rPr>
        <w:t xml:space="preserve">. Cardiff: Welsh Government. Available at: </w:t>
      </w:r>
      <w:hyperlink r:id="rId23" w:tgtFrame="_blank" w:history="1">
        <w:r w:rsidRPr="00EA4D6F">
          <w:rPr>
            <w:rStyle w:val="Hyperlink"/>
            <w:sz w:val="24"/>
            <w:szCs w:val="24"/>
          </w:rPr>
          <w:t>https://www.gov.wales/sites/default/files/publications/2019-04/delivering-the-active-offer-information-pack-social-services-and-social-care.pdf</w:t>
        </w:r>
      </w:hyperlink>
      <w:r w:rsidRPr="00EA4D6F">
        <w:rPr>
          <w:sz w:val="24"/>
          <w:szCs w:val="24"/>
        </w:rPr>
        <w:t xml:space="preserve"> (Accessed: 2 October 2025). </w:t>
      </w:r>
    </w:p>
    <w:p w14:paraId="0EFD5ADB" w14:textId="77777777" w:rsidR="0058530B" w:rsidRPr="00EA4D6F" w:rsidRDefault="0058530B" w:rsidP="0058530B">
      <w:pPr>
        <w:rPr>
          <w:sz w:val="24"/>
          <w:szCs w:val="24"/>
        </w:rPr>
      </w:pPr>
    </w:p>
    <w:p w14:paraId="28934D84" w14:textId="77777777" w:rsidR="0058530B" w:rsidRPr="00EA4D6F" w:rsidRDefault="0058530B" w:rsidP="0058530B">
      <w:pPr>
        <w:rPr>
          <w:sz w:val="24"/>
          <w:szCs w:val="24"/>
        </w:rPr>
      </w:pPr>
      <w:r w:rsidRPr="00EA4D6F">
        <w:rPr>
          <w:sz w:val="24"/>
          <w:szCs w:val="24"/>
        </w:rPr>
        <w:t xml:space="preserve">Welsh Government (2015b) </w:t>
      </w:r>
      <w:r w:rsidRPr="00EA4D6F">
        <w:rPr>
          <w:i/>
          <w:iCs/>
          <w:sz w:val="24"/>
          <w:szCs w:val="24"/>
        </w:rPr>
        <w:t>More than just words: Delivering the ‘Active Offer’</w:t>
      </w:r>
      <w:r w:rsidRPr="00EA4D6F">
        <w:rPr>
          <w:sz w:val="24"/>
          <w:szCs w:val="24"/>
        </w:rPr>
        <w:t xml:space="preserve">. Cardiff: </w:t>
      </w:r>
    </w:p>
    <w:p w14:paraId="36117F25" w14:textId="77777777" w:rsidR="0058530B" w:rsidRPr="00EA4D6F" w:rsidRDefault="0058530B" w:rsidP="0058530B">
      <w:pPr>
        <w:rPr>
          <w:sz w:val="24"/>
          <w:szCs w:val="24"/>
        </w:rPr>
      </w:pPr>
    </w:p>
    <w:p w14:paraId="58477F23" w14:textId="77777777" w:rsidR="0058530B" w:rsidRPr="00EA4D6F" w:rsidRDefault="0058530B" w:rsidP="0058530B">
      <w:pPr>
        <w:rPr>
          <w:sz w:val="24"/>
          <w:szCs w:val="24"/>
        </w:rPr>
      </w:pPr>
      <w:r w:rsidRPr="00EA4D6F">
        <w:rPr>
          <w:sz w:val="24"/>
          <w:szCs w:val="24"/>
        </w:rPr>
        <w:t xml:space="preserve">Welsh Government. Available at: </w:t>
      </w:r>
      <w:hyperlink r:id="rId24" w:tgtFrame="_blank" w:history="1">
        <w:r w:rsidRPr="00EA4D6F">
          <w:rPr>
            <w:rStyle w:val="Hyperlink"/>
            <w:sz w:val="24"/>
            <w:szCs w:val="24"/>
          </w:rPr>
          <w:t>https://www.gov.wales/sites/default/files/publications/2019-04/delivering-the-active-offer-information-pack-social-services-and-social-care.pdf</w:t>
        </w:r>
      </w:hyperlink>
      <w:r w:rsidRPr="00EA4D6F">
        <w:rPr>
          <w:sz w:val="24"/>
          <w:szCs w:val="24"/>
        </w:rPr>
        <w:t xml:space="preserve"> (Accessed: 2 October 2025).</w:t>
      </w:r>
    </w:p>
    <w:p w14:paraId="49E5539B" w14:textId="77777777" w:rsidR="0058530B" w:rsidRPr="00EA4D6F" w:rsidRDefault="0058530B" w:rsidP="0058530B">
      <w:pPr>
        <w:rPr>
          <w:sz w:val="24"/>
          <w:szCs w:val="24"/>
        </w:rPr>
      </w:pPr>
    </w:p>
    <w:p w14:paraId="7DC53EBE" w14:textId="17324AC0" w:rsidR="0058530B" w:rsidRPr="00EA4D6F" w:rsidRDefault="0058530B" w:rsidP="0058530B">
      <w:pPr>
        <w:rPr>
          <w:b/>
          <w:bCs/>
          <w:sz w:val="24"/>
          <w:szCs w:val="24"/>
        </w:rPr>
      </w:pPr>
      <w:r w:rsidRPr="00EA4D6F">
        <w:rPr>
          <w:b/>
          <w:bCs/>
          <w:sz w:val="24"/>
          <w:szCs w:val="24"/>
        </w:rPr>
        <w:t xml:space="preserve">References- </w:t>
      </w:r>
      <w:r w:rsidR="00051F3B">
        <w:rPr>
          <w:b/>
          <w:bCs/>
          <w:sz w:val="24"/>
          <w:szCs w:val="24"/>
        </w:rPr>
        <w:t>Task</w:t>
      </w:r>
      <w:r w:rsidRPr="00EA4D6F">
        <w:rPr>
          <w:b/>
          <w:bCs/>
          <w:sz w:val="24"/>
          <w:szCs w:val="24"/>
        </w:rPr>
        <w:t xml:space="preserve"> 3</w:t>
      </w:r>
    </w:p>
    <w:p w14:paraId="1304EC46" w14:textId="77777777" w:rsidR="0058530B" w:rsidRPr="00EA4D6F" w:rsidRDefault="0058530B" w:rsidP="0058530B">
      <w:pPr>
        <w:rPr>
          <w:i/>
          <w:sz w:val="24"/>
          <w:szCs w:val="24"/>
        </w:rPr>
      </w:pPr>
    </w:p>
    <w:p w14:paraId="3EE8E69D" w14:textId="77777777" w:rsidR="0058530B" w:rsidRPr="00EA4D6F" w:rsidRDefault="0058530B" w:rsidP="0058530B">
      <w:pPr>
        <w:rPr>
          <w:i/>
          <w:sz w:val="24"/>
          <w:szCs w:val="24"/>
        </w:rPr>
      </w:pPr>
    </w:p>
    <w:p w14:paraId="17542088" w14:textId="77777777" w:rsidR="00BE2337" w:rsidRPr="00FC5520" w:rsidRDefault="00BE2337" w:rsidP="00BE2337">
      <w:pPr>
        <w:rPr>
          <w:sz w:val="24"/>
          <w:szCs w:val="24"/>
        </w:rPr>
      </w:pPr>
      <w:r w:rsidRPr="00FC5520">
        <w:rPr>
          <w:sz w:val="24"/>
          <w:szCs w:val="24"/>
        </w:rPr>
        <w:t xml:space="preserve">Brandon, M., Lewis, A. and Thoburn, J. (1996) ‘The Children Act definition of “significant harm” – interpretations in practice’, </w:t>
      </w:r>
      <w:r w:rsidRPr="00FC5520">
        <w:rPr>
          <w:i/>
          <w:sz w:val="24"/>
          <w:szCs w:val="24"/>
        </w:rPr>
        <w:t>Health and Social Care in the Community</w:t>
      </w:r>
      <w:r w:rsidRPr="00FC5520">
        <w:rPr>
          <w:sz w:val="24"/>
          <w:szCs w:val="24"/>
        </w:rPr>
        <w:t>, 4(1), pp. 11–20. Available at: https://doi.org/10.1111/j.1365-2524.1996.tb00043.x</w:t>
      </w:r>
    </w:p>
    <w:p w14:paraId="1170BD94" w14:textId="77777777" w:rsidR="00BE2337" w:rsidRPr="003C4E19" w:rsidRDefault="00BE2337" w:rsidP="00BE2337">
      <w:pPr>
        <w:spacing w:line="360" w:lineRule="auto"/>
        <w:jc w:val="both"/>
        <w:rPr>
          <w:sz w:val="24"/>
          <w:szCs w:val="24"/>
        </w:rPr>
      </w:pPr>
    </w:p>
    <w:p w14:paraId="2D2584C6" w14:textId="77777777" w:rsidR="00BE2337" w:rsidRPr="003C4E19" w:rsidRDefault="00BE2337" w:rsidP="00BE2337">
      <w:pPr>
        <w:spacing w:line="360" w:lineRule="auto"/>
        <w:jc w:val="both"/>
        <w:rPr>
          <w:sz w:val="24"/>
          <w:szCs w:val="24"/>
        </w:rPr>
      </w:pPr>
      <w:r w:rsidRPr="003C4E19">
        <w:rPr>
          <w:sz w:val="24"/>
          <w:szCs w:val="24"/>
        </w:rPr>
        <w:t xml:space="preserve">Brammer, A. (2020). </w:t>
      </w:r>
      <w:r w:rsidRPr="003C4E19">
        <w:rPr>
          <w:i/>
          <w:sz w:val="24"/>
          <w:szCs w:val="24"/>
        </w:rPr>
        <w:t>Social Work Law</w:t>
      </w:r>
      <w:r w:rsidRPr="003C4E19">
        <w:rPr>
          <w:sz w:val="24"/>
          <w:szCs w:val="24"/>
        </w:rPr>
        <w:t xml:space="preserve"> (5</w:t>
      </w:r>
      <w:r w:rsidRPr="003C4E19">
        <w:rPr>
          <w:sz w:val="24"/>
          <w:szCs w:val="24"/>
          <w:vertAlign w:val="superscript"/>
        </w:rPr>
        <w:t>th</w:t>
      </w:r>
      <w:r w:rsidRPr="003C4E19">
        <w:rPr>
          <w:sz w:val="24"/>
          <w:szCs w:val="24"/>
        </w:rPr>
        <w:t xml:space="preserve"> ed.). Pearson. </w:t>
      </w:r>
    </w:p>
    <w:p w14:paraId="136367A4" w14:textId="77777777" w:rsidR="00BE2337" w:rsidRDefault="00BE2337" w:rsidP="00BE2337">
      <w:pPr>
        <w:rPr>
          <w:sz w:val="24"/>
          <w:szCs w:val="24"/>
        </w:rPr>
      </w:pPr>
    </w:p>
    <w:p w14:paraId="678BAB88" w14:textId="77777777" w:rsidR="00BE2337" w:rsidRPr="00FC5520" w:rsidRDefault="00BE2337" w:rsidP="00BE2337">
      <w:pPr>
        <w:rPr>
          <w:sz w:val="24"/>
          <w:szCs w:val="24"/>
        </w:rPr>
      </w:pPr>
      <w:r w:rsidRPr="00FC5520">
        <w:rPr>
          <w:sz w:val="24"/>
          <w:szCs w:val="24"/>
        </w:rPr>
        <w:t xml:space="preserve">Bretherton, I. (1992). </w:t>
      </w:r>
      <w:r w:rsidRPr="00FC5520">
        <w:rPr>
          <w:i/>
          <w:sz w:val="24"/>
          <w:szCs w:val="24"/>
        </w:rPr>
        <w:t>The Origins of Attachment Theory: John Bowlby and Mary Ainsworth</w:t>
      </w:r>
      <w:r w:rsidRPr="00FC5520">
        <w:rPr>
          <w:sz w:val="24"/>
          <w:szCs w:val="24"/>
        </w:rPr>
        <w:t>. Developmental Psychology, 28(5), 759–775. Available at: www.researchgate.net</w:t>
      </w:r>
    </w:p>
    <w:p w14:paraId="74408002" w14:textId="77777777" w:rsidR="00BE2337" w:rsidRDefault="00BE2337" w:rsidP="00BE2337">
      <w:pPr>
        <w:rPr>
          <w:sz w:val="24"/>
          <w:szCs w:val="24"/>
        </w:rPr>
      </w:pPr>
    </w:p>
    <w:p w14:paraId="697BB360" w14:textId="77777777" w:rsidR="00BE2337" w:rsidRPr="00FC5520" w:rsidRDefault="00BE2337" w:rsidP="00BE2337">
      <w:pPr>
        <w:rPr>
          <w:sz w:val="24"/>
          <w:szCs w:val="24"/>
        </w:rPr>
      </w:pPr>
      <w:r w:rsidRPr="00FC5520">
        <w:rPr>
          <w:sz w:val="24"/>
          <w:szCs w:val="24"/>
        </w:rPr>
        <w:t>Children Act 1989, c.41. Available at: https://www.legislation.gov.uk/ukpga/1989/41/contents (Accessed: 7 October 2025).</w:t>
      </w:r>
    </w:p>
    <w:p w14:paraId="499D6462" w14:textId="77777777" w:rsidR="00BE2337" w:rsidRDefault="00BE2337" w:rsidP="00BE2337">
      <w:pPr>
        <w:rPr>
          <w:sz w:val="24"/>
          <w:szCs w:val="24"/>
        </w:rPr>
      </w:pPr>
    </w:p>
    <w:p w14:paraId="3620DCC4" w14:textId="77777777" w:rsidR="00BE2337" w:rsidRPr="00FC5520" w:rsidRDefault="00BE2337" w:rsidP="00BE2337">
      <w:pPr>
        <w:rPr>
          <w:sz w:val="24"/>
          <w:szCs w:val="24"/>
        </w:rPr>
      </w:pPr>
      <w:r w:rsidRPr="00FC5520">
        <w:rPr>
          <w:sz w:val="24"/>
          <w:szCs w:val="24"/>
        </w:rPr>
        <w:lastRenderedPageBreak/>
        <w:t xml:space="preserve">Children in Wales. (2014). </w:t>
      </w:r>
      <w:r w:rsidRPr="00FC5520">
        <w:rPr>
          <w:i/>
          <w:sz w:val="24"/>
          <w:szCs w:val="24"/>
        </w:rPr>
        <w:t>Kinship Care Guide for Wales: Children cared for by family or friends</w:t>
      </w:r>
      <w:r w:rsidRPr="00FC5520">
        <w:rPr>
          <w:sz w:val="24"/>
          <w:szCs w:val="24"/>
        </w:rPr>
        <w:t>. Cardiff: Children in Wales. Available at: https://cysur.wales/media/aqldjhwv/wales-kinship-care-guide-english-web.pdf (Accessed: 7 October 2025).</w:t>
      </w:r>
    </w:p>
    <w:p w14:paraId="25C22AE3" w14:textId="77777777" w:rsidR="00BE2337" w:rsidRDefault="00BE2337" w:rsidP="00BE2337">
      <w:pPr>
        <w:rPr>
          <w:sz w:val="24"/>
          <w:szCs w:val="24"/>
        </w:rPr>
      </w:pPr>
    </w:p>
    <w:p w14:paraId="24F41E95" w14:textId="77777777" w:rsidR="00BE2337" w:rsidRPr="00FC5520" w:rsidRDefault="00BE2337" w:rsidP="00BE2337">
      <w:pPr>
        <w:rPr>
          <w:sz w:val="24"/>
          <w:szCs w:val="24"/>
        </w:rPr>
      </w:pPr>
      <w:proofErr w:type="spellStart"/>
      <w:r w:rsidRPr="00FC5520">
        <w:rPr>
          <w:sz w:val="24"/>
          <w:szCs w:val="24"/>
        </w:rPr>
        <w:t>Chodura</w:t>
      </w:r>
      <w:proofErr w:type="spellEnd"/>
      <w:r w:rsidRPr="00FC5520">
        <w:rPr>
          <w:sz w:val="24"/>
          <w:szCs w:val="24"/>
        </w:rPr>
        <w:t xml:space="preserve">, S., Lohaus, A., </w:t>
      </w:r>
      <w:proofErr w:type="spellStart"/>
      <w:r w:rsidRPr="00FC5520">
        <w:rPr>
          <w:sz w:val="24"/>
          <w:szCs w:val="24"/>
        </w:rPr>
        <w:t>Symanzik</w:t>
      </w:r>
      <w:proofErr w:type="spellEnd"/>
      <w:r w:rsidRPr="00FC5520">
        <w:rPr>
          <w:sz w:val="24"/>
          <w:szCs w:val="24"/>
        </w:rPr>
        <w:t xml:space="preserve">, T., Heinrichs, N. and Konrad, K. (2021) ‘Foster parents’ parenting and the social-emotional development and adaptive functioning of children in foster care: A PRISMA-guided literature review and meta-analysis’, </w:t>
      </w:r>
      <w:r w:rsidRPr="00FC5520">
        <w:rPr>
          <w:i/>
          <w:sz w:val="24"/>
          <w:szCs w:val="24"/>
        </w:rPr>
        <w:t>Clinical Child and Family Psychology Review</w:t>
      </w:r>
      <w:r w:rsidRPr="00FC5520">
        <w:rPr>
          <w:sz w:val="24"/>
          <w:szCs w:val="24"/>
        </w:rPr>
        <w:t>, 24, pp. 326–347. Available at: https://link.springer.com/article/10.1007/s10567-020-00336-y (Accessed: 8 October 2025).</w:t>
      </w:r>
    </w:p>
    <w:p w14:paraId="444604FB" w14:textId="77777777" w:rsidR="00BE2337" w:rsidRDefault="00BE2337" w:rsidP="00BE2337">
      <w:pPr>
        <w:rPr>
          <w:sz w:val="24"/>
          <w:szCs w:val="24"/>
        </w:rPr>
      </w:pPr>
    </w:p>
    <w:p w14:paraId="4D39FCA1" w14:textId="77777777" w:rsidR="00BE2337" w:rsidRPr="00FC5520" w:rsidRDefault="00BE2337" w:rsidP="00BE2337">
      <w:pPr>
        <w:rPr>
          <w:sz w:val="24"/>
          <w:szCs w:val="24"/>
        </w:rPr>
      </w:pPr>
      <w:r w:rsidRPr="00FC5520">
        <w:rPr>
          <w:sz w:val="24"/>
          <w:szCs w:val="24"/>
        </w:rPr>
        <w:t xml:space="preserve">Duncan, M. (2019) </w:t>
      </w:r>
      <w:r w:rsidRPr="00FC5520">
        <w:rPr>
          <w:i/>
          <w:sz w:val="24"/>
          <w:szCs w:val="24"/>
        </w:rPr>
        <w:t>Participation in Child Protection: Theorizing Children’s Perspectives</w:t>
      </w:r>
      <w:r w:rsidRPr="00FC5520">
        <w:rPr>
          <w:sz w:val="24"/>
          <w:szCs w:val="24"/>
        </w:rPr>
        <w:t>. Cham: Palgrave Macmillan. Available at: https://doi.org/10.1007/978-3-319-93824-0 (Accessed: 8 October 2025).</w:t>
      </w:r>
    </w:p>
    <w:p w14:paraId="449D9876" w14:textId="77777777" w:rsidR="00BE2337" w:rsidRDefault="00BE2337" w:rsidP="00BE2337">
      <w:pPr>
        <w:rPr>
          <w:sz w:val="24"/>
          <w:szCs w:val="24"/>
        </w:rPr>
      </w:pPr>
    </w:p>
    <w:p w14:paraId="6CEEB6E3" w14:textId="77777777" w:rsidR="00BE2337" w:rsidRPr="00DB0F86" w:rsidRDefault="00BE2337" w:rsidP="00BE2337">
      <w:pPr>
        <w:rPr>
          <w:sz w:val="24"/>
          <w:szCs w:val="24"/>
        </w:rPr>
      </w:pPr>
      <w:r w:rsidRPr="00DB0F86">
        <w:rPr>
          <w:sz w:val="24"/>
          <w:szCs w:val="24"/>
        </w:rPr>
        <w:t xml:space="preserve">Feldman, G. (2019) </w:t>
      </w:r>
      <w:r w:rsidRPr="00DB0F86">
        <w:rPr>
          <w:i/>
          <w:iCs/>
          <w:sz w:val="24"/>
          <w:szCs w:val="24"/>
        </w:rPr>
        <w:t>Towards a relational approach to poverty in social work: Research and practice considerations</w:t>
      </w:r>
      <w:r w:rsidRPr="00DB0F86">
        <w:rPr>
          <w:sz w:val="24"/>
          <w:szCs w:val="24"/>
        </w:rPr>
        <w:t>. British Journal of Social Work, 49(7), pp. 1705–1722. Available at: https://doi.org/10.1093/bjsw/bcy111 (Accessed: 5 October 2025).</w:t>
      </w:r>
    </w:p>
    <w:p w14:paraId="1CEB225F" w14:textId="77777777" w:rsidR="00BE2337" w:rsidRDefault="00BE2337" w:rsidP="00BE2337">
      <w:pPr>
        <w:rPr>
          <w:sz w:val="24"/>
          <w:szCs w:val="24"/>
        </w:rPr>
      </w:pPr>
    </w:p>
    <w:p w14:paraId="03924C64" w14:textId="77777777" w:rsidR="00BE2337" w:rsidRPr="00FC5520" w:rsidRDefault="00BE2337" w:rsidP="00BE2337">
      <w:pPr>
        <w:rPr>
          <w:sz w:val="24"/>
          <w:szCs w:val="24"/>
        </w:rPr>
      </w:pPr>
      <w:r w:rsidRPr="00FC5520">
        <w:rPr>
          <w:sz w:val="24"/>
          <w:szCs w:val="24"/>
        </w:rPr>
        <w:t xml:space="preserve">Gibbs, D.J., Ansong, D., Brevard, K.C., Childs, S. and Francis, A.M. (2022) ‘Improving parenting competency and permanency awareness for kinship foster parents through in-service licensure training’, </w:t>
      </w:r>
      <w:r w:rsidRPr="00FC5520">
        <w:rPr>
          <w:i/>
          <w:sz w:val="24"/>
          <w:szCs w:val="24"/>
        </w:rPr>
        <w:t>Child and Adolescent Social Work Journal</w:t>
      </w:r>
      <w:r w:rsidRPr="00FC5520">
        <w:rPr>
          <w:sz w:val="24"/>
          <w:szCs w:val="24"/>
        </w:rPr>
        <w:t>, 39, pp. 595–606. Available at: https://doi.org/10.1007/s10560-022-00844-6</w:t>
      </w:r>
    </w:p>
    <w:p w14:paraId="1E893C72" w14:textId="77777777" w:rsidR="00BE2337" w:rsidRDefault="00BE2337" w:rsidP="00BE2337">
      <w:pPr>
        <w:rPr>
          <w:sz w:val="24"/>
          <w:szCs w:val="24"/>
        </w:rPr>
      </w:pPr>
    </w:p>
    <w:p w14:paraId="11E0AA06" w14:textId="77777777" w:rsidR="00BE2337" w:rsidRPr="00FC5520" w:rsidRDefault="00BE2337" w:rsidP="00BE2337">
      <w:pPr>
        <w:rPr>
          <w:sz w:val="24"/>
          <w:szCs w:val="24"/>
        </w:rPr>
      </w:pPr>
      <w:r w:rsidRPr="00FC5520">
        <w:rPr>
          <w:sz w:val="24"/>
          <w:szCs w:val="24"/>
        </w:rPr>
        <w:t xml:space="preserve">Gray, M., Plath, D. and Webb, S.A. (2016) </w:t>
      </w:r>
      <w:r w:rsidRPr="00FC5520">
        <w:rPr>
          <w:i/>
          <w:sz w:val="24"/>
          <w:szCs w:val="24"/>
        </w:rPr>
        <w:t>Social Work Theories and Methods</w:t>
      </w:r>
      <w:r w:rsidRPr="00FC5520">
        <w:rPr>
          <w:sz w:val="24"/>
          <w:szCs w:val="24"/>
        </w:rPr>
        <w:t>. London: SAGE Publications.</w:t>
      </w:r>
    </w:p>
    <w:p w14:paraId="72E75C07" w14:textId="77777777" w:rsidR="00BE2337" w:rsidRDefault="00BE2337" w:rsidP="00BE2337">
      <w:pPr>
        <w:rPr>
          <w:sz w:val="24"/>
          <w:szCs w:val="24"/>
        </w:rPr>
      </w:pPr>
    </w:p>
    <w:p w14:paraId="30C26D0F" w14:textId="77777777" w:rsidR="00BE2337" w:rsidRDefault="00BE2337" w:rsidP="00BE2337">
      <w:pPr>
        <w:rPr>
          <w:sz w:val="24"/>
          <w:szCs w:val="24"/>
        </w:rPr>
      </w:pPr>
      <w:r w:rsidRPr="00FC5520">
        <w:rPr>
          <w:sz w:val="24"/>
          <w:szCs w:val="24"/>
        </w:rPr>
        <w:t xml:space="preserve">Hallett, N., Garstang, J. and Taylor, J. (2021) ‘Kinship care and child protection in high-income countries: A scoping review’, </w:t>
      </w:r>
      <w:r w:rsidRPr="00FC5520">
        <w:rPr>
          <w:i/>
          <w:sz w:val="24"/>
          <w:szCs w:val="24"/>
        </w:rPr>
        <w:t>Trauma, Violence, &amp; Abuse</w:t>
      </w:r>
      <w:r w:rsidRPr="00FC5520">
        <w:rPr>
          <w:sz w:val="24"/>
          <w:szCs w:val="24"/>
        </w:rPr>
        <w:t xml:space="preserve">, 24(2), pp. 632–645. Available at: </w:t>
      </w:r>
      <w:hyperlink r:id="rId25" w:history="1">
        <w:r w:rsidRPr="0036639D">
          <w:rPr>
            <w:rStyle w:val="Hyperlink"/>
            <w:sz w:val="24"/>
            <w:szCs w:val="24"/>
          </w:rPr>
          <w:t>https://doi.org/10.1177/15248380211036073</w:t>
        </w:r>
      </w:hyperlink>
    </w:p>
    <w:p w14:paraId="2DDE9D4F" w14:textId="77777777" w:rsidR="00BE2337" w:rsidRPr="00FC5520" w:rsidRDefault="00BE2337" w:rsidP="00BE2337">
      <w:pPr>
        <w:rPr>
          <w:sz w:val="24"/>
          <w:szCs w:val="24"/>
        </w:rPr>
      </w:pPr>
    </w:p>
    <w:p w14:paraId="5045B6C4" w14:textId="77777777" w:rsidR="00BE2337" w:rsidRDefault="00BE2337" w:rsidP="00BE2337">
      <w:pPr>
        <w:rPr>
          <w:sz w:val="24"/>
          <w:szCs w:val="24"/>
        </w:rPr>
      </w:pPr>
      <w:r w:rsidRPr="00FC5520">
        <w:rPr>
          <w:sz w:val="24"/>
          <w:szCs w:val="24"/>
        </w:rPr>
        <w:t>Human Rights Act 1998, c.42. Available at: https://www.legislation.gov.uk/ukpga/1998/42/contents (Accessed: 7 October 2025).</w:t>
      </w:r>
    </w:p>
    <w:p w14:paraId="1D815998" w14:textId="77777777" w:rsidR="00BE2337" w:rsidRPr="00FC5520" w:rsidRDefault="00BE2337" w:rsidP="00BE2337">
      <w:pPr>
        <w:rPr>
          <w:sz w:val="24"/>
          <w:szCs w:val="24"/>
        </w:rPr>
      </w:pPr>
    </w:p>
    <w:p w14:paraId="0656CE46" w14:textId="77777777" w:rsidR="00BE2337" w:rsidRDefault="00BE2337" w:rsidP="00BE2337">
      <w:pPr>
        <w:rPr>
          <w:sz w:val="24"/>
          <w:szCs w:val="24"/>
        </w:rPr>
      </w:pPr>
      <w:r w:rsidRPr="00FC5520">
        <w:rPr>
          <w:sz w:val="24"/>
          <w:szCs w:val="24"/>
        </w:rPr>
        <w:t xml:space="preserve">Jedwab, M., Xu, Y. and Shaw, T.V. (2020) ‘Kinship care first? Factors associated with placement moves in out-of-home care’, </w:t>
      </w:r>
      <w:r w:rsidRPr="00FC5520">
        <w:rPr>
          <w:i/>
          <w:sz w:val="24"/>
          <w:szCs w:val="24"/>
        </w:rPr>
        <w:t>Children and Youth Services Review</w:t>
      </w:r>
      <w:r w:rsidRPr="00FC5520">
        <w:rPr>
          <w:sz w:val="24"/>
          <w:szCs w:val="24"/>
        </w:rPr>
        <w:t xml:space="preserve">, 115, Article 105104. Available at: </w:t>
      </w:r>
      <w:hyperlink r:id="rId26" w:history="1">
        <w:r w:rsidRPr="0036639D">
          <w:rPr>
            <w:rStyle w:val="Hyperlink"/>
            <w:sz w:val="24"/>
            <w:szCs w:val="24"/>
          </w:rPr>
          <w:t>https://doi.org/10.1016/j.childyouth.2020.105104</w:t>
        </w:r>
      </w:hyperlink>
    </w:p>
    <w:p w14:paraId="4B3413CB" w14:textId="77777777" w:rsidR="00BE2337" w:rsidRPr="00FC5520" w:rsidRDefault="00BE2337" w:rsidP="00BE2337">
      <w:pPr>
        <w:rPr>
          <w:sz w:val="24"/>
          <w:szCs w:val="24"/>
        </w:rPr>
      </w:pPr>
    </w:p>
    <w:p w14:paraId="27E82DB6" w14:textId="77777777" w:rsidR="00BE2337" w:rsidRDefault="00BE2337" w:rsidP="00BE2337">
      <w:pPr>
        <w:rPr>
          <w:sz w:val="24"/>
          <w:szCs w:val="24"/>
        </w:rPr>
      </w:pPr>
      <w:r w:rsidRPr="00FC5520">
        <w:rPr>
          <w:sz w:val="24"/>
          <w:szCs w:val="24"/>
        </w:rPr>
        <w:t xml:space="preserve">McDermott, F., Brydon, K., Haynes, A. and Moon, F. (2024) </w:t>
      </w:r>
      <w:r w:rsidRPr="00FC5520">
        <w:rPr>
          <w:i/>
          <w:sz w:val="24"/>
          <w:szCs w:val="24"/>
        </w:rPr>
        <w:t>Complexity Theory for Social Work Practice</w:t>
      </w:r>
      <w:r w:rsidRPr="00FC5520">
        <w:rPr>
          <w:sz w:val="24"/>
          <w:szCs w:val="24"/>
        </w:rPr>
        <w:t>. Cham: Springer. Available at: https://link.springer.com/book/10.1007/978-3-031-38677-0 (Accessed: 8 October 2025).</w:t>
      </w:r>
    </w:p>
    <w:p w14:paraId="112E663A" w14:textId="77777777" w:rsidR="00BE2337" w:rsidRPr="00FC5520" w:rsidRDefault="00BE2337" w:rsidP="00BE2337">
      <w:pPr>
        <w:rPr>
          <w:sz w:val="24"/>
          <w:szCs w:val="24"/>
        </w:rPr>
      </w:pPr>
    </w:p>
    <w:p w14:paraId="3C148102" w14:textId="77777777" w:rsidR="00BE2337" w:rsidRDefault="00BE2337" w:rsidP="00BE2337">
      <w:pPr>
        <w:rPr>
          <w:sz w:val="24"/>
          <w:szCs w:val="24"/>
        </w:rPr>
      </w:pPr>
      <w:r w:rsidRPr="00FC5520">
        <w:rPr>
          <w:sz w:val="24"/>
          <w:szCs w:val="24"/>
        </w:rPr>
        <w:t xml:space="preserve">Rubin, D.M., Downes, K.J., O'Reilly, A.L.R. et al. (2008) ‘Impact of kinship care on behavioural well-being for children in out-of-home care’, </w:t>
      </w:r>
      <w:r w:rsidRPr="00FC5520">
        <w:rPr>
          <w:i/>
          <w:sz w:val="24"/>
          <w:szCs w:val="24"/>
        </w:rPr>
        <w:t>Archives of Paediatrics &amp; Adolescent Medicine</w:t>
      </w:r>
      <w:r w:rsidRPr="00FC5520">
        <w:rPr>
          <w:sz w:val="24"/>
          <w:szCs w:val="24"/>
        </w:rPr>
        <w:t xml:space="preserve">, 162(6), pp. 550–556. Available at: </w:t>
      </w:r>
      <w:hyperlink r:id="rId27" w:history="1">
        <w:r w:rsidRPr="0036639D">
          <w:rPr>
            <w:rStyle w:val="Hyperlink"/>
            <w:sz w:val="24"/>
            <w:szCs w:val="24"/>
          </w:rPr>
          <w:t>https://doi.org/10.1001/archpedi.162.6.550</w:t>
        </w:r>
      </w:hyperlink>
    </w:p>
    <w:p w14:paraId="79A5FD91" w14:textId="77777777" w:rsidR="00BE2337" w:rsidRPr="00FC5520" w:rsidRDefault="00BE2337" w:rsidP="00BE2337">
      <w:pPr>
        <w:rPr>
          <w:sz w:val="24"/>
          <w:szCs w:val="24"/>
        </w:rPr>
      </w:pPr>
    </w:p>
    <w:p w14:paraId="6FFDADB1" w14:textId="77777777" w:rsidR="00BE2337" w:rsidRDefault="00BE2337" w:rsidP="00BE2337">
      <w:pPr>
        <w:rPr>
          <w:sz w:val="24"/>
          <w:szCs w:val="24"/>
        </w:rPr>
      </w:pPr>
      <w:r w:rsidRPr="00FC5520">
        <w:rPr>
          <w:sz w:val="24"/>
          <w:szCs w:val="24"/>
        </w:rPr>
        <w:lastRenderedPageBreak/>
        <w:t xml:space="preserve">Sciarrino, N.A., Hernandez, T.E. and Davidtz, J. (2018) ‘Neglect and Attachment Insecurity’, in </w:t>
      </w:r>
      <w:r w:rsidRPr="00FC5520">
        <w:rPr>
          <w:i/>
          <w:sz w:val="24"/>
          <w:szCs w:val="24"/>
        </w:rPr>
        <w:t>Understanding Child Neglect</w:t>
      </w:r>
      <w:r w:rsidRPr="00FC5520">
        <w:rPr>
          <w:sz w:val="24"/>
          <w:szCs w:val="24"/>
        </w:rPr>
        <w:t>. SpringerBriefs in Psychology. Cham: Springer, pp. 19–24. Available at: https://link.springer.com/chapter/10.1007/978-3-319-74811-5_3 (Accessed: 8 October 2025).</w:t>
      </w:r>
    </w:p>
    <w:p w14:paraId="71FD4F9E" w14:textId="77777777" w:rsidR="00BE2337" w:rsidRPr="00FC5520" w:rsidRDefault="00BE2337" w:rsidP="00BE2337">
      <w:pPr>
        <w:rPr>
          <w:sz w:val="24"/>
          <w:szCs w:val="24"/>
        </w:rPr>
      </w:pPr>
    </w:p>
    <w:p w14:paraId="1DE44508" w14:textId="77777777" w:rsidR="00BE2337" w:rsidRDefault="00BE2337" w:rsidP="00BE2337">
      <w:pPr>
        <w:rPr>
          <w:sz w:val="24"/>
          <w:szCs w:val="24"/>
        </w:rPr>
      </w:pPr>
      <w:r w:rsidRPr="00FC5520">
        <w:rPr>
          <w:i/>
          <w:sz w:val="24"/>
          <w:szCs w:val="24"/>
        </w:rPr>
        <w:t>Social Care Wales (2017) Code of Professional Practice for Social Care</w:t>
      </w:r>
      <w:r w:rsidRPr="00FC5520">
        <w:rPr>
          <w:sz w:val="24"/>
          <w:szCs w:val="24"/>
        </w:rPr>
        <w:t xml:space="preserve">. Available at: </w:t>
      </w:r>
      <w:hyperlink r:id="rId28" w:history="1">
        <w:r w:rsidRPr="0036639D">
          <w:rPr>
            <w:rStyle w:val="Hyperlink"/>
            <w:sz w:val="24"/>
            <w:szCs w:val="24"/>
          </w:rPr>
          <w:t>https://socialcare.wales/cms-assets/documents/Code-of-Professional-Practice-for-Social-Care-web-version.pdf</w:t>
        </w:r>
      </w:hyperlink>
    </w:p>
    <w:p w14:paraId="5938F548" w14:textId="77777777" w:rsidR="00BE2337" w:rsidRPr="00FC5520" w:rsidRDefault="00BE2337" w:rsidP="00BE2337">
      <w:pPr>
        <w:rPr>
          <w:sz w:val="24"/>
          <w:szCs w:val="24"/>
        </w:rPr>
      </w:pPr>
    </w:p>
    <w:p w14:paraId="7926BFE4" w14:textId="77777777" w:rsidR="00BE2337" w:rsidRPr="00FC5520" w:rsidRDefault="00BE2337" w:rsidP="00BE2337">
      <w:pPr>
        <w:rPr>
          <w:sz w:val="24"/>
          <w:szCs w:val="24"/>
        </w:rPr>
      </w:pPr>
      <w:r w:rsidRPr="00FC5520">
        <w:rPr>
          <w:i/>
          <w:sz w:val="24"/>
          <w:szCs w:val="24"/>
        </w:rPr>
        <w:t>Social Care Wales (2025) Assessing and meeting individual needs</w:t>
      </w:r>
      <w:r w:rsidRPr="00FC5520">
        <w:rPr>
          <w:sz w:val="24"/>
          <w:szCs w:val="24"/>
        </w:rPr>
        <w:t>. Available at: https://socialcare.wales/resources-guidance/information-and-learning-hub/learning-resources/social-services-and-well-being-wales-act-2014/assessing-and-meeting-individual-needs</w:t>
      </w:r>
    </w:p>
    <w:p w14:paraId="5E9C8DE1" w14:textId="77777777" w:rsidR="00BE2337" w:rsidRPr="00FC5520" w:rsidRDefault="00BE2337" w:rsidP="00BE2337">
      <w:pPr>
        <w:rPr>
          <w:sz w:val="24"/>
          <w:szCs w:val="24"/>
        </w:rPr>
      </w:pPr>
      <w:r w:rsidRPr="00FC5520">
        <w:rPr>
          <w:i/>
          <w:sz w:val="24"/>
          <w:szCs w:val="24"/>
        </w:rPr>
        <w:t xml:space="preserve">Social Care Wales (2024) Understanding workforce shortages in the Welsh social care and </w:t>
      </w:r>
      <w:proofErr w:type="gramStart"/>
      <w:r w:rsidRPr="00FC5520">
        <w:rPr>
          <w:i/>
          <w:sz w:val="24"/>
          <w:szCs w:val="24"/>
        </w:rPr>
        <w:t>child care</w:t>
      </w:r>
      <w:proofErr w:type="gramEnd"/>
      <w:r w:rsidRPr="00FC5520">
        <w:rPr>
          <w:i/>
          <w:sz w:val="24"/>
          <w:szCs w:val="24"/>
        </w:rPr>
        <w:t xml:space="preserve"> sector</w:t>
      </w:r>
      <w:r w:rsidRPr="00FC5520">
        <w:rPr>
          <w:sz w:val="24"/>
          <w:szCs w:val="24"/>
        </w:rPr>
        <w:t>. Available at: https://insightcollective.socialcare.wales/whats-on/news-and-blogs/understanding-workforce-shortages-in-the-welsh-social-care-and-child-care-sector</w:t>
      </w:r>
    </w:p>
    <w:p w14:paraId="36FBDAEA" w14:textId="77777777" w:rsidR="00BE2337" w:rsidRDefault="00BE2337" w:rsidP="00BE2337">
      <w:pPr>
        <w:rPr>
          <w:i/>
          <w:sz w:val="24"/>
          <w:szCs w:val="24"/>
        </w:rPr>
      </w:pPr>
    </w:p>
    <w:p w14:paraId="770A053E" w14:textId="77777777" w:rsidR="00BE2337" w:rsidRDefault="00BE2337" w:rsidP="00BE2337">
      <w:r w:rsidRPr="00FC5520">
        <w:rPr>
          <w:i/>
          <w:sz w:val="24"/>
          <w:szCs w:val="24"/>
        </w:rPr>
        <w:t xml:space="preserve">Social Services and Well-being (Wales) Act 2014, anaw 4. Available at: </w:t>
      </w:r>
      <w:hyperlink r:id="rId29" w:history="1">
        <w:r w:rsidRPr="0036639D">
          <w:rPr>
            <w:rStyle w:val="Hyperlink"/>
            <w:i/>
            <w:sz w:val="24"/>
            <w:szCs w:val="24"/>
          </w:rPr>
          <w:t>https://www.legislation.gov.uk/anaw/2014/4/contents</w:t>
        </w:r>
      </w:hyperlink>
    </w:p>
    <w:p w14:paraId="56780B3E" w14:textId="77777777" w:rsidR="00BE2337" w:rsidRDefault="00BE2337" w:rsidP="00BE2337">
      <w:pPr>
        <w:rPr>
          <w:i/>
          <w:sz w:val="24"/>
          <w:szCs w:val="24"/>
        </w:rPr>
      </w:pPr>
    </w:p>
    <w:p w14:paraId="56541CC5" w14:textId="77777777" w:rsidR="00BE2337" w:rsidRPr="00E07AD3" w:rsidRDefault="00BE2337" w:rsidP="00BE2337">
      <w:pPr>
        <w:rPr>
          <w:i/>
          <w:sz w:val="24"/>
          <w:szCs w:val="24"/>
        </w:rPr>
      </w:pPr>
      <w:r w:rsidRPr="00E07AD3">
        <w:rPr>
          <w:i/>
          <w:sz w:val="24"/>
          <w:szCs w:val="24"/>
        </w:rPr>
        <w:t xml:space="preserve">Social Work England (2020) </w:t>
      </w:r>
      <w:r w:rsidRPr="00E07AD3">
        <w:rPr>
          <w:i/>
          <w:iCs/>
          <w:sz w:val="24"/>
          <w:szCs w:val="24"/>
        </w:rPr>
        <w:t>Ethics and values</w:t>
      </w:r>
      <w:r w:rsidRPr="00E07AD3">
        <w:rPr>
          <w:i/>
          <w:sz w:val="24"/>
          <w:szCs w:val="24"/>
        </w:rPr>
        <w:t xml:space="preserve">. Available at: </w:t>
      </w:r>
      <w:hyperlink r:id="rId30" w:tgtFrame="_blank" w:history="1">
        <w:r w:rsidRPr="00E07AD3">
          <w:rPr>
            <w:rStyle w:val="Hyperlink"/>
            <w:i/>
            <w:sz w:val="24"/>
            <w:szCs w:val="24"/>
          </w:rPr>
          <w:t>https://www.socialworkengland.org.uk/cpd/ethics-and-values</w:t>
        </w:r>
      </w:hyperlink>
      <w:r w:rsidRPr="00E07AD3">
        <w:rPr>
          <w:i/>
          <w:sz w:val="24"/>
          <w:szCs w:val="24"/>
        </w:rPr>
        <w:t xml:space="preserve"> </w:t>
      </w:r>
      <w:r w:rsidRPr="00FC5520">
        <w:rPr>
          <w:sz w:val="24"/>
          <w:szCs w:val="24"/>
        </w:rPr>
        <w:t>(Accessed: 8 October 2025)</w:t>
      </w:r>
      <w:r>
        <w:rPr>
          <w:sz w:val="24"/>
          <w:szCs w:val="24"/>
        </w:rPr>
        <w:t>.</w:t>
      </w:r>
    </w:p>
    <w:p w14:paraId="73E083D6" w14:textId="77777777" w:rsidR="00BE2337" w:rsidRDefault="00BE2337" w:rsidP="00BE2337">
      <w:pPr>
        <w:rPr>
          <w:i/>
          <w:sz w:val="24"/>
          <w:szCs w:val="24"/>
        </w:rPr>
      </w:pPr>
    </w:p>
    <w:p w14:paraId="072E9385" w14:textId="77777777" w:rsidR="00BE2337" w:rsidRPr="00FC5520" w:rsidRDefault="00BE2337" w:rsidP="00BE2337">
      <w:pPr>
        <w:rPr>
          <w:sz w:val="24"/>
          <w:szCs w:val="24"/>
        </w:rPr>
      </w:pPr>
    </w:p>
    <w:p w14:paraId="20DE02A6" w14:textId="77777777" w:rsidR="00BE2337" w:rsidRPr="00FC5520" w:rsidRDefault="00BE2337" w:rsidP="00BE2337">
      <w:pPr>
        <w:rPr>
          <w:sz w:val="24"/>
          <w:szCs w:val="24"/>
        </w:rPr>
      </w:pPr>
      <w:r w:rsidRPr="00FC5520">
        <w:rPr>
          <w:sz w:val="24"/>
          <w:szCs w:val="24"/>
        </w:rPr>
        <w:t xml:space="preserve">Substance Abuse and Mental Health Services Administration (SAMHSA) (2014) </w:t>
      </w:r>
      <w:r w:rsidRPr="00FC5520">
        <w:rPr>
          <w:i/>
          <w:sz w:val="24"/>
          <w:szCs w:val="24"/>
        </w:rPr>
        <w:t>Trauma-Informed Care in Behavioural Health Services</w:t>
      </w:r>
      <w:r w:rsidRPr="00FC5520">
        <w:rPr>
          <w:sz w:val="24"/>
          <w:szCs w:val="24"/>
        </w:rPr>
        <w:t xml:space="preserve">. Treatment Improvement Protocol (TIP) Series 57. HHS Publication No. (SMA) 14-4816. Rockville, MD: SAMHSA. Available at: https://library.samhsa.gov/sites/default/files/sma14-4816.pdf </w:t>
      </w:r>
    </w:p>
    <w:p w14:paraId="00187007" w14:textId="77777777" w:rsidR="00BE2337" w:rsidRDefault="00BE2337" w:rsidP="00BE2337">
      <w:pPr>
        <w:rPr>
          <w:sz w:val="24"/>
          <w:szCs w:val="24"/>
        </w:rPr>
      </w:pPr>
    </w:p>
    <w:p w14:paraId="448E683A" w14:textId="77777777" w:rsidR="00BE2337" w:rsidRDefault="00BE2337" w:rsidP="00BE2337">
      <w:pPr>
        <w:rPr>
          <w:i/>
          <w:sz w:val="24"/>
          <w:szCs w:val="24"/>
        </w:rPr>
      </w:pPr>
      <w:r w:rsidRPr="00FC5520">
        <w:rPr>
          <w:sz w:val="24"/>
          <w:szCs w:val="24"/>
        </w:rPr>
        <w:t xml:space="preserve">Turnell, A. and Edwards, S. (1999) </w:t>
      </w:r>
      <w:r w:rsidRPr="00FC5520">
        <w:rPr>
          <w:i/>
          <w:sz w:val="24"/>
          <w:szCs w:val="24"/>
        </w:rPr>
        <w:t xml:space="preserve">Signs of Safety: A Solution and Safety Oriented </w:t>
      </w:r>
    </w:p>
    <w:p w14:paraId="26414EF1" w14:textId="77777777" w:rsidR="00BE2337" w:rsidRDefault="00BE2337" w:rsidP="00BE2337">
      <w:pPr>
        <w:rPr>
          <w:i/>
          <w:sz w:val="24"/>
          <w:szCs w:val="24"/>
        </w:rPr>
      </w:pPr>
    </w:p>
    <w:p w14:paraId="327E3ACF" w14:textId="77777777" w:rsidR="00BE2337" w:rsidRPr="00FC5520" w:rsidRDefault="00BE2337" w:rsidP="00BE2337">
      <w:pPr>
        <w:rPr>
          <w:sz w:val="24"/>
          <w:szCs w:val="24"/>
        </w:rPr>
      </w:pPr>
      <w:r w:rsidRPr="00FC5520">
        <w:rPr>
          <w:i/>
          <w:sz w:val="24"/>
          <w:szCs w:val="24"/>
        </w:rPr>
        <w:t>Approach to Child Protection Casework</w:t>
      </w:r>
      <w:r w:rsidRPr="00FC5520">
        <w:rPr>
          <w:sz w:val="24"/>
          <w:szCs w:val="24"/>
        </w:rPr>
        <w:t>. New York: W.W. Norton &amp; Company.</w:t>
      </w:r>
    </w:p>
    <w:p w14:paraId="2FA2E713" w14:textId="77777777" w:rsidR="00BE2337" w:rsidRDefault="00BE2337" w:rsidP="00BE2337">
      <w:pPr>
        <w:rPr>
          <w:sz w:val="24"/>
          <w:szCs w:val="24"/>
        </w:rPr>
      </w:pPr>
    </w:p>
    <w:p w14:paraId="17878F82" w14:textId="77777777" w:rsidR="00BE2337" w:rsidRPr="00FC5520" w:rsidRDefault="00BE2337" w:rsidP="00BE2337">
      <w:pPr>
        <w:rPr>
          <w:sz w:val="24"/>
          <w:szCs w:val="24"/>
        </w:rPr>
      </w:pPr>
      <w:r w:rsidRPr="00FC5520">
        <w:rPr>
          <w:sz w:val="24"/>
          <w:szCs w:val="24"/>
        </w:rPr>
        <w:t xml:space="preserve">United Nations (1989) </w:t>
      </w:r>
      <w:r w:rsidRPr="00FC5520">
        <w:rPr>
          <w:i/>
          <w:sz w:val="24"/>
          <w:szCs w:val="24"/>
        </w:rPr>
        <w:t>Convention on the Rights of the Child</w:t>
      </w:r>
      <w:r w:rsidRPr="00FC5520">
        <w:rPr>
          <w:sz w:val="24"/>
          <w:szCs w:val="24"/>
        </w:rPr>
        <w:t>. Treaty no. 27531. United Nations Treaty Series, 1577, pp. 3–178. Available at: https://treaties.un.org/doc/Treaties/1990/09/19900902%2003-14%20AM/Ch_IV_11p.pdf (Accessed: 7 October 2025).</w:t>
      </w:r>
    </w:p>
    <w:p w14:paraId="46992C44" w14:textId="77777777" w:rsidR="00BE2337" w:rsidRDefault="00BE2337" w:rsidP="00BE2337">
      <w:pPr>
        <w:rPr>
          <w:sz w:val="24"/>
          <w:szCs w:val="24"/>
        </w:rPr>
      </w:pPr>
    </w:p>
    <w:p w14:paraId="7D4415D3" w14:textId="77777777" w:rsidR="00BE2337" w:rsidRDefault="00BE2337" w:rsidP="00BE2337">
      <w:pPr>
        <w:rPr>
          <w:sz w:val="24"/>
          <w:szCs w:val="24"/>
        </w:rPr>
      </w:pPr>
      <w:r w:rsidRPr="00FC5520">
        <w:rPr>
          <w:sz w:val="24"/>
          <w:szCs w:val="24"/>
        </w:rPr>
        <w:t xml:space="preserve">Uzonwanne, F. (2016) ‘Rational Model of Decision Making’, in Farazmand, A. (ed.) </w:t>
      </w:r>
      <w:r w:rsidRPr="00FC5520">
        <w:rPr>
          <w:i/>
          <w:sz w:val="24"/>
          <w:szCs w:val="24"/>
        </w:rPr>
        <w:t>Global Encyclopedia of Public Administration, Public Policy, and Governance</w:t>
      </w:r>
      <w:r w:rsidRPr="00FC5520">
        <w:rPr>
          <w:sz w:val="24"/>
          <w:szCs w:val="24"/>
        </w:rPr>
        <w:t>. Springer. Available at: ResearchGate</w:t>
      </w:r>
    </w:p>
    <w:p w14:paraId="380639C9" w14:textId="77777777" w:rsidR="00BE2337" w:rsidRPr="00FC5520" w:rsidRDefault="00BE2337" w:rsidP="00BE2337">
      <w:pPr>
        <w:rPr>
          <w:sz w:val="24"/>
          <w:szCs w:val="24"/>
        </w:rPr>
      </w:pPr>
    </w:p>
    <w:p w14:paraId="61E3B0DB" w14:textId="77777777" w:rsidR="00BE2337" w:rsidRPr="00FC5520" w:rsidRDefault="00BE2337" w:rsidP="00BE2337">
      <w:pPr>
        <w:rPr>
          <w:sz w:val="24"/>
          <w:szCs w:val="24"/>
        </w:rPr>
      </w:pPr>
      <w:r w:rsidRPr="00FC5520">
        <w:rPr>
          <w:sz w:val="24"/>
          <w:szCs w:val="24"/>
        </w:rPr>
        <w:t>Welsh Government (2014) Social Services and Well-being (Wales) Act 2014. Available at: https://www.legislation.gov.uk/anaw/2014/4 (Accessed: 7 October 2025).</w:t>
      </w:r>
    </w:p>
    <w:p w14:paraId="77049D6B" w14:textId="77777777" w:rsidR="00BE2337" w:rsidRDefault="00BE2337" w:rsidP="00BE2337">
      <w:pPr>
        <w:rPr>
          <w:sz w:val="24"/>
          <w:szCs w:val="24"/>
        </w:rPr>
      </w:pPr>
      <w:r w:rsidRPr="00FC5520">
        <w:rPr>
          <w:sz w:val="24"/>
          <w:szCs w:val="24"/>
        </w:rPr>
        <w:lastRenderedPageBreak/>
        <w:t xml:space="preserve">Welsh Government (2019b) </w:t>
      </w:r>
      <w:r w:rsidRPr="00FC5520">
        <w:rPr>
          <w:i/>
          <w:sz w:val="24"/>
          <w:szCs w:val="24"/>
        </w:rPr>
        <w:t>The Regulated Fostering Services (Service Providers and Responsible Individuals) (Wales) Regulations 2019</w:t>
      </w:r>
      <w:r w:rsidRPr="00FC5520">
        <w:rPr>
          <w:sz w:val="24"/>
          <w:szCs w:val="24"/>
        </w:rPr>
        <w:t>. Available at: https://www.legislation.gov.uk/wsi/2019/169 (Accessed: 7 October 2025).</w:t>
      </w:r>
    </w:p>
    <w:p w14:paraId="0718063D" w14:textId="77777777" w:rsidR="00BE2337" w:rsidRPr="00FC5520" w:rsidRDefault="00BE2337" w:rsidP="00BE2337">
      <w:pPr>
        <w:rPr>
          <w:sz w:val="24"/>
          <w:szCs w:val="24"/>
        </w:rPr>
      </w:pPr>
    </w:p>
    <w:p w14:paraId="3FB40915" w14:textId="77777777" w:rsidR="00BE2337" w:rsidRDefault="00BE2337" w:rsidP="00BE2337">
      <w:pPr>
        <w:rPr>
          <w:sz w:val="24"/>
          <w:szCs w:val="24"/>
        </w:rPr>
      </w:pPr>
      <w:r w:rsidRPr="00FC5520">
        <w:rPr>
          <w:sz w:val="24"/>
          <w:szCs w:val="24"/>
        </w:rPr>
        <w:t xml:space="preserve">Welsh Government (2021) </w:t>
      </w:r>
      <w:r w:rsidRPr="00FC5520">
        <w:rPr>
          <w:i/>
          <w:sz w:val="24"/>
          <w:szCs w:val="24"/>
        </w:rPr>
        <w:t>Making good decisions: Welsh Government guidance</w:t>
      </w:r>
      <w:r w:rsidRPr="00FC5520">
        <w:rPr>
          <w:sz w:val="24"/>
          <w:szCs w:val="24"/>
        </w:rPr>
        <w:t>. Available at: https://law.gov.wales/welsh-government-guidance-making-good-decisions (Accessed: 8 October 2025).</w:t>
      </w:r>
    </w:p>
    <w:p w14:paraId="78CD49EF" w14:textId="77777777" w:rsidR="00BE2337" w:rsidRPr="00FC5520" w:rsidRDefault="00BE2337" w:rsidP="00BE2337">
      <w:pPr>
        <w:rPr>
          <w:sz w:val="24"/>
          <w:szCs w:val="24"/>
        </w:rPr>
      </w:pPr>
    </w:p>
    <w:p w14:paraId="769A57D2" w14:textId="77777777" w:rsidR="00BE2337" w:rsidRDefault="00BE2337" w:rsidP="00BE2337">
      <w:pPr>
        <w:rPr>
          <w:sz w:val="24"/>
          <w:szCs w:val="24"/>
        </w:rPr>
      </w:pPr>
      <w:r w:rsidRPr="00FC5520">
        <w:rPr>
          <w:sz w:val="24"/>
          <w:szCs w:val="24"/>
        </w:rPr>
        <w:t xml:space="preserve">Welsh Government (2024) </w:t>
      </w:r>
      <w:r w:rsidRPr="00FC5520">
        <w:rPr>
          <w:i/>
          <w:sz w:val="24"/>
          <w:szCs w:val="24"/>
        </w:rPr>
        <w:t>Substance Misuse Treatment Framework for Children and Young People</w:t>
      </w:r>
      <w:r w:rsidRPr="00FC5520">
        <w:rPr>
          <w:sz w:val="24"/>
          <w:szCs w:val="24"/>
        </w:rPr>
        <w:t>. Available at: https://www.gov.wales/sites/default/files/publications/2024-07/substance-misuse-treatment-framework-for-children-and-young-people.pdf (Accessed: 8 October 2025).</w:t>
      </w:r>
    </w:p>
    <w:p w14:paraId="1A281930" w14:textId="77777777" w:rsidR="00BE2337" w:rsidRPr="00FC5520" w:rsidRDefault="00BE2337" w:rsidP="00BE2337">
      <w:pPr>
        <w:rPr>
          <w:sz w:val="24"/>
          <w:szCs w:val="24"/>
        </w:rPr>
      </w:pPr>
    </w:p>
    <w:p w14:paraId="0F5B10B2" w14:textId="77777777" w:rsidR="00BE2337" w:rsidRDefault="00BE2337" w:rsidP="00BE2337">
      <w:pPr>
        <w:rPr>
          <w:sz w:val="24"/>
          <w:szCs w:val="24"/>
        </w:rPr>
      </w:pPr>
      <w:r w:rsidRPr="00FC5520">
        <w:rPr>
          <w:sz w:val="24"/>
          <w:szCs w:val="24"/>
        </w:rPr>
        <w:t xml:space="preserve">Welsh Government (2025a) </w:t>
      </w:r>
      <w:r w:rsidRPr="00FC5520">
        <w:rPr>
          <w:i/>
          <w:sz w:val="24"/>
          <w:szCs w:val="24"/>
        </w:rPr>
        <w:t>Improving adoption, fostering and kinship services</w:t>
      </w:r>
      <w:r w:rsidRPr="00FC5520">
        <w:rPr>
          <w:sz w:val="24"/>
          <w:szCs w:val="24"/>
        </w:rPr>
        <w:t>. Available at: https://www.gov.wales/improving-adoption-fostering-and-kinship-services (Accessed: 8 October 2025).</w:t>
      </w:r>
    </w:p>
    <w:p w14:paraId="339C305E" w14:textId="77777777" w:rsidR="00BE2337" w:rsidRPr="00FC5520" w:rsidRDefault="00BE2337" w:rsidP="00BE2337">
      <w:pPr>
        <w:rPr>
          <w:sz w:val="24"/>
          <w:szCs w:val="24"/>
        </w:rPr>
      </w:pPr>
    </w:p>
    <w:p w14:paraId="09F8465E" w14:textId="77777777" w:rsidR="00BE2337" w:rsidRDefault="00BE2337" w:rsidP="00BE2337">
      <w:pPr>
        <w:rPr>
          <w:sz w:val="24"/>
          <w:szCs w:val="24"/>
        </w:rPr>
      </w:pPr>
      <w:r w:rsidRPr="00FC5520">
        <w:rPr>
          <w:sz w:val="24"/>
          <w:szCs w:val="24"/>
        </w:rPr>
        <w:t xml:space="preserve">Welsh Government (2025b) </w:t>
      </w:r>
      <w:r w:rsidRPr="00FC5520">
        <w:rPr>
          <w:i/>
          <w:sz w:val="24"/>
          <w:szCs w:val="24"/>
        </w:rPr>
        <w:t>National multi-agency practice framework for children’s services</w:t>
      </w:r>
      <w:r w:rsidRPr="00FC5520">
        <w:rPr>
          <w:sz w:val="24"/>
          <w:szCs w:val="24"/>
        </w:rPr>
        <w:t>. Available at: https://www.gov.wales/national-multi-agency-practice-framework-childrens-services-html (Accessed: 8 October 2025).</w:t>
      </w:r>
    </w:p>
    <w:p w14:paraId="14B02AD0" w14:textId="77777777" w:rsidR="00BE2337" w:rsidRPr="00FC5520" w:rsidRDefault="00BE2337" w:rsidP="00BE2337">
      <w:pPr>
        <w:rPr>
          <w:sz w:val="24"/>
          <w:szCs w:val="24"/>
        </w:rPr>
      </w:pPr>
    </w:p>
    <w:p w14:paraId="45673CE9" w14:textId="77777777" w:rsidR="00BE2337" w:rsidRDefault="00BE2337" w:rsidP="00BE2337">
      <w:pPr>
        <w:rPr>
          <w:sz w:val="24"/>
          <w:szCs w:val="24"/>
        </w:rPr>
      </w:pPr>
      <w:r w:rsidRPr="00FC5520">
        <w:rPr>
          <w:sz w:val="24"/>
          <w:szCs w:val="24"/>
        </w:rPr>
        <w:t xml:space="preserve">Welsh Government (2019a) </w:t>
      </w:r>
      <w:r w:rsidRPr="00FC5520">
        <w:rPr>
          <w:i/>
          <w:sz w:val="24"/>
          <w:szCs w:val="24"/>
        </w:rPr>
        <w:t>Statutory guidance: Fostering services – guidance for providers and responsible individuals of regulated fostering services</w:t>
      </w:r>
      <w:r w:rsidRPr="00FC5520">
        <w:rPr>
          <w:sz w:val="24"/>
          <w:szCs w:val="24"/>
        </w:rPr>
        <w:t>. Cardiff: Welsh Government. Available at: https://www.gov.wales/sites/default/files/publications/2019-04/guidance-for-providers-and-responsible-individuals-of-regulated-fostering-services.pdf (Accessed: 8 October 2025).</w:t>
      </w:r>
    </w:p>
    <w:p w14:paraId="24989E33" w14:textId="77777777" w:rsidR="00BE2337" w:rsidRPr="00FC5520" w:rsidRDefault="00BE2337" w:rsidP="00BE2337">
      <w:pPr>
        <w:rPr>
          <w:sz w:val="24"/>
          <w:szCs w:val="24"/>
        </w:rPr>
      </w:pPr>
    </w:p>
    <w:p w14:paraId="0DF9BF0E" w14:textId="77777777" w:rsidR="00BE2337" w:rsidRPr="00FC5520" w:rsidRDefault="00BE2337" w:rsidP="00BE2337">
      <w:pPr>
        <w:rPr>
          <w:sz w:val="24"/>
          <w:szCs w:val="24"/>
        </w:rPr>
      </w:pPr>
      <w:r w:rsidRPr="00FC5520">
        <w:rPr>
          <w:sz w:val="24"/>
          <w:szCs w:val="24"/>
        </w:rPr>
        <w:t xml:space="preserve">Welsh Government (2025) </w:t>
      </w:r>
      <w:r w:rsidRPr="00FC5520">
        <w:rPr>
          <w:i/>
          <w:sz w:val="24"/>
          <w:szCs w:val="24"/>
        </w:rPr>
        <w:t>Children looked after by local authorities: April 2023 to March 2024 (official statistics in development)</w:t>
      </w:r>
      <w:r w:rsidRPr="00FC5520">
        <w:rPr>
          <w:sz w:val="24"/>
          <w:szCs w:val="24"/>
        </w:rPr>
        <w:t>. Available at: https://www.gov.wales/children-looked-after-local-authorities-april-2023-march-2024-official-statistics-development-html</w:t>
      </w:r>
    </w:p>
    <w:p w14:paraId="41233C3A" w14:textId="77777777" w:rsidR="00BE2337" w:rsidRDefault="00BE2337" w:rsidP="00BE2337">
      <w:pPr>
        <w:rPr>
          <w:sz w:val="24"/>
          <w:szCs w:val="24"/>
        </w:rPr>
      </w:pPr>
    </w:p>
    <w:p w14:paraId="7FCA4320" w14:textId="77777777" w:rsidR="00BE2337" w:rsidRPr="00DB0F86" w:rsidRDefault="00BE2337" w:rsidP="00BE2337">
      <w:pPr>
        <w:rPr>
          <w:sz w:val="24"/>
          <w:szCs w:val="24"/>
        </w:rPr>
      </w:pPr>
      <w:r w:rsidRPr="00DB0F86">
        <w:rPr>
          <w:sz w:val="24"/>
          <w:szCs w:val="24"/>
        </w:rPr>
        <w:t xml:space="preserve">Welsh Government (2025) </w:t>
      </w:r>
      <w:r w:rsidRPr="00DB0F86">
        <w:rPr>
          <w:i/>
          <w:iCs/>
          <w:sz w:val="24"/>
          <w:szCs w:val="24"/>
        </w:rPr>
        <w:t>Welsh Index of Multiple Deprivation</w:t>
      </w:r>
      <w:r w:rsidRPr="00DB0F86">
        <w:rPr>
          <w:sz w:val="24"/>
          <w:szCs w:val="24"/>
        </w:rPr>
        <w:t xml:space="preserve">. Available at: </w:t>
      </w:r>
      <w:hyperlink r:id="rId31" w:tgtFrame="_blank" w:history="1">
        <w:r w:rsidRPr="00DB0F86">
          <w:rPr>
            <w:rStyle w:val="Hyperlink"/>
            <w:sz w:val="24"/>
            <w:szCs w:val="24"/>
          </w:rPr>
          <w:t>https://www.gov.wales/welsh-index-multiple-deprivation</w:t>
        </w:r>
      </w:hyperlink>
      <w:r w:rsidRPr="00DB0F86">
        <w:rPr>
          <w:sz w:val="24"/>
          <w:szCs w:val="24"/>
        </w:rPr>
        <w:t xml:space="preserve"> (Accessed: 2 October 2025).</w:t>
      </w:r>
    </w:p>
    <w:p w14:paraId="0D7E1C76" w14:textId="77777777" w:rsidR="00BE2337" w:rsidRDefault="00BE2337" w:rsidP="00BE2337">
      <w:pPr>
        <w:rPr>
          <w:sz w:val="24"/>
          <w:szCs w:val="24"/>
        </w:rPr>
      </w:pPr>
    </w:p>
    <w:p w14:paraId="3A169BD5" w14:textId="77777777" w:rsidR="00BE2337" w:rsidRPr="00FC5520" w:rsidRDefault="00BE2337" w:rsidP="00BE2337">
      <w:pPr>
        <w:rPr>
          <w:sz w:val="24"/>
          <w:szCs w:val="24"/>
        </w:rPr>
      </w:pPr>
      <w:r w:rsidRPr="00FC5520">
        <w:rPr>
          <w:sz w:val="24"/>
          <w:szCs w:val="24"/>
        </w:rPr>
        <w:t xml:space="preserve">Winokur, M., Holtan, A. and Batchelder, K.E. (2014) ‘Kinship care for the safety, permanency, and well-being of children removed from the home for maltreatment: A systematic review’, </w:t>
      </w:r>
      <w:r w:rsidRPr="00FC5520">
        <w:rPr>
          <w:i/>
          <w:sz w:val="24"/>
          <w:szCs w:val="24"/>
        </w:rPr>
        <w:t>Campbell Systematic Reviews</w:t>
      </w:r>
      <w:r w:rsidRPr="00FC5520">
        <w:rPr>
          <w:sz w:val="24"/>
          <w:szCs w:val="24"/>
        </w:rPr>
        <w:t>, 2014:2. Available at: https://doi.org/10.4073/csr.2014.2</w:t>
      </w:r>
    </w:p>
    <w:p w14:paraId="7E50C189" w14:textId="77777777" w:rsidR="0058530B" w:rsidRPr="00EA4D6F" w:rsidRDefault="0058530B" w:rsidP="0058530B">
      <w:pPr>
        <w:rPr>
          <w:sz w:val="24"/>
          <w:szCs w:val="24"/>
        </w:rPr>
      </w:pPr>
    </w:p>
    <w:p w14:paraId="7B1D9ED4" w14:textId="20A59D36" w:rsidR="0058530B" w:rsidRPr="00EA4D6F" w:rsidRDefault="0058530B" w:rsidP="0058530B">
      <w:pPr>
        <w:rPr>
          <w:b/>
          <w:bCs/>
          <w:sz w:val="24"/>
          <w:szCs w:val="24"/>
        </w:rPr>
      </w:pPr>
      <w:r w:rsidRPr="00EA4D6F">
        <w:rPr>
          <w:b/>
          <w:bCs/>
          <w:sz w:val="24"/>
          <w:szCs w:val="24"/>
        </w:rPr>
        <w:t xml:space="preserve">References- </w:t>
      </w:r>
      <w:r w:rsidR="00051F3B">
        <w:rPr>
          <w:b/>
          <w:bCs/>
          <w:sz w:val="24"/>
          <w:szCs w:val="24"/>
        </w:rPr>
        <w:t>Task</w:t>
      </w:r>
      <w:r w:rsidRPr="00EA4D6F">
        <w:rPr>
          <w:b/>
          <w:bCs/>
          <w:sz w:val="24"/>
          <w:szCs w:val="24"/>
        </w:rPr>
        <w:t xml:space="preserve"> 4</w:t>
      </w:r>
    </w:p>
    <w:p w14:paraId="3A6317BD" w14:textId="77777777" w:rsidR="0058530B" w:rsidRPr="00EA4D6F" w:rsidRDefault="0058530B" w:rsidP="0058530B">
      <w:pPr>
        <w:rPr>
          <w:b/>
          <w:bCs/>
          <w:sz w:val="24"/>
          <w:szCs w:val="24"/>
        </w:rPr>
      </w:pPr>
    </w:p>
    <w:p w14:paraId="069276B8" w14:textId="77777777" w:rsidR="0058530B" w:rsidRPr="00EA4D6F" w:rsidRDefault="0058530B" w:rsidP="0058530B">
      <w:pPr>
        <w:rPr>
          <w:sz w:val="24"/>
          <w:szCs w:val="24"/>
        </w:rPr>
      </w:pPr>
      <w:r w:rsidRPr="00EA4D6F">
        <w:rPr>
          <w:sz w:val="24"/>
          <w:szCs w:val="24"/>
        </w:rPr>
        <w:t>Ann Craft Trust (2022) Safeguarding Adults Week 2022. Available at: https://www.anncrafttrust.org/events/safeguarding-adults-week-2022/ (Accessed: 7 October 2025).</w:t>
      </w:r>
    </w:p>
    <w:p w14:paraId="3BE12824" w14:textId="77777777" w:rsidR="0058530B" w:rsidRPr="00EA4D6F" w:rsidRDefault="0058530B" w:rsidP="0058530B">
      <w:pPr>
        <w:rPr>
          <w:sz w:val="24"/>
          <w:szCs w:val="24"/>
        </w:rPr>
      </w:pPr>
    </w:p>
    <w:p w14:paraId="47CDC8DD" w14:textId="77777777" w:rsidR="0058530B" w:rsidRPr="00EA4D6F" w:rsidRDefault="0058530B" w:rsidP="0058530B">
      <w:pPr>
        <w:rPr>
          <w:sz w:val="24"/>
          <w:szCs w:val="24"/>
        </w:rPr>
      </w:pPr>
      <w:r w:rsidRPr="00EA4D6F">
        <w:rPr>
          <w:sz w:val="24"/>
          <w:szCs w:val="24"/>
        </w:rPr>
        <w:t>Care Learning (2025) Explain the current legislative framework and national guidance that underpins the safeguarding of adults. Available at: https://carelearning.org.uk/qualifications/level-5-adult-care/lmac-8a-safeguarding/1-1-explain-</w:t>
      </w:r>
      <w:r w:rsidRPr="00EA4D6F">
        <w:rPr>
          <w:sz w:val="24"/>
          <w:szCs w:val="24"/>
        </w:rPr>
        <w:lastRenderedPageBreak/>
        <w:t>the-current-legislative-framework-and-national-guidance-that-underpins-the-safeguarding-of-adults/ (Accessed: 7 October 2025).</w:t>
      </w:r>
    </w:p>
    <w:p w14:paraId="3C9FB3AE" w14:textId="77777777" w:rsidR="0058530B" w:rsidRPr="00EA4D6F" w:rsidRDefault="0058530B" w:rsidP="0058530B">
      <w:pPr>
        <w:rPr>
          <w:sz w:val="24"/>
          <w:szCs w:val="24"/>
        </w:rPr>
      </w:pPr>
    </w:p>
    <w:p w14:paraId="55BCFB8B" w14:textId="77777777" w:rsidR="0058530B" w:rsidRPr="00EA4D6F" w:rsidRDefault="0058530B" w:rsidP="0058530B">
      <w:pPr>
        <w:rPr>
          <w:sz w:val="24"/>
          <w:szCs w:val="24"/>
        </w:rPr>
      </w:pPr>
      <w:r w:rsidRPr="00EA4D6F">
        <w:rPr>
          <w:sz w:val="24"/>
          <w:szCs w:val="24"/>
        </w:rPr>
        <w:t>Care Quality Commission (2025) Safeguarding. Available at: https://www.cqc.org.uk/guidance-regulation/providers/assessment/single-assessment-framework/safe/safeguarding (Accessed: 7 October 2025).</w:t>
      </w:r>
    </w:p>
    <w:p w14:paraId="4E0ADB76" w14:textId="77777777" w:rsidR="0058530B" w:rsidRPr="00EA4D6F" w:rsidRDefault="0058530B" w:rsidP="0058530B">
      <w:pPr>
        <w:rPr>
          <w:sz w:val="24"/>
          <w:szCs w:val="24"/>
        </w:rPr>
      </w:pPr>
    </w:p>
    <w:p w14:paraId="11922126" w14:textId="77777777" w:rsidR="0058530B" w:rsidRPr="00EA4D6F" w:rsidRDefault="0058530B" w:rsidP="0058530B">
      <w:pPr>
        <w:rPr>
          <w:sz w:val="24"/>
          <w:szCs w:val="24"/>
        </w:rPr>
      </w:pPr>
      <w:r w:rsidRPr="00EA4D6F">
        <w:rPr>
          <w:sz w:val="24"/>
          <w:szCs w:val="24"/>
        </w:rPr>
        <w:t>Great Britain (1998) Human Rights Act 1998. London: The Stationery Office.</w:t>
      </w:r>
    </w:p>
    <w:p w14:paraId="2E0E7C22" w14:textId="77777777" w:rsidR="0058530B" w:rsidRPr="00EA4D6F" w:rsidRDefault="0058530B" w:rsidP="0058530B">
      <w:pPr>
        <w:rPr>
          <w:sz w:val="24"/>
          <w:szCs w:val="24"/>
        </w:rPr>
      </w:pPr>
    </w:p>
    <w:p w14:paraId="7CBCE935" w14:textId="77777777" w:rsidR="0058530B" w:rsidRPr="00EA4D6F" w:rsidRDefault="0058530B" w:rsidP="0058530B">
      <w:pPr>
        <w:rPr>
          <w:sz w:val="24"/>
          <w:szCs w:val="24"/>
        </w:rPr>
      </w:pPr>
      <w:r w:rsidRPr="00EA4D6F">
        <w:rPr>
          <w:sz w:val="24"/>
          <w:szCs w:val="24"/>
        </w:rPr>
        <w:t xml:space="preserve">Great Britain (2005) </w:t>
      </w:r>
      <w:r w:rsidRPr="00EA4D6F">
        <w:rPr>
          <w:i/>
          <w:iCs/>
          <w:sz w:val="24"/>
          <w:szCs w:val="24"/>
        </w:rPr>
        <w:t>Mental Capacity Act 2005</w:t>
      </w:r>
      <w:r w:rsidRPr="00EA4D6F">
        <w:rPr>
          <w:sz w:val="24"/>
          <w:szCs w:val="24"/>
        </w:rPr>
        <w:t xml:space="preserve">. London: The Stationery Office. Available at: </w:t>
      </w:r>
      <w:hyperlink r:id="rId32" w:tgtFrame="_blank" w:history="1">
        <w:r w:rsidRPr="00EA4D6F">
          <w:rPr>
            <w:rStyle w:val="Hyperlink"/>
            <w:sz w:val="24"/>
            <w:szCs w:val="24"/>
          </w:rPr>
          <w:t>https://www.legislation.gov.uk/ukpga/2005/9/contents</w:t>
        </w:r>
      </w:hyperlink>
      <w:r w:rsidRPr="00EA4D6F">
        <w:rPr>
          <w:sz w:val="24"/>
          <w:szCs w:val="24"/>
        </w:rPr>
        <w:t xml:space="preserve"> (Accessed: 7 October 2025).</w:t>
      </w:r>
    </w:p>
    <w:p w14:paraId="764B93AE" w14:textId="77777777" w:rsidR="0058530B" w:rsidRPr="00EA4D6F" w:rsidRDefault="0058530B" w:rsidP="0058530B">
      <w:pPr>
        <w:rPr>
          <w:sz w:val="24"/>
          <w:szCs w:val="24"/>
        </w:rPr>
      </w:pPr>
    </w:p>
    <w:p w14:paraId="4C6D7D1C" w14:textId="77777777" w:rsidR="0058530B" w:rsidRPr="00EA4D6F" w:rsidRDefault="0058530B" w:rsidP="0058530B">
      <w:pPr>
        <w:rPr>
          <w:sz w:val="24"/>
          <w:szCs w:val="24"/>
        </w:rPr>
      </w:pPr>
      <w:r w:rsidRPr="00EA4D6F">
        <w:rPr>
          <w:sz w:val="24"/>
          <w:szCs w:val="24"/>
        </w:rPr>
        <w:t>Local Government Association (2023) Safeguarding roles and responsibilities: Safeguarding is everybody’s business. Available at: https://www.local.gov.uk/publications/safeguarding-roles-and-responsibilities-safeguarding-everybodys-business (Accessed: 7 October 2025).</w:t>
      </w:r>
    </w:p>
    <w:p w14:paraId="1F65819A" w14:textId="77777777" w:rsidR="0058530B" w:rsidRPr="00EA4D6F" w:rsidRDefault="0058530B" w:rsidP="0058530B">
      <w:pPr>
        <w:rPr>
          <w:sz w:val="24"/>
          <w:szCs w:val="24"/>
        </w:rPr>
      </w:pPr>
    </w:p>
    <w:p w14:paraId="1429B00A" w14:textId="77777777" w:rsidR="0058530B" w:rsidRPr="00EA4D6F" w:rsidRDefault="0058530B" w:rsidP="0058530B">
      <w:pPr>
        <w:rPr>
          <w:sz w:val="24"/>
          <w:szCs w:val="24"/>
        </w:rPr>
      </w:pPr>
      <w:r w:rsidRPr="00EA4D6F">
        <w:rPr>
          <w:sz w:val="24"/>
          <w:szCs w:val="24"/>
        </w:rPr>
        <w:t>Mental Capacity Act (2005) c.9. London: The Stationery Office.</w:t>
      </w:r>
    </w:p>
    <w:p w14:paraId="1E5320DD" w14:textId="77777777" w:rsidR="0058530B" w:rsidRPr="00EA4D6F" w:rsidRDefault="0058530B" w:rsidP="0058530B">
      <w:pPr>
        <w:rPr>
          <w:sz w:val="24"/>
          <w:szCs w:val="24"/>
        </w:rPr>
      </w:pPr>
    </w:p>
    <w:p w14:paraId="76207EB8" w14:textId="77777777" w:rsidR="0058530B" w:rsidRPr="00EA4D6F" w:rsidRDefault="0058530B" w:rsidP="0058530B">
      <w:pPr>
        <w:rPr>
          <w:sz w:val="24"/>
          <w:szCs w:val="24"/>
        </w:rPr>
      </w:pPr>
      <w:r w:rsidRPr="00EA4D6F">
        <w:rPr>
          <w:sz w:val="24"/>
          <w:szCs w:val="24"/>
        </w:rPr>
        <w:t>Social Care Wales (2024) Safeguarding. Available at: https://socialcare.wales/social-work-resources-library/safeguarding (Accessed: 7 October 2025).</w:t>
      </w:r>
    </w:p>
    <w:p w14:paraId="57AA6123" w14:textId="77777777" w:rsidR="0058530B" w:rsidRPr="008716BE" w:rsidRDefault="0058530B" w:rsidP="0058530B">
      <w:pPr>
        <w:rPr>
          <w:sz w:val="24"/>
          <w:szCs w:val="24"/>
        </w:rPr>
      </w:pPr>
    </w:p>
    <w:p w14:paraId="3E5D6524" w14:textId="77777777" w:rsidR="0058530B" w:rsidRPr="008716BE" w:rsidRDefault="0058530B" w:rsidP="0058530B">
      <w:pPr>
        <w:rPr>
          <w:sz w:val="24"/>
          <w:szCs w:val="24"/>
        </w:rPr>
      </w:pPr>
      <w:r w:rsidRPr="008716BE">
        <w:rPr>
          <w:sz w:val="24"/>
          <w:szCs w:val="24"/>
        </w:rPr>
        <w:t>Social Care Wales (2025) Resources and case studies. Available at: https://socialcare.wales/resources-guidance/safeguarding-list/safeguarding-resources-and-case-studies (Accessed: 7 October 2025).</w:t>
      </w:r>
    </w:p>
    <w:p w14:paraId="1FFDDF5C" w14:textId="77777777" w:rsidR="0058530B" w:rsidRPr="008716BE" w:rsidRDefault="0058530B" w:rsidP="0058530B">
      <w:pPr>
        <w:rPr>
          <w:sz w:val="24"/>
          <w:szCs w:val="24"/>
        </w:rPr>
      </w:pPr>
    </w:p>
    <w:p w14:paraId="696E989F" w14:textId="77777777" w:rsidR="0058530B" w:rsidRPr="008716BE" w:rsidRDefault="0058530B" w:rsidP="0058530B">
      <w:pPr>
        <w:rPr>
          <w:sz w:val="24"/>
          <w:szCs w:val="24"/>
        </w:rPr>
      </w:pPr>
      <w:r w:rsidRPr="008716BE">
        <w:rPr>
          <w:sz w:val="24"/>
          <w:szCs w:val="24"/>
        </w:rPr>
        <w:t>Welsh Government (2016) Social Services and Well-being (Wales) Act 2014: The Essentials. Available at: https://www.gov.wales/sites/default/files/publications/2019-05/social-services-and-well-being-wales-act-2014-the-essentials.pdf (Accessed: 7 October 2025).</w:t>
      </w:r>
    </w:p>
    <w:p w14:paraId="52E2018C" w14:textId="77777777" w:rsidR="0058530B" w:rsidRPr="008716BE" w:rsidRDefault="0058530B" w:rsidP="0058530B">
      <w:pPr>
        <w:rPr>
          <w:sz w:val="24"/>
          <w:szCs w:val="24"/>
        </w:rPr>
      </w:pPr>
    </w:p>
    <w:p w14:paraId="43624661" w14:textId="77777777" w:rsidR="0058530B" w:rsidRPr="008716BE" w:rsidRDefault="0058530B" w:rsidP="0058530B">
      <w:pPr>
        <w:rPr>
          <w:sz w:val="24"/>
          <w:szCs w:val="24"/>
        </w:rPr>
      </w:pPr>
      <w:r w:rsidRPr="008716BE">
        <w:rPr>
          <w:sz w:val="24"/>
          <w:szCs w:val="24"/>
        </w:rPr>
        <w:t xml:space="preserve">Welsh Government (2019a) </w:t>
      </w:r>
      <w:r w:rsidRPr="008716BE">
        <w:rPr>
          <w:i/>
          <w:iCs/>
          <w:sz w:val="24"/>
          <w:szCs w:val="24"/>
        </w:rPr>
        <w:t>Social Services and Well-being (Wales) Act 2014: The Essentials</w:t>
      </w:r>
      <w:r w:rsidRPr="008716BE">
        <w:rPr>
          <w:sz w:val="24"/>
          <w:szCs w:val="24"/>
        </w:rPr>
        <w:t xml:space="preserve">. Available at: </w:t>
      </w:r>
      <w:hyperlink r:id="rId33" w:tgtFrame="_blank" w:history="1">
        <w:r w:rsidRPr="008716BE">
          <w:rPr>
            <w:rStyle w:val="Hyperlink"/>
            <w:sz w:val="24"/>
            <w:szCs w:val="24"/>
          </w:rPr>
          <w:t>https://www.gov.wales/sites/default/files/publications/2019-05/social-services-and-well-being-wales-act-2014-the-essentials.pdf</w:t>
        </w:r>
      </w:hyperlink>
      <w:r w:rsidRPr="008716BE">
        <w:rPr>
          <w:sz w:val="24"/>
          <w:szCs w:val="24"/>
        </w:rPr>
        <w:t xml:space="preserve"> (Accessed: 7 October 2025)..</w:t>
      </w:r>
    </w:p>
    <w:p w14:paraId="2C32CE02" w14:textId="77777777" w:rsidR="0058530B" w:rsidRPr="008716BE" w:rsidRDefault="0058530B" w:rsidP="0058530B">
      <w:pPr>
        <w:rPr>
          <w:sz w:val="24"/>
          <w:szCs w:val="24"/>
        </w:rPr>
      </w:pPr>
    </w:p>
    <w:p w14:paraId="3415E33E" w14:textId="77777777" w:rsidR="0058530B" w:rsidRPr="008716BE" w:rsidRDefault="0058530B" w:rsidP="0058530B">
      <w:pPr>
        <w:rPr>
          <w:sz w:val="24"/>
          <w:szCs w:val="24"/>
        </w:rPr>
      </w:pPr>
      <w:r w:rsidRPr="008716BE">
        <w:rPr>
          <w:sz w:val="24"/>
          <w:szCs w:val="24"/>
        </w:rPr>
        <w:t>Welsh Government (2019b) Working together to safeguard people: Volume I – Introduction and overview. Available at: https://www.gov.wales/sites/default/files/publications/2019-05/working-together-to-safeguard-people-volume-i-introduction-and-overview.pdf (Accessed: 7 October 2025)</w:t>
      </w:r>
    </w:p>
    <w:p w14:paraId="46BB840F" w14:textId="77777777" w:rsidR="0058530B" w:rsidRPr="008716BE" w:rsidRDefault="0058530B" w:rsidP="0058530B">
      <w:pPr>
        <w:rPr>
          <w:sz w:val="24"/>
          <w:szCs w:val="24"/>
        </w:rPr>
      </w:pPr>
    </w:p>
    <w:p w14:paraId="22C618AE" w14:textId="77777777" w:rsidR="0058530B" w:rsidRPr="008716BE" w:rsidRDefault="0058530B" w:rsidP="0058530B">
      <w:pPr>
        <w:rPr>
          <w:sz w:val="24"/>
          <w:szCs w:val="24"/>
        </w:rPr>
      </w:pPr>
      <w:r w:rsidRPr="008716BE">
        <w:rPr>
          <w:sz w:val="24"/>
          <w:szCs w:val="24"/>
        </w:rPr>
        <w:t>Welsh Government (2022) Children’s rights in Wales. Available at: https://www.gov.wales/childrens-rights-in-wales (Accessed: 7 October 2025).</w:t>
      </w:r>
    </w:p>
    <w:p w14:paraId="24AD8DE6" w14:textId="77777777" w:rsidR="0058530B" w:rsidRPr="008716BE" w:rsidRDefault="0058530B" w:rsidP="0058530B">
      <w:pPr>
        <w:rPr>
          <w:sz w:val="24"/>
          <w:szCs w:val="24"/>
        </w:rPr>
      </w:pPr>
    </w:p>
    <w:p w14:paraId="31297D5B" w14:textId="77777777" w:rsidR="0058530B" w:rsidRPr="008716BE" w:rsidRDefault="0058530B" w:rsidP="0058530B">
      <w:pPr>
        <w:rPr>
          <w:sz w:val="24"/>
          <w:szCs w:val="24"/>
        </w:rPr>
      </w:pPr>
      <w:r w:rsidRPr="008716BE">
        <w:rPr>
          <w:sz w:val="24"/>
          <w:szCs w:val="24"/>
        </w:rPr>
        <w:t xml:space="preserve">Welsh Government (2022) </w:t>
      </w:r>
      <w:r w:rsidRPr="008716BE">
        <w:rPr>
          <w:i/>
          <w:iCs/>
          <w:sz w:val="24"/>
          <w:szCs w:val="24"/>
        </w:rPr>
        <w:t>Working together to safeguard people: Code of safeguarding practice</w:t>
      </w:r>
      <w:r w:rsidRPr="008716BE">
        <w:rPr>
          <w:sz w:val="24"/>
          <w:szCs w:val="24"/>
        </w:rPr>
        <w:t xml:space="preserve">. Available at: </w:t>
      </w:r>
      <w:hyperlink r:id="rId34" w:tgtFrame="_blank" w:history="1">
        <w:r w:rsidRPr="008716BE">
          <w:rPr>
            <w:rStyle w:val="Hyperlink"/>
            <w:sz w:val="24"/>
            <w:szCs w:val="24"/>
          </w:rPr>
          <w:t>https://www.gov.wales/working-together-safeguard-people-code-safeguarding-practice</w:t>
        </w:r>
      </w:hyperlink>
      <w:r w:rsidRPr="008716BE">
        <w:rPr>
          <w:sz w:val="24"/>
          <w:szCs w:val="24"/>
        </w:rPr>
        <w:t xml:space="preserve"> (Accessed: 7 October 2025). </w:t>
      </w:r>
    </w:p>
    <w:p w14:paraId="1FBAECDE" w14:textId="77777777" w:rsidR="0058530B" w:rsidRPr="00EA4D6F" w:rsidRDefault="0058530B" w:rsidP="0058530B">
      <w:pPr>
        <w:rPr>
          <w:b/>
          <w:bCs/>
          <w:sz w:val="24"/>
          <w:szCs w:val="24"/>
        </w:rPr>
      </w:pPr>
    </w:p>
    <w:p w14:paraId="611DCE33" w14:textId="77777777" w:rsidR="0058530B" w:rsidRDefault="0058530B" w:rsidP="0058530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7047BA81" w14:textId="77777777" w:rsidR="002A1A44" w:rsidRPr="00EE5BC3" w:rsidRDefault="002A1A44" w:rsidP="0058530B">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C99C468" w:rsidR="00E559CE" w:rsidRPr="00B17FA0" w:rsidRDefault="007027FF" w:rsidP="00B94443">
            <w:pPr>
              <w:jc w:val="both"/>
              <w:rPr>
                <w:sz w:val="24"/>
                <w:szCs w:val="24"/>
              </w:rPr>
            </w:pPr>
            <w:r>
              <w:rPr>
                <w:sz w:val="24"/>
                <w:szCs w:val="24"/>
              </w:rPr>
              <w:t>27/10/2024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30FCB7F" w:rsidR="00E559CE" w:rsidRPr="00B17FA0" w:rsidRDefault="0045161A" w:rsidP="00B94443">
            <w:pPr>
              <w:jc w:val="both"/>
              <w:rPr>
                <w:sz w:val="24"/>
                <w:szCs w:val="24"/>
              </w:rPr>
            </w:pPr>
            <w:r>
              <w:rPr>
                <w:sz w:val="24"/>
                <w:szCs w:val="24"/>
              </w:rPr>
              <w:t>11/</w:t>
            </w:r>
            <w:r w:rsidR="00D26B37">
              <w:rPr>
                <w:sz w:val="24"/>
                <w:szCs w:val="24"/>
              </w:rPr>
              <w:t>0</w:t>
            </w:r>
            <w:r>
              <w:rPr>
                <w:sz w:val="24"/>
                <w:szCs w:val="24"/>
              </w:rPr>
              <w:t>2/2025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3B11250" w:rsidR="00E559CE" w:rsidRPr="00B17FA0" w:rsidRDefault="0068445D" w:rsidP="00B94443">
            <w:pPr>
              <w:jc w:val="both"/>
              <w:rPr>
                <w:sz w:val="24"/>
                <w:szCs w:val="24"/>
              </w:rPr>
            </w:pPr>
            <w:r>
              <w:rPr>
                <w:sz w:val="24"/>
                <w:szCs w:val="24"/>
              </w:rPr>
              <w:t>08/04/2025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016BD6D" w:rsidR="00E559CE" w:rsidRPr="00B17FA0" w:rsidRDefault="0068445D" w:rsidP="00B94443">
            <w:pPr>
              <w:jc w:val="both"/>
              <w:rPr>
                <w:sz w:val="24"/>
                <w:szCs w:val="24"/>
              </w:rPr>
            </w:pPr>
            <w:r>
              <w:rPr>
                <w:sz w:val="24"/>
                <w:szCs w:val="24"/>
              </w:rPr>
              <w:t>0</w:t>
            </w:r>
            <w:r w:rsidR="00374F43">
              <w:rPr>
                <w:sz w:val="24"/>
                <w:szCs w:val="24"/>
              </w:rPr>
              <w:t>9/</w:t>
            </w:r>
            <w:r>
              <w:rPr>
                <w:sz w:val="24"/>
                <w:szCs w:val="24"/>
              </w:rPr>
              <w:t>0</w:t>
            </w:r>
            <w:r w:rsidR="00374F43">
              <w:rPr>
                <w:sz w:val="24"/>
                <w:szCs w:val="24"/>
              </w:rPr>
              <w:t>9/2025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E2851D5" w14:textId="1DB2DD9E" w:rsidR="00516E88" w:rsidRDefault="00516E88" w:rsidP="00516E88">
            <w:r>
              <w:t>Zara has demonstrated outstanding development throughout the programme, showing growth in confidence, critical thinking, and professional judgement across all three learning outcomes. Her reflections are thoughtful and grounded in evidence, and she has consistently used supervision and feedback to support her learning.</w:t>
            </w:r>
          </w:p>
          <w:p w14:paraId="0BD816DF" w14:textId="77777777" w:rsidR="00516E88" w:rsidRDefault="00516E88" w:rsidP="00516E88">
            <w:pPr>
              <w:pStyle w:val="Heading1"/>
            </w:pPr>
            <w:r>
              <w:lastRenderedPageBreak/>
              <w:t>1. Applying Analysis in Assessment to Inform Interventions</w:t>
            </w:r>
          </w:p>
          <w:p w14:paraId="7BF22F37" w14:textId="77777777" w:rsidR="00516E88" w:rsidRDefault="00516E88" w:rsidP="00516E88">
            <w:r>
              <w:t>Zara has made significant progress in developing her analytical writing skills. Initially, she recognised that her assessments were overly descriptive and lacked critical analysis. Through supervision, peer learning, and engagement with academic literature, she has developed the ability to produce person-centred, evidence-based assessments that inform effective interventions.</w:t>
            </w:r>
          </w:p>
          <w:p w14:paraId="150A58C1" w14:textId="77777777" w:rsidR="00516E88" w:rsidRDefault="00516E88" w:rsidP="00516E88">
            <w:r>
              <w:t>She understands the importance of critical thinking and professional curiosity in assessment, as highlighted by Social Care Wales (2025), and has taken proactive steps to improve her practice. Zara’s commitment to attending training and seeking feedback reflects her dedication to continuous improvement and high standards.</w:t>
            </w:r>
          </w:p>
          <w:p w14:paraId="48FB9CAF" w14:textId="77777777" w:rsidR="00516E88" w:rsidRDefault="00516E88" w:rsidP="00516E88">
            <w:pPr>
              <w:pStyle w:val="Heading1"/>
            </w:pPr>
            <w:r>
              <w:t>2. Working Collaboratively with People in Need of Care and Support, Their Carers, and Other Professionals</w:t>
            </w:r>
          </w:p>
          <w:p w14:paraId="77B6C4BB" w14:textId="77777777" w:rsidR="00516E88" w:rsidRDefault="00516E88" w:rsidP="00516E88">
            <w:r>
              <w:t>Zara has grown in confidence and assertiveness in multi-agency settings. Early in her practice, she found it difficult to challenge decisions and maintain boundaries. Through reflective supervision, shadowing, and team discussions, she has developed a clearer understanding of her role and now contributes effectively to collaborative working.</w:t>
            </w:r>
          </w:p>
          <w:p w14:paraId="39A62E00" w14:textId="77777777" w:rsidR="00516E88" w:rsidRDefault="00516E88" w:rsidP="00516E88">
            <w:r>
              <w:t xml:space="preserve">She is proactive in preparing for meetings and communicates her views professionally and positively. Zara </w:t>
            </w:r>
            <w:proofErr w:type="gramStart"/>
            <w:r>
              <w:t>is able to</w:t>
            </w:r>
            <w:proofErr w:type="gramEnd"/>
            <w:r>
              <w:t xml:space="preserve"> consider different perspectives and navigate complex dynamics with empathy and clarity. Her ability to build strong, supportive relationships with families and professionals is a particular strength, and she is recognised for her child-centred approach and commitment to achieving the best outcomes.</w:t>
            </w:r>
          </w:p>
          <w:p w14:paraId="373F776A" w14:textId="77777777" w:rsidR="00516E88" w:rsidRDefault="00516E88" w:rsidP="00516E88">
            <w:pPr>
              <w:pStyle w:val="Heading1"/>
            </w:pPr>
            <w:r>
              <w:t>3. Intervention and Application of Professional Judgment in Increasingly Complex Situations</w:t>
            </w:r>
          </w:p>
          <w:p w14:paraId="18D4E6F1" w14:textId="77777777" w:rsidR="00516E88" w:rsidRDefault="00516E88" w:rsidP="00516E88">
            <w:r>
              <w:t>Zara has shown increasing confidence in applying professional judgment in complex and emotionally challenging situations. She has developed a strong understanding of ethical decision-making and the legal frameworks that underpin her practice. Her reflections demonstrate emotional intelligence and a commitment to child-centred, proportionate decision-making.</w:t>
            </w:r>
          </w:p>
          <w:p w14:paraId="3AAC5F54" w14:textId="77777777" w:rsidR="00516E88" w:rsidRDefault="00516E88" w:rsidP="00516E88">
            <w:r>
              <w:t xml:space="preserve">She uses supervision effectively to explore dilemmas and seek guidance, and she </w:t>
            </w:r>
            <w:proofErr w:type="gramStart"/>
            <w:r>
              <w:t>is able to</w:t>
            </w:r>
            <w:proofErr w:type="gramEnd"/>
            <w:r>
              <w:t xml:space="preserve"> articulate her views clearly and thoughtfully. Zara’s ability to reflect on her values and how they influence her decisions is a testament to her maturity and professionalism.</w:t>
            </w:r>
          </w:p>
          <w:p w14:paraId="01D1E0B4" w14:textId="77777777" w:rsidR="00516E88" w:rsidRDefault="00516E88" w:rsidP="00516E88">
            <w:pPr>
              <w:pStyle w:val="Heading1"/>
            </w:pPr>
            <w:r>
              <w:t>Relational Practice and Team Contribution</w:t>
            </w:r>
          </w:p>
          <w:p w14:paraId="6BA5FBEE" w14:textId="77777777" w:rsidR="00516E88" w:rsidRDefault="00516E88" w:rsidP="00516E88">
            <w:r>
              <w:t>Zara has built highly effective, supportive relationships with children, families, carers, and professionals. She is consistently child-centred in her approach, recognising and celebrating the strengths and successes of individuals. Her relational skills are a key asset, and she is described as supportive, approachable, and deeply committed to the wellbeing of those she works with.</w:t>
            </w:r>
          </w:p>
          <w:p w14:paraId="59BECF8D" w14:textId="77777777" w:rsidR="00516E88" w:rsidRDefault="00516E88" w:rsidP="00516E88">
            <w:r>
              <w:t xml:space="preserve">Within the team, Zara is a valued member who contributes positively and professionally. She is proactive in seeking support when needed and uses supervision as a space for reflection and learning. She </w:t>
            </w:r>
            <w:proofErr w:type="gramStart"/>
            <w:r>
              <w:t>is able to</w:t>
            </w:r>
            <w:proofErr w:type="gramEnd"/>
            <w:r>
              <w:t xml:space="preserve"> offer well-considered views on cases, demonstrating insight and the ability to see situations from multiple perspectives.</w:t>
            </w:r>
          </w:p>
          <w:p w14:paraId="082D28F8" w14:textId="77777777" w:rsidR="00516E88" w:rsidRDefault="00516E88" w:rsidP="00516E88">
            <w:r>
              <w:t>It is a genuine pleasure to supervise Zara. Her strong values shine through in all aspects of her work, and she consistently demonstrates integrity, compassion, and professionalism. She brings warmth, thoughtfulness, and dedication to her role.</w:t>
            </w:r>
          </w:p>
          <w:p w14:paraId="47897647" w14:textId="77777777" w:rsidR="00516E88" w:rsidRDefault="00516E88" w:rsidP="00516E88">
            <w:pPr>
              <w:pStyle w:val="Heading1"/>
            </w:pPr>
            <w:r>
              <w:t>Conclusion and Future Development</w:t>
            </w:r>
          </w:p>
          <w:p w14:paraId="7F8B66DE" w14:textId="77777777" w:rsidR="00516E88" w:rsidRDefault="00516E88" w:rsidP="00516E88">
            <w:r>
              <w:t>Zara’s development throughout the programme has been impressive. She has grown into a confident, capable, and reflective practitioner who is well-equipped to manage the complexities of social work practice. Her commitment to learning, her relational strengths, and her child-centred approach make her a real asset to the team.</w:t>
            </w:r>
          </w:p>
          <w:p w14:paraId="21F65420" w14:textId="77777777" w:rsidR="00516E88" w:rsidRDefault="00516E88" w:rsidP="00516E88">
            <w:r>
              <w:t>To continue building on her progress, Zara would benefit from:</w:t>
            </w:r>
          </w:p>
          <w:p w14:paraId="020624AC" w14:textId="77777777" w:rsidR="00516E88" w:rsidRDefault="00516E88" w:rsidP="00516E88">
            <w:pPr>
              <w:pStyle w:val="ListBullet"/>
              <w:tabs>
                <w:tab w:val="num" w:pos="360"/>
              </w:tabs>
              <w:ind w:left="360" w:hanging="360"/>
            </w:pPr>
            <w:r>
              <w:t>Formal training in analytical writing and ethical decision-making.</w:t>
            </w:r>
          </w:p>
          <w:p w14:paraId="40B9942E" w14:textId="77777777" w:rsidR="00516E88" w:rsidRDefault="00516E88" w:rsidP="00516E88">
            <w:pPr>
              <w:pStyle w:val="ListBullet"/>
              <w:tabs>
                <w:tab w:val="num" w:pos="360"/>
              </w:tabs>
              <w:ind w:left="360" w:hanging="360"/>
            </w:pPr>
            <w:r>
              <w:lastRenderedPageBreak/>
              <w:t>Continued reflective supervision and opportunities to lead assessments and multi-agency meetings.</w:t>
            </w:r>
          </w:p>
          <w:p w14:paraId="2A767D4F" w14:textId="77777777" w:rsidR="00516E88" w:rsidRDefault="00516E88" w:rsidP="00516E88">
            <w:pPr>
              <w:pStyle w:val="ListBullet"/>
              <w:tabs>
                <w:tab w:val="num" w:pos="360"/>
              </w:tabs>
              <w:ind w:left="360" w:hanging="360"/>
            </w:pPr>
            <w:r>
              <w:t>Peer mentoring and sharing her learning journey with others.</w:t>
            </w:r>
          </w:p>
          <w:p w14:paraId="1EB20CF4" w14:textId="77777777" w:rsidR="00516E88" w:rsidRDefault="00516E88" w:rsidP="00516E88">
            <w:r>
              <w:t>Zara is well-positioned for continued success and is making a meaningful impact in her role.</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CD89D8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E08AA">
        <w:rPr>
          <w:b/>
          <w:sz w:val="24"/>
          <w:szCs w:val="24"/>
        </w:rPr>
        <w:t xml:space="preserve">Zara Morgan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94A266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26F0B">
        <w:rPr>
          <w:b/>
          <w:sz w:val="24"/>
          <w:szCs w:val="24"/>
        </w:rPr>
        <w:t>030</w:t>
      </w:r>
      <w:r w:rsidR="00C45D3A">
        <w:rPr>
          <w:b/>
          <w:sz w:val="24"/>
          <w:szCs w:val="24"/>
        </w:rPr>
        <w:t>0288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48BB30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0E08AA">
        <w:rPr>
          <w:b/>
          <w:sz w:val="24"/>
          <w:szCs w:val="24"/>
        </w:rPr>
        <w:t xml:space="preserve"> 31 Nightingale Park, </w:t>
      </w:r>
      <w:proofErr w:type="spellStart"/>
      <w:r w:rsidR="000E08AA">
        <w:rPr>
          <w:b/>
          <w:sz w:val="24"/>
          <w:szCs w:val="24"/>
        </w:rPr>
        <w:t>Cimla</w:t>
      </w:r>
      <w:proofErr w:type="spellEnd"/>
      <w:r w:rsidR="000E08AA">
        <w:rPr>
          <w:b/>
          <w:sz w:val="24"/>
          <w:szCs w:val="24"/>
        </w:rPr>
        <w:t>, Neath. SA113RX</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EFC784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A335F">
        <w:rPr>
          <w:b/>
          <w:sz w:val="24"/>
          <w:szCs w:val="24"/>
        </w:rPr>
        <w:t xml:space="preserve"> 07359235891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C85D6E" w14:textId="1C4054CE" w:rsidR="003C722F" w:rsidRPr="003C722F" w:rsidRDefault="004923DA" w:rsidP="00FF7EBB">
      <w:pPr>
        <w:pBdr>
          <w:top w:val="single" w:sz="6" w:space="1" w:color="auto"/>
          <w:left w:val="single" w:sz="6" w:space="1" w:color="auto"/>
          <w:bottom w:val="single" w:sz="6" w:space="1" w:color="auto"/>
          <w:right w:val="single" w:sz="6" w:space="1" w:color="auto"/>
        </w:pBdr>
        <w:jc w:val="both"/>
      </w:pPr>
      <w:r>
        <w:rPr>
          <w:b/>
          <w:sz w:val="24"/>
          <w:szCs w:val="24"/>
        </w:rPr>
        <w:t>E-</w:t>
      </w:r>
      <w:r w:rsidRPr="008B28E7">
        <w:rPr>
          <w:b/>
          <w:sz w:val="24"/>
          <w:szCs w:val="24"/>
        </w:rPr>
        <w:t>mail</w:t>
      </w:r>
      <w:r w:rsidR="009D59C2">
        <w:rPr>
          <w:b/>
          <w:sz w:val="24"/>
          <w:szCs w:val="24"/>
        </w:rPr>
        <w:t xml:space="preserve"> address</w:t>
      </w:r>
      <w:r w:rsidR="003C722F">
        <w:rPr>
          <w:b/>
          <w:sz w:val="24"/>
          <w:szCs w:val="24"/>
        </w:rPr>
        <w:t>: zara.morgan@swansea.gov.uk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E59A27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24A40">
        <w:rPr>
          <w:b/>
          <w:sz w:val="24"/>
          <w:szCs w:val="24"/>
        </w:rPr>
        <w:t>07/08/2023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6FB293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63482">
        <w:rPr>
          <w:b/>
          <w:sz w:val="24"/>
          <w:szCs w:val="24"/>
        </w:rPr>
        <w:t xml:space="preserve"> 16/12/2022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51564F31"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56505">
        <w:rPr>
          <w:b/>
          <w:sz w:val="24"/>
          <w:szCs w:val="24"/>
        </w:rPr>
        <w:t xml:space="preserve"> LAC Team Swansea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3CE433C9" w14:textId="77777777" w:rsidR="00873F1F" w:rsidRPr="008B28E7" w:rsidRDefault="00873F1F" w:rsidP="00873F1F">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LAC Team Swansea </w:t>
      </w:r>
    </w:p>
    <w:p w14:paraId="0355A71C" w14:textId="7817F597" w:rsidR="00873F1F" w:rsidRDefault="00873F1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Guild Hall</w:t>
      </w:r>
    </w:p>
    <w:p w14:paraId="08868576" w14:textId="77777777" w:rsidR="00873F1F" w:rsidRDefault="00873F1F" w:rsidP="00FF7EBB">
      <w:pPr>
        <w:pBdr>
          <w:top w:val="single" w:sz="6" w:space="1" w:color="auto"/>
          <w:left w:val="single" w:sz="6" w:space="1" w:color="auto"/>
          <w:bottom w:val="single" w:sz="6" w:space="1" w:color="auto"/>
          <w:right w:val="single" w:sz="6" w:space="1" w:color="auto"/>
        </w:pBdr>
        <w:jc w:val="both"/>
        <w:rPr>
          <w:b/>
          <w:sz w:val="24"/>
          <w:szCs w:val="24"/>
        </w:rPr>
      </w:pPr>
      <w:r w:rsidRPr="00873F1F">
        <w:rPr>
          <w:b/>
          <w:sz w:val="24"/>
          <w:szCs w:val="24"/>
        </w:rPr>
        <w:t>Swansea Council</w:t>
      </w:r>
      <w:r>
        <w:rPr>
          <w:b/>
          <w:sz w:val="24"/>
          <w:szCs w:val="24"/>
        </w:rPr>
        <w:t xml:space="preserve"> </w:t>
      </w:r>
    </w:p>
    <w:p w14:paraId="07630218" w14:textId="45271CBE" w:rsidR="00873F1F" w:rsidRDefault="00873F1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SA14PE</w:t>
      </w:r>
    </w:p>
    <w:p w14:paraId="18AF92DC" w14:textId="77777777" w:rsidR="000E0D51" w:rsidRDefault="000E0D51" w:rsidP="000E0D51">
      <w:pPr>
        <w:jc w:val="both"/>
        <w:rPr>
          <w:b/>
          <w:sz w:val="24"/>
          <w:szCs w:val="24"/>
        </w:rPr>
      </w:pPr>
    </w:p>
    <w:p w14:paraId="3420BD57"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p>
    <w:p w14:paraId="670C7C42"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Caroline Lewis </w:t>
      </w:r>
    </w:p>
    <w:p w14:paraId="6507DF05"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p>
    <w:p w14:paraId="7A03A3FF"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8B75E07"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LAC Team Swansea </w:t>
      </w:r>
    </w:p>
    <w:p w14:paraId="2D9F1E11" w14:textId="77777777" w:rsidR="009902E2" w:rsidRDefault="009902E2" w:rsidP="009902E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Guild Hall</w:t>
      </w:r>
    </w:p>
    <w:p w14:paraId="4C513ED4" w14:textId="77777777" w:rsidR="009902E2" w:rsidRDefault="009902E2" w:rsidP="009902E2">
      <w:pPr>
        <w:pBdr>
          <w:top w:val="single" w:sz="6" w:space="1" w:color="auto"/>
          <w:left w:val="single" w:sz="6" w:space="1" w:color="auto"/>
          <w:bottom w:val="single" w:sz="6" w:space="1" w:color="auto"/>
          <w:right w:val="single" w:sz="6" w:space="1" w:color="auto"/>
        </w:pBdr>
        <w:jc w:val="both"/>
        <w:rPr>
          <w:b/>
          <w:sz w:val="24"/>
          <w:szCs w:val="24"/>
        </w:rPr>
      </w:pPr>
      <w:r w:rsidRPr="00873F1F">
        <w:rPr>
          <w:b/>
          <w:sz w:val="24"/>
          <w:szCs w:val="24"/>
        </w:rPr>
        <w:t>Swansea Council</w:t>
      </w:r>
      <w:r>
        <w:rPr>
          <w:b/>
          <w:sz w:val="24"/>
          <w:szCs w:val="24"/>
        </w:rPr>
        <w:t xml:space="preserve"> </w:t>
      </w:r>
    </w:p>
    <w:p w14:paraId="63E41DE2" w14:textId="77777777" w:rsidR="009902E2" w:rsidRDefault="009902E2" w:rsidP="009902E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SA14PE</w:t>
      </w:r>
    </w:p>
    <w:p w14:paraId="415B6342"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p>
    <w:p w14:paraId="69FBB3FD"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01792 635180</w:t>
      </w:r>
    </w:p>
    <w:p w14:paraId="7834E904"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p>
    <w:p w14:paraId="20DC452D" w14:textId="77777777" w:rsidR="009902E2" w:rsidRPr="008B28E7" w:rsidRDefault="009902E2" w:rsidP="009902E2">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3C722F">
        <w:rPr>
          <w:b/>
          <w:sz w:val="24"/>
          <w:szCs w:val="24"/>
        </w:rPr>
        <w:t>Caroline.Lewis@swansea.gov.uk</w:t>
      </w:r>
    </w:p>
    <w:p w14:paraId="6C66859D" w14:textId="77777777" w:rsidR="009902E2" w:rsidRDefault="009902E2"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F1A4CC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A16F3">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7C7DAB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A2B5B">
        <w:rPr>
          <w:b/>
          <w:sz w:val="24"/>
          <w:szCs w:val="24"/>
        </w:rPr>
        <w:t xml:space="preserve"> Caroline Lewis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58B26DC" w14:textId="77777777" w:rsidR="00DA2B5B" w:rsidRPr="008B28E7" w:rsidRDefault="00DA2B5B" w:rsidP="00DA2B5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LAC Team Swansea </w:t>
      </w:r>
    </w:p>
    <w:p w14:paraId="765EAF7E" w14:textId="77777777" w:rsidR="00DA2B5B" w:rsidRDefault="00DA2B5B" w:rsidP="00DA2B5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Guild Hall</w:t>
      </w:r>
    </w:p>
    <w:p w14:paraId="297F726E" w14:textId="77777777" w:rsidR="00DA2B5B" w:rsidRDefault="00DA2B5B" w:rsidP="00DA2B5B">
      <w:pPr>
        <w:pBdr>
          <w:top w:val="single" w:sz="6" w:space="1" w:color="auto"/>
          <w:left w:val="single" w:sz="6" w:space="1" w:color="auto"/>
          <w:bottom w:val="single" w:sz="6" w:space="1" w:color="auto"/>
          <w:right w:val="single" w:sz="6" w:space="1" w:color="auto"/>
        </w:pBdr>
        <w:jc w:val="both"/>
        <w:rPr>
          <w:b/>
          <w:sz w:val="24"/>
          <w:szCs w:val="24"/>
        </w:rPr>
      </w:pPr>
      <w:r w:rsidRPr="00873F1F">
        <w:rPr>
          <w:b/>
          <w:sz w:val="24"/>
          <w:szCs w:val="24"/>
        </w:rPr>
        <w:t>Swansea Council</w:t>
      </w:r>
      <w:r>
        <w:rPr>
          <w:b/>
          <w:sz w:val="24"/>
          <w:szCs w:val="24"/>
        </w:rPr>
        <w:t xml:space="preserve"> </w:t>
      </w:r>
    </w:p>
    <w:p w14:paraId="1955B0F8" w14:textId="77777777" w:rsidR="00DA2B5B" w:rsidRDefault="00DA2B5B" w:rsidP="00DA2B5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SA14PE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7A7AE8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C722F">
        <w:rPr>
          <w:b/>
          <w:sz w:val="24"/>
          <w:szCs w:val="24"/>
        </w:rPr>
        <w:t xml:space="preserve"> </w:t>
      </w:r>
      <w:r w:rsidR="003C722F">
        <w:rPr>
          <w:b/>
          <w:sz w:val="24"/>
          <w:szCs w:val="24"/>
        </w:rPr>
        <w:t>01792 635180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DD1C8E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C722F">
        <w:rPr>
          <w:b/>
          <w:sz w:val="24"/>
          <w:szCs w:val="24"/>
        </w:rPr>
        <w:t xml:space="preserve"> </w:t>
      </w:r>
      <w:r w:rsidR="003C722F" w:rsidRPr="003C722F">
        <w:rPr>
          <w:b/>
          <w:sz w:val="24"/>
          <w:szCs w:val="24"/>
        </w:rPr>
        <w:t>Caroline.Lewis@swansea.gov.uk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B52F8AB" w:rsidR="004923DA" w:rsidRDefault="004923DA" w:rsidP="00FF7EBB">
            <w:pPr>
              <w:jc w:val="both"/>
              <w:rPr>
                <w:b/>
                <w:sz w:val="24"/>
                <w:szCs w:val="24"/>
              </w:rPr>
            </w:pPr>
            <w:r w:rsidRPr="008B28E7">
              <w:rPr>
                <w:b/>
                <w:sz w:val="24"/>
                <w:szCs w:val="24"/>
              </w:rPr>
              <w:t>Name:</w:t>
            </w:r>
            <w:r w:rsidR="001A16F3">
              <w:rPr>
                <w:b/>
                <w:sz w:val="24"/>
                <w:szCs w:val="24"/>
              </w:rPr>
              <w:t xml:space="preserve"> Steph Lowe</w:t>
            </w:r>
          </w:p>
          <w:p w14:paraId="4EF4A770" w14:textId="77777777" w:rsidR="004923DA" w:rsidRPr="008B28E7" w:rsidRDefault="004923DA" w:rsidP="00FF7EBB">
            <w:pPr>
              <w:jc w:val="both"/>
              <w:rPr>
                <w:b/>
                <w:sz w:val="24"/>
                <w:szCs w:val="24"/>
              </w:rPr>
            </w:pPr>
          </w:p>
          <w:p w14:paraId="42BF3097" w14:textId="22005D01" w:rsidR="009D59C2" w:rsidRDefault="004923DA" w:rsidP="00FF7EBB">
            <w:pPr>
              <w:jc w:val="both"/>
              <w:rPr>
                <w:b/>
                <w:sz w:val="24"/>
                <w:szCs w:val="24"/>
              </w:rPr>
            </w:pPr>
            <w:r w:rsidRPr="008B28E7">
              <w:rPr>
                <w:b/>
                <w:sz w:val="24"/>
                <w:szCs w:val="24"/>
              </w:rPr>
              <w:t xml:space="preserve">Work Address: </w:t>
            </w:r>
            <w:r w:rsidR="001A16F3">
              <w:rPr>
                <w:b/>
                <w:sz w:val="24"/>
                <w:szCs w:val="24"/>
              </w:rPr>
              <w:t>Guild Hall Swansea</w:t>
            </w:r>
            <w:r w:rsidR="00286829">
              <w:rPr>
                <w:b/>
                <w:sz w:val="24"/>
                <w:szCs w:val="24"/>
              </w:rPr>
              <w:t>, SA14PE</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961CA4E" w:rsidR="004923DA" w:rsidRPr="008B28E7" w:rsidRDefault="004923DA" w:rsidP="00FF7EBB">
            <w:pPr>
              <w:jc w:val="both"/>
              <w:rPr>
                <w:b/>
                <w:sz w:val="24"/>
                <w:szCs w:val="24"/>
              </w:rPr>
            </w:pPr>
            <w:r w:rsidRPr="008B28E7">
              <w:rPr>
                <w:b/>
                <w:sz w:val="24"/>
                <w:szCs w:val="24"/>
              </w:rPr>
              <w:t>Professional Qualification and date of qualification:</w:t>
            </w:r>
            <w:r w:rsidR="005E102E">
              <w:rPr>
                <w:b/>
                <w:sz w:val="24"/>
                <w:szCs w:val="24"/>
              </w:rPr>
              <w:t xml:space="preserve"> BSc Social Work 2019</w:t>
            </w:r>
          </w:p>
          <w:p w14:paraId="5F68A3CF" w14:textId="77777777" w:rsidR="004923DA" w:rsidRDefault="004923DA" w:rsidP="00FF7EBB">
            <w:pPr>
              <w:jc w:val="both"/>
              <w:rPr>
                <w:b/>
                <w:sz w:val="24"/>
                <w:szCs w:val="24"/>
              </w:rPr>
            </w:pPr>
          </w:p>
          <w:p w14:paraId="4C6113F1" w14:textId="60C6D828" w:rsidR="004923DA" w:rsidRDefault="009D59C2" w:rsidP="00FF7EBB">
            <w:pPr>
              <w:jc w:val="both"/>
              <w:rPr>
                <w:b/>
                <w:sz w:val="24"/>
                <w:szCs w:val="24"/>
              </w:rPr>
            </w:pPr>
            <w:r>
              <w:rPr>
                <w:b/>
                <w:sz w:val="24"/>
                <w:szCs w:val="24"/>
              </w:rPr>
              <w:t>T</w:t>
            </w:r>
            <w:r w:rsidR="004923DA" w:rsidRPr="008B28E7">
              <w:rPr>
                <w:b/>
                <w:sz w:val="24"/>
                <w:szCs w:val="24"/>
              </w:rPr>
              <w:t>elephone number:</w:t>
            </w:r>
            <w:r w:rsidR="005E102E">
              <w:rPr>
                <w:b/>
                <w:sz w:val="24"/>
                <w:szCs w:val="24"/>
              </w:rPr>
              <w:t xml:space="preserve"> 07429383552</w:t>
            </w:r>
          </w:p>
          <w:p w14:paraId="0BB87919" w14:textId="548A11EF" w:rsidR="009D59C2" w:rsidRDefault="009D59C2" w:rsidP="00FF7EBB">
            <w:pPr>
              <w:jc w:val="both"/>
              <w:rPr>
                <w:b/>
                <w:sz w:val="24"/>
                <w:szCs w:val="24"/>
              </w:rPr>
            </w:pPr>
          </w:p>
          <w:p w14:paraId="4FDEE73F" w14:textId="61457C4F" w:rsidR="009D59C2" w:rsidRPr="008B28E7" w:rsidRDefault="009D59C2" w:rsidP="00FF7EBB">
            <w:pPr>
              <w:jc w:val="both"/>
              <w:rPr>
                <w:b/>
                <w:sz w:val="24"/>
                <w:szCs w:val="24"/>
              </w:rPr>
            </w:pPr>
            <w:r>
              <w:rPr>
                <w:b/>
                <w:sz w:val="24"/>
                <w:szCs w:val="24"/>
              </w:rPr>
              <w:t>Email address:</w:t>
            </w:r>
            <w:r w:rsidR="005E102E">
              <w:rPr>
                <w:b/>
                <w:sz w:val="24"/>
                <w:szCs w:val="24"/>
              </w:rPr>
              <w:t xml:space="preserve"> steph.lowe@swansea.gov.uk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DBA513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3C722F">
        <w:rPr>
          <w:noProof/>
        </w:rPr>
        <w:drawing>
          <wp:inline distT="0" distB="0" distL="0" distR="0" wp14:anchorId="123C3458" wp14:editId="2AB0DA7A">
            <wp:extent cx="717550" cy="396240"/>
            <wp:effectExtent l="0" t="0" r="6350" b="3810"/>
            <wp:docPr id="388200846" name="Picture 388200846"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10;&#10;Description automatically generated"/>
                    <pic:cNvPicPr>
                      <a:picLocks noChangeAspect="1"/>
                    </pic:cNvPicPr>
                  </pic:nvPicPr>
                  <pic:blipFill rotWithShape="1">
                    <a:blip r:embed="rId35" r:link="rId36" cstate="print">
                      <a:extLst>
                        <a:ext uri="{28A0092B-C50C-407E-A947-70E740481C1C}">
                          <a14:useLocalDpi xmlns:a14="http://schemas.microsoft.com/office/drawing/2010/main" val="0"/>
                        </a:ext>
                      </a:extLst>
                    </a:blip>
                    <a:srcRect l="10789" t="18554" r="34548" b="66166"/>
                    <a:stretch/>
                  </pic:blipFill>
                  <pic:spPr bwMode="auto">
                    <a:xfrm>
                      <a:off x="0" y="0"/>
                      <a:ext cx="717550" cy="396240"/>
                    </a:xfrm>
                    <a:prstGeom prst="rect">
                      <a:avLst/>
                    </a:prstGeom>
                    <a:noFill/>
                    <a:ln>
                      <a:noFill/>
                    </a:ln>
                    <a:extLst>
                      <a:ext uri="{53640926-AAD7-44D8-BBD7-CCE9431645EC}">
                        <a14:shadowObscured xmlns:a14="http://schemas.microsoft.com/office/drawing/2010/main"/>
                      </a:ext>
                    </a:extLst>
                  </pic:spPr>
                </pic:pic>
              </a:graphicData>
            </a:graphic>
          </wp:inline>
        </w:drawing>
      </w:r>
      <w:r w:rsidR="003C722F"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377A4C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3C722F">
        <w:rPr>
          <w:sz w:val="24"/>
          <w:szCs w:val="24"/>
        </w:rPr>
        <w:t>0</w:t>
      </w:r>
      <w:r w:rsidR="00494543">
        <w:rPr>
          <w:sz w:val="24"/>
          <w:szCs w:val="24"/>
        </w:rPr>
        <w:t>7</w:t>
      </w:r>
      <w:r w:rsidR="003C722F">
        <w:rPr>
          <w:sz w:val="24"/>
          <w:szCs w:val="24"/>
        </w:rPr>
        <w:t>/10/205</w:t>
      </w:r>
      <w:r>
        <w:rPr>
          <w:sz w:val="24"/>
          <w:szCs w:val="24"/>
        </w:rPr>
        <w:t xml:space="preserve">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6852CC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C32830" w:rsidRPr="00C32830">
        <w:rPr>
          <w:rFonts w:asciiTheme="majorHAnsi" w:hAnsiTheme="majorHAnsi"/>
          <w:b/>
          <w:noProof/>
        </w:rPr>
        <w:t xml:space="preserve"> </w:t>
      </w:r>
      <w:r w:rsidR="00C32830" w:rsidRPr="0032417D">
        <w:rPr>
          <w:rFonts w:asciiTheme="majorHAnsi" w:hAnsiTheme="majorHAnsi"/>
          <w:b/>
          <w:noProof/>
        </w:rPr>
        <w:drawing>
          <wp:inline distT="0" distB="0" distL="0" distR="0" wp14:anchorId="3E3F77AC" wp14:editId="23DEDEB2">
            <wp:extent cx="364834" cy="749281"/>
            <wp:effectExtent l="0" t="1588" r="0" b="0"/>
            <wp:docPr id="5756153" name="Picture 1" descr="A notebook with lined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153" name="Picture 1" descr="A notebook with lined paper&#10;&#10;AI-generated content may be incorrect."/>
                    <pic:cNvPicPr/>
                  </pic:nvPicPr>
                  <pic:blipFill rotWithShape="1">
                    <a:blip r:embed="rId37" cstate="print">
                      <a:extLst>
                        <a:ext uri="{28A0092B-C50C-407E-A947-70E740481C1C}">
                          <a14:useLocalDpi xmlns:a14="http://schemas.microsoft.com/office/drawing/2010/main" val="0"/>
                        </a:ext>
                      </a:extLst>
                    </a:blip>
                    <a:srcRect l="41176" t="26340" r="47958" b="43905"/>
                    <a:stretch/>
                  </pic:blipFill>
                  <pic:spPr bwMode="auto">
                    <a:xfrm rot="5400000">
                      <a:off x="0" y="0"/>
                      <a:ext cx="369057" cy="757954"/>
                    </a:xfrm>
                    <a:prstGeom prst="rect">
                      <a:avLst/>
                    </a:prstGeom>
                    <a:ln>
                      <a:noFill/>
                    </a:ln>
                    <a:extLst>
                      <a:ext uri="{53640926-AAD7-44D8-BBD7-CCE9431645EC}">
                        <a14:shadowObscured xmlns:a14="http://schemas.microsoft.com/office/drawing/2010/main"/>
                      </a:ext>
                    </a:extLst>
                  </pic:spPr>
                </pic:pic>
              </a:graphicData>
            </a:graphic>
          </wp:inline>
        </w:drawing>
      </w:r>
      <w:r w:rsidR="00B577D3">
        <w:rPr>
          <w:sz w:val="24"/>
          <w:szCs w:val="24"/>
        </w:rPr>
        <w:t xml:space="preserve">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6838654"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CB1462">
        <w:rPr>
          <w:sz w:val="24"/>
          <w:szCs w:val="24"/>
        </w:rPr>
        <w:t>06/05/2025</w:t>
      </w:r>
      <w:r>
        <w:rPr>
          <w:sz w:val="24"/>
          <w:szCs w:val="24"/>
        </w:rPr>
        <w:t xml:space="preserve">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C61631B" w:rsidR="00335C41" w:rsidRPr="00D3203C" w:rsidRDefault="00335C41" w:rsidP="00335C41">
            <w:pPr>
              <w:ind w:right="180"/>
              <w:jc w:val="both"/>
              <w:rPr>
                <w:sz w:val="24"/>
                <w:szCs w:val="24"/>
              </w:rPr>
            </w:pPr>
            <w:r w:rsidRPr="00D3203C">
              <w:rPr>
                <w:sz w:val="24"/>
                <w:szCs w:val="24"/>
              </w:rPr>
              <w:t>Signed</w:t>
            </w:r>
            <w:r w:rsidRPr="00293307">
              <w:rPr>
                <w:sz w:val="32"/>
                <w:szCs w:val="32"/>
              </w:rPr>
              <w:t>________</w:t>
            </w:r>
            <w:r w:rsidR="00293307" w:rsidRPr="00293307">
              <w:rPr>
                <w:rFonts w:ascii="Baguet Script" w:hAnsi="Baguet Script"/>
                <w:sz w:val="32"/>
                <w:szCs w:val="32"/>
              </w:rPr>
              <w:t xml:space="preserve"> </w:t>
            </w:r>
            <w:proofErr w:type="spellStart"/>
            <w:proofErr w:type="gramStart"/>
            <w:r w:rsidR="00293307" w:rsidRPr="00293307">
              <w:rPr>
                <w:rFonts w:ascii="Baguet Script" w:hAnsi="Baguet Script"/>
                <w:sz w:val="32"/>
                <w:szCs w:val="32"/>
              </w:rPr>
              <w:t>C.Lewis</w:t>
            </w:r>
            <w:proofErr w:type="spellEnd"/>
            <w:proofErr w:type="gramEnd"/>
            <w:r w:rsidR="00293307" w:rsidRPr="00293307">
              <w:rPr>
                <w:sz w:val="32"/>
                <w:szCs w:val="32"/>
              </w:rPr>
              <w:t xml:space="preserve"> </w:t>
            </w:r>
            <w:r w:rsidRPr="00D3203C">
              <w:rPr>
                <w:sz w:val="24"/>
                <w:szCs w:val="24"/>
              </w:rPr>
              <w:t>________________ (Mentor)</w:t>
            </w:r>
          </w:p>
          <w:p w14:paraId="5D3F0767" w14:textId="77777777" w:rsidR="00335C41" w:rsidRPr="00D3203C" w:rsidRDefault="00335C41" w:rsidP="00335C41">
            <w:pPr>
              <w:ind w:right="180"/>
              <w:jc w:val="both"/>
              <w:rPr>
                <w:sz w:val="24"/>
                <w:szCs w:val="24"/>
              </w:rPr>
            </w:pPr>
          </w:p>
          <w:p w14:paraId="24E1B8A5" w14:textId="6DE2881D" w:rsidR="00335C41" w:rsidRPr="00D3203C" w:rsidRDefault="00335C41" w:rsidP="00335C41">
            <w:pPr>
              <w:ind w:right="180"/>
              <w:jc w:val="both"/>
              <w:rPr>
                <w:sz w:val="24"/>
                <w:szCs w:val="24"/>
              </w:rPr>
            </w:pPr>
            <w:r w:rsidRPr="00D3203C">
              <w:rPr>
                <w:sz w:val="24"/>
                <w:szCs w:val="24"/>
              </w:rPr>
              <w:t>Date _____</w:t>
            </w:r>
            <w:r w:rsidR="00293307">
              <w:rPr>
                <w:sz w:val="24"/>
                <w:szCs w:val="24"/>
              </w:rPr>
              <w:t>7/</w:t>
            </w:r>
            <w:r w:rsidR="003C722F">
              <w:rPr>
                <w:sz w:val="24"/>
                <w:szCs w:val="24"/>
              </w:rPr>
              <w:t>10/2025</w:t>
            </w:r>
            <w:r w:rsidRPr="00D3203C">
              <w:rPr>
                <w:sz w:val="24"/>
                <w:szCs w:val="24"/>
              </w:rPr>
              <w:t>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lastRenderedPageBreak/>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6AB85D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293307">
        <w:rPr>
          <w:caps/>
          <w:sz w:val="24"/>
          <w:szCs w:val="24"/>
        </w:rPr>
        <w:t>Caroline Lewis</w:t>
      </w:r>
      <w:r w:rsidR="00B577D3">
        <w:rPr>
          <w:caps/>
          <w:sz w:val="24"/>
          <w:szCs w:val="24"/>
        </w:rPr>
        <w:t>_ _ _ _ _ _ _ _ _ _ _ _ _ _ _ _ _ _ _ _ _ _ _ _ _</w:t>
      </w:r>
    </w:p>
    <w:p w14:paraId="7C11F360" w14:textId="65BD5FC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sidRPr="00293307">
        <w:rPr>
          <w:sz w:val="32"/>
          <w:szCs w:val="32"/>
        </w:rPr>
        <w:t xml:space="preserve">:  </w:t>
      </w:r>
      <w:proofErr w:type="spellStart"/>
      <w:proofErr w:type="gramStart"/>
      <w:r w:rsidR="00293307" w:rsidRPr="00293307">
        <w:rPr>
          <w:rFonts w:ascii="Baguet Script" w:hAnsi="Baguet Script"/>
          <w:sz w:val="32"/>
          <w:szCs w:val="32"/>
        </w:rPr>
        <w:t>C.Lewis</w:t>
      </w:r>
      <w:proofErr w:type="spellEnd"/>
      <w:proofErr w:type="gramEnd"/>
      <w:r w:rsidR="00B577D3" w:rsidRPr="00293307">
        <w:rPr>
          <w:sz w:val="32"/>
          <w:szCs w:val="32"/>
        </w:rPr>
        <w:t xml:space="preserve"> </w:t>
      </w:r>
      <w:r w:rsidR="00B577D3" w:rsidRPr="00B577D3">
        <w:rPr>
          <w:sz w:val="24"/>
          <w:szCs w:val="24"/>
        </w:rPr>
        <w:t>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4B39837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293307">
        <w:rPr>
          <w:sz w:val="24"/>
          <w:szCs w:val="24"/>
        </w:rPr>
        <w:t>7</w:t>
      </w:r>
      <w:r w:rsidR="003C722F">
        <w:rPr>
          <w:sz w:val="24"/>
          <w:szCs w:val="24"/>
        </w:rPr>
        <w:t>/10/2025</w:t>
      </w:r>
      <w:r w:rsidR="00B577D3" w:rsidRPr="00B577D3">
        <w:rPr>
          <w:sz w:val="24"/>
          <w:szCs w:val="24"/>
        </w:rPr>
        <w:t>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D0A3A1F" w:rsidR="00D05A5D" w:rsidRPr="00DA5682" w:rsidRDefault="00AC319A" w:rsidP="00CC14B6">
            <w:pPr>
              <w:rPr>
                <w:sz w:val="24"/>
                <w:szCs w:val="24"/>
              </w:rPr>
            </w:pPr>
            <w:r>
              <w:rPr>
                <w:sz w:val="24"/>
                <w:szCs w:val="24"/>
              </w:rPr>
              <w:t>Zara Morgan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4BEA8EF" w:rsidR="00D05A5D" w:rsidRPr="00DA5682" w:rsidRDefault="00AC319A" w:rsidP="00CC14B6">
            <w:pPr>
              <w:rPr>
                <w:sz w:val="24"/>
                <w:szCs w:val="24"/>
              </w:rPr>
            </w:pPr>
            <w:r>
              <w:rPr>
                <w:sz w:val="24"/>
                <w:szCs w:val="24"/>
              </w:rPr>
              <w:t xml:space="preserve">LAC Team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B57D056" w:rsidR="00D05A5D" w:rsidRPr="00DA5682" w:rsidRDefault="00FD71ED" w:rsidP="00CC14B6">
            <w:pPr>
              <w:rPr>
                <w:sz w:val="24"/>
                <w:szCs w:val="24"/>
              </w:rPr>
            </w:pPr>
            <w:r>
              <w:rPr>
                <w:sz w:val="24"/>
                <w:szCs w:val="24"/>
              </w:rPr>
              <w:t xml:space="preserve">Caroline Lewis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9C27581" w:rsidR="00D05A5D" w:rsidRPr="00DA5682" w:rsidRDefault="00293307" w:rsidP="00CC14B6">
            <w:pPr>
              <w:rPr>
                <w:sz w:val="24"/>
                <w:szCs w:val="24"/>
              </w:rPr>
            </w:pPr>
            <w:r>
              <w:rPr>
                <w:sz w:val="24"/>
                <w:szCs w:val="24"/>
              </w:rPr>
              <w:t>Caroline Lewis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2C15904" w:rsidR="00D05A5D" w:rsidRPr="00DA5682" w:rsidRDefault="00877903" w:rsidP="00D05A5D">
      <w:pPr>
        <w:rPr>
          <w:sz w:val="24"/>
          <w:szCs w:val="24"/>
        </w:rPr>
      </w:pPr>
      <w:r>
        <w:rPr>
          <w:noProof/>
        </w:rPr>
        <w:drawing>
          <wp:anchor distT="0" distB="0" distL="114300" distR="114300" simplePos="0" relativeHeight="251659264" behindDoc="1" locked="0" layoutInCell="1" allowOverlap="1" wp14:anchorId="4BDC4C53" wp14:editId="59405AA9">
            <wp:simplePos x="0" y="0"/>
            <wp:positionH relativeFrom="column">
              <wp:posOffset>863600</wp:posOffset>
            </wp:positionH>
            <wp:positionV relativeFrom="paragraph">
              <wp:posOffset>6350</wp:posOffset>
            </wp:positionV>
            <wp:extent cx="717550" cy="396240"/>
            <wp:effectExtent l="0" t="0" r="6350" b="3810"/>
            <wp:wrapTight wrapText="bothSides">
              <wp:wrapPolygon edited="0">
                <wp:start x="0" y="0"/>
                <wp:lineTo x="0" y="20769"/>
                <wp:lineTo x="21218" y="20769"/>
                <wp:lineTo x="21218" y="0"/>
                <wp:lineTo x="0" y="0"/>
              </wp:wrapPolygon>
            </wp:wrapTight>
            <wp:docPr id="1"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10;&#10;Description automatically generated"/>
                    <pic:cNvPicPr>
                      <a:picLocks noChangeAspect="1"/>
                    </pic:cNvPicPr>
                  </pic:nvPicPr>
                  <pic:blipFill rotWithShape="1">
                    <a:blip r:embed="rId35" r:link="rId36" cstate="print">
                      <a:extLst>
                        <a:ext uri="{28A0092B-C50C-407E-A947-70E740481C1C}">
                          <a14:useLocalDpi xmlns:a14="http://schemas.microsoft.com/office/drawing/2010/main" val="0"/>
                        </a:ext>
                      </a:extLst>
                    </a:blip>
                    <a:srcRect l="10789" t="18554" r="34548" b="66166"/>
                    <a:stretch/>
                  </pic:blipFill>
                  <pic:spPr bwMode="auto">
                    <a:xfrm>
                      <a:off x="0" y="0"/>
                      <a:ext cx="717550" cy="396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05A5D" w:rsidRPr="00DA5682">
        <w:rPr>
          <w:sz w:val="24"/>
          <w:szCs w:val="24"/>
        </w:rPr>
        <w:t>Signed</w:t>
      </w:r>
      <w:r>
        <w:rPr>
          <w:sz w:val="24"/>
          <w:szCs w:val="24"/>
        </w:rPr>
        <w:t xml:space="preserve">: </w:t>
      </w:r>
      <w:r>
        <w:rPr>
          <w:noProof/>
        </w:rPr>
        <w:t xml:space="preserve">                                 </w:t>
      </w:r>
      <w:r w:rsidR="00D05A5D" w:rsidRPr="00DA5682">
        <w:rPr>
          <w:sz w:val="24"/>
          <w:szCs w:val="24"/>
        </w:rPr>
        <w:t xml:space="preserve"> </w:t>
      </w:r>
      <w:r>
        <w:rPr>
          <w:sz w:val="24"/>
          <w:szCs w:val="24"/>
        </w:rPr>
        <w:t xml:space="preserve">        </w:t>
      </w:r>
      <w:r w:rsidR="00D05A5D" w:rsidRPr="00DA5682">
        <w:rPr>
          <w:sz w:val="24"/>
          <w:szCs w:val="24"/>
        </w:rPr>
        <w:t>Print Name:</w:t>
      </w:r>
      <w:r w:rsidR="00D26B37">
        <w:rPr>
          <w:sz w:val="24"/>
          <w:szCs w:val="24"/>
        </w:rPr>
        <w:t xml:space="preserve"> Zara </w:t>
      </w:r>
      <w:proofErr w:type="gramStart"/>
      <w:r w:rsidR="00D26B37">
        <w:rPr>
          <w:sz w:val="24"/>
          <w:szCs w:val="24"/>
        </w:rPr>
        <w:t xml:space="preserve">Morgan </w:t>
      </w:r>
      <w:r w:rsidR="00D05A5D" w:rsidRPr="00DA5682">
        <w:rPr>
          <w:sz w:val="24"/>
          <w:szCs w:val="24"/>
        </w:rPr>
        <w:t xml:space="preserve"> Date</w:t>
      </w:r>
      <w:proofErr w:type="gramEnd"/>
      <w:r w:rsidR="00D26B37">
        <w:rPr>
          <w:sz w:val="24"/>
          <w:szCs w:val="24"/>
        </w:rPr>
        <w:t xml:space="preserve">: </w:t>
      </w:r>
      <w:r w:rsidR="00EB71AA">
        <w:rPr>
          <w:sz w:val="24"/>
          <w:szCs w:val="24"/>
        </w:rPr>
        <w:t>0</w:t>
      </w:r>
      <w:r w:rsidR="008141F7">
        <w:rPr>
          <w:sz w:val="24"/>
          <w:szCs w:val="24"/>
        </w:rPr>
        <w:t>7</w:t>
      </w:r>
      <w:r w:rsidR="00EB71AA">
        <w:rPr>
          <w:sz w:val="24"/>
          <w:szCs w:val="24"/>
        </w:rPr>
        <w:t>/10/2025</w:t>
      </w:r>
    </w:p>
    <w:p w14:paraId="7A2E2EC8" w14:textId="330CE07E"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7152F6AD" w:rsidR="00D05A5D" w:rsidRPr="00DA5682" w:rsidRDefault="00D05A5D" w:rsidP="00D05A5D">
      <w:pPr>
        <w:rPr>
          <w:sz w:val="24"/>
          <w:szCs w:val="24"/>
        </w:rPr>
      </w:pPr>
      <w:proofErr w:type="gramStart"/>
      <w:r w:rsidRPr="00DA5682">
        <w:rPr>
          <w:sz w:val="24"/>
          <w:szCs w:val="24"/>
        </w:rPr>
        <w:t>Signed:…</w:t>
      </w:r>
      <w:proofErr w:type="spellStart"/>
      <w:r w:rsidR="00360DDF" w:rsidRPr="008141F7">
        <w:rPr>
          <w:rFonts w:ascii="Baguet Script" w:hAnsi="Baguet Script"/>
          <w:sz w:val="32"/>
          <w:szCs w:val="32"/>
        </w:rPr>
        <w:t>C</w:t>
      </w:r>
      <w:r w:rsidR="00293307" w:rsidRPr="008141F7">
        <w:rPr>
          <w:rFonts w:ascii="Baguet Script" w:hAnsi="Baguet Script"/>
          <w:sz w:val="32"/>
          <w:szCs w:val="32"/>
        </w:rPr>
        <w:t>.</w:t>
      </w:r>
      <w:r w:rsidR="00360DDF" w:rsidRPr="008141F7">
        <w:rPr>
          <w:rFonts w:ascii="Baguet Script" w:hAnsi="Baguet Script"/>
          <w:sz w:val="32"/>
          <w:szCs w:val="32"/>
        </w:rPr>
        <w:t>Lewis</w:t>
      </w:r>
      <w:proofErr w:type="spellEnd"/>
      <w:proofErr w:type="gramEnd"/>
      <w:r w:rsidRPr="008141F7">
        <w:rPr>
          <w:sz w:val="32"/>
          <w:szCs w:val="32"/>
        </w:rPr>
        <w:t>…</w:t>
      </w:r>
      <w:r w:rsidRPr="00DA5682">
        <w:rPr>
          <w:sz w:val="24"/>
          <w:szCs w:val="24"/>
        </w:rPr>
        <w:t>Print Name:</w:t>
      </w:r>
      <w:r w:rsidR="00293307" w:rsidRPr="00293307">
        <w:rPr>
          <w:sz w:val="24"/>
          <w:szCs w:val="24"/>
        </w:rPr>
        <w:t xml:space="preserve"> </w:t>
      </w:r>
      <w:r w:rsidR="00293307">
        <w:rPr>
          <w:sz w:val="24"/>
          <w:szCs w:val="24"/>
        </w:rPr>
        <w:t xml:space="preserve">Caroline Lewis </w:t>
      </w:r>
      <w:r w:rsidRPr="00DA5682">
        <w:rPr>
          <w:sz w:val="24"/>
          <w:szCs w:val="24"/>
        </w:rPr>
        <w:t>……</w:t>
      </w:r>
      <w:r w:rsidR="00293307">
        <w:rPr>
          <w:sz w:val="24"/>
          <w:szCs w:val="24"/>
        </w:rPr>
        <w:t xml:space="preserve">  </w:t>
      </w:r>
      <w:proofErr w:type="gramStart"/>
      <w:r w:rsidRPr="00DA5682">
        <w:rPr>
          <w:sz w:val="24"/>
          <w:szCs w:val="24"/>
        </w:rPr>
        <w:t>Date:…</w:t>
      </w:r>
      <w:proofErr w:type="gramEnd"/>
      <w:r w:rsidR="00293307">
        <w:rPr>
          <w:sz w:val="24"/>
          <w:szCs w:val="24"/>
        </w:rPr>
        <w:t>07/10/2025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442359E2" w:rsidR="00D05A5D" w:rsidRPr="00DA5682" w:rsidRDefault="00D05A5D" w:rsidP="00D05A5D">
      <w:pPr>
        <w:rPr>
          <w:sz w:val="24"/>
          <w:szCs w:val="24"/>
        </w:rPr>
      </w:pPr>
    </w:p>
    <w:p w14:paraId="63183983" w14:textId="446F5622"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00350BF8">
        <w:rPr>
          <w:sz w:val="24"/>
          <w:szCs w:val="24"/>
        </w:rPr>
        <w:t xml:space="preserve"> </w:t>
      </w:r>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8"/>
      <w:footerReference w:type="default" r:id="rId3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F0F65" w14:textId="77777777" w:rsidR="0065476B" w:rsidRDefault="0065476B">
      <w:r>
        <w:separator/>
      </w:r>
    </w:p>
  </w:endnote>
  <w:endnote w:type="continuationSeparator" w:id="0">
    <w:p w14:paraId="6A9E5776" w14:textId="77777777" w:rsidR="0065476B" w:rsidRDefault="00654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guet Script">
    <w:charset w:val="00"/>
    <w:family w:val="auto"/>
    <w:pitch w:val="variable"/>
    <w:sig w:usb0="00000007" w:usb1="00000000" w:usb2="00000000" w:usb3="00000000" w:csb0="00000093"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42254" w14:textId="77777777" w:rsidR="0065476B" w:rsidRDefault="0065476B">
      <w:r>
        <w:separator/>
      </w:r>
    </w:p>
  </w:footnote>
  <w:footnote w:type="continuationSeparator" w:id="0">
    <w:p w14:paraId="497464A4" w14:textId="77777777" w:rsidR="0065476B" w:rsidRDefault="00654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B6A4444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5046EE80"/>
    <w:lvl w:ilvl="0">
      <w:numFmt w:val="bullet"/>
      <w:lvlText w:val="*"/>
      <w:lvlJc w:val="left"/>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2"/>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6"/>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5"/>
  </w:num>
  <w:num w:numId="40" w16cid:durableId="1266502755">
    <w:abstractNumId w:val="7"/>
  </w:num>
  <w:num w:numId="41" w16cid:durableId="2138642120">
    <w:abstractNumId w:val="26"/>
  </w:num>
  <w:num w:numId="42" w16cid:durableId="2082366208">
    <w:abstractNumId w:val="8"/>
  </w:num>
  <w:num w:numId="43" w16cid:durableId="488403910">
    <w:abstractNumId w:val="4"/>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3"/>
  </w:num>
  <w:num w:numId="54" w16cid:durableId="1567960367">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F3B"/>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8AA"/>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16F3"/>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6829"/>
    <w:rsid w:val="00291ADD"/>
    <w:rsid w:val="002920DF"/>
    <w:rsid w:val="00292F3D"/>
    <w:rsid w:val="00293307"/>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0BF8"/>
    <w:rsid w:val="00354B6D"/>
    <w:rsid w:val="00355210"/>
    <w:rsid w:val="00355CFD"/>
    <w:rsid w:val="00360DDF"/>
    <w:rsid w:val="00365DF9"/>
    <w:rsid w:val="0037066E"/>
    <w:rsid w:val="00372DB4"/>
    <w:rsid w:val="00373A36"/>
    <w:rsid w:val="0037419E"/>
    <w:rsid w:val="00374F43"/>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C722F"/>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24D6"/>
    <w:rsid w:val="00425160"/>
    <w:rsid w:val="00430DE3"/>
    <w:rsid w:val="004348AE"/>
    <w:rsid w:val="004376C0"/>
    <w:rsid w:val="0044223A"/>
    <w:rsid w:val="00450B67"/>
    <w:rsid w:val="0045161A"/>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4543"/>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6E88"/>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530B"/>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02E"/>
    <w:rsid w:val="005E13EA"/>
    <w:rsid w:val="005E17F1"/>
    <w:rsid w:val="005E63F5"/>
    <w:rsid w:val="005F64AA"/>
    <w:rsid w:val="005F7851"/>
    <w:rsid w:val="00606E27"/>
    <w:rsid w:val="006108C9"/>
    <w:rsid w:val="00614DF7"/>
    <w:rsid w:val="006179BB"/>
    <w:rsid w:val="0062158D"/>
    <w:rsid w:val="006223FD"/>
    <w:rsid w:val="00626F0B"/>
    <w:rsid w:val="006326D1"/>
    <w:rsid w:val="00632E0A"/>
    <w:rsid w:val="00633165"/>
    <w:rsid w:val="006447DE"/>
    <w:rsid w:val="00644889"/>
    <w:rsid w:val="0065276E"/>
    <w:rsid w:val="00654329"/>
    <w:rsid w:val="0065476B"/>
    <w:rsid w:val="00654CEC"/>
    <w:rsid w:val="00655507"/>
    <w:rsid w:val="006579FD"/>
    <w:rsid w:val="006635E3"/>
    <w:rsid w:val="006669F3"/>
    <w:rsid w:val="006712A7"/>
    <w:rsid w:val="00672CED"/>
    <w:rsid w:val="00674FC2"/>
    <w:rsid w:val="00676E35"/>
    <w:rsid w:val="00677E42"/>
    <w:rsid w:val="00682334"/>
    <w:rsid w:val="0068445D"/>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27FF"/>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5950"/>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41F7"/>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3F1F"/>
    <w:rsid w:val="00877903"/>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4A40"/>
    <w:rsid w:val="00926436"/>
    <w:rsid w:val="00926C53"/>
    <w:rsid w:val="0093018C"/>
    <w:rsid w:val="0094495F"/>
    <w:rsid w:val="009544C0"/>
    <w:rsid w:val="00954FA4"/>
    <w:rsid w:val="00956AE9"/>
    <w:rsid w:val="00964CC6"/>
    <w:rsid w:val="00967BFA"/>
    <w:rsid w:val="00975B60"/>
    <w:rsid w:val="0098262C"/>
    <w:rsid w:val="0098427C"/>
    <w:rsid w:val="00986B43"/>
    <w:rsid w:val="00986C0B"/>
    <w:rsid w:val="00986D46"/>
    <w:rsid w:val="009902E2"/>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19A"/>
    <w:rsid w:val="00AC3A0E"/>
    <w:rsid w:val="00AC4A04"/>
    <w:rsid w:val="00AC5679"/>
    <w:rsid w:val="00AD311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337"/>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2830"/>
    <w:rsid w:val="00C33375"/>
    <w:rsid w:val="00C34C23"/>
    <w:rsid w:val="00C368FA"/>
    <w:rsid w:val="00C42005"/>
    <w:rsid w:val="00C45D3A"/>
    <w:rsid w:val="00C4664D"/>
    <w:rsid w:val="00C472AA"/>
    <w:rsid w:val="00C50A05"/>
    <w:rsid w:val="00C54AED"/>
    <w:rsid w:val="00C555FC"/>
    <w:rsid w:val="00C55E9B"/>
    <w:rsid w:val="00C56505"/>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1462"/>
    <w:rsid w:val="00CB258E"/>
    <w:rsid w:val="00CB3C8F"/>
    <w:rsid w:val="00CB5B88"/>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26B37"/>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B5B"/>
    <w:rsid w:val="00DA5682"/>
    <w:rsid w:val="00DA5860"/>
    <w:rsid w:val="00DA5C0C"/>
    <w:rsid w:val="00DB2767"/>
    <w:rsid w:val="00DB560B"/>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73F"/>
    <w:rsid w:val="00E3288D"/>
    <w:rsid w:val="00E35112"/>
    <w:rsid w:val="00E35BEC"/>
    <w:rsid w:val="00E41A6A"/>
    <w:rsid w:val="00E50821"/>
    <w:rsid w:val="00E51F91"/>
    <w:rsid w:val="00E5498A"/>
    <w:rsid w:val="00E559CE"/>
    <w:rsid w:val="00E60F42"/>
    <w:rsid w:val="00E6348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35F"/>
    <w:rsid w:val="00EA4D48"/>
    <w:rsid w:val="00EA7ADF"/>
    <w:rsid w:val="00EB2173"/>
    <w:rsid w:val="00EB62E6"/>
    <w:rsid w:val="00EB695F"/>
    <w:rsid w:val="00EB71AA"/>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71ED"/>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A335F"/>
    <w:rPr>
      <w:color w:val="605E5C"/>
      <w:shd w:val="clear" w:color="auto" w:fill="E1DFDD"/>
    </w:rPr>
  </w:style>
  <w:style w:type="paragraph" w:styleId="ListBullet">
    <w:name w:val="List Bullet"/>
    <w:basedOn w:val="Normal"/>
    <w:uiPriority w:val="99"/>
    <w:unhideWhenUsed/>
    <w:rsid w:val="00516E88"/>
    <w:pPr>
      <w:numPr>
        <w:numId w:val="54"/>
      </w:numPr>
      <w:tabs>
        <w:tab w:val="clear" w:pos="360"/>
      </w:tabs>
      <w:overflowPunct/>
      <w:autoSpaceDE/>
      <w:autoSpaceDN/>
      <w:adjustRightInd/>
      <w:spacing w:after="160" w:line="278" w:lineRule="auto"/>
      <w:ind w:left="0" w:firstLine="0"/>
      <w:contextualSpacing/>
      <w:textAlignment w:val="auto"/>
    </w:pPr>
    <w:rPr>
      <w:rFonts w:asciiTheme="minorHAnsi" w:eastAsiaTheme="minorEastAsia" w:hAnsiTheme="minorHAnsi" w:cstheme="minorBidi"/>
      <w:color w:val="auto"/>
      <w:kern w:val="2"/>
      <w:sz w:val="24"/>
      <w:szCs w:val="24"/>
      <w:lang w:val="en-US"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nspcc.org.uk/research-resources/2023/working-together-to-safeguard-children-2023-summary-of-changes" TargetMode="External"/><Relationship Id="rId18" Type="http://schemas.openxmlformats.org/officeDocument/2006/relationships/hyperlink" Target="https://doi.org/10.1093/sw/45.3.201" TargetMode="External"/><Relationship Id="rId26" Type="http://schemas.openxmlformats.org/officeDocument/2006/relationships/hyperlink" Target="https://doi.org/10.1016/j.childyouth.2020.105104" TargetMode="External"/><Relationship Id="rId39" Type="http://schemas.openxmlformats.org/officeDocument/2006/relationships/footer" Target="footer1.xml"/><Relationship Id="rId21" Type="http://schemas.openxmlformats.org/officeDocument/2006/relationships/hyperlink" Target="https://doi.org/10.4324/9781351241977" TargetMode="External"/><Relationship Id="rId34" Type="http://schemas.openxmlformats.org/officeDocument/2006/relationships/hyperlink" Target="https://www.gov.wales/working-together-safeguard-people-code-safeguarding-practice"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177/1468017319830593" TargetMode="External"/><Relationship Id="rId20" Type="http://schemas.openxmlformats.org/officeDocument/2006/relationships/hyperlink" Target="https://socialcare.wales/cms-assets/documents/Code-of-Professional-Practice-for-Social-Care-web-version.pdf" TargetMode="External"/><Relationship Id="rId29" Type="http://schemas.openxmlformats.org/officeDocument/2006/relationships/hyperlink" Target="https://www.legislation.gov.uk/anaw/2014/4/content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4324/9781041057970" TargetMode="External"/><Relationship Id="rId24" Type="http://schemas.openxmlformats.org/officeDocument/2006/relationships/hyperlink" Target="https://www.gov.wales/sites/default/files/publications/2019-04/delivering-the-active-offer-information-pack-social-services-and-social-care.pdf" TargetMode="External"/><Relationship Id="rId32" Type="http://schemas.openxmlformats.org/officeDocument/2006/relationships/hyperlink" Target="https://www.legislation.gov.uk/ukpga/2005/9/contents" TargetMode="External"/><Relationship Id="rId37" Type="http://schemas.openxmlformats.org/officeDocument/2006/relationships/image" Target="media/image3.jpe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socialcare.wales/social-work-resources-library/assessment-analysis-and-decision-making" TargetMode="External"/><Relationship Id="rId23" Type="http://schemas.openxmlformats.org/officeDocument/2006/relationships/hyperlink" Target="https://www.gov.wales/sites/default/files/publications/2019-04/delivering-the-active-offer-information-pack-social-services-and-social-care.pdf" TargetMode="External"/><Relationship Id="rId28" Type="http://schemas.openxmlformats.org/officeDocument/2006/relationships/hyperlink" Target="https://socialcare.wales/cms-assets/documents/Code-of-Professional-Practice-for-Social-Care-web-version.pdf" TargetMode="External"/><Relationship Id="rId36" Type="http://schemas.openxmlformats.org/officeDocument/2006/relationships/image" Target="cid:17d38ed742d5a87283b1" TargetMode="External"/><Relationship Id="rId10" Type="http://schemas.openxmlformats.org/officeDocument/2006/relationships/image" Target="media/image1.png"/><Relationship Id="rId19" Type="http://schemas.openxmlformats.org/officeDocument/2006/relationships/hyperlink" Target="https://www.legislation.gov.uk/mwa/2011/1/contents" TargetMode="External"/><Relationship Id="rId31" Type="http://schemas.openxmlformats.org/officeDocument/2006/relationships/hyperlink" Target="https://www.gov.wales/welsh-index-multiple-depriv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93/bjsw/bcac223" TargetMode="External"/><Relationship Id="rId22" Type="http://schemas.openxmlformats.org/officeDocument/2006/relationships/hyperlink" Target="https://www.gov.wales/welsh-index-multiple-deprivation" TargetMode="External"/><Relationship Id="rId27" Type="http://schemas.openxmlformats.org/officeDocument/2006/relationships/hyperlink" Target="https://doi.org/10.1001/archpedi.162.6.550" TargetMode="External"/><Relationship Id="rId30" Type="http://schemas.openxmlformats.org/officeDocument/2006/relationships/hyperlink" Target="https://www.socialworkengland.org.uk/cpd/ethics-and-values" TargetMode="External"/><Relationship Id="rId35" Type="http://schemas.openxmlformats.org/officeDocument/2006/relationships/image" Target="media/image2.jpe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taylorfrancis.com/books/mono/10.4324/9781041056935/social-work-law-denise-harvey-michelle-evans" TargetMode="External"/><Relationship Id="rId17" Type="http://schemas.openxmlformats.org/officeDocument/2006/relationships/hyperlink" Target="https://www.wcpp.org.uk/wp-content/uploads/2021/09/Multi-agency-working-and-outcomes-for-children-looked-after-Evidence-review.pdf" TargetMode="External"/><Relationship Id="rId25" Type="http://schemas.openxmlformats.org/officeDocument/2006/relationships/hyperlink" Target="https://doi.org/10.1177/15248380211036073" TargetMode="External"/><Relationship Id="rId33" Type="http://schemas.openxmlformats.org/officeDocument/2006/relationships/hyperlink" Target="https://www.gov.wales/sites/default/files/publications/2019-05/social-services-and-well-being-wales-act-2014-the-essentials.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5894</Words>
  <Characters>33598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Zara Morgan</cp:lastModifiedBy>
  <cp:revision>2</cp:revision>
  <cp:lastPrinted>2020-02-11T19:20:00Z</cp:lastPrinted>
  <dcterms:created xsi:type="dcterms:W3CDTF">2025-10-08T10:37:00Z</dcterms:created>
  <dcterms:modified xsi:type="dcterms:W3CDTF">2025-10-08T10:37:00Z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