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B5C41" w14:textId="77777777" w:rsidR="00925B43" w:rsidRDefault="00395B92" w:rsidP="00CA3A87">
      <w:pPr>
        <w:jc w:val="center"/>
        <w:rPr>
          <w:b/>
          <w:sz w:val="28"/>
          <w:szCs w:val="28"/>
          <w:u w:val="single"/>
        </w:rPr>
      </w:pPr>
      <w:r>
        <w:rPr>
          <w:b/>
          <w:sz w:val="28"/>
          <w:szCs w:val="28"/>
          <w:u w:val="single"/>
        </w:rPr>
        <w:t>Would you judge Sparta as pious or manipulative when religion intersected with politics (domestic or interpolis)?</w:t>
      </w:r>
    </w:p>
    <w:p w14:paraId="7B623C9E" w14:textId="77777777" w:rsidR="0061392F" w:rsidRDefault="0061392F" w:rsidP="00CA3A87">
      <w:pPr>
        <w:jc w:val="center"/>
        <w:rPr>
          <w:b/>
          <w:sz w:val="28"/>
          <w:szCs w:val="28"/>
          <w:u w:val="single"/>
        </w:rPr>
      </w:pPr>
    </w:p>
    <w:p w14:paraId="02BC6F57" w14:textId="12080C7D" w:rsidR="0061392F" w:rsidRDefault="0061392F" w:rsidP="0061392F">
      <w:r>
        <w:tab/>
      </w:r>
    </w:p>
    <w:p w14:paraId="1F3FE730" w14:textId="77777777" w:rsidR="00581CCA" w:rsidRDefault="00581CCA" w:rsidP="0061392F"/>
    <w:p w14:paraId="7194E929" w14:textId="28A4416E" w:rsidR="00581CCA" w:rsidRDefault="00581CCA" w:rsidP="0061392F">
      <w:r>
        <w:tab/>
      </w:r>
      <w:r w:rsidR="009C6AE8">
        <w:t xml:space="preserve">Upon thinking of Sparta, it can be easy to paint the polis as a merely militaristic civilisation, however it is important to consider multiple aspects of daily life. </w:t>
      </w:r>
      <w:r w:rsidR="00D202CB">
        <w:t>It is important to realise</w:t>
      </w:r>
      <w:r w:rsidR="0096347B">
        <w:t xml:space="preserve"> that while all Greek, each polis had their own identity with different rituals and traditions to oth</w:t>
      </w:r>
      <w:r w:rsidR="004B5A27">
        <w:t>ers. By realising that Sparta was</w:t>
      </w:r>
      <w:r w:rsidR="0096347B">
        <w:t xml:space="preserve"> unique in its practices and that we are unable to truly know the intentions of the decision makers, we can then deduct that Sparta may have genuinely be a pious place. </w:t>
      </w:r>
      <w:r w:rsidR="00332F86">
        <w:t>Religion of various forms and levels was prevalent across Greece, and the gods worshiped by each polis were similar overall to each other.</w:t>
      </w:r>
      <w:r w:rsidR="00332F86">
        <w:rPr>
          <w:rStyle w:val="FootnoteReference"/>
        </w:rPr>
        <w:footnoteReference w:id="1"/>
      </w:r>
      <w:r w:rsidR="005C2A24">
        <w:t xml:space="preserve"> </w:t>
      </w:r>
      <w:r w:rsidR="004A2815">
        <w:t xml:space="preserve">Being that religion and cult activity was such a strong aspect of life in Sparta and wider Greece, the </w:t>
      </w:r>
      <w:r w:rsidR="00716CE8">
        <w:t>encompassing nature of it would have begun during childhood and spread into</w:t>
      </w:r>
      <w:r w:rsidR="00617E73">
        <w:t xml:space="preserve"> their behaviour in adult life.</w:t>
      </w:r>
      <w:r w:rsidR="00617E73">
        <w:rPr>
          <w:rStyle w:val="FootnoteReference"/>
        </w:rPr>
        <w:footnoteReference w:id="2"/>
      </w:r>
      <w:r w:rsidR="005239DA">
        <w:t xml:space="preserve"> While we cannot pretend to know for certain why decisions were made at certain times in Spartan history, we can attempt to analyse </w:t>
      </w:r>
      <w:r w:rsidR="00C44979">
        <w:t>daily life and religious tradition</w:t>
      </w:r>
      <w:r w:rsidR="004B5A27">
        <w:t>s</w:t>
      </w:r>
      <w:r w:rsidR="00C44979">
        <w:t xml:space="preserve"> to ultimately give Sparta benefit of the doubt. With evidence of Sparta’s religious nature being so plentiful, we can get the sense tha</w:t>
      </w:r>
      <w:r w:rsidR="00A57629">
        <w:t>t Sparta was a truly pious place</w:t>
      </w:r>
      <w:r w:rsidR="00C44979">
        <w:t xml:space="preserve">. </w:t>
      </w:r>
    </w:p>
    <w:p w14:paraId="50E1DF13" w14:textId="34A0BF15" w:rsidR="00DC27C1" w:rsidRDefault="00DC27C1" w:rsidP="0061392F">
      <w:r>
        <w:tab/>
      </w:r>
      <w:r w:rsidR="00422589">
        <w:t xml:space="preserve">In order to understand the decisions that Sparta made during times of political change and crisis such as war, we first need to analyse the way of life that Sparta practiced. Being that religion was so all-encompassing, we can </w:t>
      </w:r>
      <w:r w:rsidR="002F57DB">
        <w:t>distinguish what was done in the name of the gods in daily life. Beginning at youth, boys and girls were placed under the care of differing gods in order to guide and protect them. Young Spartan girls were under the protection of Helen, who would guide them through their young lives and through to marriage.</w:t>
      </w:r>
      <w:r w:rsidR="0044115D">
        <w:t xml:space="preserve"> On the other hand, young Spartan boys were under the care of their nurses, who participated in the festival of the Tithenidia in honour of Artemis Corythalia.</w:t>
      </w:r>
      <w:r w:rsidR="00AC64E3">
        <w:t xml:space="preserve"> </w:t>
      </w:r>
      <w:r w:rsidR="004B7742">
        <w:t>As young Spartans grew, they were placed under care of different gods to lead them through different times of their life. For growing boys, this god was Apollo.</w:t>
      </w:r>
      <w:r w:rsidR="00AC64E3">
        <w:rPr>
          <w:rStyle w:val="FootnoteReference"/>
        </w:rPr>
        <w:footnoteReference w:id="3"/>
      </w:r>
      <w:r w:rsidR="000A0EB1">
        <w:t xml:space="preserve"> Not only this, but Sparta worshipped the founder of the constitution itself as a god, meaning that Sparta viewed </w:t>
      </w:r>
      <w:r w:rsidR="00AC05A1">
        <w:t>its very foundation as divine, something that impressed even other Greek poleis</w:t>
      </w:r>
      <w:r w:rsidR="003B00E6">
        <w:t>.</w:t>
      </w:r>
      <w:r w:rsidR="003B00E6">
        <w:rPr>
          <w:rStyle w:val="FootnoteReference"/>
        </w:rPr>
        <w:footnoteReference w:id="4"/>
      </w:r>
      <w:r w:rsidR="00A671E3">
        <w:t xml:space="preserve"> </w:t>
      </w:r>
      <w:r w:rsidR="004F4BF4">
        <w:t>Within the Rhetra, it is immediately shown to prioritise importance of religion by stating, “After the foundation of a sanctuary of Zeus Skyllanios and Athena Skyllania…”</w:t>
      </w:r>
      <w:r w:rsidR="004F4BF4">
        <w:rPr>
          <w:rStyle w:val="FootnoteReference"/>
        </w:rPr>
        <w:footnoteReference w:id="5"/>
      </w:r>
      <w:r w:rsidR="00BB7E88">
        <w:t xml:space="preserve"> which puts</w:t>
      </w:r>
      <w:r w:rsidR="004E5E91">
        <w:t xml:space="preserve"> the gods at the forefront of Spartan society.</w:t>
      </w:r>
    </w:p>
    <w:p w14:paraId="31D0DC50" w14:textId="5851502D" w:rsidR="004E5E91" w:rsidRDefault="004E5E91" w:rsidP="0061392F">
      <w:r>
        <w:tab/>
        <w:t xml:space="preserve">During times of peace, </w:t>
      </w:r>
      <w:r w:rsidR="00D01FD7">
        <w:t xml:space="preserve">Spartan citizens regularly participated in festivals and rituals for the gods. </w:t>
      </w:r>
      <w:r w:rsidR="00C97961">
        <w:t>Michael Pettersson lays out a comprehensive chart describing the cultic duties of a Spartan citizen all the way from birth until death. This chart includes participation in games dedicated to Artemis Orthia, musical performances dedicated to Apollo, sacrifices to Herakles, and sacrifices to Demeter to name a few.</w:t>
      </w:r>
      <w:r w:rsidR="00C97961">
        <w:rPr>
          <w:rStyle w:val="FootnoteReference"/>
        </w:rPr>
        <w:footnoteReference w:id="6"/>
      </w:r>
      <w:r w:rsidR="0084020C">
        <w:t xml:space="preserve"> </w:t>
      </w:r>
      <w:r w:rsidR="004A0CEE">
        <w:t>If such relig</w:t>
      </w:r>
      <w:r w:rsidR="00D202CB">
        <w:t>ious events and mile markers were</w:t>
      </w:r>
      <w:r w:rsidR="004A0CEE">
        <w:t xml:space="preserve"> acted upon during times of peace, how then would it be seen as manipulation to act upon equally religious events during times of political strife? </w:t>
      </w:r>
      <w:r w:rsidR="000B703D">
        <w:t xml:space="preserve">We must also remember that in the time of </w:t>
      </w:r>
      <w:r w:rsidR="000B703D">
        <w:lastRenderedPageBreak/>
        <w:t xml:space="preserve">Sparta, their practices of worshiping gods in various ways was not considered “religion” as we understand it today. Instead, </w:t>
      </w:r>
      <w:r w:rsidR="00424C96">
        <w:t xml:space="preserve">our modern idea of religion was simply their reality and their way of life. </w:t>
      </w:r>
      <w:r w:rsidR="005A7CD9">
        <w:t>In understanding this, it is more easy to distinguish the Spartan personality from other Greek poleis</w:t>
      </w:r>
      <w:r w:rsidR="001735C5">
        <w:t xml:space="preserve">. </w:t>
      </w:r>
      <w:r w:rsidR="00C20775">
        <w:t>While the names of the gods and heroes involved in their societies may have been the same, the overarching ways of life amongst different poleis were different and therefore the “religion”</w:t>
      </w:r>
      <w:r w:rsidR="00D7420D">
        <w:t xml:space="preserve"> of each pol</w:t>
      </w:r>
      <w:r w:rsidR="00C20775">
        <w:t xml:space="preserve">is would have been inherently </w:t>
      </w:r>
      <w:r w:rsidR="00B12DA0">
        <w:t>different as well.</w:t>
      </w:r>
      <w:r w:rsidR="00B12DA0">
        <w:rPr>
          <w:rStyle w:val="FootnoteReference"/>
        </w:rPr>
        <w:footnoteReference w:id="7"/>
      </w:r>
      <w:r w:rsidR="00BA139B">
        <w:t xml:space="preserve"> With that in mind, it is arrogant to think that Sparta is manipulative simply because they went about certain things more differently or stubbornly to other poleis. </w:t>
      </w:r>
    </w:p>
    <w:p w14:paraId="5920745E" w14:textId="17FA6BFB" w:rsidR="00F62C6F" w:rsidRDefault="00F62C6F" w:rsidP="0061392F">
      <w:r>
        <w:tab/>
      </w:r>
      <w:r w:rsidR="00AE5329">
        <w:t>In addition to religious activities during daily life and during times of peace, Sparta also participated in a number of religious acts during war time. These co</w:t>
      </w:r>
      <w:r w:rsidR="004B0BFD">
        <w:t xml:space="preserve">uld be larger or smaller </w:t>
      </w:r>
      <w:r w:rsidR="0047190B">
        <w:t xml:space="preserve">due to necessity, sometimes so large as to found an entirely new colony during war time. In 426 BC during the Archidamian War, Sparta founded Heraclea Trachinia </w:t>
      </w:r>
      <w:r w:rsidR="002575C7">
        <w:t>after consulting with the Oracle at Delphi</w:t>
      </w:r>
      <w:r w:rsidR="002848A1">
        <w:t>.</w:t>
      </w:r>
      <w:r w:rsidR="002848A1">
        <w:rPr>
          <w:rStyle w:val="FootnoteReference"/>
        </w:rPr>
        <w:footnoteReference w:id="8"/>
      </w:r>
      <w:r w:rsidR="00A32CD5">
        <w:t xml:space="preserve"> This shows that not only did Sparta seek the guidance of the Oracle at Delphi, but that it followed the Oracle’s instructions. In addition to this, the founding of the new colony gave Sparta stronger influence in the association of poleis to supervise religious institutions known as the Amphictiony.</w:t>
      </w:r>
      <w:r w:rsidR="00A32CD5">
        <w:rPr>
          <w:rStyle w:val="FootnoteReference"/>
        </w:rPr>
        <w:footnoteReference w:id="9"/>
      </w:r>
      <w:r w:rsidR="00AA79F3">
        <w:t xml:space="preserve"> This was not the only time the Spartans sought the guidance of the Oracle at Delphi</w:t>
      </w:r>
      <w:r w:rsidR="00F448F9">
        <w:t xml:space="preserve"> during war time. </w:t>
      </w:r>
      <w:r w:rsidR="00585626">
        <w:t xml:space="preserve">During the Tegean War, Sparta found themselves </w:t>
      </w:r>
      <w:r w:rsidR="00426A0A">
        <w:t xml:space="preserve">at a disadvantage and therefore sent ambassadors to the Oracle for help. </w:t>
      </w:r>
      <w:r w:rsidR="0001064C">
        <w:t>The Oracle at Delphi explained that the Spartans must bring back the bones of Orestes in order to win</w:t>
      </w:r>
      <w:r w:rsidR="0026102F">
        <w:t xml:space="preserve"> and become lord of Tegea</w:t>
      </w:r>
      <w:r w:rsidR="0001064C">
        <w:t>. Upon searching for and ultimately locating the bones, Sparta was able to win the war against the Tegeans and successfully control most of the Peloponnese.</w:t>
      </w:r>
      <w:r w:rsidR="0001064C">
        <w:rPr>
          <w:rStyle w:val="FootnoteReference"/>
        </w:rPr>
        <w:footnoteReference w:id="10"/>
      </w:r>
    </w:p>
    <w:p w14:paraId="49A56888" w14:textId="3C358FD5" w:rsidR="006F22AF" w:rsidRDefault="006F22AF" w:rsidP="0061392F">
      <w:r>
        <w:tab/>
        <w:t xml:space="preserve">Sparta did not always take part in certain tasks due to religion and in fact used religious traditions and rituals in order to avoid aiding other poleis at times. </w:t>
      </w:r>
      <w:r w:rsidR="00626309">
        <w:t xml:space="preserve">In the event of the Battle at Marathon, Sparta rejected the Athenian’s call for help at first stating that </w:t>
      </w:r>
      <w:r w:rsidR="00636519">
        <w:t>going to war before the moon’</w:t>
      </w:r>
      <w:r w:rsidR="0053438C">
        <w:t>s cir</w:t>
      </w:r>
      <w:r w:rsidR="00636519">
        <w:t xml:space="preserve">cle was </w:t>
      </w:r>
      <w:r w:rsidR="0053438C">
        <w:t xml:space="preserve">full </w:t>
      </w:r>
      <w:r w:rsidR="002F0548">
        <w:t xml:space="preserve">during the Carnea </w:t>
      </w:r>
      <w:r w:rsidR="0053438C">
        <w:t>was breaking the law.</w:t>
      </w:r>
      <w:r w:rsidR="0013091C">
        <w:rPr>
          <w:rStyle w:val="FootnoteReference"/>
        </w:rPr>
        <w:footnoteReference w:id="11"/>
      </w:r>
      <w:r w:rsidR="00362B42">
        <w:t xml:space="preserve"> Spartans were known to make sacrifices during war </w:t>
      </w:r>
      <w:r w:rsidR="00A74DFD">
        <w:t>and heed omens when they appeared. Spartan king Agesilaus made multiple sacrifices on behalf of the state when he was in power, and took the negative and positive omens he received in return as gospel. In fact, when he received two sets of negative omens in response to his sacrifices, he persisted and made a third offering to which he received the positive omen he wanted.</w:t>
      </w:r>
      <w:r w:rsidR="00A74DFD">
        <w:rPr>
          <w:rStyle w:val="FootnoteReference"/>
        </w:rPr>
        <w:footnoteReference w:id="12"/>
      </w:r>
      <w:r w:rsidR="00F117D7">
        <w:t xml:space="preserve"> This could be seen as manipulation or “cheating” due to his persistence and refusal to accept the first omen as true. However, it can also be interpreted as perseverance to his cause and his intense desire for vindication. </w:t>
      </w:r>
      <w:r w:rsidR="00AA25CA">
        <w:t xml:space="preserve">Regardless of how it is interpreted individually, what cannot be denied is the fact that this was a deeply religious act that not only was </w:t>
      </w:r>
      <w:r w:rsidR="00156B04">
        <w:t xml:space="preserve">pursued, but also taken into consideration and corrected when necessary. </w:t>
      </w:r>
    </w:p>
    <w:p w14:paraId="32DA4B38" w14:textId="0099BE75" w:rsidR="00AD68C2" w:rsidRDefault="00AD68C2" w:rsidP="0061392F">
      <w:r>
        <w:tab/>
        <w:t xml:space="preserve">It should not be forgotten that while Sparta may appear to have used religion as a cop out to avoid sending aid to other poleis, </w:t>
      </w:r>
      <w:r w:rsidR="005E4826">
        <w:t xml:space="preserve">religious respect was also granted at a disadvantage to Sparta. </w:t>
      </w:r>
      <w:r w:rsidR="00116920">
        <w:t>While King Ag</w:t>
      </w:r>
      <w:r w:rsidR="00F03ABD">
        <w:t xml:space="preserve">esilaus </w:t>
      </w:r>
      <w:r w:rsidR="0059408E">
        <w:t xml:space="preserve">may have seemed to cheat the omens sent to him following sacrifices, he also respected religious asylum when eighty armed Theban soldiers took shelter in the temple of Athena after a battle against Sparta. </w:t>
      </w:r>
      <w:r w:rsidR="0048152D">
        <w:t>Rather than seek these men out and kill them, he ordered his men to allow them to go free.</w:t>
      </w:r>
      <w:r w:rsidR="0048152D">
        <w:rPr>
          <w:rStyle w:val="FootnoteReference"/>
        </w:rPr>
        <w:footnoteReference w:id="13"/>
      </w:r>
      <w:r w:rsidR="008C1D56">
        <w:t xml:space="preserve"> Being that this decision was certainly not in the best interest of Sparta, this demonstrates Sparta’s ability to put religion first and act in pious manners even during war times. </w:t>
      </w:r>
    </w:p>
    <w:p w14:paraId="71E20418" w14:textId="3A493581" w:rsidR="00AC64CA" w:rsidRDefault="00AC64CA" w:rsidP="0061392F">
      <w:r>
        <w:tab/>
        <w:t xml:space="preserve">The well-known piety of Sparta could have played a part in the decisions of other Poleis. </w:t>
      </w:r>
      <w:r w:rsidR="00511E62">
        <w:t xml:space="preserve">There are two instances in which Argos specifically attempted to take advantage </w:t>
      </w:r>
      <w:r w:rsidR="006B4167">
        <w:t xml:space="preserve">of the religious dedication that Sparta exhibits. </w:t>
      </w:r>
      <w:r w:rsidR="00B510CE">
        <w:t xml:space="preserve">When the Argives acted to overthrow their leading oligarchs, they waited specifically until the celebration of Gymnopaediae when they knew Sparta would not send aid. Additionally, Argos </w:t>
      </w:r>
      <w:r w:rsidR="003F54AD">
        <w:t>altered</w:t>
      </w:r>
      <w:r w:rsidR="00B510CE">
        <w:t xml:space="preserve"> their calendar so that it would appear that they were </w:t>
      </w:r>
      <w:r w:rsidR="001600A1">
        <w:t xml:space="preserve">observing sacred months in which Sparta was absolutely forbidden to attack. </w:t>
      </w:r>
      <w:r w:rsidR="00777937">
        <w:t>The Spartans took this so seriously that their king Agesipolis consulted the oracles at D</w:t>
      </w:r>
      <w:r w:rsidR="00AA7E5C">
        <w:t>elphi and Olympia bef</w:t>
      </w:r>
      <w:r w:rsidR="00E52AFD">
        <w:t>ore acting against the Argives.</w:t>
      </w:r>
      <w:r w:rsidR="00E52AFD">
        <w:rPr>
          <w:rStyle w:val="FootnoteReference"/>
        </w:rPr>
        <w:footnoteReference w:id="14"/>
      </w:r>
      <w:r w:rsidR="001D4D35">
        <w:t xml:space="preserve"> </w:t>
      </w:r>
      <w:r w:rsidR="00B24962">
        <w:t>In events such as these, it almost shows a weakness in Sparta that was able to be exploited by other poleis. However</w:t>
      </w:r>
      <w:r w:rsidR="006E6BAD">
        <w:t>,</w:t>
      </w:r>
      <w:r w:rsidR="00B24962">
        <w:t xml:space="preserve"> what is interesting is the fact that this “weakness” is not of a ruling or militaristic power, but rather that of a syst</w:t>
      </w:r>
      <w:r w:rsidR="00E1500E">
        <w:t>em of beliefs. In</w:t>
      </w:r>
      <w:r w:rsidR="00EA4D7E">
        <w:t xml:space="preserve"> a society as brutal</w:t>
      </w:r>
      <w:r w:rsidR="0076352B">
        <w:t xml:space="preserve"> in militaristic ways as Sparta</w:t>
      </w:r>
      <w:r w:rsidR="007B7B5E">
        <w:t>, one wouldn’</w:t>
      </w:r>
      <w:r w:rsidR="00785C35">
        <w:t>t</w:t>
      </w:r>
      <w:r w:rsidR="007B7B5E">
        <w:t xml:space="preserve"> necessarily think that something as </w:t>
      </w:r>
      <w:r w:rsidR="004C0746">
        <w:t>mundane</w:t>
      </w:r>
      <w:r w:rsidR="007B7B5E">
        <w:t xml:space="preserve"> </w:t>
      </w:r>
      <w:r w:rsidR="00EA4D7E">
        <w:t xml:space="preserve">as religious duties would prevent </w:t>
      </w:r>
      <w:r w:rsidR="0098483B">
        <w:t xml:space="preserve">them from acting during times of war. </w:t>
      </w:r>
      <w:r w:rsidR="00576B24">
        <w:t xml:space="preserve">It is possible that this intrinsic </w:t>
      </w:r>
      <w:r w:rsidR="00864394">
        <w:t xml:space="preserve">religion </w:t>
      </w:r>
      <w:r w:rsidR="00A20857">
        <w:t>formed a stronghold within Spartan society in such a way that it was prevented from internal instab</w:t>
      </w:r>
      <w:r w:rsidR="00AF3493">
        <w:t>ility for upwards of 400 years.</w:t>
      </w:r>
      <w:r w:rsidR="00AF3493">
        <w:rPr>
          <w:rStyle w:val="FootnoteReference"/>
        </w:rPr>
        <w:footnoteReference w:id="15"/>
      </w:r>
    </w:p>
    <w:p w14:paraId="552E7214" w14:textId="0A88705E" w:rsidR="008F7FF3" w:rsidRDefault="008F7FF3" w:rsidP="0061392F">
      <w:r>
        <w:tab/>
      </w:r>
      <w:r w:rsidR="0074255D">
        <w:t xml:space="preserve">Being that Sparta was such an intensely religious and </w:t>
      </w:r>
      <w:r w:rsidR="00B43E49">
        <w:t xml:space="preserve">militaristic society, it is incredibly difficult if not neglectful to attempt to separate the two narratives. </w:t>
      </w:r>
      <w:r w:rsidR="00B555F9">
        <w:t xml:space="preserve">Every moment of a Spartan’s life was oriented around obeying the gods, acting in rituals and festivals, and serving the polis and its needs. </w:t>
      </w:r>
      <w:r w:rsidR="00464237">
        <w:t>Indeed, rel</w:t>
      </w:r>
      <w:r w:rsidR="00FD13DB">
        <w:t>igious importance helped to shap</w:t>
      </w:r>
      <w:r w:rsidR="00464237">
        <w:t>e the very foundation and structure of society in Sparta. Religion</w:t>
      </w:r>
      <w:r w:rsidR="0071754B">
        <w:t xml:space="preserve"> may have</w:t>
      </w:r>
      <w:r w:rsidR="00464237">
        <w:t xml:space="preserve"> </w:t>
      </w:r>
      <w:r w:rsidR="0071754B">
        <w:t>attributed to orderliness and discipline just as much, if not more so than military training did.</w:t>
      </w:r>
      <w:r w:rsidR="0071754B">
        <w:rPr>
          <w:rStyle w:val="FootnoteReference"/>
        </w:rPr>
        <w:footnoteReference w:id="16"/>
      </w:r>
      <w:r w:rsidR="00517082">
        <w:t xml:space="preserve"> </w:t>
      </w:r>
      <w:r w:rsidR="007A1750">
        <w:t>It could be argued that Sparta was more dedicated and disciplined about their religious acts than any other Greek polis.</w:t>
      </w:r>
      <w:r w:rsidR="007A1750">
        <w:rPr>
          <w:rStyle w:val="FootnoteReference"/>
        </w:rPr>
        <w:footnoteReference w:id="17"/>
      </w:r>
      <w:r w:rsidR="00232425">
        <w:t xml:space="preserve"> </w:t>
      </w:r>
      <w:r w:rsidR="00940316">
        <w:t xml:space="preserve">Is it possible than Sparta was so much more </w:t>
      </w:r>
      <w:r w:rsidR="00F36DB1">
        <w:t>pious than other polis that they ultimately ended up appearing insincere about their beliefs?</w:t>
      </w:r>
    </w:p>
    <w:p w14:paraId="5A6018E9" w14:textId="030A0A79" w:rsidR="00AF2923" w:rsidRDefault="00AF2923" w:rsidP="0061392F">
      <w:r>
        <w:tab/>
        <w:t xml:space="preserve">Altogether I feel it is very apparent that Sparta was </w:t>
      </w:r>
      <w:r w:rsidR="00DB68B5">
        <w:t xml:space="preserve">a deeply pious polis, almost to a fault at times. </w:t>
      </w:r>
      <w:r w:rsidR="008E7D84">
        <w:t xml:space="preserve">Whether within their daily lives, times of peace, or times of war, Sparta never failed to place their religious duties above all else. If ever there was a cause to go against what they believed to be the gods’ intention, guidance was sought sometimes multiple times to ensure no punishment would come to Sparta. </w:t>
      </w:r>
      <w:r w:rsidR="004C7DD7">
        <w:t>These blatant acts of respect for the gods and the consequences they may have faced in disobeying them would not be as prevalent in a merely manipulative society. The vast amount</w:t>
      </w:r>
      <w:r w:rsidR="00000FEF">
        <w:t>s</w:t>
      </w:r>
      <w:r w:rsidR="004C7DD7">
        <w:t xml:space="preserve"> of evidence all point to the fact that Sparta was true in their beliefs and actions and can be considered to be a pious place above all else. </w:t>
      </w:r>
    </w:p>
    <w:p w14:paraId="3CE00546" w14:textId="77777777" w:rsidR="001A4403" w:rsidRDefault="001A4403" w:rsidP="0061392F"/>
    <w:p w14:paraId="793731EE" w14:textId="77777777" w:rsidR="001A4403" w:rsidRDefault="001A4403" w:rsidP="0061392F"/>
    <w:p w14:paraId="5583800E" w14:textId="77777777" w:rsidR="001A4403" w:rsidRDefault="001A4403" w:rsidP="0061392F"/>
    <w:p w14:paraId="30D47805" w14:textId="77777777" w:rsidR="001A4403" w:rsidRDefault="001A4403" w:rsidP="0061392F"/>
    <w:p w14:paraId="620D36F9" w14:textId="77777777" w:rsidR="001A4403" w:rsidRDefault="001A4403" w:rsidP="0061392F"/>
    <w:p w14:paraId="3002E286" w14:textId="77777777" w:rsidR="001A4403" w:rsidRDefault="001A4403" w:rsidP="0061392F"/>
    <w:p w14:paraId="46DCB247" w14:textId="77777777" w:rsidR="001A4403" w:rsidRDefault="001A4403" w:rsidP="001A4403">
      <w:pPr>
        <w:jc w:val="center"/>
        <w:rPr>
          <w:b/>
          <w:sz w:val="28"/>
          <w:szCs w:val="28"/>
          <w:u w:val="single"/>
        </w:rPr>
      </w:pPr>
      <w:r>
        <w:rPr>
          <w:b/>
          <w:sz w:val="28"/>
          <w:szCs w:val="28"/>
          <w:u w:val="single"/>
        </w:rPr>
        <w:t>Bibliography</w:t>
      </w:r>
    </w:p>
    <w:p w14:paraId="1BB02C21" w14:textId="77777777" w:rsidR="001A4403" w:rsidRDefault="001A4403" w:rsidP="001A4403">
      <w:pPr>
        <w:jc w:val="center"/>
        <w:rPr>
          <w:b/>
          <w:sz w:val="28"/>
          <w:szCs w:val="28"/>
          <w:u w:val="single"/>
        </w:rPr>
      </w:pPr>
    </w:p>
    <w:p w14:paraId="5099BBC3" w14:textId="77777777" w:rsidR="001A4403" w:rsidRDefault="001A4403" w:rsidP="001A4403">
      <w:pPr>
        <w:jc w:val="center"/>
        <w:rPr>
          <w:b/>
          <w:sz w:val="28"/>
          <w:szCs w:val="28"/>
          <w:u w:val="single"/>
        </w:rPr>
      </w:pPr>
    </w:p>
    <w:p w14:paraId="34C51683" w14:textId="77777777" w:rsidR="001A4403" w:rsidRDefault="001A4403" w:rsidP="001A4403">
      <w:pPr>
        <w:rPr>
          <w:u w:val="single"/>
        </w:rPr>
      </w:pPr>
      <w:r w:rsidRPr="004454AE">
        <w:rPr>
          <w:u w:val="single"/>
        </w:rPr>
        <w:t>Ancient:</w:t>
      </w:r>
    </w:p>
    <w:p w14:paraId="07FD5DEF" w14:textId="77777777" w:rsidR="001A4403" w:rsidRDefault="001A4403" w:rsidP="001A4403">
      <w:pPr>
        <w:rPr>
          <w:u w:val="single"/>
        </w:rPr>
      </w:pPr>
    </w:p>
    <w:p w14:paraId="1E095219" w14:textId="77777777" w:rsidR="001A4403" w:rsidRPr="004E53A0" w:rsidRDefault="001A4403" w:rsidP="001A4403">
      <w:pPr>
        <w:rPr>
          <w:i/>
        </w:rPr>
      </w:pPr>
      <w:r>
        <w:t xml:space="preserve">Herodotus, </w:t>
      </w:r>
      <w:r>
        <w:rPr>
          <w:i/>
        </w:rPr>
        <w:t xml:space="preserve">The Histories. </w:t>
      </w:r>
      <w:r>
        <w:t>Godley (trans.). 1920. Cambridge: Harvard University Press</w:t>
      </w:r>
      <w:r>
        <w:rPr>
          <w:i/>
        </w:rPr>
        <w:t xml:space="preserve"> </w:t>
      </w:r>
    </w:p>
    <w:p w14:paraId="669F4C5E" w14:textId="77777777" w:rsidR="001A4403" w:rsidRDefault="001A4403" w:rsidP="001A4403">
      <w:pPr>
        <w:rPr>
          <w:rFonts w:eastAsia="Times New Roman"/>
          <w:lang w:val="en-US"/>
        </w:rPr>
      </w:pPr>
    </w:p>
    <w:p w14:paraId="08419056" w14:textId="77777777" w:rsidR="001A4403" w:rsidRPr="003359D1" w:rsidRDefault="001A4403" w:rsidP="001A4403">
      <w:pPr>
        <w:rPr>
          <w:rFonts w:eastAsia="Times New Roman"/>
          <w:lang w:val="en-US"/>
        </w:rPr>
      </w:pPr>
      <w:r>
        <w:t xml:space="preserve">Plutarch. </w:t>
      </w:r>
      <w:r>
        <w:rPr>
          <w:i/>
        </w:rPr>
        <w:t xml:space="preserve">Lycurgus. </w:t>
      </w:r>
      <w:r>
        <w:t>Perrin (trans.). 1914. Cambridge: Harvard University Press</w:t>
      </w:r>
    </w:p>
    <w:p w14:paraId="564AF314" w14:textId="77777777" w:rsidR="001A4403" w:rsidRDefault="001A4403" w:rsidP="001A4403">
      <w:pPr>
        <w:rPr>
          <w:u w:val="single"/>
        </w:rPr>
      </w:pPr>
    </w:p>
    <w:p w14:paraId="145C3D2E" w14:textId="77777777" w:rsidR="001A4403" w:rsidRPr="009A367B" w:rsidRDefault="001A4403" w:rsidP="001A4403">
      <w:r w:rsidRPr="001A56AB">
        <w:t xml:space="preserve">Thucydides, </w:t>
      </w:r>
      <w:r>
        <w:rPr>
          <w:i/>
        </w:rPr>
        <w:t>The Peloponnesian War.</w:t>
      </w:r>
      <w:r w:rsidRPr="001A56AB">
        <w:rPr>
          <w:i/>
        </w:rPr>
        <w:t xml:space="preserve"> </w:t>
      </w:r>
      <w:r w:rsidRPr="001A56AB">
        <w:t>Crawley (trans.). 2010. London: J.M. Dent</w:t>
      </w:r>
    </w:p>
    <w:p w14:paraId="31A3CB4E" w14:textId="77777777" w:rsidR="001A4403" w:rsidRDefault="001A4403" w:rsidP="001A4403">
      <w:pPr>
        <w:rPr>
          <w:u w:val="single"/>
        </w:rPr>
      </w:pPr>
    </w:p>
    <w:p w14:paraId="73BB2EA6" w14:textId="77777777" w:rsidR="001A4403" w:rsidRPr="0061597D" w:rsidRDefault="001A4403" w:rsidP="001A4403">
      <w:r>
        <w:t xml:space="preserve">Xenophon, </w:t>
      </w:r>
      <w:r>
        <w:rPr>
          <w:i/>
        </w:rPr>
        <w:t xml:space="preserve">Hellenica. </w:t>
      </w:r>
      <w:r>
        <w:t>Brownson (trans.). 1921. Cambridge: Harvard University Press</w:t>
      </w:r>
    </w:p>
    <w:p w14:paraId="6EF982CC" w14:textId="77777777" w:rsidR="001A4403" w:rsidRDefault="001A4403" w:rsidP="001A4403">
      <w:pPr>
        <w:rPr>
          <w:u w:val="single"/>
        </w:rPr>
      </w:pPr>
    </w:p>
    <w:p w14:paraId="751BCCE8" w14:textId="77777777" w:rsidR="001A4403" w:rsidRDefault="001A4403" w:rsidP="001A4403">
      <w:r>
        <w:rPr>
          <w:u w:val="single"/>
        </w:rPr>
        <w:t>Modern:</w:t>
      </w:r>
    </w:p>
    <w:p w14:paraId="4690E9C6" w14:textId="77777777" w:rsidR="001A4403" w:rsidRDefault="001A4403" w:rsidP="001A4403"/>
    <w:p w14:paraId="406536C2" w14:textId="77777777" w:rsidR="001A4403" w:rsidRPr="00E21993" w:rsidRDefault="001A4403" w:rsidP="001A4403">
      <w:pPr>
        <w:rPr>
          <w:rFonts w:eastAsia="Times New Roman"/>
          <w:color w:val="373A3C"/>
          <w:shd w:val="clear" w:color="auto" w:fill="FFFFFF"/>
        </w:rPr>
      </w:pPr>
      <w:r>
        <w:rPr>
          <w:rFonts w:eastAsia="Times New Roman"/>
          <w:color w:val="373A3C"/>
          <w:shd w:val="clear" w:color="auto" w:fill="FFFFFF"/>
        </w:rPr>
        <w:t xml:space="preserve">Cartledge, P. 2001. </w:t>
      </w:r>
      <w:r>
        <w:rPr>
          <w:rFonts w:eastAsia="Times New Roman"/>
          <w:i/>
          <w:color w:val="373A3C"/>
          <w:shd w:val="clear" w:color="auto" w:fill="FFFFFF"/>
        </w:rPr>
        <w:t xml:space="preserve">Spartan Reflections. </w:t>
      </w:r>
      <w:r>
        <w:rPr>
          <w:rFonts w:eastAsia="Times New Roman"/>
          <w:color w:val="373A3C"/>
          <w:shd w:val="clear" w:color="auto" w:fill="FFFFFF"/>
        </w:rPr>
        <w:t>Los Angeles: University of California Press</w:t>
      </w:r>
    </w:p>
    <w:p w14:paraId="05F2848D" w14:textId="77777777" w:rsidR="001A4403" w:rsidRDefault="001A4403" w:rsidP="001A4403">
      <w:pPr>
        <w:rPr>
          <w:rFonts w:eastAsia="Times New Roman"/>
          <w:color w:val="373A3C"/>
          <w:shd w:val="clear" w:color="auto" w:fill="FFFFFF"/>
        </w:rPr>
      </w:pPr>
    </w:p>
    <w:p w14:paraId="43D3C10E"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Darvill, T. 2008. Amphictiony. Oxford Reference. Available from: </w:t>
      </w:r>
      <w:hyperlink r:id="rId6" w:history="1">
        <w:r w:rsidRPr="00FC1900">
          <w:rPr>
            <w:rStyle w:val="Hyperlink"/>
            <w:rFonts w:eastAsia="Times New Roman"/>
            <w:shd w:val="clear" w:color="auto" w:fill="FFFFFF"/>
          </w:rPr>
          <w:t>http://www.oxfordreference.com.ezproxy.uwtsd.ac.uk/view/10.1093/acref/9780199534043.001.0001/acref-9780199534043-e-133?rskey=HX99ZP&amp;result=1</w:t>
        </w:r>
      </w:hyperlink>
      <w:r>
        <w:rPr>
          <w:rFonts w:eastAsia="Times New Roman"/>
          <w:color w:val="373A3C"/>
          <w:shd w:val="clear" w:color="auto" w:fill="FFFFFF"/>
        </w:rPr>
        <w:t>. [Accessed on 18</w:t>
      </w:r>
      <w:r w:rsidRPr="009E3C4A">
        <w:rPr>
          <w:rFonts w:eastAsia="Times New Roman"/>
          <w:color w:val="373A3C"/>
          <w:shd w:val="clear" w:color="auto" w:fill="FFFFFF"/>
          <w:vertAlign w:val="superscript"/>
        </w:rPr>
        <w:t>th</w:t>
      </w:r>
      <w:r>
        <w:rPr>
          <w:rFonts w:eastAsia="Times New Roman"/>
          <w:color w:val="373A3C"/>
          <w:shd w:val="clear" w:color="auto" w:fill="FFFFFF"/>
        </w:rPr>
        <w:t xml:space="preserve"> May, 2018]</w:t>
      </w:r>
    </w:p>
    <w:p w14:paraId="2DA219E4" w14:textId="77777777" w:rsidR="001A4403" w:rsidRDefault="001A4403" w:rsidP="001A4403">
      <w:pPr>
        <w:rPr>
          <w:rFonts w:eastAsia="Times New Roman"/>
          <w:color w:val="373A3C"/>
          <w:shd w:val="clear" w:color="auto" w:fill="FFFFFF"/>
        </w:rPr>
      </w:pPr>
    </w:p>
    <w:p w14:paraId="3EC81792"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Dowden, K. 2007. </w:t>
      </w:r>
      <w:r>
        <w:rPr>
          <w:rFonts w:eastAsia="Times New Roman"/>
          <w:i/>
          <w:color w:val="373A3C"/>
          <w:shd w:val="clear" w:color="auto" w:fill="FFFFFF"/>
        </w:rPr>
        <w:t xml:space="preserve">A Companion to Greek Religion. </w:t>
      </w:r>
      <w:r>
        <w:rPr>
          <w:rFonts w:eastAsia="Times New Roman"/>
          <w:color w:val="373A3C"/>
          <w:shd w:val="clear" w:color="auto" w:fill="FFFFFF"/>
        </w:rPr>
        <w:t>Daniel Ogden (ed).</w:t>
      </w:r>
      <w:r>
        <w:rPr>
          <w:rFonts w:eastAsia="Times New Roman"/>
          <w:i/>
          <w:color w:val="373A3C"/>
          <w:shd w:val="clear" w:color="auto" w:fill="FFFFFF"/>
        </w:rPr>
        <w:t xml:space="preserve"> </w:t>
      </w:r>
      <w:r>
        <w:rPr>
          <w:rFonts w:eastAsia="Times New Roman"/>
          <w:color w:val="373A3C"/>
          <w:shd w:val="clear" w:color="auto" w:fill="FFFFFF"/>
        </w:rPr>
        <w:t>Malden: Blackwell Publishing</w:t>
      </w:r>
    </w:p>
    <w:p w14:paraId="1D3D0A6B" w14:textId="77777777" w:rsidR="001A4403" w:rsidRDefault="001A4403" w:rsidP="001A4403">
      <w:pPr>
        <w:rPr>
          <w:rFonts w:eastAsia="Times New Roman"/>
          <w:color w:val="373A3C"/>
          <w:shd w:val="clear" w:color="auto" w:fill="FFFFFF"/>
        </w:rPr>
      </w:pPr>
    </w:p>
    <w:p w14:paraId="49C55E32" w14:textId="77777777" w:rsidR="001A4403" w:rsidRPr="00787D6B" w:rsidRDefault="001A4403" w:rsidP="001A4403">
      <w:pPr>
        <w:rPr>
          <w:rFonts w:eastAsia="Times New Roman"/>
          <w:color w:val="373A3C"/>
          <w:shd w:val="clear" w:color="auto" w:fill="FFFFFF"/>
        </w:rPr>
      </w:pPr>
      <w:r w:rsidRPr="00197ABF">
        <w:rPr>
          <w:rFonts w:eastAsia="Times New Roman"/>
          <w:color w:val="373A3C"/>
          <w:shd w:val="clear" w:color="auto" w:fill="FFFFFF"/>
        </w:rPr>
        <w:t xml:space="preserve">Ducat, J. 2006. </w:t>
      </w:r>
      <w:r w:rsidRPr="004F191D">
        <w:rPr>
          <w:rFonts w:eastAsia="Times New Roman"/>
          <w:i/>
          <w:color w:val="373A3C"/>
          <w:shd w:val="clear" w:color="auto" w:fill="FFFFFF"/>
        </w:rPr>
        <w:t>Spartan Education: Youth and Society in the Classical Period</w:t>
      </w:r>
      <w:r>
        <w:rPr>
          <w:rFonts w:eastAsia="Times New Roman"/>
          <w:color w:val="373A3C"/>
          <w:shd w:val="clear" w:color="auto" w:fill="FFFFFF"/>
        </w:rPr>
        <w:t xml:space="preserve">. Stafford, Shaw, </w:t>
      </w:r>
      <w:r w:rsidRPr="00197ABF">
        <w:rPr>
          <w:rFonts w:eastAsia="Times New Roman"/>
          <w:color w:val="373A3C"/>
          <w:shd w:val="clear" w:color="auto" w:fill="FFFFFF"/>
        </w:rPr>
        <w:t>Powell (trans). Swansea: The Classical Press of Wales</w:t>
      </w:r>
    </w:p>
    <w:p w14:paraId="33BB8E43" w14:textId="77777777" w:rsidR="001A4403" w:rsidRDefault="001A4403" w:rsidP="001A4403"/>
    <w:p w14:paraId="3D4D81F9"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Flower, M</w:t>
      </w:r>
      <w:r w:rsidRPr="00197ABF">
        <w:rPr>
          <w:rFonts w:eastAsia="Times New Roman"/>
          <w:color w:val="373A3C"/>
          <w:shd w:val="clear" w:color="auto" w:fill="FFFFFF"/>
        </w:rPr>
        <w:t>. 2009. </w:t>
      </w:r>
      <w:r w:rsidRPr="00197ABF">
        <w:rPr>
          <w:rStyle w:val="Emphasis"/>
          <w:rFonts w:eastAsia="Times New Roman"/>
          <w:color w:val="373A3C"/>
          <w:shd w:val="clear" w:color="auto" w:fill="FFFFFF"/>
        </w:rPr>
        <w:t>Sparta: Comparative Approaches. </w:t>
      </w:r>
      <w:r w:rsidRPr="00197ABF">
        <w:rPr>
          <w:rFonts w:eastAsia="Times New Roman"/>
          <w:color w:val="373A3C"/>
          <w:shd w:val="clear" w:color="auto" w:fill="FFFFFF"/>
        </w:rPr>
        <w:t>Stephen Hodkinson (ed). Swansea: The Classical Press of Wales</w:t>
      </w:r>
    </w:p>
    <w:p w14:paraId="617FFAEE" w14:textId="77777777" w:rsidR="001A4403" w:rsidRDefault="001A4403" w:rsidP="001A4403">
      <w:pPr>
        <w:rPr>
          <w:rFonts w:eastAsia="Times New Roman"/>
          <w:color w:val="373A3C"/>
          <w:shd w:val="clear" w:color="auto" w:fill="FFFFFF"/>
        </w:rPr>
      </w:pPr>
    </w:p>
    <w:p w14:paraId="05CA75A0"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Hendrick Jr., C. 2007. </w:t>
      </w:r>
      <w:r>
        <w:rPr>
          <w:rFonts w:eastAsia="Times New Roman"/>
          <w:i/>
          <w:color w:val="373A3C"/>
          <w:shd w:val="clear" w:color="auto" w:fill="FFFFFF"/>
        </w:rPr>
        <w:t xml:space="preserve">A Companion to Greek Religion. </w:t>
      </w:r>
      <w:r>
        <w:rPr>
          <w:rFonts w:eastAsia="Times New Roman"/>
          <w:color w:val="373A3C"/>
          <w:shd w:val="clear" w:color="auto" w:fill="FFFFFF"/>
        </w:rPr>
        <w:t>Daniel Ogden (ed).</w:t>
      </w:r>
      <w:r>
        <w:rPr>
          <w:rFonts w:eastAsia="Times New Roman"/>
          <w:i/>
          <w:color w:val="373A3C"/>
          <w:shd w:val="clear" w:color="auto" w:fill="FFFFFF"/>
        </w:rPr>
        <w:t xml:space="preserve"> </w:t>
      </w:r>
      <w:r>
        <w:rPr>
          <w:rFonts w:eastAsia="Times New Roman"/>
          <w:color w:val="373A3C"/>
          <w:shd w:val="clear" w:color="auto" w:fill="FFFFFF"/>
        </w:rPr>
        <w:t>Malden: Blackwell Publishing</w:t>
      </w:r>
    </w:p>
    <w:p w14:paraId="430F2396" w14:textId="77777777" w:rsidR="001A4403" w:rsidRDefault="001A4403" w:rsidP="001A4403">
      <w:pPr>
        <w:rPr>
          <w:rFonts w:eastAsia="Times New Roman"/>
          <w:color w:val="373A3C"/>
          <w:shd w:val="clear" w:color="auto" w:fill="FFFFFF"/>
        </w:rPr>
      </w:pPr>
    </w:p>
    <w:p w14:paraId="36D50EA1"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Morgan, C., Hornblower, S., Spawforth, A. 2014. Delphi. Oxford Reference. Available from: </w:t>
      </w:r>
      <w:hyperlink r:id="rId7" w:history="1">
        <w:r w:rsidRPr="00FC1900">
          <w:rPr>
            <w:rStyle w:val="Hyperlink"/>
            <w:rFonts w:eastAsia="Times New Roman"/>
            <w:shd w:val="clear" w:color="auto" w:fill="FFFFFF"/>
          </w:rPr>
          <w:t>http://www.oxfordreference.com.ezproxy.uwtsd.ac.uk/view/10.1093/acref/9780198706779.001.0001/acref-9780198706779-e-200?rskey=wyK522&amp;result=4</w:t>
        </w:r>
      </w:hyperlink>
      <w:r>
        <w:rPr>
          <w:rFonts w:eastAsia="Times New Roman"/>
          <w:color w:val="373A3C"/>
          <w:shd w:val="clear" w:color="auto" w:fill="FFFFFF"/>
        </w:rPr>
        <w:t>. [Accessed on 18</w:t>
      </w:r>
      <w:r w:rsidRPr="0064185C">
        <w:rPr>
          <w:rFonts w:eastAsia="Times New Roman"/>
          <w:color w:val="373A3C"/>
          <w:shd w:val="clear" w:color="auto" w:fill="FFFFFF"/>
          <w:vertAlign w:val="superscript"/>
        </w:rPr>
        <w:t>th</w:t>
      </w:r>
      <w:r>
        <w:rPr>
          <w:rFonts w:eastAsia="Times New Roman"/>
          <w:color w:val="373A3C"/>
          <w:shd w:val="clear" w:color="auto" w:fill="FFFFFF"/>
        </w:rPr>
        <w:t xml:space="preserve"> May, 2018]</w:t>
      </w:r>
    </w:p>
    <w:p w14:paraId="269F07DD" w14:textId="77777777" w:rsidR="001A4403" w:rsidRDefault="001A4403" w:rsidP="001A4403">
      <w:pPr>
        <w:rPr>
          <w:rFonts w:eastAsia="Times New Roman"/>
          <w:color w:val="373A3C"/>
          <w:shd w:val="clear" w:color="auto" w:fill="FFFFFF"/>
        </w:rPr>
      </w:pPr>
    </w:p>
    <w:p w14:paraId="3DFD66CD"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Noegel, S. 2007. </w:t>
      </w:r>
      <w:r>
        <w:rPr>
          <w:rFonts w:eastAsia="Times New Roman"/>
          <w:i/>
          <w:color w:val="373A3C"/>
          <w:shd w:val="clear" w:color="auto" w:fill="FFFFFF"/>
        </w:rPr>
        <w:t xml:space="preserve">A Companion to Greek Religion. </w:t>
      </w:r>
      <w:r>
        <w:rPr>
          <w:rFonts w:eastAsia="Times New Roman"/>
          <w:color w:val="373A3C"/>
          <w:shd w:val="clear" w:color="auto" w:fill="FFFFFF"/>
        </w:rPr>
        <w:t>Daniel Ogden (ed).</w:t>
      </w:r>
      <w:r>
        <w:rPr>
          <w:rFonts w:eastAsia="Times New Roman"/>
          <w:i/>
          <w:color w:val="373A3C"/>
          <w:shd w:val="clear" w:color="auto" w:fill="FFFFFF"/>
        </w:rPr>
        <w:t xml:space="preserve"> </w:t>
      </w:r>
      <w:r>
        <w:rPr>
          <w:rFonts w:eastAsia="Times New Roman"/>
          <w:color w:val="373A3C"/>
          <w:shd w:val="clear" w:color="auto" w:fill="FFFFFF"/>
        </w:rPr>
        <w:t>Malden: Blackwell Publishing</w:t>
      </w:r>
    </w:p>
    <w:p w14:paraId="3D5DA52F" w14:textId="77777777" w:rsidR="001A4403" w:rsidRDefault="001A4403" w:rsidP="001A4403">
      <w:pPr>
        <w:rPr>
          <w:rFonts w:eastAsia="Times New Roman"/>
          <w:color w:val="373A3C"/>
          <w:shd w:val="clear" w:color="auto" w:fill="FFFFFF"/>
        </w:rPr>
      </w:pPr>
    </w:p>
    <w:p w14:paraId="4C96C654" w14:textId="77777777" w:rsidR="001A4403" w:rsidRPr="00D04691" w:rsidRDefault="001A4403" w:rsidP="001A4403">
      <w:pPr>
        <w:rPr>
          <w:rFonts w:eastAsia="Times New Roman"/>
          <w:lang w:val="en-US"/>
        </w:rPr>
      </w:pPr>
      <w:r>
        <w:rPr>
          <w:rFonts w:eastAsia="Times New Roman"/>
          <w:color w:val="373A3C"/>
          <w:shd w:val="clear" w:color="auto" w:fill="FFFFFF"/>
        </w:rPr>
        <w:t xml:space="preserve">Parker, R. 2002. </w:t>
      </w:r>
      <w:r>
        <w:rPr>
          <w:rFonts w:eastAsia="Times New Roman"/>
          <w:i/>
          <w:color w:val="373A3C"/>
          <w:shd w:val="clear" w:color="auto" w:fill="FFFFFF"/>
        </w:rPr>
        <w:t xml:space="preserve">Sparta. </w:t>
      </w:r>
      <w:r>
        <w:rPr>
          <w:rFonts w:eastAsia="Times New Roman"/>
          <w:color w:val="373A3C"/>
          <w:shd w:val="clear" w:color="auto" w:fill="FFFFFF"/>
        </w:rPr>
        <w:t>Michael Whitby (ed).</w:t>
      </w:r>
      <w:r>
        <w:rPr>
          <w:rFonts w:eastAsia="Times New Roman"/>
          <w:i/>
          <w:color w:val="373A3C"/>
          <w:shd w:val="clear" w:color="auto" w:fill="FFFFFF"/>
        </w:rPr>
        <w:t xml:space="preserve"> </w:t>
      </w:r>
      <w:r>
        <w:rPr>
          <w:rFonts w:eastAsia="Times New Roman"/>
          <w:color w:val="373A3C"/>
          <w:shd w:val="clear" w:color="auto" w:fill="FFFFFF"/>
        </w:rPr>
        <w:t>New York: Routledge</w:t>
      </w:r>
    </w:p>
    <w:p w14:paraId="4F435E94" w14:textId="77777777" w:rsidR="001A4403" w:rsidRDefault="001A4403" w:rsidP="001A4403">
      <w:pPr>
        <w:rPr>
          <w:rFonts w:eastAsia="Times New Roman"/>
          <w:color w:val="373A3C"/>
          <w:shd w:val="clear" w:color="auto" w:fill="FFFFFF"/>
        </w:rPr>
      </w:pPr>
    </w:p>
    <w:p w14:paraId="66903A57"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Pettersson, M. 1992. </w:t>
      </w:r>
      <w:r>
        <w:rPr>
          <w:rFonts w:eastAsia="Times New Roman"/>
          <w:i/>
          <w:color w:val="373A3C"/>
          <w:shd w:val="clear" w:color="auto" w:fill="FFFFFF"/>
        </w:rPr>
        <w:t xml:space="preserve">Cults of Apollo at Sparta: The Hyakinthia, the Gymnopaidiai, and the Karneia. </w:t>
      </w:r>
      <w:r>
        <w:rPr>
          <w:rFonts w:eastAsia="Times New Roman"/>
          <w:color w:val="373A3C"/>
          <w:shd w:val="clear" w:color="auto" w:fill="FFFFFF"/>
        </w:rPr>
        <w:t>Stockholm: Textgruppen I Uppsala</w:t>
      </w:r>
    </w:p>
    <w:p w14:paraId="461B0EFF" w14:textId="77777777" w:rsidR="001A4403" w:rsidRDefault="001A4403" w:rsidP="001A4403">
      <w:pPr>
        <w:rPr>
          <w:rFonts w:eastAsia="Times New Roman"/>
          <w:color w:val="373A3C"/>
          <w:shd w:val="clear" w:color="auto" w:fill="FFFFFF"/>
        </w:rPr>
      </w:pPr>
    </w:p>
    <w:p w14:paraId="171B1BFD" w14:textId="77777777" w:rsidR="001A4403" w:rsidRDefault="001A4403" w:rsidP="001A4403">
      <w:pPr>
        <w:rPr>
          <w:rFonts w:eastAsia="Times New Roman"/>
          <w:color w:val="373A3C"/>
          <w:shd w:val="clear" w:color="auto" w:fill="FFFFFF"/>
        </w:rPr>
      </w:pPr>
      <w:r>
        <w:rPr>
          <w:rFonts w:eastAsia="Times New Roman"/>
          <w:color w:val="373A3C"/>
          <w:shd w:val="clear" w:color="auto" w:fill="FFFFFF"/>
        </w:rPr>
        <w:t xml:space="preserve">Richer, N. 2007. </w:t>
      </w:r>
      <w:r>
        <w:rPr>
          <w:rFonts w:eastAsia="Times New Roman"/>
          <w:i/>
          <w:color w:val="373A3C"/>
          <w:shd w:val="clear" w:color="auto" w:fill="FFFFFF"/>
        </w:rPr>
        <w:t xml:space="preserve">A Companion to Greek Religion. </w:t>
      </w:r>
      <w:r>
        <w:rPr>
          <w:rFonts w:eastAsia="Times New Roman"/>
          <w:color w:val="373A3C"/>
          <w:shd w:val="clear" w:color="auto" w:fill="FFFFFF"/>
        </w:rPr>
        <w:t>Daniel Ogden (ed).</w:t>
      </w:r>
      <w:r>
        <w:rPr>
          <w:rFonts w:eastAsia="Times New Roman"/>
          <w:i/>
          <w:color w:val="373A3C"/>
          <w:shd w:val="clear" w:color="auto" w:fill="FFFFFF"/>
        </w:rPr>
        <w:t xml:space="preserve"> </w:t>
      </w:r>
      <w:r>
        <w:rPr>
          <w:rFonts w:eastAsia="Times New Roman"/>
          <w:color w:val="373A3C"/>
          <w:shd w:val="clear" w:color="auto" w:fill="FFFFFF"/>
        </w:rPr>
        <w:t>Malden: Blackwell Publishing</w:t>
      </w:r>
    </w:p>
    <w:p w14:paraId="79B8F004" w14:textId="77777777" w:rsidR="001A4403" w:rsidRDefault="001A4403" w:rsidP="0061392F">
      <w:bookmarkStart w:id="0" w:name="_GoBack"/>
      <w:bookmarkEnd w:id="0"/>
    </w:p>
    <w:p w14:paraId="09BB9B8D" w14:textId="7D4B13CF" w:rsidR="00517082" w:rsidRDefault="00517082" w:rsidP="0061392F">
      <w:r>
        <w:tab/>
      </w:r>
    </w:p>
    <w:p w14:paraId="162D11F6" w14:textId="5A16CD80" w:rsidR="003560BE" w:rsidRDefault="003560BE" w:rsidP="0061392F">
      <w:r>
        <w:tab/>
      </w:r>
    </w:p>
    <w:p w14:paraId="6C9649DE" w14:textId="5C9CB266" w:rsidR="004137DA" w:rsidRDefault="004137DA" w:rsidP="0061392F">
      <w:r>
        <w:tab/>
      </w:r>
    </w:p>
    <w:p w14:paraId="235161C0" w14:textId="6D93D098" w:rsidR="00542F59" w:rsidRDefault="00542F59" w:rsidP="0061392F">
      <w:r>
        <w:tab/>
      </w:r>
    </w:p>
    <w:p w14:paraId="391F5177" w14:textId="77777777" w:rsidR="00BD480C" w:rsidRPr="0061392F" w:rsidRDefault="00BD480C" w:rsidP="0061392F"/>
    <w:sectPr w:rsidR="00BD480C" w:rsidRPr="0061392F" w:rsidSect="00705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835891" w14:textId="77777777" w:rsidR="00BF62C5" w:rsidRDefault="00BF62C5" w:rsidP="00332F86">
      <w:r>
        <w:separator/>
      </w:r>
    </w:p>
  </w:endnote>
  <w:endnote w:type="continuationSeparator" w:id="0">
    <w:p w14:paraId="72087DE6" w14:textId="77777777" w:rsidR="00BF62C5" w:rsidRDefault="00BF62C5" w:rsidP="00332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776A2E" w14:textId="77777777" w:rsidR="00BF62C5" w:rsidRDefault="00BF62C5" w:rsidP="00332F86">
      <w:r>
        <w:separator/>
      </w:r>
    </w:p>
  </w:footnote>
  <w:footnote w:type="continuationSeparator" w:id="0">
    <w:p w14:paraId="25C2BBB1" w14:textId="77777777" w:rsidR="00BF62C5" w:rsidRDefault="00BF62C5" w:rsidP="00332F86">
      <w:r>
        <w:continuationSeparator/>
      </w:r>
    </w:p>
  </w:footnote>
  <w:footnote w:id="1">
    <w:p w14:paraId="462D3057" w14:textId="01AC2B0D" w:rsidR="00332F86" w:rsidRPr="00332F86" w:rsidRDefault="00332F86">
      <w:pPr>
        <w:pStyle w:val="FootnoteText"/>
        <w:rPr>
          <w:lang w:val="en-US"/>
        </w:rPr>
      </w:pPr>
      <w:r>
        <w:rPr>
          <w:rStyle w:val="FootnoteReference"/>
        </w:rPr>
        <w:footnoteRef/>
      </w:r>
      <w:r>
        <w:t xml:space="preserve"> </w:t>
      </w:r>
      <w:r>
        <w:rPr>
          <w:lang w:val="en-US"/>
        </w:rPr>
        <w:t>Dowden 2007: 41</w:t>
      </w:r>
    </w:p>
  </w:footnote>
  <w:footnote w:id="2">
    <w:p w14:paraId="4A073118" w14:textId="1E458A96" w:rsidR="00617E73" w:rsidRPr="00617E73" w:rsidRDefault="00617E73">
      <w:pPr>
        <w:pStyle w:val="FootnoteText"/>
        <w:rPr>
          <w:lang w:val="en-US"/>
        </w:rPr>
      </w:pPr>
      <w:r>
        <w:rPr>
          <w:rStyle w:val="FootnoteReference"/>
        </w:rPr>
        <w:footnoteRef/>
      </w:r>
      <w:r>
        <w:t xml:space="preserve"> </w:t>
      </w:r>
      <w:r>
        <w:rPr>
          <w:lang w:val="en-US"/>
        </w:rPr>
        <w:t>Richer 2007: 237</w:t>
      </w:r>
    </w:p>
  </w:footnote>
  <w:footnote w:id="3">
    <w:p w14:paraId="4730CDC7" w14:textId="74BA3ABF" w:rsidR="00AC64E3" w:rsidRPr="00AC64E3" w:rsidRDefault="00AC64E3">
      <w:pPr>
        <w:pStyle w:val="FootnoteText"/>
        <w:rPr>
          <w:lang w:val="en-US"/>
        </w:rPr>
      </w:pPr>
      <w:r>
        <w:rPr>
          <w:rStyle w:val="FootnoteReference"/>
        </w:rPr>
        <w:footnoteRef/>
      </w:r>
      <w:r>
        <w:t xml:space="preserve"> </w:t>
      </w:r>
      <w:r>
        <w:rPr>
          <w:lang w:val="en-US"/>
        </w:rPr>
        <w:t>Richer 2007: 237-238</w:t>
      </w:r>
    </w:p>
  </w:footnote>
  <w:footnote w:id="4">
    <w:p w14:paraId="611F4F77" w14:textId="52A65DD0" w:rsidR="003B00E6" w:rsidRPr="003B00E6" w:rsidRDefault="003B00E6">
      <w:pPr>
        <w:pStyle w:val="FootnoteText"/>
        <w:rPr>
          <w:lang w:val="en-US"/>
        </w:rPr>
      </w:pPr>
      <w:r>
        <w:rPr>
          <w:rStyle w:val="FootnoteReference"/>
        </w:rPr>
        <w:footnoteRef/>
      </w:r>
      <w:r>
        <w:t xml:space="preserve"> </w:t>
      </w:r>
      <w:r>
        <w:rPr>
          <w:lang w:val="en-US"/>
        </w:rPr>
        <w:t>Parker 2002: 161</w:t>
      </w:r>
    </w:p>
  </w:footnote>
  <w:footnote w:id="5">
    <w:p w14:paraId="0232C591" w14:textId="05B969DA" w:rsidR="004F4BF4" w:rsidRPr="004F4BF4" w:rsidRDefault="004F4BF4">
      <w:pPr>
        <w:pStyle w:val="FootnoteText"/>
        <w:rPr>
          <w:lang w:val="en-US"/>
        </w:rPr>
      </w:pPr>
      <w:r>
        <w:rPr>
          <w:rStyle w:val="FootnoteReference"/>
        </w:rPr>
        <w:footnoteRef/>
      </w:r>
      <w:r>
        <w:t xml:space="preserve"> </w:t>
      </w:r>
      <w:r>
        <w:rPr>
          <w:lang w:val="en-US"/>
        </w:rPr>
        <w:t>Plut. Lyc. 6.2</w:t>
      </w:r>
    </w:p>
  </w:footnote>
  <w:footnote w:id="6">
    <w:p w14:paraId="48B68B45" w14:textId="2D7652AA" w:rsidR="00C97961" w:rsidRPr="00C97961" w:rsidRDefault="00C97961">
      <w:pPr>
        <w:pStyle w:val="FootnoteText"/>
        <w:rPr>
          <w:lang w:val="en-US"/>
        </w:rPr>
      </w:pPr>
      <w:r>
        <w:rPr>
          <w:rStyle w:val="FootnoteReference"/>
        </w:rPr>
        <w:footnoteRef/>
      </w:r>
      <w:r>
        <w:t xml:space="preserve"> </w:t>
      </w:r>
      <w:r>
        <w:rPr>
          <w:lang w:val="en-US"/>
        </w:rPr>
        <w:t>Pettersson 1992: 89</w:t>
      </w:r>
    </w:p>
  </w:footnote>
  <w:footnote w:id="7">
    <w:p w14:paraId="1C10D42A" w14:textId="6B618EC3" w:rsidR="00B12DA0" w:rsidRPr="00B12DA0" w:rsidRDefault="00B12DA0">
      <w:pPr>
        <w:pStyle w:val="FootnoteText"/>
        <w:rPr>
          <w:lang w:val="en-US"/>
        </w:rPr>
      </w:pPr>
      <w:r>
        <w:rPr>
          <w:rStyle w:val="FootnoteReference"/>
        </w:rPr>
        <w:footnoteRef/>
      </w:r>
      <w:r>
        <w:t xml:space="preserve"> </w:t>
      </w:r>
      <w:r>
        <w:rPr>
          <w:lang w:val="en-US"/>
        </w:rPr>
        <w:t>Flower 2009: 195-196</w:t>
      </w:r>
    </w:p>
  </w:footnote>
  <w:footnote w:id="8">
    <w:p w14:paraId="233C8E4C" w14:textId="349ABDEB" w:rsidR="002848A1" w:rsidRPr="002848A1" w:rsidRDefault="002848A1">
      <w:pPr>
        <w:pStyle w:val="FootnoteText"/>
        <w:rPr>
          <w:lang w:val="en-US"/>
        </w:rPr>
      </w:pPr>
      <w:r>
        <w:rPr>
          <w:rStyle w:val="FootnoteReference"/>
        </w:rPr>
        <w:footnoteRef/>
      </w:r>
      <w:r>
        <w:t xml:space="preserve"> </w:t>
      </w:r>
      <w:r>
        <w:rPr>
          <w:lang w:val="en-US"/>
        </w:rPr>
        <w:t>Morgan, Hornblower, Spawforth 2014</w:t>
      </w:r>
    </w:p>
  </w:footnote>
  <w:footnote w:id="9">
    <w:p w14:paraId="29C17CC2" w14:textId="2D1B1AF4" w:rsidR="00A32CD5" w:rsidRPr="00A32CD5" w:rsidRDefault="00A32CD5">
      <w:pPr>
        <w:pStyle w:val="FootnoteText"/>
        <w:rPr>
          <w:lang w:val="en-US"/>
        </w:rPr>
      </w:pPr>
      <w:r>
        <w:rPr>
          <w:rStyle w:val="FootnoteReference"/>
        </w:rPr>
        <w:footnoteRef/>
      </w:r>
      <w:r>
        <w:t xml:space="preserve"> </w:t>
      </w:r>
      <w:r>
        <w:rPr>
          <w:lang w:val="en-US"/>
        </w:rPr>
        <w:t>Darvill 2009</w:t>
      </w:r>
    </w:p>
  </w:footnote>
  <w:footnote w:id="10">
    <w:p w14:paraId="49758598" w14:textId="57AC32D5" w:rsidR="0001064C" w:rsidRPr="0001064C" w:rsidRDefault="0001064C">
      <w:pPr>
        <w:pStyle w:val="FootnoteText"/>
        <w:rPr>
          <w:lang w:val="en-US"/>
        </w:rPr>
      </w:pPr>
      <w:r>
        <w:rPr>
          <w:rStyle w:val="FootnoteReference"/>
        </w:rPr>
        <w:footnoteRef/>
      </w:r>
      <w:r>
        <w:t xml:space="preserve"> </w:t>
      </w:r>
      <w:r>
        <w:rPr>
          <w:lang w:val="en-US"/>
        </w:rPr>
        <w:t>Hdt. 1.67-8</w:t>
      </w:r>
    </w:p>
  </w:footnote>
  <w:footnote w:id="11">
    <w:p w14:paraId="43CBF47F" w14:textId="4F540A5A" w:rsidR="0013091C" w:rsidRPr="0013091C" w:rsidRDefault="0013091C">
      <w:pPr>
        <w:pStyle w:val="FootnoteText"/>
        <w:rPr>
          <w:lang w:val="en-US"/>
        </w:rPr>
      </w:pPr>
      <w:r>
        <w:rPr>
          <w:rStyle w:val="FootnoteReference"/>
        </w:rPr>
        <w:footnoteRef/>
      </w:r>
      <w:r>
        <w:t xml:space="preserve"> </w:t>
      </w:r>
      <w:r>
        <w:rPr>
          <w:lang w:val="en-US"/>
        </w:rPr>
        <w:t>Hdt. 6.106-7</w:t>
      </w:r>
    </w:p>
  </w:footnote>
  <w:footnote w:id="12">
    <w:p w14:paraId="4FF020E2" w14:textId="48E55AFF" w:rsidR="00A74DFD" w:rsidRPr="00A74DFD" w:rsidRDefault="00A74DFD">
      <w:pPr>
        <w:pStyle w:val="FootnoteText"/>
        <w:rPr>
          <w:lang w:val="en-US"/>
        </w:rPr>
      </w:pPr>
      <w:r>
        <w:rPr>
          <w:rStyle w:val="FootnoteReference"/>
        </w:rPr>
        <w:footnoteRef/>
      </w:r>
      <w:r>
        <w:t xml:space="preserve"> </w:t>
      </w:r>
      <w:r>
        <w:rPr>
          <w:lang w:val="en-US"/>
        </w:rPr>
        <w:t>Xen. Hell. 3.3.4</w:t>
      </w:r>
    </w:p>
  </w:footnote>
  <w:footnote w:id="13">
    <w:p w14:paraId="10798C5B" w14:textId="3AD95E37" w:rsidR="0048152D" w:rsidRPr="0048152D" w:rsidRDefault="0048152D">
      <w:pPr>
        <w:pStyle w:val="FootnoteText"/>
        <w:rPr>
          <w:lang w:val="en-US"/>
        </w:rPr>
      </w:pPr>
      <w:r>
        <w:rPr>
          <w:rStyle w:val="FootnoteReference"/>
        </w:rPr>
        <w:footnoteRef/>
      </w:r>
      <w:r>
        <w:t xml:space="preserve"> </w:t>
      </w:r>
      <w:r>
        <w:rPr>
          <w:lang w:val="en-US"/>
        </w:rPr>
        <w:t>Xen. Hell. 4.3.19</w:t>
      </w:r>
    </w:p>
  </w:footnote>
  <w:footnote w:id="14">
    <w:p w14:paraId="3E17AD03" w14:textId="66A81D5D" w:rsidR="00E52AFD" w:rsidRPr="00E52AFD" w:rsidRDefault="00E52AFD">
      <w:pPr>
        <w:pStyle w:val="FootnoteText"/>
        <w:rPr>
          <w:lang w:val="en-US"/>
        </w:rPr>
      </w:pPr>
      <w:r>
        <w:rPr>
          <w:rStyle w:val="FootnoteReference"/>
        </w:rPr>
        <w:footnoteRef/>
      </w:r>
      <w:r>
        <w:t xml:space="preserve"> </w:t>
      </w:r>
      <w:r>
        <w:rPr>
          <w:lang w:val="en-US"/>
        </w:rPr>
        <w:t>Flower 2009: 198</w:t>
      </w:r>
    </w:p>
  </w:footnote>
  <w:footnote w:id="15">
    <w:p w14:paraId="1578334B" w14:textId="385C3020" w:rsidR="00AF3493" w:rsidRPr="00AF3493" w:rsidRDefault="00AF3493">
      <w:pPr>
        <w:pStyle w:val="FootnoteText"/>
        <w:rPr>
          <w:lang w:val="en-US"/>
        </w:rPr>
      </w:pPr>
      <w:r>
        <w:rPr>
          <w:rStyle w:val="FootnoteReference"/>
        </w:rPr>
        <w:footnoteRef/>
      </w:r>
      <w:r>
        <w:t xml:space="preserve"> </w:t>
      </w:r>
      <w:r>
        <w:rPr>
          <w:lang w:val="en-US"/>
        </w:rPr>
        <w:t>Flower 2009: 214</w:t>
      </w:r>
    </w:p>
  </w:footnote>
  <w:footnote w:id="16">
    <w:p w14:paraId="2E07B36F" w14:textId="2FB87F41" w:rsidR="0071754B" w:rsidRPr="0071754B" w:rsidRDefault="0071754B">
      <w:pPr>
        <w:pStyle w:val="FootnoteText"/>
        <w:rPr>
          <w:lang w:val="en-US"/>
        </w:rPr>
      </w:pPr>
      <w:r>
        <w:rPr>
          <w:rStyle w:val="FootnoteReference"/>
        </w:rPr>
        <w:footnoteRef/>
      </w:r>
      <w:r>
        <w:t xml:space="preserve"> </w:t>
      </w:r>
      <w:r>
        <w:rPr>
          <w:lang w:val="en-US"/>
        </w:rPr>
        <w:t>Parker 2002: 173</w:t>
      </w:r>
    </w:p>
  </w:footnote>
  <w:footnote w:id="17">
    <w:p w14:paraId="6F701C3C" w14:textId="4F851F66" w:rsidR="007A1750" w:rsidRPr="007A1750" w:rsidRDefault="007A1750">
      <w:pPr>
        <w:pStyle w:val="FootnoteText"/>
        <w:rPr>
          <w:lang w:val="en-US"/>
        </w:rPr>
      </w:pPr>
      <w:r>
        <w:rPr>
          <w:rStyle w:val="FootnoteReference"/>
        </w:rPr>
        <w:footnoteRef/>
      </w:r>
      <w:r>
        <w:t xml:space="preserve"> </w:t>
      </w:r>
      <w:r>
        <w:rPr>
          <w:lang w:val="en-US"/>
        </w:rPr>
        <w:t>Flower 2009: 193</w:t>
      </w:r>
      <w:r w:rsidR="00232425">
        <w:rPr>
          <w:lang w:val="en-US"/>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87"/>
    <w:rsid w:val="00000FEF"/>
    <w:rsid w:val="0001064C"/>
    <w:rsid w:val="00041275"/>
    <w:rsid w:val="000809E3"/>
    <w:rsid w:val="000A0EB1"/>
    <w:rsid w:val="000B703D"/>
    <w:rsid w:val="00116920"/>
    <w:rsid w:val="0013091C"/>
    <w:rsid w:val="00156B04"/>
    <w:rsid w:val="001600A1"/>
    <w:rsid w:val="001735C5"/>
    <w:rsid w:val="00181916"/>
    <w:rsid w:val="001A4403"/>
    <w:rsid w:val="001D4D35"/>
    <w:rsid w:val="00211B0C"/>
    <w:rsid w:val="00232425"/>
    <w:rsid w:val="002575C7"/>
    <w:rsid w:val="0026102F"/>
    <w:rsid w:val="002848A1"/>
    <w:rsid w:val="00284ED6"/>
    <w:rsid w:val="002C6CFD"/>
    <w:rsid w:val="002F0548"/>
    <w:rsid w:val="002F57DB"/>
    <w:rsid w:val="00307978"/>
    <w:rsid w:val="00316340"/>
    <w:rsid w:val="00332F86"/>
    <w:rsid w:val="003560BE"/>
    <w:rsid w:val="00362B42"/>
    <w:rsid w:val="00391201"/>
    <w:rsid w:val="00395B92"/>
    <w:rsid w:val="003B00E6"/>
    <w:rsid w:val="003E5195"/>
    <w:rsid w:val="003F54AD"/>
    <w:rsid w:val="004137DA"/>
    <w:rsid w:val="00422589"/>
    <w:rsid w:val="00424C96"/>
    <w:rsid w:val="00426A0A"/>
    <w:rsid w:val="0044115D"/>
    <w:rsid w:val="00464237"/>
    <w:rsid w:val="0047190B"/>
    <w:rsid w:val="0048152D"/>
    <w:rsid w:val="004A0CEE"/>
    <w:rsid w:val="004A2815"/>
    <w:rsid w:val="004B0BFD"/>
    <w:rsid w:val="004B5A27"/>
    <w:rsid w:val="004B7742"/>
    <w:rsid w:val="004C0746"/>
    <w:rsid w:val="004C7DD7"/>
    <w:rsid w:val="004E5E91"/>
    <w:rsid w:val="004F4BF4"/>
    <w:rsid w:val="00511E62"/>
    <w:rsid w:val="00517082"/>
    <w:rsid w:val="005239DA"/>
    <w:rsid w:val="0053438C"/>
    <w:rsid w:val="00535B04"/>
    <w:rsid w:val="00542F59"/>
    <w:rsid w:val="00576B24"/>
    <w:rsid w:val="00581CCA"/>
    <w:rsid w:val="00585626"/>
    <w:rsid w:val="0059408E"/>
    <w:rsid w:val="005A7CD9"/>
    <w:rsid w:val="005C2A24"/>
    <w:rsid w:val="005E4826"/>
    <w:rsid w:val="0061392F"/>
    <w:rsid w:val="00617E73"/>
    <w:rsid w:val="00626309"/>
    <w:rsid w:val="00636519"/>
    <w:rsid w:val="0066547B"/>
    <w:rsid w:val="006B4167"/>
    <w:rsid w:val="006B5623"/>
    <w:rsid w:val="006E5251"/>
    <w:rsid w:val="006E6BAD"/>
    <w:rsid w:val="006F22AF"/>
    <w:rsid w:val="006F3AAC"/>
    <w:rsid w:val="00705F83"/>
    <w:rsid w:val="00716CE8"/>
    <w:rsid w:val="0071754B"/>
    <w:rsid w:val="00734CA4"/>
    <w:rsid w:val="0074255D"/>
    <w:rsid w:val="0076352B"/>
    <w:rsid w:val="0077366A"/>
    <w:rsid w:val="00777937"/>
    <w:rsid w:val="00785C35"/>
    <w:rsid w:val="007A1750"/>
    <w:rsid w:val="007A4585"/>
    <w:rsid w:val="007B7B5E"/>
    <w:rsid w:val="0084020C"/>
    <w:rsid w:val="00864394"/>
    <w:rsid w:val="0088430D"/>
    <w:rsid w:val="008909BA"/>
    <w:rsid w:val="008C0F1B"/>
    <w:rsid w:val="008C10B9"/>
    <w:rsid w:val="008C1D56"/>
    <w:rsid w:val="008E7D84"/>
    <w:rsid w:val="008F7FF3"/>
    <w:rsid w:val="00925B43"/>
    <w:rsid w:val="00940316"/>
    <w:rsid w:val="0096347B"/>
    <w:rsid w:val="00981740"/>
    <w:rsid w:val="0098483B"/>
    <w:rsid w:val="009A3A8F"/>
    <w:rsid w:val="009A5E31"/>
    <w:rsid w:val="009C6AE8"/>
    <w:rsid w:val="00A00832"/>
    <w:rsid w:val="00A20857"/>
    <w:rsid w:val="00A32CD5"/>
    <w:rsid w:val="00A57629"/>
    <w:rsid w:val="00A671E3"/>
    <w:rsid w:val="00A74DFD"/>
    <w:rsid w:val="00AA25CA"/>
    <w:rsid w:val="00AA79F3"/>
    <w:rsid w:val="00AA7E5C"/>
    <w:rsid w:val="00AC05A1"/>
    <w:rsid w:val="00AC64CA"/>
    <w:rsid w:val="00AC64E3"/>
    <w:rsid w:val="00AD68C2"/>
    <w:rsid w:val="00AE5329"/>
    <w:rsid w:val="00AF2923"/>
    <w:rsid w:val="00AF3493"/>
    <w:rsid w:val="00B12DA0"/>
    <w:rsid w:val="00B24962"/>
    <w:rsid w:val="00B43E49"/>
    <w:rsid w:val="00B510CE"/>
    <w:rsid w:val="00B555F9"/>
    <w:rsid w:val="00BA139B"/>
    <w:rsid w:val="00BB7E88"/>
    <w:rsid w:val="00BD480C"/>
    <w:rsid w:val="00BF62C5"/>
    <w:rsid w:val="00C07069"/>
    <w:rsid w:val="00C20775"/>
    <w:rsid w:val="00C44979"/>
    <w:rsid w:val="00C622D9"/>
    <w:rsid w:val="00C75C8C"/>
    <w:rsid w:val="00C97961"/>
    <w:rsid w:val="00CA3A87"/>
    <w:rsid w:val="00CF6302"/>
    <w:rsid w:val="00D01FD7"/>
    <w:rsid w:val="00D02CA8"/>
    <w:rsid w:val="00D202CB"/>
    <w:rsid w:val="00D61E41"/>
    <w:rsid w:val="00D7420D"/>
    <w:rsid w:val="00D911E3"/>
    <w:rsid w:val="00DB68B5"/>
    <w:rsid w:val="00DC27C1"/>
    <w:rsid w:val="00E1500E"/>
    <w:rsid w:val="00E52AFD"/>
    <w:rsid w:val="00E55A18"/>
    <w:rsid w:val="00E96B56"/>
    <w:rsid w:val="00EA4D7E"/>
    <w:rsid w:val="00F03ABD"/>
    <w:rsid w:val="00F117D7"/>
    <w:rsid w:val="00F1248C"/>
    <w:rsid w:val="00F36DB1"/>
    <w:rsid w:val="00F448F9"/>
    <w:rsid w:val="00F45599"/>
    <w:rsid w:val="00F62C6F"/>
    <w:rsid w:val="00F93504"/>
    <w:rsid w:val="00FD13DB"/>
    <w:rsid w:val="00FE2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67B66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32F86"/>
  </w:style>
  <w:style w:type="character" w:customStyle="1" w:styleId="FootnoteTextChar">
    <w:name w:val="Footnote Text Char"/>
    <w:basedOn w:val="DefaultParagraphFont"/>
    <w:link w:val="FootnoteText"/>
    <w:uiPriority w:val="99"/>
    <w:rsid w:val="00332F86"/>
    <w:rPr>
      <w:lang w:val="en-GB"/>
    </w:rPr>
  </w:style>
  <w:style w:type="character" w:styleId="FootnoteReference">
    <w:name w:val="footnote reference"/>
    <w:basedOn w:val="DefaultParagraphFont"/>
    <w:uiPriority w:val="99"/>
    <w:unhideWhenUsed/>
    <w:rsid w:val="00332F86"/>
    <w:rPr>
      <w:vertAlign w:val="superscript"/>
    </w:rPr>
  </w:style>
  <w:style w:type="character" w:styleId="Emphasis">
    <w:name w:val="Emphasis"/>
    <w:basedOn w:val="DefaultParagraphFont"/>
    <w:uiPriority w:val="20"/>
    <w:qFormat/>
    <w:rsid w:val="001A4403"/>
    <w:rPr>
      <w:i/>
      <w:iCs/>
    </w:rPr>
  </w:style>
  <w:style w:type="character" w:styleId="Hyperlink">
    <w:name w:val="Hyperlink"/>
    <w:basedOn w:val="DefaultParagraphFont"/>
    <w:uiPriority w:val="99"/>
    <w:unhideWhenUsed/>
    <w:rsid w:val="001A44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oxfordreference.com.ezproxy.uwtsd.ac.uk/view/10.1093/acref/9780199534043.001.0001/acref-9780199534043-e-133?rskey=HX99ZP&amp;result=1" TargetMode="External"/><Relationship Id="rId7" Type="http://schemas.openxmlformats.org/officeDocument/2006/relationships/hyperlink" Target="http://www.oxfordreference.com.ezproxy.uwtsd.ac.uk/view/10.1093/acref/9780198706779.001.0001/acref-9780198706779-e-200?rskey=wyK522&amp;result=4"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5</Pages>
  <Words>1795</Words>
  <Characters>10237</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Kinnicutt</dc:creator>
  <cp:keywords/>
  <dc:description/>
  <cp:lastModifiedBy>Jordan Kinnicutt</cp:lastModifiedBy>
  <cp:revision>434</cp:revision>
  <dcterms:created xsi:type="dcterms:W3CDTF">2018-05-18T08:30:00Z</dcterms:created>
  <dcterms:modified xsi:type="dcterms:W3CDTF">2018-05-18T13:55:00Z</dcterms:modified>
</cp:coreProperties>
</file>