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CBBB8D" w14:textId="77777777" w:rsidR="00D07B3E" w:rsidRPr="00303287" w:rsidRDefault="00D07B3E" w:rsidP="00303287">
      <w:pPr>
        <w:spacing w:line="360" w:lineRule="auto"/>
        <w:rPr>
          <w:rFonts w:ascii="Arial" w:hAnsi="Arial" w:cs="Arial"/>
        </w:rPr>
      </w:pPr>
    </w:p>
    <w:p w14:paraId="43C167F0" w14:textId="77777777" w:rsidR="00B91D28" w:rsidRPr="00892C52" w:rsidRDefault="00B91D28" w:rsidP="00B91D28">
      <w:pPr>
        <w:jc w:val="center"/>
        <w:rPr>
          <w:sz w:val="32"/>
          <w:szCs w:val="32"/>
        </w:rPr>
      </w:pPr>
      <w:r w:rsidRPr="00892C52">
        <w:rPr>
          <w:sz w:val="32"/>
          <w:szCs w:val="32"/>
        </w:rPr>
        <w:t xml:space="preserve">University of Wales Trinity Saint David </w:t>
      </w:r>
      <w:r w:rsidRPr="00892C52">
        <w:rPr>
          <w:noProof/>
          <w:sz w:val="32"/>
          <w:szCs w:val="32"/>
        </w:rPr>
        <w:drawing>
          <wp:inline distT="0" distB="0" distL="0" distR="0" wp14:anchorId="53B70980" wp14:editId="2FF446AC">
            <wp:extent cx="558800" cy="486294"/>
            <wp:effectExtent l="0" t="0" r="0" b="0"/>
            <wp:docPr id="1031" name="Immagine 9" descr="Merchant logo">
              <a:extLst xmlns:a="http://schemas.openxmlformats.org/drawingml/2006/main">
                <a:ext uri="{FF2B5EF4-FFF2-40B4-BE49-F238E27FC236}">
                  <a16:creationId xmlns:a16="http://schemas.microsoft.com/office/drawing/2014/main" id="{A3571C08-359B-F547-9D6F-34B7EA5C35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Immagine 9" descr="Merchant logo">
                      <a:extLst>
                        <a:ext uri="{FF2B5EF4-FFF2-40B4-BE49-F238E27FC236}">
                          <a16:creationId xmlns:a16="http://schemas.microsoft.com/office/drawing/2014/main" id="{A3571C08-359B-F547-9D6F-34B7EA5C3510}"/>
                        </a:ext>
                      </a:extLst>
                    </pic:cNvPr>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58800" cy="486294"/>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DBD367B" w14:textId="224C07BD" w:rsidR="00B91D28" w:rsidRPr="00892C52" w:rsidRDefault="00B91D28" w:rsidP="00B91D28">
      <w:pPr>
        <w:jc w:val="center"/>
        <w:rPr>
          <w:sz w:val="32"/>
          <w:szCs w:val="32"/>
        </w:rPr>
      </w:pPr>
      <w:r w:rsidRPr="00892C52">
        <w:rPr>
          <w:sz w:val="32"/>
          <w:szCs w:val="32"/>
        </w:rPr>
        <w:t>Name of Student:</w:t>
      </w:r>
      <w:r>
        <w:rPr>
          <w:sz w:val="32"/>
          <w:szCs w:val="32"/>
        </w:rPr>
        <w:t xml:space="preserve"> </w:t>
      </w:r>
      <w:r w:rsidRPr="00892C52">
        <w:rPr>
          <w:sz w:val="32"/>
          <w:szCs w:val="32"/>
        </w:rPr>
        <w:t>Alessandro Tassi</w:t>
      </w:r>
    </w:p>
    <w:p w14:paraId="0EDFF3CA" w14:textId="77777777" w:rsidR="00B91D28" w:rsidRPr="00892C52" w:rsidRDefault="00B91D28" w:rsidP="00B91D28">
      <w:pPr>
        <w:jc w:val="center"/>
        <w:rPr>
          <w:sz w:val="32"/>
          <w:szCs w:val="32"/>
        </w:rPr>
      </w:pPr>
      <w:r w:rsidRPr="00892C52">
        <w:rPr>
          <w:sz w:val="32"/>
          <w:szCs w:val="32"/>
        </w:rPr>
        <w:t>Student number:1917573</w:t>
      </w:r>
    </w:p>
    <w:p w14:paraId="40983D76" w14:textId="77777777" w:rsidR="00B91D28" w:rsidRPr="00892C52" w:rsidRDefault="00B91D28" w:rsidP="00B91D28">
      <w:pPr>
        <w:jc w:val="center"/>
        <w:rPr>
          <w:sz w:val="32"/>
          <w:szCs w:val="32"/>
        </w:rPr>
      </w:pPr>
      <w:r w:rsidRPr="00892C52">
        <w:rPr>
          <w:sz w:val="32"/>
          <w:szCs w:val="32"/>
        </w:rPr>
        <w:t>Module Title: Managing People</w:t>
      </w:r>
    </w:p>
    <w:p w14:paraId="56FFCB89" w14:textId="2E3025DB" w:rsidR="00B91D28" w:rsidRPr="00892C52" w:rsidRDefault="00B91D28" w:rsidP="00B91D28">
      <w:pPr>
        <w:jc w:val="center"/>
        <w:rPr>
          <w:sz w:val="32"/>
          <w:szCs w:val="32"/>
        </w:rPr>
      </w:pPr>
      <w:r w:rsidRPr="00892C52">
        <w:rPr>
          <w:sz w:val="32"/>
          <w:szCs w:val="32"/>
        </w:rPr>
        <w:t xml:space="preserve">Assignment Title: Managing People Assignment </w:t>
      </w:r>
      <w:r>
        <w:rPr>
          <w:sz w:val="32"/>
          <w:szCs w:val="32"/>
        </w:rPr>
        <w:t>2</w:t>
      </w:r>
    </w:p>
    <w:p w14:paraId="1CDAE01C" w14:textId="690EA6F9" w:rsidR="00B91D28" w:rsidRPr="00B91D28" w:rsidRDefault="00B91D28" w:rsidP="00B91D28">
      <w:pPr>
        <w:jc w:val="center"/>
        <w:rPr>
          <w:sz w:val="32"/>
          <w:szCs w:val="32"/>
        </w:rPr>
      </w:pPr>
      <w:r w:rsidRPr="00B91D28">
        <w:rPr>
          <w:sz w:val="32"/>
          <w:szCs w:val="32"/>
        </w:rPr>
        <w:t>Evaluation: Assign</w:t>
      </w:r>
      <w:bookmarkStart w:id="0" w:name="_GoBack"/>
      <w:bookmarkEnd w:id="0"/>
      <w:r w:rsidRPr="00B91D28">
        <w:rPr>
          <w:sz w:val="32"/>
          <w:szCs w:val="32"/>
        </w:rPr>
        <w:t xml:space="preserve">ment </w:t>
      </w:r>
      <w:r w:rsidRPr="00B91D28">
        <w:rPr>
          <w:sz w:val="32"/>
          <w:szCs w:val="32"/>
        </w:rPr>
        <w:t>2</w:t>
      </w:r>
    </w:p>
    <w:p w14:paraId="13D45469" w14:textId="77777777" w:rsidR="00B91D28" w:rsidRPr="00B91D28" w:rsidRDefault="00B91D28" w:rsidP="00B91D28">
      <w:pPr>
        <w:jc w:val="center"/>
        <w:rPr>
          <w:sz w:val="32"/>
          <w:szCs w:val="32"/>
        </w:rPr>
      </w:pPr>
      <w:r w:rsidRPr="00B91D28">
        <w:rPr>
          <w:sz w:val="32"/>
          <w:szCs w:val="32"/>
        </w:rPr>
        <w:t>Module:</w:t>
      </w:r>
      <w:hyperlink r:id="rId8" w:history="1">
        <w:r w:rsidRPr="00B91D28">
          <w:rPr>
            <w:rStyle w:val="Collegamentoipertestuale"/>
            <w:sz w:val="32"/>
            <w:szCs w:val="32"/>
          </w:rPr>
          <w:t>LCBB5004</w:t>
        </w:r>
      </w:hyperlink>
    </w:p>
    <w:p w14:paraId="011E60CB" w14:textId="77777777" w:rsidR="00D07B3E" w:rsidRPr="00303287" w:rsidRDefault="00D07B3E" w:rsidP="00303287">
      <w:pPr>
        <w:spacing w:line="360" w:lineRule="auto"/>
        <w:rPr>
          <w:rFonts w:ascii="Arial" w:hAnsi="Arial" w:cs="Arial"/>
        </w:rPr>
      </w:pPr>
    </w:p>
    <w:p w14:paraId="4C135666" w14:textId="4F7A09CD" w:rsidR="00D07B3E" w:rsidRPr="00303287" w:rsidRDefault="00D07B3E" w:rsidP="00303287">
      <w:pPr>
        <w:spacing w:line="360" w:lineRule="auto"/>
        <w:rPr>
          <w:rFonts w:ascii="Arial" w:hAnsi="Arial" w:cs="Arial"/>
        </w:rPr>
      </w:pPr>
    </w:p>
    <w:p w14:paraId="17D6D91D" w14:textId="2853E6A2" w:rsidR="00D07B3E" w:rsidRPr="00303287" w:rsidRDefault="00D07B3E" w:rsidP="00303287">
      <w:pPr>
        <w:spacing w:line="360" w:lineRule="auto"/>
        <w:rPr>
          <w:rFonts w:ascii="Arial" w:hAnsi="Arial" w:cs="Arial"/>
        </w:rPr>
      </w:pPr>
    </w:p>
    <w:p w14:paraId="35C39810" w14:textId="2BAD7508" w:rsidR="00D07B3E" w:rsidRPr="00303287" w:rsidRDefault="00D07B3E" w:rsidP="00303287">
      <w:pPr>
        <w:spacing w:line="360" w:lineRule="auto"/>
        <w:rPr>
          <w:rFonts w:ascii="Arial" w:hAnsi="Arial" w:cs="Arial"/>
        </w:rPr>
      </w:pPr>
    </w:p>
    <w:p w14:paraId="386F77DE" w14:textId="27564FD3" w:rsidR="00D07B3E" w:rsidRPr="00303287" w:rsidRDefault="00D07B3E" w:rsidP="00303287">
      <w:pPr>
        <w:spacing w:line="360" w:lineRule="auto"/>
        <w:rPr>
          <w:rFonts w:ascii="Arial" w:hAnsi="Arial" w:cs="Arial"/>
        </w:rPr>
      </w:pPr>
    </w:p>
    <w:p w14:paraId="76DD737E" w14:textId="28A49F3D" w:rsidR="00303287" w:rsidRDefault="00303287" w:rsidP="00303287">
      <w:pPr>
        <w:spacing w:line="360" w:lineRule="auto"/>
        <w:rPr>
          <w:rFonts w:ascii="Arial" w:hAnsi="Arial" w:cs="Arial"/>
        </w:rPr>
      </w:pPr>
    </w:p>
    <w:p w14:paraId="11E47D77" w14:textId="4EB35596" w:rsidR="003D092A" w:rsidRDefault="003D092A" w:rsidP="00303287">
      <w:pPr>
        <w:spacing w:line="360" w:lineRule="auto"/>
        <w:rPr>
          <w:rFonts w:ascii="Arial" w:hAnsi="Arial" w:cs="Arial"/>
        </w:rPr>
      </w:pPr>
    </w:p>
    <w:p w14:paraId="50E73063" w14:textId="50381816" w:rsidR="00303287" w:rsidRDefault="00303287" w:rsidP="00303287">
      <w:pPr>
        <w:spacing w:line="360" w:lineRule="auto"/>
        <w:rPr>
          <w:rFonts w:ascii="Arial" w:hAnsi="Arial" w:cs="Arial"/>
        </w:rPr>
      </w:pPr>
    </w:p>
    <w:p w14:paraId="25DAEC54" w14:textId="4947FFC9" w:rsidR="00490582" w:rsidRDefault="00490582" w:rsidP="00303287">
      <w:pPr>
        <w:spacing w:line="360" w:lineRule="auto"/>
        <w:rPr>
          <w:rFonts w:ascii="Arial" w:hAnsi="Arial" w:cs="Arial"/>
        </w:rPr>
      </w:pPr>
    </w:p>
    <w:p w14:paraId="6A2CB0E9" w14:textId="4F8BD441" w:rsidR="00B91D28" w:rsidRDefault="00B91D28" w:rsidP="00303287">
      <w:pPr>
        <w:spacing w:line="360" w:lineRule="auto"/>
        <w:rPr>
          <w:rFonts w:ascii="Arial" w:hAnsi="Arial" w:cs="Arial"/>
        </w:rPr>
      </w:pPr>
    </w:p>
    <w:p w14:paraId="425A93E2" w14:textId="27E82FE0" w:rsidR="00B91D28" w:rsidRDefault="00B91D28" w:rsidP="00303287">
      <w:pPr>
        <w:spacing w:line="360" w:lineRule="auto"/>
        <w:rPr>
          <w:rFonts w:ascii="Arial" w:hAnsi="Arial" w:cs="Arial"/>
        </w:rPr>
      </w:pPr>
    </w:p>
    <w:p w14:paraId="11817800" w14:textId="2EE54063" w:rsidR="00B91D28" w:rsidRDefault="00B91D28" w:rsidP="00303287">
      <w:pPr>
        <w:spacing w:line="360" w:lineRule="auto"/>
        <w:rPr>
          <w:rFonts w:ascii="Arial" w:hAnsi="Arial" w:cs="Arial"/>
        </w:rPr>
      </w:pPr>
    </w:p>
    <w:p w14:paraId="2BE3EC22" w14:textId="77777777" w:rsidR="00B91D28" w:rsidRDefault="00B91D28" w:rsidP="00303287">
      <w:pPr>
        <w:spacing w:line="360" w:lineRule="auto"/>
        <w:rPr>
          <w:rFonts w:ascii="Arial" w:hAnsi="Arial" w:cs="Arial"/>
        </w:rPr>
      </w:pPr>
    </w:p>
    <w:p w14:paraId="38D4136B" w14:textId="77777777" w:rsidR="00303287" w:rsidRPr="00303287" w:rsidRDefault="00303287" w:rsidP="00303287">
      <w:pPr>
        <w:spacing w:line="360" w:lineRule="auto"/>
        <w:rPr>
          <w:rFonts w:ascii="Arial" w:hAnsi="Arial" w:cs="Arial"/>
        </w:rPr>
      </w:pPr>
    </w:p>
    <w:p w14:paraId="330CAF49" w14:textId="37995F29" w:rsidR="00CF03EE" w:rsidRPr="00303287" w:rsidRDefault="00CF03EE" w:rsidP="00303287">
      <w:pPr>
        <w:spacing w:line="360" w:lineRule="auto"/>
        <w:jc w:val="center"/>
        <w:rPr>
          <w:rFonts w:ascii="Arial" w:hAnsi="Arial" w:cs="Arial"/>
          <w:b/>
        </w:rPr>
      </w:pPr>
      <w:r w:rsidRPr="00303287">
        <w:rPr>
          <w:rFonts w:ascii="Arial" w:hAnsi="Arial" w:cs="Arial"/>
          <w:b/>
        </w:rPr>
        <w:t>Introduction</w:t>
      </w:r>
    </w:p>
    <w:p w14:paraId="08AD5EB6" w14:textId="0F999BEF" w:rsidR="00CF03EE" w:rsidRPr="00303287" w:rsidRDefault="00CF03EE" w:rsidP="00303287">
      <w:pPr>
        <w:spacing w:line="360" w:lineRule="auto"/>
        <w:ind w:firstLine="720"/>
        <w:rPr>
          <w:rFonts w:ascii="Arial" w:hAnsi="Arial" w:cs="Arial"/>
        </w:rPr>
      </w:pPr>
      <w:r w:rsidRPr="00303287">
        <w:rPr>
          <w:rFonts w:ascii="Arial" w:hAnsi="Arial" w:cs="Arial"/>
        </w:rPr>
        <w:lastRenderedPageBreak/>
        <w:t>Employee engagement is the commitment employees feel and show towards the organization, not only about satisfaction and happiness. It is the degree to which employees in an organization are passionate, motivated, and invested in their work (Yaneva, 2018). This, in turn, makes the employees productive and care about their role in the organization and the company’s overall success. Employees’ engagement is influenced by factors such as enjoying strong colleagues’ relationships, working with a common purpose, employees feeling clear about their specific role in the organization, and having various opportunities to develop their skills and competencies. (Ali and Anwar, 2021)</w:t>
      </w:r>
      <w:r w:rsidR="00735BEF">
        <w:rPr>
          <w:rFonts w:ascii="Arial" w:hAnsi="Arial" w:cs="Arial"/>
        </w:rPr>
        <w:t xml:space="preserve">. </w:t>
      </w:r>
      <w:r w:rsidRPr="00303287">
        <w:rPr>
          <w:rFonts w:ascii="Arial" w:hAnsi="Arial" w:cs="Arial"/>
        </w:rPr>
        <w:t>More factors include individual characteristics, location, and culture. If employee engagement is done successfully in HSBC -The Hongkong and Shanghai Banking Corporation Limited- it will result in a colleague not being driven by salary but by emotion. Additionally, employee engagement shows the individual’s commitment to the organization and the emotional connection to the colleagues. HSBC should be proactive in creating a team environment that cultivates and fosters employee development.</w:t>
      </w:r>
    </w:p>
    <w:p w14:paraId="7F9CA1B6" w14:textId="46C7E3E6" w:rsidR="003D092A" w:rsidRPr="00303287" w:rsidRDefault="003D092A" w:rsidP="00303287">
      <w:pPr>
        <w:spacing w:line="360" w:lineRule="auto"/>
        <w:ind w:firstLine="720"/>
        <w:jc w:val="center"/>
        <w:rPr>
          <w:rFonts w:ascii="Arial" w:hAnsi="Arial" w:cs="Arial"/>
          <w:b/>
        </w:rPr>
      </w:pPr>
      <w:r w:rsidRPr="00303287">
        <w:rPr>
          <w:rFonts w:ascii="Arial" w:hAnsi="Arial" w:cs="Arial"/>
          <w:b/>
        </w:rPr>
        <w:t>Body</w:t>
      </w:r>
    </w:p>
    <w:p w14:paraId="7E1721C3" w14:textId="02F89156" w:rsidR="00CF03EE" w:rsidRPr="00303287" w:rsidRDefault="00CF03EE" w:rsidP="00303287">
      <w:pPr>
        <w:spacing w:line="360" w:lineRule="auto"/>
        <w:jc w:val="center"/>
        <w:rPr>
          <w:rFonts w:ascii="Arial" w:hAnsi="Arial" w:cs="Arial"/>
          <w:b/>
        </w:rPr>
      </w:pPr>
      <w:r w:rsidRPr="00303287">
        <w:rPr>
          <w:rFonts w:ascii="Arial" w:hAnsi="Arial" w:cs="Arial"/>
          <w:b/>
        </w:rPr>
        <w:t xml:space="preserve">Concept </w:t>
      </w:r>
      <w:r w:rsidR="003D092A" w:rsidRPr="00303287">
        <w:rPr>
          <w:rFonts w:ascii="Arial" w:hAnsi="Arial" w:cs="Arial"/>
          <w:b/>
        </w:rPr>
        <w:t xml:space="preserve">and </w:t>
      </w:r>
      <w:r w:rsidRPr="00303287">
        <w:rPr>
          <w:rFonts w:ascii="Arial" w:hAnsi="Arial" w:cs="Arial"/>
          <w:b/>
        </w:rPr>
        <w:t>drivers of employee engagement</w:t>
      </w:r>
    </w:p>
    <w:p w14:paraId="58773824" w14:textId="77777777" w:rsidR="00CF03EE" w:rsidRPr="00303287" w:rsidRDefault="00CF03EE" w:rsidP="00303287">
      <w:pPr>
        <w:spacing w:line="360" w:lineRule="auto"/>
        <w:ind w:firstLine="720"/>
        <w:rPr>
          <w:rFonts w:ascii="Arial" w:hAnsi="Arial" w:cs="Arial"/>
        </w:rPr>
      </w:pPr>
      <w:r w:rsidRPr="00303287">
        <w:rPr>
          <w:rFonts w:ascii="Arial" w:hAnsi="Arial" w:cs="Arial"/>
        </w:rPr>
        <w:t>There are different drivers that HSBC organization can undertake to ensure employee engagement, enhancing improved performance and employee well-being. The first employee engagement driver is giving employees the necessary tools to do the job. This is the most straightforward consideration, even though it has been overlooked. This will ensure the employees of HSBC have the required resources to fulfill their role. Some of these tools include Technology, capacity, and training. Even though HSBC will incur a lot of money investing in improved systems, it will benefit greatly. Additionally, the hours spent creating staff schedules should be cut and invested in the highlighted tools. This will open up time for the managers in HSBC to get back to important work; this improves employees’ experience, which inversely promotes employee engagement.</w:t>
      </w:r>
    </w:p>
    <w:p w14:paraId="70B1921E" w14:textId="77777777" w:rsidR="00CF03EE" w:rsidRPr="00303287" w:rsidRDefault="00CF03EE" w:rsidP="00303287">
      <w:pPr>
        <w:spacing w:line="360" w:lineRule="auto"/>
        <w:ind w:firstLine="720"/>
        <w:rPr>
          <w:rFonts w:ascii="Arial" w:hAnsi="Arial" w:cs="Arial"/>
        </w:rPr>
      </w:pPr>
      <w:r w:rsidRPr="00303287">
        <w:rPr>
          <w:rFonts w:ascii="Arial" w:hAnsi="Arial" w:cs="Arial"/>
        </w:rPr>
        <w:t xml:space="preserve">The second driver of employee engagement is creating a safe work environment for employees in HSBC, especially during this pandemic period. By making the workplace in HSBC Covid-19, safe employees will feel more appreciated, and their well-being is taken care of, resulting in high employees’ engagement. This is because the working environment for employees has a direct impact on their productivity and performance, and overall job satisfaction (Rao, 2017). HSBC should also ensure the </w:t>
      </w:r>
      <w:r w:rsidRPr="00303287">
        <w:rPr>
          <w:rFonts w:ascii="Arial" w:hAnsi="Arial" w:cs="Arial"/>
        </w:rPr>
        <w:lastRenderedPageBreak/>
        <w:t>workplace is a positive and comfortable space. The top management should ensure the place is well sanitized after a duration of time, and factors such as light, temperature, and air quality are considered. This will ensure the needs of employees are taken addressed. Additionally, a safe working environment should allow employees to work from home or have a coworking space.</w:t>
      </w:r>
    </w:p>
    <w:p w14:paraId="673F8F51" w14:textId="7E46181C" w:rsidR="00CF03EE" w:rsidRPr="00303287" w:rsidRDefault="00CF03EE" w:rsidP="00303287">
      <w:pPr>
        <w:spacing w:line="360" w:lineRule="auto"/>
        <w:ind w:firstLine="720"/>
        <w:rPr>
          <w:rFonts w:ascii="Arial" w:hAnsi="Arial" w:cs="Arial"/>
        </w:rPr>
      </w:pPr>
      <w:r w:rsidRPr="00303287">
        <w:rPr>
          <w:rFonts w:ascii="Arial" w:hAnsi="Arial" w:cs="Arial"/>
        </w:rPr>
        <w:t>The third employee engagement driver that HSBC could focus on is restructuring the employees’ roles to align with the organization’s values. By HSBC outlining the core values, culture code, mission, and the organization’s proposition, it will increase employee engagement. This will not only provide a distinct, cohesive vision that all the employees will work towards but will also make the employees of HSBC feel part of a wider strategy too. HSBC should design the jobs in a way it creates a concise message that the current employees and future employees are able to relate to the organization’s goals (Pritchard, 2016). Additionally, while HSBC restructures the role of the employees, the top management should communicate and give goal-setting practices.</w:t>
      </w:r>
    </w:p>
    <w:p w14:paraId="0C6A1189" w14:textId="04F59A5F" w:rsidR="00CF03EE" w:rsidRPr="00303287" w:rsidRDefault="00CF03EE" w:rsidP="00303287">
      <w:pPr>
        <w:spacing w:line="360" w:lineRule="auto"/>
        <w:ind w:firstLine="720"/>
        <w:rPr>
          <w:rFonts w:ascii="Arial" w:hAnsi="Arial" w:cs="Arial"/>
        </w:rPr>
      </w:pPr>
      <w:r w:rsidRPr="00303287">
        <w:rPr>
          <w:rFonts w:ascii="Arial" w:hAnsi="Arial" w:cs="Arial"/>
        </w:rPr>
        <w:t>The last employee engagement driver which HSBC should focus on is adequate communication, clarity, and feedback. Regular communication is vital from both the managers and the senior leadership in HSBC. When the organization’s employees are kept up to date with the company updates, their feedback and business performance</w:t>
      </w:r>
      <w:r w:rsidR="00736783">
        <w:rPr>
          <w:rFonts w:ascii="Arial" w:hAnsi="Arial" w:cs="Arial"/>
        </w:rPr>
        <w:t>,</w:t>
      </w:r>
      <w:r w:rsidRPr="00303287">
        <w:rPr>
          <w:rFonts w:ascii="Arial" w:hAnsi="Arial" w:cs="Arial"/>
        </w:rPr>
        <w:t xml:space="preserve"> </w:t>
      </w:r>
      <w:r w:rsidR="00736783">
        <w:rPr>
          <w:rFonts w:ascii="Arial" w:hAnsi="Arial" w:cs="Arial"/>
        </w:rPr>
        <w:t xml:space="preserve">they </w:t>
      </w:r>
      <w:r w:rsidRPr="00303287">
        <w:rPr>
          <w:rFonts w:ascii="Arial" w:hAnsi="Arial" w:cs="Arial"/>
        </w:rPr>
        <w:t>will feel more valued and are more likely to be engaged in their different roles. Additionally, communicating efficiently will ensure the employees of HSBC are clear on their responsibilities within the organization, enabling them to work with intention and confidence. Further feedback is also a key driver, which needs to be a two-way conversation; thus, constructive feedback between managers and direct reports will help both parties boost employee engagement. The communication done should be timely, and the employees should be given adequate time to give their feedback.</w:t>
      </w:r>
    </w:p>
    <w:p w14:paraId="5C2F78F4" w14:textId="305501E8" w:rsidR="00CF03EE" w:rsidRPr="00303287" w:rsidRDefault="00CF03EE" w:rsidP="00303287">
      <w:pPr>
        <w:spacing w:line="360" w:lineRule="auto"/>
        <w:jc w:val="center"/>
        <w:rPr>
          <w:rFonts w:ascii="Arial" w:hAnsi="Arial" w:cs="Arial"/>
          <w:b/>
        </w:rPr>
      </w:pPr>
      <w:r w:rsidRPr="00303287">
        <w:rPr>
          <w:rFonts w:ascii="Arial" w:hAnsi="Arial" w:cs="Arial"/>
          <w:b/>
        </w:rPr>
        <w:t xml:space="preserve">Diagnostic tools to measure </w:t>
      </w:r>
      <w:r w:rsidR="003D092A" w:rsidRPr="00303287">
        <w:rPr>
          <w:rFonts w:ascii="Arial" w:hAnsi="Arial" w:cs="Arial"/>
          <w:b/>
        </w:rPr>
        <w:t xml:space="preserve">employee </w:t>
      </w:r>
      <w:r w:rsidRPr="00303287">
        <w:rPr>
          <w:rFonts w:ascii="Arial" w:hAnsi="Arial" w:cs="Arial"/>
          <w:b/>
        </w:rPr>
        <w:t>engagement</w:t>
      </w:r>
    </w:p>
    <w:p w14:paraId="24400DB9" w14:textId="2E6C5AAD" w:rsidR="00CF03EE" w:rsidRPr="00303287" w:rsidRDefault="00CF03EE" w:rsidP="00303287">
      <w:pPr>
        <w:spacing w:line="360" w:lineRule="auto"/>
        <w:ind w:firstLine="720"/>
        <w:rPr>
          <w:rFonts w:ascii="Arial" w:hAnsi="Arial" w:cs="Arial"/>
        </w:rPr>
      </w:pPr>
      <w:r w:rsidRPr="00303287">
        <w:rPr>
          <w:rFonts w:ascii="Arial" w:hAnsi="Arial" w:cs="Arial"/>
        </w:rPr>
        <w:t xml:space="preserve">There </w:t>
      </w:r>
      <w:r w:rsidR="00374DDA">
        <w:rPr>
          <w:rFonts w:ascii="Arial" w:hAnsi="Arial" w:cs="Arial"/>
        </w:rPr>
        <w:t xml:space="preserve">are </w:t>
      </w:r>
      <w:r w:rsidRPr="00303287">
        <w:rPr>
          <w:rFonts w:ascii="Arial" w:hAnsi="Arial" w:cs="Arial"/>
        </w:rPr>
        <w:t xml:space="preserve">several diagnostic tools that HSBC can use to measure employee engagement. The first tool is employee surveys, as they will help the senior leaders get feedback on employees’ attitudes and feelings. For this survey, HSBC should ensure they are filled out and submitted anonymously, and this will make sure the participation of the employees in the organization is increased. This will also allow the employees to give more honest responses on how they feel about the organization (Rajagopal and </w:t>
      </w:r>
      <w:r w:rsidRPr="00303287">
        <w:rPr>
          <w:rFonts w:ascii="Arial" w:hAnsi="Arial" w:cs="Arial"/>
        </w:rPr>
        <w:lastRenderedPageBreak/>
        <w:t>Pillai, 2019). HSBC should also invest in hiring a third-party administrator, increasing the employees’ comfort in knowing they can be genuine with their opinions without the fear of retribution. Among the questions to ask in the survey, HSBC should focus on; if the employees are determined to give their best efforts and skillset at work each day. HSBC should ensure that the survey, an engagement measurement tool, is objective to understand employees’ job satisfaction, motivation, and passion.</w:t>
      </w:r>
    </w:p>
    <w:p w14:paraId="485B26F5" w14:textId="77777777" w:rsidR="00CF03EE" w:rsidRPr="00303287" w:rsidRDefault="00CF03EE" w:rsidP="00303287">
      <w:pPr>
        <w:spacing w:line="360" w:lineRule="auto"/>
        <w:ind w:firstLine="720"/>
        <w:rPr>
          <w:rFonts w:ascii="Arial" w:hAnsi="Arial" w:cs="Arial"/>
        </w:rPr>
      </w:pPr>
      <w:r w:rsidRPr="00303287">
        <w:rPr>
          <w:rFonts w:ascii="Arial" w:hAnsi="Arial" w:cs="Arial"/>
        </w:rPr>
        <w:t>The second measurement tool of employee engagement that HSBC can undertake has exit interviews for their employees. The organization’s management can ask the right questions in a well-designed engagement manner can be very crucial (Surber, 2017). The employees should, especially key performers in HSBC, be asked tough questions about why they choose to depart the company. By so doing, HSBC will get valuable feedback which will help them in identifying areas of improvement, and this will as well attract and retain the best employees who are fully engaged in the organization. HSBC can choose to conduct an exit interview with a written questionnaire, especially during the employee’s final week on the job. Where possible, the organization’s management can conduct a follow-up phone interview after a short duration after the exit.</w:t>
      </w:r>
    </w:p>
    <w:p w14:paraId="6BF25A0C" w14:textId="77777777" w:rsidR="00CF03EE" w:rsidRPr="00303287" w:rsidRDefault="00CF03EE" w:rsidP="00303287">
      <w:pPr>
        <w:spacing w:line="360" w:lineRule="auto"/>
        <w:ind w:firstLine="720"/>
        <w:rPr>
          <w:rFonts w:ascii="Arial" w:hAnsi="Arial" w:cs="Arial"/>
        </w:rPr>
      </w:pPr>
      <w:r w:rsidRPr="00303287">
        <w:rPr>
          <w:rFonts w:ascii="Arial" w:hAnsi="Arial" w:cs="Arial"/>
        </w:rPr>
        <w:t>The third measurement tool of employee engagement is HR tools. This will involve modern platforms to collect feedback and measure employee satisfaction. At the same time, the HR tools will enable the HSBC human resource department to manage the employees and their data by storing the survey results in a convenient place. In addition, HR can use performance management software that is crucial in tracking employee performance as employee engagement directly affects the performance of the employees in an organization. This will inversely ensure everyone is happy on track, working as an individual and together as a department, and overall achieving the company-wide goals.</w:t>
      </w:r>
    </w:p>
    <w:p w14:paraId="4B755E6B" w14:textId="47D0A88B" w:rsidR="00CF03EE" w:rsidRPr="00303287" w:rsidRDefault="00CF03EE" w:rsidP="00303287">
      <w:pPr>
        <w:spacing w:line="360" w:lineRule="auto"/>
        <w:ind w:firstLine="720"/>
        <w:rPr>
          <w:rFonts w:ascii="Arial" w:hAnsi="Arial" w:cs="Arial"/>
        </w:rPr>
      </w:pPr>
      <w:r w:rsidRPr="00303287">
        <w:rPr>
          <w:rFonts w:ascii="Arial" w:hAnsi="Arial" w:cs="Arial"/>
        </w:rPr>
        <w:t xml:space="preserve">The fourth tool HSBC can use to measure employee engagement </w:t>
      </w:r>
      <w:r w:rsidR="000567C1">
        <w:rPr>
          <w:rFonts w:ascii="Arial" w:hAnsi="Arial" w:cs="Arial"/>
        </w:rPr>
        <w:t xml:space="preserve">is </w:t>
      </w:r>
      <w:r w:rsidRPr="00303287">
        <w:rPr>
          <w:rFonts w:ascii="Arial" w:hAnsi="Arial" w:cs="Arial"/>
        </w:rPr>
        <w:t xml:space="preserve">social media. This is because the drastic rise of social media, which everyone almost uses in this day and age, will be a powerful tool for the organization. HSBC can, for example, monitor Glassdoor ratings and review and use the results in measuring employees’ sentiments. Since it is an internal social media network, HSBC leaders will easily access the ideas posted by employees and can also conduct them. The organization doing this </w:t>
      </w:r>
      <w:r w:rsidRPr="00303287">
        <w:rPr>
          <w:rFonts w:ascii="Arial" w:hAnsi="Arial" w:cs="Arial"/>
        </w:rPr>
        <w:lastRenderedPageBreak/>
        <w:t>will allow managers to understand better the employees and their sense of morale and the company culture, which are influential in employee engagement (Stoneman, 2019).</w:t>
      </w:r>
    </w:p>
    <w:p w14:paraId="70B4039D" w14:textId="77777777" w:rsidR="00CF03EE" w:rsidRPr="00303287" w:rsidRDefault="00CF03EE" w:rsidP="00303287">
      <w:pPr>
        <w:spacing w:line="360" w:lineRule="auto"/>
        <w:ind w:firstLine="720"/>
        <w:rPr>
          <w:rFonts w:ascii="Arial" w:hAnsi="Arial" w:cs="Arial"/>
        </w:rPr>
      </w:pPr>
      <w:r w:rsidRPr="00303287">
        <w:rPr>
          <w:rFonts w:ascii="Arial" w:hAnsi="Arial" w:cs="Arial"/>
        </w:rPr>
        <w:t>The last tool that HSBC can use to measure employee engagement is measuring productivity and retention rate. The productivity metric and retention rate will help the managers of HSBC to determine how engaged their employees are. The management should develop different ideas for keeping the employees motivated to increase the retention rate. It is critical for HSBC to understand that engagement of their employees has a direct effect on the retention rate and productivity metrics. When there is improved productivity and a higher rate of retention, there is an overall exemplarily customer experience by measuring the retention rate in HSBC. It will clearly indicate the level of employee engagement, which will inversely give room for fine-tuning the strategy to high employee satisfaction.</w:t>
      </w:r>
    </w:p>
    <w:p w14:paraId="44FB8895" w14:textId="3A9C2D67" w:rsidR="00CF03EE" w:rsidRPr="00303287" w:rsidRDefault="00EC2A0B" w:rsidP="00303287">
      <w:pPr>
        <w:spacing w:line="360" w:lineRule="auto"/>
        <w:jc w:val="center"/>
        <w:rPr>
          <w:rFonts w:ascii="Arial" w:hAnsi="Arial" w:cs="Arial"/>
          <w:b/>
        </w:rPr>
      </w:pPr>
      <w:r w:rsidRPr="00303287">
        <w:rPr>
          <w:rFonts w:ascii="Arial" w:hAnsi="Arial" w:cs="Arial"/>
          <w:b/>
        </w:rPr>
        <w:t xml:space="preserve">Employee </w:t>
      </w:r>
      <w:r w:rsidR="00CF03EE" w:rsidRPr="00303287">
        <w:rPr>
          <w:rFonts w:ascii="Arial" w:hAnsi="Arial" w:cs="Arial"/>
          <w:b/>
        </w:rPr>
        <w:t>value proposition</w:t>
      </w:r>
    </w:p>
    <w:p w14:paraId="00B3A15C" w14:textId="38C6402C" w:rsidR="00CF03EE" w:rsidRPr="00303287" w:rsidRDefault="00CF03EE" w:rsidP="00303287">
      <w:pPr>
        <w:spacing w:line="360" w:lineRule="auto"/>
        <w:ind w:firstLine="720"/>
        <w:rPr>
          <w:rFonts w:ascii="Arial" w:hAnsi="Arial" w:cs="Arial"/>
        </w:rPr>
      </w:pPr>
      <w:r w:rsidRPr="00303287">
        <w:rPr>
          <w:rFonts w:ascii="Arial" w:hAnsi="Arial" w:cs="Arial"/>
        </w:rPr>
        <w:t xml:space="preserve">An employee value proposition is the distinctive set of benefits that an employee of an organization gets in return for the experience, skill, and capabilities that they bring (Bell, 2016). When HSBC integrates the employee value proposition in all aspects of the organization, it will enhance employee retention of best performers. One of the employee value proposition ideas that HSBC can use is a conducive environment for their employees to improve their work-life balance. This may include allowing their employees to work from </w:t>
      </w:r>
      <w:r w:rsidR="00374DDA" w:rsidRPr="00303287">
        <w:rPr>
          <w:rFonts w:ascii="Arial" w:hAnsi="Arial" w:cs="Arial"/>
        </w:rPr>
        <w:t>home,</w:t>
      </w:r>
      <w:r w:rsidRPr="00303287">
        <w:rPr>
          <w:rFonts w:ascii="Arial" w:hAnsi="Arial" w:cs="Arial"/>
        </w:rPr>
        <w:t xml:space="preserve"> when necessary, especially during this pandemic. Another employee value proposition that HSBC can use is ensuring that the employees’ location is safe from Covid 19. Employees can have alternative places where they can work to ensure their safety. The last employee value proposition is compensation. HSBC management should ensure the employees are motivated through their compensation using mechanisms like fair promotions and regular incentives.</w:t>
      </w:r>
    </w:p>
    <w:p w14:paraId="0642091D" w14:textId="7021611D" w:rsidR="00CF03EE" w:rsidRPr="00303287" w:rsidRDefault="00CF03EE" w:rsidP="00303287">
      <w:pPr>
        <w:spacing w:line="360" w:lineRule="auto"/>
        <w:jc w:val="center"/>
        <w:rPr>
          <w:rFonts w:ascii="Arial" w:hAnsi="Arial" w:cs="Arial"/>
        </w:rPr>
      </w:pPr>
      <w:r w:rsidRPr="00303287">
        <w:rPr>
          <w:rFonts w:ascii="Arial" w:hAnsi="Arial" w:cs="Arial"/>
          <w:b/>
        </w:rPr>
        <w:t>Strategies to raise levels of engagement</w:t>
      </w:r>
    </w:p>
    <w:p w14:paraId="2E6443FA" w14:textId="6CB5AB26" w:rsidR="00CF03EE" w:rsidRPr="00303287" w:rsidRDefault="00CF03EE" w:rsidP="00303287">
      <w:pPr>
        <w:spacing w:line="360" w:lineRule="auto"/>
        <w:ind w:firstLine="720"/>
        <w:rPr>
          <w:rFonts w:ascii="Arial" w:hAnsi="Arial" w:cs="Arial"/>
        </w:rPr>
      </w:pPr>
      <w:r w:rsidRPr="00303287">
        <w:rPr>
          <w:rFonts w:ascii="Arial" w:hAnsi="Arial" w:cs="Arial"/>
        </w:rPr>
        <w:t xml:space="preserve">There are various strategies that HSBC can employ to ensure their employee engagement as it is critical in the organization’s performance. The first strategy HSBC can undertake is evaluating processes and addressing inefficiencies. Unnecessary tasks slow down the organization’s operations and frustrate the employees (Dr. V. Tulasi Das and </w:t>
      </w:r>
      <w:r w:rsidR="00936E3A" w:rsidRPr="00303287">
        <w:rPr>
          <w:rFonts w:ascii="Arial" w:hAnsi="Arial" w:cs="Arial"/>
        </w:rPr>
        <w:t>Ch. Vijayalakshmi</w:t>
      </w:r>
      <w:r w:rsidRPr="00303287">
        <w:rPr>
          <w:rFonts w:ascii="Arial" w:hAnsi="Arial" w:cs="Arial"/>
        </w:rPr>
        <w:t>, 2016). When the</w:t>
      </w:r>
      <w:r w:rsidR="00AE5A83">
        <w:rPr>
          <w:rFonts w:ascii="Arial" w:hAnsi="Arial" w:cs="Arial"/>
        </w:rPr>
        <w:t xml:space="preserve"> tasks</w:t>
      </w:r>
      <w:r w:rsidRPr="00303287">
        <w:rPr>
          <w:rFonts w:ascii="Arial" w:hAnsi="Arial" w:cs="Arial"/>
        </w:rPr>
        <w:t xml:space="preserve"> employees are doing are tedious and extra, they will end up not engaging in their work. HSBC should operate with the mindset </w:t>
      </w:r>
      <w:r w:rsidRPr="00303287">
        <w:rPr>
          <w:rFonts w:ascii="Arial" w:hAnsi="Arial" w:cs="Arial"/>
        </w:rPr>
        <w:lastRenderedPageBreak/>
        <w:t>of optimizing processes and executing resources to enable the employees to work successfully. HSBC leaders should carefully analyze each team’s strategies and then look for methods to smooth out operation for the organization’s long-term success.</w:t>
      </w:r>
    </w:p>
    <w:p w14:paraId="08E48E1B" w14:textId="0C17D805" w:rsidR="00936E3A" w:rsidRPr="00303287" w:rsidRDefault="00CF03EE" w:rsidP="00303287">
      <w:pPr>
        <w:spacing w:line="360" w:lineRule="auto"/>
        <w:ind w:firstLine="720"/>
        <w:rPr>
          <w:rFonts w:ascii="Arial" w:hAnsi="Arial" w:cs="Arial"/>
        </w:rPr>
      </w:pPr>
      <w:r w:rsidRPr="00303287">
        <w:rPr>
          <w:rFonts w:ascii="Arial" w:hAnsi="Arial" w:cs="Arial"/>
        </w:rPr>
        <w:t xml:space="preserve">Another strategy that HSBC can employ is training the managers in employee engagement best practices. Research shows that how an employee in any organization rates their manager accounts for almost 13% of the employees’ level of engagement (Devi and Mahajans, 2019). HSBC should invest in their senior and middle managers the tools needed to connect with and entitle their direct reports. The training programs will help the managers to equip themselves in their roles, ensuring their junior employees have good relationships with them, which inversely increases employee engagement. By properly training the managers, HSBC will effectively know how to engage their team; Having a conversation about how they enjoy receiving feedback and being recognized will enable managers to engage employees in a meaningful way. </w:t>
      </w:r>
      <w:r w:rsidR="00AE5A83">
        <w:rPr>
          <w:rFonts w:ascii="Arial" w:hAnsi="Arial" w:cs="Arial"/>
        </w:rPr>
        <w:t>HSBC should</w:t>
      </w:r>
      <w:r w:rsidRPr="00303287">
        <w:rPr>
          <w:rFonts w:ascii="Arial" w:hAnsi="Arial" w:cs="Arial"/>
        </w:rPr>
        <w:t xml:space="preserve"> </w:t>
      </w:r>
      <w:r w:rsidR="00AE5A83">
        <w:rPr>
          <w:rFonts w:ascii="Arial" w:hAnsi="Arial" w:cs="Arial"/>
        </w:rPr>
        <w:t xml:space="preserve">be </w:t>
      </w:r>
      <w:r w:rsidRPr="00303287">
        <w:rPr>
          <w:rFonts w:ascii="Arial" w:hAnsi="Arial" w:cs="Arial"/>
        </w:rPr>
        <w:t xml:space="preserve">thoughtful with </w:t>
      </w:r>
      <w:r w:rsidR="00AE5A83">
        <w:rPr>
          <w:rFonts w:ascii="Arial" w:hAnsi="Arial" w:cs="Arial"/>
        </w:rPr>
        <w:t>its</w:t>
      </w:r>
      <w:r w:rsidRPr="00303287">
        <w:rPr>
          <w:rFonts w:ascii="Arial" w:hAnsi="Arial" w:cs="Arial"/>
        </w:rPr>
        <w:t xml:space="preserve"> approach to increase employee engagement, and </w:t>
      </w:r>
      <w:r w:rsidR="00AE5A83">
        <w:rPr>
          <w:rFonts w:ascii="Arial" w:hAnsi="Arial" w:cs="Arial"/>
        </w:rPr>
        <w:t xml:space="preserve">they will </w:t>
      </w:r>
      <w:r w:rsidRPr="00303287">
        <w:rPr>
          <w:rFonts w:ascii="Arial" w:hAnsi="Arial" w:cs="Arial"/>
        </w:rPr>
        <w:t xml:space="preserve"> reap the rewards of an engaged workforce for years to come.</w:t>
      </w:r>
    </w:p>
    <w:p w14:paraId="4C6C4752" w14:textId="1FDBD322" w:rsidR="00936E3A" w:rsidRPr="00303287" w:rsidRDefault="00936E3A" w:rsidP="00303287">
      <w:pPr>
        <w:spacing w:line="360" w:lineRule="auto"/>
        <w:ind w:firstLine="720"/>
        <w:jc w:val="center"/>
        <w:rPr>
          <w:rFonts w:ascii="Arial" w:hAnsi="Arial" w:cs="Arial"/>
          <w:b/>
        </w:rPr>
      </w:pPr>
      <w:r w:rsidRPr="00303287">
        <w:rPr>
          <w:rFonts w:ascii="Arial" w:hAnsi="Arial" w:cs="Arial"/>
          <w:b/>
        </w:rPr>
        <w:t>Conclusion</w:t>
      </w:r>
    </w:p>
    <w:p w14:paraId="60817465" w14:textId="4C2479B2" w:rsidR="00CF03EE" w:rsidRPr="00303287" w:rsidRDefault="00CF03EE" w:rsidP="00303287">
      <w:pPr>
        <w:spacing w:line="360" w:lineRule="auto"/>
        <w:ind w:firstLine="720"/>
        <w:rPr>
          <w:rFonts w:ascii="Arial" w:hAnsi="Arial" w:cs="Arial"/>
        </w:rPr>
      </w:pPr>
      <w:r w:rsidRPr="00303287">
        <w:rPr>
          <w:rFonts w:ascii="Arial" w:hAnsi="Arial" w:cs="Arial"/>
        </w:rPr>
        <w:t xml:space="preserve">In conclusion, HSBC should invest in employee engagement as it is vital to its success. There are different drivers which the organization can undertake to ensure the employees stay engaged. Among the drivers include employees being given the necessary tools to perform their tasks effectively, the employees in HSBC need to feel safe in their working environment, especially during the Covid 19 pandemic, the organizations should look for ways of restructuring the roles of the employees to align with the organization’s values and the organization </w:t>
      </w:r>
      <w:r w:rsidR="00A94F44">
        <w:rPr>
          <w:rFonts w:ascii="Arial" w:hAnsi="Arial" w:cs="Arial"/>
        </w:rPr>
        <w:t xml:space="preserve">should </w:t>
      </w:r>
      <w:r w:rsidRPr="00303287">
        <w:rPr>
          <w:rFonts w:ascii="Arial" w:hAnsi="Arial" w:cs="Arial"/>
        </w:rPr>
        <w:t>make sure there is a clear line of communication and feedback for the employees to feel engaged. There are different tools that HSBC can use to measure the level of employee engagement in HSBC. These include, Human Resource tools, frequently conducting surveys,</w:t>
      </w:r>
      <w:r w:rsidR="0067233F">
        <w:rPr>
          <w:rFonts w:ascii="Arial" w:hAnsi="Arial" w:cs="Arial"/>
        </w:rPr>
        <w:t xml:space="preserve"> having</w:t>
      </w:r>
      <w:r w:rsidRPr="00303287">
        <w:rPr>
          <w:rFonts w:ascii="Arial" w:hAnsi="Arial" w:cs="Arial"/>
        </w:rPr>
        <w:t xml:space="preserve"> </w:t>
      </w:r>
      <w:r w:rsidR="0067233F">
        <w:rPr>
          <w:rFonts w:ascii="Arial" w:hAnsi="Arial" w:cs="Arial"/>
        </w:rPr>
        <w:t xml:space="preserve">exit interviews </w:t>
      </w:r>
      <w:r w:rsidRPr="00303287">
        <w:rPr>
          <w:rFonts w:ascii="Arial" w:hAnsi="Arial" w:cs="Arial"/>
        </w:rPr>
        <w:t xml:space="preserve">and lastly, employee retention and productivity metrics. An idea of an employee value proposition which HSBC can implement is ensuring the employees have a work-life balance. Also, the organization should prioritize the safety of the employees. Strategies which HSBC can employ to ensure the level of engagement of employees is raised is by training managers in the best practices to ensure all employees feel engaged at all levels in the organization and lastly is evaluating processes and addressing inefficiencies to avoid any slowdown which would end up making the employees feeling </w:t>
      </w:r>
      <w:r w:rsidRPr="00303287">
        <w:rPr>
          <w:rFonts w:ascii="Arial" w:hAnsi="Arial" w:cs="Arial"/>
        </w:rPr>
        <w:lastRenderedPageBreak/>
        <w:t>disengaged. HSBC should ensure that the employees remain engaged, as engaged employees are Optimistic, Go above and beyond, Team-oriented, Solution-oriented and Selfless.</w:t>
      </w:r>
    </w:p>
    <w:p w14:paraId="5EF6BD24" w14:textId="160C54D2" w:rsidR="00D07B3E" w:rsidRPr="00303287" w:rsidRDefault="00D07B3E" w:rsidP="00303287">
      <w:pPr>
        <w:spacing w:line="360" w:lineRule="auto"/>
        <w:rPr>
          <w:rFonts w:ascii="Arial" w:hAnsi="Arial" w:cs="Arial"/>
        </w:rPr>
      </w:pPr>
    </w:p>
    <w:p w14:paraId="721ECA96" w14:textId="224ED594" w:rsidR="00D07B3E" w:rsidRPr="00303287" w:rsidRDefault="00D07B3E" w:rsidP="00303287">
      <w:pPr>
        <w:spacing w:line="360" w:lineRule="auto"/>
        <w:rPr>
          <w:rFonts w:ascii="Arial" w:hAnsi="Arial" w:cs="Arial"/>
        </w:rPr>
      </w:pPr>
    </w:p>
    <w:p w14:paraId="4564569F" w14:textId="3AF9C06B" w:rsidR="00D07B3E" w:rsidRDefault="00D07B3E" w:rsidP="00303287">
      <w:pPr>
        <w:spacing w:line="360" w:lineRule="auto"/>
        <w:rPr>
          <w:rFonts w:ascii="Arial" w:hAnsi="Arial" w:cs="Arial"/>
        </w:rPr>
      </w:pPr>
    </w:p>
    <w:p w14:paraId="1A57ACD4" w14:textId="77777777" w:rsidR="00303287" w:rsidRPr="00303287" w:rsidRDefault="00303287" w:rsidP="00303287">
      <w:pPr>
        <w:spacing w:line="360" w:lineRule="auto"/>
        <w:rPr>
          <w:rFonts w:ascii="Arial" w:hAnsi="Arial" w:cs="Arial"/>
        </w:rPr>
      </w:pPr>
    </w:p>
    <w:p w14:paraId="2386D7D1" w14:textId="07122DF8" w:rsidR="00D07B3E" w:rsidRPr="00303287" w:rsidRDefault="00D07B3E" w:rsidP="00303287">
      <w:pPr>
        <w:spacing w:line="360" w:lineRule="auto"/>
        <w:rPr>
          <w:rFonts w:ascii="Arial" w:hAnsi="Arial" w:cs="Arial"/>
        </w:rPr>
      </w:pPr>
    </w:p>
    <w:p w14:paraId="00B20A51" w14:textId="1A3855F7" w:rsidR="00D07B3E" w:rsidRPr="00303287" w:rsidRDefault="00936E3A" w:rsidP="00303287">
      <w:pPr>
        <w:spacing w:line="360" w:lineRule="auto"/>
        <w:jc w:val="center"/>
        <w:rPr>
          <w:rFonts w:ascii="Arial" w:hAnsi="Arial" w:cs="Arial"/>
          <w:b/>
        </w:rPr>
      </w:pPr>
      <w:r w:rsidRPr="00303287">
        <w:rPr>
          <w:rFonts w:ascii="Arial" w:hAnsi="Arial" w:cs="Arial"/>
          <w:b/>
        </w:rPr>
        <w:t>Reference List</w:t>
      </w:r>
    </w:p>
    <w:p w14:paraId="12047526" w14:textId="5B07394D" w:rsidR="00D07B3E" w:rsidRPr="00303287" w:rsidRDefault="00D07B3E" w:rsidP="00303287">
      <w:pPr>
        <w:spacing w:line="360" w:lineRule="auto"/>
        <w:ind w:firstLine="720"/>
        <w:rPr>
          <w:rFonts w:ascii="Arial" w:hAnsi="Arial" w:cs="Arial"/>
        </w:rPr>
      </w:pPr>
      <w:r w:rsidRPr="00303287">
        <w:rPr>
          <w:rFonts w:ascii="Arial" w:hAnsi="Arial" w:cs="Arial"/>
        </w:rPr>
        <w:t>Ali, B. and Anwar, G., 2021. Work Engagement: How Does Employee Work Engagement influence Employee Satisfaction?. International Journal of Advanced Engineering, Management and Science, 7(6), pp.10-21.</w:t>
      </w:r>
    </w:p>
    <w:p w14:paraId="3F2E2A0C" w14:textId="2F072FC4" w:rsidR="00D07B3E" w:rsidRPr="00303287" w:rsidRDefault="00D07B3E" w:rsidP="00303287">
      <w:pPr>
        <w:spacing w:line="360" w:lineRule="auto"/>
        <w:ind w:firstLine="720"/>
        <w:rPr>
          <w:rFonts w:ascii="Arial" w:hAnsi="Arial" w:cs="Arial"/>
        </w:rPr>
      </w:pPr>
      <w:r w:rsidRPr="00303287">
        <w:rPr>
          <w:rFonts w:ascii="Arial" w:hAnsi="Arial" w:cs="Arial"/>
        </w:rPr>
        <w:t>Bell, A., 2016. The employee value proposition redefined. Strategic HR Review, 4(4), pp.3-3.</w:t>
      </w:r>
    </w:p>
    <w:p w14:paraId="438E84BF" w14:textId="41C03FC1" w:rsidR="00D07B3E" w:rsidRPr="00303287" w:rsidRDefault="00D07B3E" w:rsidP="00303287">
      <w:pPr>
        <w:spacing w:line="360" w:lineRule="auto"/>
        <w:ind w:firstLine="720"/>
        <w:rPr>
          <w:rFonts w:ascii="Arial" w:hAnsi="Arial" w:cs="Arial"/>
        </w:rPr>
      </w:pPr>
      <w:r w:rsidRPr="00303287">
        <w:rPr>
          <w:rFonts w:ascii="Arial" w:hAnsi="Arial" w:cs="Arial"/>
        </w:rPr>
        <w:t>Devi, S. and Mahajans, D., 2019. Impact of Transformational Leadership on Employee Engagement. International Journal of Psychosocial Rehabilitation, 23(4), pp.1107-1116.</w:t>
      </w:r>
    </w:p>
    <w:p w14:paraId="075AA8E2" w14:textId="4859DCF8" w:rsidR="00D07B3E" w:rsidRPr="00303287" w:rsidRDefault="00D07B3E" w:rsidP="00303287">
      <w:pPr>
        <w:spacing w:line="360" w:lineRule="auto"/>
        <w:ind w:firstLine="720"/>
        <w:rPr>
          <w:rFonts w:ascii="Arial" w:hAnsi="Arial" w:cs="Arial"/>
        </w:rPr>
      </w:pPr>
      <w:r w:rsidRPr="00303287">
        <w:rPr>
          <w:rFonts w:ascii="Arial" w:hAnsi="Arial" w:cs="Arial"/>
        </w:rPr>
        <w:t>Dr. V. Tulasi Das, D. and Ch.Vijayalakshmi, C., 2016. Employee Engagement Strategies For Enhancing Employee Competitiveness To Organizational Success. Indian Journal of Applied Research, 1(12), pp.137-140.</w:t>
      </w:r>
    </w:p>
    <w:p w14:paraId="4B11C107" w14:textId="2F284B2D" w:rsidR="00D07B3E" w:rsidRPr="00303287" w:rsidRDefault="00D07B3E" w:rsidP="00303287">
      <w:pPr>
        <w:spacing w:line="360" w:lineRule="auto"/>
        <w:ind w:firstLine="720"/>
        <w:rPr>
          <w:rFonts w:ascii="Arial" w:hAnsi="Arial" w:cs="Arial"/>
        </w:rPr>
      </w:pPr>
      <w:r w:rsidRPr="00303287">
        <w:rPr>
          <w:rFonts w:ascii="Arial" w:hAnsi="Arial" w:cs="Arial"/>
        </w:rPr>
        <w:t>Pritchard, K., 2016. Effectively measure employee engagement. Strategic HR Review, 7(2).</w:t>
      </w:r>
    </w:p>
    <w:p w14:paraId="09A88490" w14:textId="18464664" w:rsidR="00D07B3E" w:rsidRPr="00303287" w:rsidRDefault="00D07B3E" w:rsidP="00303287">
      <w:pPr>
        <w:spacing w:line="360" w:lineRule="auto"/>
        <w:ind w:firstLine="720"/>
        <w:rPr>
          <w:rFonts w:ascii="Arial" w:hAnsi="Arial" w:cs="Arial"/>
        </w:rPr>
      </w:pPr>
      <w:r w:rsidRPr="00303287">
        <w:rPr>
          <w:rFonts w:ascii="Arial" w:hAnsi="Arial" w:cs="Arial"/>
        </w:rPr>
        <w:t>Rajagopal, N. and Pillai, A., 2019. Measuring Employee Expectation and Engagement. Review of Professional Management- A Journal of New Delhi Institute of Management, 5(1), p.23.</w:t>
      </w:r>
    </w:p>
    <w:p w14:paraId="113AA6DA" w14:textId="121FA601" w:rsidR="00D07B3E" w:rsidRPr="00303287" w:rsidRDefault="00CF03EE" w:rsidP="00303287">
      <w:pPr>
        <w:spacing w:line="360" w:lineRule="auto"/>
        <w:ind w:firstLine="720"/>
        <w:rPr>
          <w:rFonts w:ascii="Arial" w:hAnsi="Arial" w:cs="Arial"/>
        </w:rPr>
      </w:pPr>
      <w:r w:rsidRPr="00303287">
        <w:rPr>
          <w:rFonts w:ascii="Arial" w:hAnsi="Arial" w:cs="Arial"/>
        </w:rPr>
        <w:t>Rao, M., 2017. Innovative tools and techniques to ensure effective employee engagement. Industrial and Commercial Training, 49(3), pp.127-131.</w:t>
      </w:r>
    </w:p>
    <w:p w14:paraId="57B5EA64" w14:textId="63303FAA" w:rsidR="00D07B3E" w:rsidRPr="00303287" w:rsidRDefault="00D07B3E" w:rsidP="00303287">
      <w:pPr>
        <w:spacing w:line="360" w:lineRule="auto"/>
        <w:ind w:firstLine="720"/>
        <w:rPr>
          <w:rFonts w:ascii="Arial" w:hAnsi="Arial" w:cs="Arial"/>
        </w:rPr>
      </w:pPr>
      <w:r w:rsidRPr="00303287">
        <w:rPr>
          <w:rFonts w:ascii="Arial" w:hAnsi="Arial" w:cs="Arial"/>
        </w:rPr>
        <w:lastRenderedPageBreak/>
        <w:t>Stoneman, S., 2019. What is the best way of measuring employee engagement?. Strategic HR Review, 12(6).</w:t>
      </w:r>
    </w:p>
    <w:p w14:paraId="4D074BA7" w14:textId="0CE70736" w:rsidR="00D07B3E" w:rsidRPr="00303287" w:rsidRDefault="00D07B3E" w:rsidP="00303287">
      <w:pPr>
        <w:spacing w:line="360" w:lineRule="auto"/>
        <w:ind w:firstLine="720"/>
        <w:rPr>
          <w:rFonts w:ascii="Arial" w:hAnsi="Arial" w:cs="Arial"/>
        </w:rPr>
      </w:pPr>
      <w:r w:rsidRPr="00303287">
        <w:rPr>
          <w:rFonts w:ascii="Arial" w:hAnsi="Arial" w:cs="Arial"/>
        </w:rPr>
        <w:t>Surber, G., 2017. THE EXIT INTERVIEW. Psychiatric Services, 13(9), pp.466-467.</w:t>
      </w:r>
    </w:p>
    <w:p w14:paraId="33C2C4F6" w14:textId="7C54D755" w:rsidR="00D07B3E" w:rsidRPr="00303287" w:rsidRDefault="00D07B3E" w:rsidP="00303287">
      <w:pPr>
        <w:spacing w:line="360" w:lineRule="auto"/>
        <w:ind w:firstLine="720"/>
        <w:rPr>
          <w:rFonts w:ascii="Arial" w:hAnsi="Arial" w:cs="Arial"/>
        </w:rPr>
      </w:pPr>
      <w:r w:rsidRPr="00303287">
        <w:rPr>
          <w:rFonts w:ascii="Arial" w:hAnsi="Arial" w:cs="Arial"/>
        </w:rPr>
        <w:t>Yaneva, M., 2018. Employee Satisfaction vs. Employee Engagement vs. Employee NPS. European Journal of Economics and Business Studies, 4(1), pp.221-227.</w:t>
      </w:r>
    </w:p>
    <w:p w14:paraId="5DD5C6EC" w14:textId="77777777" w:rsidR="00D07B3E" w:rsidRPr="00303287" w:rsidRDefault="00D07B3E" w:rsidP="00303287">
      <w:pPr>
        <w:spacing w:line="360" w:lineRule="auto"/>
        <w:rPr>
          <w:rFonts w:ascii="Arial" w:hAnsi="Arial" w:cs="Arial"/>
        </w:rPr>
      </w:pPr>
    </w:p>
    <w:p w14:paraId="422AB557" w14:textId="77777777" w:rsidR="00CF03EE" w:rsidRPr="00303287" w:rsidRDefault="00CF03EE" w:rsidP="00303287">
      <w:pPr>
        <w:spacing w:line="360" w:lineRule="auto"/>
        <w:rPr>
          <w:rFonts w:ascii="Arial" w:hAnsi="Arial" w:cs="Arial"/>
        </w:rPr>
      </w:pPr>
    </w:p>
    <w:p w14:paraId="02C1D323" w14:textId="77777777" w:rsidR="00CF03EE" w:rsidRPr="00303287" w:rsidRDefault="00CF03EE" w:rsidP="00303287">
      <w:pPr>
        <w:spacing w:line="360" w:lineRule="auto"/>
        <w:rPr>
          <w:rFonts w:ascii="Arial" w:hAnsi="Arial" w:cs="Arial"/>
        </w:rPr>
      </w:pPr>
      <w:r w:rsidRPr="00303287">
        <w:rPr>
          <w:rFonts w:ascii="Arial" w:hAnsi="Arial" w:cs="Arial"/>
        </w:rPr>
        <w:t xml:space="preserve">                                                                                           </w:t>
      </w:r>
    </w:p>
    <w:p w14:paraId="60CDAAA6" w14:textId="77777777" w:rsidR="00CF03EE" w:rsidRPr="00303287" w:rsidRDefault="00CF03EE" w:rsidP="00303287">
      <w:pPr>
        <w:spacing w:line="360" w:lineRule="auto"/>
        <w:rPr>
          <w:rFonts w:ascii="Arial" w:hAnsi="Arial" w:cs="Arial"/>
        </w:rPr>
      </w:pPr>
    </w:p>
    <w:p w14:paraId="4D188057" w14:textId="77777777" w:rsidR="00CF03EE" w:rsidRPr="00303287" w:rsidRDefault="00CF03EE" w:rsidP="00303287">
      <w:pPr>
        <w:spacing w:line="360" w:lineRule="auto"/>
        <w:rPr>
          <w:rFonts w:ascii="Arial" w:hAnsi="Arial" w:cs="Arial"/>
        </w:rPr>
      </w:pPr>
      <w:r w:rsidRPr="00303287">
        <w:rPr>
          <w:rFonts w:ascii="Arial" w:hAnsi="Arial" w:cs="Arial"/>
        </w:rPr>
        <w:t xml:space="preserve">                                                                                           </w:t>
      </w:r>
    </w:p>
    <w:p w14:paraId="666A95D1" w14:textId="77777777" w:rsidR="00127398" w:rsidRPr="00303287" w:rsidRDefault="00127398" w:rsidP="00303287">
      <w:pPr>
        <w:spacing w:line="360" w:lineRule="auto"/>
        <w:rPr>
          <w:rFonts w:ascii="Arial" w:hAnsi="Arial" w:cs="Arial"/>
        </w:rPr>
      </w:pPr>
    </w:p>
    <w:sectPr w:rsidR="00127398" w:rsidRPr="00303287" w:rsidSect="001372FE">
      <w:head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7C916" w14:textId="77777777" w:rsidR="00615C8D" w:rsidRDefault="00615C8D" w:rsidP="00303287">
      <w:pPr>
        <w:spacing w:after="0" w:line="240" w:lineRule="auto"/>
      </w:pPr>
      <w:r>
        <w:separator/>
      </w:r>
    </w:p>
  </w:endnote>
  <w:endnote w:type="continuationSeparator" w:id="0">
    <w:p w14:paraId="7FECEB38" w14:textId="77777777" w:rsidR="00615C8D" w:rsidRDefault="00615C8D" w:rsidP="00303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021E2" w14:textId="77777777" w:rsidR="00615C8D" w:rsidRDefault="00615C8D" w:rsidP="00303287">
      <w:pPr>
        <w:spacing w:after="0" w:line="240" w:lineRule="auto"/>
      </w:pPr>
      <w:r>
        <w:separator/>
      </w:r>
    </w:p>
  </w:footnote>
  <w:footnote w:type="continuationSeparator" w:id="0">
    <w:p w14:paraId="38EF6B13" w14:textId="77777777" w:rsidR="00615C8D" w:rsidRDefault="00615C8D" w:rsidP="00303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11049"/>
      <w:docPartObj>
        <w:docPartGallery w:val="Page Numbers (Top of Page)"/>
        <w:docPartUnique/>
      </w:docPartObj>
    </w:sdtPr>
    <w:sdtEndPr>
      <w:rPr>
        <w:rFonts w:ascii="Arial" w:hAnsi="Arial" w:cs="Arial"/>
        <w:noProof/>
      </w:rPr>
    </w:sdtEndPr>
    <w:sdtContent>
      <w:p w14:paraId="32BCA97D" w14:textId="5834E1B8" w:rsidR="00303287" w:rsidRPr="00303287" w:rsidRDefault="00303287">
        <w:pPr>
          <w:pStyle w:val="Intestazione"/>
          <w:jc w:val="right"/>
          <w:rPr>
            <w:rFonts w:ascii="Arial" w:hAnsi="Arial" w:cs="Arial"/>
          </w:rPr>
        </w:pPr>
        <w:r w:rsidRPr="00303287">
          <w:rPr>
            <w:rFonts w:ascii="Arial" w:hAnsi="Arial" w:cs="Arial"/>
          </w:rPr>
          <w:fldChar w:fldCharType="begin"/>
        </w:r>
        <w:r w:rsidRPr="00303287">
          <w:rPr>
            <w:rFonts w:ascii="Arial" w:hAnsi="Arial" w:cs="Arial"/>
          </w:rPr>
          <w:instrText xml:space="preserve"> PAGE   \* MERGEFORMAT </w:instrText>
        </w:r>
        <w:r w:rsidRPr="00303287">
          <w:rPr>
            <w:rFonts w:ascii="Arial" w:hAnsi="Arial" w:cs="Arial"/>
          </w:rPr>
          <w:fldChar w:fldCharType="separate"/>
        </w:r>
        <w:r w:rsidRPr="00303287">
          <w:rPr>
            <w:rFonts w:ascii="Arial" w:hAnsi="Arial" w:cs="Arial"/>
            <w:noProof/>
          </w:rPr>
          <w:t>2</w:t>
        </w:r>
        <w:r w:rsidRPr="00303287">
          <w:rPr>
            <w:rFonts w:ascii="Arial" w:hAnsi="Arial" w:cs="Arial"/>
            <w:noProof/>
          </w:rPr>
          <w:fldChar w:fldCharType="end"/>
        </w:r>
      </w:p>
    </w:sdtContent>
  </w:sdt>
  <w:p w14:paraId="1B332FC4" w14:textId="77777777" w:rsidR="00303287" w:rsidRDefault="00303287">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398"/>
    <w:rsid w:val="00020B23"/>
    <w:rsid w:val="000567C1"/>
    <w:rsid w:val="0007796B"/>
    <w:rsid w:val="00096BE6"/>
    <w:rsid w:val="00127398"/>
    <w:rsid w:val="001314C7"/>
    <w:rsid w:val="001372FE"/>
    <w:rsid w:val="00143314"/>
    <w:rsid w:val="002642BF"/>
    <w:rsid w:val="00271D9C"/>
    <w:rsid w:val="00303287"/>
    <w:rsid w:val="00374DDA"/>
    <w:rsid w:val="003D092A"/>
    <w:rsid w:val="003D510C"/>
    <w:rsid w:val="00490582"/>
    <w:rsid w:val="005348D5"/>
    <w:rsid w:val="00615C8D"/>
    <w:rsid w:val="0067233F"/>
    <w:rsid w:val="00701F76"/>
    <w:rsid w:val="007203F8"/>
    <w:rsid w:val="00735BEF"/>
    <w:rsid w:val="00736783"/>
    <w:rsid w:val="007812FF"/>
    <w:rsid w:val="007C0206"/>
    <w:rsid w:val="007E1F07"/>
    <w:rsid w:val="007F474A"/>
    <w:rsid w:val="00825D75"/>
    <w:rsid w:val="00865731"/>
    <w:rsid w:val="008C2389"/>
    <w:rsid w:val="00936E3A"/>
    <w:rsid w:val="00944C51"/>
    <w:rsid w:val="00947DFF"/>
    <w:rsid w:val="00993C32"/>
    <w:rsid w:val="00A91D4F"/>
    <w:rsid w:val="00A94F44"/>
    <w:rsid w:val="00A96052"/>
    <w:rsid w:val="00AE5A83"/>
    <w:rsid w:val="00B91D28"/>
    <w:rsid w:val="00C14D65"/>
    <w:rsid w:val="00C40C94"/>
    <w:rsid w:val="00C828B5"/>
    <w:rsid w:val="00CF03EE"/>
    <w:rsid w:val="00CF209D"/>
    <w:rsid w:val="00D07B3E"/>
    <w:rsid w:val="00D60F0F"/>
    <w:rsid w:val="00E1375E"/>
    <w:rsid w:val="00EA7079"/>
    <w:rsid w:val="00EC2A0B"/>
    <w:rsid w:val="00EE3C83"/>
    <w:rsid w:val="00FB2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4F768"/>
  <w15:chartTrackingRefBased/>
  <w15:docId w15:val="{52FA0602-B1F6-4876-BFFD-DFBE2B356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03287"/>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303287"/>
  </w:style>
  <w:style w:type="paragraph" w:styleId="Pidipagina">
    <w:name w:val="footer"/>
    <w:basedOn w:val="Normale"/>
    <w:link w:val="PidipaginaCarattere"/>
    <w:uiPriority w:val="99"/>
    <w:unhideWhenUsed/>
    <w:rsid w:val="00303287"/>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303287"/>
  </w:style>
  <w:style w:type="character" w:styleId="Collegamentoipertestuale">
    <w:name w:val="Hyperlink"/>
    <w:basedOn w:val="Carpredefinitoparagrafo"/>
    <w:uiPriority w:val="99"/>
    <w:unhideWhenUsed/>
    <w:rsid w:val="00B91D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3818" TargetMode="External"/><Relationship Id="rId3" Type="http://schemas.openxmlformats.org/officeDocument/2006/relationships/webSettings" Target="webSettings.xml"/><Relationship Id="rId7" Type="http://schemas.openxmlformats.org/officeDocument/2006/relationships/image" Target="https://lh3.googleusercontent.com/-dCYe2Y2UVCQ/AAAAAAAAAAI/AAAAAAAAAAA/qchC0b4B9-s/s44-p-k-no-ns-nd/photo.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2232</Words>
  <Characters>12727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Njau</dc:creator>
  <cp:keywords/>
  <dc:description/>
  <cp:lastModifiedBy>Microsoft Office User</cp:lastModifiedBy>
  <cp:revision>3</cp:revision>
  <dcterms:created xsi:type="dcterms:W3CDTF">2022-01-05T02:43:00Z</dcterms:created>
  <dcterms:modified xsi:type="dcterms:W3CDTF">2022-01-05T02:52:00Z</dcterms:modified>
</cp:coreProperties>
</file>