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4E1496" w14:textId="1A826BC3" w:rsidR="00FF5592" w:rsidRDefault="00D15012" w:rsidP="00D15012">
      <w:pPr>
        <w:spacing w:after="0" w:line="240" w:lineRule="auto"/>
      </w:pPr>
      <w:r>
        <w:t>Name:</w:t>
      </w:r>
      <w:r>
        <w:tab/>
      </w:r>
      <w:r>
        <w:tab/>
        <w:t>Tim Kirk</w:t>
      </w:r>
    </w:p>
    <w:p w14:paraId="186CE17F" w14:textId="52F703F9" w:rsidR="00D15012" w:rsidRDefault="00D15012" w:rsidP="00D15012">
      <w:pPr>
        <w:spacing w:after="0" w:line="240" w:lineRule="auto"/>
      </w:pPr>
      <w:r>
        <w:t>Student No.:</w:t>
      </w:r>
      <w:r>
        <w:tab/>
        <w:t>1710839</w:t>
      </w:r>
    </w:p>
    <w:p w14:paraId="69604D95" w14:textId="2C512D59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  <w:r>
        <w:t>Module No.:</w:t>
      </w:r>
      <w:r>
        <w:tab/>
        <w:t xml:space="preserve">HPRS5008 </w:t>
      </w:r>
    </w:p>
    <w:p w14:paraId="41457444" w14:textId="208A32BE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</w:p>
    <w:p w14:paraId="70C954EC" w14:textId="76CBE0E2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</w:p>
    <w:p w14:paraId="60B789EB" w14:textId="0081346C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</w:r>
      <w:r>
        <w:rPr>
          <w:rFonts w:ascii="Times New Roman" w:hAnsi="Times New Roman" w:cs="Times New Roman"/>
          <w:sz w:val="36"/>
          <w:szCs w:val="36"/>
        </w:rPr>
        <w:tab/>
        <w:t>Portfolio, Part 2:</w:t>
      </w:r>
    </w:p>
    <w:p w14:paraId="77C4BA45" w14:textId="77777777" w:rsidR="00A224E2" w:rsidRDefault="00A224E2" w:rsidP="00D15012">
      <w:pPr>
        <w:spacing w:after="0" w:line="240" w:lineRule="auto"/>
        <w:rPr>
          <w:rFonts w:ascii="Times New Roman" w:hAnsi="Times New Roman" w:cs="Times New Roman"/>
          <w:sz w:val="36"/>
          <w:szCs w:val="36"/>
        </w:rPr>
      </w:pPr>
    </w:p>
    <w:p w14:paraId="067F47C0" w14:textId="7A6ADF72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36"/>
          <w:szCs w:val="36"/>
        </w:rPr>
        <w:tab/>
        <w:t xml:space="preserve">The Community at Qumran and the Dead Sea Scrolls </w:t>
      </w:r>
    </w:p>
    <w:p w14:paraId="710B20C8" w14:textId="52F588F9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30949D16" w14:textId="505B2CA8" w:rsidR="00D15012" w:rsidRDefault="00D1501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54CD16CD" w14:textId="343FAF48" w:rsidR="00D15012" w:rsidRDefault="00D15012" w:rsidP="00D15012">
      <w:pPr>
        <w:spacing w:after="0" w:line="24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archaeological site at Khirbet Qumran </w:t>
      </w:r>
      <w:r w:rsidR="00DA3F8D">
        <w:rPr>
          <w:rFonts w:ascii="Times New Roman" w:hAnsi="Times New Roman" w:cs="Times New Roman"/>
          <w:sz w:val="28"/>
          <w:szCs w:val="28"/>
        </w:rPr>
        <w:t>is situated on a plateau above caves (both natural and man-made) to the North-</w:t>
      </w:r>
      <w:r w:rsidR="00390873">
        <w:rPr>
          <w:rFonts w:ascii="Times New Roman" w:hAnsi="Times New Roman" w:cs="Times New Roman"/>
          <w:sz w:val="28"/>
          <w:szCs w:val="28"/>
        </w:rPr>
        <w:t>West</w:t>
      </w:r>
      <w:r w:rsidR="00DA3F8D">
        <w:rPr>
          <w:rFonts w:ascii="Times New Roman" w:hAnsi="Times New Roman" w:cs="Times New Roman"/>
          <w:sz w:val="28"/>
          <w:szCs w:val="28"/>
        </w:rPr>
        <w:t xml:space="preserve"> of the Dead Sea </w:t>
      </w:r>
      <w:r w:rsidR="00CF3C56">
        <w:rPr>
          <w:rFonts w:ascii="Times New Roman" w:hAnsi="Times New Roman" w:cs="Times New Roman"/>
          <w:sz w:val="28"/>
          <w:szCs w:val="28"/>
        </w:rPr>
        <w:t xml:space="preserve">in what is now the disputed West Bank territory in Israel. It </w:t>
      </w:r>
      <w:r>
        <w:rPr>
          <w:rFonts w:ascii="Times New Roman" w:hAnsi="Times New Roman" w:cs="Times New Roman"/>
          <w:sz w:val="28"/>
          <w:szCs w:val="28"/>
        </w:rPr>
        <w:t>was first excavated in 18</w:t>
      </w:r>
      <w:r w:rsidR="00390873">
        <w:rPr>
          <w:rFonts w:ascii="Times New Roman" w:hAnsi="Times New Roman" w:cs="Times New Roman"/>
          <w:sz w:val="28"/>
          <w:szCs w:val="28"/>
        </w:rPr>
        <w:t>73</w:t>
      </w:r>
      <w:r>
        <w:rPr>
          <w:rFonts w:ascii="Times New Roman" w:hAnsi="Times New Roman" w:cs="Times New Roman"/>
          <w:sz w:val="28"/>
          <w:szCs w:val="28"/>
        </w:rPr>
        <w:t xml:space="preserve"> by</w:t>
      </w:r>
      <w:r w:rsidR="00390873">
        <w:rPr>
          <w:rFonts w:ascii="Times New Roman" w:hAnsi="Times New Roman" w:cs="Times New Roman"/>
          <w:sz w:val="28"/>
          <w:szCs w:val="28"/>
        </w:rPr>
        <w:t xml:space="preserve"> Clermont-</w:t>
      </w:r>
      <w:proofErr w:type="spellStart"/>
      <w:r w:rsidR="00390873">
        <w:rPr>
          <w:rFonts w:ascii="Times New Roman" w:hAnsi="Times New Roman" w:cs="Times New Roman"/>
          <w:sz w:val="28"/>
          <w:szCs w:val="28"/>
        </w:rPr>
        <w:t>Ganneau</w:t>
      </w:r>
      <w:proofErr w:type="spellEnd"/>
      <w:r>
        <w:rPr>
          <w:rFonts w:ascii="Times New Roman" w:hAnsi="Times New Roman" w:cs="Times New Roman"/>
          <w:color w:val="FF0000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and has subsequently been excavated on a number of occasions</w:t>
      </w:r>
      <w:r w:rsidR="00390873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390873">
        <w:rPr>
          <w:rFonts w:ascii="Times New Roman" w:hAnsi="Times New Roman" w:cs="Times New Roman"/>
          <w:sz w:val="28"/>
          <w:szCs w:val="28"/>
        </w:rPr>
        <w:t>Hachlili</w:t>
      </w:r>
      <w:proofErr w:type="spellEnd"/>
      <w:r w:rsidR="00390873">
        <w:rPr>
          <w:rFonts w:ascii="Times New Roman" w:hAnsi="Times New Roman" w:cs="Times New Roman"/>
          <w:sz w:val="28"/>
          <w:szCs w:val="28"/>
        </w:rPr>
        <w:t>, 2011:2)</w:t>
      </w:r>
      <w:r>
        <w:rPr>
          <w:rFonts w:ascii="Times New Roman" w:hAnsi="Times New Roman" w:cs="Times New Roman"/>
          <w:sz w:val="28"/>
          <w:szCs w:val="28"/>
        </w:rPr>
        <w:t>.</w:t>
      </w:r>
      <w:r w:rsidR="00043EFA">
        <w:rPr>
          <w:rFonts w:ascii="Times New Roman" w:hAnsi="Times New Roman" w:cs="Times New Roman"/>
          <w:sz w:val="28"/>
          <w:szCs w:val="28"/>
        </w:rPr>
        <w:t xml:space="preserve"> </w:t>
      </w:r>
      <w:r w:rsidR="00390873">
        <w:rPr>
          <w:rFonts w:ascii="Times New Roman" w:hAnsi="Times New Roman" w:cs="Times New Roman"/>
          <w:sz w:val="28"/>
          <w:szCs w:val="28"/>
        </w:rPr>
        <w:t>Centred around a large building with a central courtyard</w:t>
      </w:r>
      <w:r w:rsidR="00872B4B">
        <w:rPr>
          <w:rFonts w:ascii="Times New Roman" w:hAnsi="Times New Roman" w:cs="Times New Roman"/>
          <w:sz w:val="28"/>
          <w:szCs w:val="28"/>
        </w:rPr>
        <w:t xml:space="preserve"> </w:t>
      </w:r>
      <w:r w:rsidR="00043EFA">
        <w:rPr>
          <w:rFonts w:ascii="Times New Roman" w:hAnsi="Times New Roman" w:cs="Times New Roman"/>
          <w:sz w:val="28"/>
          <w:szCs w:val="28"/>
        </w:rPr>
        <w:t xml:space="preserve">of Hellenistic style </w:t>
      </w:r>
      <w:r w:rsidR="00390873">
        <w:rPr>
          <w:rFonts w:ascii="Times New Roman" w:hAnsi="Times New Roman" w:cs="Times New Roman"/>
          <w:sz w:val="28"/>
          <w:szCs w:val="28"/>
        </w:rPr>
        <w:t>which was at some point destroyed (possibly by an earthquake in 31BC)</w:t>
      </w:r>
      <w:r w:rsidR="00043EFA">
        <w:rPr>
          <w:rFonts w:ascii="Times New Roman" w:hAnsi="Times New Roman" w:cs="Times New Roman"/>
          <w:sz w:val="28"/>
          <w:szCs w:val="28"/>
        </w:rPr>
        <w:t>,</w:t>
      </w:r>
      <w:r w:rsidR="00390873">
        <w:rPr>
          <w:rFonts w:ascii="Times New Roman" w:hAnsi="Times New Roman" w:cs="Times New Roman"/>
          <w:sz w:val="28"/>
          <w:szCs w:val="28"/>
        </w:rPr>
        <w:t xml:space="preserve"> i</w:t>
      </w:r>
      <w:r w:rsidR="00DA3F8D">
        <w:rPr>
          <w:rFonts w:ascii="Times New Roman" w:hAnsi="Times New Roman" w:cs="Times New Roman"/>
          <w:sz w:val="28"/>
          <w:szCs w:val="28"/>
        </w:rPr>
        <w:t xml:space="preserve">t </w:t>
      </w:r>
      <w:r w:rsidR="00390873">
        <w:rPr>
          <w:rFonts w:ascii="Times New Roman" w:hAnsi="Times New Roman" w:cs="Times New Roman"/>
          <w:sz w:val="28"/>
          <w:szCs w:val="28"/>
        </w:rPr>
        <w:t>was subsequently redeveloped and appears</w:t>
      </w:r>
      <w:r w:rsidR="00872B4B">
        <w:rPr>
          <w:rFonts w:ascii="Times New Roman" w:hAnsi="Times New Roman" w:cs="Times New Roman"/>
          <w:sz w:val="28"/>
          <w:szCs w:val="28"/>
        </w:rPr>
        <w:t xml:space="preserve"> to have been</w:t>
      </w:r>
      <w:r w:rsidR="00CF3C56">
        <w:rPr>
          <w:rFonts w:ascii="Times New Roman" w:hAnsi="Times New Roman" w:cs="Times New Roman"/>
          <w:sz w:val="28"/>
          <w:szCs w:val="28"/>
        </w:rPr>
        <w:t xml:space="preserve"> in use throughout the Hasmonean era</w:t>
      </w:r>
      <w:r w:rsidR="00DA3F8D">
        <w:rPr>
          <w:rFonts w:ascii="Times New Roman" w:hAnsi="Times New Roman" w:cs="Times New Roman"/>
          <w:sz w:val="28"/>
          <w:szCs w:val="28"/>
        </w:rPr>
        <w:t xml:space="preserve">, although there may </w:t>
      </w:r>
      <w:r w:rsidR="00764F41">
        <w:rPr>
          <w:rFonts w:ascii="Times New Roman" w:hAnsi="Times New Roman" w:cs="Times New Roman"/>
          <w:sz w:val="28"/>
          <w:szCs w:val="28"/>
        </w:rPr>
        <w:t xml:space="preserve">also </w:t>
      </w:r>
      <w:r w:rsidR="00DA3F8D">
        <w:rPr>
          <w:rFonts w:ascii="Times New Roman" w:hAnsi="Times New Roman" w:cs="Times New Roman"/>
          <w:sz w:val="28"/>
          <w:szCs w:val="28"/>
        </w:rPr>
        <w:t>be evidence of earl</w:t>
      </w:r>
      <w:r w:rsidR="00CF3C56">
        <w:rPr>
          <w:rFonts w:ascii="Times New Roman" w:hAnsi="Times New Roman" w:cs="Times New Roman"/>
          <w:sz w:val="28"/>
          <w:szCs w:val="28"/>
        </w:rPr>
        <w:t xml:space="preserve">ier, </w:t>
      </w:r>
      <w:r w:rsidR="00DA3F8D">
        <w:rPr>
          <w:rFonts w:ascii="Times New Roman" w:hAnsi="Times New Roman" w:cs="Times New Roman"/>
          <w:sz w:val="28"/>
          <w:szCs w:val="28"/>
        </w:rPr>
        <w:t>Iron Age settlement patterns (</w:t>
      </w:r>
      <w:proofErr w:type="spellStart"/>
      <w:r w:rsidR="00872B4B" w:rsidRPr="00872B4B">
        <w:rPr>
          <w:rFonts w:ascii="Times New Roman" w:hAnsi="Times New Roman" w:cs="Times New Roman"/>
          <w:sz w:val="28"/>
          <w:szCs w:val="28"/>
        </w:rPr>
        <w:t>Hachlili</w:t>
      </w:r>
      <w:proofErr w:type="spellEnd"/>
      <w:r w:rsidR="00872B4B" w:rsidRPr="00872B4B">
        <w:rPr>
          <w:rFonts w:ascii="Times New Roman" w:hAnsi="Times New Roman" w:cs="Times New Roman"/>
          <w:sz w:val="28"/>
          <w:szCs w:val="28"/>
        </w:rPr>
        <w:t>, 2011:1</w:t>
      </w:r>
      <w:r w:rsidR="00DA3F8D">
        <w:rPr>
          <w:rFonts w:ascii="Times New Roman" w:hAnsi="Times New Roman" w:cs="Times New Roman"/>
          <w:sz w:val="28"/>
          <w:szCs w:val="28"/>
        </w:rPr>
        <w:t>)</w:t>
      </w:r>
      <w:r w:rsidR="00CF3C56">
        <w:rPr>
          <w:rFonts w:ascii="Times New Roman" w:hAnsi="Times New Roman" w:cs="Times New Roman"/>
          <w:sz w:val="28"/>
          <w:szCs w:val="28"/>
        </w:rPr>
        <w:t>.</w:t>
      </w:r>
      <w:r w:rsidR="00DA3F8D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Its signi</w:t>
      </w:r>
      <w:r w:rsidR="004B31A8">
        <w:rPr>
          <w:rFonts w:ascii="Times New Roman" w:hAnsi="Times New Roman" w:cs="Times New Roman"/>
          <w:sz w:val="28"/>
          <w:szCs w:val="28"/>
        </w:rPr>
        <w:t>f</w:t>
      </w:r>
      <w:r>
        <w:rPr>
          <w:rFonts w:ascii="Times New Roman" w:hAnsi="Times New Roman" w:cs="Times New Roman"/>
          <w:sz w:val="28"/>
          <w:szCs w:val="28"/>
        </w:rPr>
        <w:t xml:space="preserve">icance has been greatly enhanced since 1947 with the discovery of the </w:t>
      </w:r>
      <w:r w:rsidR="009F6ED9">
        <w:rPr>
          <w:rFonts w:ascii="Times New Roman" w:hAnsi="Times New Roman" w:cs="Times New Roman"/>
          <w:sz w:val="28"/>
          <w:szCs w:val="28"/>
        </w:rPr>
        <w:t>‘</w:t>
      </w:r>
      <w:r>
        <w:rPr>
          <w:rFonts w:ascii="Times New Roman" w:hAnsi="Times New Roman" w:cs="Times New Roman"/>
          <w:sz w:val="28"/>
          <w:szCs w:val="28"/>
        </w:rPr>
        <w:t>Dead Sea Scrolls</w:t>
      </w:r>
      <w:r w:rsidR="009F6ED9">
        <w:rPr>
          <w:rFonts w:ascii="Times New Roman" w:hAnsi="Times New Roman" w:cs="Times New Roman"/>
          <w:sz w:val="28"/>
          <w:szCs w:val="28"/>
        </w:rPr>
        <w:t>’</w:t>
      </w:r>
      <w:r>
        <w:rPr>
          <w:rFonts w:ascii="Times New Roman" w:hAnsi="Times New Roman" w:cs="Times New Roman"/>
          <w:sz w:val="28"/>
          <w:szCs w:val="28"/>
        </w:rPr>
        <w:t xml:space="preserve"> in </w:t>
      </w:r>
      <w:r w:rsidR="00CF3C56">
        <w:rPr>
          <w:rFonts w:ascii="Times New Roman" w:hAnsi="Times New Roman" w:cs="Times New Roman"/>
          <w:sz w:val="28"/>
          <w:szCs w:val="28"/>
        </w:rPr>
        <w:t xml:space="preserve">the </w:t>
      </w:r>
      <w:r>
        <w:rPr>
          <w:rFonts w:ascii="Times New Roman" w:hAnsi="Times New Roman" w:cs="Times New Roman"/>
          <w:sz w:val="28"/>
          <w:szCs w:val="28"/>
        </w:rPr>
        <w:t>caves below and adjacent to the site (</w:t>
      </w:r>
      <w:r w:rsidR="00FF01D4">
        <w:rPr>
          <w:rFonts w:ascii="Times New Roman" w:hAnsi="Times New Roman" w:cs="Times New Roman"/>
          <w:sz w:val="28"/>
          <w:szCs w:val="28"/>
        </w:rPr>
        <w:t>deadseascrolls.org (</w:t>
      </w:r>
      <w:proofErr w:type="spellStart"/>
      <w:r w:rsidR="00FF01D4">
        <w:rPr>
          <w:rFonts w:ascii="Times New Roman" w:hAnsi="Times New Roman" w:cs="Times New Roman"/>
          <w:sz w:val="28"/>
          <w:szCs w:val="28"/>
        </w:rPr>
        <w:t>n.a.</w:t>
      </w:r>
      <w:proofErr w:type="spellEnd"/>
      <w:r w:rsidR="00FF01D4">
        <w:rPr>
          <w:rFonts w:ascii="Times New Roman" w:hAnsi="Times New Roman" w:cs="Times New Roman"/>
          <w:sz w:val="28"/>
          <w:szCs w:val="28"/>
        </w:rPr>
        <w:t>)</w:t>
      </w:r>
      <w:r w:rsidR="00CE323E">
        <w:rPr>
          <w:rFonts w:ascii="Times New Roman" w:hAnsi="Times New Roman" w:cs="Times New Roman"/>
          <w:sz w:val="28"/>
          <w:szCs w:val="28"/>
        </w:rPr>
        <w:t xml:space="preserve">, </w:t>
      </w:r>
      <w:r w:rsidR="00FF01D4">
        <w:rPr>
          <w:rFonts w:ascii="Times New Roman" w:hAnsi="Times New Roman" w:cs="Times New Roman"/>
          <w:sz w:val="28"/>
          <w:szCs w:val="28"/>
        </w:rPr>
        <w:t>2020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).</w:t>
      </w:r>
    </w:p>
    <w:p w14:paraId="2D98DE81" w14:textId="5C9CD5AD" w:rsidR="00D15012" w:rsidRDefault="00D15012" w:rsidP="00D15012">
      <w:pPr>
        <w:spacing w:after="0" w:line="240" w:lineRule="auto"/>
        <w:rPr>
          <w:rFonts w:ascii="Times New Roman" w:hAnsi="Times New Roman" w:cs="Times New Roman"/>
          <w:color w:val="000000" w:themeColor="text1"/>
          <w:sz w:val="28"/>
          <w:szCs w:val="28"/>
        </w:rPr>
      </w:pPr>
    </w:p>
    <w:p w14:paraId="207EC4A0" w14:textId="0A343A39" w:rsidR="00D0400D" w:rsidRDefault="00D1501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color w:val="000000" w:themeColor="text1"/>
          <w:sz w:val="28"/>
          <w:szCs w:val="28"/>
        </w:rPr>
        <w:t>The site</w:t>
      </w:r>
      <w:r w:rsidR="00CF3C56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comprises the living and working quarters 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(a ‘scriptorium’)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of what are believed to have been a reclusive religious sect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(p</w:t>
      </w:r>
      <w:r w:rsidR="00D0400D">
        <w:rPr>
          <w:rFonts w:ascii="Times New Roman" w:hAnsi="Times New Roman" w:cs="Times New Roman"/>
          <w:color w:val="000000" w:themeColor="text1"/>
          <w:sz w:val="28"/>
          <w:szCs w:val="28"/>
        </w:rPr>
        <w:t>ossibly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the Essenes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>)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and an associated cemetery. It is believed that </w:t>
      </w:r>
      <w:r w:rsidR="00D0400D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site was devoted to the production of copies of sacred texts and 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the scrolls, co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>mprisi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ng w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>r</w:t>
      </w:r>
      <w:r>
        <w:rPr>
          <w:rFonts w:ascii="Times New Roman" w:hAnsi="Times New Roman" w:cs="Times New Roman"/>
          <w:color w:val="000000" w:themeColor="text1"/>
          <w:sz w:val="28"/>
          <w:szCs w:val="28"/>
        </w:rPr>
        <w:t>itings of the Jewish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Bible, </w:t>
      </w:r>
      <w:r w:rsidR="00DA3F8D">
        <w:rPr>
          <w:rFonts w:ascii="Times New Roman" w:hAnsi="Times New Roman" w:cs="Times New Roman"/>
          <w:color w:val="000000" w:themeColor="text1"/>
          <w:sz w:val="28"/>
          <w:szCs w:val="28"/>
        </w:rPr>
        <w:t>a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pocrypha </w:t>
      </w:r>
      <w:r w:rsidR="00DA3F8D">
        <w:rPr>
          <w:rFonts w:ascii="Times New Roman" w:hAnsi="Times New Roman" w:cs="Times New Roman"/>
          <w:color w:val="000000" w:themeColor="text1"/>
          <w:sz w:val="28"/>
          <w:szCs w:val="28"/>
        </w:rPr>
        <w:t>and religious teachings from the period</w:t>
      </w:r>
      <w:r w:rsidR="00764F41">
        <w:rPr>
          <w:rFonts w:ascii="Times New Roman" w:hAnsi="Times New Roman" w:cs="Times New Roman"/>
          <w:color w:val="000000" w:themeColor="text1"/>
          <w:sz w:val="28"/>
          <w:szCs w:val="28"/>
        </w:rPr>
        <w:t>,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 were hidden in the caves during the destruction of the site by the Roman rulers of Judea in AD63 </w:t>
      </w:r>
      <w:r w:rsidR="00332A29">
        <w:rPr>
          <w:rFonts w:ascii="Times New Roman" w:hAnsi="Times New Roman" w:cs="Times New Roman"/>
          <w:color w:val="000000" w:themeColor="text1"/>
          <w:sz w:val="28"/>
          <w:szCs w:val="28"/>
        </w:rPr>
        <w:t xml:space="preserve">(v. </w:t>
      </w:r>
      <w:proofErr w:type="spellStart"/>
      <w:r w:rsidR="00332A29">
        <w:rPr>
          <w:rFonts w:ascii="Times New Roman" w:hAnsi="Times New Roman" w:cs="Times New Roman"/>
          <w:color w:val="000000" w:themeColor="text1"/>
          <w:sz w:val="28"/>
          <w:szCs w:val="28"/>
        </w:rPr>
        <w:t>Peursen</w:t>
      </w:r>
      <w:proofErr w:type="spellEnd"/>
      <w:r w:rsidR="00332A29">
        <w:rPr>
          <w:rFonts w:ascii="Times New Roman" w:hAnsi="Times New Roman" w:cs="Times New Roman"/>
          <w:color w:val="000000" w:themeColor="text1"/>
          <w:sz w:val="28"/>
          <w:szCs w:val="28"/>
        </w:rPr>
        <w:t>, 2001:242</w:t>
      </w:r>
      <w:r w:rsidR="004B31A8">
        <w:rPr>
          <w:rFonts w:ascii="Times New Roman" w:hAnsi="Times New Roman" w:cs="Times New Roman"/>
          <w:color w:val="000000" w:themeColor="text1"/>
          <w:sz w:val="28"/>
          <w:szCs w:val="28"/>
        </w:rPr>
        <w:t>)</w:t>
      </w:r>
      <w:r w:rsidR="004B31A8">
        <w:rPr>
          <w:rFonts w:ascii="Times New Roman" w:hAnsi="Times New Roman" w:cs="Times New Roman"/>
          <w:sz w:val="28"/>
          <w:szCs w:val="28"/>
        </w:rPr>
        <w:t>.</w:t>
      </w:r>
      <w:r w:rsidR="00A224E2">
        <w:rPr>
          <w:rFonts w:ascii="Times New Roman" w:hAnsi="Times New Roman" w:cs="Times New Roman"/>
          <w:sz w:val="28"/>
          <w:szCs w:val="28"/>
        </w:rPr>
        <w:t xml:space="preserve"> </w:t>
      </w:r>
    </w:p>
    <w:p w14:paraId="4054F7A0" w14:textId="77777777" w:rsidR="00D0400D" w:rsidRDefault="00D0400D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07BE2D63" w14:textId="37B4523F" w:rsidR="00D15012" w:rsidRDefault="00A224E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scrolls began to be discovered in 1947</w:t>
      </w:r>
      <w:r w:rsidR="00D0400D">
        <w:rPr>
          <w:rFonts w:ascii="Times New Roman" w:hAnsi="Times New Roman" w:cs="Times New Roman"/>
          <w:sz w:val="28"/>
          <w:szCs w:val="28"/>
        </w:rPr>
        <w:t xml:space="preserve"> after Bedouin shepherds who had been searching for goats had accidentally </w:t>
      </w:r>
      <w:r w:rsidR="00CE323E">
        <w:rPr>
          <w:rFonts w:ascii="Times New Roman" w:hAnsi="Times New Roman" w:cs="Times New Roman"/>
          <w:sz w:val="28"/>
          <w:szCs w:val="28"/>
        </w:rPr>
        <w:t xml:space="preserve">discovered </w:t>
      </w:r>
      <w:r w:rsidR="00764F41">
        <w:rPr>
          <w:rFonts w:ascii="Times New Roman" w:hAnsi="Times New Roman" w:cs="Times New Roman"/>
          <w:sz w:val="28"/>
          <w:szCs w:val="28"/>
        </w:rPr>
        <w:t>a</w:t>
      </w:r>
      <w:r w:rsidR="00CE323E">
        <w:rPr>
          <w:rFonts w:ascii="Times New Roman" w:hAnsi="Times New Roman" w:cs="Times New Roman"/>
          <w:sz w:val="28"/>
          <w:szCs w:val="28"/>
        </w:rPr>
        <w:t xml:space="preserve"> cave which contained both complete scrolls, fragments and storage vessels. Eleven caves </w:t>
      </w:r>
      <w:r w:rsidR="009C787E">
        <w:rPr>
          <w:rFonts w:ascii="Times New Roman" w:hAnsi="Times New Roman" w:cs="Times New Roman"/>
          <w:sz w:val="28"/>
          <w:szCs w:val="28"/>
        </w:rPr>
        <w:t>were discovered (between 1947 and 1956)</w:t>
      </w:r>
      <w:r w:rsidR="00CE323E">
        <w:rPr>
          <w:rFonts w:ascii="Times New Roman" w:hAnsi="Times New Roman" w:cs="Times New Roman"/>
          <w:sz w:val="28"/>
          <w:szCs w:val="28"/>
        </w:rPr>
        <w:t xml:space="preserve"> to contain these documents (deadseascrolls.org (</w:t>
      </w:r>
      <w:proofErr w:type="spellStart"/>
      <w:r w:rsidR="00CE323E">
        <w:rPr>
          <w:rFonts w:ascii="Times New Roman" w:hAnsi="Times New Roman" w:cs="Times New Roman"/>
          <w:sz w:val="28"/>
          <w:szCs w:val="28"/>
        </w:rPr>
        <w:t>n.a.</w:t>
      </w:r>
      <w:proofErr w:type="spellEnd"/>
      <w:r w:rsidR="00CE323E">
        <w:rPr>
          <w:rFonts w:ascii="Times New Roman" w:hAnsi="Times New Roman" w:cs="Times New Roman"/>
          <w:sz w:val="28"/>
          <w:szCs w:val="28"/>
        </w:rPr>
        <w:t>), 2020:3).</w:t>
      </w:r>
      <w:r w:rsidR="009C787E">
        <w:rPr>
          <w:rFonts w:ascii="Times New Roman" w:hAnsi="Times New Roman" w:cs="Times New Roman"/>
          <w:sz w:val="28"/>
          <w:szCs w:val="28"/>
        </w:rPr>
        <w:t xml:space="preserve"> In 2017, archaeologists found a twelfth cave, which had previously been looted. In it was a storage jar containing a scroll remnant in preparation for being used various associated finds including a Carnelian stone seal and </w:t>
      </w:r>
      <w:r w:rsidR="00764F41">
        <w:rPr>
          <w:rFonts w:ascii="Times New Roman" w:hAnsi="Times New Roman" w:cs="Times New Roman"/>
          <w:sz w:val="28"/>
          <w:szCs w:val="28"/>
        </w:rPr>
        <w:t xml:space="preserve">also </w:t>
      </w:r>
      <w:r w:rsidR="009C787E">
        <w:rPr>
          <w:rFonts w:ascii="Times New Roman" w:hAnsi="Times New Roman" w:cs="Times New Roman"/>
          <w:sz w:val="28"/>
          <w:szCs w:val="28"/>
        </w:rPr>
        <w:t>prehistoric stone arrow heads (Schuster, 2017).</w:t>
      </w:r>
    </w:p>
    <w:p w14:paraId="6712D1FE" w14:textId="580EDF47" w:rsidR="004B31A8" w:rsidRDefault="004B31A8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20736586" w14:textId="77777777" w:rsidR="00E03FEB" w:rsidRDefault="004B31A8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The cemetery</w:t>
      </w:r>
      <w:r w:rsidR="00872B4B">
        <w:rPr>
          <w:rFonts w:ascii="Times New Roman" w:hAnsi="Times New Roman" w:cs="Times New Roman"/>
          <w:sz w:val="28"/>
          <w:szCs w:val="28"/>
        </w:rPr>
        <w:t xml:space="preserve"> was surveyed in 2001 using Ground Penetrating Radar (GPR) and </w:t>
      </w:r>
      <w:r w:rsidR="00390873">
        <w:rPr>
          <w:rFonts w:ascii="Times New Roman" w:hAnsi="Times New Roman" w:cs="Times New Roman"/>
          <w:sz w:val="28"/>
          <w:szCs w:val="28"/>
        </w:rPr>
        <w:t xml:space="preserve"> </w:t>
      </w:r>
      <w:r w:rsidR="00872B4B">
        <w:rPr>
          <w:rFonts w:ascii="Times New Roman" w:hAnsi="Times New Roman" w:cs="Times New Roman"/>
          <w:sz w:val="28"/>
          <w:szCs w:val="28"/>
        </w:rPr>
        <w:t xml:space="preserve">was found to </w:t>
      </w:r>
      <w:r w:rsidR="00390873">
        <w:rPr>
          <w:rFonts w:ascii="Times New Roman" w:hAnsi="Times New Roman" w:cs="Times New Roman"/>
          <w:sz w:val="28"/>
          <w:szCs w:val="28"/>
        </w:rPr>
        <w:t>contain around 1200 graves</w:t>
      </w:r>
      <w:r w:rsidR="00872B4B">
        <w:rPr>
          <w:rFonts w:ascii="Times New Roman" w:hAnsi="Times New Roman" w:cs="Times New Roman"/>
          <w:sz w:val="28"/>
          <w:szCs w:val="28"/>
        </w:rPr>
        <w:t>. It</w:t>
      </w:r>
      <w:r w:rsidR="00390873">
        <w:rPr>
          <w:rFonts w:ascii="Times New Roman" w:hAnsi="Times New Roman" w:cs="Times New Roman"/>
          <w:sz w:val="28"/>
          <w:szCs w:val="28"/>
        </w:rPr>
        <w:t xml:space="preserve"> is </w:t>
      </w:r>
      <w:r w:rsidR="00872B4B">
        <w:rPr>
          <w:rFonts w:ascii="Times New Roman" w:hAnsi="Times New Roman" w:cs="Times New Roman"/>
          <w:sz w:val="28"/>
          <w:szCs w:val="28"/>
        </w:rPr>
        <w:t xml:space="preserve">located </w:t>
      </w:r>
      <w:r w:rsidR="00390873">
        <w:rPr>
          <w:rFonts w:ascii="Times New Roman" w:hAnsi="Times New Roman" w:cs="Times New Roman"/>
          <w:sz w:val="28"/>
          <w:szCs w:val="28"/>
        </w:rPr>
        <w:t>around 35m to the East of the site and</w:t>
      </w:r>
      <w:r>
        <w:rPr>
          <w:rFonts w:ascii="Times New Roman" w:hAnsi="Times New Roman" w:cs="Times New Roman"/>
          <w:sz w:val="28"/>
          <w:szCs w:val="28"/>
        </w:rPr>
        <w:t xml:space="preserve"> is </w:t>
      </w:r>
      <w:r w:rsidR="00872B4B">
        <w:rPr>
          <w:rFonts w:ascii="Times New Roman" w:hAnsi="Times New Roman" w:cs="Times New Roman"/>
          <w:sz w:val="28"/>
          <w:szCs w:val="28"/>
        </w:rPr>
        <w:t xml:space="preserve">thus accepted as being attached to the site (Hachlili:2011:3). </w:t>
      </w:r>
      <w:r w:rsidR="00872B4B">
        <w:rPr>
          <w:rFonts w:ascii="Times New Roman" w:hAnsi="Times New Roman" w:cs="Times New Roman"/>
          <w:sz w:val="28"/>
          <w:szCs w:val="28"/>
        </w:rPr>
        <w:lastRenderedPageBreak/>
        <w:t>The cemetery is</w:t>
      </w:r>
      <w:r w:rsidR="00043EFA">
        <w:rPr>
          <w:rFonts w:ascii="Times New Roman" w:hAnsi="Times New Roman" w:cs="Times New Roman"/>
          <w:sz w:val="28"/>
          <w:szCs w:val="28"/>
        </w:rPr>
        <w:t xml:space="preserve"> </w:t>
      </w:r>
      <w:r>
        <w:rPr>
          <w:rFonts w:ascii="Times New Roman" w:hAnsi="Times New Roman" w:cs="Times New Roman"/>
          <w:sz w:val="28"/>
          <w:szCs w:val="28"/>
        </w:rPr>
        <w:t>notable for burial practices differing from large parts of Judea and Jewish culture of the period, largely comprising sha</w:t>
      </w:r>
      <w:r w:rsidR="00DA3F8D">
        <w:rPr>
          <w:rFonts w:ascii="Times New Roman" w:hAnsi="Times New Roman" w:cs="Times New Roman"/>
          <w:sz w:val="28"/>
          <w:szCs w:val="28"/>
        </w:rPr>
        <w:t>f</w:t>
      </w:r>
      <w:r>
        <w:rPr>
          <w:rFonts w:ascii="Times New Roman" w:hAnsi="Times New Roman" w:cs="Times New Roman"/>
          <w:sz w:val="28"/>
          <w:szCs w:val="28"/>
        </w:rPr>
        <w:t>t graves with a</w:t>
      </w:r>
      <w:r w:rsidR="00043EFA">
        <w:rPr>
          <w:rFonts w:ascii="Times New Roman" w:hAnsi="Times New Roman" w:cs="Times New Roman"/>
          <w:sz w:val="28"/>
          <w:szCs w:val="28"/>
        </w:rPr>
        <w:t xml:space="preserve"> loculus</w:t>
      </w:r>
      <w:r>
        <w:rPr>
          <w:rFonts w:ascii="Times New Roman" w:hAnsi="Times New Roman" w:cs="Times New Roman"/>
          <w:sz w:val="28"/>
          <w:szCs w:val="28"/>
        </w:rPr>
        <w:t xml:space="preserve"> </w:t>
      </w:r>
      <w:r w:rsidR="00DA3F8D">
        <w:rPr>
          <w:rFonts w:ascii="Times New Roman" w:hAnsi="Times New Roman" w:cs="Times New Roman"/>
          <w:sz w:val="28"/>
          <w:szCs w:val="28"/>
        </w:rPr>
        <w:t>a</w:t>
      </w:r>
      <w:r>
        <w:rPr>
          <w:rFonts w:ascii="Times New Roman" w:hAnsi="Times New Roman" w:cs="Times New Roman"/>
          <w:sz w:val="28"/>
          <w:szCs w:val="28"/>
        </w:rPr>
        <w:t>t the base</w:t>
      </w:r>
      <w:r w:rsidR="00043EFA">
        <w:rPr>
          <w:rFonts w:ascii="Times New Roman" w:hAnsi="Times New Roman" w:cs="Times New Roman"/>
          <w:sz w:val="28"/>
          <w:szCs w:val="28"/>
        </w:rPr>
        <w:t>, containing individual burials with the head to the South (i.e. facing North) (</w:t>
      </w:r>
      <w:proofErr w:type="spellStart"/>
      <w:r w:rsidR="00043EFA">
        <w:rPr>
          <w:rFonts w:ascii="Times New Roman" w:hAnsi="Times New Roman" w:cs="Times New Roman"/>
          <w:sz w:val="28"/>
          <w:szCs w:val="28"/>
        </w:rPr>
        <w:t>Hachlili</w:t>
      </w:r>
      <w:proofErr w:type="spellEnd"/>
      <w:r w:rsidR="00043EFA">
        <w:rPr>
          <w:rFonts w:ascii="Times New Roman" w:hAnsi="Times New Roman" w:cs="Times New Roman"/>
          <w:sz w:val="28"/>
          <w:szCs w:val="28"/>
        </w:rPr>
        <w:t>, 2011:8,10)</w:t>
      </w:r>
      <w:r>
        <w:rPr>
          <w:rFonts w:ascii="Times New Roman" w:hAnsi="Times New Roman" w:cs="Times New Roman"/>
          <w:sz w:val="28"/>
          <w:szCs w:val="28"/>
        </w:rPr>
        <w:t xml:space="preserve">. This </w:t>
      </w:r>
      <w:r w:rsidR="00043EFA">
        <w:rPr>
          <w:rFonts w:ascii="Times New Roman" w:hAnsi="Times New Roman" w:cs="Times New Roman"/>
          <w:sz w:val="28"/>
          <w:szCs w:val="28"/>
        </w:rPr>
        <w:t xml:space="preserve">alignment </w:t>
      </w:r>
      <w:r>
        <w:rPr>
          <w:rFonts w:ascii="Times New Roman" w:hAnsi="Times New Roman" w:cs="Times New Roman"/>
          <w:sz w:val="28"/>
          <w:szCs w:val="28"/>
        </w:rPr>
        <w:t>appears to relate to the belief in bodily resurrection</w:t>
      </w:r>
      <w:r w:rsidR="00DA3F8D">
        <w:rPr>
          <w:rFonts w:ascii="Times New Roman" w:hAnsi="Times New Roman" w:cs="Times New Roman"/>
          <w:sz w:val="28"/>
          <w:szCs w:val="28"/>
        </w:rPr>
        <w:t>; it was believed that the</w:t>
      </w:r>
      <w:r w:rsidR="00FF01D4">
        <w:rPr>
          <w:rFonts w:ascii="Times New Roman" w:hAnsi="Times New Roman" w:cs="Times New Roman"/>
          <w:sz w:val="28"/>
          <w:szCs w:val="28"/>
        </w:rPr>
        <w:t xml:space="preserve"> dead</w:t>
      </w:r>
      <w:r w:rsidR="00DA3F8D">
        <w:rPr>
          <w:rFonts w:ascii="Times New Roman" w:hAnsi="Times New Roman" w:cs="Times New Roman"/>
          <w:sz w:val="28"/>
          <w:szCs w:val="28"/>
        </w:rPr>
        <w:t xml:space="preserve"> would be resurrected and</w:t>
      </w:r>
      <w:r w:rsidR="00A224E2">
        <w:rPr>
          <w:rFonts w:ascii="Times New Roman" w:hAnsi="Times New Roman" w:cs="Times New Roman"/>
          <w:sz w:val="28"/>
          <w:szCs w:val="28"/>
        </w:rPr>
        <w:t>, with their faces to the North, walk forward to the Heavenly Jerusalem</w:t>
      </w:r>
      <w:r w:rsidR="00DA3F8D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A224E2" w:rsidRPr="00A224E2">
        <w:rPr>
          <w:rFonts w:ascii="Times New Roman" w:hAnsi="Times New Roman" w:cs="Times New Roman"/>
          <w:sz w:val="28"/>
          <w:szCs w:val="28"/>
        </w:rPr>
        <w:t>Hachlili</w:t>
      </w:r>
      <w:proofErr w:type="spellEnd"/>
      <w:r w:rsidR="00A224E2" w:rsidRPr="00A224E2">
        <w:rPr>
          <w:rFonts w:ascii="Times New Roman" w:hAnsi="Times New Roman" w:cs="Times New Roman"/>
          <w:sz w:val="28"/>
          <w:szCs w:val="28"/>
        </w:rPr>
        <w:t>, 2010:39</w:t>
      </w:r>
      <w:r w:rsidR="00DA3F8D">
        <w:rPr>
          <w:rFonts w:ascii="Times New Roman" w:hAnsi="Times New Roman" w:cs="Times New Roman"/>
          <w:sz w:val="28"/>
          <w:szCs w:val="28"/>
        </w:rPr>
        <w:t>).</w:t>
      </w:r>
    </w:p>
    <w:p w14:paraId="5E6BBBF2" w14:textId="77777777" w:rsidR="00E03FEB" w:rsidRDefault="00E03FE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4D98971C" w14:textId="41140C2E" w:rsidR="004B31A8" w:rsidRDefault="00A224E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This </w:t>
      </w:r>
      <w:r w:rsidR="002E55DB">
        <w:rPr>
          <w:rFonts w:ascii="Times New Roman" w:hAnsi="Times New Roman" w:cs="Times New Roman"/>
          <w:sz w:val="28"/>
          <w:szCs w:val="28"/>
        </w:rPr>
        <w:t>demonstrated</w:t>
      </w:r>
      <w:r>
        <w:rPr>
          <w:rFonts w:ascii="Times New Roman" w:hAnsi="Times New Roman" w:cs="Times New Roman"/>
          <w:sz w:val="28"/>
          <w:szCs w:val="28"/>
        </w:rPr>
        <w:t xml:space="preserve"> belief in bodily resurrection was not fully held among the rest of the population of the period; indeed it has been described as</w:t>
      </w:r>
      <w:r w:rsidR="002E55DB">
        <w:rPr>
          <w:rFonts w:ascii="Times New Roman" w:hAnsi="Times New Roman" w:cs="Times New Roman"/>
          <w:sz w:val="28"/>
          <w:szCs w:val="28"/>
        </w:rPr>
        <w:t xml:space="preserve"> “</w:t>
      </w:r>
      <w:r>
        <w:rPr>
          <w:rFonts w:ascii="Times New Roman" w:hAnsi="Times New Roman" w:cs="Times New Roman"/>
          <w:sz w:val="28"/>
          <w:szCs w:val="28"/>
        </w:rPr>
        <w:t xml:space="preserve">emerging” and </w:t>
      </w:r>
      <w:r w:rsidR="002E55DB">
        <w:rPr>
          <w:rFonts w:ascii="Times New Roman" w:hAnsi="Times New Roman" w:cs="Times New Roman"/>
          <w:sz w:val="28"/>
          <w:szCs w:val="28"/>
        </w:rPr>
        <w:t>“</w:t>
      </w:r>
      <w:r>
        <w:rPr>
          <w:rFonts w:ascii="Times New Roman" w:hAnsi="Times New Roman" w:cs="Times New Roman"/>
          <w:sz w:val="28"/>
          <w:szCs w:val="28"/>
        </w:rPr>
        <w:t>peripheral</w:t>
      </w:r>
      <w:r w:rsidR="002E55DB">
        <w:rPr>
          <w:rFonts w:ascii="Times New Roman" w:hAnsi="Times New Roman" w:cs="Times New Roman"/>
          <w:sz w:val="28"/>
          <w:szCs w:val="28"/>
        </w:rPr>
        <w:t>”</w:t>
      </w:r>
      <w:r w:rsidR="00E03FEB">
        <w:rPr>
          <w:rFonts w:ascii="Times New Roman" w:hAnsi="Times New Roman" w:cs="Times New Roman"/>
          <w:sz w:val="28"/>
          <w:szCs w:val="28"/>
        </w:rPr>
        <w:t xml:space="preserve"> although </w:t>
      </w:r>
      <w:proofErr w:type="spellStart"/>
      <w:r w:rsidR="00E03FEB">
        <w:rPr>
          <w:rFonts w:ascii="Times New Roman" w:hAnsi="Times New Roman" w:cs="Times New Roman"/>
          <w:sz w:val="28"/>
          <w:szCs w:val="28"/>
        </w:rPr>
        <w:t>Elledge</w:t>
      </w:r>
      <w:proofErr w:type="spellEnd"/>
      <w:r w:rsidR="00E03FEB">
        <w:rPr>
          <w:rFonts w:ascii="Times New Roman" w:hAnsi="Times New Roman" w:cs="Times New Roman"/>
          <w:sz w:val="28"/>
          <w:szCs w:val="28"/>
        </w:rPr>
        <w:t xml:space="preserve">, at the same time, also cites 2 </w:t>
      </w:r>
      <w:proofErr w:type="spellStart"/>
      <w:r w:rsidR="00E03FEB">
        <w:rPr>
          <w:rFonts w:ascii="Times New Roman" w:hAnsi="Times New Roman" w:cs="Times New Roman"/>
          <w:sz w:val="28"/>
          <w:szCs w:val="28"/>
        </w:rPr>
        <w:t>Macabbees</w:t>
      </w:r>
      <w:proofErr w:type="spellEnd"/>
      <w:r w:rsidR="00E03FEB">
        <w:rPr>
          <w:rFonts w:ascii="Times New Roman" w:hAnsi="Times New Roman" w:cs="Times New Roman"/>
          <w:sz w:val="28"/>
          <w:szCs w:val="28"/>
        </w:rPr>
        <w:t xml:space="preserve"> as describing resurrection as “integral” to the faith of Jewish martyrs in resisting Hellenism</w:t>
      </w:r>
      <w:r w:rsidR="002E55DB">
        <w:rPr>
          <w:rFonts w:ascii="Times New Roman" w:hAnsi="Times New Roman" w:cs="Times New Roman"/>
          <w:sz w:val="28"/>
          <w:szCs w:val="28"/>
        </w:rPr>
        <w:t xml:space="preserve"> (</w:t>
      </w:r>
      <w:proofErr w:type="spellStart"/>
      <w:r w:rsidR="002E55DB">
        <w:rPr>
          <w:rFonts w:ascii="Times New Roman" w:hAnsi="Times New Roman" w:cs="Times New Roman"/>
          <w:sz w:val="28"/>
          <w:szCs w:val="28"/>
        </w:rPr>
        <w:t>Elledge</w:t>
      </w:r>
      <w:proofErr w:type="spellEnd"/>
      <w:r w:rsidR="002E55DB">
        <w:rPr>
          <w:rFonts w:ascii="Times New Roman" w:hAnsi="Times New Roman" w:cs="Times New Roman"/>
          <w:sz w:val="28"/>
          <w:szCs w:val="28"/>
        </w:rPr>
        <w:t>, 2017:1</w:t>
      </w:r>
      <w:r w:rsidR="00E03FEB">
        <w:rPr>
          <w:rFonts w:ascii="Times New Roman" w:hAnsi="Times New Roman" w:cs="Times New Roman"/>
          <w:sz w:val="28"/>
          <w:szCs w:val="28"/>
        </w:rPr>
        <w:t>;4</w:t>
      </w:r>
      <w:r w:rsidR="002E55DB">
        <w:rPr>
          <w:rFonts w:ascii="Times New Roman" w:hAnsi="Times New Roman" w:cs="Times New Roman"/>
          <w:sz w:val="28"/>
          <w:szCs w:val="28"/>
        </w:rPr>
        <w:t xml:space="preserve">). Resurrection was written about in earlier Jewish teaching (Isaiah and Ezekiel) and may have originated in the </w:t>
      </w:r>
      <w:proofErr w:type="spellStart"/>
      <w:r w:rsidR="002E55DB">
        <w:rPr>
          <w:rFonts w:ascii="Times New Roman" w:hAnsi="Times New Roman" w:cs="Times New Roman"/>
          <w:sz w:val="28"/>
          <w:szCs w:val="28"/>
        </w:rPr>
        <w:t>Zoroastian</w:t>
      </w:r>
      <w:proofErr w:type="spellEnd"/>
      <w:r w:rsidR="002E55DB">
        <w:rPr>
          <w:rFonts w:ascii="Times New Roman" w:hAnsi="Times New Roman" w:cs="Times New Roman"/>
          <w:sz w:val="28"/>
          <w:szCs w:val="28"/>
        </w:rPr>
        <w:t xml:space="preserve"> culture of the Exile. It was believed (at least by the sect at Qumran) that resurrection would not just be to the life experienced before death, but to a “glorious new mode of human existence” (</w:t>
      </w:r>
      <w:proofErr w:type="spellStart"/>
      <w:r w:rsidR="002E55DB">
        <w:rPr>
          <w:rFonts w:ascii="Times New Roman" w:hAnsi="Times New Roman" w:cs="Times New Roman"/>
          <w:sz w:val="28"/>
          <w:szCs w:val="28"/>
        </w:rPr>
        <w:t>Elledge</w:t>
      </w:r>
      <w:proofErr w:type="spellEnd"/>
      <w:r w:rsidR="002E55DB">
        <w:rPr>
          <w:rFonts w:ascii="Times New Roman" w:hAnsi="Times New Roman" w:cs="Times New Roman"/>
          <w:sz w:val="28"/>
          <w:szCs w:val="28"/>
        </w:rPr>
        <w:t>, 2018:1).</w:t>
      </w:r>
    </w:p>
    <w:p w14:paraId="3924056C" w14:textId="35F0C95E" w:rsidR="00D47822" w:rsidRDefault="00D4782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7169D969" w14:textId="064CAB8E" w:rsidR="00D47822" w:rsidRDefault="00D4782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Controversy exists as to the</w:t>
      </w:r>
      <w:r w:rsidR="004846B5">
        <w:rPr>
          <w:rFonts w:ascii="Times New Roman" w:hAnsi="Times New Roman" w:cs="Times New Roman"/>
          <w:sz w:val="28"/>
          <w:szCs w:val="28"/>
        </w:rPr>
        <w:t xml:space="preserve"> make-up of the community. However, as v. </w:t>
      </w:r>
      <w:proofErr w:type="spellStart"/>
      <w:r w:rsidR="004846B5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4846B5">
        <w:rPr>
          <w:rFonts w:ascii="Times New Roman" w:hAnsi="Times New Roman" w:cs="Times New Roman"/>
          <w:sz w:val="28"/>
          <w:szCs w:val="28"/>
        </w:rPr>
        <w:t xml:space="preserve"> points out, whilst it has been generally held that they were a community of Essenes, both Josephus and Philo write that the Essenes were a widespread and national group, whereas both practices and writings at Qumran were somewhat specific to the </w:t>
      </w:r>
      <w:r w:rsidR="00DD5E78">
        <w:rPr>
          <w:rFonts w:ascii="Times New Roman" w:hAnsi="Times New Roman" w:cs="Times New Roman"/>
          <w:sz w:val="28"/>
          <w:szCs w:val="28"/>
        </w:rPr>
        <w:t xml:space="preserve">isolated </w:t>
      </w:r>
      <w:r w:rsidR="004846B5">
        <w:rPr>
          <w:rFonts w:ascii="Times New Roman" w:hAnsi="Times New Roman" w:cs="Times New Roman"/>
          <w:sz w:val="28"/>
          <w:szCs w:val="28"/>
        </w:rPr>
        <w:t xml:space="preserve">site (v. </w:t>
      </w:r>
      <w:proofErr w:type="spellStart"/>
      <w:r w:rsidR="004846B5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4846B5">
        <w:rPr>
          <w:rFonts w:ascii="Times New Roman" w:hAnsi="Times New Roman" w:cs="Times New Roman"/>
          <w:sz w:val="28"/>
          <w:szCs w:val="28"/>
        </w:rPr>
        <w:t>, 2001:24</w:t>
      </w:r>
      <w:r w:rsidR="00DD5E78">
        <w:rPr>
          <w:rFonts w:ascii="Times New Roman" w:hAnsi="Times New Roman" w:cs="Times New Roman"/>
          <w:sz w:val="28"/>
          <w:szCs w:val="28"/>
        </w:rPr>
        <w:t>2</w:t>
      </w:r>
      <w:r w:rsidR="004846B5">
        <w:rPr>
          <w:rFonts w:ascii="Times New Roman" w:hAnsi="Times New Roman" w:cs="Times New Roman"/>
          <w:sz w:val="28"/>
          <w:szCs w:val="28"/>
        </w:rPr>
        <w:t>).</w:t>
      </w:r>
      <w:r w:rsidR="006A1172">
        <w:rPr>
          <w:rFonts w:ascii="Times New Roman" w:hAnsi="Times New Roman" w:cs="Times New Roman"/>
          <w:sz w:val="28"/>
          <w:szCs w:val="28"/>
        </w:rPr>
        <w:t xml:space="preserve"> Following the publishing of material from Cave 4, 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Boccaccini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 suggest</w:t>
      </w:r>
      <w:r w:rsidR="00764F41">
        <w:rPr>
          <w:rFonts w:ascii="Times New Roman" w:hAnsi="Times New Roman" w:cs="Times New Roman"/>
          <w:sz w:val="28"/>
          <w:szCs w:val="28"/>
        </w:rPr>
        <w:t>ed</w:t>
      </w:r>
      <w:r w:rsidR="006A1172">
        <w:rPr>
          <w:rFonts w:ascii="Times New Roman" w:hAnsi="Times New Roman" w:cs="Times New Roman"/>
          <w:sz w:val="28"/>
          <w:szCs w:val="28"/>
        </w:rPr>
        <w:t xml:space="preserve"> that the writers followed a path of “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Ezekielianism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”, indicating a movement highly influenced by the book of Ezekiel (v. 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, 2001:244). 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Boccaccini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 links this with ‘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Enochism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’ – a suggestion that the book “1 Enoch” was also central to the beliefs of the sect (v. </w:t>
      </w:r>
      <w:proofErr w:type="spellStart"/>
      <w:r w:rsidR="006A1172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6A1172">
        <w:rPr>
          <w:rFonts w:ascii="Times New Roman" w:hAnsi="Times New Roman" w:cs="Times New Roman"/>
          <w:sz w:val="28"/>
          <w:szCs w:val="28"/>
        </w:rPr>
        <w:t xml:space="preserve">, </w:t>
      </w:r>
      <w:r w:rsidR="00D0400D">
        <w:rPr>
          <w:rFonts w:ascii="Times New Roman" w:hAnsi="Times New Roman" w:cs="Times New Roman"/>
          <w:sz w:val="28"/>
          <w:szCs w:val="28"/>
        </w:rPr>
        <w:t>2001:246</w:t>
      </w:r>
      <w:r w:rsidR="00764F41">
        <w:rPr>
          <w:rFonts w:ascii="Times New Roman" w:hAnsi="Times New Roman" w:cs="Times New Roman"/>
          <w:sz w:val="28"/>
          <w:szCs w:val="28"/>
        </w:rPr>
        <w:t>)</w:t>
      </w:r>
      <w:r w:rsidR="00D0400D">
        <w:rPr>
          <w:rFonts w:ascii="Times New Roman" w:hAnsi="Times New Roman" w:cs="Times New Roman"/>
          <w:sz w:val="28"/>
          <w:szCs w:val="28"/>
        </w:rPr>
        <w:t xml:space="preserve">. However, v. </w:t>
      </w:r>
      <w:proofErr w:type="spellStart"/>
      <w:r w:rsidR="00D0400D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D0400D">
        <w:rPr>
          <w:rFonts w:ascii="Times New Roman" w:hAnsi="Times New Roman" w:cs="Times New Roman"/>
          <w:sz w:val="28"/>
          <w:szCs w:val="28"/>
        </w:rPr>
        <w:t xml:space="preserve"> suggests that the sect were, more simply, a fundamentalist off-shoot of the Essenes, the split being caused by differences regarding the calendar, purity and the origins of evil (v. </w:t>
      </w:r>
      <w:proofErr w:type="spellStart"/>
      <w:r w:rsidR="00D0400D"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 w:rsidR="00D0400D">
        <w:rPr>
          <w:rFonts w:ascii="Times New Roman" w:hAnsi="Times New Roman" w:cs="Times New Roman"/>
          <w:sz w:val="28"/>
          <w:szCs w:val="28"/>
        </w:rPr>
        <w:t>, 2001:252).</w:t>
      </w:r>
    </w:p>
    <w:p w14:paraId="4928BA1A" w14:textId="3A784213" w:rsidR="00764F41" w:rsidRDefault="00764F41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328BA972" w14:textId="548798DE" w:rsidR="00764F41" w:rsidRDefault="00764F41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The sites have provided </w:t>
      </w:r>
      <w:r w:rsidR="00674055">
        <w:rPr>
          <w:rFonts w:ascii="Times New Roman" w:hAnsi="Times New Roman" w:cs="Times New Roman"/>
          <w:sz w:val="28"/>
          <w:szCs w:val="28"/>
        </w:rPr>
        <w:t xml:space="preserve">a much </w:t>
      </w:r>
      <w:r>
        <w:rPr>
          <w:rFonts w:ascii="Times New Roman" w:hAnsi="Times New Roman" w:cs="Times New Roman"/>
          <w:sz w:val="28"/>
          <w:szCs w:val="28"/>
        </w:rPr>
        <w:t>greater understanding of both Second Temple-era Judaism and the development of the early Christian religion and both archaeological and interpretive scholarship will be on-going for many years to come.</w:t>
      </w:r>
    </w:p>
    <w:p w14:paraId="1C52E0CF" w14:textId="3287165A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03715A88" w14:textId="2EAAD319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6A7128B1" w14:textId="1232FA80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48C0BF11" w14:textId="256EBC5B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243CA5FC" w14:textId="45B86D7E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4F4D5669" w14:textId="64F8D99A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67D8C530" w14:textId="77777777" w:rsidR="00764F41" w:rsidRDefault="00764F41" w:rsidP="00D15012">
      <w:pPr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</w:rPr>
      </w:pPr>
    </w:p>
    <w:p w14:paraId="39C0D285" w14:textId="40145A4B" w:rsidR="002E55DB" w:rsidRDefault="002E55DB" w:rsidP="00D15012">
      <w:pPr>
        <w:spacing w:after="0" w:line="240" w:lineRule="auto"/>
        <w:rPr>
          <w:rFonts w:ascii="Times New Roman" w:hAnsi="Times New Roman" w:cs="Times New Roman"/>
          <w:b/>
          <w:bCs/>
          <w:sz w:val="28"/>
          <w:szCs w:val="28"/>
        </w:rPr>
      </w:pPr>
      <w:r w:rsidRPr="002E55DB">
        <w:rPr>
          <w:rFonts w:ascii="Times New Roman" w:hAnsi="Times New Roman" w:cs="Times New Roman"/>
          <w:b/>
          <w:bCs/>
          <w:sz w:val="28"/>
          <w:szCs w:val="28"/>
        </w:rPr>
        <w:lastRenderedPageBreak/>
        <w:t>Bibliography</w:t>
      </w:r>
      <w:r>
        <w:rPr>
          <w:rFonts w:ascii="Times New Roman" w:hAnsi="Times New Roman" w:cs="Times New Roman"/>
          <w:b/>
          <w:bCs/>
          <w:sz w:val="28"/>
          <w:szCs w:val="28"/>
        </w:rPr>
        <w:t xml:space="preserve"> </w:t>
      </w:r>
    </w:p>
    <w:p w14:paraId="6B821ED1" w14:textId="79E53667" w:rsidR="00D47822" w:rsidRPr="00D47822" w:rsidRDefault="00D4782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6964FEA2" w14:textId="4B7776C4" w:rsidR="00D47822" w:rsidRPr="00D47822" w:rsidRDefault="00D47822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 w:rsidRPr="00D47822">
        <w:rPr>
          <w:rFonts w:ascii="Times New Roman" w:hAnsi="Times New Roman" w:cs="Times New Roman"/>
          <w:sz w:val="28"/>
          <w:szCs w:val="28"/>
        </w:rPr>
        <w:t>Deadse</w:t>
      </w:r>
      <w:r>
        <w:rPr>
          <w:rFonts w:ascii="Times New Roman" w:hAnsi="Times New Roman" w:cs="Times New Roman"/>
          <w:sz w:val="28"/>
          <w:szCs w:val="28"/>
        </w:rPr>
        <w:t>ascrolls.org (</w:t>
      </w:r>
      <w:proofErr w:type="spellStart"/>
      <w:r>
        <w:rPr>
          <w:rFonts w:ascii="Times New Roman" w:hAnsi="Times New Roman" w:cs="Times New Roman"/>
          <w:sz w:val="28"/>
          <w:szCs w:val="28"/>
        </w:rPr>
        <w:t>n.a.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) (2020). “The Dead Sea Scrolls – Discovery Sites”. Available at: </w:t>
      </w:r>
      <w:hyperlink r:id="rId4" w:history="1">
        <w:r w:rsidRPr="0008112C">
          <w:rPr>
            <w:rStyle w:val="Hyperlink"/>
            <w:rFonts w:ascii="Times New Roman" w:hAnsi="Times New Roman" w:cs="Times New Roman"/>
            <w:sz w:val="28"/>
            <w:szCs w:val="28"/>
          </w:rPr>
          <w:t>https://www.deadseascrolls.org.il/learn-about-the-scrolls/discovery-sites</w:t>
        </w:r>
      </w:hyperlink>
      <w:r>
        <w:rPr>
          <w:rFonts w:ascii="Times New Roman" w:hAnsi="Times New Roman" w:cs="Times New Roman"/>
          <w:sz w:val="28"/>
          <w:szCs w:val="28"/>
        </w:rPr>
        <w:t>. Last accessed 01.06.2020.</w:t>
      </w:r>
    </w:p>
    <w:p w14:paraId="770A3974" w14:textId="5E4B007D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7E5EA43B" w14:textId="4D59AAAF" w:rsidR="002E55DB" w:rsidRDefault="002E55DB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Elledge</w:t>
      </w:r>
      <w:proofErr w:type="spellEnd"/>
      <w:r>
        <w:rPr>
          <w:rFonts w:ascii="Times New Roman" w:hAnsi="Times New Roman" w:cs="Times New Roman"/>
          <w:sz w:val="28"/>
          <w:szCs w:val="28"/>
        </w:rPr>
        <w:t>, C. (201</w:t>
      </w:r>
      <w:r w:rsidR="00CF1BAA">
        <w:rPr>
          <w:rFonts w:ascii="Times New Roman" w:hAnsi="Times New Roman" w:cs="Times New Roman"/>
          <w:sz w:val="28"/>
          <w:szCs w:val="28"/>
        </w:rPr>
        <w:t>7</w:t>
      </w:r>
      <w:r>
        <w:rPr>
          <w:rFonts w:ascii="Times New Roman" w:hAnsi="Times New Roman" w:cs="Times New Roman"/>
          <w:sz w:val="28"/>
          <w:szCs w:val="28"/>
        </w:rPr>
        <w:t xml:space="preserve">). </w:t>
      </w:r>
      <w:r w:rsidR="00CF1BAA">
        <w:rPr>
          <w:rFonts w:ascii="Times New Roman" w:hAnsi="Times New Roman" w:cs="Times New Roman"/>
          <w:sz w:val="28"/>
          <w:szCs w:val="28"/>
        </w:rPr>
        <w:t xml:space="preserve">“The Dead Sea Scrolls”. Available at: </w:t>
      </w:r>
      <w:hyperlink r:id="rId5" w:history="1">
        <w:r w:rsidR="00CF1BAA" w:rsidRPr="00D21982">
          <w:rPr>
            <w:rStyle w:val="Hyperlink"/>
            <w:rFonts w:ascii="Times New Roman" w:hAnsi="Times New Roman" w:cs="Times New Roman"/>
            <w:sz w:val="28"/>
            <w:szCs w:val="28"/>
          </w:rPr>
          <w:t>https://www.doi.org/10.1093/oso/9780199640416.003.0008</w:t>
        </w:r>
      </w:hyperlink>
      <w:r w:rsidR="00CF1BAA">
        <w:rPr>
          <w:rFonts w:ascii="Times New Roman" w:hAnsi="Times New Roman" w:cs="Times New Roman"/>
          <w:sz w:val="28"/>
          <w:szCs w:val="28"/>
        </w:rPr>
        <w:t>. Last accessed 03.06.2020.</w:t>
      </w:r>
    </w:p>
    <w:p w14:paraId="03F5D2D5" w14:textId="08A5E9AF" w:rsidR="00CF1BAA" w:rsidRDefault="00CF1BAA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600289CE" w14:textId="6BE9575B" w:rsidR="00CF1BAA" w:rsidRDefault="00CF1BAA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Elledge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C. (2018). “Resurrection in Early Judaism, 200BCE-CE200”. Available at: </w:t>
      </w:r>
      <w:hyperlink r:id="rId6" w:history="1">
        <w:r w:rsidRPr="00D21982">
          <w:rPr>
            <w:rStyle w:val="Hyperlink"/>
            <w:rFonts w:ascii="Times New Roman" w:hAnsi="Times New Roman" w:cs="Times New Roman"/>
            <w:sz w:val="28"/>
            <w:szCs w:val="28"/>
          </w:rPr>
          <w:t>https://www.bibleinterp.com/articles/2018/01/ell428016.shtml</w:t>
        </w:r>
      </w:hyperlink>
      <w:r>
        <w:rPr>
          <w:rFonts w:ascii="Times New Roman" w:hAnsi="Times New Roman" w:cs="Times New Roman"/>
          <w:sz w:val="28"/>
          <w:szCs w:val="28"/>
        </w:rPr>
        <w:t>. Last accessed 04.06.2020.</w:t>
      </w:r>
    </w:p>
    <w:p w14:paraId="52987650" w14:textId="3DFFAFF5" w:rsidR="00CF1BAA" w:rsidRDefault="00CF1BAA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150E1C21" w14:textId="79BF25CB" w:rsidR="00CF1BAA" w:rsidRDefault="00CF1BAA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proofErr w:type="spellStart"/>
      <w:r>
        <w:rPr>
          <w:rFonts w:ascii="Times New Roman" w:hAnsi="Times New Roman" w:cs="Times New Roman"/>
          <w:sz w:val="28"/>
          <w:szCs w:val="28"/>
        </w:rPr>
        <w:t>Hachlili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R. (2011). “The Qumran Cemetery Reassessed” in </w:t>
      </w:r>
      <w:r w:rsidRPr="009A14CB">
        <w:rPr>
          <w:rFonts w:ascii="Times New Roman" w:hAnsi="Times New Roman" w:cs="Times New Roman"/>
          <w:i/>
          <w:iCs/>
          <w:sz w:val="28"/>
          <w:szCs w:val="28"/>
        </w:rPr>
        <w:t>The Oxford Handbook of the Dead Sea Scrolls</w:t>
      </w:r>
      <w:r w:rsidR="009A14CB">
        <w:rPr>
          <w:rFonts w:ascii="Times New Roman" w:hAnsi="Times New Roman" w:cs="Times New Roman"/>
          <w:sz w:val="28"/>
          <w:szCs w:val="28"/>
        </w:rPr>
        <w:t xml:space="preserve"> (Collins, J. and Lim, T. (eds.)</w:t>
      </w:r>
      <w:r>
        <w:rPr>
          <w:rFonts w:ascii="Times New Roman" w:hAnsi="Times New Roman" w:cs="Times New Roman"/>
          <w:sz w:val="28"/>
          <w:szCs w:val="28"/>
        </w:rPr>
        <w:t xml:space="preserve">. Available at: </w:t>
      </w:r>
      <w:hyperlink r:id="rId7" w:history="1">
        <w:r w:rsidRPr="00D21982">
          <w:rPr>
            <w:rStyle w:val="Hyperlink"/>
            <w:rFonts w:ascii="Times New Roman" w:hAnsi="Times New Roman" w:cs="Times New Roman"/>
            <w:sz w:val="28"/>
            <w:szCs w:val="28"/>
          </w:rPr>
          <w:t>https://www.doi.org/10.1093/oxfordhb/9780199207237.003.0003</w:t>
        </w:r>
      </w:hyperlink>
      <w:r>
        <w:rPr>
          <w:rFonts w:ascii="Times New Roman" w:hAnsi="Times New Roman" w:cs="Times New Roman"/>
          <w:sz w:val="28"/>
          <w:szCs w:val="28"/>
        </w:rPr>
        <w:t>. Last accessed 04.06.2020.</w:t>
      </w:r>
    </w:p>
    <w:p w14:paraId="3519E6B1" w14:textId="3DB3D736" w:rsidR="009C787E" w:rsidRDefault="009C787E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37541453" w14:textId="40352AD2" w:rsidR="009C787E" w:rsidRDefault="009C787E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>Schuster, R. (2017). “Archaeologists Find 12</w:t>
      </w:r>
      <w:r w:rsidRPr="009C787E">
        <w:rPr>
          <w:rFonts w:ascii="Times New Roman" w:hAnsi="Times New Roman" w:cs="Times New Roman"/>
          <w:sz w:val="28"/>
          <w:szCs w:val="28"/>
          <w:vertAlign w:val="superscript"/>
        </w:rPr>
        <w:t>th</w:t>
      </w:r>
      <w:r>
        <w:rPr>
          <w:rFonts w:ascii="Times New Roman" w:hAnsi="Times New Roman" w:cs="Times New Roman"/>
          <w:sz w:val="28"/>
          <w:szCs w:val="28"/>
        </w:rPr>
        <w:t xml:space="preserve"> Dead Sea Scroll Cave With Everything Inside But Scrolls”. Available at: </w:t>
      </w:r>
      <w:hyperlink r:id="rId8" w:history="1">
        <w:r w:rsidRPr="0008112C">
          <w:rPr>
            <w:rStyle w:val="Hyperlink"/>
            <w:rFonts w:ascii="Times New Roman" w:hAnsi="Times New Roman" w:cs="Times New Roman"/>
            <w:sz w:val="28"/>
            <w:szCs w:val="28"/>
          </w:rPr>
          <w:t>https://www.Haaretz.com/aechaeology/MAGAZINE-new-dead-sea-scrolls-cave-found-empty-of-scrolls-1.5495727</w:t>
        </w:r>
      </w:hyperlink>
      <w:r>
        <w:rPr>
          <w:rFonts w:ascii="Times New Roman" w:hAnsi="Times New Roman" w:cs="Times New Roman"/>
          <w:sz w:val="28"/>
          <w:szCs w:val="28"/>
        </w:rPr>
        <w:t>. Last accessed 05.06.2020.</w:t>
      </w:r>
    </w:p>
    <w:p w14:paraId="23423554" w14:textId="3E04AEE2" w:rsidR="004846B5" w:rsidRDefault="004846B5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</w:p>
    <w:p w14:paraId="54B5E5FF" w14:textId="1824FCFB" w:rsidR="004846B5" w:rsidRPr="002E55DB" w:rsidRDefault="004846B5" w:rsidP="00D15012">
      <w:pPr>
        <w:spacing w:after="0" w:line="240" w:lineRule="auto"/>
        <w:rPr>
          <w:rFonts w:ascii="Times New Roman" w:hAnsi="Times New Roman" w:cs="Times New Roman"/>
          <w:sz w:val="28"/>
          <w:szCs w:val="28"/>
        </w:rPr>
      </w:pPr>
      <w:r>
        <w:rPr>
          <w:rFonts w:ascii="Times New Roman" w:hAnsi="Times New Roman" w:cs="Times New Roman"/>
          <w:sz w:val="28"/>
          <w:szCs w:val="28"/>
        </w:rPr>
        <w:t xml:space="preserve">v. </w:t>
      </w:r>
      <w:proofErr w:type="spellStart"/>
      <w:r>
        <w:rPr>
          <w:rFonts w:ascii="Times New Roman" w:hAnsi="Times New Roman" w:cs="Times New Roman"/>
          <w:sz w:val="28"/>
          <w:szCs w:val="28"/>
        </w:rPr>
        <w:t>Peursen</w:t>
      </w:r>
      <w:proofErr w:type="spellEnd"/>
      <w:r>
        <w:rPr>
          <w:rFonts w:ascii="Times New Roman" w:hAnsi="Times New Roman" w:cs="Times New Roman"/>
          <w:sz w:val="28"/>
          <w:szCs w:val="28"/>
        </w:rPr>
        <w:t xml:space="preserve">, W. (2001). </w:t>
      </w:r>
      <w:r w:rsidR="00DD5E78">
        <w:rPr>
          <w:rFonts w:ascii="Times New Roman" w:hAnsi="Times New Roman" w:cs="Times New Roman"/>
          <w:sz w:val="28"/>
          <w:szCs w:val="28"/>
        </w:rPr>
        <w:t xml:space="preserve">“Some Remarks on the </w:t>
      </w:r>
      <w:proofErr w:type="spellStart"/>
      <w:r w:rsidR="00DD5E78">
        <w:rPr>
          <w:rFonts w:ascii="Times New Roman" w:hAnsi="Times New Roman" w:cs="Times New Roman"/>
          <w:sz w:val="28"/>
          <w:szCs w:val="28"/>
        </w:rPr>
        <w:t>Enocic</w:t>
      </w:r>
      <w:proofErr w:type="spellEnd"/>
      <w:r w:rsidR="00DD5E78">
        <w:rPr>
          <w:rFonts w:ascii="Times New Roman" w:hAnsi="Times New Roman" w:cs="Times New Roman"/>
          <w:sz w:val="28"/>
          <w:szCs w:val="28"/>
        </w:rPr>
        <w:t xml:space="preserve">/Essene Hypothesis” in </w:t>
      </w:r>
      <w:r w:rsidR="00DD5E78" w:rsidRPr="00DD5E78">
        <w:rPr>
          <w:rFonts w:ascii="Times New Roman" w:hAnsi="Times New Roman" w:cs="Times New Roman"/>
          <w:i/>
          <w:iCs/>
          <w:sz w:val="28"/>
          <w:szCs w:val="28"/>
        </w:rPr>
        <w:t>Revue de Qumran</w:t>
      </w:r>
      <w:r w:rsidR="00DD5E78">
        <w:rPr>
          <w:rFonts w:ascii="Times New Roman" w:hAnsi="Times New Roman" w:cs="Times New Roman"/>
          <w:sz w:val="28"/>
          <w:szCs w:val="28"/>
        </w:rPr>
        <w:t xml:space="preserve"> </w:t>
      </w:r>
      <w:r w:rsidR="00DD5E78" w:rsidRPr="00DD5E78">
        <w:rPr>
          <w:rFonts w:ascii="Times New Roman" w:hAnsi="Times New Roman" w:cs="Times New Roman"/>
          <w:b/>
          <w:bCs/>
          <w:sz w:val="28"/>
          <w:szCs w:val="28"/>
        </w:rPr>
        <w:t>20</w:t>
      </w:r>
      <w:r w:rsidR="00DD5E78">
        <w:rPr>
          <w:rFonts w:ascii="Times New Roman" w:hAnsi="Times New Roman" w:cs="Times New Roman"/>
          <w:sz w:val="28"/>
          <w:szCs w:val="28"/>
        </w:rPr>
        <w:t xml:space="preserve">.2 (No.78), pp.241-253. Available at: </w:t>
      </w:r>
      <w:hyperlink r:id="rId9" w:history="1">
        <w:r w:rsidR="00DD5E78" w:rsidRPr="0008112C">
          <w:rPr>
            <w:rStyle w:val="Hyperlink"/>
            <w:rFonts w:ascii="Times New Roman" w:hAnsi="Times New Roman" w:cs="Times New Roman"/>
            <w:sz w:val="28"/>
            <w:szCs w:val="28"/>
          </w:rPr>
          <w:t>https://www.jstor.org/stable/24663057</w:t>
        </w:r>
      </w:hyperlink>
      <w:r w:rsidR="00DD5E78">
        <w:rPr>
          <w:rFonts w:ascii="Times New Roman" w:hAnsi="Times New Roman" w:cs="Times New Roman"/>
          <w:sz w:val="28"/>
          <w:szCs w:val="28"/>
        </w:rPr>
        <w:t>. Last accessed 20.05.2020.</w:t>
      </w:r>
    </w:p>
    <w:sectPr w:rsidR="004846B5" w:rsidRPr="002E55D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9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15012"/>
    <w:rsid w:val="00043EFA"/>
    <w:rsid w:val="000C5EA4"/>
    <w:rsid w:val="002E55DB"/>
    <w:rsid w:val="00332A29"/>
    <w:rsid w:val="00390873"/>
    <w:rsid w:val="004846B5"/>
    <w:rsid w:val="004B31A8"/>
    <w:rsid w:val="00674055"/>
    <w:rsid w:val="006A1172"/>
    <w:rsid w:val="00764F41"/>
    <w:rsid w:val="00872B4B"/>
    <w:rsid w:val="009A14CB"/>
    <w:rsid w:val="009C787E"/>
    <w:rsid w:val="009F6ED9"/>
    <w:rsid w:val="00A224E2"/>
    <w:rsid w:val="00C52A6A"/>
    <w:rsid w:val="00CE323E"/>
    <w:rsid w:val="00CF1BAA"/>
    <w:rsid w:val="00CF3C56"/>
    <w:rsid w:val="00D0400D"/>
    <w:rsid w:val="00D15012"/>
    <w:rsid w:val="00D47822"/>
    <w:rsid w:val="00DA3F8D"/>
    <w:rsid w:val="00DD5E78"/>
    <w:rsid w:val="00E03FEB"/>
    <w:rsid w:val="00E770C8"/>
    <w:rsid w:val="00FF01D4"/>
    <w:rsid w:val="00FF559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525C152"/>
  <w15:chartTrackingRefBased/>
  <w15:docId w15:val="{446176F0-47E4-4284-BD42-665C11FE976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CF1BA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CF1BAA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Haaretz.com/aechaeology/MAGAZINE-new-dead-sea-scrolls-cave-found-empty-of-scrolls-1.5495727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doi.org/10.1093/oxfordhb/9780199207237.003.0003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bibleinterp.com/articles/2018/01/ell428016.shtml" TargetMode="External"/><Relationship Id="rId11" Type="http://schemas.openxmlformats.org/officeDocument/2006/relationships/theme" Target="theme/theme1.xml"/><Relationship Id="rId5" Type="http://schemas.openxmlformats.org/officeDocument/2006/relationships/hyperlink" Target="https://www.doi.org/10.1093/oso/9780199640416.003.0008" TargetMode="External"/><Relationship Id="rId10" Type="http://schemas.openxmlformats.org/officeDocument/2006/relationships/fontTable" Target="fontTable.xml"/><Relationship Id="rId4" Type="http://schemas.openxmlformats.org/officeDocument/2006/relationships/hyperlink" Target="https://www.deadseascrolls.org.il/learn-about-the-scrolls/discovery-sites" TargetMode="External"/><Relationship Id="rId9" Type="http://schemas.openxmlformats.org/officeDocument/2006/relationships/hyperlink" Target="https://www.jstor.org/stable/2466305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950</Words>
  <Characters>5415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Timothy Kirk (1710839)</dc:creator>
  <cp:keywords/>
  <dc:description/>
  <cp:lastModifiedBy>Timothy Kirk (1710839)</cp:lastModifiedBy>
  <cp:revision>4</cp:revision>
  <dcterms:created xsi:type="dcterms:W3CDTF">2020-06-05T11:45:00Z</dcterms:created>
  <dcterms:modified xsi:type="dcterms:W3CDTF">2020-06-05T12:22:00Z</dcterms:modified>
</cp:coreProperties>
</file>