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8D405" w14:textId="6A6E0DEA" w:rsidR="025FBF55" w:rsidRDefault="025FBF55" w:rsidP="57DC87F4">
      <w:pPr>
        <w:rPr>
          <w:rFonts w:ascii="Times New Roman" w:eastAsia="Times New Roman" w:hAnsi="Times New Roman" w:cs="Times New Roman"/>
          <w:b/>
          <w:bCs/>
          <w:sz w:val="28"/>
          <w:szCs w:val="28"/>
        </w:rPr>
      </w:pPr>
      <w:r w:rsidRPr="57DC87F4">
        <w:rPr>
          <w:rFonts w:ascii="Times New Roman" w:eastAsia="Times New Roman" w:hAnsi="Times New Roman" w:cs="Times New Roman"/>
          <w:b/>
          <w:bCs/>
          <w:sz w:val="28"/>
          <w:szCs w:val="28"/>
        </w:rPr>
        <w:t>Module: Managing and Leading Sports Organisations (BMS6004)</w:t>
      </w:r>
    </w:p>
    <w:p w14:paraId="4797AB32" w14:textId="132DD5F4" w:rsidR="2E285DAA" w:rsidRDefault="2E285DAA" w:rsidP="57DC87F4">
      <w:pPr>
        <w:rPr>
          <w:rFonts w:ascii="Times New Roman" w:eastAsia="Times New Roman" w:hAnsi="Times New Roman" w:cs="Times New Roman"/>
          <w:b/>
          <w:bCs/>
          <w:sz w:val="28"/>
          <w:szCs w:val="28"/>
        </w:rPr>
      </w:pPr>
      <w:r w:rsidRPr="57DC87F4">
        <w:rPr>
          <w:rFonts w:ascii="Times New Roman" w:eastAsia="Times New Roman" w:hAnsi="Times New Roman" w:cs="Times New Roman"/>
          <w:b/>
          <w:bCs/>
          <w:sz w:val="28"/>
          <w:szCs w:val="28"/>
        </w:rPr>
        <w:t>Assignment 2</w:t>
      </w:r>
    </w:p>
    <w:p w14:paraId="03247B0B" w14:textId="38E4B7A0" w:rsidR="6AA8F568" w:rsidRDefault="6AA8F568" w:rsidP="57DC87F4">
      <w:pPr>
        <w:rPr>
          <w:rFonts w:ascii="Times New Roman" w:eastAsia="Times New Roman" w:hAnsi="Times New Roman" w:cs="Times New Roman"/>
          <w:b/>
          <w:bCs/>
        </w:rPr>
      </w:pPr>
      <w:r w:rsidRPr="57DC87F4">
        <w:rPr>
          <w:rFonts w:ascii="Times New Roman" w:eastAsia="Times New Roman" w:hAnsi="Times New Roman" w:cs="Times New Roman"/>
          <w:b/>
          <w:bCs/>
        </w:rPr>
        <w:t>Adelaida Terente</w:t>
      </w:r>
    </w:p>
    <w:p w14:paraId="6320C26D" w14:textId="1EF3C2DA" w:rsidR="6AA8F568" w:rsidRDefault="6AA8F568" w:rsidP="57DC87F4">
      <w:pPr>
        <w:rPr>
          <w:rFonts w:ascii="Source Sans Pro" w:eastAsia="Source Sans Pro" w:hAnsi="Source Sans Pro" w:cs="Source Sans Pro"/>
          <w:color w:val="242130"/>
        </w:rPr>
      </w:pPr>
      <w:r w:rsidRPr="57DC87F4">
        <w:rPr>
          <w:rFonts w:ascii="Times New Roman" w:eastAsia="Times New Roman" w:hAnsi="Times New Roman" w:cs="Times New Roman"/>
          <w:b/>
          <w:bCs/>
        </w:rPr>
        <w:t>Student number:</w:t>
      </w:r>
      <w:r w:rsidR="52016E90" w:rsidRPr="57DC87F4">
        <w:rPr>
          <w:rFonts w:ascii="Times New Roman" w:eastAsia="Times New Roman" w:hAnsi="Times New Roman" w:cs="Times New Roman"/>
          <w:b/>
          <w:bCs/>
        </w:rPr>
        <w:t>2224223</w:t>
      </w:r>
    </w:p>
    <w:p w14:paraId="2132F487" w14:textId="5DCBE6B4" w:rsidR="57DC87F4" w:rsidRDefault="57DC87F4" w:rsidP="57DC87F4">
      <w:pPr>
        <w:rPr>
          <w:rFonts w:ascii="Times New Roman" w:eastAsia="Times New Roman" w:hAnsi="Times New Roman" w:cs="Times New Roman"/>
          <w:b/>
          <w:bCs/>
        </w:rPr>
      </w:pPr>
    </w:p>
    <w:p w14:paraId="51D28EDD" w14:textId="3DFBA609" w:rsidR="57DC87F4" w:rsidRDefault="57DC87F4" w:rsidP="57DC87F4">
      <w:pPr>
        <w:rPr>
          <w:rFonts w:ascii="Times New Roman" w:eastAsia="Times New Roman" w:hAnsi="Times New Roman" w:cs="Times New Roman"/>
          <w:b/>
          <w:bCs/>
          <w:sz w:val="28"/>
          <w:szCs w:val="28"/>
        </w:rPr>
      </w:pPr>
    </w:p>
    <w:p w14:paraId="4AF70153" w14:textId="42183918" w:rsidR="00DC600C" w:rsidRPr="00DC600C" w:rsidRDefault="4B4FF0E4" w:rsidP="57DC87F4">
      <w:pPr>
        <w:rPr>
          <w:rFonts w:ascii="Times New Roman" w:eastAsia="Times New Roman" w:hAnsi="Times New Roman" w:cs="Times New Roman"/>
          <w:b/>
          <w:bCs/>
          <w:sz w:val="28"/>
          <w:szCs w:val="28"/>
        </w:rPr>
      </w:pPr>
      <w:r w:rsidRPr="57DC87F4">
        <w:rPr>
          <w:rFonts w:ascii="Times New Roman" w:eastAsia="Times New Roman" w:hAnsi="Times New Roman" w:cs="Times New Roman"/>
          <w:b/>
          <w:bCs/>
          <w:sz w:val="28"/>
          <w:szCs w:val="28"/>
        </w:rPr>
        <w:t xml:space="preserve">Task 1: </w:t>
      </w:r>
      <w:r w:rsidR="7CAC140A" w:rsidRPr="57DC87F4">
        <w:rPr>
          <w:rFonts w:ascii="Times New Roman" w:eastAsia="Times New Roman" w:hAnsi="Times New Roman" w:cs="Times New Roman"/>
          <w:b/>
          <w:bCs/>
          <w:sz w:val="28"/>
          <w:szCs w:val="28"/>
        </w:rPr>
        <w:t>Analysis, Direction, Implementation and Change</w:t>
      </w:r>
    </w:p>
    <w:p w14:paraId="5130E660" w14:textId="618DC857" w:rsidR="57DC87F4" w:rsidRDefault="57DC87F4" w:rsidP="57DC87F4">
      <w:pPr>
        <w:rPr>
          <w:rFonts w:ascii="Times New Roman" w:eastAsia="Times New Roman" w:hAnsi="Times New Roman" w:cs="Times New Roman"/>
          <w:b/>
          <w:bCs/>
          <w:sz w:val="28"/>
          <w:szCs w:val="28"/>
        </w:rPr>
      </w:pPr>
    </w:p>
    <w:p w14:paraId="00FAA5DF"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t>Introduction</w:t>
      </w:r>
    </w:p>
    <w:p w14:paraId="2ABA11E3"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 xml:space="preserve">Strategic management in sport organisations refers to the systematic process of analysing internal and external environments, making strategic choices, and implementing plans to achieve long-term organisational goals. It is essential in modern sport due to the constantly changing nature of the industry, including shifting participation levels, stakeholder expectations, funding structures, and competitive pressures. According to the Open Textbook Library (2015), strategic management involves aligning an organisation’s resources and capabilities with its external environment </w:t>
      </w:r>
      <w:proofErr w:type="gramStart"/>
      <w:r w:rsidRPr="57DC87F4">
        <w:rPr>
          <w:rFonts w:ascii="Times New Roman" w:eastAsia="Times New Roman" w:hAnsi="Times New Roman" w:cs="Times New Roman"/>
        </w:rPr>
        <w:t>in order to</w:t>
      </w:r>
      <w:proofErr w:type="gramEnd"/>
      <w:r w:rsidRPr="57DC87F4">
        <w:rPr>
          <w:rFonts w:ascii="Times New Roman" w:eastAsia="Times New Roman" w:hAnsi="Times New Roman" w:cs="Times New Roman"/>
        </w:rPr>
        <w:t xml:space="preserve"> achieve sustainable success. In sport, this process is particularly complex due to the range of stakeholders involved, including athletes, fans, governing bodies, sponsors, and communities.</w:t>
      </w:r>
    </w:p>
    <w:p w14:paraId="3F4CFBF2"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This assignment will examine four key components of organisational strategy in sport: internal and external analysis, establishing strategic direction, strategy implementation, and the change process. These elements are interlinked and form the foundation of effective sport management. The discussion will draw on academic literature to demonstrate how sport organisations use strategic tools such as SWOT analysis and stakeholder theory to support decision-making and long-term planning.</w:t>
      </w:r>
    </w:p>
    <w:p w14:paraId="076A4706" w14:textId="41066F1F" w:rsidR="00DC600C" w:rsidRPr="00DC600C" w:rsidRDefault="00DC600C" w:rsidP="57DC87F4">
      <w:pPr>
        <w:rPr>
          <w:rFonts w:ascii="Times New Roman" w:eastAsia="Times New Roman" w:hAnsi="Times New Roman" w:cs="Times New Roman"/>
        </w:rPr>
      </w:pPr>
    </w:p>
    <w:p w14:paraId="133373B8"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t>Internal and External Analysis</w:t>
      </w:r>
    </w:p>
    <w:p w14:paraId="37EB18B6"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Internal and external analysis is a fundamental stage in strategic management, allowing organisations to understand their current position and operating environment. One of the most widely used tools in this process is SWOT analysis, which evaluates strengths, weaknesses, opportunities, and threats. Faridi and Wani (2020) explain that SWOT analysis is essential in sport management as it provides a structured approach to identifying internal capabilities and external environmental factors that influence strategic planning.</w:t>
      </w:r>
    </w:p>
    <w:p w14:paraId="511FC0CD"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 xml:space="preserve">Internal analysis focuses on strengths and weaknesses within the organisation, such as resources, facilities, staff expertise, financial stability, and organisational culture. These factors determine what the organisation </w:t>
      </w:r>
      <w:proofErr w:type="gramStart"/>
      <w:r w:rsidRPr="57DC87F4">
        <w:rPr>
          <w:rFonts w:ascii="Times New Roman" w:eastAsia="Times New Roman" w:hAnsi="Times New Roman" w:cs="Times New Roman"/>
        </w:rPr>
        <w:t>is capable of achieving</w:t>
      </w:r>
      <w:proofErr w:type="gramEnd"/>
      <w:r w:rsidRPr="57DC87F4">
        <w:rPr>
          <w:rFonts w:ascii="Times New Roman" w:eastAsia="Times New Roman" w:hAnsi="Times New Roman" w:cs="Times New Roman"/>
        </w:rPr>
        <w:t xml:space="preserve">. External analysis, on the </w:t>
      </w:r>
      <w:r w:rsidRPr="57DC87F4">
        <w:rPr>
          <w:rFonts w:ascii="Times New Roman" w:eastAsia="Times New Roman" w:hAnsi="Times New Roman" w:cs="Times New Roman"/>
        </w:rPr>
        <w:lastRenderedPageBreak/>
        <w:t>other hand, examines opportunities and threats in the wider environment, including competition, participation trends, government policy, and economic conditions. For example, increased participation in grassroots sport can be seen as an opportunity, whereas declining volunteer numbers may present a threat.</w:t>
      </w:r>
    </w:p>
    <w:p w14:paraId="4A346BA3"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Stakeholders also play a central role in strategic analysis. Friedman, Parent and Mason (2004) highlight that sport organisations must consider the interests and influence of multiple stakeholder groups when making strategic decisions. These stakeholders often include governing bodies, athletes, coaches, sponsors, and fans, all of whom can impact organisational direction. Walters and Tacon (2010) further emphasise that stakeholder management is particularly important in football, where clubs must balance commercial goals with community expectations and social responsibility.</w:t>
      </w:r>
    </w:p>
    <w:p w14:paraId="58122D05"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Therefore, internal and external analysis provides the foundation for informed decision-making by ensuring that sport organisations understand both their internal capacity and external pressures before developing strategy.</w:t>
      </w:r>
    </w:p>
    <w:p w14:paraId="4C560CBB" w14:textId="2EE1C284" w:rsidR="00DC600C" w:rsidRPr="00DC600C" w:rsidRDefault="00DC600C" w:rsidP="57DC87F4">
      <w:pPr>
        <w:rPr>
          <w:rFonts w:ascii="Times New Roman" w:eastAsia="Times New Roman" w:hAnsi="Times New Roman" w:cs="Times New Roman"/>
        </w:rPr>
      </w:pPr>
    </w:p>
    <w:p w14:paraId="1C333BB3"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t>Establishing Strategic Direction</w:t>
      </w:r>
    </w:p>
    <w:p w14:paraId="74860CBA"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Strategic direction refers to the long-term vision, mission, and objectives that guide an organisation. It defines where the organisation wants to go and how it intends to get there. A vision statement outlines the long-term aspirations of the organisation, while a mission statement defines its purpose and core activities. Objectives then translate these into measurable targets that guide performance.</w:t>
      </w:r>
    </w:p>
    <w:p w14:paraId="55A33F71"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Webb and Orr (2021) suggest that establishing strategic direction in sport is increasingly influenced by multi-stakeholder partnerships, where different organisations collaborate to achieve shared goals. This means that strategic direction is not created in isolation but is shaped through engagement with external partners such as governing bodies, community organisations, and sponsors.</w:t>
      </w:r>
    </w:p>
    <w:p w14:paraId="72C5C643"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In sport organisations, strategic direction must balance competing priorities. For example, many governing bodies aim to increase both elite performance and mass participation. However, these goals can sometimes conflict, as resources may need to be distributed between developing elite athletes and encouraging grassroots involvement. Walters and Tacon (2010) argue that this balance is particularly challenging in professional sport, where commercial success and community engagement must be aligned.</w:t>
      </w:r>
    </w:p>
    <w:p w14:paraId="2853EDFB"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A clear strategic direction ensures that all stakeholders understand the organisation’s purpose and priorities. It also provides a framework for decision-making and resource allocation, helping organisations remain focused and consistent in their long-term development.</w:t>
      </w:r>
    </w:p>
    <w:p w14:paraId="36DD708E" w14:textId="25F01C05" w:rsidR="00DC600C" w:rsidRPr="00DC600C" w:rsidRDefault="00DC600C" w:rsidP="57DC87F4">
      <w:pPr>
        <w:rPr>
          <w:rFonts w:ascii="Times New Roman" w:eastAsia="Times New Roman" w:hAnsi="Times New Roman" w:cs="Times New Roman"/>
        </w:rPr>
      </w:pPr>
    </w:p>
    <w:p w14:paraId="6833BE2B"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t>Strategy Implementation</w:t>
      </w:r>
    </w:p>
    <w:p w14:paraId="24135582"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lastRenderedPageBreak/>
        <w:t>Strategy implementation refers to the process of turning strategic plans into practical actions. While strategic direction defines goals, implementation ensures that these goals are achieved through structured planning and resource management. According to the Open Textbook Library (2015), effective implementation requires organisations to allocate resources appropriately, define responsibilities, and establish systems for monitoring progress.</w:t>
      </w:r>
    </w:p>
    <w:p w14:paraId="14C4268F"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In sport organisations, implementation often involves coordination across multiple departments, including coaching, administration, marketing, and performance management. Clear communication and leadership are essential to ensure that all stakeholders understand their roles in delivering the strategy. Key Performance Indicators (KPIs) are commonly used to measure progress and evaluate success against strategic objectives.</w:t>
      </w:r>
    </w:p>
    <w:p w14:paraId="4407F69E"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Webb and Orr (2021) highlight that implementation in sport frequently relies on collaboration between multiple stakeholders, particularly in development programmes where schools, clubs, and governing bodies work together. This multi-stakeholder approach ensures that resources and expertise are shared effectively, increasing the likelihood of successful outcomes.</w:t>
      </w:r>
    </w:p>
    <w:p w14:paraId="008CEDDC"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However, implementation can be challenging due to limited resources, resistance to change, and competing priorities. Therefore, strong leadership and effective planning are required to ensure that strategic objectives are translated into meaningful action.</w:t>
      </w:r>
    </w:p>
    <w:p w14:paraId="398DB7F6" w14:textId="076FAC09" w:rsidR="00DC600C" w:rsidRPr="00DC600C" w:rsidRDefault="00DC600C" w:rsidP="57DC87F4">
      <w:pPr>
        <w:rPr>
          <w:rFonts w:ascii="Times New Roman" w:eastAsia="Times New Roman" w:hAnsi="Times New Roman" w:cs="Times New Roman"/>
        </w:rPr>
      </w:pPr>
    </w:p>
    <w:p w14:paraId="0CD72433"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t>Change Process in Sport Organisations</w:t>
      </w:r>
    </w:p>
    <w:p w14:paraId="34947093"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 xml:space="preserve">The change process is a critical component of strategic management, as sport organisations must continuously adapt to evolving environments. Changes in participation trends, technology, funding, and societal expectations all require organisations to adjust their strategies. Faridi and Wani (2020) argue that strategic planning must remain flexible </w:t>
      </w:r>
      <w:proofErr w:type="gramStart"/>
      <w:r w:rsidRPr="57DC87F4">
        <w:rPr>
          <w:rFonts w:ascii="Times New Roman" w:eastAsia="Times New Roman" w:hAnsi="Times New Roman" w:cs="Times New Roman"/>
        </w:rPr>
        <w:t>in order to</w:t>
      </w:r>
      <w:proofErr w:type="gramEnd"/>
      <w:r w:rsidRPr="57DC87F4">
        <w:rPr>
          <w:rFonts w:ascii="Times New Roman" w:eastAsia="Times New Roman" w:hAnsi="Times New Roman" w:cs="Times New Roman"/>
        </w:rPr>
        <w:t xml:space="preserve"> respond effectively to external changes and maintain organisational relevance.</w:t>
      </w:r>
    </w:p>
    <w:p w14:paraId="3DAF8C26"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Stakeholders also play an important role in driving and responding to change. Friedman, Parent and Mason (2004) highlight that stakeholder expectations can significantly influence how change is implemented, particularly in sport organisations where public engagement is high. Managing these expectations is essential to ensuring that change is accepted and supported.</w:t>
      </w:r>
    </w:p>
    <w:p w14:paraId="12A051FE"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Change in sport may include improvements in coaching education, facility development, or participation programmes. For example, increasing awareness of inclusivity and diversity in sport has led many organisations to adapt their coaching practices and training systems. Effective change management requires clear communication, staff training, and ongoing evaluation to ensure that changes align with strategic objectives.</w:t>
      </w:r>
    </w:p>
    <w:p w14:paraId="2B763BFD" w14:textId="77777777" w:rsidR="00DC600C" w:rsidRP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Ultimately, the change process ensures that sport organisations remain competitive, relevant, and capable of meeting the needs of their stakeholders in a constantly evolving environment.</w:t>
      </w:r>
    </w:p>
    <w:p w14:paraId="71E83405" w14:textId="7A76F79E" w:rsidR="00DC600C" w:rsidRPr="00DC600C" w:rsidRDefault="00DC600C" w:rsidP="57DC87F4">
      <w:pPr>
        <w:rPr>
          <w:rFonts w:ascii="Times New Roman" w:eastAsia="Times New Roman" w:hAnsi="Times New Roman" w:cs="Times New Roman"/>
        </w:rPr>
      </w:pPr>
    </w:p>
    <w:p w14:paraId="74209F38" w14:textId="77777777" w:rsidR="00DC600C" w:rsidRPr="00DC600C" w:rsidRDefault="4B4FF0E4" w:rsidP="57DC87F4">
      <w:pPr>
        <w:rPr>
          <w:rFonts w:ascii="Times New Roman" w:eastAsia="Times New Roman" w:hAnsi="Times New Roman" w:cs="Times New Roman"/>
          <w:b/>
          <w:bCs/>
        </w:rPr>
      </w:pPr>
      <w:r w:rsidRPr="57DC87F4">
        <w:rPr>
          <w:rFonts w:ascii="Times New Roman" w:eastAsia="Times New Roman" w:hAnsi="Times New Roman" w:cs="Times New Roman"/>
          <w:b/>
          <w:bCs/>
        </w:rPr>
        <w:lastRenderedPageBreak/>
        <w:t>Conclusion</w:t>
      </w:r>
    </w:p>
    <w:p w14:paraId="22892DD8" w14:textId="77777777" w:rsidR="00DC600C" w:rsidRDefault="4B4FF0E4" w:rsidP="57DC87F4">
      <w:pPr>
        <w:rPr>
          <w:rFonts w:ascii="Times New Roman" w:eastAsia="Times New Roman" w:hAnsi="Times New Roman" w:cs="Times New Roman"/>
        </w:rPr>
      </w:pPr>
      <w:r w:rsidRPr="57DC87F4">
        <w:rPr>
          <w:rFonts w:ascii="Times New Roman" w:eastAsia="Times New Roman" w:hAnsi="Times New Roman" w:cs="Times New Roman"/>
        </w:rPr>
        <w:t>In conclusion, strategic management is a vital process in sport organisations, enabling them to adapt to internal and external challenges while achieving long-term objectives. Internal and external analysis, particularly through tools such as SWOT analysis, provides the foundation for understanding organisational position and environmental conditions (Faridi and Wani, 2020). Strategic direction establishes the vision, mission, and objectives that guide organisational activity, while implementation ensures that these plans are translated into action through structured management and collaboration (Open Textbook Library, 2015; Webb and Orr, 2021). Finally, the change process allows organisations to adapt to evolving stakeholder expectations and environmental pressures. Overall, effective strategic management ensures that sport organisations can operate sustainably and successfully in a complex and dynamic industry.</w:t>
      </w:r>
    </w:p>
    <w:p w14:paraId="5E7719D4" w14:textId="77777777" w:rsidR="002E44E7" w:rsidRPr="00DC600C" w:rsidRDefault="002E44E7" w:rsidP="57DC87F4">
      <w:pPr>
        <w:rPr>
          <w:rFonts w:ascii="Times New Roman" w:eastAsia="Times New Roman" w:hAnsi="Times New Roman" w:cs="Times New Roman"/>
        </w:rPr>
      </w:pPr>
    </w:p>
    <w:p w14:paraId="32BA36AC" w14:textId="56D28287" w:rsidR="00F66E44" w:rsidRPr="00F66E44" w:rsidRDefault="7B75D190" w:rsidP="57DC87F4">
      <w:pPr>
        <w:rPr>
          <w:rFonts w:ascii="Times New Roman" w:eastAsia="Times New Roman" w:hAnsi="Times New Roman" w:cs="Times New Roman"/>
          <w:b/>
          <w:bCs/>
          <w:sz w:val="28"/>
          <w:szCs w:val="28"/>
        </w:rPr>
      </w:pPr>
      <w:r w:rsidRPr="57DC87F4">
        <w:rPr>
          <w:rFonts w:ascii="Times New Roman" w:eastAsia="Times New Roman" w:hAnsi="Times New Roman" w:cs="Times New Roman"/>
          <w:b/>
          <w:bCs/>
          <w:sz w:val="28"/>
          <w:szCs w:val="28"/>
        </w:rPr>
        <w:t>TASK 2: Critical Review of the FAW Strategic Management Approach</w:t>
      </w:r>
    </w:p>
    <w:p w14:paraId="77F74595" w14:textId="1505798B" w:rsidR="57DC87F4" w:rsidRDefault="57DC87F4" w:rsidP="57DC87F4">
      <w:pPr>
        <w:rPr>
          <w:rFonts w:ascii="Times New Roman" w:eastAsia="Times New Roman" w:hAnsi="Times New Roman" w:cs="Times New Roman"/>
          <w:b/>
          <w:bCs/>
          <w:sz w:val="28"/>
          <w:szCs w:val="28"/>
        </w:rPr>
      </w:pPr>
    </w:p>
    <w:p w14:paraId="1ADDC297" w14:textId="45B1243D" w:rsidR="2110CF7F" w:rsidRDefault="2110CF7F" w:rsidP="57DC87F4">
      <w:pPr>
        <w:pStyle w:val="ListParagraph"/>
        <w:numPr>
          <w:ilvl w:val="0"/>
          <w:numId w:val="1"/>
        </w:numPr>
        <w:spacing w:after="0"/>
        <w:rPr>
          <w:rFonts w:ascii="Times New Roman" w:eastAsia="Times New Roman" w:hAnsi="Times New Roman" w:cs="Times New Roman"/>
          <w:b/>
          <w:bCs/>
        </w:rPr>
      </w:pPr>
      <w:r w:rsidRPr="57DC87F4">
        <w:rPr>
          <w:rFonts w:ascii="Times New Roman" w:eastAsia="Times New Roman" w:hAnsi="Times New Roman" w:cs="Times New Roman"/>
          <w:b/>
          <w:bCs/>
        </w:rPr>
        <w:t>Introduction</w:t>
      </w:r>
    </w:p>
    <w:p w14:paraId="71EDBA11" w14:textId="639D26FE"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Sport organisations operate within increasingly complex, competitive, and dynamic environments that require continuous adaptation, innovation, and strategic decision-making. Changes in participation trends, stakeholder expectations, funding structures, technological advancements, and governance requirements mean that national governing bodies must develop robust and flexible strategic management systems to remain effective, sustainable, and competitive over time. Strategic management is defined as the process of analysing internal and external environments, formulating strategic direction, and implementing organisational actions to achieve long-term objectives (Open Textbook Library, 2015). This process is particularly important in sport, where organisations must balance both performance and participation outcomes while responding to rapidly evolving social and economic conditions.</w:t>
      </w:r>
    </w:p>
    <w:p w14:paraId="153D8325" w14:textId="1E6024EA"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Football Association of Wales (FAW) provides a strong and relevant example of strategic management in practice within a national sport governing body. Its Strategic Plan 2021–2026 outlines clear ambitions to grow participation, enhance performance pathways, improve governance structures, and strengthen Welsh football at all levels of the game. In addition, the FAW’s wider organisational communication reinforces its commitment to inclusivity, accessibility, and long-term development of football across Welsh communities (Football Association of Wales, 2026). These priorities reflect wider trends in global sport development, particularly the shift towards participation-led strategies alongside elite success.</w:t>
      </w:r>
    </w:p>
    <w:p w14:paraId="474CE55A" w14:textId="101B29D6"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 xml:space="preserve">This report critically evaluates the FAW’s approach to strategic analysis, strategic direction, and strategy implementation and change management. The discussion draws on key academic </w:t>
      </w:r>
      <w:r w:rsidRPr="57DC87F4">
        <w:rPr>
          <w:rFonts w:ascii="Times New Roman" w:eastAsia="Times New Roman" w:hAnsi="Times New Roman" w:cs="Times New Roman"/>
        </w:rPr>
        <w:lastRenderedPageBreak/>
        <w:t>frameworks including stakeholder theory (Friedman, Parent and Mason, 2004), sport governance principles (Hoye and Cuskelly, 2007), corporate social responsibility and stakeholder engagement in football (Walters and Tacon, 2010), and strategic partnership approaches in sport development (Webb and Orr, 2021). Strategic tools such as SWOT analysis (Faridi and Wani, 2020) and the Ansoff Matrix (2018) are also applied to critically evaluate FAW strategy in comparison with organisations such as Sport England (2024), UK Sport (2016), and UEFA (2021). This allows for a more comprehensive and comparative evaluation of the FAW’s strategic positioning.</w:t>
      </w:r>
    </w:p>
    <w:p w14:paraId="4BFE2C51" w14:textId="2C283068"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rPr>
        <w:t>The report is structured into three main sections: internal and external strategic analysis, strategic direction, and strategy implementation and change processes, followed by a critical conclusion.</w:t>
      </w:r>
    </w:p>
    <w:p w14:paraId="54738B4A" w14:textId="055758F1" w:rsidR="57DC87F4" w:rsidRDefault="57DC87F4" w:rsidP="57DC87F4">
      <w:pPr>
        <w:spacing w:before="240" w:after="240"/>
        <w:rPr>
          <w:rFonts w:ascii="Times New Roman" w:eastAsia="Times New Roman" w:hAnsi="Times New Roman" w:cs="Times New Roman"/>
        </w:rPr>
      </w:pPr>
    </w:p>
    <w:p w14:paraId="6E567329" w14:textId="5D852CB4" w:rsidR="2110CF7F" w:rsidRDefault="2110CF7F" w:rsidP="57DC87F4">
      <w:pPr>
        <w:pStyle w:val="ListParagraph"/>
        <w:numPr>
          <w:ilvl w:val="0"/>
          <w:numId w:val="1"/>
        </w:numPr>
        <w:spacing w:after="0"/>
        <w:rPr>
          <w:rFonts w:ascii="Times New Roman" w:eastAsia="Times New Roman" w:hAnsi="Times New Roman" w:cs="Times New Roman"/>
          <w:b/>
          <w:bCs/>
        </w:rPr>
      </w:pPr>
      <w:r w:rsidRPr="57DC87F4">
        <w:rPr>
          <w:rFonts w:ascii="Times New Roman" w:eastAsia="Times New Roman" w:hAnsi="Times New Roman" w:cs="Times New Roman"/>
          <w:b/>
          <w:bCs/>
        </w:rPr>
        <w:t>Internal and External Strategic Analysis of the FAW</w:t>
      </w:r>
    </w:p>
    <w:p w14:paraId="0270B249" w14:textId="4145013A"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Strategic analysis forms the foundation of effective strategic management, as it enables organisations to understand their operating environment, identify key opportunities and threats, and align internal capabilities with external demands. According to Hoye and Cuskelly (2007), sport organisations must continuously balance internal resources with external environmental pressures to ensure long-term sustainability and organisational effectiveness. Without this alignment, strategies risk becoming unrealistic or ineffective in practice.</w:t>
      </w:r>
    </w:p>
    <w:p w14:paraId="2B015153" w14:textId="34CA274C"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2.1 External Strategic Analysis</w:t>
      </w:r>
    </w:p>
    <w:p w14:paraId="336EFFB9" w14:textId="475A9FC8"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operates in a highly complex and evolving external environment influenced by demographic trends, participation rates, policy frameworks, technological developments, and competition from other sports and leisure activities. Sport England (2024) highlights that participation in sport is increasingly affected by lifestyle changes, digital entertainment, time constraints, and declining engagement in structured physical activity, particularly among younger age groups. This reflects broader societal shifts that sport organisations must adapt to.</w:t>
      </w:r>
    </w:p>
    <w:p w14:paraId="4DB4426D" w14:textId="2AD5BE9E"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This external pressure is clearly reflected in FAW strategic priorities, particularly around youth retention in football. A significant issue is the drop-off in participation between under</w:t>
      </w:r>
      <w:r w:rsidR="288BDFD7" w:rsidRPr="57DC87F4">
        <w:rPr>
          <w:rFonts w:ascii="Times New Roman" w:eastAsia="Times New Roman" w:hAnsi="Times New Roman" w:cs="Times New Roman"/>
        </w:rPr>
        <w:t xml:space="preserve"> </w:t>
      </w:r>
      <w:r w:rsidRPr="57DC87F4">
        <w:rPr>
          <w:rFonts w:ascii="Times New Roman" w:eastAsia="Times New Roman" w:hAnsi="Times New Roman" w:cs="Times New Roman"/>
        </w:rPr>
        <w:t>11 and under</w:t>
      </w:r>
      <w:r w:rsidR="51B926DF" w:rsidRPr="57DC87F4">
        <w:rPr>
          <w:rFonts w:ascii="Times New Roman" w:eastAsia="Times New Roman" w:hAnsi="Times New Roman" w:cs="Times New Roman"/>
        </w:rPr>
        <w:t xml:space="preserve"> </w:t>
      </w:r>
      <w:r w:rsidRPr="57DC87F4">
        <w:rPr>
          <w:rFonts w:ascii="Times New Roman" w:eastAsia="Times New Roman" w:hAnsi="Times New Roman" w:cs="Times New Roman"/>
        </w:rPr>
        <w:t>16 age groups, which represents a long-term threat to talent development pathways and future elite performance success. This demonstrates the importance of aligning strategic planning with changing social behaviours and participation patterns, rather than relying on traditional development models.</w:t>
      </w:r>
    </w:p>
    <w:p w14:paraId="2D7DEA23" w14:textId="7A2E94CB"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 xml:space="preserve">From a theoretical perspective, stakeholder theory reinforces the importance of external environmental analysis. Friedman, Parent and Mason (2004) argue that sport organisations must consider the needs, expectations, and influence of all stakeholders, including players, </w:t>
      </w:r>
      <w:r w:rsidRPr="57DC87F4">
        <w:rPr>
          <w:rFonts w:ascii="Times New Roman" w:eastAsia="Times New Roman" w:hAnsi="Times New Roman" w:cs="Times New Roman"/>
        </w:rPr>
        <w:lastRenderedPageBreak/>
        <w:t>parents, schools, sponsors, governing bodies, and local communities. The FAW demonstrates this through consultation processes, engagement programmes, and grassroots initiatives across Wales, ensuring that strategy reflects stakeholder needs and social expectations.</w:t>
      </w:r>
    </w:p>
    <w:p w14:paraId="78A28681" w14:textId="2641C041"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At a governance level, UEFA (2021) plays a major external role by setting regulatory frameworks, competition standards, and development expectations. This creates both opportunities and constraints for the FAW, requiring alignment between national strategies and European football policies. Similarly, UK Sport (2016) influences high-performance funding models and expectations, reinforcing the importance of elite success within national strategies. These external pressures highlight the complexity of operating within a multi-level governance system.</w:t>
      </w:r>
    </w:p>
    <w:p w14:paraId="397BD146" w14:textId="404F4AF6"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Environmental and infrastructural constraints also shape the FAW’s external environment. Issues such as pitch quality, weather conditions, facility access, and geographical challenges impact grassroots participation. These challenges highlight the need for long-term infrastructure investment and sustainable facility development strategies to ensure equal access and participation opportunities across Wales.</w:t>
      </w:r>
    </w:p>
    <w:p w14:paraId="422888F4" w14:textId="3FD6F003"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2.2 Internal Strategic Analysis</w:t>
      </w:r>
    </w:p>
    <w:p w14:paraId="4295805A" w14:textId="252BDF0F"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Internal analysis focuses on organisational strengths, weaknesses, resources, and governance systems. Hoye and Cuskelly (2007) argue that strong governance structures, leadership clarity, and accountability mechanisms are essential for effective strategic execution in sport organisations.</w:t>
      </w:r>
    </w:p>
    <w:p w14:paraId="72D4010A" w14:textId="4CCCE650"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demonstrates several key internal strengths, including well-established governance structures, growing international recognition of Welsh national teams, and structured development pathways from grassroots to elite performance. These strengths enhance organisational credibility, stakeholder trust, and long-term sustainability, particularly in relation to international competitiveness.</w:t>
      </w:r>
    </w:p>
    <w:p w14:paraId="3F491D59" w14:textId="17BB0451"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However, internal weaknesses remain. A key limitation is the reliance on volunteers within grassroots football, which can lead to inconsistencies in programme delivery, capacity constraints, and long-term sustainability challenges. Additionally, regional disparities in facilities, funding, and coaching resources create unequal participation opportunities across different areas of Wales, which may undermine inclusivity objectives.</w:t>
      </w:r>
    </w:p>
    <w:p w14:paraId="335EA5D4" w14:textId="23586E24"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 xml:space="preserve">Walters and Tacon (2010) highlight that sport organisations often face tension between elite performance and grassroots development. This tension is </w:t>
      </w:r>
      <w:proofErr w:type="gramStart"/>
      <w:r w:rsidRPr="57DC87F4">
        <w:rPr>
          <w:rFonts w:ascii="Times New Roman" w:eastAsia="Times New Roman" w:hAnsi="Times New Roman" w:cs="Times New Roman"/>
        </w:rPr>
        <w:t>clearly evident</w:t>
      </w:r>
      <w:proofErr w:type="gramEnd"/>
      <w:r w:rsidRPr="57DC87F4">
        <w:rPr>
          <w:rFonts w:ascii="Times New Roman" w:eastAsia="Times New Roman" w:hAnsi="Times New Roman" w:cs="Times New Roman"/>
        </w:rPr>
        <w:t xml:space="preserve"> in FAW strategy, where resource allocation must balance national team success with community participation objectives. This creates ongoing strategic challenges in prioritisation, particularly when resources are limited.</w:t>
      </w:r>
    </w:p>
    <w:p w14:paraId="66AC7A2F" w14:textId="6A63065D"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 xml:space="preserve">Although the FAW does not explicitly reference formal analytical tools such as SWOT analysis, its identification of “challenges,” “priorities,” and “opportunities” reflects an </w:t>
      </w:r>
      <w:r w:rsidRPr="57DC87F4">
        <w:rPr>
          <w:rFonts w:ascii="Times New Roman" w:eastAsia="Times New Roman" w:hAnsi="Times New Roman" w:cs="Times New Roman"/>
        </w:rPr>
        <w:lastRenderedPageBreak/>
        <w:t>implicit use of SWOT principles. Faridi and Wani (2020) argue that SWOT analysis is essential in sport strategic planning, as it allows organisations to systematically evaluate internal strengths and weaknesses alongside external opportunities and threats. However, a more explicit and structured application of such tools could further strengthen strategic clarity.</w:t>
      </w:r>
    </w:p>
    <w:p w14:paraId="54B8F12F" w14:textId="54DAF7F8" w:rsidR="57DC87F4" w:rsidRDefault="57DC87F4" w:rsidP="57DC87F4">
      <w:pPr>
        <w:spacing w:before="240" w:after="240"/>
        <w:rPr>
          <w:rFonts w:ascii="Times New Roman" w:eastAsia="Times New Roman" w:hAnsi="Times New Roman" w:cs="Times New Roman"/>
        </w:rPr>
      </w:pPr>
    </w:p>
    <w:p w14:paraId="1433CC36" w14:textId="157060AA" w:rsidR="2110CF7F" w:rsidRDefault="2110CF7F" w:rsidP="57DC87F4">
      <w:pPr>
        <w:pStyle w:val="ListParagraph"/>
        <w:numPr>
          <w:ilvl w:val="0"/>
          <w:numId w:val="4"/>
        </w:numPr>
        <w:spacing w:after="0"/>
        <w:rPr>
          <w:rFonts w:ascii="Times New Roman" w:eastAsia="Times New Roman" w:hAnsi="Times New Roman" w:cs="Times New Roman"/>
          <w:b/>
          <w:bCs/>
        </w:rPr>
      </w:pPr>
      <w:r w:rsidRPr="57DC87F4">
        <w:rPr>
          <w:rFonts w:ascii="Times New Roman" w:eastAsia="Times New Roman" w:hAnsi="Times New Roman" w:cs="Times New Roman"/>
          <w:b/>
          <w:bCs/>
        </w:rPr>
        <w:t>Establishing Strategic Direction</w:t>
      </w:r>
    </w:p>
    <w:p w14:paraId="259153BF" w14:textId="019AE268"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Strategic direction refers to the long-term vision, mission, and objectives that guide organisational activity and decision-making. It defines organisational purpose, priorities, and measures of success.</w:t>
      </w:r>
    </w:p>
    <w:p w14:paraId="2D94A66F" w14:textId="5F2CE9BE"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FAW’s vision is to create a “leading football nation where the game is inclusive, accessible and successful from park football to the world stage” (FAW, 2023). This vision is further reinforced through broader organisational messaging, which emphasises football as both a community-based and high-performance sport (Football Association of Wales, 2026). This dual focus highlights the FAW’s attempt to integrate social and performance outcomes within a single strategic framework.</w:t>
      </w:r>
    </w:p>
    <w:p w14:paraId="1DA60D90" w14:textId="504C6222"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Sport England (2024) suggests that modern sport strategies must prioritise inclusivity, accessibility, diversity, and lifelong participation, all of which are clearly reflected in FAW strategic priorities. This alignment demonstrates that the FAW is responsive to wider policy trends and sector expectations.</w:t>
      </w:r>
    </w:p>
    <w:p w14:paraId="38D30A75" w14:textId="4C32E487"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3.1 Vision and Mission Clarity</w:t>
      </w:r>
    </w:p>
    <w:p w14:paraId="61FC058E" w14:textId="629482B6"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According to Open Textbook Library (2015), a clear and well-defined mission statement reduces ambiguity, supports alignment, and improves organisational effectiveness. The FAW’s mission focuses on governing, developing, and growing football in Wales while enhancing experiences for all participants.</w:t>
      </w:r>
    </w:p>
    <w:p w14:paraId="6E075758" w14:textId="4895E76F"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This aligns with UEFA (2021), which emphasises the importance of developing football across all levels, from grassroots to elite competition. The aspirational language used in FAW strategy reflects long-term ambition and aligns with UK Sport (2016), which promotes outcome-driven, high-performance strategies. However, translating this vision into consistent outcomes remains a key challenge.</w:t>
      </w:r>
    </w:p>
    <w:p w14:paraId="39E045C1" w14:textId="458CE041"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3.2 Strategic Objectives</w:t>
      </w:r>
    </w:p>
    <w:p w14:paraId="40C42E23" w14:textId="4AA86D35"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Strategic objectives translate vision into measurable outcomes and performance indicators. Hoye and Cuskelly (2007) argue that effective objectives must be specific, measurable, achievable, relevant, and time-bound (SMART).</w:t>
      </w:r>
    </w:p>
    <w:p w14:paraId="0B900B0F" w14:textId="242E0607"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lastRenderedPageBreak/>
        <w:t>The FAW’s objectives include increasing participation, improving player pathways, enhancing inclusivity, and strengthening governance systems. These objectives provide a clear framework for evaluating organisational success and monitoring progress.</w:t>
      </w:r>
    </w:p>
    <w:p w14:paraId="235623F2" w14:textId="33A1C5AA"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However, balancing elite success with grassroots participation remains a significant challenge. Walters and Tacon (2010) argue that conflicting stakeholder expectations often create tensions in sport governance, particularly when financial and human resources are limited. This suggests that prioritisation and resource allocation remain critical issues within FAW strategy.</w:t>
      </w:r>
    </w:p>
    <w:p w14:paraId="5C1A61BB" w14:textId="6B469BF3"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3.3 Strategic Direction Models</w:t>
      </w:r>
    </w:p>
    <w:p w14:paraId="2BEF7956" w14:textId="64C598EA"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Ansoff Matrix (2018) can be used to evaluate FAW strategic growth. The FAW primarily focuses on:</w:t>
      </w:r>
    </w:p>
    <w:p w14:paraId="2BC4CF20" w14:textId="5B451505"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Market penetration (increasing participation within existing football structures) Product development (introducing new formats such as small-sided games and inclusive programmes)</w:t>
      </w:r>
    </w:p>
    <w:p w14:paraId="09602862" w14:textId="0EC2A94A"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This indicates a growth strategy focused on strengthening existing markets rather than diversifying into new sports sectors, which is consistent with the role of a national governing body. However, limited diversification may restrict innovation in the long term.</w:t>
      </w:r>
    </w:p>
    <w:p w14:paraId="34C97BFA" w14:textId="59388C07" w:rsidR="57DC87F4" w:rsidRDefault="57DC87F4" w:rsidP="57DC87F4">
      <w:pPr>
        <w:spacing w:before="240" w:after="240"/>
        <w:rPr>
          <w:rFonts w:ascii="Times New Roman" w:eastAsia="Times New Roman" w:hAnsi="Times New Roman" w:cs="Times New Roman"/>
        </w:rPr>
      </w:pPr>
    </w:p>
    <w:p w14:paraId="3D3F7851" w14:textId="15683EAB" w:rsidR="2110CF7F" w:rsidRDefault="2110CF7F" w:rsidP="57DC87F4">
      <w:pPr>
        <w:pStyle w:val="ListParagraph"/>
        <w:numPr>
          <w:ilvl w:val="0"/>
          <w:numId w:val="3"/>
        </w:numPr>
        <w:spacing w:after="0"/>
        <w:rPr>
          <w:rFonts w:ascii="Times New Roman" w:eastAsia="Times New Roman" w:hAnsi="Times New Roman" w:cs="Times New Roman"/>
          <w:b/>
          <w:bCs/>
        </w:rPr>
      </w:pPr>
      <w:r w:rsidRPr="57DC87F4">
        <w:rPr>
          <w:rFonts w:ascii="Times New Roman" w:eastAsia="Times New Roman" w:hAnsi="Times New Roman" w:cs="Times New Roman"/>
          <w:b/>
          <w:bCs/>
        </w:rPr>
        <w:t>Strategy Implementation and Change Process</w:t>
      </w:r>
    </w:p>
    <w:p w14:paraId="131F6FC2" w14:textId="01FD28B5"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Strategy implementation involves translating strategic plans into operational actions. Open Textbook Library (2015) suggests that this stage is often the most complex due to resource constraints, stakeholder involvement, and organisational resistance.</w:t>
      </w:r>
    </w:p>
    <w:p w14:paraId="650F9E36" w14:textId="0DE608B5"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4.1 Implementation in the FAW</w:t>
      </w:r>
    </w:p>
    <w:p w14:paraId="283B96A0" w14:textId="02EAE5EF"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 xml:space="preserve">The FAW implements its strategy through grassroots programmes, coach education, infrastructure investment, and structured development pathways. Webb and Orr (2021) highlight that multi-stakeholder partnerships are essential for effective sport development, which is </w:t>
      </w:r>
      <w:proofErr w:type="gramStart"/>
      <w:r w:rsidRPr="57DC87F4">
        <w:rPr>
          <w:rFonts w:ascii="Times New Roman" w:eastAsia="Times New Roman" w:hAnsi="Times New Roman" w:cs="Times New Roman"/>
        </w:rPr>
        <w:t>clearly evident</w:t>
      </w:r>
      <w:proofErr w:type="gramEnd"/>
      <w:r w:rsidRPr="57DC87F4">
        <w:rPr>
          <w:rFonts w:ascii="Times New Roman" w:eastAsia="Times New Roman" w:hAnsi="Times New Roman" w:cs="Times New Roman"/>
        </w:rPr>
        <w:t xml:space="preserve"> in FAW operations.</w:t>
      </w:r>
    </w:p>
    <w:p w14:paraId="7779684D" w14:textId="592F0C08"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collaborates with schools, clubs, local authorities, and volunteers to deliver its strategic objectives. However, implementation remains uneven due to regional inequalities, funding limitations, and workforce capacity issues. Rural and disadvantaged areas often face reduced access to facilities and coaching, limiting participation opportunities and affecting overall strategic impact.</w:t>
      </w:r>
    </w:p>
    <w:p w14:paraId="4FF2CBBD" w14:textId="4A49BA2C"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4.2 Change Management</w:t>
      </w:r>
    </w:p>
    <w:p w14:paraId="45127EC5" w14:textId="2E6552A4"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lastRenderedPageBreak/>
        <w:t>Change management is essential for embedding strategy into organisational culture. Kotter’s 8-Step Model (NHS Elect, 2002) provides a structured approach to change, including creating urgency, building coalitions, and sustaining change.</w:t>
      </w:r>
    </w:p>
    <w:p w14:paraId="565D344F" w14:textId="21E62CE4"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demonstrates elements of this model through stakeholder engagement and consultation processes, helping to create shared ownership of strategic change. However, Hoye and Cuskelly (2007) argue that sport organisations often experience resistance due to traditional governance structures and reliance on volunteers, which can slow down implementation and reduce effectiveness.</w:t>
      </w:r>
    </w:p>
    <w:p w14:paraId="6E05ECC8" w14:textId="09E871F5" w:rsidR="2110CF7F" w:rsidRDefault="2110CF7F" w:rsidP="57DC87F4">
      <w:pPr>
        <w:spacing w:before="240" w:after="240"/>
        <w:rPr>
          <w:rFonts w:ascii="Times New Roman" w:eastAsia="Times New Roman" w:hAnsi="Times New Roman" w:cs="Times New Roman"/>
          <w:b/>
          <w:bCs/>
        </w:rPr>
      </w:pPr>
      <w:r w:rsidRPr="57DC87F4">
        <w:rPr>
          <w:rFonts w:ascii="Times New Roman" w:eastAsia="Times New Roman" w:hAnsi="Times New Roman" w:cs="Times New Roman"/>
          <w:b/>
          <w:bCs/>
        </w:rPr>
        <w:t>4.3 Stakeholder Influence on Change</w:t>
      </w:r>
    </w:p>
    <w:p w14:paraId="14522D18" w14:textId="0047733F"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Stakeholders play a critical role in shaping implementation outcomes. Friedman, Parent and Mason (2004) argue that effective stakeholder management is essential for balancing competing interests.</w:t>
      </w:r>
    </w:p>
    <w:p w14:paraId="163D69EA" w14:textId="12B50608"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engages a wide range of stakeholders, including players, coaches, parents, sponsors, and governing bodies. Walters and Tacon (2010) emphasise that CSR in sport requires balancing social and performance outcomes. However, conflicting priorities remain a challenge, particularly between elite performance and grassroots development, requiring continuous negotiation and strategic compromise.</w:t>
      </w:r>
    </w:p>
    <w:p w14:paraId="621D377A" w14:textId="57B1F983" w:rsidR="57DC87F4" w:rsidRDefault="57DC87F4" w:rsidP="57DC87F4">
      <w:pPr>
        <w:spacing w:before="240" w:after="240"/>
        <w:rPr>
          <w:rFonts w:ascii="Times New Roman" w:eastAsia="Times New Roman" w:hAnsi="Times New Roman" w:cs="Times New Roman"/>
        </w:rPr>
      </w:pPr>
    </w:p>
    <w:p w14:paraId="12FD3A77" w14:textId="0E08646F" w:rsidR="2110CF7F" w:rsidRDefault="2110CF7F" w:rsidP="57DC87F4">
      <w:pPr>
        <w:pStyle w:val="ListParagraph"/>
        <w:numPr>
          <w:ilvl w:val="0"/>
          <w:numId w:val="2"/>
        </w:numPr>
        <w:spacing w:after="0"/>
        <w:rPr>
          <w:rFonts w:ascii="Times New Roman" w:eastAsia="Times New Roman" w:hAnsi="Times New Roman" w:cs="Times New Roman"/>
          <w:b/>
          <w:bCs/>
        </w:rPr>
      </w:pPr>
      <w:r w:rsidRPr="57DC87F4">
        <w:rPr>
          <w:rFonts w:ascii="Times New Roman" w:eastAsia="Times New Roman" w:hAnsi="Times New Roman" w:cs="Times New Roman"/>
          <w:b/>
          <w:bCs/>
        </w:rPr>
        <w:t>Conclusion</w:t>
      </w:r>
    </w:p>
    <w:p w14:paraId="260CB6F8" w14:textId="03CA8178"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Strategic Plan 2021–2026 demonstrates a comprehensive, structured, and forward-thinking approach to strategic management. The organisation effectively integrates internal and external analysis, establishes a clear and ambitious strategic direction, and implements strategy through stakeholder collaboration and development programmes.</w:t>
      </w:r>
    </w:p>
    <w:p w14:paraId="75AC7DDC" w14:textId="1882E07D"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The FAW aligns strongly with stakeholder theory (Friedman, Parent and Mason, 2004), governance principles (Hoye and Cuskelly, 2007), and broader sport development frameworks such as UEFA (2021) and Sport England (2024). Its vision reflects both participation growth and elite performance ambitions.</w:t>
      </w:r>
    </w:p>
    <w:p w14:paraId="23599625" w14:textId="274A51E7"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However, challenges remain, particularly regarding resource constraints, volunteer dependency, regional inequality, and balancing competing priorities. Long-term success will depend on effective implementation, stakeholder coordination, and sustained investment.</w:t>
      </w:r>
    </w:p>
    <w:p w14:paraId="4A3FED95" w14:textId="70C5C93E" w:rsidR="2110CF7F" w:rsidRDefault="2110CF7F" w:rsidP="57DC87F4">
      <w:pPr>
        <w:spacing w:before="240" w:after="240"/>
        <w:rPr>
          <w:rFonts w:ascii="Times New Roman" w:eastAsia="Times New Roman" w:hAnsi="Times New Roman" w:cs="Times New Roman"/>
        </w:rPr>
      </w:pPr>
      <w:r w:rsidRPr="57DC87F4">
        <w:rPr>
          <w:rFonts w:ascii="Times New Roman" w:eastAsia="Times New Roman" w:hAnsi="Times New Roman" w:cs="Times New Roman"/>
        </w:rPr>
        <w:t>Overall, the FAW represents a strong example of strategic management in sport, but continuous adaptation, innovation, and evaluation are required to ensure long-term sustainability in an evolving global sport environment.ing global sport environment.</w:t>
      </w:r>
    </w:p>
    <w:p w14:paraId="17E742D5" w14:textId="1D0AADB3" w:rsidR="57DC87F4" w:rsidRDefault="57DC87F4" w:rsidP="57DC87F4">
      <w:pPr>
        <w:rPr>
          <w:rFonts w:ascii="Times New Roman" w:eastAsia="Times New Roman" w:hAnsi="Times New Roman" w:cs="Times New Roman"/>
        </w:rPr>
      </w:pPr>
    </w:p>
    <w:p w14:paraId="0BBFEB92" w14:textId="310F1E35" w:rsidR="57DC87F4" w:rsidRDefault="57DC87F4" w:rsidP="57DC87F4">
      <w:pPr>
        <w:rPr>
          <w:rFonts w:ascii="Times New Roman" w:eastAsia="Times New Roman" w:hAnsi="Times New Roman" w:cs="Times New Roman"/>
        </w:rPr>
      </w:pPr>
    </w:p>
    <w:p w14:paraId="014D3120" w14:textId="77777777" w:rsidR="008B1C26" w:rsidRDefault="008B1C26" w:rsidP="57DC87F4">
      <w:pPr>
        <w:rPr>
          <w:rFonts w:ascii="Times New Roman" w:eastAsia="Times New Roman" w:hAnsi="Times New Roman" w:cs="Times New Roman"/>
        </w:rPr>
      </w:pPr>
    </w:p>
    <w:p w14:paraId="00173A40" w14:textId="13173E01" w:rsidR="002E44E7" w:rsidRDefault="68B7F14D" w:rsidP="57DC87F4">
      <w:pPr>
        <w:rPr>
          <w:rFonts w:ascii="Times New Roman" w:eastAsia="Times New Roman" w:hAnsi="Times New Roman" w:cs="Times New Roman"/>
          <w:b/>
          <w:bCs/>
          <w:i/>
          <w:iCs/>
          <w:sz w:val="32"/>
          <w:szCs w:val="32"/>
        </w:rPr>
      </w:pPr>
      <w:r w:rsidRPr="57DC87F4">
        <w:rPr>
          <w:rFonts w:ascii="Times New Roman" w:eastAsia="Times New Roman" w:hAnsi="Times New Roman" w:cs="Times New Roman"/>
          <w:b/>
          <w:bCs/>
          <w:i/>
          <w:iCs/>
          <w:sz w:val="32"/>
          <w:szCs w:val="32"/>
        </w:rPr>
        <w:t>References:</w:t>
      </w:r>
    </w:p>
    <w:p w14:paraId="3DE89A3A" w14:textId="77777777" w:rsidR="002E44E7" w:rsidRDefault="002E44E7" w:rsidP="57DC87F4">
      <w:pPr>
        <w:rPr>
          <w:rFonts w:ascii="Times New Roman" w:eastAsia="Times New Roman" w:hAnsi="Times New Roman" w:cs="Times New Roman"/>
        </w:rPr>
      </w:pPr>
    </w:p>
    <w:p w14:paraId="3555F000"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Ansoff Matrix (2018). </w:t>
      </w:r>
      <w:r w:rsidRPr="57DC87F4">
        <w:rPr>
          <w:rFonts w:ascii="Times New Roman" w:eastAsia="Times New Roman" w:hAnsi="Times New Roman" w:cs="Times New Roman"/>
          <w:i/>
          <w:iCs/>
        </w:rPr>
        <w:t>Ansoff Matrix</w:t>
      </w:r>
      <w:r w:rsidRPr="57DC87F4">
        <w:rPr>
          <w:rFonts w:ascii="Times New Roman" w:eastAsia="Times New Roman" w:hAnsi="Times New Roman" w:cs="Times New Roman"/>
        </w:rPr>
        <w:t xml:space="preserve">. [online] Available at: </w:t>
      </w:r>
      <w:hyperlink r:id="rId8">
        <w:r w:rsidRPr="57DC87F4">
          <w:rPr>
            <w:rStyle w:val="Hyperlink"/>
            <w:rFonts w:ascii="Times New Roman" w:eastAsia="Times New Roman" w:hAnsi="Times New Roman" w:cs="Times New Roman"/>
          </w:rPr>
          <w:t>https://www.ansoffmatrix.com/</w:t>
        </w:r>
      </w:hyperlink>
    </w:p>
    <w:p w14:paraId="3CE51288"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FAW (2023). </w:t>
      </w:r>
      <w:r w:rsidRPr="57DC87F4">
        <w:rPr>
          <w:rFonts w:ascii="Times New Roman" w:eastAsia="Times New Roman" w:hAnsi="Times New Roman" w:cs="Times New Roman"/>
          <w:i/>
          <w:iCs/>
        </w:rPr>
        <w:t>The Official Website of the Football Association of Wales</w:t>
      </w:r>
      <w:r w:rsidRPr="57DC87F4">
        <w:rPr>
          <w:rFonts w:ascii="Times New Roman" w:eastAsia="Times New Roman" w:hAnsi="Times New Roman" w:cs="Times New Roman"/>
        </w:rPr>
        <w:t xml:space="preserve">. [online] Available at: </w:t>
      </w:r>
      <w:hyperlink r:id="rId9">
        <w:r w:rsidRPr="57DC87F4">
          <w:rPr>
            <w:rStyle w:val="Hyperlink"/>
            <w:rFonts w:ascii="Times New Roman" w:eastAsia="Times New Roman" w:hAnsi="Times New Roman" w:cs="Times New Roman"/>
          </w:rPr>
          <w:t>https://faw.cymru/</w:t>
        </w:r>
      </w:hyperlink>
    </w:p>
    <w:p w14:paraId="3B04BFC7"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Faridi, M. and Wani, I.A. (2020). Formulation of Sport Management Strategic Planning using SWOT Analysis. </w:t>
      </w:r>
      <w:r w:rsidRPr="57DC87F4">
        <w:rPr>
          <w:rFonts w:ascii="Times New Roman" w:eastAsia="Times New Roman" w:hAnsi="Times New Roman" w:cs="Times New Roman"/>
          <w:i/>
          <w:iCs/>
        </w:rPr>
        <w:t>International Journal</w:t>
      </w:r>
      <w:r w:rsidRPr="57DC87F4">
        <w:rPr>
          <w:rFonts w:ascii="Times New Roman" w:eastAsia="Times New Roman" w:hAnsi="Times New Roman" w:cs="Times New Roman"/>
        </w:rPr>
        <w:t xml:space="preserve">, 9(3), pp.5479–5486. Available at: </w:t>
      </w:r>
      <w:hyperlink r:id="rId10">
        <w:r w:rsidRPr="57DC87F4">
          <w:rPr>
            <w:rStyle w:val="Hyperlink"/>
            <w:rFonts w:ascii="Times New Roman" w:eastAsia="Times New Roman" w:hAnsi="Times New Roman" w:cs="Times New Roman"/>
          </w:rPr>
          <w:t>https://www.researchgate.net/publication/340255573_Formulation_of_Sport_Management_Strategic_Planning_using_SWOT_Analysis</w:t>
        </w:r>
      </w:hyperlink>
    </w:p>
    <w:p w14:paraId="403DFD00" w14:textId="77777777" w:rsid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Friedman, M.T., Parent, M.M. and Mason, D.S. (2004). Building a framework for issues management in sport through stakeholder theory. </w:t>
      </w:r>
      <w:r w:rsidRPr="57DC87F4">
        <w:rPr>
          <w:rFonts w:ascii="Times New Roman" w:eastAsia="Times New Roman" w:hAnsi="Times New Roman" w:cs="Times New Roman"/>
          <w:i/>
          <w:iCs/>
        </w:rPr>
        <w:t>European Sport Management Quarterly</w:t>
      </w:r>
      <w:r w:rsidRPr="57DC87F4">
        <w:rPr>
          <w:rFonts w:ascii="Times New Roman" w:eastAsia="Times New Roman" w:hAnsi="Times New Roman" w:cs="Times New Roman"/>
        </w:rPr>
        <w:t>, 4(3), pp.170–190. doi:</w:t>
      </w:r>
      <w:hyperlink r:id="rId11">
        <w:r w:rsidRPr="57DC87F4">
          <w:rPr>
            <w:rStyle w:val="Hyperlink"/>
            <w:rFonts w:ascii="Times New Roman" w:eastAsia="Times New Roman" w:hAnsi="Times New Roman" w:cs="Times New Roman"/>
          </w:rPr>
          <w:t>https://doi.org/10.1080/16184740408737475</w:t>
        </w:r>
      </w:hyperlink>
    </w:p>
    <w:p w14:paraId="47C39FBC" w14:textId="27C356EC" w:rsidR="00F66E44" w:rsidRPr="002E44E7" w:rsidRDefault="7B75D190" w:rsidP="57DC87F4">
      <w:pPr>
        <w:rPr>
          <w:rFonts w:ascii="Times New Roman" w:eastAsia="Times New Roman" w:hAnsi="Times New Roman" w:cs="Times New Roman"/>
        </w:rPr>
      </w:pPr>
      <w:r w:rsidRPr="57DC87F4">
        <w:rPr>
          <w:rFonts w:ascii="Times New Roman" w:eastAsia="Times New Roman" w:hAnsi="Times New Roman" w:cs="Times New Roman"/>
        </w:rPr>
        <w:t>Football Association of Wales. (2026). </w:t>
      </w:r>
      <w:r w:rsidRPr="57DC87F4">
        <w:rPr>
          <w:rFonts w:ascii="Times New Roman" w:eastAsia="Times New Roman" w:hAnsi="Times New Roman" w:cs="Times New Roman"/>
          <w:i/>
          <w:iCs/>
        </w:rPr>
        <w:t>Football Association of Wales</w:t>
      </w:r>
      <w:r w:rsidRPr="57DC87F4">
        <w:rPr>
          <w:rFonts w:ascii="Times New Roman" w:eastAsia="Times New Roman" w:hAnsi="Times New Roman" w:cs="Times New Roman"/>
        </w:rPr>
        <w:t>. [online] Available at: https://our.cymru/ [Accessed 15 Apr. 2026].</w:t>
      </w:r>
    </w:p>
    <w:p w14:paraId="251FBC52"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Hoye, R. and Cuskelly, G. (2007). </w:t>
      </w:r>
      <w:r w:rsidRPr="57DC87F4">
        <w:rPr>
          <w:rFonts w:ascii="Times New Roman" w:eastAsia="Times New Roman" w:hAnsi="Times New Roman" w:cs="Times New Roman"/>
          <w:i/>
          <w:iCs/>
        </w:rPr>
        <w:t>Sport Governance</w:t>
      </w:r>
      <w:r w:rsidRPr="57DC87F4">
        <w:rPr>
          <w:rFonts w:ascii="Times New Roman" w:eastAsia="Times New Roman" w:hAnsi="Times New Roman" w:cs="Times New Roman"/>
        </w:rPr>
        <w:t>. Routledge. doi:</w:t>
      </w:r>
      <w:hyperlink r:id="rId12">
        <w:r w:rsidRPr="57DC87F4">
          <w:rPr>
            <w:rStyle w:val="Hyperlink"/>
            <w:rFonts w:ascii="Times New Roman" w:eastAsia="Times New Roman" w:hAnsi="Times New Roman" w:cs="Times New Roman"/>
          </w:rPr>
          <w:t>https://doi.org/10.4324/9780080466965</w:t>
        </w:r>
      </w:hyperlink>
    </w:p>
    <w:p w14:paraId="4D886F07"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NHS Elect (2002). </w:t>
      </w:r>
      <w:r w:rsidRPr="57DC87F4">
        <w:rPr>
          <w:rFonts w:ascii="Times New Roman" w:eastAsia="Times New Roman" w:hAnsi="Times New Roman" w:cs="Times New Roman"/>
          <w:i/>
          <w:iCs/>
        </w:rPr>
        <w:t>Quality Improvement: Kotter’s Eight Steps of Change</w:t>
      </w:r>
      <w:r w:rsidRPr="57DC87F4">
        <w:rPr>
          <w:rFonts w:ascii="Times New Roman" w:eastAsia="Times New Roman" w:hAnsi="Times New Roman" w:cs="Times New Roman"/>
        </w:rPr>
        <w:t xml:space="preserve">. [online] Available at: </w:t>
      </w:r>
      <w:hyperlink r:id="rId13">
        <w:r w:rsidRPr="57DC87F4">
          <w:rPr>
            <w:rStyle w:val="Hyperlink"/>
            <w:rFonts w:ascii="Times New Roman" w:eastAsia="Times New Roman" w:hAnsi="Times New Roman" w:cs="Times New Roman"/>
          </w:rPr>
          <w:t>https://www.nhselect.nhs.uk/uploads/files/1/Kotter%27s%208%20steps%20of%20change.pdf</w:t>
        </w:r>
      </w:hyperlink>
    </w:p>
    <w:p w14:paraId="06184633"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Open Textbook Library (2015). </w:t>
      </w:r>
      <w:r w:rsidRPr="57DC87F4">
        <w:rPr>
          <w:rFonts w:ascii="Times New Roman" w:eastAsia="Times New Roman" w:hAnsi="Times New Roman" w:cs="Times New Roman"/>
          <w:i/>
          <w:iCs/>
        </w:rPr>
        <w:t>Mastering Strategic Management</w:t>
      </w:r>
      <w:r w:rsidRPr="57DC87F4">
        <w:rPr>
          <w:rFonts w:ascii="Times New Roman" w:eastAsia="Times New Roman" w:hAnsi="Times New Roman" w:cs="Times New Roman"/>
        </w:rPr>
        <w:t xml:space="preserve">. [online] Available at: </w:t>
      </w:r>
      <w:hyperlink r:id="rId14">
        <w:r w:rsidRPr="57DC87F4">
          <w:rPr>
            <w:rStyle w:val="Hyperlink"/>
            <w:rFonts w:ascii="Times New Roman" w:eastAsia="Times New Roman" w:hAnsi="Times New Roman" w:cs="Times New Roman"/>
          </w:rPr>
          <w:t>https://open.umn.edu/opentextbooks/textbooks/1582</w:t>
        </w:r>
      </w:hyperlink>
    </w:p>
    <w:p w14:paraId="6C49C028"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Sport England (2024). </w:t>
      </w:r>
      <w:r w:rsidRPr="57DC87F4">
        <w:rPr>
          <w:rFonts w:ascii="Times New Roman" w:eastAsia="Times New Roman" w:hAnsi="Times New Roman" w:cs="Times New Roman"/>
          <w:i/>
          <w:iCs/>
        </w:rPr>
        <w:t>Sport England</w:t>
      </w:r>
      <w:r w:rsidRPr="57DC87F4">
        <w:rPr>
          <w:rFonts w:ascii="Times New Roman" w:eastAsia="Times New Roman" w:hAnsi="Times New Roman" w:cs="Times New Roman"/>
        </w:rPr>
        <w:t xml:space="preserve">. [online] Available at: </w:t>
      </w:r>
      <w:hyperlink r:id="rId15">
        <w:r w:rsidRPr="57DC87F4">
          <w:rPr>
            <w:rStyle w:val="Hyperlink"/>
            <w:rFonts w:ascii="Times New Roman" w:eastAsia="Times New Roman" w:hAnsi="Times New Roman" w:cs="Times New Roman"/>
          </w:rPr>
          <w:t>https://www.sportengland.org/</w:t>
        </w:r>
      </w:hyperlink>
    </w:p>
    <w:p w14:paraId="645DB01F"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UEFA (2021). </w:t>
      </w:r>
      <w:r w:rsidRPr="57DC87F4">
        <w:rPr>
          <w:rFonts w:ascii="Times New Roman" w:eastAsia="Times New Roman" w:hAnsi="Times New Roman" w:cs="Times New Roman"/>
          <w:i/>
          <w:iCs/>
        </w:rPr>
        <w:t>UEFA</w:t>
      </w:r>
      <w:r w:rsidRPr="57DC87F4">
        <w:rPr>
          <w:rFonts w:ascii="Times New Roman" w:eastAsia="Times New Roman" w:hAnsi="Times New Roman" w:cs="Times New Roman"/>
        </w:rPr>
        <w:t xml:space="preserve">. [online] Available at: </w:t>
      </w:r>
      <w:hyperlink r:id="rId16">
        <w:r w:rsidRPr="57DC87F4">
          <w:rPr>
            <w:rStyle w:val="Hyperlink"/>
            <w:rFonts w:ascii="Times New Roman" w:eastAsia="Times New Roman" w:hAnsi="Times New Roman" w:cs="Times New Roman"/>
          </w:rPr>
          <w:t>https://www.uefa.com/</w:t>
        </w:r>
      </w:hyperlink>
    </w:p>
    <w:p w14:paraId="793A7D2F"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UK Sport (2016). </w:t>
      </w:r>
      <w:r w:rsidRPr="57DC87F4">
        <w:rPr>
          <w:rFonts w:ascii="Times New Roman" w:eastAsia="Times New Roman" w:hAnsi="Times New Roman" w:cs="Times New Roman"/>
          <w:i/>
          <w:iCs/>
        </w:rPr>
        <w:t>UK Sport</w:t>
      </w:r>
      <w:r w:rsidRPr="57DC87F4">
        <w:rPr>
          <w:rFonts w:ascii="Times New Roman" w:eastAsia="Times New Roman" w:hAnsi="Times New Roman" w:cs="Times New Roman"/>
        </w:rPr>
        <w:t xml:space="preserve">. [online] Available at: </w:t>
      </w:r>
      <w:hyperlink r:id="rId17">
        <w:r w:rsidRPr="57DC87F4">
          <w:rPr>
            <w:rStyle w:val="Hyperlink"/>
            <w:rFonts w:ascii="Times New Roman" w:eastAsia="Times New Roman" w:hAnsi="Times New Roman" w:cs="Times New Roman"/>
          </w:rPr>
          <w:t>https://www.uksport.gov.uk/</w:t>
        </w:r>
      </w:hyperlink>
    </w:p>
    <w:p w14:paraId="53E171CE"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Walters, G. and Tacon, R. (2010). Corporate social responsibility in sport: Stakeholder management in the UK football industry. </w:t>
      </w:r>
      <w:r w:rsidRPr="57DC87F4">
        <w:rPr>
          <w:rFonts w:ascii="Times New Roman" w:eastAsia="Times New Roman" w:hAnsi="Times New Roman" w:cs="Times New Roman"/>
          <w:i/>
          <w:iCs/>
        </w:rPr>
        <w:t>Journal of Management &amp; Organization</w:t>
      </w:r>
      <w:r w:rsidRPr="57DC87F4">
        <w:rPr>
          <w:rFonts w:ascii="Times New Roman" w:eastAsia="Times New Roman" w:hAnsi="Times New Roman" w:cs="Times New Roman"/>
        </w:rPr>
        <w:t>, 16(4), pp.566–586. doi:</w:t>
      </w:r>
      <w:hyperlink r:id="rId18">
        <w:r w:rsidRPr="57DC87F4">
          <w:rPr>
            <w:rStyle w:val="Hyperlink"/>
            <w:rFonts w:ascii="Times New Roman" w:eastAsia="Times New Roman" w:hAnsi="Times New Roman" w:cs="Times New Roman"/>
          </w:rPr>
          <w:t>https://doi.org/10.5172/jmo.2010.16.4.566</w:t>
        </w:r>
      </w:hyperlink>
    </w:p>
    <w:p w14:paraId="0AD7BDE3" w14:textId="77777777" w:rsidR="002E44E7" w:rsidRPr="002E44E7" w:rsidRDefault="68B7F14D" w:rsidP="57DC87F4">
      <w:pPr>
        <w:rPr>
          <w:rFonts w:ascii="Times New Roman" w:eastAsia="Times New Roman" w:hAnsi="Times New Roman" w:cs="Times New Roman"/>
        </w:rPr>
      </w:pPr>
      <w:r w:rsidRPr="57DC87F4">
        <w:rPr>
          <w:rFonts w:ascii="Times New Roman" w:eastAsia="Times New Roman" w:hAnsi="Times New Roman" w:cs="Times New Roman"/>
        </w:rPr>
        <w:t xml:space="preserve">Webb, A. and Orr, K. (2021). Strategic marketing through sport for development: managing multi-stakeholder partnerships. </w:t>
      </w:r>
      <w:r w:rsidRPr="57DC87F4">
        <w:rPr>
          <w:rFonts w:ascii="Times New Roman" w:eastAsia="Times New Roman" w:hAnsi="Times New Roman" w:cs="Times New Roman"/>
          <w:i/>
          <w:iCs/>
        </w:rPr>
        <w:t>Journal of Strategic Marketing</w:t>
      </w:r>
      <w:r w:rsidRPr="57DC87F4">
        <w:rPr>
          <w:rFonts w:ascii="Times New Roman" w:eastAsia="Times New Roman" w:hAnsi="Times New Roman" w:cs="Times New Roman"/>
        </w:rPr>
        <w:t>, pp.1–17. doi:</w:t>
      </w:r>
      <w:hyperlink r:id="rId19">
        <w:r w:rsidRPr="57DC87F4">
          <w:rPr>
            <w:rStyle w:val="Hyperlink"/>
            <w:rFonts w:ascii="Times New Roman" w:eastAsia="Times New Roman" w:hAnsi="Times New Roman" w:cs="Times New Roman"/>
          </w:rPr>
          <w:t>https://doi.org/10.1080/0965254x.2021.1976251</w:t>
        </w:r>
      </w:hyperlink>
    </w:p>
    <w:p w14:paraId="6F274EDA" w14:textId="77777777" w:rsidR="002E44E7" w:rsidRDefault="002E44E7"/>
    <w:sectPr w:rsidR="002E4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14E8"/>
    <w:multiLevelType w:val="hybridMultilevel"/>
    <w:tmpl w:val="894E0014"/>
    <w:lvl w:ilvl="0" w:tplc="6C206014">
      <w:start w:val="2"/>
      <w:numFmt w:val="decimal"/>
      <w:lvlText w:val="%1."/>
      <w:lvlJc w:val="left"/>
      <w:pPr>
        <w:ind w:left="720" w:hanging="360"/>
      </w:pPr>
    </w:lvl>
    <w:lvl w:ilvl="1" w:tplc="38F464DE">
      <w:start w:val="1"/>
      <w:numFmt w:val="lowerLetter"/>
      <w:lvlText w:val="%2."/>
      <w:lvlJc w:val="left"/>
      <w:pPr>
        <w:ind w:left="1440" w:hanging="360"/>
      </w:pPr>
    </w:lvl>
    <w:lvl w:ilvl="2" w:tplc="2EC4A4FA">
      <w:start w:val="1"/>
      <w:numFmt w:val="lowerRoman"/>
      <w:lvlText w:val="%3."/>
      <w:lvlJc w:val="right"/>
      <w:pPr>
        <w:ind w:left="2160" w:hanging="180"/>
      </w:pPr>
    </w:lvl>
    <w:lvl w:ilvl="3" w:tplc="8CBA3946">
      <w:start w:val="1"/>
      <w:numFmt w:val="decimal"/>
      <w:lvlText w:val="%4."/>
      <w:lvlJc w:val="left"/>
      <w:pPr>
        <w:ind w:left="2880" w:hanging="360"/>
      </w:pPr>
    </w:lvl>
    <w:lvl w:ilvl="4" w:tplc="7F2079B0">
      <w:start w:val="1"/>
      <w:numFmt w:val="lowerLetter"/>
      <w:lvlText w:val="%5."/>
      <w:lvlJc w:val="left"/>
      <w:pPr>
        <w:ind w:left="3600" w:hanging="360"/>
      </w:pPr>
    </w:lvl>
    <w:lvl w:ilvl="5" w:tplc="B1406B38">
      <w:start w:val="1"/>
      <w:numFmt w:val="lowerRoman"/>
      <w:lvlText w:val="%6."/>
      <w:lvlJc w:val="right"/>
      <w:pPr>
        <w:ind w:left="4320" w:hanging="180"/>
      </w:pPr>
    </w:lvl>
    <w:lvl w:ilvl="6" w:tplc="CBF4E40A">
      <w:start w:val="1"/>
      <w:numFmt w:val="decimal"/>
      <w:lvlText w:val="%7."/>
      <w:lvlJc w:val="left"/>
      <w:pPr>
        <w:ind w:left="5040" w:hanging="360"/>
      </w:pPr>
    </w:lvl>
    <w:lvl w:ilvl="7" w:tplc="E06C0A54">
      <w:start w:val="1"/>
      <w:numFmt w:val="lowerLetter"/>
      <w:lvlText w:val="%8."/>
      <w:lvlJc w:val="left"/>
      <w:pPr>
        <w:ind w:left="5760" w:hanging="360"/>
      </w:pPr>
    </w:lvl>
    <w:lvl w:ilvl="8" w:tplc="71DEC33A">
      <w:start w:val="1"/>
      <w:numFmt w:val="lowerRoman"/>
      <w:lvlText w:val="%9."/>
      <w:lvlJc w:val="right"/>
      <w:pPr>
        <w:ind w:left="6480" w:hanging="180"/>
      </w:pPr>
    </w:lvl>
  </w:abstractNum>
  <w:abstractNum w:abstractNumId="1" w15:restartNumberingAfterBreak="0">
    <w:nsid w:val="0ED5372A"/>
    <w:multiLevelType w:val="multilevel"/>
    <w:tmpl w:val="134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64602"/>
    <w:multiLevelType w:val="multilevel"/>
    <w:tmpl w:val="EEFC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3C57D3"/>
    <w:multiLevelType w:val="hybridMultilevel"/>
    <w:tmpl w:val="4AB0A7DC"/>
    <w:lvl w:ilvl="0" w:tplc="2182E154">
      <w:start w:val="3"/>
      <w:numFmt w:val="decimal"/>
      <w:lvlText w:val="%1."/>
      <w:lvlJc w:val="left"/>
      <w:pPr>
        <w:ind w:left="720" w:hanging="360"/>
      </w:pPr>
    </w:lvl>
    <w:lvl w:ilvl="1" w:tplc="142AE7C8">
      <w:start w:val="1"/>
      <w:numFmt w:val="lowerLetter"/>
      <w:lvlText w:val="%2."/>
      <w:lvlJc w:val="left"/>
      <w:pPr>
        <w:ind w:left="1440" w:hanging="360"/>
      </w:pPr>
    </w:lvl>
    <w:lvl w:ilvl="2" w:tplc="5FC22F84">
      <w:start w:val="1"/>
      <w:numFmt w:val="lowerRoman"/>
      <w:lvlText w:val="%3."/>
      <w:lvlJc w:val="right"/>
      <w:pPr>
        <w:ind w:left="2160" w:hanging="180"/>
      </w:pPr>
    </w:lvl>
    <w:lvl w:ilvl="3" w:tplc="634E4380">
      <w:start w:val="1"/>
      <w:numFmt w:val="decimal"/>
      <w:lvlText w:val="%4."/>
      <w:lvlJc w:val="left"/>
      <w:pPr>
        <w:ind w:left="2880" w:hanging="360"/>
      </w:pPr>
    </w:lvl>
    <w:lvl w:ilvl="4" w:tplc="14D6AE90">
      <w:start w:val="1"/>
      <w:numFmt w:val="lowerLetter"/>
      <w:lvlText w:val="%5."/>
      <w:lvlJc w:val="left"/>
      <w:pPr>
        <w:ind w:left="3600" w:hanging="360"/>
      </w:pPr>
    </w:lvl>
    <w:lvl w:ilvl="5" w:tplc="6AEA0DAE">
      <w:start w:val="1"/>
      <w:numFmt w:val="lowerRoman"/>
      <w:lvlText w:val="%6."/>
      <w:lvlJc w:val="right"/>
      <w:pPr>
        <w:ind w:left="4320" w:hanging="180"/>
      </w:pPr>
    </w:lvl>
    <w:lvl w:ilvl="6" w:tplc="4970B9A2">
      <w:start w:val="1"/>
      <w:numFmt w:val="decimal"/>
      <w:lvlText w:val="%7."/>
      <w:lvlJc w:val="left"/>
      <w:pPr>
        <w:ind w:left="5040" w:hanging="360"/>
      </w:pPr>
    </w:lvl>
    <w:lvl w:ilvl="7" w:tplc="16DAF508">
      <w:start w:val="1"/>
      <w:numFmt w:val="lowerLetter"/>
      <w:lvlText w:val="%8."/>
      <w:lvlJc w:val="left"/>
      <w:pPr>
        <w:ind w:left="5760" w:hanging="360"/>
      </w:pPr>
    </w:lvl>
    <w:lvl w:ilvl="8" w:tplc="B834433A">
      <w:start w:val="1"/>
      <w:numFmt w:val="lowerRoman"/>
      <w:lvlText w:val="%9."/>
      <w:lvlJc w:val="right"/>
      <w:pPr>
        <w:ind w:left="6480" w:hanging="180"/>
      </w:pPr>
    </w:lvl>
  </w:abstractNum>
  <w:abstractNum w:abstractNumId="4" w15:restartNumberingAfterBreak="0">
    <w:nsid w:val="62EF1762"/>
    <w:multiLevelType w:val="hybridMultilevel"/>
    <w:tmpl w:val="2A381CB0"/>
    <w:lvl w:ilvl="0" w:tplc="DC54082A">
      <w:start w:val="4"/>
      <w:numFmt w:val="decimal"/>
      <w:lvlText w:val="%1."/>
      <w:lvlJc w:val="left"/>
      <w:pPr>
        <w:ind w:left="720" w:hanging="360"/>
      </w:pPr>
    </w:lvl>
    <w:lvl w:ilvl="1" w:tplc="AA805B70">
      <w:start w:val="1"/>
      <w:numFmt w:val="lowerLetter"/>
      <w:lvlText w:val="%2."/>
      <w:lvlJc w:val="left"/>
      <w:pPr>
        <w:ind w:left="1440" w:hanging="360"/>
      </w:pPr>
    </w:lvl>
    <w:lvl w:ilvl="2" w:tplc="39EC892C">
      <w:start w:val="1"/>
      <w:numFmt w:val="lowerRoman"/>
      <w:lvlText w:val="%3."/>
      <w:lvlJc w:val="right"/>
      <w:pPr>
        <w:ind w:left="2160" w:hanging="180"/>
      </w:pPr>
    </w:lvl>
    <w:lvl w:ilvl="3" w:tplc="F45ADB62">
      <w:start w:val="1"/>
      <w:numFmt w:val="decimal"/>
      <w:lvlText w:val="%4."/>
      <w:lvlJc w:val="left"/>
      <w:pPr>
        <w:ind w:left="2880" w:hanging="360"/>
      </w:pPr>
    </w:lvl>
    <w:lvl w:ilvl="4" w:tplc="C088D750">
      <w:start w:val="1"/>
      <w:numFmt w:val="lowerLetter"/>
      <w:lvlText w:val="%5."/>
      <w:lvlJc w:val="left"/>
      <w:pPr>
        <w:ind w:left="3600" w:hanging="360"/>
      </w:pPr>
    </w:lvl>
    <w:lvl w:ilvl="5" w:tplc="D2B03274">
      <w:start w:val="1"/>
      <w:numFmt w:val="lowerRoman"/>
      <w:lvlText w:val="%6."/>
      <w:lvlJc w:val="right"/>
      <w:pPr>
        <w:ind w:left="4320" w:hanging="180"/>
      </w:pPr>
    </w:lvl>
    <w:lvl w:ilvl="6" w:tplc="DB3E5E52">
      <w:start w:val="1"/>
      <w:numFmt w:val="decimal"/>
      <w:lvlText w:val="%7."/>
      <w:lvlJc w:val="left"/>
      <w:pPr>
        <w:ind w:left="5040" w:hanging="360"/>
      </w:pPr>
    </w:lvl>
    <w:lvl w:ilvl="7" w:tplc="E1EA7BF0">
      <w:start w:val="1"/>
      <w:numFmt w:val="lowerLetter"/>
      <w:lvlText w:val="%8."/>
      <w:lvlJc w:val="left"/>
      <w:pPr>
        <w:ind w:left="5760" w:hanging="360"/>
      </w:pPr>
    </w:lvl>
    <w:lvl w:ilvl="8" w:tplc="1D22E7CA">
      <w:start w:val="1"/>
      <w:numFmt w:val="lowerRoman"/>
      <w:lvlText w:val="%9."/>
      <w:lvlJc w:val="right"/>
      <w:pPr>
        <w:ind w:left="6480" w:hanging="180"/>
      </w:pPr>
    </w:lvl>
  </w:abstractNum>
  <w:abstractNum w:abstractNumId="5" w15:restartNumberingAfterBreak="0">
    <w:nsid w:val="65E7A450"/>
    <w:multiLevelType w:val="hybridMultilevel"/>
    <w:tmpl w:val="CF20B3F8"/>
    <w:lvl w:ilvl="0" w:tplc="CD2EFFD0">
      <w:start w:val="1"/>
      <w:numFmt w:val="decimal"/>
      <w:lvlText w:val="%1."/>
      <w:lvlJc w:val="left"/>
      <w:pPr>
        <w:ind w:left="720" w:hanging="360"/>
      </w:pPr>
    </w:lvl>
    <w:lvl w:ilvl="1" w:tplc="7AD6E06E">
      <w:start w:val="1"/>
      <w:numFmt w:val="lowerLetter"/>
      <w:lvlText w:val="%2."/>
      <w:lvlJc w:val="left"/>
      <w:pPr>
        <w:ind w:left="1440" w:hanging="360"/>
      </w:pPr>
    </w:lvl>
    <w:lvl w:ilvl="2" w:tplc="A18602B2">
      <w:start w:val="1"/>
      <w:numFmt w:val="lowerRoman"/>
      <w:lvlText w:val="%3."/>
      <w:lvlJc w:val="right"/>
      <w:pPr>
        <w:ind w:left="2160" w:hanging="180"/>
      </w:pPr>
    </w:lvl>
    <w:lvl w:ilvl="3" w:tplc="ACEA1146">
      <w:start w:val="1"/>
      <w:numFmt w:val="decimal"/>
      <w:lvlText w:val="%4."/>
      <w:lvlJc w:val="left"/>
      <w:pPr>
        <w:ind w:left="2880" w:hanging="360"/>
      </w:pPr>
    </w:lvl>
    <w:lvl w:ilvl="4" w:tplc="FB28E800">
      <w:start w:val="1"/>
      <w:numFmt w:val="lowerLetter"/>
      <w:lvlText w:val="%5."/>
      <w:lvlJc w:val="left"/>
      <w:pPr>
        <w:ind w:left="3600" w:hanging="360"/>
      </w:pPr>
    </w:lvl>
    <w:lvl w:ilvl="5" w:tplc="D9A06FE2">
      <w:start w:val="1"/>
      <w:numFmt w:val="lowerRoman"/>
      <w:lvlText w:val="%6."/>
      <w:lvlJc w:val="right"/>
      <w:pPr>
        <w:ind w:left="4320" w:hanging="180"/>
      </w:pPr>
    </w:lvl>
    <w:lvl w:ilvl="6" w:tplc="9B440E54">
      <w:start w:val="1"/>
      <w:numFmt w:val="decimal"/>
      <w:lvlText w:val="%7."/>
      <w:lvlJc w:val="left"/>
      <w:pPr>
        <w:ind w:left="5040" w:hanging="360"/>
      </w:pPr>
    </w:lvl>
    <w:lvl w:ilvl="7" w:tplc="E96A23CA">
      <w:start w:val="1"/>
      <w:numFmt w:val="lowerLetter"/>
      <w:lvlText w:val="%8."/>
      <w:lvlJc w:val="left"/>
      <w:pPr>
        <w:ind w:left="5760" w:hanging="360"/>
      </w:pPr>
    </w:lvl>
    <w:lvl w:ilvl="8" w:tplc="7B3C0DC0">
      <w:start w:val="1"/>
      <w:numFmt w:val="lowerRoman"/>
      <w:lvlText w:val="%9."/>
      <w:lvlJc w:val="right"/>
      <w:pPr>
        <w:ind w:left="6480" w:hanging="180"/>
      </w:pPr>
    </w:lvl>
  </w:abstractNum>
  <w:abstractNum w:abstractNumId="6" w15:restartNumberingAfterBreak="0">
    <w:nsid w:val="6C379088"/>
    <w:multiLevelType w:val="hybridMultilevel"/>
    <w:tmpl w:val="77741D20"/>
    <w:lvl w:ilvl="0" w:tplc="DAC2D69C">
      <w:start w:val="5"/>
      <w:numFmt w:val="decimal"/>
      <w:lvlText w:val="%1."/>
      <w:lvlJc w:val="left"/>
      <w:pPr>
        <w:ind w:left="720" w:hanging="360"/>
      </w:pPr>
    </w:lvl>
    <w:lvl w:ilvl="1" w:tplc="D6EA6B8E">
      <w:start w:val="1"/>
      <w:numFmt w:val="lowerLetter"/>
      <w:lvlText w:val="%2."/>
      <w:lvlJc w:val="left"/>
      <w:pPr>
        <w:ind w:left="1440" w:hanging="360"/>
      </w:pPr>
    </w:lvl>
    <w:lvl w:ilvl="2" w:tplc="90BE4932">
      <w:start w:val="1"/>
      <w:numFmt w:val="lowerRoman"/>
      <w:lvlText w:val="%3."/>
      <w:lvlJc w:val="right"/>
      <w:pPr>
        <w:ind w:left="2160" w:hanging="180"/>
      </w:pPr>
    </w:lvl>
    <w:lvl w:ilvl="3" w:tplc="6A5832A6">
      <w:start w:val="1"/>
      <w:numFmt w:val="decimal"/>
      <w:lvlText w:val="%4."/>
      <w:lvlJc w:val="left"/>
      <w:pPr>
        <w:ind w:left="2880" w:hanging="360"/>
      </w:pPr>
    </w:lvl>
    <w:lvl w:ilvl="4" w:tplc="8BC8F5F0">
      <w:start w:val="1"/>
      <w:numFmt w:val="lowerLetter"/>
      <w:lvlText w:val="%5."/>
      <w:lvlJc w:val="left"/>
      <w:pPr>
        <w:ind w:left="3600" w:hanging="360"/>
      </w:pPr>
    </w:lvl>
    <w:lvl w:ilvl="5" w:tplc="819E2B54">
      <w:start w:val="1"/>
      <w:numFmt w:val="lowerRoman"/>
      <w:lvlText w:val="%6."/>
      <w:lvlJc w:val="right"/>
      <w:pPr>
        <w:ind w:left="4320" w:hanging="180"/>
      </w:pPr>
    </w:lvl>
    <w:lvl w:ilvl="6" w:tplc="B7DC137C">
      <w:start w:val="1"/>
      <w:numFmt w:val="decimal"/>
      <w:lvlText w:val="%7."/>
      <w:lvlJc w:val="left"/>
      <w:pPr>
        <w:ind w:left="5040" w:hanging="360"/>
      </w:pPr>
    </w:lvl>
    <w:lvl w:ilvl="7" w:tplc="E0883EF2">
      <w:start w:val="1"/>
      <w:numFmt w:val="lowerLetter"/>
      <w:lvlText w:val="%8."/>
      <w:lvlJc w:val="left"/>
      <w:pPr>
        <w:ind w:left="5760" w:hanging="360"/>
      </w:pPr>
    </w:lvl>
    <w:lvl w:ilvl="8" w:tplc="44CCBAB4">
      <w:start w:val="1"/>
      <w:numFmt w:val="lowerRoman"/>
      <w:lvlText w:val="%9."/>
      <w:lvlJc w:val="right"/>
      <w:pPr>
        <w:ind w:left="6480" w:hanging="180"/>
      </w:pPr>
    </w:lvl>
  </w:abstractNum>
  <w:abstractNum w:abstractNumId="7" w15:restartNumberingAfterBreak="0">
    <w:nsid w:val="7BBA71B6"/>
    <w:multiLevelType w:val="hybridMultilevel"/>
    <w:tmpl w:val="55CAAD2E"/>
    <w:lvl w:ilvl="0" w:tplc="361E74CE">
      <w:start w:val="1"/>
      <w:numFmt w:val="decimal"/>
      <w:lvlText w:val="%1."/>
      <w:lvlJc w:val="left"/>
      <w:pPr>
        <w:ind w:left="720" w:hanging="360"/>
      </w:pPr>
    </w:lvl>
    <w:lvl w:ilvl="1" w:tplc="65700490">
      <w:start w:val="1"/>
      <w:numFmt w:val="lowerLetter"/>
      <w:lvlText w:val="%2."/>
      <w:lvlJc w:val="left"/>
      <w:pPr>
        <w:ind w:left="1440" w:hanging="360"/>
      </w:pPr>
    </w:lvl>
    <w:lvl w:ilvl="2" w:tplc="5FE66714">
      <w:start w:val="1"/>
      <w:numFmt w:val="lowerRoman"/>
      <w:lvlText w:val="%3."/>
      <w:lvlJc w:val="right"/>
      <w:pPr>
        <w:ind w:left="2160" w:hanging="180"/>
      </w:pPr>
    </w:lvl>
    <w:lvl w:ilvl="3" w:tplc="C876D16C">
      <w:start w:val="1"/>
      <w:numFmt w:val="decimal"/>
      <w:lvlText w:val="%4."/>
      <w:lvlJc w:val="left"/>
      <w:pPr>
        <w:ind w:left="2880" w:hanging="360"/>
      </w:pPr>
    </w:lvl>
    <w:lvl w:ilvl="4" w:tplc="BCF6C2AE">
      <w:start w:val="1"/>
      <w:numFmt w:val="lowerLetter"/>
      <w:lvlText w:val="%5."/>
      <w:lvlJc w:val="left"/>
      <w:pPr>
        <w:ind w:left="3600" w:hanging="360"/>
      </w:pPr>
    </w:lvl>
    <w:lvl w:ilvl="5" w:tplc="06346432">
      <w:start w:val="1"/>
      <w:numFmt w:val="lowerRoman"/>
      <w:lvlText w:val="%6."/>
      <w:lvlJc w:val="right"/>
      <w:pPr>
        <w:ind w:left="4320" w:hanging="180"/>
      </w:pPr>
    </w:lvl>
    <w:lvl w:ilvl="6" w:tplc="5A48D7D2">
      <w:start w:val="1"/>
      <w:numFmt w:val="decimal"/>
      <w:lvlText w:val="%7."/>
      <w:lvlJc w:val="left"/>
      <w:pPr>
        <w:ind w:left="5040" w:hanging="360"/>
      </w:pPr>
    </w:lvl>
    <w:lvl w:ilvl="7" w:tplc="4E662E2A">
      <w:start w:val="1"/>
      <w:numFmt w:val="lowerLetter"/>
      <w:lvlText w:val="%8."/>
      <w:lvlJc w:val="left"/>
      <w:pPr>
        <w:ind w:left="5760" w:hanging="360"/>
      </w:pPr>
    </w:lvl>
    <w:lvl w:ilvl="8" w:tplc="7402DF1E">
      <w:start w:val="1"/>
      <w:numFmt w:val="lowerRoman"/>
      <w:lvlText w:val="%9."/>
      <w:lvlJc w:val="right"/>
      <w:pPr>
        <w:ind w:left="6480" w:hanging="180"/>
      </w:pPr>
    </w:lvl>
  </w:abstractNum>
  <w:num w:numId="1" w16cid:durableId="250359483">
    <w:abstractNumId w:val="5"/>
  </w:num>
  <w:num w:numId="2" w16cid:durableId="583883755">
    <w:abstractNumId w:val="6"/>
  </w:num>
  <w:num w:numId="3" w16cid:durableId="2100834135">
    <w:abstractNumId w:val="4"/>
  </w:num>
  <w:num w:numId="4" w16cid:durableId="198861383">
    <w:abstractNumId w:val="3"/>
  </w:num>
  <w:num w:numId="5" w16cid:durableId="442186927">
    <w:abstractNumId w:val="0"/>
  </w:num>
  <w:num w:numId="6" w16cid:durableId="1172187879">
    <w:abstractNumId w:val="7"/>
  </w:num>
  <w:num w:numId="7" w16cid:durableId="513542062">
    <w:abstractNumId w:val="2"/>
  </w:num>
  <w:num w:numId="8" w16cid:durableId="111032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00C"/>
    <w:rsid w:val="002E44E7"/>
    <w:rsid w:val="00543F10"/>
    <w:rsid w:val="00621BC2"/>
    <w:rsid w:val="00854840"/>
    <w:rsid w:val="008B1C26"/>
    <w:rsid w:val="009750C7"/>
    <w:rsid w:val="00B75192"/>
    <w:rsid w:val="00C9232A"/>
    <w:rsid w:val="00D7768F"/>
    <w:rsid w:val="00DC600C"/>
    <w:rsid w:val="00F66E44"/>
    <w:rsid w:val="025FBF55"/>
    <w:rsid w:val="06D44B05"/>
    <w:rsid w:val="107C7764"/>
    <w:rsid w:val="15F4E529"/>
    <w:rsid w:val="1AF2E4BA"/>
    <w:rsid w:val="1F8B0C41"/>
    <w:rsid w:val="2110CF7F"/>
    <w:rsid w:val="288BDFD7"/>
    <w:rsid w:val="2A976025"/>
    <w:rsid w:val="2ACED4C4"/>
    <w:rsid w:val="2E285DAA"/>
    <w:rsid w:val="39E17F85"/>
    <w:rsid w:val="3A05FCE7"/>
    <w:rsid w:val="3C2CD67F"/>
    <w:rsid w:val="3FE93CA9"/>
    <w:rsid w:val="4064C4FE"/>
    <w:rsid w:val="4B4FF0E4"/>
    <w:rsid w:val="4DD974C5"/>
    <w:rsid w:val="51B926DF"/>
    <w:rsid w:val="52016E90"/>
    <w:rsid w:val="57DC87F4"/>
    <w:rsid w:val="5B6EA99C"/>
    <w:rsid w:val="64DC0686"/>
    <w:rsid w:val="68B7F14D"/>
    <w:rsid w:val="6AA8F568"/>
    <w:rsid w:val="7B75D190"/>
    <w:rsid w:val="7CAC140A"/>
    <w:rsid w:val="7F5E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D2E1A"/>
  <w15:chartTrackingRefBased/>
  <w15:docId w15:val="{31DAC548-86D0-4E0A-BE31-58B23183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0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0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0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0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0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0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0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0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0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0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00C"/>
    <w:rPr>
      <w:rFonts w:eastAsiaTheme="majorEastAsia" w:cstheme="majorBidi"/>
      <w:color w:val="272727" w:themeColor="text1" w:themeTint="D8"/>
    </w:rPr>
  </w:style>
  <w:style w:type="paragraph" w:styleId="Title">
    <w:name w:val="Title"/>
    <w:basedOn w:val="Normal"/>
    <w:next w:val="Normal"/>
    <w:link w:val="TitleChar"/>
    <w:uiPriority w:val="10"/>
    <w:qFormat/>
    <w:rsid w:val="00DC6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00C"/>
    <w:pPr>
      <w:spacing w:before="160"/>
      <w:jc w:val="center"/>
    </w:pPr>
    <w:rPr>
      <w:i/>
      <w:iCs/>
      <w:color w:val="404040" w:themeColor="text1" w:themeTint="BF"/>
    </w:rPr>
  </w:style>
  <w:style w:type="character" w:customStyle="1" w:styleId="QuoteChar">
    <w:name w:val="Quote Char"/>
    <w:basedOn w:val="DefaultParagraphFont"/>
    <w:link w:val="Quote"/>
    <w:uiPriority w:val="29"/>
    <w:rsid w:val="00DC600C"/>
    <w:rPr>
      <w:i/>
      <w:iCs/>
      <w:color w:val="404040" w:themeColor="text1" w:themeTint="BF"/>
    </w:rPr>
  </w:style>
  <w:style w:type="paragraph" w:styleId="ListParagraph">
    <w:name w:val="List Paragraph"/>
    <w:basedOn w:val="Normal"/>
    <w:uiPriority w:val="34"/>
    <w:qFormat/>
    <w:rsid w:val="00DC600C"/>
    <w:pPr>
      <w:ind w:left="720"/>
      <w:contextualSpacing/>
    </w:pPr>
  </w:style>
  <w:style w:type="character" w:styleId="IntenseEmphasis">
    <w:name w:val="Intense Emphasis"/>
    <w:basedOn w:val="DefaultParagraphFont"/>
    <w:uiPriority w:val="21"/>
    <w:qFormat/>
    <w:rsid w:val="00DC600C"/>
    <w:rPr>
      <w:i/>
      <w:iCs/>
      <w:color w:val="0F4761" w:themeColor="accent1" w:themeShade="BF"/>
    </w:rPr>
  </w:style>
  <w:style w:type="paragraph" w:styleId="IntenseQuote">
    <w:name w:val="Intense Quote"/>
    <w:basedOn w:val="Normal"/>
    <w:next w:val="Normal"/>
    <w:link w:val="IntenseQuoteChar"/>
    <w:uiPriority w:val="30"/>
    <w:qFormat/>
    <w:rsid w:val="00DC60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00C"/>
    <w:rPr>
      <w:i/>
      <w:iCs/>
      <w:color w:val="0F4761" w:themeColor="accent1" w:themeShade="BF"/>
    </w:rPr>
  </w:style>
  <w:style w:type="character" w:styleId="IntenseReference">
    <w:name w:val="Intense Reference"/>
    <w:basedOn w:val="DefaultParagraphFont"/>
    <w:uiPriority w:val="32"/>
    <w:qFormat/>
    <w:rsid w:val="00DC600C"/>
    <w:rPr>
      <w:b/>
      <w:bCs/>
      <w:smallCaps/>
      <w:color w:val="0F4761" w:themeColor="accent1" w:themeShade="BF"/>
      <w:spacing w:val="5"/>
    </w:rPr>
  </w:style>
  <w:style w:type="character" w:styleId="Hyperlink">
    <w:name w:val="Hyperlink"/>
    <w:basedOn w:val="DefaultParagraphFont"/>
    <w:uiPriority w:val="99"/>
    <w:unhideWhenUsed/>
    <w:rsid w:val="002E44E7"/>
    <w:rPr>
      <w:color w:val="467886" w:themeColor="hyperlink"/>
      <w:u w:val="single"/>
    </w:rPr>
  </w:style>
  <w:style w:type="character" w:styleId="UnresolvedMention">
    <w:name w:val="Unresolved Mention"/>
    <w:basedOn w:val="DefaultParagraphFont"/>
    <w:uiPriority w:val="99"/>
    <w:semiHidden/>
    <w:unhideWhenUsed/>
    <w:rsid w:val="002E4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soffmatrix.com/" TargetMode="External"/><Relationship Id="rId13" Type="http://schemas.openxmlformats.org/officeDocument/2006/relationships/hyperlink" Target="https://www.nhselect.nhs.uk/uploads/files/1/Kotter%27s%208%20steps%20of%20change.pdf" TargetMode="External"/><Relationship Id="rId18" Type="http://schemas.openxmlformats.org/officeDocument/2006/relationships/hyperlink" Target="https://doi.org/10.5172/jmo.2010.16.4.56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4324/9780080466965" TargetMode="External"/><Relationship Id="rId17" Type="http://schemas.openxmlformats.org/officeDocument/2006/relationships/hyperlink" Target="https://www.uksport.gov.uk/" TargetMode="External"/><Relationship Id="rId2" Type="http://schemas.openxmlformats.org/officeDocument/2006/relationships/customXml" Target="../customXml/item2.xml"/><Relationship Id="rId16" Type="http://schemas.openxmlformats.org/officeDocument/2006/relationships/hyperlink" Target="https://www.uef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16184740408737475" TargetMode="External"/><Relationship Id="rId5" Type="http://schemas.openxmlformats.org/officeDocument/2006/relationships/styles" Target="styles.xml"/><Relationship Id="rId15" Type="http://schemas.openxmlformats.org/officeDocument/2006/relationships/hyperlink" Target="https://www.sportengland.org/" TargetMode="External"/><Relationship Id="rId10" Type="http://schemas.openxmlformats.org/officeDocument/2006/relationships/hyperlink" Target="https://www.researchgate.net/publication/340255573_Formulation_of_Sport_Management_Strategic_Planning_using_SWOT_Analysis" TargetMode="External"/><Relationship Id="rId19" Type="http://schemas.openxmlformats.org/officeDocument/2006/relationships/hyperlink" Target="https://doi.org/10.1080/0965254x.2021.1976251" TargetMode="External"/><Relationship Id="rId4" Type="http://schemas.openxmlformats.org/officeDocument/2006/relationships/numbering" Target="numbering.xml"/><Relationship Id="rId9" Type="http://schemas.openxmlformats.org/officeDocument/2006/relationships/hyperlink" Target="https://faw.cymru/" TargetMode="External"/><Relationship Id="rId14" Type="http://schemas.openxmlformats.org/officeDocument/2006/relationships/hyperlink" Target="https://open.umn.edu/opentextbooks/textbooks/1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808331742307f62e39a1e6c62cd9898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63b64027e328f061825673dfd68a3a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3C3CDB-B161-4C17-A7B6-E5D7C8A3D3B1}">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A3B1354D-7E94-45AC-B652-2272D0C470AD}">
  <ds:schemaRefs>
    <ds:schemaRef ds:uri="http://schemas.microsoft.com/sharepoint/v3/contenttype/forms"/>
  </ds:schemaRefs>
</ds:datastoreItem>
</file>

<file path=customXml/itemProps3.xml><?xml version="1.0" encoding="utf-8"?>
<ds:datastoreItem xmlns:ds="http://schemas.openxmlformats.org/officeDocument/2006/customXml" ds:itemID="{EAAF5AB4-1152-4524-B1E4-BB993E3FA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3927</Words>
  <Characters>22388</Characters>
  <Application>Microsoft Office Word</Application>
  <DocSecurity>0</DocSecurity>
  <Lines>186</Lines>
  <Paragraphs>52</Paragraphs>
  <ScaleCrop>false</ScaleCrop>
  <Company/>
  <LinksUpToDate>false</LinksUpToDate>
  <CharactersWithSpaces>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Adelaida Terente (2224223)</dc:creator>
  <cp:keywords/>
  <dc:description/>
  <cp:lastModifiedBy>Adelaida Terente (2224223)</cp:lastModifiedBy>
  <cp:revision>8</cp:revision>
  <dcterms:created xsi:type="dcterms:W3CDTF">2026-04-15T11:52:00Z</dcterms:created>
  <dcterms:modified xsi:type="dcterms:W3CDTF">2026-04-30T12:30:00Z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