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0198EB" w14:textId="77777777" w:rsidR="009B7106" w:rsidRDefault="009B7106" w:rsidP="009B7106">
      <w:pPr>
        <w:pStyle w:val="paragraph"/>
        <w:spacing w:line="480" w:lineRule="auto"/>
        <w:textAlignment w:val="baseline"/>
        <w:rPr>
          <w:rStyle w:val="normaltextrun"/>
          <w:lang w:val="en-US"/>
        </w:rPr>
      </w:pPr>
    </w:p>
    <w:p w14:paraId="4BA7A464" w14:textId="6B261507" w:rsidR="00E803E0" w:rsidRPr="00E803E0" w:rsidRDefault="00E803E0" w:rsidP="009B7106">
      <w:pPr>
        <w:pStyle w:val="paragraph"/>
        <w:spacing w:line="480" w:lineRule="auto"/>
        <w:textAlignment w:val="baseline"/>
        <w:rPr>
          <w:lang w:val="en-US"/>
        </w:rPr>
      </w:pPr>
      <w:r w:rsidRPr="00E803E0">
        <w:rPr>
          <w:rStyle w:val="normaltextrun"/>
          <w:lang w:val="en-US"/>
        </w:rPr>
        <w:t>Question 1</w:t>
      </w:r>
      <w:r w:rsidRPr="00E803E0">
        <w:rPr>
          <w:rStyle w:val="eop"/>
          <w:lang w:val="en-US"/>
        </w:rPr>
        <w:t> </w:t>
      </w:r>
    </w:p>
    <w:p w14:paraId="795A66CB" w14:textId="7F75F432" w:rsidR="00E803E0" w:rsidRPr="00E803E0" w:rsidRDefault="00E803E0" w:rsidP="00E803E0">
      <w:pPr>
        <w:pStyle w:val="paragraph"/>
        <w:spacing w:line="480" w:lineRule="auto"/>
        <w:jc w:val="both"/>
        <w:textAlignment w:val="baseline"/>
        <w:rPr>
          <w:lang w:val="en-US"/>
        </w:rPr>
      </w:pPr>
      <w:r w:rsidRPr="00E803E0">
        <w:rPr>
          <w:rStyle w:val="normaltextrun"/>
          <w:lang w:val="en-US"/>
        </w:rPr>
        <w:t>The doctrine of separation of power can be traced back to the ancient world where the theories of a balanced and mixed government and the governmental functions concepts were advanced. A French political philosopher named Montesquieu formulated the doctrine of the separation of powers (</w:t>
      </w:r>
      <w:proofErr w:type="spellStart"/>
      <w:r w:rsidRPr="00E803E0">
        <w:rPr>
          <w:rStyle w:val="normaltextrun"/>
          <w:lang w:val="en-US"/>
        </w:rPr>
        <w:t>Hazo</w:t>
      </w:r>
      <w:proofErr w:type="spellEnd"/>
      <w:r w:rsidRPr="00E803E0">
        <w:rPr>
          <w:rStyle w:val="normaltextrun"/>
          <w:lang w:val="en-US"/>
        </w:rPr>
        <w:t xml:space="preserve">, 1968). They </w:t>
      </w:r>
      <w:r w:rsidR="009B7106" w:rsidRPr="00E803E0">
        <w:rPr>
          <w:rStyle w:val="normaltextrun"/>
          <w:lang w:val="en-US"/>
        </w:rPr>
        <w:t>were</w:t>
      </w:r>
      <w:r w:rsidRPr="00E803E0">
        <w:rPr>
          <w:rStyle w:val="normaltextrun"/>
          <w:lang w:val="en-US"/>
        </w:rPr>
        <w:t xml:space="preserve"> imperative components in developing the separation of powers doctrine. The theories of medieval and ancient government argued that the government’s process should entail elements of aristocratic, monarchic and democratic interests (Brand, 1932). The doctrine of separation of powers involved division of executive, legislative and judicial arms of government. This was considered imperative as it reduced the probability of arbitrary excessive power of the government. The three branches or arms of power were necessary in the formulation, execution and administration of the laws. The doctrine emerged in a period where the system of government that comprised of a mixture of Lords, the King and Common was considered to not be relevant hence there was a need for a new constitutional theory. Montesquieu explained his theory of Separation of Powers in four dimensions (Krause, 2000). First, in the event where the executive and legislative powers are consolidated into one organ, people’s liberty will be jeopardized as it will lead to tyrannical powers of the two organs. Second, when the legislative and judicial powers are combined, the understanding of the laws is rendered meaningless as the lawmaker will act as a law interpreter and will never admit the flaws of his or her laws. Third, when the judiciary and executive power are combined into one organ, the administration of justice will not be meaningful and flawed as the police who are part of the executive becomes the judge in the judiciary organ. Fourth, if the three arms of government, that is, executive, judiciary and legislature are combined, the power concentration is enormous, and it ends all forms of liberty.</w:t>
      </w:r>
      <w:r w:rsidRPr="00E803E0">
        <w:rPr>
          <w:rStyle w:val="eop"/>
          <w:lang w:val="en-US"/>
        </w:rPr>
        <w:t> </w:t>
      </w:r>
    </w:p>
    <w:p w14:paraId="1C266B1D" w14:textId="77777777" w:rsidR="00E803E0" w:rsidRPr="00E803E0" w:rsidRDefault="00E803E0" w:rsidP="00E803E0">
      <w:pPr>
        <w:pStyle w:val="paragraph"/>
        <w:spacing w:line="480" w:lineRule="auto"/>
        <w:jc w:val="both"/>
        <w:textAlignment w:val="baseline"/>
        <w:rPr>
          <w:lang w:val="en-US"/>
        </w:rPr>
      </w:pPr>
      <w:r w:rsidRPr="00E803E0">
        <w:rPr>
          <w:rStyle w:val="normaltextrun"/>
          <w:lang w:val="en-US"/>
        </w:rPr>
        <w:lastRenderedPageBreak/>
        <w:t>The separation of powers in the UK is demonstrated in the three arms: executive, judiciary and legislature (</w:t>
      </w:r>
      <w:proofErr w:type="spellStart"/>
      <w:r w:rsidRPr="00E803E0">
        <w:rPr>
          <w:rStyle w:val="normaltextrun"/>
          <w:lang w:val="en-US"/>
        </w:rPr>
        <w:t>Iyer</w:t>
      </w:r>
      <w:proofErr w:type="spellEnd"/>
      <w:r w:rsidRPr="00E803E0">
        <w:rPr>
          <w:rStyle w:val="normaltextrun"/>
          <w:lang w:val="en-US"/>
        </w:rPr>
        <w:t>, 2018). The executive consists of the Government (Prime Ministers and Cabinet Ministers) and the Crown. The function of the executive involves formulation and implementation policies and management of various operations. The legislature also referred to as Parliament comprises of the House of Commons, House of Lords and the Crown. The functions of Parliament include oversight on the work of the government through interrogation of ministers, formulation and amendment of legislations and review of the taxation and expenditure of the government. The judiciary is composed of the judges within the courts of law, tribunals and lay magistrates within the magistrates’ courts. The main function of the judiciary is the interpretation of the legislation. Also, the judiciary can make laws such the court’s governing procedures, rules formation and administrative functions. The three organs are considered distinct in various ways and equally intertwined.</w:t>
      </w:r>
      <w:r w:rsidRPr="00E803E0">
        <w:rPr>
          <w:rStyle w:val="eop"/>
          <w:lang w:val="en-US"/>
        </w:rPr>
        <w:t> </w:t>
      </w:r>
    </w:p>
    <w:p w14:paraId="08E80AA2" w14:textId="77777777" w:rsidR="00E803E0" w:rsidRPr="00E803E0" w:rsidRDefault="00E803E0" w:rsidP="00E803E0">
      <w:pPr>
        <w:pStyle w:val="paragraph"/>
        <w:spacing w:line="480" w:lineRule="auto"/>
        <w:jc w:val="both"/>
        <w:textAlignment w:val="baseline"/>
        <w:rPr>
          <w:lang w:val="en-US"/>
        </w:rPr>
      </w:pPr>
      <w:r w:rsidRPr="00E803E0">
        <w:rPr>
          <w:rStyle w:val="normaltextrun"/>
          <w:lang w:val="en-US"/>
        </w:rPr>
        <w:t>Separation of powers between the executive and legislature.</w:t>
      </w:r>
      <w:r w:rsidRPr="00E803E0">
        <w:rPr>
          <w:rStyle w:val="eop"/>
          <w:lang w:val="en-US"/>
        </w:rPr>
        <w:t> </w:t>
      </w:r>
    </w:p>
    <w:p w14:paraId="48ECAD30" w14:textId="77777777" w:rsidR="00E803E0" w:rsidRPr="00E803E0" w:rsidRDefault="00E803E0" w:rsidP="00E803E0">
      <w:pPr>
        <w:pStyle w:val="paragraph"/>
        <w:spacing w:line="480" w:lineRule="auto"/>
        <w:jc w:val="both"/>
        <w:textAlignment w:val="baseline"/>
        <w:rPr>
          <w:lang w:val="en-US"/>
        </w:rPr>
      </w:pPr>
      <w:r w:rsidRPr="00E803E0">
        <w:rPr>
          <w:rStyle w:val="normaltextrun"/>
          <w:lang w:val="en-US"/>
        </w:rPr>
        <w:t>Within Britain, there is a close interlinkage between the legislature and the executive. The Prime Minister together with a large percentage of his or her ministers in the executive are Members of Parliament in the House of Commons. It is believed that the integration of the legislature and executive provides efficiency and stability in the government’s operations. It is described as a system that promotes efficiency over tyranny concerns (</w:t>
      </w:r>
      <w:proofErr w:type="spellStart"/>
      <w:r w:rsidRPr="00E803E0">
        <w:rPr>
          <w:rStyle w:val="normaltextrun"/>
          <w:lang w:val="en-US"/>
        </w:rPr>
        <w:t>Krotoszynski</w:t>
      </w:r>
      <w:proofErr w:type="spellEnd"/>
      <w:r w:rsidRPr="00E803E0">
        <w:rPr>
          <w:rStyle w:val="normaltextrun"/>
          <w:lang w:val="en-US"/>
        </w:rPr>
        <w:t xml:space="preserve">, 2011). The Prime Minister is both the head of the executive arm of government and the majority party leader in the Parliament which therefore gives the executive arm of the government liberty of action than a president who enjoys the government’s presidential system. In addition, the Parliament can delegate the authority of law-making of subsidiary or delegated to the executive. This liberates Parliament from the need of examining technical issues while </w:t>
      </w:r>
      <w:r w:rsidRPr="00E803E0">
        <w:rPr>
          <w:rStyle w:val="normaltextrun"/>
          <w:lang w:val="en-US"/>
        </w:rPr>
        <w:lastRenderedPageBreak/>
        <w:t>maintaining the power of Parliamentary approval. This illustrates how the executive and legislature are not distinct powers (</w:t>
      </w:r>
      <w:proofErr w:type="spellStart"/>
      <w:r w:rsidRPr="00E803E0">
        <w:rPr>
          <w:rStyle w:val="normaltextrun"/>
          <w:lang w:val="en-US"/>
        </w:rPr>
        <w:t>Benwell</w:t>
      </w:r>
      <w:proofErr w:type="spellEnd"/>
      <w:r w:rsidRPr="00E803E0">
        <w:rPr>
          <w:rStyle w:val="normaltextrun"/>
          <w:lang w:val="en-US"/>
        </w:rPr>
        <w:t xml:space="preserve"> &amp; Gay, 2011).</w:t>
      </w:r>
      <w:r w:rsidRPr="00E803E0">
        <w:rPr>
          <w:rStyle w:val="eop"/>
          <w:lang w:val="en-US"/>
        </w:rPr>
        <w:t> </w:t>
      </w:r>
    </w:p>
    <w:p w14:paraId="3ABCD717" w14:textId="77777777" w:rsidR="00E803E0" w:rsidRPr="00E803E0" w:rsidRDefault="00E803E0" w:rsidP="00E803E0">
      <w:pPr>
        <w:pStyle w:val="paragraph"/>
        <w:spacing w:line="480" w:lineRule="auto"/>
        <w:jc w:val="both"/>
        <w:textAlignment w:val="baseline"/>
        <w:rPr>
          <w:lang w:val="en-US"/>
        </w:rPr>
      </w:pPr>
      <w:r w:rsidRPr="00E803E0">
        <w:rPr>
          <w:rStyle w:val="normaltextrun"/>
          <w:lang w:val="en-US"/>
        </w:rPr>
        <w:t>The presence of executive in Parliament facilitates the scrutiny when the relevant mechanisms have been put in place. In an executive that has a large number of seats within the commons, the critical matter is if the executive is able to dominate the Parliament and ensuring the legislation which are proposed are enacted and adequate procedures that will ensure the proposed legislation is endorsed, scrutinized or enacted by the Parliament. In order to ensure the executive does not control the legislature, the House of Commons (Disqualification) Act 1975 limits the percentage of ministers who are salaried that sit within the House of Commons. Also, the legislative arm of government has the authority to remove executive officers from office. The ministerial responsibility convention legitimizes the executive’s accountability to Parliament.</w:t>
      </w:r>
      <w:r w:rsidRPr="00E803E0">
        <w:rPr>
          <w:rStyle w:val="eop"/>
          <w:lang w:val="en-US"/>
        </w:rPr>
        <w:t> </w:t>
      </w:r>
    </w:p>
    <w:p w14:paraId="79946039" w14:textId="77777777" w:rsidR="00E803E0" w:rsidRPr="00E803E0" w:rsidRDefault="00E803E0" w:rsidP="00E803E0">
      <w:pPr>
        <w:pStyle w:val="paragraph"/>
        <w:spacing w:line="480" w:lineRule="auto"/>
        <w:jc w:val="both"/>
        <w:textAlignment w:val="baseline"/>
        <w:rPr>
          <w:lang w:val="en-US"/>
        </w:rPr>
      </w:pPr>
      <w:r w:rsidRPr="00E803E0">
        <w:rPr>
          <w:rStyle w:val="normaltextrun"/>
          <w:lang w:val="en-US"/>
        </w:rPr>
        <w:t>Separation of powers of Legislature and judiciary</w:t>
      </w:r>
      <w:r w:rsidRPr="00E803E0">
        <w:rPr>
          <w:rStyle w:val="eop"/>
          <w:lang w:val="en-US"/>
        </w:rPr>
        <w:t> </w:t>
      </w:r>
    </w:p>
    <w:p w14:paraId="4C3C66DD" w14:textId="77777777" w:rsidR="00E803E0" w:rsidRPr="00E803E0" w:rsidRDefault="00E803E0" w:rsidP="00E803E0">
      <w:pPr>
        <w:pStyle w:val="paragraph"/>
        <w:spacing w:line="480" w:lineRule="auto"/>
        <w:jc w:val="both"/>
        <w:textAlignment w:val="baseline"/>
        <w:rPr>
          <w:lang w:val="en-US"/>
        </w:rPr>
      </w:pPr>
      <w:r w:rsidRPr="00E803E0">
        <w:rPr>
          <w:rStyle w:val="normaltextrun"/>
          <w:lang w:val="en-US"/>
        </w:rPr>
        <w:t xml:space="preserve">According to the House of Commons (Disqualification) Act 1975, judges in United Kingdom are not allowed to vie for elective seats to Parliament. Judges have the obligation to interpret legislation in accordance with the Parliament’s intention and have the powers to create common law. Based on the Constitution, judges are deemed to be subordinate to the legislature hence cannot challenge the validity of parliamentary legislation. The judges within the higher courts have life tenure. This aids in the protection of the independence of the judiciary and the resolution is needed from both the House of Commons and House of Lords in order to expel a judge of the High Court from office (Ervin, 1970). On the other hand, judges in the lower-level courts can be removed </w:t>
      </w:r>
      <w:proofErr w:type="gramStart"/>
      <w:r w:rsidRPr="00E803E0">
        <w:rPr>
          <w:rStyle w:val="normaltextrun"/>
          <w:lang w:val="en-US"/>
        </w:rPr>
        <w:t>subsequent to</w:t>
      </w:r>
      <w:proofErr w:type="gramEnd"/>
      <w:r w:rsidRPr="00E803E0">
        <w:rPr>
          <w:rStyle w:val="normaltextrun"/>
          <w:lang w:val="en-US"/>
        </w:rPr>
        <w:t xml:space="preserve"> disciplinary proceedings. In addition, judges have immunity from legal action in terms of the functions of the judiciary and have absolute privilege on proceedings of the court.</w:t>
      </w:r>
      <w:r w:rsidRPr="00E803E0">
        <w:rPr>
          <w:rStyle w:val="eop"/>
          <w:lang w:val="en-US"/>
        </w:rPr>
        <w:t> </w:t>
      </w:r>
    </w:p>
    <w:p w14:paraId="44430560" w14:textId="77777777" w:rsidR="00E803E0" w:rsidRPr="00E803E0" w:rsidRDefault="00E803E0" w:rsidP="00E803E0">
      <w:pPr>
        <w:pStyle w:val="paragraph"/>
        <w:spacing w:line="480" w:lineRule="auto"/>
        <w:jc w:val="both"/>
        <w:textAlignment w:val="baseline"/>
        <w:rPr>
          <w:lang w:val="en-US"/>
        </w:rPr>
      </w:pPr>
      <w:r w:rsidRPr="00E803E0">
        <w:rPr>
          <w:rStyle w:val="normaltextrun"/>
          <w:lang w:val="en-US"/>
        </w:rPr>
        <w:lastRenderedPageBreak/>
        <w:t xml:space="preserve">On matters of law-making of the judges, in the case of </w:t>
      </w:r>
      <w:proofErr w:type="spellStart"/>
      <w:r w:rsidRPr="00E803E0">
        <w:rPr>
          <w:rStyle w:val="normaltextrun"/>
          <w:i/>
          <w:iCs/>
          <w:lang w:val="en-US"/>
        </w:rPr>
        <w:t>Magor</w:t>
      </w:r>
      <w:proofErr w:type="spellEnd"/>
      <w:r w:rsidRPr="00E803E0">
        <w:rPr>
          <w:rStyle w:val="normaltextrun"/>
          <w:i/>
          <w:iCs/>
          <w:lang w:val="en-US"/>
        </w:rPr>
        <w:t xml:space="preserve"> and St. </w:t>
      </w:r>
      <w:proofErr w:type="spellStart"/>
      <w:r w:rsidRPr="00E803E0">
        <w:rPr>
          <w:rStyle w:val="normaltextrun"/>
          <w:i/>
          <w:iCs/>
          <w:lang w:val="en-US"/>
        </w:rPr>
        <w:t>Mellons</w:t>
      </w:r>
      <w:proofErr w:type="spellEnd"/>
      <w:r w:rsidRPr="00E803E0">
        <w:rPr>
          <w:rStyle w:val="normaltextrun"/>
          <w:i/>
          <w:iCs/>
          <w:lang w:val="en-US"/>
        </w:rPr>
        <w:t xml:space="preserve"> Rural District Council vs Newport Corporation</w:t>
      </w:r>
      <w:r w:rsidRPr="00E803E0">
        <w:rPr>
          <w:rStyle w:val="normaltextrun"/>
          <w:b/>
          <w:bCs/>
          <w:i/>
          <w:iCs/>
          <w:lang w:val="en-US"/>
        </w:rPr>
        <w:t xml:space="preserve"> </w:t>
      </w:r>
      <w:r w:rsidRPr="00E803E0">
        <w:rPr>
          <w:rStyle w:val="normaltextrun"/>
          <w:i/>
          <w:iCs/>
          <w:lang w:val="en-US"/>
        </w:rPr>
        <w:t>HL 1951</w:t>
      </w:r>
      <w:r w:rsidRPr="00E803E0">
        <w:rPr>
          <w:rStyle w:val="normaltextrun"/>
          <w:lang w:val="en-US"/>
        </w:rPr>
        <w:t xml:space="preserve">, the House of Lords dismissed Lord Denning’s approach where he opined that in instances where there are gaps in the law, the court has the duty to fill those gaps. The House of Lords held that this would amount to trespassing of the function of the Parliament (Gwyn, 1965). In the case of </w:t>
      </w:r>
      <w:r w:rsidRPr="00E803E0">
        <w:rPr>
          <w:rStyle w:val="normaltextrun"/>
          <w:i/>
          <w:iCs/>
          <w:lang w:val="en-US"/>
        </w:rPr>
        <w:t>Jackson v Her Majesty’s Attorney General [2005] UKHL 56,</w:t>
      </w:r>
      <w:r w:rsidRPr="00E803E0">
        <w:rPr>
          <w:rStyle w:val="normaltextrun"/>
          <w:lang w:val="en-US"/>
        </w:rPr>
        <w:t xml:space="preserve"> entailed the application of the Acts of Parliament to Hunting Act 2004, the House of Lords examined the connection between the sovereignty of parliament together with the rule of law in a manner that is novel hence suggesting that there were boundaries on the parliament’s sovereignty in instances where constitutional fundamentals are at risk. The relationship between the legislature and judiciary is described as “constitutional partnership”. This is because the legislature has the authority to give implied approval on laws made by the judges through not interfering with it. The Human Rights Act is perceived to have prompted a compromise between the doctrine of rule of law and sovereignty of Parliament. The compromise is dependent on the level of restraint from the Parliament and the judges within the Judiciary. </w:t>
      </w:r>
      <w:r w:rsidRPr="00E803E0">
        <w:rPr>
          <w:rStyle w:val="eop"/>
          <w:lang w:val="en-US"/>
        </w:rPr>
        <w:t> </w:t>
      </w:r>
    </w:p>
    <w:p w14:paraId="5A320C97" w14:textId="77777777" w:rsidR="00E803E0" w:rsidRPr="00E803E0" w:rsidRDefault="00E803E0" w:rsidP="00E803E0">
      <w:pPr>
        <w:pStyle w:val="paragraph"/>
        <w:spacing w:line="480" w:lineRule="auto"/>
        <w:jc w:val="both"/>
        <w:textAlignment w:val="baseline"/>
        <w:rPr>
          <w:lang w:val="en-US"/>
        </w:rPr>
      </w:pPr>
      <w:r w:rsidRPr="00E803E0">
        <w:rPr>
          <w:rStyle w:val="normaltextrun"/>
          <w:lang w:val="en-US"/>
        </w:rPr>
        <w:t xml:space="preserve">In the case of </w:t>
      </w:r>
      <w:r w:rsidRPr="00E803E0">
        <w:rPr>
          <w:rStyle w:val="normaltextrun"/>
          <w:i/>
          <w:iCs/>
          <w:lang w:val="en-US"/>
        </w:rPr>
        <w:t xml:space="preserve">R v Secretary of State for Transport ex </w:t>
      </w:r>
      <w:proofErr w:type="spellStart"/>
      <w:r w:rsidRPr="00E803E0">
        <w:rPr>
          <w:rStyle w:val="normaltextrun"/>
          <w:i/>
          <w:iCs/>
          <w:lang w:val="en-US"/>
        </w:rPr>
        <w:t>parte</w:t>
      </w:r>
      <w:proofErr w:type="spellEnd"/>
      <w:r w:rsidRPr="00E803E0">
        <w:rPr>
          <w:rStyle w:val="normaltextrun"/>
          <w:i/>
          <w:iCs/>
          <w:lang w:val="en-US"/>
        </w:rPr>
        <w:t xml:space="preserve"> Factortame Ltd (No 2) [1990] 2 AC 85</w:t>
      </w:r>
      <w:r w:rsidRPr="00E803E0">
        <w:rPr>
          <w:rStyle w:val="normaltextrun"/>
          <w:lang w:val="en-US"/>
        </w:rPr>
        <w:t>, the court construed that the European Communities Act 1973 meant the domestic legislation of the UK is not applicable in the event where it contravened European law. This was deemed to be a departure from the Sovereignty of Parliament principle. According to Human Rights Act 1998 section 4, a court can make a declaration that a statute is not compatible with the European Convention on Human Rights hence the Government has the obligation based on the Convention to rectify such forms of inconsistencies.</w:t>
      </w:r>
      <w:r w:rsidRPr="00E803E0">
        <w:rPr>
          <w:rStyle w:val="eop"/>
          <w:lang w:val="en-US"/>
        </w:rPr>
        <w:t> </w:t>
      </w:r>
    </w:p>
    <w:p w14:paraId="4D19D917" w14:textId="77777777" w:rsidR="00E803E0" w:rsidRPr="00E803E0" w:rsidRDefault="00E803E0" w:rsidP="00E803E0">
      <w:pPr>
        <w:pStyle w:val="paragraph"/>
        <w:spacing w:line="480" w:lineRule="auto"/>
        <w:jc w:val="both"/>
        <w:textAlignment w:val="baseline"/>
        <w:rPr>
          <w:lang w:val="en-US"/>
        </w:rPr>
      </w:pPr>
      <w:r w:rsidRPr="00E803E0">
        <w:rPr>
          <w:rStyle w:val="normaltextrun"/>
          <w:lang w:val="en-US"/>
        </w:rPr>
        <w:t xml:space="preserve">Under the Bill of Rights 1689, Article 9 the Parliamentary privilege of Parliament is established: freedom of speech and debate. It is a privilege that is absolute and is deemed to be </w:t>
      </w:r>
      <w:r w:rsidRPr="00E803E0">
        <w:rPr>
          <w:rStyle w:val="normaltextrun"/>
          <w:lang w:val="en-US"/>
        </w:rPr>
        <w:lastRenderedPageBreak/>
        <w:t>of high constitutional essence. The courts are prohibited from acting in contravention of this privilege as it will be deemed to not be constitutional. The courts are not allowed to prohibit or restrict the proceedings or debate of the Parliament. On the other hand, the Members of Parliament are not allowed to criticize the decisions of the courts. This is based on sub judice rule that prevents interference of Parliament in instances where the cases are brought before the courts.</w:t>
      </w:r>
      <w:r w:rsidRPr="00E803E0">
        <w:rPr>
          <w:rStyle w:val="eop"/>
          <w:lang w:val="en-US"/>
        </w:rPr>
        <w:t> </w:t>
      </w:r>
    </w:p>
    <w:p w14:paraId="73AA3832" w14:textId="77777777" w:rsidR="00E803E0" w:rsidRPr="00E803E0" w:rsidRDefault="00E803E0" w:rsidP="00E803E0">
      <w:pPr>
        <w:pStyle w:val="paragraph"/>
        <w:spacing w:line="480" w:lineRule="auto"/>
        <w:jc w:val="both"/>
        <w:textAlignment w:val="baseline"/>
        <w:rPr>
          <w:lang w:val="en-US"/>
        </w:rPr>
      </w:pPr>
      <w:r w:rsidRPr="00E803E0">
        <w:rPr>
          <w:rStyle w:val="normaltextrun"/>
          <w:lang w:val="en-US"/>
        </w:rPr>
        <w:t>Separation of powers between the Judiciary and Executive.</w:t>
      </w:r>
      <w:r w:rsidRPr="00E803E0">
        <w:rPr>
          <w:rStyle w:val="eop"/>
          <w:lang w:val="en-US"/>
        </w:rPr>
        <w:t> </w:t>
      </w:r>
    </w:p>
    <w:p w14:paraId="5EBF2CDD" w14:textId="77777777" w:rsidR="00E803E0" w:rsidRDefault="00E803E0" w:rsidP="00E803E0">
      <w:pPr>
        <w:pStyle w:val="paragraph"/>
        <w:spacing w:line="480" w:lineRule="auto"/>
        <w:jc w:val="both"/>
        <w:textAlignment w:val="baseline"/>
        <w:rPr>
          <w:rStyle w:val="normaltextrun"/>
          <w:lang w:val="en-US"/>
        </w:rPr>
      </w:pPr>
      <w:r w:rsidRPr="00E803E0">
        <w:rPr>
          <w:rStyle w:val="normaltextrun"/>
          <w:lang w:val="en-US"/>
        </w:rPr>
        <w:t xml:space="preserve">The examining function of the judiciary in terms of the functions of the executive is ensuring that subsidiary laws are consistent with the power that was given to it by the Parliament and determining the legality of the action of the government together with the public authorities’ actions (Saunders, 2006). Judicial review refers to a procedure that the courts can question the legality of the public bodies’ actions. In order to exercise this function, it is imperative for the judiciary to be independent of the influence of Parliament and the government. In the case of </w:t>
      </w:r>
      <w:r w:rsidRPr="00E803E0">
        <w:rPr>
          <w:rStyle w:val="normaltextrun"/>
          <w:i/>
          <w:iCs/>
          <w:lang w:val="en-US"/>
        </w:rPr>
        <w:t>A v Secretary of State for Home Department [1963] 1 QB 829</w:t>
      </w:r>
      <w:r w:rsidRPr="00E803E0">
        <w:rPr>
          <w:rStyle w:val="normaltextrun"/>
          <w:lang w:val="en-US"/>
        </w:rPr>
        <w:t xml:space="preserve">, which entailed the detention of suspected international terrorists without charge in </w:t>
      </w:r>
      <w:proofErr w:type="spellStart"/>
      <w:r w:rsidRPr="00E803E0">
        <w:rPr>
          <w:rStyle w:val="normaltextrun"/>
          <w:lang w:val="en-US"/>
        </w:rPr>
        <w:t>Belmarsh</w:t>
      </w:r>
      <w:proofErr w:type="spellEnd"/>
      <w:r w:rsidRPr="00E803E0">
        <w:rPr>
          <w:rStyle w:val="normaltextrun"/>
          <w:lang w:val="en-US"/>
        </w:rPr>
        <w:t xml:space="preserve"> prison. The Attorney General stated that this case entailed matters that were political in nature hence political intervention as opposed to judicial interventions. The court dismissed this argument. It held that it was the duty of independent judges to interpret and apply the law and it has been recognized globally as an imperative component of a modern state that is democratic.</w:t>
      </w:r>
    </w:p>
    <w:p w14:paraId="2E0CA90B" w14:textId="77777777" w:rsidR="00E803E0" w:rsidRDefault="00E803E0" w:rsidP="00E803E0">
      <w:pPr>
        <w:pStyle w:val="paragraph"/>
        <w:spacing w:line="480" w:lineRule="auto"/>
        <w:jc w:val="both"/>
        <w:textAlignment w:val="baseline"/>
        <w:rPr>
          <w:rStyle w:val="normaltextrun"/>
          <w:lang w:val="en-US"/>
        </w:rPr>
      </w:pPr>
    </w:p>
    <w:p w14:paraId="29BF486E" w14:textId="77777777" w:rsidR="00E803E0" w:rsidRDefault="00E803E0" w:rsidP="00E803E0">
      <w:pPr>
        <w:pStyle w:val="paragraph"/>
        <w:spacing w:line="480" w:lineRule="auto"/>
        <w:jc w:val="both"/>
        <w:textAlignment w:val="baseline"/>
        <w:rPr>
          <w:rStyle w:val="normaltextrun"/>
          <w:lang w:val="en-US"/>
        </w:rPr>
      </w:pPr>
    </w:p>
    <w:p w14:paraId="643AC522" w14:textId="36BDC870" w:rsidR="00E803E0" w:rsidRPr="00E803E0" w:rsidRDefault="00E803E0" w:rsidP="00E803E0">
      <w:pPr>
        <w:pStyle w:val="paragraph"/>
        <w:spacing w:line="480" w:lineRule="auto"/>
        <w:jc w:val="both"/>
        <w:textAlignment w:val="baseline"/>
        <w:rPr>
          <w:lang w:val="en-US"/>
        </w:rPr>
      </w:pPr>
      <w:r w:rsidRPr="00E803E0">
        <w:rPr>
          <w:rStyle w:val="eop"/>
          <w:lang w:val="en-US"/>
        </w:rPr>
        <w:t> </w:t>
      </w:r>
    </w:p>
    <w:p w14:paraId="3DA983A4" w14:textId="77777777" w:rsidR="00E803E0" w:rsidRPr="00E803E0" w:rsidRDefault="00E803E0" w:rsidP="00E803E0">
      <w:pPr>
        <w:pStyle w:val="paragraph"/>
        <w:spacing w:line="480" w:lineRule="auto"/>
        <w:jc w:val="both"/>
        <w:textAlignment w:val="baseline"/>
        <w:rPr>
          <w:lang w:val="en-US"/>
        </w:rPr>
      </w:pPr>
      <w:r w:rsidRPr="00E803E0">
        <w:rPr>
          <w:rStyle w:val="normaltextrun"/>
          <w:lang w:val="en-US"/>
        </w:rPr>
        <w:lastRenderedPageBreak/>
        <w:t>Question 2.</w:t>
      </w:r>
      <w:r w:rsidRPr="00E803E0">
        <w:rPr>
          <w:rStyle w:val="eop"/>
          <w:lang w:val="en-US"/>
        </w:rPr>
        <w:t> </w:t>
      </w:r>
    </w:p>
    <w:p w14:paraId="2B2BFFB3" w14:textId="77777777" w:rsidR="00E803E0" w:rsidRPr="00E803E0" w:rsidRDefault="00E803E0" w:rsidP="00E803E0">
      <w:pPr>
        <w:pStyle w:val="paragraph"/>
        <w:numPr>
          <w:ilvl w:val="0"/>
          <w:numId w:val="2"/>
        </w:numPr>
        <w:spacing w:line="480" w:lineRule="auto"/>
        <w:ind w:left="1080" w:firstLine="0"/>
        <w:textAlignment w:val="baseline"/>
        <w:rPr>
          <w:lang w:val="en-US"/>
        </w:rPr>
      </w:pPr>
      <w:r w:rsidRPr="00E803E0">
        <w:rPr>
          <w:rStyle w:val="normaltextrun"/>
          <w:lang w:val="en-US"/>
        </w:rPr>
        <w:t> </w:t>
      </w:r>
      <w:r w:rsidRPr="00E803E0">
        <w:rPr>
          <w:rStyle w:val="eop"/>
          <w:lang w:val="en-US"/>
        </w:rPr>
        <w:t> </w:t>
      </w:r>
    </w:p>
    <w:p w14:paraId="51FD36B1" w14:textId="77777777" w:rsidR="00E803E0" w:rsidRPr="00E803E0" w:rsidRDefault="00E803E0" w:rsidP="00E803E0">
      <w:pPr>
        <w:pStyle w:val="paragraph"/>
        <w:spacing w:line="480" w:lineRule="auto"/>
        <w:jc w:val="both"/>
        <w:textAlignment w:val="baseline"/>
        <w:rPr>
          <w:lang w:val="en-US"/>
        </w:rPr>
      </w:pPr>
      <w:r w:rsidRPr="00E803E0">
        <w:rPr>
          <w:rStyle w:val="normaltextrun"/>
          <w:lang w:val="en-US"/>
        </w:rPr>
        <w:t>The European Convention on Human Rights has provisions on the right to protest peacefully. Under Article 10 and 11 of the ECHR, every individual has a right to freedom of expression and assembly and right to peaceful protest. These rights are fundamental components of a society that is liberal and democratic. Nonetheless, these fundamental rights are not absolute. This means that there are instances when the government is justified to interfere with these rights as stipulated under the law. This is imperative when pursuing an aim that is legitimate and the interference is supposed to be proportional to the aim. The UK has various laws that provide a framework for the purposes of policing protests. Some of the legislations include the Public Order Act 1986 which gives the police the power to put in place restrictions on protests and in some instances prohibit protests that are likely to cause grave disturbance to public order. There is a range of criminal offences that apply to protestors such as highway obstruction and aggravated trespass. Also, there are various civil remedies which as used to halt protests. Under Protection from Harassment Act 1997, people and organizations can make an application for civil injunctions that will restrain the protestors from demonstrating in a manner that will lead to harassment or harm.</w:t>
      </w:r>
      <w:r w:rsidRPr="00E803E0">
        <w:rPr>
          <w:rStyle w:val="eop"/>
          <w:lang w:val="en-US"/>
        </w:rPr>
        <w:t> </w:t>
      </w:r>
    </w:p>
    <w:p w14:paraId="7A27F4C5" w14:textId="77777777" w:rsidR="00E803E0" w:rsidRPr="00E803E0" w:rsidRDefault="00E803E0" w:rsidP="00E803E0">
      <w:pPr>
        <w:pStyle w:val="paragraph"/>
        <w:spacing w:line="480" w:lineRule="auto"/>
        <w:jc w:val="both"/>
        <w:textAlignment w:val="baseline"/>
        <w:rPr>
          <w:lang w:val="en-US"/>
        </w:rPr>
      </w:pPr>
      <w:r w:rsidRPr="00E803E0">
        <w:rPr>
          <w:rStyle w:val="normaltextrun"/>
          <w:lang w:val="en-US"/>
        </w:rPr>
        <w:t xml:space="preserve">The government can enact laws that limit the right to protest and maintaining of public order. Some of the grounds of restricting these rights include public safety or national security, protection of the freedom and rights of others and the prevention of disorder and crime. The powers of the police when restricting these protests should be done in a manner that is proportional to one of the grounds listed previously. According to the Public Order Act 1986, the police have the following powers during a protest march: the protesters are required to give a notification to the police when planning for a protest. The police are allowed to file for a </w:t>
      </w:r>
      <w:r w:rsidRPr="00E803E0">
        <w:rPr>
          <w:rStyle w:val="normaltextrun"/>
          <w:lang w:val="en-US"/>
        </w:rPr>
        <w:lastRenderedPageBreak/>
        <w:t>request of a march to be prohibited in the event where they have concern on public order. The Act also authorizes the police to impose conditions on protests that are likely to cause serious disruption, grave damage to property and they are likely to incite behavior that is unlawful.</w:t>
      </w:r>
      <w:r w:rsidRPr="00E803E0">
        <w:rPr>
          <w:rStyle w:val="eop"/>
          <w:lang w:val="en-US"/>
        </w:rPr>
        <w:t> </w:t>
      </w:r>
    </w:p>
    <w:p w14:paraId="69E62CEA" w14:textId="77777777" w:rsidR="00E803E0" w:rsidRPr="00E803E0" w:rsidRDefault="00E803E0" w:rsidP="00E803E0">
      <w:pPr>
        <w:pStyle w:val="paragraph"/>
        <w:spacing w:line="480" w:lineRule="auto"/>
        <w:jc w:val="both"/>
        <w:textAlignment w:val="baseline"/>
        <w:rPr>
          <w:lang w:val="en-US"/>
        </w:rPr>
      </w:pPr>
      <w:r w:rsidRPr="00E803E0">
        <w:rPr>
          <w:rStyle w:val="normaltextrun"/>
          <w:lang w:val="en-US"/>
        </w:rPr>
        <w:t>The Public Order Act 1986 section 11 stipulates that organizer of a protest march are required to give a notification to the police. The notice entails details on the time, route and date of the march and the names of the organizers. The notice is supposed to be issued at least six days before the march unless it is not practical.</w:t>
      </w:r>
      <w:r w:rsidRPr="00E803E0">
        <w:rPr>
          <w:rStyle w:val="eop"/>
          <w:lang w:val="en-US"/>
        </w:rPr>
        <w:t> </w:t>
      </w:r>
    </w:p>
    <w:p w14:paraId="3E55F6E2" w14:textId="77777777" w:rsidR="00E803E0" w:rsidRPr="00E803E0" w:rsidRDefault="00E803E0" w:rsidP="00E803E0">
      <w:pPr>
        <w:pStyle w:val="paragraph"/>
        <w:spacing w:line="480" w:lineRule="auto"/>
        <w:jc w:val="both"/>
        <w:textAlignment w:val="baseline"/>
        <w:rPr>
          <w:lang w:val="en-US"/>
        </w:rPr>
      </w:pPr>
      <w:r w:rsidRPr="00E803E0">
        <w:rPr>
          <w:rStyle w:val="normaltextrun"/>
          <w:lang w:val="en-US"/>
        </w:rPr>
        <w:t>The police have the powers to request a relevant local authority to ban a protest march. Based on Section 13(1), Public Order Act 1986, this is done when the police are uncertain about their ability to police the march in a safe manner. The police can give condition on protests that are ongoing or planned for purposes of maintaining public order.</w:t>
      </w:r>
      <w:r w:rsidRPr="00E803E0">
        <w:rPr>
          <w:rStyle w:val="eop"/>
          <w:lang w:val="en-US"/>
        </w:rPr>
        <w:t> </w:t>
      </w:r>
    </w:p>
    <w:p w14:paraId="02ED08D5" w14:textId="77777777" w:rsidR="00E803E0" w:rsidRPr="00E803E0" w:rsidRDefault="00E803E0" w:rsidP="00E803E0">
      <w:pPr>
        <w:pStyle w:val="paragraph"/>
        <w:spacing w:line="480" w:lineRule="auto"/>
        <w:jc w:val="both"/>
        <w:textAlignment w:val="baseline"/>
        <w:rPr>
          <w:lang w:val="en-US"/>
        </w:rPr>
      </w:pPr>
      <w:r w:rsidRPr="00E803E0">
        <w:rPr>
          <w:rStyle w:val="normaltextrun"/>
          <w:lang w:val="en-US"/>
        </w:rPr>
        <w:t xml:space="preserve">The Chief Constable has authority to control or prohibit intended marches. Under section 12 of the Public Order Act 1986, senior police officers are authorized to give directions to people who will engage in the protest march. These directions entail imposing conditions on protest march which is necessary in prohibiting damage, intimidation, disorder or damage. This is inclusive of proscribing the route the march will take. Section 14 of the Public Order Act also authorizes senior police officers to impose conditions to people who are planning or taking part in the protests. The chief constable is allowed to impose any form of condition that is deemed necessary during a protest march. </w:t>
      </w:r>
      <w:r w:rsidRPr="00E803E0">
        <w:rPr>
          <w:rStyle w:val="eop"/>
          <w:lang w:val="en-US"/>
        </w:rPr>
        <w:t> </w:t>
      </w:r>
    </w:p>
    <w:p w14:paraId="5A7886DA" w14:textId="77777777" w:rsidR="00E803E0" w:rsidRPr="00E803E0" w:rsidRDefault="00E803E0" w:rsidP="00E803E0">
      <w:pPr>
        <w:pStyle w:val="paragraph"/>
        <w:spacing w:line="480" w:lineRule="auto"/>
        <w:jc w:val="both"/>
        <w:textAlignment w:val="baseline"/>
        <w:rPr>
          <w:lang w:val="en-US"/>
        </w:rPr>
      </w:pPr>
      <w:r w:rsidRPr="00E803E0">
        <w:rPr>
          <w:rStyle w:val="normaltextrun"/>
          <w:lang w:val="en-US"/>
        </w:rPr>
        <w:t xml:space="preserve">Under the Public Order Act 1986, the Chief Constable is allowed to issue a direction on a protest if he or she have reasonable belief that the protest is likely to resort to public order, grave disruption of the community life and serious property damage. Another instance when the Chief Constable can issue a direction on a protest when the aim of the protest to intimidate </w:t>
      </w:r>
      <w:r w:rsidRPr="00E803E0">
        <w:rPr>
          <w:rStyle w:val="normaltextrun"/>
          <w:lang w:val="en-US"/>
        </w:rPr>
        <w:lastRenderedPageBreak/>
        <w:t>other people and to coerce them to either engage in act that they people have a right to do or not to act in a right that they have a right to.</w:t>
      </w:r>
      <w:r w:rsidRPr="00E803E0">
        <w:rPr>
          <w:rStyle w:val="eop"/>
          <w:lang w:val="en-US"/>
        </w:rPr>
        <w:t> </w:t>
      </w:r>
    </w:p>
    <w:p w14:paraId="5CDA513B" w14:textId="77777777" w:rsidR="00E803E0" w:rsidRPr="00E803E0" w:rsidRDefault="00E803E0" w:rsidP="00E803E0">
      <w:pPr>
        <w:pStyle w:val="paragraph"/>
        <w:spacing w:line="480" w:lineRule="auto"/>
        <w:jc w:val="both"/>
        <w:textAlignment w:val="baseline"/>
        <w:rPr>
          <w:lang w:val="en-US"/>
        </w:rPr>
      </w:pPr>
      <w:r w:rsidRPr="00E803E0">
        <w:rPr>
          <w:rStyle w:val="normaltextrun"/>
          <w:lang w:val="en-US"/>
        </w:rPr>
        <w:t>b)</w:t>
      </w:r>
      <w:r w:rsidRPr="00E803E0">
        <w:rPr>
          <w:rStyle w:val="eop"/>
          <w:lang w:val="en-US"/>
        </w:rPr>
        <w:t> </w:t>
      </w:r>
    </w:p>
    <w:p w14:paraId="3E6B34D4" w14:textId="77777777" w:rsidR="00E803E0" w:rsidRPr="00E803E0" w:rsidRDefault="00E803E0" w:rsidP="00E803E0">
      <w:pPr>
        <w:pStyle w:val="paragraph"/>
        <w:spacing w:line="480" w:lineRule="auto"/>
        <w:jc w:val="both"/>
        <w:textAlignment w:val="baseline"/>
        <w:rPr>
          <w:lang w:val="en-US"/>
        </w:rPr>
      </w:pPr>
      <w:r w:rsidRPr="00E803E0">
        <w:rPr>
          <w:rStyle w:val="normaltextrun"/>
          <w:lang w:val="en-US"/>
        </w:rPr>
        <w:t xml:space="preserve">The College of Policing which is the body with the responsibility of setting professional standards in policing has set up Authorized Professional Practice (APP) 46 guidance on matters pertaining to public order policing. The aim of this APP is to guide police on how to handle any public event that is of large scale inclusive of protest policing. All police officers and staff are supposed to abide by APP when carrying out their duties. The APP is not definitive hence there are instances when officers are likely to deviate from it because it has a legitimate reason to do it. The APP states that the police are supposed to begin with a presumption that favors the facilitation of an assembly that is peaceful. The senior police officers policing a public order event should be accredited and trained. The commanders are expected to take an approach that is flexible during an event. The decisions that they make should be based on a threat assessment. It is imperative they deploy tactics and use their powers in a proportionate manner. Also, the decision made should depict application and consideration of principles of human rights that are relevant. </w:t>
      </w:r>
      <w:r w:rsidRPr="00E803E0">
        <w:rPr>
          <w:rStyle w:val="eop"/>
          <w:lang w:val="en-US"/>
        </w:rPr>
        <w:t> </w:t>
      </w:r>
    </w:p>
    <w:p w14:paraId="31D66E2D" w14:textId="12C729DB" w:rsidR="00E803E0" w:rsidRPr="00E803E0" w:rsidRDefault="00E803E0" w:rsidP="009B7106">
      <w:pPr>
        <w:pStyle w:val="paragraph"/>
        <w:spacing w:line="480" w:lineRule="auto"/>
        <w:textAlignment w:val="baseline"/>
        <w:rPr>
          <w:lang w:val="en-US"/>
        </w:rPr>
      </w:pPr>
      <w:r w:rsidRPr="00E803E0">
        <w:rPr>
          <w:rStyle w:val="normaltextrun"/>
          <w:lang w:val="en-US"/>
        </w:rPr>
        <w:t xml:space="preserve">Under the European Convention on Human Rights, reasonable force refers to force that </w:t>
      </w:r>
      <w:proofErr w:type="gramStart"/>
      <w:r w:rsidRPr="00E803E0">
        <w:rPr>
          <w:rStyle w:val="normaltextrun"/>
          <w:lang w:val="en-US"/>
        </w:rPr>
        <w:t>is considered to be</w:t>
      </w:r>
      <w:proofErr w:type="gramEnd"/>
      <w:r w:rsidRPr="00E803E0">
        <w:rPr>
          <w:rStyle w:val="normaltextrun"/>
          <w:lang w:val="en-US"/>
        </w:rPr>
        <w:t xml:space="preserve"> essential based on grounds that are authorized by law. In deciding if it is appropriate to use force during the policing of protects, there are various factors to be considered, that is the intensity of the threat which prompts the usage of force and if the aim of using the force is legal. Also, the police should explore other ways of using force that will likely lead to the attainment of the legal objective and if the proposed force is of low-level and would lead to the fulfilment of the legal objective and is deemed to be proportionate to the threat and not excessive force.</w:t>
      </w:r>
    </w:p>
    <w:p w14:paraId="0A4D80EE" w14:textId="77777777" w:rsidR="00E803E0" w:rsidRPr="00E803E0" w:rsidRDefault="00E803E0" w:rsidP="00E803E0">
      <w:pPr>
        <w:pStyle w:val="paragraph"/>
        <w:spacing w:line="480" w:lineRule="auto"/>
        <w:jc w:val="both"/>
        <w:textAlignment w:val="baseline"/>
        <w:rPr>
          <w:lang w:val="en-US"/>
        </w:rPr>
      </w:pPr>
      <w:r w:rsidRPr="00E803E0">
        <w:rPr>
          <w:rStyle w:val="normaltextrun"/>
          <w:lang w:val="en-US"/>
        </w:rPr>
        <w:lastRenderedPageBreak/>
        <w:t xml:space="preserve">The APP stipulates that where possible, the strategy used for policing a public order event is supposed to minimize the chances of using of forces as methodology used in policing the event. The Police and Criminal Evidence Act 1984 and the Criminal Law Act 1967 have provisions that authorize the police officer to use force in specific circumstances. Some of the tactics include disposition of shields and batons usage which need a certain level of force. The police officers policing the event are supposed to be trained on the usage of the tactics and in some instances will need authorization that is explicit. Another form of force that is deployed is containment. It entails police officers restricting in certain area for a certain </w:t>
      </w:r>
      <w:proofErr w:type="gramStart"/>
      <w:r w:rsidRPr="00E803E0">
        <w:rPr>
          <w:rStyle w:val="normaltextrun"/>
          <w:lang w:val="en-US"/>
        </w:rPr>
        <w:t>period of time</w:t>
      </w:r>
      <w:proofErr w:type="gramEnd"/>
      <w:r w:rsidRPr="00E803E0">
        <w:rPr>
          <w:rStyle w:val="normaltextrun"/>
          <w:lang w:val="en-US"/>
        </w:rPr>
        <w:t xml:space="preserve"> until there is some level of assurance on the protestors being dispersed safely. This enables the police officers to control the crowds in a better manner. Containment as a strategy used to control crowds has been used severally during protests in instances where the use of force was deemed to be reasonable and critical in prohibiting breach of peace. In the case of</w:t>
      </w:r>
      <w:r w:rsidRPr="00E803E0">
        <w:rPr>
          <w:rStyle w:val="normaltextrun"/>
          <w:i/>
          <w:iCs/>
          <w:lang w:val="en-US"/>
        </w:rPr>
        <w:t xml:space="preserve"> Austin and Others v. the United Kingdom [GC]- 39692/09,</w:t>
      </w:r>
      <w:r w:rsidRPr="00E803E0">
        <w:rPr>
          <w:rStyle w:val="normaltextrun"/>
          <w:lang w:val="en-US"/>
        </w:rPr>
        <w:t xml:space="preserve"> it was held that containment should be not used for purposes of discouraging protests. In the event where use of containment is not deemed necessary for preventing injury that is serious and property damage, it would be deemed to be an infringement of the right to liberty.</w:t>
      </w:r>
      <w:r w:rsidRPr="00E803E0">
        <w:rPr>
          <w:rStyle w:val="eop"/>
          <w:lang w:val="en-US"/>
        </w:rPr>
        <w:t> </w:t>
      </w:r>
    </w:p>
    <w:p w14:paraId="5A57D000" w14:textId="1778DD1C" w:rsidR="00E803E0" w:rsidRPr="00E803E0" w:rsidRDefault="00E803E0" w:rsidP="00E803E0">
      <w:pPr>
        <w:pStyle w:val="paragraph"/>
        <w:spacing w:line="480" w:lineRule="auto"/>
        <w:jc w:val="both"/>
        <w:textAlignment w:val="baseline"/>
        <w:rPr>
          <w:lang w:val="en-US"/>
        </w:rPr>
      </w:pPr>
      <w:r w:rsidRPr="00E803E0">
        <w:rPr>
          <w:rStyle w:val="normaltextrun"/>
          <w:lang w:val="en-US"/>
        </w:rPr>
        <w:t xml:space="preserve">The police have the mandate to arrest any individual or protester who has committed a breach of peace </w:t>
      </w:r>
      <w:r w:rsidR="009B7106" w:rsidRPr="00E803E0">
        <w:rPr>
          <w:rStyle w:val="normaltextrun"/>
          <w:lang w:val="en-US"/>
        </w:rPr>
        <w:t>during</w:t>
      </w:r>
      <w:r w:rsidRPr="00E803E0">
        <w:rPr>
          <w:rStyle w:val="normaltextrun"/>
          <w:lang w:val="en-US"/>
        </w:rPr>
        <w:t xml:space="preserve"> engaging in a protest. A protestor can be arrested and charged because of gross conduct such as using threatening, insulting and abusive words or their actions or disorderly actions is likely to lead to harassment or distress. This is inclusive of actions that target bystanders or individuals who engage in certain public service duties and police who have demonstrated a high level of fortitude as they carry out their duties. In this event, Tim who was one of the protestors insulted PC Hemp by calling him a pig which led to Tim’s arrest. Use of abusive language is in contravention with section 4 of the Public Order Act 1986. Tim’s actions </w:t>
      </w:r>
      <w:r w:rsidRPr="00E803E0">
        <w:rPr>
          <w:rStyle w:val="normaltextrun"/>
          <w:lang w:val="en-US"/>
        </w:rPr>
        <w:lastRenderedPageBreak/>
        <w:t xml:space="preserve">are considered to a breach of peace during a protest march. Therefore, PC Hemp’s actions which was arresting Tim </w:t>
      </w:r>
      <w:proofErr w:type="gramStart"/>
      <w:r w:rsidRPr="00E803E0">
        <w:rPr>
          <w:rStyle w:val="normaltextrun"/>
          <w:lang w:val="en-US"/>
        </w:rPr>
        <w:t>was in compliance with</w:t>
      </w:r>
      <w:proofErr w:type="gramEnd"/>
      <w:r w:rsidRPr="00E803E0">
        <w:rPr>
          <w:rStyle w:val="normaltextrun"/>
          <w:lang w:val="en-US"/>
        </w:rPr>
        <w:t xml:space="preserve"> the Act 1986.</w:t>
      </w:r>
      <w:r w:rsidRPr="00E803E0">
        <w:rPr>
          <w:rStyle w:val="eop"/>
          <w:lang w:val="en-US"/>
        </w:rPr>
        <w:t> </w:t>
      </w:r>
    </w:p>
    <w:p w14:paraId="75D369E9" w14:textId="77777777" w:rsidR="00E803E0" w:rsidRPr="00E803E0" w:rsidRDefault="00E803E0" w:rsidP="00E803E0">
      <w:pPr>
        <w:pStyle w:val="paragraph"/>
        <w:spacing w:line="480" w:lineRule="auto"/>
        <w:jc w:val="both"/>
        <w:textAlignment w:val="baseline"/>
        <w:rPr>
          <w:lang w:val="en-US"/>
        </w:rPr>
      </w:pPr>
      <w:r w:rsidRPr="00E803E0">
        <w:rPr>
          <w:rStyle w:val="normaltextrun"/>
          <w:lang w:val="en-US"/>
        </w:rPr>
        <w:t>According to Article of ECHR together with the Human Rights Act in UK, unjustifiable discrimination is prohibited as indicated in the Convention. Also, section 149 of the Equality Act 2010, the police officers are supposed to carry out their duties in a way that they put into consideration elimination of victimization, illegal discrimination, harassment or any action that is disallowed by the Act. In this case PC Hemp told Tim that he was behaving like a complete Muppet during the arrest. A Muppet is dehumanizing language hence this can fit within the category of harassment.</w:t>
      </w:r>
      <w:r w:rsidRPr="00E803E0">
        <w:rPr>
          <w:rStyle w:val="eop"/>
          <w:lang w:val="en-US"/>
        </w:rPr>
        <w:t> </w:t>
      </w:r>
    </w:p>
    <w:p w14:paraId="4A930EA6" w14:textId="2A4A7256" w:rsidR="00E803E0" w:rsidRDefault="00E803E0" w:rsidP="00E803E0">
      <w:pPr>
        <w:pStyle w:val="paragraph"/>
        <w:spacing w:line="480" w:lineRule="auto"/>
        <w:jc w:val="both"/>
        <w:textAlignment w:val="baseline"/>
        <w:rPr>
          <w:rStyle w:val="eop"/>
          <w:lang w:val="en-US"/>
        </w:rPr>
      </w:pPr>
      <w:r w:rsidRPr="00E803E0">
        <w:rPr>
          <w:rStyle w:val="normaltextrun"/>
          <w:lang w:val="en-US"/>
        </w:rPr>
        <w:t> </w:t>
      </w:r>
      <w:r w:rsidRPr="00E803E0">
        <w:rPr>
          <w:rStyle w:val="eop"/>
          <w:lang w:val="en-US"/>
        </w:rPr>
        <w:t> </w:t>
      </w:r>
    </w:p>
    <w:p w14:paraId="051126EF" w14:textId="7E0F628E" w:rsidR="00E803E0" w:rsidRDefault="00E803E0" w:rsidP="00E803E0">
      <w:pPr>
        <w:pStyle w:val="paragraph"/>
        <w:spacing w:line="480" w:lineRule="auto"/>
        <w:jc w:val="both"/>
        <w:textAlignment w:val="baseline"/>
        <w:rPr>
          <w:rStyle w:val="eop"/>
          <w:lang w:val="en-US"/>
        </w:rPr>
      </w:pPr>
    </w:p>
    <w:p w14:paraId="2F44E995" w14:textId="01C1C6AF" w:rsidR="00E803E0" w:rsidRDefault="00E803E0" w:rsidP="00E803E0">
      <w:pPr>
        <w:pStyle w:val="paragraph"/>
        <w:spacing w:line="480" w:lineRule="auto"/>
        <w:jc w:val="both"/>
        <w:textAlignment w:val="baseline"/>
        <w:rPr>
          <w:rStyle w:val="eop"/>
          <w:lang w:val="en-US"/>
        </w:rPr>
      </w:pPr>
    </w:p>
    <w:p w14:paraId="01EFDAFB" w14:textId="69B07386" w:rsidR="00E803E0" w:rsidRDefault="00E803E0" w:rsidP="00E803E0">
      <w:pPr>
        <w:pStyle w:val="paragraph"/>
        <w:spacing w:line="480" w:lineRule="auto"/>
        <w:jc w:val="both"/>
        <w:textAlignment w:val="baseline"/>
        <w:rPr>
          <w:rStyle w:val="eop"/>
          <w:lang w:val="en-US"/>
        </w:rPr>
      </w:pPr>
    </w:p>
    <w:p w14:paraId="314CD031" w14:textId="6ADBA4F1" w:rsidR="00E803E0" w:rsidRDefault="00E803E0" w:rsidP="00E803E0">
      <w:pPr>
        <w:pStyle w:val="paragraph"/>
        <w:spacing w:line="480" w:lineRule="auto"/>
        <w:jc w:val="both"/>
        <w:textAlignment w:val="baseline"/>
        <w:rPr>
          <w:rStyle w:val="eop"/>
          <w:lang w:val="en-US"/>
        </w:rPr>
      </w:pPr>
    </w:p>
    <w:p w14:paraId="075393C9" w14:textId="2C593E98" w:rsidR="00E803E0" w:rsidRDefault="00E803E0" w:rsidP="00E803E0">
      <w:pPr>
        <w:pStyle w:val="paragraph"/>
        <w:spacing w:line="480" w:lineRule="auto"/>
        <w:jc w:val="both"/>
        <w:textAlignment w:val="baseline"/>
        <w:rPr>
          <w:rStyle w:val="eop"/>
          <w:lang w:val="en-US"/>
        </w:rPr>
      </w:pPr>
    </w:p>
    <w:p w14:paraId="76C30603" w14:textId="32CA9528" w:rsidR="00E803E0" w:rsidRDefault="00E803E0" w:rsidP="00E803E0">
      <w:pPr>
        <w:pStyle w:val="paragraph"/>
        <w:spacing w:line="480" w:lineRule="auto"/>
        <w:jc w:val="both"/>
        <w:textAlignment w:val="baseline"/>
        <w:rPr>
          <w:rStyle w:val="eop"/>
          <w:lang w:val="en-US"/>
        </w:rPr>
      </w:pPr>
    </w:p>
    <w:p w14:paraId="20C8E0F2" w14:textId="556A6D58" w:rsidR="00E803E0" w:rsidRDefault="00E803E0" w:rsidP="00E803E0">
      <w:pPr>
        <w:pStyle w:val="paragraph"/>
        <w:spacing w:line="480" w:lineRule="auto"/>
        <w:jc w:val="both"/>
        <w:textAlignment w:val="baseline"/>
        <w:rPr>
          <w:rStyle w:val="eop"/>
          <w:lang w:val="en-US"/>
        </w:rPr>
      </w:pPr>
    </w:p>
    <w:p w14:paraId="371730A5" w14:textId="0FB1F9D1" w:rsidR="00E803E0" w:rsidRDefault="00E803E0" w:rsidP="00E803E0">
      <w:pPr>
        <w:pStyle w:val="paragraph"/>
        <w:spacing w:line="480" w:lineRule="auto"/>
        <w:jc w:val="both"/>
        <w:textAlignment w:val="baseline"/>
        <w:rPr>
          <w:rStyle w:val="eop"/>
          <w:lang w:val="en-US"/>
        </w:rPr>
      </w:pPr>
    </w:p>
    <w:p w14:paraId="39C99287" w14:textId="77777777" w:rsidR="00E803E0" w:rsidRPr="00E803E0" w:rsidRDefault="00E803E0" w:rsidP="00E803E0">
      <w:pPr>
        <w:pStyle w:val="paragraph"/>
        <w:spacing w:line="480" w:lineRule="auto"/>
        <w:jc w:val="both"/>
        <w:textAlignment w:val="baseline"/>
        <w:rPr>
          <w:lang w:val="en-US"/>
        </w:rPr>
      </w:pPr>
    </w:p>
    <w:p w14:paraId="06A5CBA7" w14:textId="05072973" w:rsidR="00E803E0" w:rsidRPr="00E803E0" w:rsidRDefault="00E803E0" w:rsidP="00E803E0">
      <w:pPr>
        <w:pStyle w:val="paragraph"/>
        <w:spacing w:line="480" w:lineRule="auto"/>
        <w:jc w:val="center"/>
        <w:textAlignment w:val="baseline"/>
        <w:rPr>
          <w:b/>
          <w:bCs/>
          <w:lang w:val="en-US"/>
        </w:rPr>
      </w:pPr>
      <w:r w:rsidRPr="00E803E0">
        <w:rPr>
          <w:rStyle w:val="normaltextrun"/>
          <w:b/>
          <w:bCs/>
          <w:lang w:val="en-US"/>
        </w:rPr>
        <w:lastRenderedPageBreak/>
        <w:t>References</w:t>
      </w:r>
    </w:p>
    <w:p w14:paraId="218274E0" w14:textId="77777777" w:rsidR="00E803E0" w:rsidRPr="00E803E0" w:rsidRDefault="00E803E0" w:rsidP="00E803E0">
      <w:pPr>
        <w:pStyle w:val="paragraph"/>
        <w:spacing w:line="480" w:lineRule="auto"/>
        <w:jc w:val="both"/>
        <w:textAlignment w:val="baseline"/>
        <w:rPr>
          <w:lang w:val="en-US"/>
        </w:rPr>
      </w:pPr>
      <w:proofErr w:type="spellStart"/>
      <w:r w:rsidRPr="00E803E0">
        <w:rPr>
          <w:rStyle w:val="normaltextrun"/>
          <w:lang w:val="en-US"/>
        </w:rPr>
        <w:t>Benwell</w:t>
      </w:r>
      <w:proofErr w:type="spellEnd"/>
      <w:r w:rsidRPr="00E803E0">
        <w:rPr>
          <w:rStyle w:val="normaltextrun"/>
          <w:lang w:val="en-US"/>
        </w:rPr>
        <w:t xml:space="preserve">, R. &amp; Gay, O., 2011. The Separation of Powers. </w:t>
      </w:r>
      <w:r w:rsidRPr="00E803E0">
        <w:rPr>
          <w:rStyle w:val="normaltextrun"/>
          <w:i/>
          <w:iCs/>
          <w:lang w:val="en-US"/>
        </w:rPr>
        <w:t>House of Common Library.</w:t>
      </w:r>
      <w:r w:rsidRPr="00E803E0">
        <w:rPr>
          <w:rStyle w:val="eop"/>
          <w:lang w:val="en-US"/>
        </w:rPr>
        <w:t> </w:t>
      </w:r>
    </w:p>
    <w:p w14:paraId="24CA797D" w14:textId="77777777" w:rsidR="00E803E0" w:rsidRPr="00E803E0" w:rsidRDefault="00E803E0" w:rsidP="00E803E0">
      <w:pPr>
        <w:pStyle w:val="paragraph"/>
        <w:spacing w:line="480" w:lineRule="auto"/>
        <w:jc w:val="both"/>
        <w:textAlignment w:val="baseline"/>
        <w:rPr>
          <w:lang w:val="en-US"/>
        </w:rPr>
      </w:pPr>
      <w:r w:rsidRPr="00E803E0">
        <w:rPr>
          <w:rStyle w:val="normaltextrun"/>
          <w:lang w:val="en-US"/>
        </w:rPr>
        <w:t xml:space="preserve">Brand, J. T., 1932. Montesquieu and the Separation of Powers. </w:t>
      </w:r>
      <w:r w:rsidRPr="00E803E0">
        <w:rPr>
          <w:rStyle w:val="eop"/>
          <w:lang w:val="en-US"/>
        </w:rPr>
        <w:t> </w:t>
      </w:r>
    </w:p>
    <w:p w14:paraId="06A36829" w14:textId="77777777" w:rsidR="00E803E0" w:rsidRPr="00E803E0" w:rsidRDefault="00E803E0" w:rsidP="00E803E0">
      <w:pPr>
        <w:pStyle w:val="paragraph"/>
        <w:spacing w:line="480" w:lineRule="auto"/>
        <w:jc w:val="both"/>
        <w:textAlignment w:val="baseline"/>
        <w:rPr>
          <w:lang w:val="en-US"/>
        </w:rPr>
      </w:pPr>
      <w:r w:rsidRPr="00E803E0">
        <w:rPr>
          <w:rStyle w:val="normaltextrun"/>
          <w:lang w:val="en-US"/>
        </w:rPr>
        <w:t xml:space="preserve">Ervin, S., 1970. Separation of powers: Judicial Independence. </w:t>
      </w:r>
      <w:r w:rsidRPr="00E803E0">
        <w:rPr>
          <w:rStyle w:val="normaltextrun"/>
          <w:i/>
          <w:iCs/>
          <w:lang w:val="en-US"/>
        </w:rPr>
        <w:t xml:space="preserve">Law and contemporary problems, </w:t>
      </w:r>
      <w:r w:rsidRPr="00E803E0">
        <w:rPr>
          <w:rStyle w:val="normaltextrun"/>
          <w:lang w:val="en-US"/>
        </w:rPr>
        <w:t>35(1), pp. 108-127.</w:t>
      </w:r>
      <w:r w:rsidRPr="00E803E0">
        <w:rPr>
          <w:rStyle w:val="eop"/>
          <w:lang w:val="en-US"/>
        </w:rPr>
        <w:t> </w:t>
      </w:r>
    </w:p>
    <w:p w14:paraId="45DFA5C4" w14:textId="77777777" w:rsidR="00E803E0" w:rsidRPr="00E803E0" w:rsidRDefault="00E803E0" w:rsidP="00E803E0">
      <w:pPr>
        <w:pStyle w:val="paragraph"/>
        <w:spacing w:line="480" w:lineRule="auto"/>
        <w:jc w:val="both"/>
        <w:textAlignment w:val="baseline"/>
        <w:rPr>
          <w:lang w:val="en-US"/>
        </w:rPr>
      </w:pPr>
      <w:r w:rsidRPr="00E803E0">
        <w:rPr>
          <w:rStyle w:val="normaltextrun"/>
          <w:lang w:val="en-US"/>
        </w:rPr>
        <w:t xml:space="preserve">Gwyn, W. B., 1965. The meaning of the separation of powers. </w:t>
      </w:r>
      <w:r w:rsidRPr="00E803E0">
        <w:rPr>
          <w:rStyle w:val="eop"/>
          <w:lang w:val="en-US"/>
        </w:rPr>
        <w:t> </w:t>
      </w:r>
    </w:p>
    <w:p w14:paraId="2FE724E0" w14:textId="77777777" w:rsidR="00E803E0" w:rsidRPr="00E803E0" w:rsidRDefault="00E803E0" w:rsidP="00E803E0">
      <w:pPr>
        <w:pStyle w:val="paragraph"/>
        <w:spacing w:line="480" w:lineRule="auto"/>
        <w:jc w:val="both"/>
        <w:textAlignment w:val="baseline"/>
        <w:rPr>
          <w:lang w:val="en-US"/>
        </w:rPr>
      </w:pPr>
      <w:proofErr w:type="spellStart"/>
      <w:r w:rsidRPr="00E803E0">
        <w:rPr>
          <w:rStyle w:val="normaltextrun"/>
          <w:lang w:val="en-US"/>
        </w:rPr>
        <w:t>Hazo</w:t>
      </w:r>
      <w:proofErr w:type="spellEnd"/>
      <w:r w:rsidRPr="00E803E0">
        <w:rPr>
          <w:rStyle w:val="normaltextrun"/>
          <w:lang w:val="en-US"/>
        </w:rPr>
        <w:t xml:space="preserve">, R. G., 1968. Montesquieu and the Separation of Powers. </w:t>
      </w:r>
      <w:r w:rsidRPr="00E803E0">
        <w:rPr>
          <w:rStyle w:val="eop"/>
          <w:lang w:val="en-US"/>
        </w:rPr>
        <w:t> </w:t>
      </w:r>
    </w:p>
    <w:p w14:paraId="517E6297" w14:textId="77777777" w:rsidR="00E803E0" w:rsidRPr="00E803E0" w:rsidRDefault="00E803E0" w:rsidP="00E803E0">
      <w:pPr>
        <w:pStyle w:val="paragraph"/>
        <w:spacing w:line="480" w:lineRule="auto"/>
        <w:jc w:val="both"/>
        <w:textAlignment w:val="baseline"/>
        <w:rPr>
          <w:lang w:val="en-US"/>
        </w:rPr>
      </w:pPr>
      <w:proofErr w:type="spellStart"/>
      <w:r w:rsidRPr="00E803E0">
        <w:rPr>
          <w:rStyle w:val="normaltextrun"/>
          <w:lang w:val="en-US"/>
        </w:rPr>
        <w:t>Iyer</w:t>
      </w:r>
      <w:proofErr w:type="spellEnd"/>
      <w:r w:rsidRPr="00E803E0">
        <w:rPr>
          <w:rStyle w:val="normaltextrun"/>
          <w:lang w:val="en-US"/>
        </w:rPr>
        <w:t xml:space="preserve">, V., 2018. Separation of powers: The UK Experience. </w:t>
      </w:r>
      <w:r w:rsidRPr="00E803E0">
        <w:rPr>
          <w:rStyle w:val="eop"/>
          <w:lang w:val="en-US"/>
        </w:rPr>
        <w:t> </w:t>
      </w:r>
    </w:p>
    <w:p w14:paraId="7899240D" w14:textId="77777777" w:rsidR="00E803E0" w:rsidRPr="00E803E0" w:rsidRDefault="00E803E0" w:rsidP="00E803E0">
      <w:pPr>
        <w:pStyle w:val="paragraph"/>
        <w:spacing w:line="480" w:lineRule="auto"/>
        <w:jc w:val="both"/>
        <w:textAlignment w:val="baseline"/>
        <w:rPr>
          <w:lang w:val="en-US"/>
        </w:rPr>
      </w:pPr>
      <w:r w:rsidRPr="00E803E0">
        <w:rPr>
          <w:rStyle w:val="normaltextrun"/>
          <w:lang w:val="en-US"/>
        </w:rPr>
        <w:t xml:space="preserve">Krause, S., 2000. The spirit of separate powers in Montesquieu. </w:t>
      </w:r>
      <w:r w:rsidRPr="00E803E0">
        <w:rPr>
          <w:rStyle w:val="normaltextrun"/>
          <w:i/>
          <w:iCs/>
          <w:lang w:val="en-US"/>
        </w:rPr>
        <w:t xml:space="preserve">The Review </w:t>
      </w:r>
      <w:proofErr w:type="spellStart"/>
      <w:r w:rsidRPr="00E803E0">
        <w:rPr>
          <w:rStyle w:val="normaltextrun"/>
          <w:i/>
          <w:iCs/>
          <w:lang w:val="en-US"/>
        </w:rPr>
        <w:t>od</w:t>
      </w:r>
      <w:proofErr w:type="spellEnd"/>
      <w:r w:rsidRPr="00E803E0">
        <w:rPr>
          <w:rStyle w:val="normaltextrun"/>
          <w:i/>
          <w:iCs/>
          <w:lang w:val="en-US"/>
        </w:rPr>
        <w:t xml:space="preserve"> Politics, </w:t>
      </w:r>
      <w:r w:rsidRPr="00E803E0">
        <w:rPr>
          <w:rStyle w:val="normaltextrun"/>
          <w:lang w:val="en-US"/>
        </w:rPr>
        <w:t>pp. 231-265.</w:t>
      </w:r>
      <w:r w:rsidRPr="00E803E0">
        <w:rPr>
          <w:rStyle w:val="eop"/>
          <w:lang w:val="en-US"/>
        </w:rPr>
        <w:t> </w:t>
      </w:r>
    </w:p>
    <w:p w14:paraId="260907D3" w14:textId="77777777" w:rsidR="00E803E0" w:rsidRPr="00E803E0" w:rsidRDefault="00E803E0" w:rsidP="00E803E0">
      <w:pPr>
        <w:pStyle w:val="paragraph"/>
        <w:spacing w:line="480" w:lineRule="auto"/>
        <w:jc w:val="both"/>
        <w:textAlignment w:val="baseline"/>
        <w:rPr>
          <w:lang w:val="en-US"/>
        </w:rPr>
      </w:pPr>
      <w:proofErr w:type="spellStart"/>
      <w:r w:rsidRPr="00E803E0">
        <w:rPr>
          <w:rStyle w:val="normaltextrun"/>
          <w:lang w:val="en-US"/>
        </w:rPr>
        <w:t>Krotoszynski</w:t>
      </w:r>
      <w:proofErr w:type="spellEnd"/>
      <w:r w:rsidRPr="00E803E0">
        <w:rPr>
          <w:rStyle w:val="normaltextrun"/>
          <w:lang w:val="en-US"/>
        </w:rPr>
        <w:t xml:space="preserve">, R. J., 2011. </w:t>
      </w:r>
      <w:r w:rsidRPr="00E803E0">
        <w:rPr>
          <w:rStyle w:val="normaltextrun"/>
          <w:i/>
          <w:iCs/>
          <w:lang w:val="en-US"/>
        </w:rPr>
        <w:t xml:space="preserve">The separation of legislative and </w:t>
      </w:r>
      <w:proofErr w:type="spellStart"/>
      <w:r w:rsidRPr="00E803E0">
        <w:rPr>
          <w:rStyle w:val="normaltextrun"/>
          <w:i/>
          <w:iCs/>
          <w:lang w:val="en-US"/>
        </w:rPr>
        <w:t>exeutive</w:t>
      </w:r>
      <w:proofErr w:type="spellEnd"/>
      <w:r w:rsidRPr="00E803E0">
        <w:rPr>
          <w:rStyle w:val="normaltextrun"/>
          <w:i/>
          <w:iCs/>
          <w:lang w:val="en-US"/>
        </w:rPr>
        <w:t xml:space="preserve"> </w:t>
      </w:r>
      <w:proofErr w:type="gramStart"/>
      <w:r w:rsidRPr="00E803E0">
        <w:rPr>
          <w:rStyle w:val="normaltextrun"/>
          <w:i/>
          <w:iCs/>
          <w:lang w:val="en-US"/>
        </w:rPr>
        <w:t>powers..</w:t>
      </w:r>
      <w:proofErr w:type="gramEnd"/>
      <w:r w:rsidRPr="00E803E0">
        <w:rPr>
          <w:rStyle w:val="normaltextrun"/>
          <w:i/>
          <w:iCs/>
          <w:lang w:val="en-US"/>
        </w:rPr>
        <w:t xml:space="preserve"> </w:t>
      </w:r>
      <w:proofErr w:type="gramStart"/>
      <w:r w:rsidRPr="00E803E0">
        <w:rPr>
          <w:rStyle w:val="normaltextrun"/>
          <w:lang w:val="en-US"/>
        </w:rPr>
        <w:t>s.l.:</w:t>
      </w:r>
      <w:proofErr w:type="spellStart"/>
      <w:r w:rsidRPr="00E803E0">
        <w:rPr>
          <w:rStyle w:val="normaltextrun"/>
          <w:lang w:val="en-US"/>
        </w:rPr>
        <w:t>s.n</w:t>
      </w:r>
      <w:proofErr w:type="spellEnd"/>
      <w:r w:rsidRPr="00E803E0">
        <w:rPr>
          <w:rStyle w:val="normaltextrun"/>
          <w:lang w:val="en-US"/>
        </w:rPr>
        <w:t>.</w:t>
      </w:r>
      <w:proofErr w:type="gramEnd"/>
      <w:r w:rsidRPr="00E803E0">
        <w:rPr>
          <w:rStyle w:val="eop"/>
          <w:lang w:val="en-US"/>
        </w:rPr>
        <w:t> </w:t>
      </w:r>
    </w:p>
    <w:p w14:paraId="437E024B" w14:textId="77777777" w:rsidR="00E803E0" w:rsidRPr="00E803E0" w:rsidRDefault="00E803E0" w:rsidP="00E803E0">
      <w:pPr>
        <w:pStyle w:val="paragraph"/>
        <w:spacing w:line="480" w:lineRule="auto"/>
        <w:jc w:val="both"/>
        <w:textAlignment w:val="baseline"/>
        <w:rPr>
          <w:lang w:val="en-US"/>
        </w:rPr>
      </w:pPr>
      <w:r w:rsidRPr="00E803E0">
        <w:rPr>
          <w:rStyle w:val="normaltextrun"/>
          <w:lang w:val="en-US"/>
        </w:rPr>
        <w:t xml:space="preserve">Saunders, C., 2006. Separation of powers and the Judicial Branch. </w:t>
      </w:r>
      <w:r w:rsidRPr="00E803E0">
        <w:rPr>
          <w:rStyle w:val="normaltextrun"/>
          <w:i/>
          <w:iCs/>
          <w:lang w:val="en-US"/>
        </w:rPr>
        <w:t xml:space="preserve">Judicial Review, </w:t>
      </w:r>
      <w:r w:rsidRPr="00E803E0">
        <w:rPr>
          <w:rStyle w:val="normaltextrun"/>
          <w:lang w:val="en-US"/>
        </w:rPr>
        <w:t>pp. 337-347.</w:t>
      </w:r>
      <w:r w:rsidRPr="00E803E0">
        <w:rPr>
          <w:rStyle w:val="eop"/>
          <w:lang w:val="en-US"/>
        </w:rPr>
        <w:t> </w:t>
      </w:r>
    </w:p>
    <w:p w14:paraId="542ACC83" w14:textId="77777777" w:rsidR="00E803E0" w:rsidRPr="00E803E0" w:rsidRDefault="00E803E0" w:rsidP="00E803E0">
      <w:pPr>
        <w:pStyle w:val="paragraph"/>
        <w:spacing w:line="480" w:lineRule="auto"/>
        <w:jc w:val="both"/>
        <w:textAlignment w:val="baseline"/>
        <w:rPr>
          <w:lang w:val="en-US"/>
        </w:rPr>
      </w:pPr>
      <w:r w:rsidRPr="00E803E0">
        <w:rPr>
          <w:rStyle w:val="normaltextrun"/>
          <w:lang w:val="en-US"/>
        </w:rPr>
        <w:t> </w:t>
      </w:r>
      <w:r w:rsidRPr="00E803E0">
        <w:rPr>
          <w:rStyle w:val="eop"/>
          <w:lang w:val="en-US"/>
        </w:rPr>
        <w:t> </w:t>
      </w:r>
    </w:p>
    <w:p w14:paraId="08F4B28E" w14:textId="77777777" w:rsidR="00E803E0" w:rsidRPr="00E803E0" w:rsidRDefault="00E803E0" w:rsidP="00E803E0">
      <w:pPr>
        <w:pStyle w:val="paragraph"/>
        <w:spacing w:line="480" w:lineRule="auto"/>
        <w:jc w:val="both"/>
        <w:textAlignment w:val="baseline"/>
        <w:rPr>
          <w:lang w:val="en-US"/>
        </w:rPr>
      </w:pPr>
      <w:r w:rsidRPr="00E803E0">
        <w:rPr>
          <w:rStyle w:val="normaltextrun"/>
          <w:lang w:val="en-US"/>
        </w:rPr>
        <w:t> </w:t>
      </w:r>
      <w:r w:rsidRPr="00E803E0">
        <w:rPr>
          <w:rStyle w:val="eop"/>
          <w:lang w:val="en-US"/>
        </w:rPr>
        <w:t> </w:t>
      </w:r>
    </w:p>
    <w:p w14:paraId="2E72B9D1" w14:textId="77777777" w:rsidR="00E803E0" w:rsidRPr="00E803E0" w:rsidRDefault="00E803E0" w:rsidP="00E803E0">
      <w:pPr>
        <w:pStyle w:val="paragraph"/>
        <w:spacing w:line="480" w:lineRule="auto"/>
        <w:jc w:val="both"/>
        <w:textAlignment w:val="baseline"/>
        <w:rPr>
          <w:lang w:val="en-US"/>
        </w:rPr>
      </w:pPr>
      <w:r w:rsidRPr="00E803E0">
        <w:rPr>
          <w:rStyle w:val="normaltextrun"/>
          <w:lang w:val="en-US"/>
        </w:rPr>
        <w:t> </w:t>
      </w:r>
      <w:r w:rsidRPr="00E803E0">
        <w:rPr>
          <w:rStyle w:val="eop"/>
          <w:lang w:val="en-US"/>
        </w:rPr>
        <w:t> </w:t>
      </w:r>
    </w:p>
    <w:p w14:paraId="024F64AA" w14:textId="77777777" w:rsidR="00E803E0" w:rsidRPr="00E803E0" w:rsidRDefault="00E803E0" w:rsidP="00E803E0">
      <w:pPr>
        <w:pStyle w:val="paragraph"/>
        <w:spacing w:line="480" w:lineRule="auto"/>
        <w:jc w:val="both"/>
        <w:textAlignment w:val="baseline"/>
        <w:rPr>
          <w:lang w:val="en-US"/>
        </w:rPr>
      </w:pPr>
      <w:r w:rsidRPr="00E803E0">
        <w:rPr>
          <w:rStyle w:val="eop"/>
          <w:lang w:val="en-US"/>
        </w:rPr>
        <w:t> </w:t>
      </w:r>
    </w:p>
    <w:p w14:paraId="3AD58A27" w14:textId="77777777" w:rsidR="00E803E0" w:rsidRPr="00E803E0" w:rsidRDefault="00E803E0" w:rsidP="00E803E0">
      <w:pPr>
        <w:pStyle w:val="paragraph"/>
        <w:spacing w:line="480" w:lineRule="auto"/>
        <w:textAlignment w:val="baseline"/>
        <w:rPr>
          <w:lang w:val="en-US"/>
        </w:rPr>
      </w:pPr>
      <w:r w:rsidRPr="00E803E0">
        <w:rPr>
          <w:rStyle w:val="eop"/>
          <w:rFonts w:ascii="Calibri" w:hAnsi="Calibri" w:cs="Calibri"/>
          <w:sz w:val="22"/>
          <w:szCs w:val="22"/>
          <w:lang w:val="en-US"/>
        </w:rPr>
        <w:t> </w:t>
      </w:r>
    </w:p>
    <w:p w14:paraId="48F1CDAE" w14:textId="7B466165" w:rsidR="00363982" w:rsidRPr="00E803E0" w:rsidRDefault="00363982" w:rsidP="00E803E0">
      <w:pPr>
        <w:spacing w:line="480" w:lineRule="auto"/>
      </w:pPr>
    </w:p>
    <w:sectPr w:rsidR="00363982" w:rsidRPr="00E803E0">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BB8E96" w14:textId="77777777" w:rsidR="009B7106" w:rsidRDefault="009B7106" w:rsidP="009B7106">
      <w:pPr>
        <w:spacing w:after="0" w:line="240" w:lineRule="auto"/>
      </w:pPr>
      <w:r>
        <w:separator/>
      </w:r>
    </w:p>
  </w:endnote>
  <w:endnote w:type="continuationSeparator" w:id="0">
    <w:p w14:paraId="4BD7201C" w14:textId="77777777" w:rsidR="009B7106" w:rsidRDefault="009B7106" w:rsidP="009B71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D3A31E" w14:textId="77777777" w:rsidR="009B7106" w:rsidRDefault="009B7106" w:rsidP="009B7106">
      <w:pPr>
        <w:spacing w:after="0" w:line="240" w:lineRule="auto"/>
      </w:pPr>
      <w:r>
        <w:separator/>
      </w:r>
    </w:p>
  </w:footnote>
  <w:footnote w:type="continuationSeparator" w:id="0">
    <w:p w14:paraId="72137310" w14:textId="77777777" w:rsidR="009B7106" w:rsidRDefault="009B7106" w:rsidP="009B71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47FB6D" w14:textId="3CCE1A1F" w:rsidR="009B7106" w:rsidRPr="009B7106" w:rsidRDefault="009B7106">
    <w:pPr>
      <w:pStyle w:val="Header"/>
      <w:rPr>
        <w:lang w:val="en-GB"/>
      </w:rPr>
    </w:pPr>
    <w:r>
      <w:rPr>
        <w:lang w:val="en-GB"/>
      </w:rPr>
      <w:t>Nagina Bibi 1806584</w:t>
    </w:r>
  </w:p>
  <w:p w14:paraId="71545414" w14:textId="77777777" w:rsidR="009B7106" w:rsidRDefault="009B710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417E0"/>
    <w:multiLevelType w:val="hybridMultilevel"/>
    <w:tmpl w:val="568EE978"/>
    <w:lvl w:ilvl="0" w:tplc="20000017">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094C5439"/>
    <w:multiLevelType w:val="multilevel"/>
    <w:tmpl w:val="C6C880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AFD"/>
    <w:rsid w:val="00132052"/>
    <w:rsid w:val="001C1FF7"/>
    <w:rsid w:val="00363982"/>
    <w:rsid w:val="004259F2"/>
    <w:rsid w:val="00490903"/>
    <w:rsid w:val="004C7292"/>
    <w:rsid w:val="00595B00"/>
    <w:rsid w:val="005B1DA8"/>
    <w:rsid w:val="005B445E"/>
    <w:rsid w:val="0060015F"/>
    <w:rsid w:val="006117BC"/>
    <w:rsid w:val="00630606"/>
    <w:rsid w:val="006C33DE"/>
    <w:rsid w:val="00750D50"/>
    <w:rsid w:val="00767B3F"/>
    <w:rsid w:val="007A03B0"/>
    <w:rsid w:val="008606D1"/>
    <w:rsid w:val="00887B57"/>
    <w:rsid w:val="008B08A5"/>
    <w:rsid w:val="008F5408"/>
    <w:rsid w:val="00975F89"/>
    <w:rsid w:val="009B7106"/>
    <w:rsid w:val="00A07B4E"/>
    <w:rsid w:val="00B04006"/>
    <w:rsid w:val="00B834B4"/>
    <w:rsid w:val="00B95E85"/>
    <w:rsid w:val="00BA5193"/>
    <w:rsid w:val="00BB0222"/>
    <w:rsid w:val="00BC47DE"/>
    <w:rsid w:val="00BE3AFD"/>
    <w:rsid w:val="00BF3268"/>
    <w:rsid w:val="00C1265B"/>
    <w:rsid w:val="00C30D13"/>
    <w:rsid w:val="00C550FA"/>
    <w:rsid w:val="00CC7CFB"/>
    <w:rsid w:val="00CF22C3"/>
    <w:rsid w:val="00D05605"/>
    <w:rsid w:val="00E24BC4"/>
    <w:rsid w:val="00E40C4F"/>
    <w:rsid w:val="00E803E0"/>
    <w:rsid w:val="00F306C8"/>
    <w:rsid w:val="00F32F2B"/>
    <w:rsid w:val="00F96F00"/>
    <w:rsid w:val="00FD7AA0"/>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A629F"/>
  <w15:chartTrackingRefBased/>
  <w15:docId w15:val="{E94A786A-039D-4C97-AF37-9ABD39593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59F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132052"/>
    <w:pPr>
      <w:spacing w:before="100" w:beforeAutospacing="1" w:after="100" w:afterAutospacing="1" w:line="240" w:lineRule="auto"/>
      <w:outlineLvl w:val="2"/>
    </w:pPr>
    <w:rPr>
      <w:rFonts w:ascii="Times New Roman" w:eastAsia="Times New Roman" w:hAnsi="Times New Roman" w:cs="Times New Roman"/>
      <w:b/>
      <w:bCs/>
      <w:sz w:val="27"/>
      <w:szCs w:val="27"/>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E3AFD"/>
    <w:rPr>
      <w:b/>
      <w:bCs/>
    </w:rPr>
  </w:style>
  <w:style w:type="character" w:styleId="Hyperlink">
    <w:name w:val="Hyperlink"/>
    <w:basedOn w:val="DefaultParagraphFont"/>
    <w:uiPriority w:val="99"/>
    <w:semiHidden/>
    <w:unhideWhenUsed/>
    <w:rsid w:val="00BE3AFD"/>
    <w:rPr>
      <w:color w:val="0000FF"/>
      <w:u w:val="single"/>
    </w:rPr>
  </w:style>
  <w:style w:type="character" w:styleId="Emphasis">
    <w:name w:val="Emphasis"/>
    <w:basedOn w:val="DefaultParagraphFont"/>
    <w:uiPriority w:val="20"/>
    <w:qFormat/>
    <w:rsid w:val="00BE3AFD"/>
    <w:rPr>
      <w:i/>
      <w:iCs/>
    </w:rPr>
  </w:style>
  <w:style w:type="paragraph" w:styleId="NormalWeb">
    <w:name w:val="Normal (Web)"/>
    <w:basedOn w:val="Normal"/>
    <w:uiPriority w:val="99"/>
    <w:semiHidden/>
    <w:unhideWhenUsed/>
    <w:rsid w:val="00BE3AFD"/>
    <w:pPr>
      <w:spacing w:before="100" w:beforeAutospacing="1" w:after="100" w:afterAutospacing="1" w:line="240" w:lineRule="auto"/>
    </w:pPr>
    <w:rPr>
      <w:rFonts w:ascii="Times New Roman" w:eastAsia="Times New Roman" w:hAnsi="Times New Roman" w:cs="Times New Roman"/>
      <w:sz w:val="24"/>
      <w:szCs w:val="24"/>
      <w:lang/>
    </w:rPr>
  </w:style>
  <w:style w:type="character" w:customStyle="1" w:styleId="Heading3Char">
    <w:name w:val="Heading 3 Char"/>
    <w:basedOn w:val="DefaultParagraphFont"/>
    <w:link w:val="Heading3"/>
    <w:uiPriority w:val="9"/>
    <w:rsid w:val="00132052"/>
    <w:rPr>
      <w:rFonts w:ascii="Times New Roman" w:eastAsia="Times New Roman" w:hAnsi="Times New Roman" w:cs="Times New Roman"/>
      <w:b/>
      <w:bCs/>
      <w:sz w:val="27"/>
      <w:szCs w:val="27"/>
      <w:lang/>
    </w:rPr>
  </w:style>
  <w:style w:type="paragraph" w:customStyle="1" w:styleId="paragraph">
    <w:name w:val="paragraph"/>
    <w:basedOn w:val="Normal"/>
    <w:rsid w:val="00F32F2B"/>
    <w:pPr>
      <w:spacing w:before="100" w:beforeAutospacing="1" w:after="100" w:afterAutospacing="1" w:line="240" w:lineRule="auto"/>
    </w:pPr>
    <w:rPr>
      <w:rFonts w:ascii="Times New Roman" w:eastAsia="Times New Roman" w:hAnsi="Times New Roman" w:cs="Times New Roman"/>
      <w:sz w:val="24"/>
      <w:szCs w:val="24"/>
      <w:lang/>
    </w:rPr>
  </w:style>
  <w:style w:type="character" w:customStyle="1" w:styleId="normaltextrun">
    <w:name w:val="normaltextrun"/>
    <w:basedOn w:val="DefaultParagraphFont"/>
    <w:rsid w:val="00F32F2B"/>
  </w:style>
  <w:style w:type="character" w:customStyle="1" w:styleId="eop">
    <w:name w:val="eop"/>
    <w:basedOn w:val="DefaultParagraphFont"/>
    <w:rsid w:val="00F32F2B"/>
  </w:style>
  <w:style w:type="paragraph" w:styleId="ListParagraph">
    <w:name w:val="List Paragraph"/>
    <w:basedOn w:val="Normal"/>
    <w:uiPriority w:val="34"/>
    <w:qFormat/>
    <w:rsid w:val="00C550FA"/>
    <w:pPr>
      <w:ind w:left="720"/>
      <w:contextualSpacing/>
    </w:pPr>
  </w:style>
  <w:style w:type="character" w:customStyle="1" w:styleId="Heading1Char">
    <w:name w:val="Heading 1 Char"/>
    <w:basedOn w:val="DefaultParagraphFont"/>
    <w:link w:val="Heading1"/>
    <w:uiPriority w:val="9"/>
    <w:rsid w:val="004259F2"/>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767B3F"/>
  </w:style>
  <w:style w:type="paragraph" w:styleId="Header">
    <w:name w:val="header"/>
    <w:basedOn w:val="Normal"/>
    <w:link w:val="HeaderChar"/>
    <w:uiPriority w:val="99"/>
    <w:unhideWhenUsed/>
    <w:rsid w:val="009B71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7106"/>
  </w:style>
  <w:style w:type="paragraph" w:styleId="Footer">
    <w:name w:val="footer"/>
    <w:basedOn w:val="Normal"/>
    <w:link w:val="FooterChar"/>
    <w:uiPriority w:val="99"/>
    <w:unhideWhenUsed/>
    <w:rsid w:val="009B71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71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636199">
      <w:bodyDiv w:val="1"/>
      <w:marLeft w:val="0"/>
      <w:marRight w:val="0"/>
      <w:marTop w:val="0"/>
      <w:marBottom w:val="0"/>
      <w:divBdr>
        <w:top w:val="none" w:sz="0" w:space="0" w:color="auto"/>
        <w:left w:val="none" w:sz="0" w:space="0" w:color="auto"/>
        <w:bottom w:val="none" w:sz="0" w:space="0" w:color="auto"/>
        <w:right w:val="none" w:sz="0" w:space="0" w:color="auto"/>
      </w:divBdr>
    </w:div>
    <w:div w:id="258569265">
      <w:bodyDiv w:val="1"/>
      <w:marLeft w:val="0"/>
      <w:marRight w:val="0"/>
      <w:marTop w:val="0"/>
      <w:marBottom w:val="0"/>
      <w:divBdr>
        <w:top w:val="none" w:sz="0" w:space="0" w:color="auto"/>
        <w:left w:val="none" w:sz="0" w:space="0" w:color="auto"/>
        <w:bottom w:val="none" w:sz="0" w:space="0" w:color="auto"/>
        <w:right w:val="none" w:sz="0" w:space="0" w:color="auto"/>
      </w:divBdr>
    </w:div>
    <w:div w:id="338043241">
      <w:bodyDiv w:val="1"/>
      <w:marLeft w:val="0"/>
      <w:marRight w:val="0"/>
      <w:marTop w:val="0"/>
      <w:marBottom w:val="0"/>
      <w:divBdr>
        <w:top w:val="none" w:sz="0" w:space="0" w:color="auto"/>
        <w:left w:val="none" w:sz="0" w:space="0" w:color="auto"/>
        <w:bottom w:val="none" w:sz="0" w:space="0" w:color="auto"/>
        <w:right w:val="none" w:sz="0" w:space="0" w:color="auto"/>
      </w:divBdr>
    </w:div>
    <w:div w:id="388960478">
      <w:bodyDiv w:val="1"/>
      <w:marLeft w:val="0"/>
      <w:marRight w:val="0"/>
      <w:marTop w:val="0"/>
      <w:marBottom w:val="0"/>
      <w:divBdr>
        <w:top w:val="none" w:sz="0" w:space="0" w:color="auto"/>
        <w:left w:val="none" w:sz="0" w:space="0" w:color="auto"/>
        <w:bottom w:val="none" w:sz="0" w:space="0" w:color="auto"/>
        <w:right w:val="none" w:sz="0" w:space="0" w:color="auto"/>
      </w:divBdr>
    </w:div>
    <w:div w:id="599408052">
      <w:bodyDiv w:val="1"/>
      <w:marLeft w:val="0"/>
      <w:marRight w:val="0"/>
      <w:marTop w:val="0"/>
      <w:marBottom w:val="0"/>
      <w:divBdr>
        <w:top w:val="none" w:sz="0" w:space="0" w:color="auto"/>
        <w:left w:val="none" w:sz="0" w:space="0" w:color="auto"/>
        <w:bottom w:val="none" w:sz="0" w:space="0" w:color="auto"/>
        <w:right w:val="none" w:sz="0" w:space="0" w:color="auto"/>
      </w:divBdr>
    </w:div>
    <w:div w:id="619841545">
      <w:bodyDiv w:val="1"/>
      <w:marLeft w:val="0"/>
      <w:marRight w:val="0"/>
      <w:marTop w:val="0"/>
      <w:marBottom w:val="0"/>
      <w:divBdr>
        <w:top w:val="none" w:sz="0" w:space="0" w:color="auto"/>
        <w:left w:val="none" w:sz="0" w:space="0" w:color="auto"/>
        <w:bottom w:val="none" w:sz="0" w:space="0" w:color="auto"/>
        <w:right w:val="none" w:sz="0" w:space="0" w:color="auto"/>
      </w:divBdr>
    </w:div>
    <w:div w:id="686254688">
      <w:bodyDiv w:val="1"/>
      <w:marLeft w:val="0"/>
      <w:marRight w:val="0"/>
      <w:marTop w:val="0"/>
      <w:marBottom w:val="0"/>
      <w:divBdr>
        <w:top w:val="none" w:sz="0" w:space="0" w:color="auto"/>
        <w:left w:val="none" w:sz="0" w:space="0" w:color="auto"/>
        <w:bottom w:val="none" w:sz="0" w:space="0" w:color="auto"/>
        <w:right w:val="none" w:sz="0" w:space="0" w:color="auto"/>
      </w:divBdr>
      <w:divsChild>
        <w:div w:id="1352604011">
          <w:marLeft w:val="0"/>
          <w:marRight w:val="0"/>
          <w:marTop w:val="0"/>
          <w:marBottom w:val="0"/>
          <w:divBdr>
            <w:top w:val="none" w:sz="0" w:space="0" w:color="auto"/>
            <w:left w:val="none" w:sz="0" w:space="0" w:color="auto"/>
            <w:bottom w:val="none" w:sz="0" w:space="0" w:color="auto"/>
            <w:right w:val="none" w:sz="0" w:space="0" w:color="auto"/>
          </w:divBdr>
          <w:divsChild>
            <w:div w:id="509754565">
              <w:marLeft w:val="0"/>
              <w:marRight w:val="0"/>
              <w:marTop w:val="0"/>
              <w:marBottom w:val="0"/>
              <w:divBdr>
                <w:top w:val="none" w:sz="0" w:space="0" w:color="auto"/>
                <w:left w:val="none" w:sz="0" w:space="0" w:color="auto"/>
                <w:bottom w:val="none" w:sz="0" w:space="0" w:color="auto"/>
                <w:right w:val="none" w:sz="0" w:space="0" w:color="auto"/>
              </w:divBdr>
            </w:div>
            <w:div w:id="1960214281">
              <w:marLeft w:val="0"/>
              <w:marRight w:val="0"/>
              <w:marTop w:val="0"/>
              <w:marBottom w:val="0"/>
              <w:divBdr>
                <w:top w:val="none" w:sz="0" w:space="0" w:color="auto"/>
                <w:left w:val="none" w:sz="0" w:space="0" w:color="auto"/>
                <w:bottom w:val="none" w:sz="0" w:space="0" w:color="auto"/>
                <w:right w:val="none" w:sz="0" w:space="0" w:color="auto"/>
              </w:divBdr>
            </w:div>
            <w:div w:id="818036613">
              <w:marLeft w:val="0"/>
              <w:marRight w:val="0"/>
              <w:marTop w:val="0"/>
              <w:marBottom w:val="0"/>
              <w:divBdr>
                <w:top w:val="none" w:sz="0" w:space="0" w:color="auto"/>
                <w:left w:val="none" w:sz="0" w:space="0" w:color="auto"/>
                <w:bottom w:val="none" w:sz="0" w:space="0" w:color="auto"/>
                <w:right w:val="none" w:sz="0" w:space="0" w:color="auto"/>
              </w:divBdr>
            </w:div>
            <w:div w:id="1594318450">
              <w:marLeft w:val="0"/>
              <w:marRight w:val="0"/>
              <w:marTop w:val="0"/>
              <w:marBottom w:val="0"/>
              <w:divBdr>
                <w:top w:val="none" w:sz="0" w:space="0" w:color="auto"/>
                <w:left w:val="none" w:sz="0" w:space="0" w:color="auto"/>
                <w:bottom w:val="none" w:sz="0" w:space="0" w:color="auto"/>
                <w:right w:val="none" w:sz="0" w:space="0" w:color="auto"/>
              </w:divBdr>
            </w:div>
            <w:div w:id="1404914023">
              <w:marLeft w:val="0"/>
              <w:marRight w:val="0"/>
              <w:marTop w:val="0"/>
              <w:marBottom w:val="0"/>
              <w:divBdr>
                <w:top w:val="none" w:sz="0" w:space="0" w:color="auto"/>
                <w:left w:val="none" w:sz="0" w:space="0" w:color="auto"/>
                <w:bottom w:val="none" w:sz="0" w:space="0" w:color="auto"/>
                <w:right w:val="none" w:sz="0" w:space="0" w:color="auto"/>
              </w:divBdr>
            </w:div>
            <w:div w:id="331568759">
              <w:marLeft w:val="0"/>
              <w:marRight w:val="0"/>
              <w:marTop w:val="0"/>
              <w:marBottom w:val="0"/>
              <w:divBdr>
                <w:top w:val="none" w:sz="0" w:space="0" w:color="auto"/>
                <w:left w:val="none" w:sz="0" w:space="0" w:color="auto"/>
                <w:bottom w:val="none" w:sz="0" w:space="0" w:color="auto"/>
                <w:right w:val="none" w:sz="0" w:space="0" w:color="auto"/>
              </w:divBdr>
            </w:div>
            <w:div w:id="1019969345">
              <w:marLeft w:val="0"/>
              <w:marRight w:val="0"/>
              <w:marTop w:val="0"/>
              <w:marBottom w:val="0"/>
              <w:divBdr>
                <w:top w:val="none" w:sz="0" w:space="0" w:color="auto"/>
                <w:left w:val="none" w:sz="0" w:space="0" w:color="auto"/>
                <w:bottom w:val="none" w:sz="0" w:space="0" w:color="auto"/>
                <w:right w:val="none" w:sz="0" w:space="0" w:color="auto"/>
              </w:divBdr>
            </w:div>
            <w:div w:id="33506006">
              <w:marLeft w:val="0"/>
              <w:marRight w:val="0"/>
              <w:marTop w:val="0"/>
              <w:marBottom w:val="0"/>
              <w:divBdr>
                <w:top w:val="none" w:sz="0" w:space="0" w:color="auto"/>
                <w:left w:val="none" w:sz="0" w:space="0" w:color="auto"/>
                <w:bottom w:val="none" w:sz="0" w:space="0" w:color="auto"/>
                <w:right w:val="none" w:sz="0" w:space="0" w:color="auto"/>
              </w:divBdr>
            </w:div>
            <w:div w:id="807166965">
              <w:marLeft w:val="0"/>
              <w:marRight w:val="0"/>
              <w:marTop w:val="0"/>
              <w:marBottom w:val="0"/>
              <w:divBdr>
                <w:top w:val="none" w:sz="0" w:space="0" w:color="auto"/>
                <w:left w:val="none" w:sz="0" w:space="0" w:color="auto"/>
                <w:bottom w:val="none" w:sz="0" w:space="0" w:color="auto"/>
                <w:right w:val="none" w:sz="0" w:space="0" w:color="auto"/>
              </w:divBdr>
            </w:div>
            <w:div w:id="1602838431">
              <w:marLeft w:val="0"/>
              <w:marRight w:val="0"/>
              <w:marTop w:val="0"/>
              <w:marBottom w:val="0"/>
              <w:divBdr>
                <w:top w:val="none" w:sz="0" w:space="0" w:color="auto"/>
                <w:left w:val="none" w:sz="0" w:space="0" w:color="auto"/>
                <w:bottom w:val="none" w:sz="0" w:space="0" w:color="auto"/>
                <w:right w:val="none" w:sz="0" w:space="0" w:color="auto"/>
              </w:divBdr>
            </w:div>
            <w:div w:id="1851026999">
              <w:marLeft w:val="0"/>
              <w:marRight w:val="0"/>
              <w:marTop w:val="0"/>
              <w:marBottom w:val="0"/>
              <w:divBdr>
                <w:top w:val="none" w:sz="0" w:space="0" w:color="auto"/>
                <w:left w:val="none" w:sz="0" w:space="0" w:color="auto"/>
                <w:bottom w:val="none" w:sz="0" w:space="0" w:color="auto"/>
                <w:right w:val="none" w:sz="0" w:space="0" w:color="auto"/>
              </w:divBdr>
            </w:div>
            <w:div w:id="1822769925">
              <w:marLeft w:val="0"/>
              <w:marRight w:val="0"/>
              <w:marTop w:val="0"/>
              <w:marBottom w:val="0"/>
              <w:divBdr>
                <w:top w:val="none" w:sz="0" w:space="0" w:color="auto"/>
                <w:left w:val="none" w:sz="0" w:space="0" w:color="auto"/>
                <w:bottom w:val="none" w:sz="0" w:space="0" w:color="auto"/>
                <w:right w:val="none" w:sz="0" w:space="0" w:color="auto"/>
              </w:divBdr>
            </w:div>
            <w:div w:id="895774885">
              <w:marLeft w:val="0"/>
              <w:marRight w:val="0"/>
              <w:marTop w:val="0"/>
              <w:marBottom w:val="0"/>
              <w:divBdr>
                <w:top w:val="none" w:sz="0" w:space="0" w:color="auto"/>
                <w:left w:val="none" w:sz="0" w:space="0" w:color="auto"/>
                <w:bottom w:val="none" w:sz="0" w:space="0" w:color="auto"/>
                <w:right w:val="none" w:sz="0" w:space="0" w:color="auto"/>
              </w:divBdr>
            </w:div>
            <w:div w:id="195314419">
              <w:marLeft w:val="0"/>
              <w:marRight w:val="0"/>
              <w:marTop w:val="0"/>
              <w:marBottom w:val="0"/>
              <w:divBdr>
                <w:top w:val="none" w:sz="0" w:space="0" w:color="auto"/>
                <w:left w:val="none" w:sz="0" w:space="0" w:color="auto"/>
                <w:bottom w:val="none" w:sz="0" w:space="0" w:color="auto"/>
                <w:right w:val="none" w:sz="0" w:space="0" w:color="auto"/>
              </w:divBdr>
            </w:div>
            <w:div w:id="1593473387">
              <w:marLeft w:val="0"/>
              <w:marRight w:val="0"/>
              <w:marTop w:val="0"/>
              <w:marBottom w:val="0"/>
              <w:divBdr>
                <w:top w:val="none" w:sz="0" w:space="0" w:color="auto"/>
                <w:left w:val="none" w:sz="0" w:space="0" w:color="auto"/>
                <w:bottom w:val="none" w:sz="0" w:space="0" w:color="auto"/>
                <w:right w:val="none" w:sz="0" w:space="0" w:color="auto"/>
              </w:divBdr>
            </w:div>
            <w:div w:id="709109239">
              <w:marLeft w:val="0"/>
              <w:marRight w:val="0"/>
              <w:marTop w:val="0"/>
              <w:marBottom w:val="0"/>
              <w:divBdr>
                <w:top w:val="none" w:sz="0" w:space="0" w:color="auto"/>
                <w:left w:val="none" w:sz="0" w:space="0" w:color="auto"/>
                <w:bottom w:val="none" w:sz="0" w:space="0" w:color="auto"/>
                <w:right w:val="none" w:sz="0" w:space="0" w:color="auto"/>
              </w:divBdr>
            </w:div>
            <w:div w:id="90979398">
              <w:marLeft w:val="0"/>
              <w:marRight w:val="0"/>
              <w:marTop w:val="0"/>
              <w:marBottom w:val="0"/>
              <w:divBdr>
                <w:top w:val="none" w:sz="0" w:space="0" w:color="auto"/>
                <w:left w:val="none" w:sz="0" w:space="0" w:color="auto"/>
                <w:bottom w:val="none" w:sz="0" w:space="0" w:color="auto"/>
                <w:right w:val="none" w:sz="0" w:space="0" w:color="auto"/>
              </w:divBdr>
            </w:div>
            <w:div w:id="1423993673">
              <w:marLeft w:val="0"/>
              <w:marRight w:val="0"/>
              <w:marTop w:val="0"/>
              <w:marBottom w:val="0"/>
              <w:divBdr>
                <w:top w:val="none" w:sz="0" w:space="0" w:color="auto"/>
                <w:left w:val="none" w:sz="0" w:space="0" w:color="auto"/>
                <w:bottom w:val="none" w:sz="0" w:space="0" w:color="auto"/>
                <w:right w:val="none" w:sz="0" w:space="0" w:color="auto"/>
              </w:divBdr>
            </w:div>
            <w:div w:id="1910841104">
              <w:marLeft w:val="0"/>
              <w:marRight w:val="0"/>
              <w:marTop w:val="0"/>
              <w:marBottom w:val="0"/>
              <w:divBdr>
                <w:top w:val="none" w:sz="0" w:space="0" w:color="auto"/>
                <w:left w:val="none" w:sz="0" w:space="0" w:color="auto"/>
                <w:bottom w:val="none" w:sz="0" w:space="0" w:color="auto"/>
                <w:right w:val="none" w:sz="0" w:space="0" w:color="auto"/>
              </w:divBdr>
            </w:div>
            <w:div w:id="685257002">
              <w:marLeft w:val="0"/>
              <w:marRight w:val="0"/>
              <w:marTop w:val="0"/>
              <w:marBottom w:val="0"/>
              <w:divBdr>
                <w:top w:val="none" w:sz="0" w:space="0" w:color="auto"/>
                <w:left w:val="none" w:sz="0" w:space="0" w:color="auto"/>
                <w:bottom w:val="none" w:sz="0" w:space="0" w:color="auto"/>
                <w:right w:val="none" w:sz="0" w:space="0" w:color="auto"/>
              </w:divBdr>
            </w:div>
            <w:div w:id="975913898">
              <w:marLeft w:val="0"/>
              <w:marRight w:val="0"/>
              <w:marTop w:val="0"/>
              <w:marBottom w:val="0"/>
              <w:divBdr>
                <w:top w:val="none" w:sz="0" w:space="0" w:color="auto"/>
                <w:left w:val="none" w:sz="0" w:space="0" w:color="auto"/>
                <w:bottom w:val="none" w:sz="0" w:space="0" w:color="auto"/>
                <w:right w:val="none" w:sz="0" w:space="0" w:color="auto"/>
              </w:divBdr>
            </w:div>
            <w:div w:id="1712682935">
              <w:marLeft w:val="0"/>
              <w:marRight w:val="0"/>
              <w:marTop w:val="0"/>
              <w:marBottom w:val="0"/>
              <w:divBdr>
                <w:top w:val="none" w:sz="0" w:space="0" w:color="auto"/>
                <w:left w:val="none" w:sz="0" w:space="0" w:color="auto"/>
                <w:bottom w:val="none" w:sz="0" w:space="0" w:color="auto"/>
                <w:right w:val="none" w:sz="0" w:space="0" w:color="auto"/>
              </w:divBdr>
            </w:div>
            <w:div w:id="1486702264">
              <w:marLeft w:val="0"/>
              <w:marRight w:val="0"/>
              <w:marTop w:val="0"/>
              <w:marBottom w:val="0"/>
              <w:divBdr>
                <w:top w:val="none" w:sz="0" w:space="0" w:color="auto"/>
                <w:left w:val="none" w:sz="0" w:space="0" w:color="auto"/>
                <w:bottom w:val="none" w:sz="0" w:space="0" w:color="auto"/>
                <w:right w:val="none" w:sz="0" w:space="0" w:color="auto"/>
              </w:divBdr>
            </w:div>
            <w:div w:id="341588701">
              <w:marLeft w:val="0"/>
              <w:marRight w:val="0"/>
              <w:marTop w:val="0"/>
              <w:marBottom w:val="0"/>
              <w:divBdr>
                <w:top w:val="none" w:sz="0" w:space="0" w:color="auto"/>
                <w:left w:val="none" w:sz="0" w:space="0" w:color="auto"/>
                <w:bottom w:val="none" w:sz="0" w:space="0" w:color="auto"/>
                <w:right w:val="none" w:sz="0" w:space="0" w:color="auto"/>
              </w:divBdr>
            </w:div>
            <w:div w:id="1009986194">
              <w:marLeft w:val="0"/>
              <w:marRight w:val="0"/>
              <w:marTop w:val="0"/>
              <w:marBottom w:val="0"/>
              <w:divBdr>
                <w:top w:val="none" w:sz="0" w:space="0" w:color="auto"/>
                <w:left w:val="none" w:sz="0" w:space="0" w:color="auto"/>
                <w:bottom w:val="none" w:sz="0" w:space="0" w:color="auto"/>
                <w:right w:val="none" w:sz="0" w:space="0" w:color="auto"/>
              </w:divBdr>
            </w:div>
            <w:div w:id="768426388">
              <w:marLeft w:val="0"/>
              <w:marRight w:val="0"/>
              <w:marTop w:val="0"/>
              <w:marBottom w:val="0"/>
              <w:divBdr>
                <w:top w:val="none" w:sz="0" w:space="0" w:color="auto"/>
                <w:left w:val="none" w:sz="0" w:space="0" w:color="auto"/>
                <w:bottom w:val="none" w:sz="0" w:space="0" w:color="auto"/>
                <w:right w:val="none" w:sz="0" w:space="0" w:color="auto"/>
              </w:divBdr>
            </w:div>
            <w:div w:id="1670213797">
              <w:marLeft w:val="0"/>
              <w:marRight w:val="0"/>
              <w:marTop w:val="0"/>
              <w:marBottom w:val="0"/>
              <w:divBdr>
                <w:top w:val="none" w:sz="0" w:space="0" w:color="auto"/>
                <w:left w:val="none" w:sz="0" w:space="0" w:color="auto"/>
                <w:bottom w:val="none" w:sz="0" w:space="0" w:color="auto"/>
                <w:right w:val="none" w:sz="0" w:space="0" w:color="auto"/>
              </w:divBdr>
            </w:div>
            <w:div w:id="440296158">
              <w:marLeft w:val="0"/>
              <w:marRight w:val="0"/>
              <w:marTop w:val="0"/>
              <w:marBottom w:val="0"/>
              <w:divBdr>
                <w:top w:val="none" w:sz="0" w:space="0" w:color="auto"/>
                <w:left w:val="none" w:sz="0" w:space="0" w:color="auto"/>
                <w:bottom w:val="none" w:sz="0" w:space="0" w:color="auto"/>
                <w:right w:val="none" w:sz="0" w:space="0" w:color="auto"/>
              </w:divBdr>
            </w:div>
            <w:div w:id="2083747740">
              <w:marLeft w:val="0"/>
              <w:marRight w:val="0"/>
              <w:marTop w:val="0"/>
              <w:marBottom w:val="0"/>
              <w:divBdr>
                <w:top w:val="none" w:sz="0" w:space="0" w:color="auto"/>
                <w:left w:val="none" w:sz="0" w:space="0" w:color="auto"/>
                <w:bottom w:val="none" w:sz="0" w:space="0" w:color="auto"/>
                <w:right w:val="none" w:sz="0" w:space="0" w:color="auto"/>
              </w:divBdr>
            </w:div>
            <w:div w:id="995187951">
              <w:marLeft w:val="0"/>
              <w:marRight w:val="0"/>
              <w:marTop w:val="0"/>
              <w:marBottom w:val="0"/>
              <w:divBdr>
                <w:top w:val="none" w:sz="0" w:space="0" w:color="auto"/>
                <w:left w:val="none" w:sz="0" w:space="0" w:color="auto"/>
                <w:bottom w:val="none" w:sz="0" w:space="0" w:color="auto"/>
                <w:right w:val="none" w:sz="0" w:space="0" w:color="auto"/>
              </w:divBdr>
            </w:div>
            <w:div w:id="1768690680">
              <w:marLeft w:val="0"/>
              <w:marRight w:val="0"/>
              <w:marTop w:val="0"/>
              <w:marBottom w:val="0"/>
              <w:divBdr>
                <w:top w:val="none" w:sz="0" w:space="0" w:color="auto"/>
                <w:left w:val="none" w:sz="0" w:space="0" w:color="auto"/>
                <w:bottom w:val="none" w:sz="0" w:space="0" w:color="auto"/>
                <w:right w:val="none" w:sz="0" w:space="0" w:color="auto"/>
              </w:divBdr>
            </w:div>
            <w:div w:id="526018765">
              <w:marLeft w:val="0"/>
              <w:marRight w:val="0"/>
              <w:marTop w:val="0"/>
              <w:marBottom w:val="0"/>
              <w:divBdr>
                <w:top w:val="none" w:sz="0" w:space="0" w:color="auto"/>
                <w:left w:val="none" w:sz="0" w:space="0" w:color="auto"/>
                <w:bottom w:val="none" w:sz="0" w:space="0" w:color="auto"/>
                <w:right w:val="none" w:sz="0" w:space="0" w:color="auto"/>
              </w:divBdr>
            </w:div>
            <w:div w:id="616331954">
              <w:marLeft w:val="0"/>
              <w:marRight w:val="0"/>
              <w:marTop w:val="0"/>
              <w:marBottom w:val="0"/>
              <w:divBdr>
                <w:top w:val="none" w:sz="0" w:space="0" w:color="auto"/>
                <w:left w:val="none" w:sz="0" w:space="0" w:color="auto"/>
                <w:bottom w:val="none" w:sz="0" w:space="0" w:color="auto"/>
                <w:right w:val="none" w:sz="0" w:space="0" w:color="auto"/>
              </w:divBdr>
            </w:div>
            <w:div w:id="869340075">
              <w:marLeft w:val="0"/>
              <w:marRight w:val="0"/>
              <w:marTop w:val="0"/>
              <w:marBottom w:val="0"/>
              <w:divBdr>
                <w:top w:val="none" w:sz="0" w:space="0" w:color="auto"/>
                <w:left w:val="none" w:sz="0" w:space="0" w:color="auto"/>
                <w:bottom w:val="none" w:sz="0" w:space="0" w:color="auto"/>
                <w:right w:val="none" w:sz="0" w:space="0" w:color="auto"/>
              </w:divBdr>
            </w:div>
            <w:div w:id="66155756">
              <w:marLeft w:val="0"/>
              <w:marRight w:val="0"/>
              <w:marTop w:val="0"/>
              <w:marBottom w:val="0"/>
              <w:divBdr>
                <w:top w:val="none" w:sz="0" w:space="0" w:color="auto"/>
                <w:left w:val="none" w:sz="0" w:space="0" w:color="auto"/>
                <w:bottom w:val="none" w:sz="0" w:space="0" w:color="auto"/>
                <w:right w:val="none" w:sz="0" w:space="0" w:color="auto"/>
              </w:divBdr>
            </w:div>
            <w:div w:id="506410977">
              <w:marLeft w:val="0"/>
              <w:marRight w:val="0"/>
              <w:marTop w:val="0"/>
              <w:marBottom w:val="0"/>
              <w:divBdr>
                <w:top w:val="none" w:sz="0" w:space="0" w:color="auto"/>
                <w:left w:val="none" w:sz="0" w:space="0" w:color="auto"/>
                <w:bottom w:val="none" w:sz="0" w:space="0" w:color="auto"/>
                <w:right w:val="none" w:sz="0" w:space="0" w:color="auto"/>
              </w:divBdr>
            </w:div>
            <w:div w:id="1377776224">
              <w:marLeft w:val="0"/>
              <w:marRight w:val="0"/>
              <w:marTop w:val="0"/>
              <w:marBottom w:val="0"/>
              <w:divBdr>
                <w:top w:val="none" w:sz="0" w:space="0" w:color="auto"/>
                <w:left w:val="none" w:sz="0" w:space="0" w:color="auto"/>
                <w:bottom w:val="none" w:sz="0" w:space="0" w:color="auto"/>
                <w:right w:val="none" w:sz="0" w:space="0" w:color="auto"/>
              </w:divBdr>
            </w:div>
            <w:div w:id="545408303">
              <w:marLeft w:val="0"/>
              <w:marRight w:val="0"/>
              <w:marTop w:val="0"/>
              <w:marBottom w:val="0"/>
              <w:divBdr>
                <w:top w:val="none" w:sz="0" w:space="0" w:color="auto"/>
                <w:left w:val="none" w:sz="0" w:space="0" w:color="auto"/>
                <w:bottom w:val="none" w:sz="0" w:space="0" w:color="auto"/>
                <w:right w:val="none" w:sz="0" w:space="0" w:color="auto"/>
              </w:divBdr>
            </w:div>
            <w:div w:id="1235167448">
              <w:marLeft w:val="0"/>
              <w:marRight w:val="0"/>
              <w:marTop w:val="0"/>
              <w:marBottom w:val="0"/>
              <w:divBdr>
                <w:top w:val="none" w:sz="0" w:space="0" w:color="auto"/>
                <w:left w:val="none" w:sz="0" w:space="0" w:color="auto"/>
                <w:bottom w:val="none" w:sz="0" w:space="0" w:color="auto"/>
                <w:right w:val="none" w:sz="0" w:space="0" w:color="auto"/>
              </w:divBdr>
            </w:div>
            <w:div w:id="195434711">
              <w:marLeft w:val="0"/>
              <w:marRight w:val="0"/>
              <w:marTop w:val="0"/>
              <w:marBottom w:val="0"/>
              <w:divBdr>
                <w:top w:val="none" w:sz="0" w:space="0" w:color="auto"/>
                <w:left w:val="none" w:sz="0" w:space="0" w:color="auto"/>
                <w:bottom w:val="none" w:sz="0" w:space="0" w:color="auto"/>
                <w:right w:val="none" w:sz="0" w:space="0" w:color="auto"/>
              </w:divBdr>
            </w:div>
            <w:div w:id="258292356">
              <w:marLeft w:val="0"/>
              <w:marRight w:val="0"/>
              <w:marTop w:val="0"/>
              <w:marBottom w:val="0"/>
              <w:divBdr>
                <w:top w:val="none" w:sz="0" w:space="0" w:color="auto"/>
                <w:left w:val="none" w:sz="0" w:space="0" w:color="auto"/>
                <w:bottom w:val="none" w:sz="0" w:space="0" w:color="auto"/>
                <w:right w:val="none" w:sz="0" w:space="0" w:color="auto"/>
              </w:divBdr>
            </w:div>
            <w:div w:id="1701199935">
              <w:marLeft w:val="0"/>
              <w:marRight w:val="0"/>
              <w:marTop w:val="0"/>
              <w:marBottom w:val="0"/>
              <w:divBdr>
                <w:top w:val="none" w:sz="0" w:space="0" w:color="auto"/>
                <w:left w:val="none" w:sz="0" w:space="0" w:color="auto"/>
                <w:bottom w:val="none" w:sz="0" w:space="0" w:color="auto"/>
                <w:right w:val="none" w:sz="0" w:space="0" w:color="auto"/>
              </w:divBdr>
            </w:div>
            <w:div w:id="1208490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8282675">
      <w:bodyDiv w:val="1"/>
      <w:marLeft w:val="0"/>
      <w:marRight w:val="0"/>
      <w:marTop w:val="0"/>
      <w:marBottom w:val="0"/>
      <w:divBdr>
        <w:top w:val="none" w:sz="0" w:space="0" w:color="auto"/>
        <w:left w:val="none" w:sz="0" w:space="0" w:color="auto"/>
        <w:bottom w:val="none" w:sz="0" w:space="0" w:color="auto"/>
        <w:right w:val="none" w:sz="0" w:space="0" w:color="auto"/>
      </w:divBdr>
    </w:div>
    <w:div w:id="769550855">
      <w:bodyDiv w:val="1"/>
      <w:marLeft w:val="0"/>
      <w:marRight w:val="0"/>
      <w:marTop w:val="0"/>
      <w:marBottom w:val="0"/>
      <w:divBdr>
        <w:top w:val="none" w:sz="0" w:space="0" w:color="auto"/>
        <w:left w:val="none" w:sz="0" w:space="0" w:color="auto"/>
        <w:bottom w:val="none" w:sz="0" w:space="0" w:color="auto"/>
        <w:right w:val="none" w:sz="0" w:space="0" w:color="auto"/>
      </w:divBdr>
    </w:div>
    <w:div w:id="826743662">
      <w:bodyDiv w:val="1"/>
      <w:marLeft w:val="0"/>
      <w:marRight w:val="0"/>
      <w:marTop w:val="0"/>
      <w:marBottom w:val="0"/>
      <w:divBdr>
        <w:top w:val="none" w:sz="0" w:space="0" w:color="auto"/>
        <w:left w:val="none" w:sz="0" w:space="0" w:color="auto"/>
        <w:bottom w:val="none" w:sz="0" w:space="0" w:color="auto"/>
        <w:right w:val="none" w:sz="0" w:space="0" w:color="auto"/>
      </w:divBdr>
    </w:div>
    <w:div w:id="1164736251">
      <w:bodyDiv w:val="1"/>
      <w:marLeft w:val="0"/>
      <w:marRight w:val="0"/>
      <w:marTop w:val="0"/>
      <w:marBottom w:val="0"/>
      <w:divBdr>
        <w:top w:val="none" w:sz="0" w:space="0" w:color="auto"/>
        <w:left w:val="none" w:sz="0" w:space="0" w:color="auto"/>
        <w:bottom w:val="none" w:sz="0" w:space="0" w:color="auto"/>
        <w:right w:val="none" w:sz="0" w:space="0" w:color="auto"/>
      </w:divBdr>
    </w:div>
    <w:div w:id="1228761942">
      <w:bodyDiv w:val="1"/>
      <w:marLeft w:val="0"/>
      <w:marRight w:val="0"/>
      <w:marTop w:val="0"/>
      <w:marBottom w:val="0"/>
      <w:divBdr>
        <w:top w:val="none" w:sz="0" w:space="0" w:color="auto"/>
        <w:left w:val="none" w:sz="0" w:space="0" w:color="auto"/>
        <w:bottom w:val="none" w:sz="0" w:space="0" w:color="auto"/>
        <w:right w:val="none" w:sz="0" w:space="0" w:color="auto"/>
      </w:divBdr>
    </w:div>
    <w:div w:id="1248424462">
      <w:bodyDiv w:val="1"/>
      <w:marLeft w:val="0"/>
      <w:marRight w:val="0"/>
      <w:marTop w:val="0"/>
      <w:marBottom w:val="0"/>
      <w:divBdr>
        <w:top w:val="none" w:sz="0" w:space="0" w:color="auto"/>
        <w:left w:val="none" w:sz="0" w:space="0" w:color="auto"/>
        <w:bottom w:val="none" w:sz="0" w:space="0" w:color="auto"/>
        <w:right w:val="none" w:sz="0" w:space="0" w:color="auto"/>
      </w:divBdr>
    </w:div>
    <w:div w:id="1313020628">
      <w:bodyDiv w:val="1"/>
      <w:marLeft w:val="0"/>
      <w:marRight w:val="0"/>
      <w:marTop w:val="0"/>
      <w:marBottom w:val="0"/>
      <w:divBdr>
        <w:top w:val="none" w:sz="0" w:space="0" w:color="auto"/>
        <w:left w:val="none" w:sz="0" w:space="0" w:color="auto"/>
        <w:bottom w:val="none" w:sz="0" w:space="0" w:color="auto"/>
        <w:right w:val="none" w:sz="0" w:space="0" w:color="auto"/>
      </w:divBdr>
    </w:div>
    <w:div w:id="1446463981">
      <w:bodyDiv w:val="1"/>
      <w:marLeft w:val="0"/>
      <w:marRight w:val="0"/>
      <w:marTop w:val="0"/>
      <w:marBottom w:val="0"/>
      <w:divBdr>
        <w:top w:val="none" w:sz="0" w:space="0" w:color="auto"/>
        <w:left w:val="none" w:sz="0" w:space="0" w:color="auto"/>
        <w:bottom w:val="none" w:sz="0" w:space="0" w:color="auto"/>
        <w:right w:val="none" w:sz="0" w:space="0" w:color="auto"/>
      </w:divBdr>
    </w:div>
    <w:div w:id="1483541506">
      <w:bodyDiv w:val="1"/>
      <w:marLeft w:val="0"/>
      <w:marRight w:val="0"/>
      <w:marTop w:val="0"/>
      <w:marBottom w:val="0"/>
      <w:divBdr>
        <w:top w:val="none" w:sz="0" w:space="0" w:color="auto"/>
        <w:left w:val="none" w:sz="0" w:space="0" w:color="auto"/>
        <w:bottom w:val="none" w:sz="0" w:space="0" w:color="auto"/>
        <w:right w:val="none" w:sz="0" w:space="0" w:color="auto"/>
      </w:divBdr>
    </w:div>
    <w:div w:id="1530944715">
      <w:bodyDiv w:val="1"/>
      <w:marLeft w:val="0"/>
      <w:marRight w:val="0"/>
      <w:marTop w:val="0"/>
      <w:marBottom w:val="0"/>
      <w:divBdr>
        <w:top w:val="none" w:sz="0" w:space="0" w:color="auto"/>
        <w:left w:val="none" w:sz="0" w:space="0" w:color="auto"/>
        <w:bottom w:val="none" w:sz="0" w:space="0" w:color="auto"/>
        <w:right w:val="none" w:sz="0" w:space="0" w:color="auto"/>
      </w:divBdr>
    </w:div>
    <w:div w:id="2053846982">
      <w:bodyDiv w:val="1"/>
      <w:marLeft w:val="0"/>
      <w:marRight w:val="0"/>
      <w:marTop w:val="0"/>
      <w:marBottom w:val="0"/>
      <w:divBdr>
        <w:top w:val="none" w:sz="0" w:space="0" w:color="auto"/>
        <w:left w:val="none" w:sz="0" w:space="0" w:color="auto"/>
        <w:bottom w:val="none" w:sz="0" w:space="0" w:color="auto"/>
        <w:right w:val="none" w:sz="0" w:space="0" w:color="auto"/>
      </w:divBdr>
      <w:divsChild>
        <w:div w:id="468980620">
          <w:marLeft w:val="0"/>
          <w:marRight w:val="0"/>
          <w:marTop w:val="120"/>
          <w:marBottom w:val="120"/>
          <w:divBdr>
            <w:top w:val="none" w:sz="0" w:space="0" w:color="auto"/>
            <w:left w:val="none" w:sz="0" w:space="0" w:color="auto"/>
            <w:bottom w:val="none" w:sz="0" w:space="0" w:color="auto"/>
            <w:right w:val="none" w:sz="0" w:space="0" w:color="auto"/>
          </w:divBdr>
        </w:div>
      </w:divsChild>
    </w:div>
    <w:div w:id="2144423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Kro11</b:Tag>
    <b:SourceType>Book</b:SourceType>
    <b:Guid>{E2284C20-C4A4-42E8-A5F2-4CFEF17B6197}</b:Guid>
    <b:Author>
      <b:Author>
        <b:NameList>
          <b:Person>
            <b:Last>Krotoszynski</b:Last>
            <b:First>Ronald</b:First>
            <b:Middle>J</b:Middle>
          </b:Person>
        </b:NameList>
      </b:Author>
    </b:Author>
    <b:Title>The separation of legislative and exeutive powers.</b:Title>
    <b:Year>2011</b:Year>
    <b:RefOrder>5</b:RefOrder>
  </b:Source>
  <b:Source>
    <b:Tag>WBG65</b:Tag>
    <b:SourceType>JournalArticle</b:SourceType>
    <b:Guid>{D1356AD2-ADA7-4C17-BCEF-5602673C981F}</b:Guid>
    <b:Title>The meaning of the separation of powers</b:Title>
    <b:Year>1965</b:Year>
    <b:Author>
      <b:Author>
        <b:NameList>
          <b:Person>
            <b:Last>Gwyn</b:Last>
            <b:First>W.</b:First>
            <b:Middle>B.</b:Middle>
          </b:Person>
        </b:NameList>
      </b:Author>
    </b:Author>
    <b:RefOrder>8</b:RefOrder>
  </b:Source>
  <b:Source>
    <b:Tag>RGH68</b:Tag>
    <b:SourceType>JournalArticle</b:SourceType>
    <b:Guid>{3B6140C3-D763-45DE-9B67-4D9B7A6EA9DC}</b:Guid>
    <b:Author>
      <b:Author>
        <b:NameList>
          <b:Person>
            <b:Last>Hazo</b:Last>
            <b:First>R.</b:First>
            <b:Middle>G.</b:Middle>
          </b:Person>
        </b:NameList>
      </b:Author>
    </b:Author>
    <b:Title>Montesquieu and the Separation of Powers</b:Title>
    <b:Year>1968</b:Year>
    <b:RefOrder>1</b:RefOrder>
  </b:Source>
  <b:Source>
    <b:Tag>JTB321</b:Tag>
    <b:SourceType>JournalArticle</b:SourceType>
    <b:Guid>{25AA4596-F881-4845-A15E-66309AA565CF}</b:Guid>
    <b:Author>
      <b:Author>
        <b:NameList>
          <b:Person>
            <b:Last>Brand</b:Last>
            <b:First>J.</b:First>
            <b:Middle>T.</b:Middle>
          </b:Person>
        </b:NameList>
      </b:Author>
    </b:Author>
    <b:Title>Montesquieu and the Separation of Powers</b:Title>
    <b:Year>1932</b:Year>
    <b:RefOrder>2</b:RefOrder>
  </b:Source>
  <b:Source>
    <b:Tag>SKr00</b:Tag>
    <b:SourceType>JournalArticle</b:SourceType>
    <b:Guid>{C70FF230-BE09-44D7-A570-49A04B59B51B}</b:Guid>
    <b:Author>
      <b:Author>
        <b:NameList>
          <b:Person>
            <b:Last>Krause</b:Last>
            <b:First>S.</b:First>
          </b:Person>
        </b:NameList>
      </b:Author>
    </b:Author>
    <b:Title>The spirit of separate powers in Montesquieu</b:Title>
    <b:JournalName>The Review od Politics</b:JournalName>
    <b:Year>2000</b:Year>
    <b:Pages>231-265</b:Pages>
    <b:RefOrder>3</b:RefOrder>
  </b:Source>
  <b:Source>
    <b:Tag>VIy</b:Tag>
    <b:SourceType>JournalArticle</b:SourceType>
    <b:Guid>{AFEE89EC-D52A-416F-97B6-E1432EA3ED5F}</b:Guid>
    <b:Author>
      <b:Author>
        <b:NameList>
          <b:Person>
            <b:Last>Iyer</b:Last>
            <b:First>V.</b:First>
          </b:Person>
        </b:NameList>
      </b:Author>
    </b:Author>
    <b:Title>Separation of powers: The UK Experience</b:Title>
    <b:Year>2018</b:Year>
    <b:RefOrder>4</b:RefOrder>
  </b:Source>
  <b:Source>
    <b:Tag>RBe111</b:Tag>
    <b:SourceType>JournalArticle</b:SourceType>
    <b:Guid>{68D36E84-9373-44CD-8E4B-BEDD446120A3}</b:Guid>
    <b:Author>
      <b:Author>
        <b:NameList>
          <b:Person>
            <b:Last>Benwell</b:Last>
            <b:First>R.</b:First>
          </b:Person>
          <b:Person>
            <b:Last>Gay</b:Last>
            <b:First>O.</b:First>
          </b:Person>
        </b:NameList>
      </b:Author>
    </b:Author>
    <b:Title>The Separation of Powers</b:Title>
    <b:JournalName>House of Common Library</b:JournalName>
    <b:Year>2011</b:Year>
    <b:RefOrder>6</b:RefOrder>
  </b:Source>
  <b:Source>
    <b:Tag>SEr70</b:Tag>
    <b:SourceType>JournalArticle</b:SourceType>
    <b:Guid>{CAFE6242-A96F-458C-8E75-1662FA6642EE}</b:Guid>
    <b:Author>
      <b:Author>
        <b:NameList>
          <b:Person>
            <b:Last>Ervin</b:Last>
            <b:First>S.</b:First>
          </b:Person>
        </b:NameList>
      </b:Author>
    </b:Author>
    <b:Title>Separation of powers: Judicial Independence</b:Title>
    <b:JournalName>Law and contemporary problems</b:JournalName>
    <b:Year>1970</b:Year>
    <b:Pages>108-127</b:Pages>
    <b:Volume>35</b:Volume>
    <b:Issue>1</b:Issue>
    <b:RefOrder>7</b:RefOrder>
  </b:Source>
  <b:Source>
    <b:Tag>CSa061</b:Tag>
    <b:SourceType>JournalArticle</b:SourceType>
    <b:Guid>{649E6BF9-AE43-4506-AE53-5274518E7002}</b:Guid>
    <b:Author>
      <b:Author>
        <b:NameList>
          <b:Person>
            <b:Last>Saunders</b:Last>
            <b:First>C.</b:First>
          </b:Person>
        </b:NameList>
      </b:Author>
    </b:Author>
    <b:Title>Separation of powers and the Judicial Branch</b:Title>
    <b:JournalName>Judicial Review</b:JournalName>
    <b:Year>2006</b:Year>
    <b:Pages>337-347</b:Pages>
    <b:RefOrder>9</b:RefOrder>
  </b:Source>
</b:Sources>
</file>

<file path=customXml/itemProps1.xml><?xml version="1.0" encoding="utf-8"?>
<ds:datastoreItem xmlns:ds="http://schemas.openxmlformats.org/officeDocument/2006/customXml" ds:itemID="{77AF69CB-015A-41E3-839A-A781FFB656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2923</Words>
  <Characters>16665</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Ochieng</dc:creator>
  <cp:keywords/>
  <dc:description/>
  <cp:lastModifiedBy>Nagina Bibi</cp:lastModifiedBy>
  <cp:revision>2</cp:revision>
  <dcterms:created xsi:type="dcterms:W3CDTF">2021-06-25T20:37:00Z</dcterms:created>
  <dcterms:modified xsi:type="dcterms:W3CDTF">2021-06-25T20:37:00Z</dcterms:modified>
</cp:coreProperties>
</file>