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58479921" w14:textId="77777777" w:rsidR="00B322E0" w:rsidRPr="00752C57" w:rsidRDefault="00B322E0" w:rsidP="005F184A">
      <w:bookmarkStart w:id="0" w:name="__RefHeading___Toc82856599"/>
      <w:bookmarkEnd w:id="0"/>
    </w:p>
    <w:p w14:paraId="4DCA5E34" w14:textId="77777777" w:rsidR="00B322E0" w:rsidRPr="00752C57" w:rsidRDefault="00B322E0" w:rsidP="005F184A"/>
    <w:p w14:paraId="678CDB36" w14:textId="77777777" w:rsidR="005F184A" w:rsidRDefault="005F184A" w:rsidP="005F184A"/>
    <w:p w14:paraId="21C29D28" w14:textId="77777777" w:rsidR="005F184A" w:rsidRDefault="005F184A" w:rsidP="005F184A"/>
    <w:p w14:paraId="4213C8A5" w14:textId="77777777" w:rsidR="005F184A" w:rsidRDefault="005F184A" w:rsidP="005F184A"/>
    <w:p w14:paraId="0C0535DD" w14:textId="77777777" w:rsidR="005F184A" w:rsidRDefault="005F184A" w:rsidP="005F184A"/>
    <w:p w14:paraId="3EF0238C" w14:textId="77777777" w:rsidR="005F184A" w:rsidRDefault="005F184A" w:rsidP="005F184A"/>
    <w:p w14:paraId="1D90778C" w14:textId="77777777" w:rsidR="005F184A" w:rsidRDefault="005F184A" w:rsidP="005F184A"/>
    <w:p w14:paraId="4A46E67D" w14:textId="77777777" w:rsidR="005F184A" w:rsidRDefault="005F184A" w:rsidP="005F184A"/>
    <w:p w14:paraId="1D051ED5" w14:textId="77777777" w:rsidR="005F184A" w:rsidRDefault="005F184A" w:rsidP="005F184A"/>
    <w:p w14:paraId="687C878D" w14:textId="77777777" w:rsidR="005F184A" w:rsidRDefault="005F184A" w:rsidP="005F184A"/>
    <w:p w14:paraId="0C691294" w14:textId="77777777" w:rsidR="005F184A" w:rsidRDefault="005F184A" w:rsidP="005F184A"/>
    <w:p w14:paraId="35FA6FE3" w14:textId="77777777" w:rsidR="005F184A" w:rsidRPr="005F184A" w:rsidRDefault="005F184A" w:rsidP="005F184A">
      <w:pPr>
        <w:jc w:val="center"/>
        <w:rPr>
          <w:b/>
          <w:sz w:val="36"/>
          <w:szCs w:val="36"/>
        </w:rPr>
      </w:pPr>
    </w:p>
    <w:p w14:paraId="63A3332D" w14:textId="77777777" w:rsidR="00793373" w:rsidRDefault="00D65562" w:rsidP="005F184A">
      <w:pPr>
        <w:jc w:val="center"/>
        <w:rPr>
          <w:b/>
          <w:sz w:val="36"/>
          <w:szCs w:val="36"/>
        </w:rPr>
      </w:pPr>
      <w:r w:rsidRPr="005F184A">
        <w:rPr>
          <w:b/>
          <w:sz w:val="36"/>
          <w:szCs w:val="36"/>
        </w:rPr>
        <w:t>Effective Communication, Administrative Practice and Partnership Working in Health and Social Care: A Case Study Analysis of Mrs Thompson</w:t>
      </w:r>
    </w:p>
    <w:p w14:paraId="1CE848CC" w14:textId="77777777" w:rsidR="00453E71" w:rsidRDefault="00453E71" w:rsidP="005F184A">
      <w:pPr>
        <w:jc w:val="center"/>
        <w:rPr>
          <w:b/>
          <w:sz w:val="36"/>
          <w:szCs w:val="36"/>
        </w:rPr>
      </w:pPr>
    </w:p>
    <w:p w14:paraId="510E9DB8" w14:textId="14ABD70E" w:rsidR="00453E71" w:rsidRDefault="00453E71" w:rsidP="005F184A">
      <w:pPr>
        <w:jc w:val="center"/>
        <w:rPr>
          <w:bCs/>
          <w:sz w:val="36"/>
          <w:szCs w:val="36"/>
        </w:rPr>
      </w:pPr>
      <w:r w:rsidRPr="00453E71">
        <w:rPr>
          <w:bCs/>
          <w:sz w:val="36"/>
          <w:szCs w:val="36"/>
        </w:rPr>
        <w:t>Amal Hussain</w:t>
      </w:r>
    </w:p>
    <w:p w14:paraId="262331F3" w14:textId="35371593" w:rsidR="00453E71" w:rsidRDefault="00453E71" w:rsidP="005F184A">
      <w:pPr>
        <w:jc w:val="center"/>
        <w:rPr>
          <w:bCs/>
          <w:sz w:val="36"/>
          <w:szCs w:val="36"/>
        </w:rPr>
      </w:pPr>
      <w:r>
        <w:rPr>
          <w:bCs/>
          <w:sz w:val="36"/>
          <w:szCs w:val="36"/>
        </w:rPr>
        <w:t>252</w:t>
      </w:r>
      <w:r w:rsidR="00CE10A0">
        <w:rPr>
          <w:bCs/>
          <w:sz w:val="36"/>
          <w:szCs w:val="36"/>
        </w:rPr>
        <w:t>0</w:t>
      </w:r>
      <w:r w:rsidR="00CE3F13">
        <w:rPr>
          <w:bCs/>
          <w:sz w:val="36"/>
          <w:szCs w:val="36"/>
        </w:rPr>
        <w:t>490</w:t>
      </w:r>
    </w:p>
    <w:p w14:paraId="3E985C59" w14:textId="5C8FB276" w:rsidR="00CE3F13" w:rsidRPr="00453E71" w:rsidRDefault="00CE3F13" w:rsidP="005F184A">
      <w:pPr>
        <w:jc w:val="center"/>
        <w:rPr>
          <w:bCs/>
          <w:sz w:val="36"/>
          <w:szCs w:val="36"/>
        </w:rPr>
      </w:pPr>
      <w:r>
        <w:rPr>
          <w:bCs/>
          <w:sz w:val="36"/>
          <w:szCs w:val="36"/>
        </w:rPr>
        <w:t>LCHS4003</w:t>
      </w:r>
      <w:r w:rsidR="00612E3D">
        <w:rPr>
          <w:bCs/>
          <w:sz w:val="36"/>
          <w:szCs w:val="36"/>
        </w:rPr>
        <w:t>_BIRM</w:t>
      </w:r>
    </w:p>
    <w:p w14:paraId="06EF2BC7" w14:textId="77777777" w:rsidR="00793373" w:rsidRPr="005F184A" w:rsidRDefault="005F184A" w:rsidP="005F184A">
      <w:pPr>
        <w:pStyle w:val="ContentsHeading"/>
      </w:pPr>
      <w:r>
        <w:br w:type="page"/>
      </w:r>
      <w:r w:rsidR="00793373" w:rsidRPr="005F184A">
        <w:lastRenderedPageBreak/>
        <w:t>Table of Contents</w:t>
      </w:r>
    </w:p>
    <w:p w14:paraId="206F3063" w14:textId="77777777" w:rsidR="005F184A" w:rsidRPr="00F20AD1" w:rsidRDefault="00793373">
      <w:pPr>
        <w:pStyle w:val="TOC1"/>
        <w:rPr>
          <w:rFonts w:ascii="Calibri" w:eastAsia="Times New Roman" w:hAnsi="Calibri" w:cs="Times New Roman"/>
          <w:noProof/>
          <w:color w:val="auto"/>
          <w:lang w:eastAsia="en-GB"/>
        </w:rPr>
      </w:pPr>
      <w:r w:rsidRPr="005F184A">
        <w:rPr>
          <w:color w:val="auto"/>
        </w:rPr>
        <w:fldChar w:fldCharType="begin"/>
      </w:r>
      <w:r w:rsidRPr="005F184A">
        <w:rPr>
          <w:color w:val="auto"/>
        </w:rPr>
        <w:instrText xml:space="preserve"> TOC \f \o "1-9" \o "1-9" </w:instrText>
      </w:r>
      <w:r w:rsidRPr="005F184A">
        <w:rPr>
          <w:color w:val="auto"/>
        </w:rPr>
        <w:fldChar w:fldCharType="separate"/>
      </w:r>
      <w:r w:rsidR="005F184A">
        <w:rPr>
          <w:noProof/>
        </w:rPr>
        <w:t>1. Introduction</w:t>
      </w:r>
      <w:r w:rsidR="005F184A">
        <w:rPr>
          <w:noProof/>
        </w:rPr>
        <w:tab/>
      </w:r>
      <w:r w:rsidR="005F184A">
        <w:rPr>
          <w:noProof/>
        </w:rPr>
        <w:fldChar w:fldCharType="begin"/>
      </w:r>
      <w:r w:rsidR="005F184A">
        <w:rPr>
          <w:noProof/>
        </w:rPr>
        <w:instrText xml:space="preserve"> PAGEREF _Toc234664017 \h </w:instrText>
      </w:r>
      <w:r w:rsidR="005F184A">
        <w:rPr>
          <w:noProof/>
        </w:rPr>
      </w:r>
      <w:r w:rsidR="005F184A">
        <w:rPr>
          <w:noProof/>
        </w:rPr>
        <w:fldChar w:fldCharType="separate"/>
      </w:r>
      <w:r w:rsidR="005F184A">
        <w:rPr>
          <w:noProof/>
        </w:rPr>
        <w:t>3</w:t>
      </w:r>
      <w:r w:rsidR="005F184A">
        <w:rPr>
          <w:noProof/>
        </w:rPr>
        <w:fldChar w:fldCharType="end"/>
      </w:r>
    </w:p>
    <w:p w14:paraId="649FF731" w14:textId="77777777" w:rsidR="005F184A" w:rsidRPr="00F20AD1" w:rsidRDefault="005F184A">
      <w:pPr>
        <w:pStyle w:val="TOC1"/>
        <w:rPr>
          <w:rFonts w:ascii="Calibri" w:eastAsia="Times New Roman" w:hAnsi="Calibri" w:cs="Times New Roman"/>
          <w:noProof/>
          <w:color w:val="auto"/>
          <w:lang w:eastAsia="en-GB"/>
        </w:rPr>
      </w:pPr>
      <w:r>
        <w:rPr>
          <w:noProof/>
        </w:rPr>
        <w:t>2. Effective Communication within Mrs Thompson’s Care</w:t>
      </w:r>
      <w:r>
        <w:rPr>
          <w:noProof/>
        </w:rPr>
        <w:tab/>
      </w:r>
      <w:r>
        <w:rPr>
          <w:noProof/>
        </w:rPr>
        <w:fldChar w:fldCharType="begin"/>
      </w:r>
      <w:r>
        <w:rPr>
          <w:noProof/>
        </w:rPr>
        <w:instrText xml:space="preserve"> PAGEREF _Toc234664018 \h </w:instrText>
      </w:r>
      <w:r>
        <w:rPr>
          <w:noProof/>
        </w:rPr>
      </w:r>
      <w:r>
        <w:rPr>
          <w:noProof/>
        </w:rPr>
        <w:fldChar w:fldCharType="separate"/>
      </w:r>
      <w:r>
        <w:rPr>
          <w:noProof/>
        </w:rPr>
        <w:t>3</w:t>
      </w:r>
      <w:r>
        <w:rPr>
          <w:noProof/>
        </w:rPr>
        <w:fldChar w:fldCharType="end"/>
      </w:r>
    </w:p>
    <w:p w14:paraId="67DAF99A" w14:textId="77777777" w:rsidR="005F184A" w:rsidRPr="00F20AD1" w:rsidRDefault="005F184A">
      <w:pPr>
        <w:pStyle w:val="TOC2"/>
        <w:rPr>
          <w:rFonts w:ascii="Calibri" w:eastAsia="Times New Roman" w:hAnsi="Calibri" w:cs="Times New Roman"/>
          <w:noProof/>
          <w:color w:val="auto"/>
          <w:lang w:eastAsia="en-GB"/>
        </w:rPr>
      </w:pPr>
      <w:r>
        <w:rPr>
          <w:noProof/>
        </w:rPr>
        <w:t>2.1 Importance of Effective Communication in Dementia Care</w:t>
      </w:r>
      <w:r>
        <w:rPr>
          <w:noProof/>
        </w:rPr>
        <w:tab/>
      </w:r>
      <w:r>
        <w:rPr>
          <w:noProof/>
        </w:rPr>
        <w:fldChar w:fldCharType="begin"/>
      </w:r>
      <w:r>
        <w:rPr>
          <w:noProof/>
        </w:rPr>
        <w:instrText xml:space="preserve"> PAGEREF _Toc234664019 \h </w:instrText>
      </w:r>
      <w:r>
        <w:rPr>
          <w:noProof/>
        </w:rPr>
      </w:r>
      <w:r>
        <w:rPr>
          <w:noProof/>
        </w:rPr>
        <w:fldChar w:fldCharType="separate"/>
      </w:r>
      <w:r>
        <w:rPr>
          <w:noProof/>
        </w:rPr>
        <w:t>3</w:t>
      </w:r>
      <w:r>
        <w:rPr>
          <w:noProof/>
        </w:rPr>
        <w:fldChar w:fldCharType="end"/>
      </w:r>
    </w:p>
    <w:p w14:paraId="56A66AE0" w14:textId="77777777" w:rsidR="005F184A" w:rsidRPr="00F20AD1" w:rsidRDefault="005F184A">
      <w:pPr>
        <w:pStyle w:val="TOC2"/>
        <w:rPr>
          <w:rFonts w:ascii="Calibri" w:eastAsia="Times New Roman" w:hAnsi="Calibri" w:cs="Times New Roman"/>
          <w:noProof/>
          <w:color w:val="auto"/>
          <w:lang w:eastAsia="en-GB"/>
        </w:rPr>
      </w:pPr>
      <w:r>
        <w:rPr>
          <w:noProof/>
        </w:rPr>
        <w:t>2.2 Application of SOLER Communication Model</w:t>
      </w:r>
      <w:r>
        <w:rPr>
          <w:noProof/>
        </w:rPr>
        <w:tab/>
      </w:r>
      <w:r>
        <w:rPr>
          <w:noProof/>
        </w:rPr>
        <w:fldChar w:fldCharType="begin"/>
      </w:r>
      <w:r>
        <w:rPr>
          <w:noProof/>
        </w:rPr>
        <w:instrText xml:space="preserve"> PAGEREF _Toc234664020 \h </w:instrText>
      </w:r>
      <w:r>
        <w:rPr>
          <w:noProof/>
        </w:rPr>
      </w:r>
      <w:r>
        <w:rPr>
          <w:noProof/>
        </w:rPr>
        <w:fldChar w:fldCharType="separate"/>
      </w:r>
      <w:r>
        <w:rPr>
          <w:noProof/>
        </w:rPr>
        <w:t>3</w:t>
      </w:r>
      <w:r>
        <w:rPr>
          <w:noProof/>
        </w:rPr>
        <w:fldChar w:fldCharType="end"/>
      </w:r>
    </w:p>
    <w:p w14:paraId="495EFCB9" w14:textId="77777777" w:rsidR="005F184A" w:rsidRPr="00F20AD1" w:rsidRDefault="005F184A">
      <w:pPr>
        <w:pStyle w:val="TOC2"/>
        <w:rPr>
          <w:rFonts w:ascii="Calibri" w:eastAsia="Times New Roman" w:hAnsi="Calibri" w:cs="Times New Roman"/>
          <w:noProof/>
          <w:color w:val="auto"/>
          <w:lang w:eastAsia="en-GB"/>
        </w:rPr>
      </w:pPr>
      <w:r>
        <w:rPr>
          <w:noProof/>
        </w:rPr>
        <w:t>2.3 Equality Act 2010 and Communication with Family Members</w:t>
      </w:r>
      <w:r>
        <w:rPr>
          <w:noProof/>
        </w:rPr>
        <w:tab/>
      </w:r>
      <w:r>
        <w:rPr>
          <w:noProof/>
        </w:rPr>
        <w:fldChar w:fldCharType="begin"/>
      </w:r>
      <w:r>
        <w:rPr>
          <w:noProof/>
        </w:rPr>
        <w:instrText xml:space="preserve"> PAGEREF _Toc234664021 \h </w:instrText>
      </w:r>
      <w:r>
        <w:rPr>
          <w:noProof/>
        </w:rPr>
      </w:r>
      <w:r>
        <w:rPr>
          <w:noProof/>
        </w:rPr>
        <w:fldChar w:fldCharType="separate"/>
      </w:r>
      <w:r>
        <w:rPr>
          <w:noProof/>
        </w:rPr>
        <w:t>4</w:t>
      </w:r>
      <w:r>
        <w:rPr>
          <w:noProof/>
        </w:rPr>
        <w:fldChar w:fldCharType="end"/>
      </w:r>
    </w:p>
    <w:p w14:paraId="5C122DE1" w14:textId="77777777" w:rsidR="005F184A" w:rsidRPr="00F20AD1" w:rsidRDefault="005F184A">
      <w:pPr>
        <w:pStyle w:val="TOC1"/>
        <w:rPr>
          <w:rFonts w:ascii="Calibri" w:eastAsia="Times New Roman" w:hAnsi="Calibri" w:cs="Times New Roman"/>
          <w:noProof/>
          <w:color w:val="auto"/>
          <w:lang w:eastAsia="en-GB"/>
        </w:rPr>
      </w:pPr>
      <w:r>
        <w:rPr>
          <w:noProof/>
        </w:rPr>
        <w:t>3. Importance of Administrative Skills, Record Keeping and Data Protection</w:t>
      </w:r>
      <w:r>
        <w:rPr>
          <w:noProof/>
        </w:rPr>
        <w:tab/>
      </w:r>
      <w:r>
        <w:rPr>
          <w:noProof/>
        </w:rPr>
        <w:fldChar w:fldCharType="begin"/>
      </w:r>
      <w:r>
        <w:rPr>
          <w:noProof/>
        </w:rPr>
        <w:instrText xml:space="preserve"> PAGEREF _Toc234664022 \h </w:instrText>
      </w:r>
      <w:r>
        <w:rPr>
          <w:noProof/>
        </w:rPr>
      </w:r>
      <w:r>
        <w:rPr>
          <w:noProof/>
        </w:rPr>
        <w:fldChar w:fldCharType="separate"/>
      </w:r>
      <w:r>
        <w:rPr>
          <w:noProof/>
        </w:rPr>
        <w:t>4</w:t>
      </w:r>
      <w:r>
        <w:rPr>
          <w:noProof/>
        </w:rPr>
        <w:fldChar w:fldCharType="end"/>
      </w:r>
    </w:p>
    <w:p w14:paraId="4077076D" w14:textId="77777777" w:rsidR="005F184A" w:rsidRPr="00F20AD1" w:rsidRDefault="005F184A">
      <w:pPr>
        <w:pStyle w:val="TOC2"/>
        <w:rPr>
          <w:rFonts w:ascii="Calibri" w:eastAsia="Times New Roman" w:hAnsi="Calibri" w:cs="Times New Roman"/>
          <w:noProof/>
          <w:color w:val="auto"/>
          <w:lang w:eastAsia="en-GB"/>
        </w:rPr>
      </w:pPr>
      <w:r>
        <w:rPr>
          <w:noProof/>
        </w:rPr>
        <w:t>3.1 Importance of Accurate Record Keeping</w:t>
      </w:r>
      <w:r>
        <w:rPr>
          <w:noProof/>
        </w:rPr>
        <w:tab/>
      </w:r>
      <w:r>
        <w:rPr>
          <w:noProof/>
        </w:rPr>
        <w:fldChar w:fldCharType="begin"/>
      </w:r>
      <w:r>
        <w:rPr>
          <w:noProof/>
        </w:rPr>
        <w:instrText xml:space="preserve"> PAGEREF _Toc234664023 \h </w:instrText>
      </w:r>
      <w:r>
        <w:rPr>
          <w:noProof/>
        </w:rPr>
      </w:r>
      <w:r>
        <w:rPr>
          <w:noProof/>
        </w:rPr>
        <w:fldChar w:fldCharType="separate"/>
      </w:r>
      <w:r>
        <w:rPr>
          <w:noProof/>
        </w:rPr>
        <w:t>4</w:t>
      </w:r>
      <w:r>
        <w:rPr>
          <w:noProof/>
        </w:rPr>
        <w:fldChar w:fldCharType="end"/>
      </w:r>
    </w:p>
    <w:p w14:paraId="3164AFA6" w14:textId="77777777" w:rsidR="005F184A" w:rsidRPr="00F20AD1" w:rsidRDefault="005F184A">
      <w:pPr>
        <w:pStyle w:val="TOC2"/>
        <w:rPr>
          <w:rFonts w:ascii="Calibri" w:eastAsia="Times New Roman" w:hAnsi="Calibri" w:cs="Times New Roman"/>
          <w:noProof/>
          <w:color w:val="auto"/>
          <w:lang w:eastAsia="en-GB"/>
        </w:rPr>
      </w:pPr>
      <w:r>
        <w:rPr>
          <w:noProof/>
        </w:rPr>
        <w:t>3.2 Data Protection Act 2018 and Confidentiality</w:t>
      </w:r>
      <w:r>
        <w:rPr>
          <w:noProof/>
        </w:rPr>
        <w:tab/>
      </w:r>
      <w:r>
        <w:rPr>
          <w:noProof/>
        </w:rPr>
        <w:fldChar w:fldCharType="begin"/>
      </w:r>
      <w:r>
        <w:rPr>
          <w:noProof/>
        </w:rPr>
        <w:instrText xml:space="preserve"> PAGEREF _Toc234664024 \h </w:instrText>
      </w:r>
      <w:r>
        <w:rPr>
          <w:noProof/>
        </w:rPr>
      </w:r>
      <w:r>
        <w:rPr>
          <w:noProof/>
        </w:rPr>
        <w:fldChar w:fldCharType="separate"/>
      </w:r>
      <w:r>
        <w:rPr>
          <w:noProof/>
        </w:rPr>
        <w:t>5</w:t>
      </w:r>
      <w:r>
        <w:rPr>
          <w:noProof/>
        </w:rPr>
        <w:fldChar w:fldCharType="end"/>
      </w:r>
    </w:p>
    <w:p w14:paraId="7EB33EFB" w14:textId="77777777" w:rsidR="005F184A" w:rsidRPr="00F20AD1" w:rsidRDefault="005F184A">
      <w:pPr>
        <w:pStyle w:val="TOC2"/>
        <w:rPr>
          <w:rFonts w:ascii="Calibri" w:eastAsia="Times New Roman" w:hAnsi="Calibri" w:cs="Times New Roman"/>
          <w:noProof/>
          <w:color w:val="auto"/>
          <w:lang w:eastAsia="en-GB"/>
        </w:rPr>
      </w:pPr>
      <w:r>
        <w:rPr>
          <w:noProof/>
        </w:rPr>
        <w:t>3.3 Relevant Health and Social Care Legislation</w:t>
      </w:r>
      <w:r>
        <w:rPr>
          <w:noProof/>
        </w:rPr>
        <w:tab/>
      </w:r>
      <w:r>
        <w:rPr>
          <w:noProof/>
        </w:rPr>
        <w:fldChar w:fldCharType="begin"/>
      </w:r>
      <w:r>
        <w:rPr>
          <w:noProof/>
        </w:rPr>
        <w:instrText xml:space="preserve"> PAGEREF _Toc234664025 \h </w:instrText>
      </w:r>
      <w:r>
        <w:rPr>
          <w:noProof/>
        </w:rPr>
      </w:r>
      <w:r>
        <w:rPr>
          <w:noProof/>
        </w:rPr>
        <w:fldChar w:fldCharType="separate"/>
      </w:r>
      <w:r>
        <w:rPr>
          <w:noProof/>
        </w:rPr>
        <w:t>5</w:t>
      </w:r>
      <w:r>
        <w:rPr>
          <w:noProof/>
        </w:rPr>
        <w:fldChar w:fldCharType="end"/>
      </w:r>
    </w:p>
    <w:p w14:paraId="3D840E8E" w14:textId="77777777" w:rsidR="005F184A" w:rsidRPr="00F20AD1" w:rsidRDefault="005F184A">
      <w:pPr>
        <w:pStyle w:val="TOC1"/>
        <w:rPr>
          <w:rFonts w:ascii="Calibri" w:eastAsia="Times New Roman" w:hAnsi="Calibri" w:cs="Times New Roman"/>
          <w:noProof/>
          <w:color w:val="auto"/>
          <w:lang w:eastAsia="en-GB"/>
        </w:rPr>
      </w:pPr>
      <w:r>
        <w:rPr>
          <w:noProof/>
        </w:rPr>
        <w:t>4. Collaborative Working between Health and Social Care Professionals</w:t>
      </w:r>
      <w:r>
        <w:rPr>
          <w:noProof/>
        </w:rPr>
        <w:tab/>
      </w:r>
      <w:r>
        <w:rPr>
          <w:noProof/>
        </w:rPr>
        <w:fldChar w:fldCharType="begin"/>
      </w:r>
      <w:r>
        <w:rPr>
          <w:noProof/>
        </w:rPr>
        <w:instrText xml:space="preserve"> PAGEREF _Toc234664026 \h </w:instrText>
      </w:r>
      <w:r>
        <w:rPr>
          <w:noProof/>
        </w:rPr>
      </w:r>
      <w:r>
        <w:rPr>
          <w:noProof/>
        </w:rPr>
        <w:fldChar w:fldCharType="separate"/>
      </w:r>
      <w:r>
        <w:rPr>
          <w:noProof/>
        </w:rPr>
        <w:t>6</w:t>
      </w:r>
      <w:r>
        <w:rPr>
          <w:noProof/>
        </w:rPr>
        <w:fldChar w:fldCharType="end"/>
      </w:r>
    </w:p>
    <w:p w14:paraId="0E2F42AB" w14:textId="77777777" w:rsidR="005F184A" w:rsidRPr="00F20AD1" w:rsidRDefault="005F184A">
      <w:pPr>
        <w:pStyle w:val="TOC2"/>
        <w:rPr>
          <w:rFonts w:ascii="Calibri" w:eastAsia="Times New Roman" w:hAnsi="Calibri" w:cs="Times New Roman"/>
          <w:noProof/>
          <w:color w:val="auto"/>
          <w:lang w:eastAsia="en-GB"/>
        </w:rPr>
      </w:pPr>
      <w:r>
        <w:rPr>
          <w:noProof/>
        </w:rPr>
        <w:t>4.1 Importance of Multi-Agency Working</w:t>
      </w:r>
      <w:r>
        <w:rPr>
          <w:noProof/>
        </w:rPr>
        <w:tab/>
      </w:r>
      <w:r>
        <w:rPr>
          <w:noProof/>
        </w:rPr>
        <w:fldChar w:fldCharType="begin"/>
      </w:r>
      <w:r>
        <w:rPr>
          <w:noProof/>
        </w:rPr>
        <w:instrText xml:space="preserve"> PAGEREF _Toc234664027 \h </w:instrText>
      </w:r>
      <w:r>
        <w:rPr>
          <w:noProof/>
        </w:rPr>
      </w:r>
      <w:r>
        <w:rPr>
          <w:noProof/>
        </w:rPr>
        <w:fldChar w:fldCharType="separate"/>
      </w:r>
      <w:r>
        <w:rPr>
          <w:noProof/>
        </w:rPr>
        <w:t>6</w:t>
      </w:r>
      <w:r>
        <w:rPr>
          <w:noProof/>
        </w:rPr>
        <w:fldChar w:fldCharType="end"/>
      </w:r>
    </w:p>
    <w:p w14:paraId="461D4EDF" w14:textId="77777777" w:rsidR="005F184A" w:rsidRPr="00F20AD1" w:rsidRDefault="005F184A">
      <w:pPr>
        <w:pStyle w:val="TOC2"/>
        <w:rPr>
          <w:rFonts w:ascii="Calibri" w:eastAsia="Times New Roman" w:hAnsi="Calibri" w:cs="Times New Roman"/>
          <w:noProof/>
          <w:color w:val="auto"/>
          <w:lang w:eastAsia="en-GB"/>
        </w:rPr>
      </w:pPr>
      <w:r>
        <w:rPr>
          <w:noProof/>
        </w:rPr>
        <w:t>4.2 Strategies for Effective Collaboration</w:t>
      </w:r>
      <w:r>
        <w:rPr>
          <w:noProof/>
        </w:rPr>
        <w:tab/>
      </w:r>
      <w:r>
        <w:rPr>
          <w:noProof/>
        </w:rPr>
        <w:fldChar w:fldCharType="begin"/>
      </w:r>
      <w:r>
        <w:rPr>
          <w:noProof/>
        </w:rPr>
        <w:instrText xml:space="preserve"> PAGEREF _Toc234664028 \h </w:instrText>
      </w:r>
      <w:r>
        <w:rPr>
          <w:noProof/>
        </w:rPr>
      </w:r>
      <w:r>
        <w:rPr>
          <w:noProof/>
        </w:rPr>
        <w:fldChar w:fldCharType="separate"/>
      </w:r>
      <w:r>
        <w:rPr>
          <w:noProof/>
        </w:rPr>
        <w:t>6</w:t>
      </w:r>
      <w:r>
        <w:rPr>
          <w:noProof/>
        </w:rPr>
        <w:fldChar w:fldCharType="end"/>
      </w:r>
    </w:p>
    <w:p w14:paraId="6D67960E" w14:textId="77777777" w:rsidR="005F184A" w:rsidRPr="00F20AD1" w:rsidRDefault="005F184A">
      <w:pPr>
        <w:pStyle w:val="TOC2"/>
        <w:rPr>
          <w:rFonts w:ascii="Calibri" w:eastAsia="Times New Roman" w:hAnsi="Calibri" w:cs="Times New Roman"/>
          <w:noProof/>
          <w:color w:val="auto"/>
          <w:lang w:eastAsia="en-GB"/>
        </w:rPr>
      </w:pPr>
      <w:r>
        <w:rPr>
          <w:noProof/>
        </w:rPr>
        <w:t>4.3 Challenges and Solutions</w:t>
      </w:r>
      <w:r>
        <w:rPr>
          <w:noProof/>
        </w:rPr>
        <w:tab/>
      </w:r>
      <w:r>
        <w:rPr>
          <w:noProof/>
        </w:rPr>
        <w:fldChar w:fldCharType="begin"/>
      </w:r>
      <w:r>
        <w:rPr>
          <w:noProof/>
        </w:rPr>
        <w:instrText xml:space="preserve"> PAGEREF _Toc234664029 \h </w:instrText>
      </w:r>
      <w:r>
        <w:rPr>
          <w:noProof/>
        </w:rPr>
      </w:r>
      <w:r>
        <w:rPr>
          <w:noProof/>
        </w:rPr>
        <w:fldChar w:fldCharType="separate"/>
      </w:r>
      <w:r>
        <w:rPr>
          <w:noProof/>
        </w:rPr>
        <w:t>6</w:t>
      </w:r>
      <w:r>
        <w:rPr>
          <w:noProof/>
        </w:rPr>
        <w:fldChar w:fldCharType="end"/>
      </w:r>
    </w:p>
    <w:p w14:paraId="39F47725" w14:textId="77777777" w:rsidR="005F184A" w:rsidRPr="00F20AD1" w:rsidRDefault="005F184A">
      <w:pPr>
        <w:pStyle w:val="TOC1"/>
        <w:rPr>
          <w:rFonts w:ascii="Calibri" w:eastAsia="Times New Roman" w:hAnsi="Calibri" w:cs="Times New Roman"/>
          <w:noProof/>
          <w:color w:val="auto"/>
          <w:lang w:eastAsia="en-GB"/>
        </w:rPr>
      </w:pPr>
      <w:r>
        <w:rPr>
          <w:noProof/>
        </w:rPr>
        <w:t>5. Conclusion</w:t>
      </w:r>
      <w:r>
        <w:rPr>
          <w:noProof/>
        </w:rPr>
        <w:tab/>
      </w:r>
      <w:r>
        <w:rPr>
          <w:noProof/>
        </w:rPr>
        <w:fldChar w:fldCharType="begin"/>
      </w:r>
      <w:r>
        <w:rPr>
          <w:noProof/>
        </w:rPr>
        <w:instrText xml:space="preserve"> PAGEREF _Toc234664030 \h </w:instrText>
      </w:r>
      <w:r>
        <w:rPr>
          <w:noProof/>
        </w:rPr>
      </w:r>
      <w:r>
        <w:rPr>
          <w:noProof/>
        </w:rPr>
        <w:fldChar w:fldCharType="separate"/>
      </w:r>
      <w:r>
        <w:rPr>
          <w:noProof/>
        </w:rPr>
        <w:t>7</w:t>
      </w:r>
      <w:r>
        <w:rPr>
          <w:noProof/>
        </w:rPr>
        <w:fldChar w:fldCharType="end"/>
      </w:r>
    </w:p>
    <w:p w14:paraId="728B9B08" w14:textId="77777777" w:rsidR="005F184A" w:rsidRPr="00F20AD1" w:rsidRDefault="005F184A">
      <w:pPr>
        <w:pStyle w:val="TOC1"/>
        <w:rPr>
          <w:rFonts w:ascii="Calibri" w:eastAsia="Times New Roman" w:hAnsi="Calibri" w:cs="Times New Roman"/>
          <w:noProof/>
          <w:color w:val="auto"/>
          <w:lang w:eastAsia="en-GB"/>
        </w:rPr>
      </w:pPr>
      <w:r>
        <w:rPr>
          <w:noProof/>
        </w:rPr>
        <w:t>References</w:t>
      </w:r>
      <w:r>
        <w:rPr>
          <w:noProof/>
        </w:rPr>
        <w:tab/>
      </w:r>
      <w:r>
        <w:rPr>
          <w:noProof/>
        </w:rPr>
        <w:fldChar w:fldCharType="begin"/>
      </w:r>
      <w:r>
        <w:rPr>
          <w:noProof/>
        </w:rPr>
        <w:instrText xml:space="preserve"> PAGEREF _Toc234664031 \h </w:instrText>
      </w:r>
      <w:r>
        <w:rPr>
          <w:noProof/>
        </w:rPr>
      </w:r>
      <w:r>
        <w:rPr>
          <w:noProof/>
        </w:rPr>
        <w:fldChar w:fldCharType="separate"/>
      </w:r>
      <w:r>
        <w:rPr>
          <w:noProof/>
        </w:rPr>
        <w:t>8</w:t>
      </w:r>
      <w:r>
        <w:rPr>
          <w:noProof/>
        </w:rPr>
        <w:fldChar w:fldCharType="end"/>
      </w:r>
    </w:p>
    <w:p w14:paraId="70C784E1" w14:textId="77777777" w:rsidR="005901D0" w:rsidRPr="005F184A" w:rsidRDefault="00793373" w:rsidP="005F184A">
      <w:pPr>
        <w:pStyle w:val="TOC1"/>
        <w:rPr>
          <w:szCs w:val="24"/>
        </w:rPr>
      </w:pPr>
      <w:r w:rsidRPr="005F184A">
        <w:fldChar w:fldCharType="end"/>
      </w:r>
    </w:p>
    <w:p w14:paraId="3141990F" w14:textId="77777777" w:rsidR="00793373" w:rsidRPr="005F184A" w:rsidRDefault="00793373" w:rsidP="005F184A"/>
    <w:p w14:paraId="3C99AEE3" w14:textId="77777777" w:rsidR="00FA3835" w:rsidRPr="005F184A" w:rsidRDefault="00FA3835" w:rsidP="005F184A"/>
    <w:p w14:paraId="6ED71D84" w14:textId="77777777" w:rsidR="00FA3835" w:rsidRPr="005F184A" w:rsidRDefault="00FA3835" w:rsidP="005F184A"/>
    <w:p w14:paraId="4D94561A" w14:textId="77777777" w:rsidR="000824D7" w:rsidRPr="005F184A" w:rsidRDefault="006407FE" w:rsidP="005F184A">
      <w:pPr>
        <w:pStyle w:val="Heading1"/>
      </w:pPr>
      <w:r w:rsidRPr="005F184A">
        <w:br w:type="page"/>
      </w:r>
      <w:bookmarkStart w:id="1" w:name="_Toc234664017"/>
      <w:r w:rsidR="00D65562" w:rsidRPr="005F184A">
        <w:lastRenderedPageBreak/>
        <w:t xml:space="preserve">1. </w:t>
      </w:r>
      <w:r w:rsidR="00607926" w:rsidRPr="005F184A">
        <w:t>Introduction</w:t>
      </w:r>
      <w:bookmarkEnd w:id="1"/>
    </w:p>
    <w:p w14:paraId="4EB7F4BE" w14:textId="77777777" w:rsidR="00D65562" w:rsidRPr="005F184A" w:rsidRDefault="00D65562" w:rsidP="005F184A">
      <w:r w:rsidRPr="005F184A">
        <w:t>Health and social care is best delivered through effective co-ordinated professional practice with a focus on safety, dignity and person centred outcomes</w:t>
      </w:r>
      <w:r w:rsidR="002201D0" w:rsidRPr="002201D0">
        <w:t xml:space="preserve"> (O’Rourke et al., 2022)</w:t>
      </w:r>
      <w:r w:rsidRPr="005F184A">
        <w:t>. For older people who have complex needs, particularly, such as Mrs Thompson, an 84-year-old woman who has recently been discharged from hospital after suffering from Pneumonia, lives alone, receives domiciliary care and has problems with her medicines because of her mild dementia. The lack of medication and confusion that followed is a reminder of the need for effective communication and coordinated efforts</w:t>
      </w:r>
      <w:r w:rsidR="002201D0" w:rsidRPr="002201D0">
        <w:t xml:space="preserve"> (Sunjaya et al., 2025)</w:t>
      </w:r>
      <w:r w:rsidRPr="005F184A">
        <w:t>. The report critically explores the application of SOLER model in communication, the significance of maintaining accurate records and data protection and the need for collaboration between various agencies. Applying standardised approaches to person-centred approaches may be inappropriate and care needs to be taken with regard to individual needs, preferences and circumstances. So Mrs Thompson's case highlights the need for effective communication, for administration to be accurate and for collaborative working to ensure the safety, autonomy and wellbeing of vulnerable adults</w:t>
      </w:r>
      <w:r w:rsidR="002201D0" w:rsidRPr="002201D0">
        <w:t xml:space="preserve"> (Nicholson , 2017)</w:t>
      </w:r>
      <w:r w:rsidRPr="005F184A">
        <w:t>.</w:t>
      </w:r>
    </w:p>
    <w:p w14:paraId="0234F9F0" w14:textId="77777777" w:rsidR="00D65562" w:rsidRPr="005F184A" w:rsidRDefault="00D65562" w:rsidP="005F184A"/>
    <w:p w14:paraId="456528A8" w14:textId="77777777" w:rsidR="00D65562" w:rsidRPr="005F184A" w:rsidRDefault="00D65562" w:rsidP="005F184A">
      <w:pPr>
        <w:pStyle w:val="Heading1"/>
      </w:pPr>
      <w:bookmarkStart w:id="2" w:name="_Toc234664018"/>
      <w:r w:rsidRPr="005F184A">
        <w:t>2. Effective Communication within Mrs Thompson’s Care</w:t>
      </w:r>
      <w:bookmarkEnd w:id="2"/>
    </w:p>
    <w:p w14:paraId="54D57EE9" w14:textId="77777777" w:rsidR="00D65562" w:rsidRPr="005F184A" w:rsidRDefault="00D65562" w:rsidP="005F184A">
      <w:pPr>
        <w:pStyle w:val="Heading2"/>
      </w:pPr>
      <w:bookmarkStart w:id="3" w:name="_Toc234664019"/>
      <w:r w:rsidRPr="005F184A">
        <w:t>2.1 Importance of Effective Communication in Dementia Care</w:t>
      </w:r>
      <w:bookmarkEnd w:id="3"/>
      <w:r w:rsidRPr="005F184A">
        <w:t xml:space="preserve"> </w:t>
      </w:r>
    </w:p>
    <w:p w14:paraId="1D72A53C" w14:textId="77777777" w:rsidR="00D65562" w:rsidRPr="005F184A" w:rsidRDefault="00D65562" w:rsidP="005F184A">
      <w:r w:rsidRPr="005F184A">
        <w:t>Good communication is essential in person centred health and social care as it helps professionals to understand the needs, preferences and concerns of the individual</w:t>
      </w:r>
      <w:r w:rsidR="002201D0" w:rsidRPr="002201D0">
        <w:t xml:space="preserve"> (Savundranayagam and Moore-Nielsen, 2015)</w:t>
      </w:r>
      <w:r w:rsidRPr="005F184A">
        <w:t>. Communication problems can make life more difficult for individuals with dementia, making it more likely that they will misunderstand what is said, have less independence and be less safe. In Mrs Thompson's situation, ineffective communication between her and the care workers is highlighted by the fact that she was not taking the medication. It is important to have a sound understanding of her condition through clear explanations, active listening and observing non-verbal behaviours to ensure that further risks are not posed. The focus of personalised dementia care is to understand the person, what they have experienced and their relationships with others, as emphasised by research</w:t>
      </w:r>
      <w:r w:rsidR="002201D0" w:rsidRPr="002201D0">
        <w:t xml:space="preserve"> (Staehler et al., 2022)</w:t>
      </w:r>
      <w:r w:rsidRPr="005F184A">
        <w:t>.</w:t>
      </w:r>
    </w:p>
    <w:p w14:paraId="5239BA8C" w14:textId="77777777" w:rsidR="00D65562" w:rsidRPr="005F184A" w:rsidRDefault="00D65562" w:rsidP="005F184A">
      <w:pPr>
        <w:pStyle w:val="Heading2"/>
      </w:pPr>
      <w:bookmarkStart w:id="4" w:name="_Toc234664020"/>
      <w:r w:rsidRPr="005F184A">
        <w:t>2.2 Application of SOLER Communication Model</w:t>
      </w:r>
      <w:bookmarkEnd w:id="4"/>
      <w:r w:rsidRPr="005F184A">
        <w:t xml:space="preserve"> </w:t>
      </w:r>
    </w:p>
    <w:p w14:paraId="0BB67F34" w14:textId="77777777" w:rsidR="00D65562" w:rsidRPr="005F184A" w:rsidRDefault="00D65562" w:rsidP="005F184A">
      <w:r w:rsidRPr="005F184A">
        <w:t xml:space="preserve">Sit squarely, Open posture, Lean towards, Eye contact, Relax are the components of the SOLER model developed by Egan which help in effective non-verbal communication. The model is also significant to Mrs Thompson as a person with dementia may lose confidence, knowledge and understanding, and be unable to communicate effectively. Care workers should sit at Mrs </w:t>
      </w:r>
      <w:r w:rsidRPr="005F184A">
        <w:lastRenderedPageBreak/>
        <w:t>Thompson's level and turn towards her when talking about medication or concerns around wellbeing, showing attention and respect to her using SOLER principles. A non-threatening voice and open posture can help to promote interaction while a casual tone can help to alleviate anxiety and confusion. These behaviours promote trust and therapeutic relationships, not as an authority figure</w:t>
      </w:r>
      <w:r w:rsidR="002201D0" w:rsidRPr="002201D0">
        <w:t xml:space="preserve"> (Wheeler and Oyebode, 2010)</w:t>
      </w:r>
      <w:r w:rsidRPr="005F184A">
        <w:t>.</w:t>
      </w:r>
    </w:p>
    <w:p w14:paraId="733AA868" w14:textId="77777777" w:rsidR="00D65562" w:rsidRPr="005F184A" w:rsidRDefault="00D65562" w:rsidP="005F184A">
      <w:r w:rsidRPr="005F184A">
        <w:t xml:space="preserve">But SOLER is not a 'one size fits all' communication process. It can also be useful for non-verbal communication, but may not be suitable for everyone with dementia, including when they have problems remembering or understanding information. Despite the fact that effective communication in the healthcare context is dependent on the individual and professional context, </w:t>
      </w:r>
      <w:r w:rsidR="002201D0">
        <w:t xml:space="preserve">the </w:t>
      </w:r>
      <w:r w:rsidRPr="005F184A">
        <w:t>SOLER is still relevant to communication education and needs to be adapted</w:t>
      </w:r>
      <w:r w:rsidR="002201D0" w:rsidRPr="002201D0">
        <w:t xml:space="preserve"> (Mundadan et al., 2022)</w:t>
      </w:r>
      <w:r w:rsidRPr="005F184A">
        <w:t>. Protecting Mrs Thompson therefore involves using SOLER in conjunction with other strategies appropriate to dementia, such as using simple language, giving extra time, minimising distractions and using repetition or visual reminders as needed. This holistic approach has a greater prospect of preserving her dignity, fostering understanding and support with safe medication management</w:t>
      </w:r>
      <w:r w:rsidR="002201D0" w:rsidRPr="002201D0">
        <w:t xml:space="preserve"> (Savundranayagam and Moore-Nielsen, 2015)</w:t>
      </w:r>
      <w:r w:rsidR="002201D0">
        <w:t>.</w:t>
      </w:r>
    </w:p>
    <w:p w14:paraId="2C5B98AA" w14:textId="77777777" w:rsidR="00D65562" w:rsidRPr="005F184A" w:rsidRDefault="00D65562" w:rsidP="005F184A">
      <w:pPr>
        <w:pStyle w:val="Heading2"/>
      </w:pPr>
      <w:bookmarkStart w:id="5" w:name="_Toc234664021"/>
      <w:r w:rsidRPr="005F184A">
        <w:t>2.3 Equality Act 2010 and Communication with Family Members</w:t>
      </w:r>
      <w:bookmarkEnd w:id="5"/>
      <w:r w:rsidRPr="005F184A">
        <w:t xml:space="preserve"> </w:t>
      </w:r>
    </w:p>
    <w:p w14:paraId="50FC8766" w14:textId="77777777" w:rsidR="00D65562" w:rsidRPr="005F184A" w:rsidRDefault="00D65562" w:rsidP="005F184A">
      <w:r w:rsidRPr="005F184A">
        <w:t>The Equality Act 2010 ensures that providers of health and social care do not discriminate and make reasonable adjustments so that people have access to services based on their individual needs</w:t>
      </w:r>
      <w:r w:rsidR="002201D0" w:rsidRPr="002201D0">
        <w:t xml:space="preserve"> (Public Health England, 2018)</w:t>
      </w:r>
      <w:r w:rsidRPr="005F184A">
        <w:t>. Reasonable adjustments that can be made for someone who is living with dementia can involve adjusting communication style, such as using clearer language and adapting how things are done based on the person's cognitive ability, and giving extra time for communication</w:t>
      </w:r>
      <w:r w:rsidR="002201D0" w:rsidRPr="002201D0">
        <w:t xml:space="preserve"> (Daly, Bunn and Goodman, 2018)</w:t>
      </w:r>
      <w:r w:rsidRPr="005F184A">
        <w:t>. For Mrs Thompson, professionals should not presume that her ability to make decisions is reduced due to her dementia and should keep engaging her in conversations regarding medication, care preferences and wellbeing. Communication with family members can be useful in obtaining information regarding her routines, behaviours and previous preferences, but must be done in a way that respects Mrs Thompson's confidentiality and autonomy</w:t>
      </w:r>
      <w:r w:rsidR="002201D0">
        <w:t xml:space="preserve">. </w:t>
      </w:r>
      <w:r w:rsidRPr="005F184A">
        <w:t>In addition to recognising the individual's status as a person with dementia, person-centred dementia care must also consider the person's identity, preferences and engagement in decision-making, rather than viewing dementia alone</w:t>
      </w:r>
      <w:r w:rsidR="002201D0" w:rsidRPr="002201D0">
        <w:t xml:space="preserve"> (Livingston et al., 2010)</w:t>
      </w:r>
      <w:r w:rsidRPr="005F184A">
        <w:t>.</w:t>
      </w:r>
    </w:p>
    <w:p w14:paraId="02E34580" w14:textId="77777777" w:rsidR="00D65562" w:rsidRPr="005F184A" w:rsidRDefault="00D65562" w:rsidP="005F184A">
      <w:pPr>
        <w:pStyle w:val="Heading1"/>
      </w:pPr>
      <w:bookmarkStart w:id="6" w:name="_Toc234664022"/>
      <w:r w:rsidRPr="005F184A">
        <w:lastRenderedPageBreak/>
        <w:t>3. Importance of Administrative Skills, Record Keeping and Data Protection</w:t>
      </w:r>
      <w:bookmarkEnd w:id="6"/>
    </w:p>
    <w:p w14:paraId="63EDF320" w14:textId="77777777" w:rsidR="00D65562" w:rsidRPr="005F184A" w:rsidRDefault="00D65562" w:rsidP="005F184A">
      <w:pPr>
        <w:pStyle w:val="Heading2"/>
      </w:pPr>
      <w:bookmarkStart w:id="7" w:name="_Toc234664023"/>
      <w:r w:rsidRPr="005F184A">
        <w:t>3.1 Importance of Accurate Record Keeping</w:t>
      </w:r>
      <w:bookmarkEnd w:id="7"/>
      <w:r w:rsidRPr="005F184A">
        <w:t xml:space="preserve"> </w:t>
      </w:r>
    </w:p>
    <w:p w14:paraId="3A94F23D" w14:textId="77777777" w:rsidR="00D65562" w:rsidRPr="005F184A" w:rsidRDefault="00D65562" w:rsidP="005F184A">
      <w:r w:rsidRPr="005F184A">
        <w:t>In health and social care, accurate records are key to the role as they help with continuity of care, accountability and effective decision making</w:t>
      </w:r>
      <w:r w:rsidR="002201D0" w:rsidRPr="002201D0">
        <w:t xml:space="preserve"> (Davis and Shepheard, 2023)</w:t>
      </w:r>
      <w:r w:rsidRPr="005F184A">
        <w:t>. Clear and comprehensive record keeping allows for different health care providers to have a clearer understanding of the service recipient's past, present and future risks and interventions, minimizing the risk for fragmented services</w:t>
      </w:r>
      <w:r w:rsidR="002201D0" w:rsidRPr="002201D0">
        <w:t xml:space="preserve"> (Parker et al., 2021)</w:t>
      </w:r>
      <w:r w:rsidRPr="005F184A">
        <w:t>. In Mrs Thompson's case, records of medicines should make it clear when medicines have been missed, medication reviews and when the level of confusion has increased or decreased and what action the care staff have taken. This information will provide a critical tool for GP, community nurse and domiciliary carers to see patterns and to act on them</w:t>
      </w:r>
      <w:r w:rsidR="003A4B78" w:rsidRPr="003A4B78">
        <w:t xml:space="preserve"> (Laukvik et al., 2022)</w:t>
      </w:r>
      <w:r w:rsidRPr="005F184A">
        <w:t>. Inadequate documentation may be a source of recurrent medication errors, delayed interventions and heightened protection risks, due to the lack of accurate information for professionals involved in decision making. Hence, the importance of record keeping is not just about administration, but about safety, accountability for the professional and person-centred practice. Good documentation makes Mrs Thompson's need known through various services and agencies who she is cared for by</w:t>
      </w:r>
      <w:r w:rsidR="003A4B78" w:rsidRPr="003A4B78">
        <w:t xml:space="preserve"> (Abdelrahman, 2014)</w:t>
      </w:r>
      <w:r w:rsidRPr="005F184A">
        <w:t>.</w:t>
      </w:r>
    </w:p>
    <w:p w14:paraId="7F1DCFF2" w14:textId="77777777" w:rsidR="00D65562" w:rsidRPr="005F184A" w:rsidRDefault="00D65562" w:rsidP="005F184A">
      <w:pPr>
        <w:pStyle w:val="Heading2"/>
      </w:pPr>
      <w:bookmarkStart w:id="8" w:name="_Toc234664024"/>
      <w:r w:rsidRPr="005F184A">
        <w:t>3.2 Data Protection Act 2018 and Confidentiality</w:t>
      </w:r>
      <w:bookmarkEnd w:id="8"/>
    </w:p>
    <w:p w14:paraId="35BF6330" w14:textId="77777777" w:rsidR="00D65562" w:rsidRPr="005F184A" w:rsidRDefault="00D65562" w:rsidP="005F184A">
      <w:r w:rsidRPr="005F184A">
        <w:t>Within health and social care the Data Protection Act 2018 and UK GDPR principles are in place to set the requirements for lawful, fair and secure processing of personal information. The information that concerns health is classified as sensitive data and therefore professionals are required to maintain confidentiality, access and security of health records</w:t>
      </w:r>
      <w:r w:rsidR="003A4B78" w:rsidRPr="003A4B78">
        <w:t xml:space="preserve"> (Lear et al., 2023)</w:t>
      </w:r>
      <w:r w:rsidRPr="005F184A">
        <w:t>. For Mrs Thompson, information about her dementia, medication issues and safeguarding concerns might be relevant to the GP, community nurse and the domiciliary care workers to provide for safe care provision. However, sharing information should be limited to when it is needed and proportionate</w:t>
      </w:r>
      <w:r w:rsidR="003A4B78" w:rsidRPr="003A4B78">
        <w:t xml:space="preserve"> (van der Heide et al., 2023)</w:t>
      </w:r>
      <w:r w:rsidRPr="005F184A">
        <w:t xml:space="preserve">. If too much sharing of information occurs then there is concerns about privacy, if not enough sharing then Mrs Thompson is at risk. Therefore, the professionals need to make sure that they are respecting her privacy while at the same time ensuring that she is being protected in various other ways. </w:t>
      </w:r>
    </w:p>
    <w:p w14:paraId="0A4CEE0D" w14:textId="77777777" w:rsidR="00D65562" w:rsidRPr="005F184A" w:rsidRDefault="00D65562" w:rsidP="005F184A">
      <w:pPr>
        <w:pStyle w:val="Heading2"/>
      </w:pPr>
      <w:bookmarkStart w:id="9" w:name="_Toc234664025"/>
      <w:r w:rsidRPr="005F184A">
        <w:t>3.3 Relevant Health and Social Care Legislation</w:t>
      </w:r>
      <w:bookmarkEnd w:id="9"/>
    </w:p>
    <w:p w14:paraId="44551262" w14:textId="77777777" w:rsidR="00D65562" w:rsidRPr="005F184A" w:rsidRDefault="00D65562" w:rsidP="005F184A">
      <w:r w:rsidRPr="005F184A">
        <w:t>The Care Act 2014 sets out new laws for ensuring adult wellbeing and for evaluating what care is needed and protecting adults who are vulnerable to abuse or neglect</w:t>
      </w:r>
      <w:r w:rsidR="003A4B78" w:rsidRPr="003A4B78">
        <w:t xml:space="preserve"> (Boland, Burnage and Chowhan, 2013)</w:t>
      </w:r>
      <w:r w:rsidRPr="005F184A">
        <w:t xml:space="preserve">. Mrs Thompson: If a child is found out of the house without suitable clothing this may be an indicator of a potential child protection issue and a coordinated response with the local </w:t>
      </w:r>
      <w:r w:rsidRPr="005F184A">
        <w:lastRenderedPageBreak/>
        <w:t>authority and relevant professionals may be necessary. In addition, the Mental Capacity Act 2005 is of particular relevance because of her diagnosis of dementia</w:t>
      </w:r>
      <w:r w:rsidR="003A4B78" w:rsidRPr="003A4B78">
        <w:t xml:space="preserve"> (Dixon et al., 2025)</w:t>
      </w:r>
      <w:r w:rsidRPr="005F184A">
        <w:t>. But professionals should not presume that someone is incapable of making decisions, they should help with decisions and judge capacity for a particular decision. If there is a lack of capacity, decisions must be made on her behalf in her best interests, respecting her rights and preferences</w:t>
      </w:r>
      <w:r w:rsidR="003A4B78" w:rsidRPr="003A4B78">
        <w:t xml:space="preserve"> (Marshall and Sprung, 2017)</w:t>
      </w:r>
      <w:r w:rsidRPr="005F184A">
        <w:t>.</w:t>
      </w:r>
    </w:p>
    <w:p w14:paraId="0EAF1325" w14:textId="77777777" w:rsidR="00D65562" w:rsidRPr="005F184A" w:rsidRDefault="00D65562" w:rsidP="005F184A"/>
    <w:p w14:paraId="6D7E283D" w14:textId="77777777" w:rsidR="00D65562" w:rsidRPr="005F184A" w:rsidRDefault="00D65562" w:rsidP="005F184A">
      <w:pPr>
        <w:pStyle w:val="Heading1"/>
      </w:pPr>
      <w:bookmarkStart w:id="10" w:name="_Toc234664026"/>
      <w:r w:rsidRPr="005F184A">
        <w:t>4. Collaborative Working between Health and Social Care Professionals</w:t>
      </w:r>
      <w:bookmarkEnd w:id="10"/>
    </w:p>
    <w:p w14:paraId="1BDA9609" w14:textId="77777777" w:rsidR="00D65562" w:rsidRPr="005F184A" w:rsidRDefault="00D65562" w:rsidP="005F184A">
      <w:pPr>
        <w:pStyle w:val="Heading2"/>
      </w:pPr>
      <w:bookmarkStart w:id="11" w:name="_Toc234664027"/>
      <w:r w:rsidRPr="005F184A">
        <w:t>4.1 Importance of Multi-Agency Working</w:t>
      </w:r>
      <w:bookmarkEnd w:id="11"/>
      <w:r w:rsidRPr="005F184A">
        <w:t xml:space="preserve"> </w:t>
      </w:r>
    </w:p>
    <w:p w14:paraId="2BBAA413" w14:textId="77777777" w:rsidR="00D65562" w:rsidRPr="005F184A" w:rsidRDefault="00452778" w:rsidP="005F184A">
      <w:r w:rsidRPr="00452778">
        <w:t>Mrs Thompson's needs are multi-agency needs that include medical, psychological and social which all need to be addressed effectivel</w:t>
      </w:r>
      <w:r>
        <w:t>y using a multi-agency approach</w:t>
      </w:r>
      <w:r w:rsidR="00D65562" w:rsidRPr="005F184A">
        <w:t>. The GP can provide contributions through medication review and monitoring her pneumonia recovery, as well as the community nurse can recognize the changes in health status and offer clinical support. The local authority are responsible for the safeguarding aspects of this whereas the domo care workers are responsible for monitoring the daily activities, adherence to a medication regime and potential risks identified. Working together enhances information sharing, coordinated care and safer and person-centred outcomes. The Care Act 2014 emphasises the need for co-ordinated safeguarding between health and social care providers</w:t>
      </w:r>
      <w:r w:rsidR="003A4B78" w:rsidRPr="003A4B78">
        <w:t xml:space="preserve"> (Hayes et al., 2024)</w:t>
      </w:r>
      <w:r w:rsidR="00D65562" w:rsidRPr="005F184A">
        <w:t>.</w:t>
      </w:r>
    </w:p>
    <w:p w14:paraId="32352759" w14:textId="77777777" w:rsidR="00D65562" w:rsidRPr="005F184A" w:rsidRDefault="00D65562" w:rsidP="005F184A">
      <w:pPr>
        <w:pStyle w:val="Heading2"/>
      </w:pPr>
      <w:bookmarkStart w:id="12" w:name="_Toc234664028"/>
      <w:r w:rsidRPr="005F184A">
        <w:t>4.2 Strategies for Effective Collaboration</w:t>
      </w:r>
      <w:bookmarkEnd w:id="12"/>
      <w:r w:rsidRPr="005F184A">
        <w:t xml:space="preserve"> </w:t>
      </w:r>
    </w:p>
    <w:p w14:paraId="3C334EE2" w14:textId="77777777" w:rsidR="00D65562" w:rsidRPr="005F184A" w:rsidRDefault="00D65562" w:rsidP="005F184A">
      <w:r w:rsidRPr="005F184A">
        <w:t>Shared care planning, effective communication systems and designated roles for professionals are essential for effective collaboration. Regular multidisciplinary meetings, updates to her medical records and timely referrals can ensure that everyone is aware of the change in condition and risks as a consequence for Mrs Thompson. Staff provide consistent support due to shared goal setting, e.g. better medication management, independence</w:t>
      </w:r>
      <w:r w:rsidR="003A4B78" w:rsidRPr="003A4B78">
        <w:t xml:space="preserve"> (van Dongen et al., 2016)</w:t>
      </w:r>
      <w:r w:rsidRPr="005F184A">
        <w:t>. Integrated approaches minimise duplication, ensure missed actions don't happen and help to create continuity of care across health and social care.</w:t>
      </w:r>
    </w:p>
    <w:p w14:paraId="17660DDE" w14:textId="77777777" w:rsidR="00D65562" w:rsidRPr="005F184A" w:rsidRDefault="00D65562" w:rsidP="005F184A">
      <w:pPr>
        <w:pStyle w:val="Heading2"/>
      </w:pPr>
      <w:bookmarkStart w:id="13" w:name="_Toc234664029"/>
      <w:r w:rsidRPr="005F184A">
        <w:t>4.3 Challenges and Solutions</w:t>
      </w:r>
      <w:bookmarkEnd w:id="13"/>
      <w:r w:rsidRPr="005F184A">
        <w:t xml:space="preserve"> </w:t>
      </w:r>
    </w:p>
    <w:p w14:paraId="412EC85A" w14:textId="77777777" w:rsidR="00D65562" w:rsidRPr="005F184A" w:rsidRDefault="00D65562" w:rsidP="005F184A">
      <w:r w:rsidRPr="005F184A">
        <w:t>Information sharing, confidentiality and varying professional priorities can be barriers to multi-agency working. These issues may be resolved by using secure communications systems that meet the requirements of the Data Protection Act and by having clear guidelines for information sharing. Furthermore, the professional goals of the care plan can be targeted to Mrs Thompson's wellbeing. Periodic reviews, which include all agencies, will help reduce delays and facilitate coordination</w:t>
      </w:r>
      <w:r w:rsidR="003A4B78" w:rsidRPr="003A4B78">
        <w:t xml:space="preserve"> (de Bell et al., 2024)</w:t>
      </w:r>
      <w:r w:rsidRPr="005F184A">
        <w:t>.</w:t>
      </w:r>
    </w:p>
    <w:p w14:paraId="3AC90235" w14:textId="77777777" w:rsidR="00D65562" w:rsidRPr="005F184A" w:rsidRDefault="00D65562" w:rsidP="005F184A"/>
    <w:p w14:paraId="4C66791B" w14:textId="77777777" w:rsidR="00D65562" w:rsidRPr="005F184A" w:rsidRDefault="00D65562" w:rsidP="005F184A">
      <w:pPr>
        <w:pStyle w:val="Heading1"/>
      </w:pPr>
      <w:bookmarkStart w:id="14" w:name="_Toc234664030"/>
      <w:r w:rsidRPr="005F184A">
        <w:t>5. Conclusion</w:t>
      </w:r>
      <w:bookmarkEnd w:id="14"/>
      <w:r w:rsidRPr="005F184A">
        <w:t xml:space="preserve"> </w:t>
      </w:r>
    </w:p>
    <w:p w14:paraId="1240D016" w14:textId="77777777" w:rsidR="00D65562" w:rsidRPr="005F184A" w:rsidRDefault="00D65562" w:rsidP="005F184A">
      <w:r w:rsidRPr="005F184A">
        <w:t>Mrs Thompson's case illustrates the need for communication, for accuracy in administration and for working with others in the context of effective health and social care. Implementing the SOLER model can help build trust, dignity and involvement through the practice of respectful interactions, and using good record keeping and secure information management can facilitate continuity and accountability. There are key pieces of legislation that ensure that vulnerable adults are protected, such as the Care Act 2014 and Mental Capacity Act 2005. Communication models offer useful guidance but positive outcomes require more than just the sharing of information to good effect and multi-agency co-ordinated responsibility within wider organisational systems. Professionals need to be mindful of person-centred approaches to dementia care, considering needs, preferences and autonomy in decision-making.</w:t>
      </w:r>
    </w:p>
    <w:p w14:paraId="5B7B9636" w14:textId="77777777" w:rsidR="0074789A" w:rsidRDefault="00E61475" w:rsidP="005F184A">
      <w:pPr>
        <w:pStyle w:val="Heading1"/>
      </w:pPr>
      <w:r w:rsidRPr="005F184A">
        <w:br w:type="page"/>
      </w:r>
      <w:bookmarkStart w:id="15" w:name="_Toc234664031"/>
      <w:r w:rsidR="0082293E" w:rsidRPr="005F184A">
        <w:lastRenderedPageBreak/>
        <w:t>R</w:t>
      </w:r>
      <w:r w:rsidR="00D65562" w:rsidRPr="005F184A">
        <w:t>eferences</w:t>
      </w:r>
      <w:bookmarkEnd w:id="15"/>
    </w:p>
    <w:p w14:paraId="2F3E74A1"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Abdelrahman, W. (2014). Medical Record keeping: Clarity, accuracy, and Timeliness Are Essential. </w:t>
      </w:r>
      <w:r w:rsidRPr="003A4B78">
        <w:rPr>
          <w:rFonts w:ascii="Arial" w:hAnsi="Arial" w:cs="Arial"/>
          <w:i/>
          <w:iCs/>
          <w:sz w:val="22"/>
          <w:szCs w:val="22"/>
        </w:rPr>
        <w:t>BMJ</w:t>
      </w:r>
      <w:r w:rsidRPr="003A4B78">
        <w:rPr>
          <w:rFonts w:ascii="Arial" w:hAnsi="Arial" w:cs="Arial"/>
          <w:sz w:val="22"/>
          <w:szCs w:val="22"/>
        </w:rPr>
        <w:t xml:space="preserve">, [online] 348(348). </w:t>
      </w:r>
      <w:hyperlink r:id="rId8" w:history="1">
        <w:r w:rsidRPr="00974068">
          <w:rPr>
            <w:rStyle w:val="Hyperlink"/>
            <w:rFonts w:ascii="Arial" w:hAnsi="Arial" w:cs="Arial"/>
            <w:sz w:val="22"/>
            <w:szCs w:val="22"/>
            <w:lang w:val="en-GB" w:eastAsia="ar-SA" w:bidi="ar-SA"/>
          </w:rPr>
          <w:t>https://doi:10.1136/bmj.f7716</w:t>
        </w:r>
      </w:hyperlink>
      <w:r w:rsidRPr="003A4B78">
        <w:rPr>
          <w:rFonts w:ascii="Arial" w:hAnsi="Arial" w:cs="Arial"/>
          <w:sz w:val="22"/>
          <w:szCs w:val="22"/>
        </w:rPr>
        <w:t>.</w:t>
      </w:r>
    </w:p>
    <w:p w14:paraId="0A0D0442"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Boland, B., Burnage, J. and Chowhan, H. (2013). Safeguarding adults at risk of harm. </w:t>
      </w:r>
      <w:r w:rsidRPr="003A4B78">
        <w:rPr>
          <w:rFonts w:ascii="Arial" w:hAnsi="Arial" w:cs="Arial"/>
          <w:i/>
          <w:iCs/>
          <w:sz w:val="22"/>
          <w:szCs w:val="22"/>
        </w:rPr>
        <w:t>BMJ</w:t>
      </w:r>
      <w:r w:rsidRPr="003A4B78">
        <w:rPr>
          <w:rFonts w:ascii="Arial" w:hAnsi="Arial" w:cs="Arial"/>
          <w:sz w:val="22"/>
          <w:szCs w:val="22"/>
        </w:rPr>
        <w:t xml:space="preserve">, 346(may14 2), pp.f2716-f2716. </w:t>
      </w:r>
      <w:hyperlink r:id="rId9" w:history="1">
        <w:r w:rsidRPr="00974068">
          <w:rPr>
            <w:rStyle w:val="Hyperlink"/>
            <w:rFonts w:ascii="Arial" w:hAnsi="Arial" w:cs="Arial"/>
            <w:sz w:val="22"/>
            <w:szCs w:val="22"/>
            <w:lang w:val="en-GB" w:eastAsia="ar-SA" w:bidi="ar-SA"/>
          </w:rPr>
          <w:t>https://doi:10.1136/bmj.f2716</w:t>
        </w:r>
      </w:hyperlink>
      <w:r w:rsidRPr="003A4B78">
        <w:rPr>
          <w:rFonts w:ascii="Arial" w:hAnsi="Arial" w:cs="Arial"/>
          <w:sz w:val="22"/>
          <w:szCs w:val="22"/>
        </w:rPr>
        <w:t>.</w:t>
      </w:r>
    </w:p>
    <w:p w14:paraId="3068FB32"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Daly, R.L., Bunn, F. and Goodman, C. (2018). Shared decision-making for people living with dementia in extended care settings: A systematic review. </w:t>
      </w:r>
      <w:r w:rsidRPr="003A4B78">
        <w:rPr>
          <w:rFonts w:ascii="Arial" w:hAnsi="Arial" w:cs="Arial"/>
          <w:i/>
          <w:iCs/>
          <w:sz w:val="22"/>
          <w:szCs w:val="22"/>
        </w:rPr>
        <w:t>BMJ Open</w:t>
      </w:r>
      <w:r w:rsidRPr="003A4B78">
        <w:rPr>
          <w:rFonts w:ascii="Arial" w:hAnsi="Arial" w:cs="Arial"/>
          <w:sz w:val="22"/>
          <w:szCs w:val="22"/>
        </w:rPr>
        <w:t xml:space="preserve">, 8(6), p.e018977. </w:t>
      </w:r>
      <w:hyperlink r:id="rId10" w:history="1">
        <w:r w:rsidRPr="00974068">
          <w:rPr>
            <w:rStyle w:val="Hyperlink"/>
            <w:rFonts w:ascii="Arial" w:hAnsi="Arial" w:cs="Arial"/>
            <w:sz w:val="22"/>
            <w:szCs w:val="22"/>
            <w:lang w:val="en-GB" w:eastAsia="ar-SA" w:bidi="ar-SA"/>
          </w:rPr>
          <w:t>https://doi:10.1136/bmjopen-2017-018977</w:t>
        </w:r>
      </w:hyperlink>
      <w:r w:rsidRPr="003A4B78">
        <w:rPr>
          <w:rFonts w:ascii="Arial" w:hAnsi="Arial" w:cs="Arial"/>
          <w:sz w:val="22"/>
          <w:szCs w:val="22"/>
        </w:rPr>
        <w:t>.</w:t>
      </w:r>
    </w:p>
    <w:p w14:paraId="46796EE0"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Davis, J. and Shepheard, J. (2023). Clinical documentation integrity: Its role in health data integrity, patient safety and quality outcomes and its impact on clinical coding and health information management. </w:t>
      </w:r>
      <w:r w:rsidRPr="003A4B78">
        <w:rPr>
          <w:rFonts w:ascii="Arial" w:hAnsi="Arial" w:cs="Arial"/>
          <w:i/>
          <w:iCs/>
          <w:sz w:val="22"/>
          <w:szCs w:val="22"/>
        </w:rPr>
        <w:t>Health Information Management Journal</w:t>
      </w:r>
      <w:r w:rsidRPr="003A4B78">
        <w:rPr>
          <w:rFonts w:ascii="Arial" w:hAnsi="Arial" w:cs="Arial"/>
          <w:sz w:val="22"/>
          <w:szCs w:val="22"/>
        </w:rPr>
        <w:t xml:space="preserve">, 53(2). </w:t>
      </w:r>
      <w:hyperlink r:id="rId11" w:history="1">
        <w:r w:rsidRPr="00974068">
          <w:rPr>
            <w:rStyle w:val="Hyperlink"/>
            <w:rFonts w:ascii="Arial" w:hAnsi="Arial" w:cs="Arial"/>
            <w:sz w:val="22"/>
            <w:szCs w:val="22"/>
            <w:lang w:val="en-GB" w:eastAsia="ar-SA" w:bidi="ar-SA"/>
          </w:rPr>
          <w:t>https://doi:10.1177/18333583231218029</w:t>
        </w:r>
      </w:hyperlink>
      <w:r w:rsidRPr="003A4B78">
        <w:rPr>
          <w:rFonts w:ascii="Arial" w:hAnsi="Arial" w:cs="Arial"/>
          <w:sz w:val="22"/>
          <w:szCs w:val="22"/>
        </w:rPr>
        <w:t>.</w:t>
      </w:r>
    </w:p>
    <w:p w14:paraId="3B9F6CAE"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de Bell, S., Zhelev, Z., Bethel, A., Coon, J.T. and Anderson, R. (2024). Factors influencing effective data sharing between health care and social care regarding the care of older people: A qualitative evidence synthesis. </w:t>
      </w:r>
      <w:r w:rsidRPr="003A4B78">
        <w:rPr>
          <w:rFonts w:ascii="Arial" w:hAnsi="Arial" w:cs="Arial"/>
          <w:i/>
          <w:iCs/>
          <w:sz w:val="22"/>
          <w:szCs w:val="22"/>
        </w:rPr>
        <w:t>Health and Social Care Delivery Research</w:t>
      </w:r>
      <w:r w:rsidRPr="003A4B78">
        <w:rPr>
          <w:rFonts w:ascii="Arial" w:hAnsi="Arial" w:cs="Arial"/>
          <w:sz w:val="22"/>
          <w:szCs w:val="22"/>
        </w:rPr>
        <w:t xml:space="preserve">, [online] pp.1–87. </w:t>
      </w:r>
      <w:hyperlink r:id="rId12" w:history="1">
        <w:r w:rsidRPr="00974068">
          <w:rPr>
            <w:rStyle w:val="Hyperlink"/>
            <w:rFonts w:ascii="Arial" w:hAnsi="Arial" w:cs="Arial"/>
            <w:sz w:val="22"/>
            <w:szCs w:val="22"/>
            <w:lang w:val="en-GB" w:eastAsia="ar-SA" w:bidi="ar-SA"/>
          </w:rPr>
          <w:t>https://doi:10.3310/ttwg4738</w:t>
        </w:r>
      </w:hyperlink>
      <w:r w:rsidRPr="003A4B78">
        <w:rPr>
          <w:rFonts w:ascii="Arial" w:hAnsi="Arial" w:cs="Arial"/>
          <w:sz w:val="22"/>
          <w:szCs w:val="22"/>
        </w:rPr>
        <w:t>.</w:t>
      </w:r>
    </w:p>
    <w:p w14:paraId="6E1918DD"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Dixon, J., Bark, H., Fang, C., Laing, J. and Patsios, D. (2025). The Use of Mental Capacity and Mental Health Laws in the Care of People Living With Dementia in Residential and Hospital Settings: A Systematic Review of the Literature. </w:t>
      </w:r>
      <w:r w:rsidRPr="003A4B78">
        <w:rPr>
          <w:rFonts w:ascii="Arial" w:hAnsi="Arial" w:cs="Arial"/>
          <w:i/>
          <w:iCs/>
          <w:sz w:val="22"/>
          <w:szCs w:val="22"/>
        </w:rPr>
        <w:t>Dementia</w:t>
      </w:r>
      <w:r w:rsidRPr="003A4B78">
        <w:rPr>
          <w:rFonts w:ascii="Arial" w:hAnsi="Arial" w:cs="Arial"/>
          <w:sz w:val="22"/>
          <w:szCs w:val="22"/>
        </w:rPr>
        <w:t xml:space="preserve">. </w:t>
      </w:r>
      <w:hyperlink r:id="rId13" w:history="1">
        <w:r w:rsidRPr="00974068">
          <w:rPr>
            <w:rStyle w:val="Hyperlink"/>
            <w:rFonts w:ascii="Arial" w:hAnsi="Arial" w:cs="Arial"/>
            <w:sz w:val="22"/>
            <w:szCs w:val="22"/>
            <w:lang w:val="en-GB" w:eastAsia="ar-SA" w:bidi="ar-SA"/>
          </w:rPr>
          <w:t>https://doi:10.1177/14713012251367810</w:t>
        </w:r>
      </w:hyperlink>
      <w:r w:rsidRPr="003A4B78">
        <w:rPr>
          <w:rFonts w:ascii="Arial" w:hAnsi="Arial" w:cs="Arial"/>
          <w:sz w:val="22"/>
          <w:szCs w:val="22"/>
        </w:rPr>
        <w:t>.</w:t>
      </w:r>
    </w:p>
    <w:p w14:paraId="53DBC554"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Hayes, C., Manning, M., Fitzgerald, C., Condon, B., Griffin, A., O’Connor, M., Glynn, L., Robinson, K. and Galvin, R. (2024). Effectiveness of Community</w:t>
      </w:r>
      <w:r w:rsidRPr="003A4B78">
        <w:rPr>
          <w:rFonts w:ascii="Cambria Math" w:hAnsi="Cambria Math" w:cs="Cambria Math"/>
          <w:sz w:val="22"/>
          <w:szCs w:val="22"/>
        </w:rPr>
        <w:t>‐</w:t>
      </w:r>
      <w:r w:rsidRPr="003A4B78">
        <w:rPr>
          <w:rFonts w:ascii="Arial" w:hAnsi="Arial" w:cs="Arial"/>
          <w:sz w:val="22"/>
          <w:szCs w:val="22"/>
        </w:rPr>
        <w:t>Based Multidisciplinary Integrated Care for Older Adults with General Practitioner Involvement: A Systematic Review and Meta</w:t>
      </w:r>
      <w:r w:rsidRPr="003A4B78">
        <w:rPr>
          <w:rFonts w:ascii="Cambria Math" w:hAnsi="Cambria Math" w:cs="Cambria Math"/>
          <w:sz w:val="22"/>
          <w:szCs w:val="22"/>
        </w:rPr>
        <w:t>‐</w:t>
      </w:r>
      <w:r w:rsidRPr="003A4B78">
        <w:rPr>
          <w:rFonts w:ascii="Arial" w:hAnsi="Arial" w:cs="Arial"/>
          <w:sz w:val="22"/>
          <w:szCs w:val="22"/>
        </w:rPr>
        <w:t xml:space="preserve">Analysis. </w:t>
      </w:r>
      <w:r w:rsidRPr="003A4B78">
        <w:rPr>
          <w:rFonts w:ascii="Arial" w:hAnsi="Arial" w:cs="Arial"/>
          <w:i/>
          <w:iCs/>
          <w:sz w:val="22"/>
          <w:szCs w:val="22"/>
        </w:rPr>
        <w:t>Health &amp; Social Care in the Community</w:t>
      </w:r>
      <w:r w:rsidRPr="003A4B78">
        <w:rPr>
          <w:rFonts w:ascii="Arial" w:hAnsi="Arial" w:cs="Arial"/>
          <w:sz w:val="22"/>
          <w:szCs w:val="22"/>
        </w:rPr>
        <w:t xml:space="preserve">, [online] 2024(1). </w:t>
      </w:r>
      <w:hyperlink r:id="rId14" w:history="1">
        <w:r w:rsidRPr="00974068">
          <w:rPr>
            <w:rStyle w:val="Hyperlink"/>
            <w:rFonts w:ascii="Arial" w:hAnsi="Arial" w:cs="Arial"/>
            <w:sz w:val="22"/>
            <w:szCs w:val="22"/>
            <w:lang w:val="en-GB" w:eastAsia="ar-SA" w:bidi="ar-SA"/>
          </w:rPr>
          <w:t>https://doi:10.1155/2024/6437930</w:t>
        </w:r>
      </w:hyperlink>
      <w:r w:rsidRPr="003A4B78">
        <w:rPr>
          <w:rFonts w:ascii="Arial" w:hAnsi="Arial" w:cs="Arial"/>
          <w:sz w:val="22"/>
          <w:szCs w:val="22"/>
        </w:rPr>
        <w:t>.</w:t>
      </w:r>
    </w:p>
    <w:p w14:paraId="312E08B3"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Laukvik, L.B., Lyngstad, M., Rotegård, A.K., Slettebø, Å. and Fossum, M. (2022). Content and comprehensiveness in the nursing documentation for residents in long-term dementia care: A retrospective chart review. </w:t>
      </w:r>
      <w:r w:rsidRPr="003A4B78">
        <w:rPr>
          <w:rFonts w:ascii="Arial" w:hAnsi="Arial" w:cs="Arial"/>
          <w:i/>
          <w:iCs/>
          <w:sz w:val="22"/>
          <w:szCs w:val="22"/>
        </w:rPr>
        <w:t>BMC Nursing</w:t>
      </w:r>
      <w:r w:rsidRPr="003A4B78">
        <w:rPr>
          <w:rFonts w:ascii="Arial" w:hAnsi="Arial" w:cs="Arial"/>
          <w:sz w:val="22"/>
          <w:szCs w:val="22"/>
        </w:rPr>
        <w:t xml:space="preserve">, 21(1). </w:t>
      </w:r>
      <w:hyperlink r:id="rId15" w:history="1">
        <w:r w:rsidRPr="00974068">
          <w:rPr>
            <w:rStyle w:val="Hyperlink"/>
            <w:rFonts w:ascii="Arial" w:hAnsi="Arial" w:cs="Arial"/>
            <w:sz w:val="22"/>
            <w:szCs w:val="22"/>
            <w:lang w:val="en-GB" w:eastAsia="ar-SA" w:bidi="ar-SA"/>
          </w:rPr>
          <w:t>https://doi:10.1186/s12912-022-00863-9</w:t>
        </w:r>
      </w:hyperlink>
      <w:r w:rsidRPr="003A4B78">
        <w:rPr>
          <w:rFonts w:ascii="Arial" w:hAnsi="Arial" w:cs="Arial"/>
          <w:sz w:val="22"/>
          <w:szCs w:val="22"/>
        </w:rPr>
        <w:t>.</w:t>
      </w:r>
    </w:p>
    <w:p w14:paraId="4E10850E"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Lear, R., Ellis, S., Ollivierre-Harris, T., Long, S. and Mayer, E.K. (2023). Video Recording Patients for Direct Care Purposes: Systematic Review and Narrative Synthesis of International Empirical Studies and UK Professional Guidance. </w:t>
      </w:r>
      <w:r w:rsidRPr="003A4B78">
        <w:rPr>
          <w:rFonts w:ascii="Arial" w:hAnsi="Arial" w:cs="Arial"/>
          <w:i/>
          <w:iCs/>
          <w:sz w:val="22"/>
          <w:szCs w:val="22"/>
        </w:rPr>
        <w:t>Journal of Medical Internet Research</w:t>
      </w:r>
      <w:r w:rsidRPr="003A4B78">
        <w:rPr>
          <w:rFonts w:ascii="Arial" w:hAnsi="Arial" w:cs="Arial"/>
          <w:sz w:val="22"/>
          <w:szCs w:val="22"/>
        </w:rPr>
        <w:t xml:space="preserve">, [online] 25(1), p.e46478. </w:t>
      </w:r>
      <w:hyperlink r:id="rId16" w:history="1">
        <w:r w:rsidRPr="00974068">
          <w:rPr>
            <w:rStyle w:val="Hyperlink"/>
            <w:rFonts w:ascii="Arial" w:hAnsi="Arial" w:cs="Arial"/>
            <w:sz w:val="22"/>
            <w:szCs w:val="22"/>
            <w:lang w:val="en-GB" w:eastAsia="ar-SA" w:bidi="ar-SA"/>
          </w:rPr>
          <w:t>https://doi:10.2196/46478</w:t>
        </w:r>
      </w:hyperlink>
      <w:r w:rsidRPr="003A4B78">
        <w:rPr>
          <w:rFonts w:ascii="Arial" w:hAnsi="Arial" w:cs="Arial"/>
          <w:sz w:val="22"/>
          <w:szCs w:val="22"/>
        </w:rPr>
        <w:t>.</w:t>
      </w:r>
    </w:p>
    <w:p w14:paraId="6ACD559B"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Livingston, G., Leavey, G., Manela, M., Livingston, D., Rait, G., Sampson, E., Bavishi, S., Shahriyarmolki, K. and Cooper, C. (2010). Making decisions for people with dementia who lack capacity: Qualitative study of family carers in UK. </w:t>
      </w:r>
      <w:r w:rsidRPr="003A4B78">
        <w:rPr>
          <w:rFonts w:ascii="Arial" w:hAnsi="Arial" w:cs="Arial"/>
          <w:i/>
          <w:iCs/>
          <w:sz w:val="22"/>
          <w:szCs w:val="22"/>
        </w:rPr>
        <w:t>BMJ</w:t>
      </w:r>
      <w:r w:rsidRPr="003A4B78">
        <w:rPr>
          <w:rFonts w:ascii="Arial" w:hAnsi="Arial" w:cs="Arial"/>
          <w:sz w:val="22"/>
          <w:szCs w:val="22"/>
        </w:rPr>
        <w:t xml:space="preserve">, 341(aug18 1), pp.c4184-c4184. </w:t>
      </w:r>
      <w:hyperlink r:id="rId17" w:history="1">
        <w:r w:rsidRPr="00974068">
          <w:rPr>
            <w:rStyle w:val="Hyperlink"/>
            <w:rFonts w:ascii="Arial" w:hAnsi="Arial" w:cs="Arial"/>
            <w:sz w:val="22"/>
            <w:szCs w:val="22"/>
            <w:lang w:val="en-GB" w:eastAsia="ar-SA" w:bidi="ar-SA"/>
          </w:rPr>
          <w:t>https://doi:10.1136/bmj.c4184</w:t>
        </w:r>
      </w:hyperlink>
      <w:r w:rsidRPr="003A4B78">
        <w:rPr>
          <w:rFonts w:ascii="Arial" w:hAnsi="Arial" w:cs="Arial"/>
          <w:sz w:val="22"/>
          <w:szCs w:val="22"/>
        </w:rPr>
        <w:t>.</w:t>
      </w:r>
    </w:p>
    <w:p w14:paraId="625A0E3F"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Marshall, H. and Sprung, S. (2017). The Mental Capacity Act: ‘Best interests’—a review of the literature. </w:t>
      </w:r>
      <w:r w:rsidRPr="003A4B78">
        <w:rPr>
          <w:rFonts w:ascii="Arial" w:hAnsi="Arial" w:cs="Arial"/>
          <w:i/>
          <w:iCs/>
          <w:sz w:val="22"/>
          <w:szCs w:val="22"/>
        </w:rPr>
        <w:t>British Journal of Community Nursing</w:t>
      </w:r>
      <w:r w:rsidRPr="003A4B78">
        <w:rPr>
          <w:rFonts w:ascii="Arial" w:hAnsi="Arial" w:cs="Arial"/>
          <w:sz w:val="22"/>
          <w:szCs w:val="22"/>
        </w:rPr>
        <w:t xml:space="preserve">, [online] 22(8), pp.384–390. </w:t>
      </w:r>
      <w:hyperlink r:id="rId18" w:history="1">
        <w:r w:rsidRPr="00974068">
          <w:rPr>
            <w:rStyle w:val="Hyperlink"/>
            <w:rFonts w:ascii="Arial" w:hAnsi="Arial" w:cs="Arial"/>
            <w:sz w:val="22"/>
            <w:szCs w:val="22"/>
            <w:lang w:val="en-GB" w:eastAsia="ar-SA" w:bidi="ar-SA"/>
          </w:rPr>
          <w:t>https://doi:10.12968/bjcn.2017.22.8.384</w:t>
        </w:r>
      </w:hyperlink>
      <w:r w:rsidRPr="003A4B78">
        <w:rPr>
          <w:rFonts w:ascii="Arial" w:hAnsi="Arial" w:cs="Arial"/>
          <w:sz w:val="22"/>
          <w:szCs w:val="22"/>
        </w:rPr>
        <w:t>.</w:t>
      </w:r>
    </w:p>
    <w:p w14:paraId="33E17927"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lastRenderedPageBreak/>
        <w:t xml:space="preserve">Mundadan, R.G., Savundranayagam, M.Y., Orange, J.B. and Murray, L. (2022). Language-Based Strategies that Support Person-Centered Communication in Formal Home Care Interactions with Persons Living with Dementia. </w:t>
      </w:r>
      <w:r w:rsidRPr="003A4B78">
        <w:rPr>
          <w:rFonts w:ascii="Arial" w:hAnsi="Arial" w:cs="Arial"/>
          <w:i/>
          <w:iCs/>
          <w:sz w:val="22"/>
          <w:szCs w:val="22"/>
        </w:rPr>
        <w:t>Journal of Applied Gerontology</w:t>
      </w:r>
      <w:r w:rsidRPr="003A4B78">
        <w:rPr>
          <w:rFonts w:ascii="Arial" w:hAnsi="Arial" w:cs="Arial"/>
          <w:sz w:val="22"/>
          <w:szCs w:val="22"/>
        </w:rPr>
        <w:t>, 42(4), p.073346482211428.</w:t>
      </w:r>
      <w:r>
        <w:rPr>
          <w:rFonts w:ascii="Arial" w:hAnsi="Arial" w:cs="Arial"/>
          <w:sz w:val="22"/>
          <w:szCs w:val="22"/>
        </w:rPr>
        <w:t xml:space="preserve"> </w:t>
      </w:r>
      <w:hyperlink r:id="rId19" w:history="1">
        <w:r w:rsidRPr="00974068">
          <w:rPr>
            <w:rStyle w:val="Hyperlink"/>
            <w:rFonts w:ascii="Arial" w:hAnsi="Arial" w:cs="Arial"/>
            <w:sz w:val="22"/>
            <w:szCs w:val="22"/>
            <w:lang w:val="en-GB" w:eastAsia="ar-SA" w:bidi="ar-SA"/>
          </w:rPr>
          <w:t>https://doi:10.1177/07334648221142852</w:t>
        </w:r>
      </w:hyperlink>
      <w:r w:rsidRPr="003A4B78">
        <w:rPr>
          <w:rFonts w:ascii="Arial" w:hAnsi="Arial" w:cs="Arial"/>
          <w:sz w:val="22"/>
          <w:szCs w:val="22"/>
        </w:rPr>
        <w:t>.</w:t>
      </w:r>
    </w:p>
    <w:p w14:paraId="6BF1A714"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Nicholson , L. (2017). Person-centred care: Experiences of older people with dementia. </w:t>
      </w:r>
      <w:r w:rsidRPr="003A4B78">
        <w:rPr>
          <w:rFonts w:ascii="Arial" w:hAnsi="Arial" w:cs="Arial"/>
          <w:i/>
          <w:iCs/>
          <w:sz w:val="22"/>
          <w:szCs w:val="22"/>
        </w:rPr>
        <w:t>Nursing Standard</w:t>
      </w:r>
      <w:r w:rsidRPr="003A4B78">
        <w:rPr>
          <w:rFonts w:ascii="Arial" w:hAnsi="Arial" w:cs="Arial"/>
          <w:sz w:val="22"/>
          <w:szCs w:val="22"/>
        </w:rPr>
        <w:t xml:space="preserve">, 32(8), pp.41–51. </w:t>
      </w:r>
      <w:hyperlink r:id="rId20" w:history="1">
        <w:r w:rsidRPr="00974068">
          <w:rPr>
            <w:rStyle w:val="Hyperlink"/>
            <w:rFonts w:ascii="Arial" w:hAnsi="Arial" w:cs="Arial"/>
            <w:sz w:val="22"/>
            <w:szCs w:val="22"/>
            <w:lang w:val="en-GB" w:eastAsia="ar-SA" w:bidi="ar-SA"/>
          </w:rPr>
          <w:t>https://doi:10.7748/ns.2017.e10558</w:t>
        </w:r>
      </w:hyperlink>
      <w:r w:rsidRPr="003A4B78">
        <w:rPr>
          <w:rFonts w:ascii="Arial" w:hAnsi="Arial" w:cs="Arial"/>
          <w:sz w:val="22"/>
          <w:szCs w:val="22"/>
        </w:rPr>
        <w:t>.</w:t>
      </w:r>
    </w:p>
    <w:p w14:paraId="30A3A945"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O’Rourke, D.J., Lobchuk, M.M., Thompson, G.N. and Lengyel, C. (2022). Expanding the conversation: A person-centred communication enhancement model. </w:t>
      </w:r>
      <w:r w:rsidRPr="003A4B78">
        <w:rPr>
          <w:rFonts w:ascii="Arial" w:hAnsi="Arial" w:cs="Arial"/>
          <w:i/>
          <w:iCs/>
          <w:sz w:val="22"/>
          <w:szCs w:val="22"/>
        </w:rPr>
        <w:t>Dementia</w:t>
      </w:r>
      <w:r w:rsidRPr="003A4B78">
        <w:rPr>
          <w:rFonts w:ascii="Arial" w:hAnsi="Arial" w:cs="Arial"/>
          <w:sz w:val="22"/>
          <w:szCs w:val="22"/>
        </w:rPr>
        <w:t xml:space="preserve">, [online] 21(5), pp.1596–1617. </w:t>
      </w:r>
      <w:hyperlink r:id="rId21" w:history="1">
        <w:r w:rsidRPr="00974068">
          <w:rPr>
            <w:rStyle w:val="Hyperlink"/>
            <w:rFonts w:ascii="Arial" w:hAnsi="Arial" w:cs="Arial"/>
            <w:sz w:val="22"/>
            <w:szCs w:val="22"/>
            <w:lang w:val="en-GB" w:eastAsia="ar-SA" w:bidi="ar-SA"/>
          </w:rPr>
          <w:t>Https://doi:10.1177/14713012221080252</w:t>
        </w:r>
      </w:hyperlink>
      <w:r w:rsidRPr="003A4B78">
        <w:rPr>
          <w:rFonts w:ascii="Arial" w:hAnsi="Arial" w:cs="Arial"/>
          <w:sz w:val="22"/>
          <w:szCs w:val="22"/>
        </w:rPr>
        <w:t>.</w:t>
      </w:r>
    </w:p>
    <w:p w14:paraId="11A1916A"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Parker, K.J., Phillips, J.L., Luckett, T., Agar, M., Ferguson, C. and Hickman, L.D. (2021). Analysis of discharge documentation for older adults living with dementia: A cohort study. </w:t>
      </w:r>
      <w:r w:rsidRPr="003A4B78">
        <w:rPr>
          <w:rFonts w:ascii="Arial" w:hAnsi="Arial" w:cs="Arial"/>
          <w:i/>
          <w:iCs/>
          <w:sz w:val="22"/>
          <w:szCs w:val="22"/>
        </w:rPr>
        <w:t>Journal of Clinical Nursing</w:t>
      </w:r>
      <w:r w:rsidRPr="003A4B78">
        <w:rPr>
          <w:rFonts w:ascii="Arial" w:hAnsi="Arial" w:cs="Arial"/>
          <w:sz w:val="22"/>
          <w:szCs w:val="22"/>
        </w:rPr>
        <w:t xml:space="preserve">, 30(23). </w:t>
      </w:r>
      <w:hyperlink r:id="rId22" w:history="1">
        <w:r w:rsidRPr="00974068">
          <w:rPr>
            <w:rStyle w:val="Hyperlink"/>
            <w:rFonts w:ascii="Arial" w:hAnsi="Arial" w:cs="Arial"/>
            <w:sz w:val="22"/>
            <w:szCs w:val="22"/>
            <w:lang w:val="en-GB" w:eastAsia="ar-SA" w:bidi="ar-SA"/>
          </w:rPr>
          <w:t>https://doi:10.1111/jocn.15885</w:t>
        </w:r>
      </w:hyperlink>
      <w:r w:rsidRPr="003A4B78">
        <w:rPr>
          <w:rFonts w:ascii="Arial" w:hAnsi="Arial" w:cs="Arial"/>
          <w:sz w:val="22"/>
          <w:szCs w:val="22"/>
        </w:rPr>
        <w:t>.</w:t>
      </w:r>
    </w:p>
    <w:p w14:paraId="7E543EB6"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Public Health England (2018). </w:t>
      </w:r>
      <w:r w:rsidRPr="003A4B78">
        <w:rPr>
          <w:rFonts w:ascii="Arial" w:hAnsi="Arial" w:cs="Arial"/>
          <w:i/>
          <w:iCs/>
          <w:sz w:val="22"/>
          <w:szCs w:val="22"/>
        </w:rPr>
        <w:t>Dementia and people with learning disabilities: Making reasonable adjustments - guidance</w:t>
      </w:r>
      <w:r w:rsidRPr="003A4B78">
        <w:rPr>
          <w:rFonts w:ascii="Arial" w:hAnsi="Arial" w:cs="Arial"/>
          <w:sz w:val="22"/>
          <w:szCs w:val="22"/>
        </w:rPr>
        <w:t xml:space="preserve">. [online] GOV.UK. Available at: </w:t>
      </w:r>
      <w:hyperlink r:id="rId23" w:history="1">
        <w:r w:rsidRPr="00974068">
          <w:rPr>
            <w:rStyle w:val="Hyperlink"/>
            <w:rFonts w:ascii="Arial" w:hAnsi="Arial" w:cs="Arial"/>
            <w:sz w:val="22"/>
            <w:szCs w:val="22"/>
            <w:lang w:val="en-GB" w:eastAsia="ar-SA" w:bidi="ar-SA"/>
          </w:rPr>
          <w:t>https://www.gov.uk/government/publications/people-with-dementia-and-learning-disabilities-reasonable-adjustments/dementia-and-people-with-learning-disabilities</w:t>
        </w:r>
      </w:hyperlink>
    </w:p>
    <w:p w14:paraId="00F6B698"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Savundranayagam, M.Y. and Moore-Nielsen, K. (2015). Language-based communication strategies that support person-centered communication with persons with dementia. </w:t>
      </w:r>
      <w:r w:rsidRPr="003A4B78">
        <w:rPr>
          <w:rFonts w:ascii="Arial" w:hAnsi="Arial" w:cs="Arial"/>
          <w:i/>
          <w:iCs/>
          <w:sz w:val="22"/>
          <w:szCs w:val="22"/>
        </w:rPr>
        <w:t>International Psychogeriatrics</w:t>
      </w:r>
      <w:r w:rsidRPr="003A4B78">
        <w:rPr>
          <w:rFonts w:ascii="Arial" w:hAnsi="Arial" w:cs="Arial"/>
          <w:sz w:val="22"/>
          <w:szCs w:val="22"/>
        </w:rPr>
        <w:t xml:space="preserve">, [online] 27(10), pp.1707–1718. </w:t>
      </w:r>
      <w:hyperlink r:id="rId24" w:history="1">
        <w:r w:rsidRPr="00974068">
          <w:rPr>
            <w:rStyle w:val="Hyperlink"/>
            <w:rFonts w:ascii="Arial" w:hAnsi="Arial" w:cs="Arial"/>
            <w:sz w:val="22"/>
            <w:szCs w:val="22"/>
            <w:lang w:val="en-GB" w:eastAsia="ar-SA" w:bidi="ar-SA"/>
          </w:rPr>
          <w:t>https://doi:10.1017/s1041610215000903</w:t>
        </w:r>
      </w:hyperlink>
      <w:r w:rsidRPr="003A4B78">
        <w:rPr>
          <w:rFonts w:ascii="Arial" w:hAnsi="Arial" w:cs="Arial"/>
          <w:sz w:val="22"/>
          <w:szCs w:val="22"/>
        </w:rPr>
        <w:t>.</w:t>
      </w:r>
    </w:p>
    <w:p w14:paraId="13C79D0B"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Staehler, M., Benson, C., Block, L., Roberts, T. and Gilmore-Bykovskyi, A. (2022). Verbal and Nonverbal Expressions of Persons Living with Dementia as Indicators of Person-Centered Caregiving. </w:t>
      </w:r>
      <w:r w:rsidRPr="003A4B78">
        <w:rPr>
          <w:rFonts w:ascii="Arial" w:hAnsi="Arial" w:cs="Arial"/>
          <w:i/>
          <w:iCs/>
          <w:sz w:val="22"/>
          <w:szCs w:val="22"/>
        </w:rPr>
        <w:t>The Gerontologist</w:t>
      </w:r>
      <w:r w:rsidRPr="003A4B78">
        <w:rPr>
          <w:rFonts w:ascii="Arial" w:hAnsi="Arial" w:cs="Arial"/>
          <w:sz w:val="22"/>
          <w:szCs w:val="22"/>
        </w:rPr>
        <w:t xml:space="preserve">, 62(9). </w:t>
      </w:r>
      <w:hyperlink r:id="rId25" w:history="1">
        <w:r w:rsidRPr="00974068">
          <w:rPr>
            <w:rStyle w:val="Hyperlink"/>
            <w:rFonts w:ascii="Arial" w:hAnsi="Arial" w:cs="Arial"/>
            <w:sz w:val="22"/>
            <w:szCs w:val="22"/>
            <w:lang w:val="en-GB" w:eastAsia="ar-SA" w:bidi="ar-SA"/>
          </w:rPr>
          <w:t>https://doi:10.1093/geront/gnac012</w:t>
        </w:r>
      </w:hyperlink>
      <w:r w:rsidRPr="003A4B78">
        <w:rPr>
          <w:rFonts w:ascii="Arial" w:hAnsi="Arial" w:cs="Arial"/>
          <w:sz w:val="22"/>
          <w:szCs w:val="22"/>
        </w:rPr>
        <w:t>.</w:t>
      </w:r>
    </w:p>
    <w:p w14:paraId="6BE06ED5"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Sunjaya, A.M., Schreiber, T., Kantilal, K., Davies, N. and Griffiths, S. (2025). Communication strategies for delivering personalised dementia care and support: A mixed-methods systematic review and narrative synthesis. </w:t>
      </w:r>
      <w:r w:rsidRPr="003A4B78">
        <w:rPr>
          <w:rFonts w:ascii="Arial" w:hAnsi="Arial" w:cs="Arial"/>
          <w:i/>
          <w:iCs/>
          <w:sz w:val="22"/>
          <w:szCs w:val="22"/>
        </w:rPr>
        <w:t>Age and Ageing</w:t>
      </w:r>
      <w:r w:rsidRPr="003A4B78">
        <w:rPr>
          <w:rFonts w:ascii="Arial" w:hAnsi="Arial" w:cs="Arial"/>
          <w:sz w:val="22"/>
          <w:szCs w:val="22"/>
        </w:rPr>
        <w:t xml:space="preserve">, [online] 54(5). </w:t>
      </w:r>
      <w:hyperlink r:id="rId26" w:history="1">
        <w:r w:rsidRPr="00974068">
          <w:rPr>
            <w:rStyle w:val="Hyperlink"/>
            <w:rFonts w:ascii="Arial" w:hAnsi="Arial" w:cs="Arial"/>
            <w:sz w:val="22"/>
            <w:szCs w:val="22"/>
            <w:lang w:val="en-GB" w:eastAsia="ar-SA" w:bidi="ar-SA"/>
          </w:rPr>
          <w:t>https://doi:10.1093/ageing/afaf120</w:t>
        </w:r>
      </w:hyperlink>
      <w:r w:rsidRPr="003A4B78">
        <w:rPr>
          <w:rFonts w:ascii="Arial" w:hAnsi="Arial" w:cs="Arial"/>
          <w:sz w:val="22"/>
          <w:szCs w:val="22"/>
        </w:rPr>
        <w:t>.</w:t>
      </w:r>
    </w:p>
    <w:p w14:paraId="1C08E3CB"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van der Heide, I., Francke, A.L., Döpp, C., Heins, M., van Hout, H.P.J., Verheij, R.A. and Joling, K.J. (2023). Lessons learned from the development of a national registry on dementia care and support based on linked national health and administrative data. </w:t>
      </w:r>
      <w:r w:rsidRPr="003A4B78">
        <w:rPr>
          <w:rFonts w:ascii="Arial" w:hAnsi="Arial" w:cs="Arial"/>
          <w:i/>
          <w:iCs/>
          <w:sz w:val="22"/>
          <w:szCs w:val="22"/>
        </w:rPr>
        <w:t>Learning Health Systems</w:t>
      </w:r>
      <w:r w:rsidRPr="003A4B78">
        <w:rPr>
          <w:rFonts w:ascii="Arial" w:hAnsi="Arial" w:cs="Arial"/>
          <w:sz w:val="22"/>
          <w:szCs w:val="22"/>
        </w:rPr>
        <w:t xml:space="preserve">, [online] 8(2). </w:t>
      </w:r>
      <w:hyperlink r:id="rId27" w:history="1">
        <w:r w:rsidRPr="00974068">
          <w:rPr>
            <w:rStyle w:val="Hyperlink"/>
            <w:rFonts w:ascii="Arial" w:hAnsi="Arial" w:cs="Arial"/>
            <w:sz w:val="22"/>
            <w:szCs w:val="22"/>
            <w:lang w:val="en-GB" w:eastAsia="ar-SA" w:bidi="ar-SA"/>
          </w:rPr>
          <w:t>https://doi:10.1002/lrh2.10392</w:t>
        </w:r>
      </w:hyperlink>
      <w:r w:rsidRPr="003A4B78">
        <w:rPr>
          <w:rFonts w:ascii="Arial" w:hAnsi="Arial" w:cs="Arial"/>
          <w:sz w:val="22"/>
          <w:szCs w:val="22"/>
        </w:rPr>
        <w:t>.</w:t>
      </w:r>
    </w:p>
    <w:p w14:paraId="1C17AEF3"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van Dongen, J.J.J., van Bokhoven, M.A., Daniëls, R., van der Weijden, T., Emonts, W.W.G.P. and Beurskens, A. (2016). Developing interprofessional care plans in chronic care: A scoping review. </w:t>
      </w:r>
      <w:r w:rsidRPr="003A4B78">
        <w:rPr>
          <w:rFonts w:ascii="Arial" w:hAnsi="Arial" w:cs="Arial"/>
          <w:i/>
          <w:iCs/>
          <w:sz w:val="22"/>
          <w:szCs w:val="22"/>
        </w:rPr>
        <w:t>BMC Family Practice</w:t>
      </w:r>
      <w:r w:rsidRPr="003A4B78">
        <w:rPr>
          <w:rFonts w:ascii="Arial" w:hAnsi="Arial" w:cs="Arial"/>
          <w:sz w:val="22"/>
          <w:szCs w:val="22"/>
        </w:rPr>
        <w:t xml:space="preserve">, 17(1). </w:t>
      </w:r>
      <w:hyperlink r:id="rId28" w:history="1">
        <w:r w:rsidRPr="00974068">
          <w:rPr>
            <w:rStyle w:val="Hyperlink"/>
            <w:rFonts w:ascii="Arial" w:hAnsi="Arial" w:cs="Arial"/>
            <w:sz w:val="22"/>
            <w:szCs w:val="22"/>
            <w:lang w:val="en-GB" w:eastAsia="ar-SA" w:bidi="ar-SA"/>
          </w:rPr>
          <w:t>https://doi:10.1186/s12875-016-0535-7</w:t>
        </w:r>
      </w:hyperlink>
      <w:r w:rsidRPr="003A4B78">
        <w:rPr>
          <w:rFonts w:ascii="Arial" w:hAnsi="Arial" w:cs="Arial"/>
          <w:sz w:val="22"/>
          <w:szCs w:val="22"/>
        </w:rPr>
        <w:t>.</w:t>
      </w:r>
    </w:p>
    <w:p w14:paraId="539F6FB3" w14:textId="77777777" w:rsidR="003A4B78" w:rsidRDefault="003A4B78" w:rsidP="003A4B78">
      <w:pPr>
        <w:pStyle w:val="NormalWeb"/>
        <w:spacing w:after="240" w:line="240" w:lineRule="auto"/>
        <w:ind w:left="720" w:hanging="720"/>
        <w:rPr>
          <w:rFonts w:ascii="Arial" w:hAnsi="Arial" w:cs="Arial"/>
          <w:sz w:val="22"/>
          <w:szCs w:val="22"/>
        </w:rPr>
      </w:pPr>
      <w:r w:rsidRPr="003A4B78">
        <w:rPr>
          <w:rFonts w:ascii="Arial" w:hAnsi="Arial" w:cs="Arial"/>
          <w:sz w:val="22"/>
          <w:szCs w:val="22"/>
        </w:rPr>
        <w:t xml:space="preserve">Wheeler, N.L. and Oyebode, J.R. (2010). Dementia care 1: Person centred approaches help to promote effective communication. </w:t>
      </w:r>
      <w:r w:rsidRPr="003A4B78">
        <w:rPr>
          <w:rFonts w:ascii="Arial" w:hAnsi="Arial" w:cs="Arial"/>
          <w:i/>
          <w:iCs/>
          <w:sz w:val="22"/>
          <w:szCs w:val="22"/>
        </w:rPr>
        <w:t>Nursing Times</w:t>
      </w:r>
      <w:r w:rsidRPr="003A4B78">
        <w:rPr>
          <w:rFonts w:ascii="Arial" w:hAnsi="Arial" w:cs="Arial"/>
          <w:sz w:val="22"/>
          <w:szCs w:val="22"/>
        </w:rPr>
        <w:t xml:space="preserve">, [online] 106(24), pp.18–21. Available at: </w:t>
      </w:r>
      <w:hyperlink r:id="rId29" w:history="1">
        <w:r w:rsidRPr="00974068">
          <w:rPr>
            <w:rStyle w:val="Hyperlink"/>
            <w:rFonts w:ascii="Arial" w:hAnsi="Arial" w:cs="Arial"/>
            <w:sz w:val="22"/>
            <w:szCs w:val="22"/>
            <w:lang w:val="en-GB" w:eastAsia="ar-SA" w:bidi="ar-SA"/>
          </w:rPr>
          <w:t>https://pubmed.ncbi.nlm.nih.gov/20642214/</w:t>
        </w:r>
      </w:hyperlink>
    </w:p>
    <w:p w14:paraId="268D148C" w14:textId="77777777" w:rsidR="003A4B78" w:rsidRPr="003A4B78" w:rsidRDefault="003A4B78" w:rsidP="003A4B78">
      <w:pPr>
        <w:pStyle w:val="NormalWeb"/>
        <w:spacing w:after="240" w:line="240" w:lineRule="auto"/>
        <w:ind w:left="720" w:hanging="720"/>
        <w:rPr>
          <w:rFonts w:ascii="Arial" w:hAnsi="Arial" w:cs="Arial"/>
          <w:sz w:val="22"/>
          <w:szCs w:val="22"/>
        </w:rPr>
      </w:pPr>
    </w:p>
    <w:p w14:paraId="0D5A15A1" w14:textId="77777777" w:rsidR="003A4B78" w:rsidRPr="003A4B78" w:rsidRDefault="003A4B78" w:rsidP="003A4B78"/>
    <w:sectPr w:rsidR="003A4B78" w:rsidRPr="003A4B78">
      <w:headerReference w:type="even" r:id="rId30"/>
      <w:headerReference w:type="default" r:id="rId31"/>
      <w:footerReference w:type="even" r:id="rId32"/>
      <w:footerReference w:type="default" r:id="rId33"/>
      <w:headerReference w:type="first" r:id="rId34"/>
      <w:footerReference w:type="first" r:id="rId35"/>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F39F1D" w14:textId="77777777" w:rsidR="00383F95" w:rsidRDefault="00383F95" w:rsidP="005F184A">
      <w:r>
        <w:separator/>
      </w:r>
    </w:p>
  </w:endnote>
  <w:endnote w:type="continuationSeparator" w:id="0">
    <w:p w14:paraId="67D03CC9" w14:textId="77777777" w:rsidR="00383F95" w:rsidRDefault="00383F95" w:rsidP="005F1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Droid Sans">
    <w:panose1 w:val="020B0604020202020204"/>
    <w:charset w:val="80"/>
    <w:family w:val="auto"/>
    <w:pitch w:val="variable"/>
  </w:font>
  <w:font w:name="OpenSymbol">
    <w:altName w:val="Arial Unicode MS"/>
    <w:panose1 w:val="020B0604020202020204"/>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jaVu Sans">
    <w:altName w:val="Yu Gothic"/>
    <w:panose1 w:val="020B0604020202020204"/>
    <w:charset w:val="80"/>
    <w:family w:val="auto"/>
    <w:pitch w:val="variable"/>
  </w:font>
  <w:font w:name="Cambria">
    <w:panose1 w:val="02040503050406030204"/>
    <w:charset w:val="00"/>
    <w:family w:val="roman"/>
    <w:pitch w:val="variable"/>
    <w:sig w:usb0="E00006FF" w:usb1="420024FF" w:usb2="02000000" w:usb3="00000000" w:csb0="0000019F" w:csb1="00000000"/>
  </w:font>
  <w:font w:name="Tinos">
    <w:altName w:val="MS Gothic"/>
    <w:panose1 w:val="020B0604020202020204"/>
    <w:charset w:val="80"/>
    <w:family w:val="roman"/>
    <w:pitch w:val="variable"/>
  </w:font>
  <w:font w:name="DejaVu Sans Mono">
    <w:panose1 w:val="020B0604020202020204"/>
    <w:charset w:val="80"/>
    <w:family w:val="modern"/>
    <w:pitch w:val="default"/>
  </w:font>
  <w:font w:name="Cambria Math">
    <w:panose1 w:val="02040503050406030204"/>
    <w:charset w:val="00"/>
    <w:family w:val="roman"/>
    <w:pitch w:val="variable"/>
    <w:sig w:usb0="E00006FF" w:usb1="420024FF" w:usb2="02000000" w:usb3="00000000" w:csb0="0000019F" w:csb1="00000000"/>
  </w:font>
  <w:font w:name="Aptos Display">
    <w:panose1 w:val="020B0004020202020204"/>
    <w:charset w:val="00"/>
    <w:family w:val="roman"/>
    <w:notTrueType/>
    <w:pitch w:val="default"/>
  </w:font>
  <w:font w:name="Aptos">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D61A96" w14:textId="77777777" w:rsidR="00E17822" w:rsidRDefault="00E178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F516A02" w14:textId="77777777" w:rsidR="00A87747" w:rsidRDefault="00A87747" w:rsidP="005F184A">
    <w:pPr>
      <w:pStyle w:val="Footer"/>
    </w:pPr>
    <w:r>
      <w:fldChar w:fldCharType="begin"/>
    </w:r>
    <w:r>
      <w:instrText xml:space="preserve"> PAGE   \* MERGEFORMAT </w:instrText>
    </w:r>
    <w:r>
      <w:fldChar w:fldCharType="separate"/>
    </w:r>
    <w:r w:rsidR="00383F95">
      <w:rPr>
        <w:noProof/>
      </w:rPr>
      <w:t>1</w:t>
    </w:r>
    <w:r>
      <w:rPr>
        <w:noProof/>
      </w:rPr>
      <w:fldChar w:fldCharType="end"/>
    </w:r>
  </w:p>
  <w:p w14:paraId="415C76BD" w14:textId="77777777" w:rsidR="00A87747" w:rsidRDefault="00A87747" w:rsidP="005F18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9CCFB1" w14:textId="77777777" w:rsidR="00E17822" w:rsidRDefault="00E178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8BB6C9" w14:textId="77777777" w:rsidR="00383F95" w:rsidRDefault="00383F95" w:rsidP="005F184A">
      <w:r>
        <w:separator/>
      </w:r>
    </w:p>
  </w:footnote>
  <w:footnote w:type="continuationSeparator" w:id="0">
    <w:p w14:paraId="08318F8F" w14:textId="77777777" w:rsidR="00383F95" w:rsidRDefault="00383F95" w:rsidP="005F18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32A7B1E" w14:textId="77777777" w:rsidR="00E17822" w:rsidRDefault="00E178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21FC1F" w14:textId="77777777" w:rsidR="00E17822" w:rsidRDefault="00E178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4DE26E" w14:textId="77777777" w:rsidR="00E17822" w:rsidRDefault="00E178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1"/>
    <w:multiLevelType w:val="multilevel"/>
    <w:tmpl w:val="073492FC"/>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eastAsia="Droid Sans" w:hAnsi="Symbol" w:cs="OpenSymbol"/>
        <w:sz w:val="28"/>
        <w:szCs w:val="24"/>
        <w:lang w:val="en-GB"/>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C16FAC"/>
    <w:multiLevelType w:val="hybridMultilevel"/>
    <w:tmpl w:val="BBD6A784"/>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0223342E"/>
    <w:multiLevelType w:val="hybridMultilevel"/>
    <w:tmpl w:val="1B8886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6A754E0"/>
    <w:multiLevelType w:val="hybridMultilevel"/>
    <w:tmpl w:val="2BCA31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3D63B8E"/>
    <w:multiLevelType w:val="hybridMultilevel"/>
    <w:tmpl w:val="DE7A8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49A1246"/>
    <w:multiLevelType w:val="hybridMultilevel"/>
    <w:tmpl w:val="6EC2A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F00D24"/>
    <w:multiLevelType w:val="multilevel"/>
    <w:tmpl w:val="AC666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34712"/>
    <w:multiLevelType w:val="hybridMultilevel"/>
    <w:tmpl w:val="83C8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0A5D14"/>
    <w:multiLevelType w:val="hybridMultilevel"/>
    <w:tmpl w:val="16B0A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A95D68"/>
    <w:multiLevelType w:val="hybridMultilevel"/>
    <w:tmpl w:val="CEE26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E162E4"/>
    <w:multiLevelType w:val="hybridMultilevel"/>
    <w:tmpl w:val="2D4AEA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5D5B67"/>
    <w:multiLevelType w:val="hybridMultilevel"/>
    <w:tmpl w:val="850ECF0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FC00F71"/>
    <w:multiLevelType w:val="hybridMultilevel"/>
    <w:tmpl w:val="3D3443E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07A64A0"/>
    <w:multiLevelType w:val="hybridMultilevel"/>
    <w:tmpl w:val="32427C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D077094"/>
    <w:multiLevelType w:val="hybridMultilevel"/>
    <w:tmpl w:val="7054DA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42382EFF"/>
    <w:multiLevelType w:val="hybridMultilevel"/>
    <w:tmpl w:val="4C1C35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23E0B20"/>
    <w:multiLevelType w:val="hybridMultilevel"/>
    <w:tmpl w:val="E4AE93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3DA3416"/>
    <w:multiLevelType w:val="hybridMultilevel"/>
    <w:tmpl w:val="ED94DCC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4C3012BA"/>
    <w:multiLevelType w:val="hybridMultilevel"/>
    <w:tmpl w:val="507E7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057060"/>
    <w:multiLevelType w:val="hybridMultilevel"/>
    <w:tmpl w:val="DC683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1E86E9B"/>
    <w:multiLevelType w:val="hybridMultilevel"/>
    <w:tmpl w:val="D9DC6A2A"/>
    <w:lvl w:ilvl="0" w:tplc="6A187440">
      <w:start w:val="1"/>
      <w:numFmt w:val="bullet"/>
      <w:lvlText w:val="•"/>
      <w:lvlJc w:val="left"/>
      <w:pPr>
        <w:tabs>
          <w:tab w:val="num" w:pos="720"/>
        </w:tabs>
        <w:ind w:left="720" w:hanging="360"/>
      </w:pPr>
      <w:rPr>
        <w:rFonts w:ascii="Arial" w:hAnsi="Arial" w:hint="default"/>
      </w:rPr>
    </w:lvl>
    <w:lvl w:ilvl="1" w:tplc="4F82AF94" w:tentative="1">
      <w:start w:val="1"/>
      <w:numFmt w:val="bullet"/>
      <w:lvlText w:val="•"/>
      <w:lvlJc w:val="left"/>
      <w:pPr>
        <w:tabs>
          <w:tab w:val="num" w:pos="1440"/>
        </w:tabs>
        <w:ind w:left="1440" w:hanging="360"/>
      </w:pPr>
      <w:rPr>
        <w:rFonts w:ascii="Arial" w:hAnsi="Arial" w:hint="default"/>
      </w:rPr>
    </w:lvl>
    <w:lvl w:ilvl="2" w:tplc="54CEB2D8" w:tentative="1">
      <w:start w:val="1"/>
      <w:numFmt w:val="bullet"/>
      <w:lvlText w:val="•"/>
      <w:lvlJc w:val="left"/>
      <w:pPr>
        <w:tabs>
          <w:tab w:val="num" w:pos="2160"/>
        </w:tabs>
        <w:ind w:left="2160" w:hanging="360"/>
      </w:pPr>
      <w:rPr>
        <w:rFonts w:ascii="Arial" w:hAnsi="Arial" w:hint="default"/>
      </w:rPr>
    </w:lvl>
    <w:lvl w:ilvl="3" w:tplc="AAEA6156" w:tentative="1">
      <w:start w:val="1"/>
      <w:numFmt w:val="bullet"/>
      <w:lvlText w:val="•"/>
      <w:lvlJc w:val="left"/>
      <w:pPr>
        <w:tabs>
          <w:tab w:val="num" w:pos="2880"/>
        </w:tabs>
        <w:ind w:left="2880" w:hanging="360"/>
      </w:pPr>
      <w:rPr>
        <w:rFonts w:ascii="Arial" w:hAnsi="Arial" w:hint="default"/>
      </w:rPr>
    </w:lvl>
    <w:lvl w:ilvl="4" w:tplc="A4FAA4F0" w:tentative="1">
      <w:start w:val="1"/>
      <w:numFmt w:val="bullet"/>
      <w:lvlText w:val="•"/>
      <w:lvlJc w:val="left"/>
      <w:pPr>
        <w:tabs>
          <w:tab w:val="num" w:pos="3600"/>
        </w:tabs>
        <w:ind w:left="3600" w:hanging="360"/>
      </w:pPr>
      <w:rPr>
        <w:rFonts w:ascii="Arial" w:hAnsi="Arial" w:hint="default"/>
      </w:rPr>
    </w:lvl>
    <w:lvl w:ilvl="5" w:tplc="32100022" w:tentative="1">
      <w:start w:val="1"/>
      <w:numFmt w:val="bullet"/>
      <w:lvlText w:val="•"/>
      <w:lvlJc w:val="left"/>
      <w:pPr>
        <w:tabs>
          <w:tab w:val="num" w:pos="4320"/>
        </w:tabs>
        <w:ind w:left="4320" w:hanging="360"/>
      </w:pPr>
      <w:rPr>
        <w:rFonts w:ascii="Arial" w:hAnsi="Arial" w:hint="default"/>
      </w:rPr>
    </w:lvl>
    <w:lvl w:ilvl="6" w:tplc="79787F26" w:tentative="1">
      <w:start w:val="1"/>
      <w:numFmt w:val="bullet"/>
      <w:lvlText w:val="•"/>
      <w:lvlJc w:val="left"/>
      <w:pPr>
        <w:tabs>
          <w:tab w:val="num" w:pos="5040"/>
        </w:tabs>
        <w:ind w:left="5040" w:hanging="360"/>
      </w:pPr>
      <w:rPr>
        <w:rFonts w:ascii="Arial" w:hAnsi="Arial" w:hint="default"/>
      </w:rPr>
    </w:lvl>
    <w:lvl w:ilvl="7" w:tplc="5AE8D476" w:tentative="1">
      <w:start w:val="1"/>
      <w:numFmt w:val="bullet"/>
      <w:lvlText w:val="•"/>
      <w:lvlJc w:val="left"/>
      <w:pPr>
        <w:tabs>
          <w:tab w:val="num" w:pos="5760"/>
        </w:tabs>
        <w:ind w:left="5760" w:hanging="360"/>
      </w:pPr>
      <w:rPr>
        <w:rFonts w:ascii="Arial" w:hAnsi="Arial" w:hint="default"/>
      </w:rPr>
    </w:lvl>
    <w:lvl w:ilvl="8" w:tplc="4A561D3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05D271A"/>
    <w:multiLevelType w:val="hybridMultilevel"/>
    <w:tmpl w:val="D38E8CC0"/>
    <w:lvl w:ilvl="0" w:tplc="78C21A4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3AC0ABA"/>
    <w:multiLevelType w:val="hybridMultilevel"/>
    <w:tmpl w:val="8EC2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286114"/>
    <w:multiLevelType w:val="hybridMultilevel"/>
    <w:tmpl w:val="43127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602BD6"/>
    <w:multiLevelType w:val="hybridMultilevel"/>
    <w:tmpl w:val="E304AD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67E92AA1"/>
    <w:multiLevelType w:val="hybridMultilevel"/>
    <w:tmpl w:val="3398C5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FEE3B27"/>
    <w:multiLevelType w:val="hybridMultilevel"/>
    <w:tmpl w:val="E23E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DF338A4"/>
    <w:multiLevelType w:val="multilevel"/>
    <w:tmpl w:val="49187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8555522">
    <w:abstractNumId w:val="0"/>
  </w:num>
  <w:num w:numId="2" w16cid:durableId="557281801">
    <w:abstractNumId w:val="1"/>
  </w:num>
  <w:num w:numId="3" w16cid:durableId="218397436">
    <w:abstractNumId w:val="10"/>
  </w:num>
  <w:num w:numId="4" w16cid:durableId="1834182197">
    <w:abstractNumId w:val="24"/>
  </w:num>
  <w:num w:numId="5" w16cid:durableId="1210342947">
    <w:abstractNumId w:val="9"/>
  </w:num>
  <w:num w:numId="6" w16cid:durableId="545604201">
    <w:abstractNumId w:val="23"/>
  </w:num>
  <w:num w:numId="7" w16cid:durableId="29041243">
    <w:abstractNumId w:val="27"/>
  </w:num>
  <w:num w:numId="8" w16cid:durableId="716392795">
    <w:abstractNumId w:val="19"/>
  </w:num>
  <w:num w:numId="9" w16cid:durableId="1964846106">
    <w:abstractNumId w:val="6"/>
  </w:num>
  <w:num w:numId="10" w16cid:durableId="761075311">
    <w:abstractNumId w:val="16"/>
  </w:num>
  <w:num w:numId="11" w16cid:durableId="1243875513">
    <w:abstractNumId w:val="20"/>
  </w:num>
  <w:num w:numId="12" w16cid:durableId="1406148910">
    <w:abstractNumId w:val="11"/>
  </w:num>
  <w:num w:numId="13" w16cid:durableId="132989435">
    <w:abstractNumId w:val="4"/>
  </w:num>
  <w:num w:numId="14" w16cid:durableId="20013465">
    <w:abstractNumId w:val="17"/>
  </w:num>
  <w:num w:numId="15" w16cid:durableId="2094281064">
    <w:abstractNumId w:val="5"/>
  </w:num>
  <w:num w:numId="16" w16cid:durableId="751392504">
    <w:abstractNumId w:val="22"/>
  </w:num>
  <w:num w:numId="17" w16cid:durableId="1126776388">
    <w:abstractNumId w:val="3"/>
  </w:num>
  <w:num w:numId="18" w16cid:durableId="2003850583">
    <w:abstractNumId w:val="18"/>
  </w:num>
  <w:num w:numId="19" w16cid:durableId="725184097">
    <w:abstractNumId w:val="2"/>
  </w:num>
  <w:num w:numId="20" w16cid:durableId="1144587459">
    <w:abstractNumId w:val="26"/>
  </w:num>
  <w:num w:numId="21" w16cid:durableId="1282422381">
    <w:abstractNumId w:val="13"/>
  </w:num>
  <w:num w:numId="22" w16cid:durableId="1030106305">
    <w:abstractNumId w:val="12"/>
  </w:num>
  <w:num w:numId="23" w16cid:durableId="279579350">
    <w:abstractNumId w:val="25"/>
  </w:num>
  <w:num w:numId="24" w16cid:durableId="1635403036">
    <w:abstractNumId w:val="28"/>
  </w:num>
  <w:num w:numId="25" w16cid:durableId="12076017">
    <w:abstractNumId w:val="7"/>
  </w:num>
  <w:num w:numId="26" w16cid:durableId="1214999087">
    <w:abstractNumId w:val="15"/>
  </w:num>
  <w:num w:numId="27" w16cid:durableId="1682974061">
    <w:abstractNumId w:val="14"/>
  </w:num>
  <w:num w:numId="28" w16cid:durableId="68969250">
    <w:abstractNumId w:val="21"/>
  </w:num>
  <w:num w:numId="29" w16cid:durableId="1423448286">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formatting="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yNbcwNTM0BXKMLJV0lIJTi4sz8/NACixrAX2e2/ssAAAA"/>
  </w:docVars>
  <w:rsids>
    <w:rsidRoot w:val="008D09FF"/>
    <w:rsid w:val="000143B4"/>
    <w:rsid w:val="000157F7"/>
    <w:rsid w:val="000169FC"/>
    <w:rsid w:val="00026F62"/>
    <w:rsid w:val="0003210E"/>
    <w:rsid w:val="00033E1E"/>
    <w:rsid w:val="00043DD1"/>
    <w:rsid w:val="00044E03"/>
    <w:rsid w:val="00051B13"/>
    <w:rsid w:val="0005499F"/>
    <w:rsid w:val="00073CCE"/>
    <w:rsid w:val="00077B6D"/>
    <w:rsid w:val="000824D7"/>
    <w:rsid w:val="0009752E"/>
    <w:rsid w:val="000A0300"/>
    <w:rsid w:val="000A23FD"/>
    <w:rsid w:val="000A2736"/>
    <w:rsid w:val="000A693F"/>
    <w:rsid w:val="000B55F1"/>
    <w:rsid w:val="000B7C25"/>
    <w:rsid w:val="000C54FA"/>
    <w:rsid w:val="000D13F2"/>
    <w:rsid w:val="000D1E89"/>
    <w:rsid w:val="000D5F91"/>
    <w:rsid w:val="000E3657"/>
    <w:rsid w:val="000E5B1D"/>
    <w:rsid w:val="000E7C63"/>
    <w:rsid w:val="000F7A29"/>
    <w:rsid w:val="0010080F"/>
    <w:rsid w:val="001127EC"/>
    <w:rsid w:val="00115FA2"/>
    <w:rsid w:val="0011725C"/>
    <w:rsid w:val="0012311E"/>
    <w:rsid w:val="00124129"/>
    <w:rsid w:val="00131CE2"/>
    <w:rsid w:val="00135FA8"/>
    <w:rsid w:val="0014081F"/>
    <w:rsid w:val="0014236D"/>
    <w:rsid w:val="001543C4"/>
    <w:rsid w:val="00155DFF"/>
    <w:rsid w:val="00171AB7"/>
    <w:rsid w:val="001959E7"/>
    <w:rsid w:val="001A2386"/>
    <w:rsid w:val="001A6CE4"/>
    <w:rsid w:val="001B148D"/>
    <w:rsid w:val="001B293F"/>
    <w:rsid w:val="001B2B71"/>
    <w:rsid w:val="001B3DA5"/>
    <w:rsid w:val="001C4B30"/>
    <w:rsid w:val="001C6C19"/>
    <w:rsid w:val="001C7C69"/>
    <w:rsid w:val="001D1CAC"/>
    <w:rsid w:val="001D46FF"/>
    <w:rsid w:val="001F2F9D"/>
    <w:rsid w:val="002037AB"/>
    <w:rsid w:val="00203ADA"/>
    <w:rsid w:val="00207BF7"/>
    <w:rsid w:val="0021152B"/>
    <w:rsid w:val="00214B85"/>
    <w:rsid w:val="002157B6"/>
    <w:rsid w:val="002201D0"/>
    <w:rsid w:val="00245957"/>
    <w:rsid w:val="00245FD9"/>
    <w:rsid w:val="0024714F"/>
    <w:rsid w:val="00251842"/>
    <w:rsid w:val="00255300"/>
    <w:rsid w:val="00267D0D"/>
    <w:rsid w:val="00273F83"/>
    <w:rsid w:val="002923C2"/>
    <w:rsid w:val="0029461D"/>
    <w:rsid w:val="002A218E"/>
    <w:rsid w:val="002B1C88"/>
    <w:rsid w:val="002B6D16"/>
    <w:rsid w:val="002C58C6"/>
    <w:rsid w:val="002C5976"/>
    <w:rsid w:val="002C5AFE"/>
    <w:rsid w:val="002C5DF6"/>
    <w:rsid w:val="002D5608"/>
    <w:rsid w:val="002E2445"/>
    <w:rsid w:val="002F3715"/>
    <w:rsid w:val="002F4C8F"/>
    <w:rsid w:val="00306373"/>
    <w:rsid w:val="003347F4"/>
    <w:rsid w:val="003407C3"/>
    <w:rsid w:val="00341F1F"/>
    <w:rsid w:val="00352949"/>
    <w:rsid w:val="00354A83"/>
    <w:rsid w:val="003559FD"/>
    <w:rsid w:val="00355AA6"/>
    <w:rsid w:val="0035740A"/>
    <w:rsid w:val="00363625"/>
    <w:rsid w:val="003644F3"/>
    <w:rsid w:val="00371215"/>
    <w:rsid w:val="0037352A"/>
    <w:rsid w:val="00377720"/>
    <w:rsid w:val="00380505"/>
    <w:rsid w:val="00383F95"/>
    <w:rsid w:val="00390787"/>
    <w:rsid w:val="003915E6"/>
    <w:rsid w:val="003A21CE"/>
    <w:rsid w:val="003A4B78"/>
    <w:rsid w:val="003B2223"/>
    <w:rsid w:val="003D2B08"/>
    <w:rsid w:val="003D6472"/>
    <w:rsid w:val="003E3CE3"/>
    <w:rsid w:val="003F321A"/>
    <w:rsid w:val="003F58CF"/>
    <w:rsid w:val="003F652C"/>
    <w:rsid w:val="003F6A34"/>
    <w:rsid w:val="004001C6"/>
    <w:rsid w:val="0040516B"/>
    <w:rsid w:val="00406F8A"/>
    <w:rsid w:val="004118BC"/>
    <w:rsid w:val="00412D04"/>
    <w:rsid w:val="00426EFB"/>
    <w:rsid w:val="004275E6"/>
    <w:rsid w:val="00430271"/>
    <w:rsid w:val="0043392D"/>
    <w:rsid w:val="00435F23"/>
    <w:rsid w:val="004510CC"/>
    <w:rsid w:val="00452778"/>
    <w:rsid w:val="00453E71"/>
    <w:rsid w:val="00454D5E"/>
    <w:rsid w:val="00455304"/>
    <w:rsid w:val="00460545"/>
    <w:rsid w:val="0046208D"/>
    <w:rsid w:val="0047293C"/>
    <w:rsid w:val="00480840"/>
    <w:rsid w:val="004836C4"/>
    <w:rsid w:val="0049537E"/>
    <w:rsid w:val="00496C57"/>
    <w:rsid w:val="004A17F2"/>
    <w:rsid w:val="004A42D9"/>
    <w:rsid w:val="004A6F78"/>
    <w:rsid w:val="004A78C8"/>
    <w:rsid w:val="004B2DC1"/>
    <w:rsid w:val="004B6253"/>
    <w:rsid w:val="004B637E"/>
    <w:rsid w:val="004D5B16"/>
    <w:rsid w:val="004D5BFC"/>
    <w:rsid w:val="004E44CC"/>
    <w:rsid w:val="004F372C"/>
    <w:rsid w:val="00500202"/>
    <w:rsid w:val="005007FB"/>
    <w:rsid w:val="005025FB"/>
    <w:rsid w:val="0050612C"/>
    <w:rsid w:val="00514B64"/>
    <w:rsid w:val="00514C27"/>
    <w:rsid w:val="005244D0"/>
    <w:rsid w:val="00526156"/>
    <w:rsid w:val="00526B25"/>
    <w:rsid w:val="00531793"/>
    <w:rsid w:val="005363C9"/>
    <w:rsid w:val="00545BE1"/>
    <w:rsid w:val="005466F4"/>
    <w:rsid w:val="00556141"/>
    <w:rsid w:val="005575BB"/>
    <w:rsid w:val="00563005"/>
    <w:rsid w:val="00565E1A"/>
    <w:rsid w:val="00572E0C"/>
    <w:rsid w:val="00583DDF"/>
    <w:rsid w:val="005901D0"/>
    <w:rsid w:val="00591D3F"/>
    <w:rsid w:val="00592304"/>
    <w:rsid w:val="005955CD"/>
    <w:rsid w:val="005978A5"/>
    <w:rsid w:val="00597C27"/>
    <w:rsid w:val="005A4881"/>
    <w:rsid w:val="005B1D0F"/>
    <w:rsid w:val="005B3892"/>
    <w:rsid w:val="005C2B38"/>
    <w:rsid w:val="005C6F1F"/>
    <w:rsid w:val="005C729D"/>
    <w:rsid w:val="005C740A"/>
    <w:rsid w:val="005D49B9"/>
    <w:rsid w:val="005F184A"/>
    <w:rsid w:val="005F292C"/>
    <w:rsid w:val="0060463A"/>
    <w:rsid w:val="00607926"/>
    <w:rsid w:val="0061173B"/>
    <w:rsid w:val="00612E3D"/>
    <w:rsid w:val="00615B24"/>
    <w:rsid w:val="00621B9C"/>
    <w:rsid w:val="006237FB"/>
    <w:rsid w:val="006302B6"/>
    <w:rsid w:val="006407FE"/>
    <w:rsid w:val="006438EC"/>
    <w:rsid w:val="006475FF"/>
    <w:rsid w:val="00654A6E"/>
    <w:rsid w:val="00661773"/>
    <w:rsid w:val="0066496D"/>
    <w:rsid w:val="00671F66"/>
    <w:rsid w:val="00674A76"/>
    <w:rsid w:val="00682A76"/>
    <w:rsid w:val="00682D74"/>
    <w:rsid w:val="00684916"/>
    <w:rsid w:val="006948E8"/>
    <w:rsid w:val="00697727"/>
    <w:rsid w:val="006A724A"/>
    <w:rsid w:val="006B65D2"/>
    <w:rsid w:val="006C51DB"/>
    <w:rsid w:val="006C5469"/>
    <w:rsid w:val="006C5728"/>
    <w:rsid w:val="006D07E0"/>
    <w:rsid w:val="006D6837"/>
    <w:rsid w:val="006D7C5E"/>
    <w:rsid w:val="006E177F"/>
    <w:rsid w:val="00705F33"/>
    <w:rsid w:val="007130F3"/>
    <w:rsid w:val="00720A6F"/>
    <w:rsid w:val="0072548E"/>
    <w:rsid w:val="00726E8F"/>
    <w:rsid w:val="00732B9B"/>
    <w:rsid w:val="00746466"/>
    <w:rsid w:val="0074789A"/>
    <w:rsid w:val="007515C4"/>
    <w:rsid w:val="00752C57"/>
    <w:rsid w:val="0075317D"/>
    <w:rsid w:val="0075424F"/>
    <w:rsid w:val="00755616"/>
    <w:rsid w:val="00755E7B"/>
    <w:rsid w:val="007626C2"/>
    <w:rsid w:val="00764092"/>
    <w:rsid w:val="00772400"/>
    <w:rsid w:val="007739F9"/>
    <w:rsid w:val="00777727"/>
    <w:rsid w:val="00781B1F"/>
    <w:rsid w:val="007847BC"/>
    <w:rsid w:val="00784EBE"/>
    <w:rsid w:val="00793373"/>
    <w:rsid w:val="00796A0C"/>
    <w:rsid w:val="007B6BA5"/>
    <w:rsid w:val="007C0686"/>
    <w:rsid w:val="007C1004"/>
    <w:rsid w:val="007C3193"/>
    <w:rsid w:val="007D0A05"/>
    <w:rsid w:val="007D1B17"/>
    <w:rsid w:val="007D4E7D"/>
    <w:rsid w:val="007D6079"/>
    <w:rsid w:val="007E5D62"/>
    <w:rsid w:val="007E61B3"/>
    <w:rsid w:val="007E79B8"/>
    <w:rsid w:val="007F543B"/>
    <w:rsid w:val="007F5B80"/>
    <w:rsid w:val="007F654B"/>
    <w:rsid w:val="00814EE5"/>
    <w:rsid w:val="0082293E"/>
    <w:rsid w:val="0083045C"/>
    <w:rsid w:val="0083094A"/>
    <w:rsid w:val="008309B1"/>
    <w:rsid w:val="00831ABD"/>
    <w:rsid w:val="00841350"/>
    <w:rsid w:val="00853117"/>
    <w:rsid w:val="00856129"/>
    <w:rsid w:val="008645D9"/>
    <w:rsid w:val="0087207B"/>
    <w:rsid w:val="00872FDC"/>
    <w:rsid w:val="00884801"/>
    <w:rsid w:val="008934D6"/>
    <w:rsid w:val="008A4FEE"/>
    <w:rsid w:val="008A5AAC"/>
    <w:rsid w:val="008B1D5E"/>
    <w:rsid w:val="008B6785"/>
    <w:rsid w:val="008C4464"/>
    <w:rsid w:val="008C5894"/>
    <w:rsid w:val="008D09FF"/>
    <w:rsid w:val="008E6B1D"/>
    <w:rsid w:val="008F29E6"/>
    <w:rsid w:val="00900DD5"/>
    <w:rsid w:val="009022FD"/>
    <w:rsid w:val="0090744C"/>
    <w:rsid w:val="009125AD"/>
    <w:rsid w:val="00913FA1"/>
    <w:rsid w:val="00914249"/>
    <w:rsid w:val="009172DB"/>
    <w:rsid w:val="00924407"/>
    <w:rsid w:val="00932737"/>
    <w:rsid w:val="0093725C"/>
    <w:rsid w:val="00941F56"/>
    <w:rsid w:val="0094548E"/>
    <w:rsid w:val="00956173"/>
    <w:rsid w:val="009561AE"/>
    <w:rsid w:val="00957CD0"/>
    <w:rsid w:val="00963740"/>
    <w:rsid w:val="00964B2F"/>
    <w:rsid w:val="00970C40"/>
    <w:rsid w:val="00975F56"/>
    <w:rsid w:val="009812B8"/>
    <w:rsid w:val="00982038"/>
    <w:rsid w:val="00991B22"/>
    <w:rsid w:val="00993BA5"/>
    <w:rsid w:val="009A205A"/>
    <w:rsid w:val="009A2AD5"/>
    <w:rsid w:val="009B08FC"/>
    <w:rsid w:val="009B0B1B"/>
    <w:rsid w:val="009B2391"/>
    <w:rsid w:val="009B53D8"/>
    <w:rsid w:val="009C2D59"/>
    <w:rsid w:val="009D18F1"/>
    <w:rsid w:val="009D1961"/>
    <w:rsid w:val="009D507B"/>
    <w:rsid w:val="009D7AE7"/>
    <w:rsid w:val="009E0198"/>
    <w:rsid w:val="009E22EF"/>
    <w:rsid w:val="009E31A5"/>
    <w:rsid w:val="009F0254"/>
    <w:rsid w:val="00A008EC"/>
    <w:rsid w:val="00A0522A"/>
    <w:rsid w:val="00A06682"/>
    <w:rsid w:val="00A2542B"/>
    <w:rsid w:val="00A31089"/>
    <w:rsid w:val="00A60F2E"/>
    <w:rsid w:val="00A62491"/>
    <w:rsid w:val="00A630B9"/>
    <w:rsid w:val="00A654E6"/>
    <w:rsid w:val="00A7011E"/>
    <w:rsid w:val="00A70CE1"/>
    <w:rsid w:val="00A73945"/>
    <w:rsid w:val="00A75675"/>
    <w:rsid w:val="00A801A0"/>
    <w:rsid w:val="00A82125"/>
    <w:rsid w:val="00A87747"/>
    <w:rsid w:val="00A90D99"/>
    <w:rsid w:val="00A9411B"/>
    <w:rsid w:val="00A954C7"/>
    <w:rsid w:val="00A97BE1"/>
    <w:rsid w:val="00AA470E"/>
    <w:rsid w:val="00AB326F"/>
    <w:rsid w:val="00AB5583"/>
    <w:rsid w:val="00AB5B5E"/>
    <w:rsid w:val="00AB73A8"/>
    <w:rsid w:val="00AC3A95"/>
    <w:rsid w:val="00AC52A2"/>
    <w:rsid w:val="00AD0E28"/>
    <w:rsid w:val="00AD2CBF"/>
    <w:rsid w:val="00AD2D58"/>
    <w:rsid w:val="00AD58AA"/>
    <w:rsid w:val="00AD7F58"/>
    <w:rsid w:val="00AE6BC8"/>
    <w:rsid w:val="00AF1F9B"/>
    <w:rsid w:val="00AF526C"/>
    <w:rsid w:val="00AF6143"/>
    <w:rsid w:val="00B01FD5"/>
    <w:rsid w:val="00B024B4"/>
    <w:rsid w:val="00B026C3"/>
    <w:rsid w:val="00B06232"/>
    <w:rsid w:val="00B07228"/>
    <w:rsid w:val="00B07373"/>
    <w:rsid w:val="00B10DA3"/>
    <w:rsid w:val="00B14771"/>
    <w:rsid w:val="00B179C2"/>
    <w:rsid w:val="00B17B92"/>
    <w:rsid w:val="00B20612"/>
    <w:rsid w:val="00B24C3C"/>
    <w:rsid w:val="00B2519F"/>
    <w:rsid w:val="00B313E9"/>
    <w:rsid w:val="00B31E9D"/>
    <w:rsid w:val="00B3225F"/>
    <w:rsid w:val="00B322E0"/>
    <w:rsid w:val="00B34CA4"/>
    <w:rsid w:val="00B462F2"/>
    <w:rsid w:val="00B465CF"/>
    <w:rsid w:val="00B46E41"/>
    <w:rsid w:val="00B51613"/>
    <w:rsid w:val="00B56352"/>
    <w:rsid w:val="00B57A65"/>
    <w:rsid w:val="00B61DB0"/>
    <w:rsid w:val="00B61FED"/>
    <w:rsid w:val="00B671A3"/>
    <w:rsid w:val="00B7065F"/>
    <w:rsid w:val="00B71230"/>
    <w:rsid w:val="00B74848"/>
    <w:rsid w:val="00B87943"/>
    <w:rsid w:val="00B91486"/>
    <w:rsid w:val="00B97BB3"/>
    <w:rsid w:val="00BA2FDA"/>
    <w:rsid w:val="00BA45F5"/>
    <w:rsid w:val="00BA67AD"/>
    <w:rsid w:val="00BC3B3A"/>
    <w:rsid w:val="00BD180E"/>
    <w:rsid w:val="00BD411F"/>
    <w:rsid w:val="00BE6EAE"/>
    <w:rsid w:val="00BF4E4E"/>
    <w:rsid w:val="00BF5CCF"/>
    <w:rsid w:val="00BF6034"/>
    <w:rsid w:val="00C00C12"/>
    <w:rsid w:val="00C106CE"/>
    <w:rsid w:val="00C14BE6"/>
    <w:rsid w:val="00C24BF1"/>
    <w:rsid w:val="00C41329"/>
    <w:rsid w:val="00C42A3F"/>
    <w:rsid w:val="00C42CEC"/>
    <w:rsid w:val="00C433FF"/>
    <w:rsid w:val="00C47BCC"/>
    <w:rsid w:val="00C52007"/>
    <w:rsid w:val="00C53CCD"/>
    <w:rsid w:val="00C57D30"/>
    <w:rsid w:val="00C66F95"/>
    <w:rsid w:val="00C73ADD"/>
    <w:rsid w:val="00C74D7D"/>
    <w:rsid w:val="00C8669D"/>
    <w:rsid w:val="00C8743A"/>
    <w:rsid w:val="00C919FB"/>
    <w:rsid w:val="00CA59F2"/>
    <w:rsid w:val="00CC3413"/>
    <w:rsid w:val="00CC671B"/>
    <w:rsid w:val="00CD2539"/>
    <w:rsid w:val="00CE10A0"/>
    <w:rsid w:val="00CE3F13"/>
    <w:rsid w:val="00CE4E4E"/>
    <w:rsid w:val="00CE5BDB"/>
    <w:rsid w:val="00CF15D8"/>
    <w:rsid w:val="00CF5F42"/>
    <w:rsid w:val="00D20ECD"/>
    <w:rsid w:val="00D2166C"/>
    <w:rsid w:val="00D23569"/>
    <w:rsid w:val="00D30910"/>
    <w:rsid w:val="00D35421"/>
    <w:rsid w:val="00D4151E"/>
    <w:rsid w:val="00D444CD"/>
    <w:rsid w:val="00D50037"/>
    <w:rsid w:val="00D65562"/>
    <w:rsid w:val="00D73C7F"/>
    <w:rsid w:val="00D81130"/>
    <w:rsid w:val="00D942AF"/>
    <w:rsid w:val="00D9463B"/>
    <w:rsid w:val="00DA3189"/>
    <w:rsid w:val="00DA3A21"/>
    <w:rsid w:val="00DA5D0B"/>
    <w:rsid w:val="00DB19D0"/>
    <w:rsid w:val="00DB5216"/>
    <w:rsid w:val="00DC13DA"/>
    <w:rsid w:val="00DC49BD"/>
    <w:rsid w:val="00DC5F06"/>
    <w:rsid w:val="00DD45E3"/>
    <w:rsid w:val="00DD6A76"/>
    <w:rsid w:val="00DE0958"/>
    <w:rsid w:val="00DE64C4"/>
    <w:rsid w:val="00DF037E"/>
    <w:rsid w:val="00DF2060"/>
    <w:rsid w:val="00DF6304"/>
    <w:rsid w:val="00E000B9"/>
    <w:rsid w:val="00E039C5"/>
    <w:rsid w:val="00E03A4B"/>
    <w:rsid w:val="00E17822"/>
    <w:rsid w:val="00E27145"/>
    <w:rsid w:val="00E315EE"/>
    <w:rsid w:val="00E37264"/>
    <w:rsid w:val="00E41AB6"/>
    <w:rsid w:val="00E5396E"/>
    <w:rsid w:val="00E61475"/>
    <w:rsid w:val="00E62EF6"/>
    <w:rsid w:val="00E71F36"/>
    <w:rsid w:val="00E811C1"/>
    <w:rsid w:val="00E859FA"/>
    <w:rsid w:val="00E85B3F"/>
    <w:rsid w:val="00E90A5A"/>
    <w:rsid w:val="00E928CA"/>
    <w:rsid w:val="00E94410"/>
    <w:rsid w:val="00E9780D"/>
    <w:rsid w:val="00EA0745"/>
    <w:rsid w:val="00EA2106"/>
    <w:rsid w:val="00EA7C96"/>
    <w:rsid w:val="00EB02D9"/>
    <w:rsid w:val="00EB0C0B"/>
    <w:rsid w:val="00EB32F9"/>
    <w:rsid w:val="00EB6093"/>
    <w:rsid w:val="00EC3B38"/>
    <w:rsid w:val="00EC3CED"/>
    <w:rsid w:val="00EC74AE"/>
    <w:rsid w:val="00ED6A6B"/>
    <w:rsid w:val="00EE04C1"/>
    <w:rsid w:val="00EE2BBA"/>
    <w:rsid w:val="00EE58F1"/>
    <w:rsid w:val="00EF0350"/>
    <w:rsid w:val="00F05440"/>
    <w:rsid w:val="00F10C64"/>
    <w:rsid w:val="00F16569"/>
    <w:rsid w:val="00F17CBC"/>
    <w:rsid w:val="00F20AD1"/>
    <w:rsid w:val="00F31831"/>
    <w:rsid w:val="00F320B3"/>
    <w:rsid w:val="00F35020"/>
    <w:rsid w:val="00F42555"/>
    <w:rsid w:val="00F52B0E"/>
    <w:rsid w:val="00F71CCB"/>
    <w:rsid w:val="00FA1905"/>
    <w:rsid w:val="00FA3835"/>
    <w:rsid w:val="00FB012C"/>
    <w:rsid w:val="00FB44DD"/>
    <w:rsid w:val="00FB5913"/>
    <w:rsid w:val="00FB636C"/>
    <w:rsid w:val="00FD08F7"/>
    <w:rsid w:val="00FE007F"/>
    <w:rsid w:val="00FE1106"/>
    <w:rsid w:val="00FE22D5"/>
    <w:rsid w:val="00FE2AD0"/>
    <w:rsid w:val="00FE3A7A"/>
    <w:rsid w:val="00FE5D8F"/>
    <w:rsid w:val="00FF574F"/>
    <w:rsid w:val="00FF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31EA6616"/>
  <w15:chartTrackingRefBased/>
  <w15:docId w15:val="{520BAFBB-5230-364F-BB4F-0DFC1513D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184A"/>
    <w:pPr>
      <w:suppressAutoHyphens/>
      <w:spacing w:line="360" w:lineRule="auto"/>
      <w:jc w:val="both"/>
    </w:pPr>
    <w:rPr>
      <w:rFonts w:ascii="Arial" w:eastAsia="Calibri" w:hAnsi="Arial" w:cs="Arial"/>
      <w:color w:val="000000"/>
      <w:sz w:val="22"/>
      <w:szCs w:val="22"/>
      <w:lang w:eastAsia="ar-SA"/>
    </w:rPr>
  </w:style>
  <w:style w:type="paragraph" w:styleId="Heading1">
    <w:name w:val="heading 1"/>
    <w:basedOn w:val="Normal"/>
    <w:next w:val="Normal"/>
    <w:qFormat/>
    <w:rsid w:val="005F184A"/>
    <w:pPr>
      <w:keepNext/>
      <w:keepLines/>
      <w:numPr>
        <w:numId w:val="1"/>
      </w:numPr>
      <w:spacing w:before="113"/>
      <w:outlineLvl w:val="0"/>
    </w:pPr>
    <w:rPr>
      <w:rFonts w:eastAsia="Times New Roman"/>
      <w:b/>
      <w:bCs/>
    </w:rPr>
  </w:style>
  <w:style w:type="paragraph" w:styleId="Heading2">
    <w:name w:val="heading 2"/>
    <w:basedOn w:val="Normal"/>
    <w:next w:val="Normal"/>
    <w:qFormat/>
    <w:rsid w:val="005F184A"/>
    <w:pPr>
      <w:keepNext/>
      <w:keepLines/>
      <w:numPr>
        <w:ilvl w:val="1"/>
        <w:numId w:val="1"/>
      </w:numPr>
      <w:spacing w:before="113"/>
      <w:outlineLvl w:val="1"/>
    </w:pPr>
    <w:rPr>
      <w:rFonts w:eastAsia="Times New Roman"/>
      <w:bCs/>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eastAsia="Droid Sans" w:hAnsi="Symbol" w:cs="OpenSymbol"/>
      <w:sz w:val="28"/>
      <w:szCs w:val="24"/>
      <w:lang w:val="en-GB"/>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lang w:val="en-GB"/>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lang w:val="en-GB"/>
    </w:rPr>
  </w:style>
  <w:style w:type="character" w:customStyle="1" w:styleId="WW8Num4z1">
    <w:name w:val="WW8Num4z1"/>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styleId="DefaultParagraphFont0">
    <w:name w:val="Default Paragraph Font"/>
  </w:style>
  <w:style w:type="character" w:customStyle="1" w:styleId="WW8Num4z2">
    <w:name w:val="WW8Num4z2"/>
  </w:style>
  <w:style w:type="character" w:customStyle="1" w:styleId="WW8Num5z2">
    <w:name w:val="WW8Num5z2"/>
    <w:rPr>
      <w:rFonts w:ascii="Wingdings" w:hAnsi="Wingdings" w:cs="Wingdings" w:hint="default"/>
    </w:rPr>
  </w:style>
  <w:style w:type="character" w:customStyle="1" w:styleId="WW8Num6z0">
    <w:name w:val="WW8Num6z0"/>
    <w:rPr>
      <w:rFonts w:ascii="Symbol" w:eastAsia="Droid Sans" w:hAnsi="Symbol" w:cs="OpenSymbol"/>
      <w:szCs w:val="24"/>
    </w:rPr>
  </w:style>
  <w:style w:type="character" w:customStyle="1" w:styleId="WW8Num6z1">
    <w:name w:val="WW8Num6z1"/>
    <w:rPr>
      <w:rFonts w:ascii="OpenSymbol" w:hAnsi="OpenSymbol" w:cs="OpenSymbol"/>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OpenSymbol"/>
      <w:color w:val="ED7D31"/>
    </w:rPr>
  </w:style>
  <w:style w:type="character" w:customStyle="1" w:styleId="WW8Num7z1">
    <w:name w:val="WW8Num7z1"/>
    <w:rPr>
      <w:rFonts w:ascii="OpenSymbol" w:hAnsi="OpenSymbol" w:cs="OpenSymbol"/>
    </w:rPr>
  </w:style>
  <w:style w:type="character" w:customStyle="1" w:styleId="WW8Num7z2">
    <w:name w:val="WW8Num7z2"/>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9z0">
    <w:name w:val="WW8Num9z0"/>
    <w:rPr>
      <w:rFonts w:ascii="Symbol" w:eastAsia="Droid Sans" w:hAnsi="Symbol" w:cs="OpenSymbol"/>
      <w:color w:val="ED7D31"/>
      <w:szCs w:val="24"/>
    </w:rPr>
  </w:style>
  <w:style w:type="character" w:customStyle="1" w:styleId="WW8Num9z1">
    <w:name w:val="WW8Num9z1"/>
    <w:rPr>
      <w:rFonts w:ascii="OpenSymbol" w:hAnsi="OpenSymbol" w:cs="OpenSymbol"/>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
    <w:name w:val="WW-Default Paragraph Font"/>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styleId="CommentReference">
    <w:name w:val="annotation reference"/>
    <w:rPr>
      <w:sz w:val="16"/>
      <w:szCs w:val="16"/>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NumberingSymbols">
    <w:name w:val="Numbering Symbols"/>
  </w:style>
  <w:style w:type="character" w:styleId="Strong">
    <w:name w:val="Strong"/>
    <w:uiPriority w:val="22"/>
    <w:qFormat/>
    <w:rPr>
      <w:b/>
      <w:bCs/>
    </w:rPr>
  </w:style>
  <w:style w:type="character" w:customStyle="1" w:styleId="FootnoteCharacters">
    <w:name w:val="Footnote Characters"/>
  </w:style>
  <w:style w:type="character" w:styleId="FootnoteReference">
    <w:name w:val="footnote reference"/>
    <w:rPr>
      <w:vertAlign w:val="superscript"/>
    </w:rPr>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IndexLink">
    <w:name w:val="Index Link"/>
  </w:style>
  <w:style w:type="character" w:customStyle="1" w:styleId="TitleChar">
    <w:name w:val="Title Char"/>
    <w:rPr>
      <w:rFonts w:ascii="Cambria" w:eastAsia="Times New Roman" w:hAnsi="Cambria" w:cs="Times New Roman"/>
      <w:b/>
      <w:bCs/>
      <w:color w:val="000000"/>
      <w:kern w:val="1"/>
      <w:sz w:val="32"/>
      <w:szCs w:val="32"/>
      <w:lang w:val="en-GB"/>
    </w:rPr>
  </w:style>
  <w:style w:type="paragraph" w:customStyle="1" w:styleId="Heading">
    <w:name w:val="Heading"/>
    <w:basedOn w:val="Normal"/>
    <w:next w:val="BodyText"/>
    <w:pPr>
      <w:keepNext/>
      <w:spacing w:before="240" w:after="120"/>
    </w:pPr>
    <w:rPr>
      <w:rFonts w:eastAsia="Droid Sans"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roid Sans" w:hAnsi="DejaVu Sans Mono" w:cs="DejaVu Sans Mono"/>
      <w:sz w:val="20"/>
      <w:szCs w:val="20"/>
    </w:rPr>
  </w:style>
  <w:style w:type="paragraph" w:styleId="ListParagraph">
    <w:name w:val="List Paragraph"/>
    <w:basedOn w:val="Normal"/>
    <w:qFormat/>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FootnoteText">
    <w:name w:val="footnote text"/>
    <w:basedOn w:val="Normal"/>
    <w:pPr>
      <w:suppressLineNumbers/>
      <w:ind w:left="283" w:hanging="283"/>
    </w:pPr>
    <w:rPr>
      <w:sz w:val="20"/>
      <w:szCs w:val="20"/>
    </w:rPr>
  </w:style>
  <w:style w:type="paragraph" w:styleId="Title">
    <w:name w:val="Title"/>
    <w:basedOn w:val="Normal"/>
    <w:next w:val="Normal"/>
    <w:qFormat/>
    <w:pPr>
      <w:spacing w:before="240" w:after="60"/>
      <w:jc w:val="center"/>
    </w:pPr>
    <w:rPr>
      <w:rFonts w:ascii="Cambria" w:eastAsia="Times New Roman" w:hAnsi="Cambria" w:cs="Times New Roman"/>
      <w:b/>
      <w:bCs/>
      <w:kern w:val="1"/>
      <w:sz w:val="32"/>
      <w:szCs w:val="32"/>
    </w:rPr>
  </w:style>
  <w:style w:type="paragraph" w:styleId="Subtitle">
    <w:name w:val="Subtitle"/>
    <w:basedOn w:val="Heading"/>
    <w:next w:val="BodyText"/>
    <w:qFormat/>
    <w:pPr>
      <w:jc w:val="center"/>
    </w:pPr>
    <w:rPr>
      <w:i/>
      <w:iCs/>
    </w:rPr>
  </w:style>
  <w:style w:type="paragraph" w:styleId="NormalWeb">
    <w:name w:val="Normal (Web)"/>
    <w:basedOn w:val="Normal"/>
    <w:uiPriority w:val="99"/>
    <w:pPr>
      <w:spacing w:line="100" w:lineRule="atLeast"/>
    </w:pPr>
    <w:rPr>
      <w:rFonts w:ascii="Times New Roman" w:hAnsi="Times New Roman" w:cs="Times New Roman"/>
      <w:sz w:val="24"/>
      <w:szCs w:val="24"/>
    </w:rPr>
  </w:style>
  <w:style w:type="paragraph" w:customStyle="1" w:styleId="Heading10">
    <w:name w:val="Heading 10"/>
    <w:basedOn w:val="Heading"/>
    <w:next w:val="BodyText"/>
    <w:pPr>
      <w:numPr>
        <w:numId w:val="2"/>
      </w:numPr>
    </w:pPr>
    <w:rPr>
      <w:b/>
      <w:bCs/>
      <w:sz w:val="21"/>
      <w:szCs w:val="21"/>
    </w:rPr>
  </w:style>
  <w:style w:type="table" w:styleId="TableGrid">
    <w:name w:val="Table Grid"/>
    <w:basedOn w:val="TableNormal"/>
    <w:uiPriority w:val="39"/>
    <w:rsid w:val="006D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65E1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Emphasis">
    <w:name w:val="Emphasis"/>
    <w:uiPriority w:val="20"/>
    <w:qFormat/>
    <w:rsid w:val="00454D5E"/>
    <w:rPr>
      <w:i/>
      <w:iCs/>
    </w:rPr>
  </w:style>
  <w:style w:type="paragraph" w:customStyle="1" w:styleId="Default">
    <w:name w:val="Default"/>
    <w:rsid w:val="003407C3"/>
    <w:pPr>
      <w:autoSpaceDE w:val="0"/>
      <w:autoSpaceDN w:val="0"/>
      <w:adjustRightInd w:val="0"/>
    </w:pPr>
    <w:rPr>
      <w:rFonts w:ascii="Arial" w:hAnsi="Arial" w:cs="Arial"/>
      <w:color w:val="000000"/>
      <w:sz w:val="24"/>
      <w:szCs w:val="24"/>
      <w:lang w:val="en-IN" w:eastAsia="en-IN"/>
    </w:rPr>
  </w:style>
  <w:style w:type="character" w:styleId="UnresolvedMention">
    <w:name w:val="Unresolved Mention"/>
    <w:uiPriority w:val="99"/>
    <w:semiHidden/>
    <w:unhideWhenUsed/>
    <w:rsid w:val="003F6A34"/>
    <w:rPr>
      <w:color w:val="605E5C"/>
      <w:shd w:val="clear" w:color="auto" w:fill="E1DFDD"/>
    </w:rPr>
  </w:style>
  <w:style w:type="paragraph" w:styleId="TableofFigures">
    <w:name w:val="table of figures"/>
    <w:basedOn w:val="Normal"/>
    <w:next w:val="Normal"/>
    <w:uiPriority w:val="99"/>
    <w:unhideWhenUsed/>
    <w:rsid w:val="00DE64C4"/>
  </w:style>
  <w:style w:type="character" w:styleId="FollowedHyperlink">
    <w:name w:val="FollowedHyperlink"/>
    <w:uiPriority w:val="99"/>
    <w:semiHidden/>
    <w:unhideWhenUsed/>
    <w:rsid w:val="00171AB7"/>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50050">
      <w:bodyDiv w:val="1"/>
      <w:marLeft w:val="0"/>
      <w:marRight w:val="0"/>
      <w:marTop w:val="0"/>
      <w:marBottom w:val="0"/>
      <w:divBdr>
        <w:top w:val="none" w:sz="0" w:space="0" w:color="auto"/>
        <w:left w:val="none" w:sz="0" w:space="0" w:color="auto"/>
        <w:bottom w:val="none" w:sz="0" w:space="0" w:color="auto"/>
        <w:right w:val="none" w:sz="0" w:space="0" w:color="auto"/>
      </w:divBdr>
    </w:div>
    <w:div w:id="3480001">
      <w:bodyDiv w:val="1"/>
      <w:marLeft w:val="0"/>
      <w:marRight w:val="0"/>
      <w:marTop w:val="0"/>
      <w:marBottom w:val="0"/>
      <w:divBdr>
        <w:top w:val="none" w:sz="0" w:space="0" w:color="auto"/>
        <w:left w:val="none" w:sz="0" w:space="0" w:color="auto"/>
        <w:bottom w:val="none" w:sz="0" w:space="0" w:color="auto"/>
        <w:right w:val="none" w:sz="0" w:space="0" w:color="auto"/>
      </w:divBdr>
    </w:div>
    <w:div w:id="25718191">
      <w:bodyDiv w:val="1"/>
      <w:marLeft w:val="0"/>
      <w:marRight w:val="0"/>
      <w:marTop w:val="0"/>
      <w:marBottom w:val="0"/>
      <w:divBdr>
        <w:top w:val="none" w:sz="0" w:space="0" w:color="auto"/>
        <w:left w:val="none" w:sz="0" w:space="0" w:color="auto"/>
        <w:bottom w:val="none" w:sz="0" w:space="0" w:color="auto"/>
        <w:right w:val="none" w:sz="0" w:space="0" w:color="auto"/>
      </w:divBdr>
    </w:div>
    <w:div w:id="61753856">
      <w:bodyDiv w:val="1"/>
      <w:marLeft w:val="0"/>
      <w:marRight w:val="0"/>
      <w:marTop w:val="0"/>
      <w:marBottom w:val="0"/>
      <w:divBdr>
        <w:top w:val="none" w:sz="0" w:space="0" w:color="auto"/>
        <w:left w:val="none" w:sz="0" w:space="0" w:color="auto"/>
        <w:bottom w:val="none" w:sz="0" w:space="0" w:color="auto"/>
        <w:right w:val="none" w:sz="0" w:space="0" w:color="auto"/>
      </w:divBdr>
    </w:div>
    <w:div w:id="90056786">
      <w:bodyDiv w:val="1"/>
      <w:marLeft w:val="0"/>
      <w:marRight w:val="0"/>
      <w:marTop w:val="0"/>
      <w:marBottom w:val="0"/>
      <w:divBdr>
        <w:top w:val="none" w:sz="0" w:space="0" w:color="auto"/>
        <w:left w:val="none" w:sz="0" w:space="0" w:color="auto"/>
        <w:bottom w:val="none" w:sz="0" w:space="0" w:color="auto"/>
        <w:right w:val="none" w:sz="0" w:space="0" w:color="auto"/>
      </w:divBdr>
    </w:div>
    <w:div w:id="133911487">
      <w:bodyDiv w:val="1"/>
      <w:marLeft w:val="0"/>
      <w:marRight w:val="0"/>
      <w:marTop w:val="0"/>
      <w:marBottom w:val="0"/>
      <w:divBdr>
        <w:top w:val="none" w:sz="0" w:space="0" w:color="auto"/>
        <w:left w:val="none" w:sz="0" w:space="0" w:color="auto"/>
        <w:bottom w:val="none" w:sz="0" w:space="0" w:color="auto"/>
        <w:right w:val="none" w:sz="0" w:space="0" w:color="auto"/>
      </w:divBdr>
    </w:div>
    <w:div w:id="208953870">
      <w:bodyDiv w:val="1"/>
      <w:marLeft w:val="0"/>
      <w:marRight w:val="0"/>
      <w:marTop w:val="0"/>
      <w:marBottom w:val="0"/>
      <w:divBdr>
        <w:top w:val="none" w:sz="0" w:space="0" w:color="auto"/>
        <w:left w:val="none" w:sz="0" w:space="0" w:color="auto"/>
        <w:bottom w:val="none" w:sz="0" w:space="0" w:color="auto"/>
        <w:right w:val="none" w:sz="0" w:space="0" w:color="auto"/>
      </w:divBdr>
      <w:divsChild>
        <w:div w:id="1241597493">
          <w:marLeft w:val="0"/>
          <w:marRight w:val="0"/>
          <w:marTop w:val="0"/>
          <w:marBottom w:val="0"/>
          <w:divBdr>
            <w:top w:val="none" w:sz="0" w:space="0" w:color="auto"/>
            <w:left w:val="none" w:sz="0" w:space="0" w:color="auto"/>
            <w:bottom w:val="none" w:sz="0" w:space="0" w:color="auto"/>
            <w:right w:val="none" w:sz="0" w:space="0" w:color="auto"/>
          </w:divBdr>
        </w:div>
      </w:divsChild>
    </w:div>
    <w:div w:id="334915502">
      <w:bodyDiv w:val="1"/>
      <w:marLeft w:val="0"/>
      <w:marRight w:val="0"/>
      <w:marTop w:val="0"/>
      <w:marBottom w:val="0"/>
      <w:divBdr>
        <w:top w:val="none" w:sz="0" w:space="0" w:color="auto"/>
        <w:left w:val="none" w:sz="0" w:space="0" w:color="auto"/>
        <w:bottom w:val="none" w:sz="0" w:space="0" w:color="auto"/>
        <w:right w:val="none" w:sz="0" w:space="0" w:color="auto"/>
      </w:divBdr>
    </w:div>
    <w:div w:id="362362471">
      <w:bodyDiv w:val="1"/>
      <w:marLeft w:val="0"/>
      <w:marRight w:val="0"/>
      <w:marTop w:val="0"/>
      <w:marBottom w:val="0"/>
      <w:divBdr>
        <w:top w:val="none" w:sz="0" w:space="0" w:color="auto"/>
        <w:left w:val="none" w:sz="0" w:space="0" w:color="auto"/>
        <w:bottom w:val="none" w:sz="0" w:space="0" w:color="auto"/>
        <w:right w:val="none" w:sz="0" w:space="0" w:color="auto"/>
      </w:divBdr>
    </w:div>
    <w:div w:id="362749758">
      <w:bodyDiv w:val="1"/>
      <w:marLeft w:val="0"/>
      <w:marRight w:val="0"/>
      <w:marTop w:val="0"/>
      <w:marBottom w:val="0"/>
      <w:divBdr>
        <w:top w:val="none" w:sz="0" w:space="0" w:color="auto"/>
        <w:left w:val="none" w:sz="0" w:space="0" w:color="auto"/>
        <w:bottom w:val="none" w:sz="0" w:space="0" w:color="auto"/>
        <w:right w:val="none" w:sz="0" w:space="0" w:color="auto"/>
      </w:divBdr>
    </w:div>
    <w:div w:id="405222852">
      <w:bodyDiv w:val="1"/>
      <w:marLeft w:val="0"/>
      <w:marRight w:val="0"/>
      <w:marTop w:val="0"/>
      <w:marBottom w:val="0"/>
      <w:divBdr>
        <w:top w:val="none" w:sz="0" w:space="0" w:color="auto"/>
        <w:left w:val="none" w:sz="0" w:space="0" w:color="auto"/>
        <w:bottom w:val="none" w:sz="0" w:space="0" w:color="auto"/>
        <w:right w:val="none" w:sz="0" w:space="0" w:color="auto"/>
      </w:divBdr>
    </w:div>
    <w:div w:id="412974138">
      <w:bodyDiv w:val="1"/>
      <w:marLeft w:val="0"/>
      <w:marRight w:val="0"/>
      <w:marTop w:val="0"/>
      <w:marBottom w:val="0"/>
      <w:divBdr>
        <w:top w:val="none" w:sz="0" w:space="0" w:color="auto"/>
        <w:left w:val="none" w:sz="0" w:space="0" w:color="auto"/>
        <w:bottom w:val="none" w:sz="0" w:space="0" w:color="auto"/>
        <w:right w:val="none" w:sz="0" w:space="0" w:color="auto"/>
      </w:divBdr>
    </w:div>
    <w:div w:id="448669286">
      <w:bodyDiv w:val="1"/>
      <w:marLeft w:val="0"/>
      <w:marRight w:val="0"/>
      <w:marTop w:val="0"/>
      <w:marBottom w:val="0"/>
      <w:divBdr>
        <w:top w:val="none" w:sz="0" w:space="0" w:color="auto"/>
        <w:left w:val="none" w:sz="0" w:space="0" w:color="auto"/>
        <w:bottom w:val="none" w:sz="0" w:space="0" w:color="auto"/>
        <w:right w:val="none" w:sz="0" w:space="0" w:color="auto"/>
      </w:divBdr>
    </w:div>
    <w:div w:id="502277651">
      <w:bodyDiv w:val="1"/>
      <w:marLeft w:val="0"/>
      <w:marRight w:val="0"/>
      <w:marTop w:val="0"/>
      <w:marBottom w:val="0"/>
      <w:divBdr>
        <w:top w:val="none" w:sz="0" w:space="0" w:color="auto"/>
        <w:left w:val="none" w:sz="0" w:space="0" w:color="auto"/>
        <w:bottom w:val="none" w:sz="0" w:space="0" w:color="auto"/>
        <w:right w:val="none" w:sz="0" w:space="0" w:color="auto"/>
      </w:divBdr>
      <w:divsChild>
        <w:div w:id="535122477">
          <w:marLeft w:val="360"/>
          <w:marRight w:val="0"/>
          <w:marTop w:val="200"/>
          <w:marBottom w:val="0"/>
          <w:divBdr>
            <w:top w:val="none" w:sz="0" w:space="0" w:color="auto"/>
            <w:left w:val="none" w:sz="0" w:space="0" w:color="auto"/>
            <w:bottom w:val="none" w:sz="0" w:space="0" w:color="auto"/>
            <w:right w:val="none" w:sz="0" w:space="0" w:color="auto"/>
          </w:divBdr>
        </w:div>
      </w:divsChild>
    </w:div>
    <w:div w:id="506095419">
      <w:bodyDiv w:val="1"/>
      <w:marLeft w:val="0"/>
      <w:marRight w:val="0"/>
      <w:marTop w:val="0"/>
      <w:marBottom w:val="0"/>
      <w:divBdr>
        <w:top w:val="none" w:sz="0" w:space="0" w:color="auto"/>
        <w:left w:val="none" w:sz="0" w:space="0" w:color="auto"/>
        <w:bottom w:val="none" w:sz="0" w:space="0" w:color="auto"/>
        <w:right w:val="none" w:sz="0" w:space="0" w:color="auto"/>
      </w:divBdr>
    </w:div>
    <w:div w:id="529027566">
      <w:bodyDiv w:val="1"/>
      <w:marLeft w:val="0"/>
      <w:marRight w:val="0"/>
      <w:marTop w:val="0"/>
      <w:marBottom w:val="0"/>
      <w:divBdr>
        <w:top w:val="none" w:sz="0" w:space="0" w:color="auto"/>
        <w:left w:val="none" w:sz="0" w:space="0" w:color="auto"/>
        <w:bottom w:val="none" w:sz="0" w:space="0" w:color="auto"/>
        <w:right w:val="none" w:sz="0" w:space="0" w:color="auto"/>
      </w:divBdr>
    </w:div>
    <w:div w:id="550385395">
      <w:bodyDiv w:val="1"/>
      <w:marLeft w:val="0"/>
      <w:marRight w:val="0"/>
      <w:marTop w:val="0"/>
      <w:marBottom w:val="0"/>
      <w:divBdr>
        <w:top w:val="none" w:sz="0" w:space="0" w:color="auto"/>
        <w:left w:val="none" w:sz="0" w:space="0" w:color="auto"/>
        <w:bottom w:val="none" w:sz="0" w:space="0" w:color="auto"/>
        <w:right w:val="none" w:sz="0" w:space="0" w:color="auto"/>
      </w:divBdr>
    </w:div>
    <w:div w:id="619726067">
      <w:bodyDiv w:val="1"/>
      <w:marLeft w:val="0"/>
      <w:marRight w:val="0"/>
      <w:marTop w:val="0"/>
      <w:marBottom w:val="0"/>
      <w:divBdr>
        <w:top w:val="none" w:sz="0" w:space="0" w:color="auto"/>
        <w:left w:val="none" w:sz="0" w:space="0" w:color="auto"/>
        <w:bottom w:val="none" w:sz="0" w:space="0" w:color="auto"/>
        <w:right w:val="none" w:sz="0" w:space="0" w:color="auto"/>
      </w:divBdr>
    </w:div>
    <w:div w:id="626080961">
      <w:bodyDiv w:val="1"/>
      <w:marLeft w:val="0"/>
      <w:marRight w:val="0"/>
      <w:marTop w:val="0"/>
      <w:marBottom w:val="0"/>
      <w:divBdr>
        <w:top w:val="none" w:sz="0" w:space="0" w:color="auto"/>
        <w:left w:val="none" w:sz="0" w:space="0" w:color="auto"/>
        <w:bottom w:val="none" w:sz="0" w:space="0" w:color="auto"/>
        <w:right w:val="none" w:sz="0" w:space="0" w:color="auto"/>
      </w:divBdr>
    </w:div>
    <w:div w:id="644162709">
      <w:bodyDiv w:val="1"/>
      <w:marLeft w:val="0"/>
      <w:marRight w:val="0"/>
      <w:marTop w:val="0"/>
      <w:marBottom w:val="0"/>
      <w:divBdr>
        <w:top w:val="none" w:sz="0" w:space="0" w:color="auto"/>
        <w:left w:val="none" w:sz="0" w:space="0" w:color="auto"/>
        <w:bottom w:val="none" w:sz="0" w:space="0" w:color="auto"/>
        <w:right w:val="none" w:sz="0" w:space="0" w:color="auto"/>
      </w:divBdr>
    </w:div>
    <w:div w:id="644774838">
      <w:bodyDiv w:val="1"/>
      <w:marLeft w:val="0"/>
      <w:marRight w:val="0"/>
      <w:marTop w:val="0"/>
      <w:marBottom w:val="0"/>
      <w:divBdr>
        <w:top w:val="none" w:sz="0" w:space="0" w:color="auto"/>
        <w:left w:val="none" w:sz="0" w:space="0" w:color="auto"/>
        <w:bottom w:val="none" w:sz="0" w:space="0" w:color="auto"/>
        <w:right w:val="none" w:sz="0" w:space="0" w:color="auto"/>
      </w:divBdr>
    </w:div>
    <w:div w:id="663555211">
      <w:bodyDiv w:val="1"/>
      <w:marLeft w:val="0"/>
      <w:marRight w:val="0"/>
      <w:marTop w:val="0"/>
      <w:marBottom w:val="0"/>
      <w:divBdr>
        <w:top w:val="none" w:sz="0" w:space="0" w:color="auto"/>
        <w:left w:val="none" w:sz="0" w:space="0" w:color="auto"/>
        <w:bottom w:val="none" w:sz="0" w:space="0" w:color="auto"/>
        <w:right w:val="none" w:sz="0" w:space="0" w:color="auto"/>
      </w:divBdr>
    </w:div>
    <w:div w:id="679698435">
      <w:bodyDiv w:val="1"/>
      <w:marLeft w:val="0"/>
      <w:marRight w:val="0"/>
      <w:marTop w:val="0"/>
      <w:marBottom w:val="0"/>
      <w:divBdr>
        <w:top w:val="none" w:sz="0" w:space="0" w:color="auto"/>
        <w:left w:val="none" w:sz="0" w:space="0" w:color="auto"/>
        <w:bottom w:val="none" w:sz="0" w:space="0" w:color="auto"/>
        <w:right w:val="none" w:sz="0" w:space="0" w:color="auto"/>
      </w:divBdr>
      <w:divsChild>
        <w:div w:id="1256282703">
          <w:marLeft w:val="0"/>
          <w:marRight w:val="0"/>
          <w:marTop w:val="0"/>
          <w:marBottom w:val="0"/>
          <w:divBdr>
            <w:top w:val="single" w:sz="2" w:space="0" w:color="auto"/>
            <w:left w:val="single" w:sz="2" w:space="0" w:color="auto"/>
            <w:bottom w:val="single" w:sz="2" w:space="0" w:color="auto"/>
            <w:right w:val="single" w:sz="2" w:space="0" w:color="auto"/>
          </w:divBdr>
        </w:div>
      </w:divsChild>
    </w:div>
    <w:div w:id="685012795">
      <w:bodyDiv w:val="1"/>
      <w:marLeft w:val="0"/>
      <w:marRight w:val="0"/>
      <w:marTop w:val="0"/>
      <w:marBottom w:val="0"/>
      <w:divBdr>
        <w:top w:val="none" w:sz="0" w:space="0" w:color="auto"/>
        <w:left w:val="none" w:sz="0" w:space="0" w:color="auto"/>
        <w:bottom w:val="none" w:sz="0" w:space="0" w:color="auto"/>
        <w:right w:val="none" w:sz="0" w:space="0" w:color="auto"/>
      </w:divBdr>
    </w:div>
    <w:div w:id="752245274">
      <w:bodyDiv w:val="1"/>
      <w:marLeft w:val="0"/>
      <w:marRight w:val="0"/>
      <w:marTop w:val="0"/>
      <w:marBottom w:val="0"/>
      <w:divBdr>
        <w:top w:val="none" w:sz="0" w:space="0" w:color="auto"/>
        <w:left w:val="none" w:sz="0" w:space="0" w:color="auto"/>
        <w:bottom w:val="none" w:sz="0" w:space="0" w:color="auto"/>
        <w:right w:val="none" w:sz="0" w:space="0" w:color="auto"/>
      </w:divBdr>
    </w:div>
    <w:div w:id="793016470">
      <w:bodyDiv w:val="1"/>
      <w:marLeft w:val="0"/>
      <w:marRight w:val="0"/>
      <w:marTop w:val="0"/>
      <w:marBottom w:val="0"/>
      <w:divBdr>
        <w:top w:val="none" w:sz="0" w:space="0" w:color="auto"/>
        <w:left w:val="none" w:sz="0" w:space="0" w:color="auto"/>
        <w:bottom w:val="none" w:sz="0" w:space="0" w:color="auto"/>
        <w:right w:val="none" w:sz="0" w:space="0" w:color="auto"/>
      </w:divBdr>
    </w:div>
    <w:div w:id="795491876">
      <w:bodyDiv w:val="1"/>
      <w:marLeft w:val="0"/>
      <w:marRight w:val="0"/>
      <w:marTop w:val="0"/>
      <w:marBottom w:val="0"/>
      <w:divBdr>
        <w:top w:val="none" w:sz="0" w:space="0" w:color="auto"/>
        <w:left w:val="none" w:sz="0" w:space="0" w:color="auto"/>
        <w:bottom w:val="none" w:sz="0" w:space="0" w:color="auto"/>
        <w:right w:val="none" w:sz="0" w:space="0" w:color="auto"/>
      </w:divBdr>
    </w:div>
    <w:div w:id="832067041">
      <w:bodyDiv w:val="1"/>
      <w:marLeft w:val="0"/>
      <w:marRight w:val="0"/>
      <w:marTop w:val="0"/>
      <w:marBottom w:val="0"/>
      <w:divBdr>
        <w:top w:val="none" w:sz="0" w:space="0" w:color="auto"/>
        <w:left w:val="none" w:sz="0" w:space="0" w:color="auto"/>
        <w:bottom w:val="none" w:sz="0" w:space="0" w:color="auto"/>
        <w:right w:val="none" w:sz="0" w:space="0" w:color="auto"/>
      </w:divBdr>
    </w:div>
    <w:div w:id="835419115">
      <w:bodyDiv w:val="1"/>
      <w:marLeft w:val="0"/>
      <w:marRight w:val="0"/>
      <w:marTop w:val="0"/>
      <w:marBottom w:val="0"/>
      <w:divBdr>
        <w:top w:val="none" w:sz="0" w:space="0" w:color="auto"/>
        <w:left w:val="none" w:sz="0" w:space="0" w:color="auto"/>
        <w:bottom w:val="none" w:sz="0" w:space="0" w:color="auto"/>
        <w:right w:val="none" w:sz="0" w:space="0" w:color="auto"/>
      </w:divBdr>
    </w:div>
    <w:div w:id="840581698">
      <w:bodyDiv w:val="1"/>
      <w:marLeft w:val="0"/>
      <w:marRight w:val="0"/>
      <w:marTop w:val="0"/>
      <w:marBottom w:val="0"/>
      <w:divBdr>
        <w:top w:val="none" w:sz="0" w:space="0" w:color="auto"/>
        <w:left w:val="none" w:sz="0" w:space="0" w:color="auto"/>
        <w:bottom w:val="none" w:sz="0" w:space="0" w:color="auto"/>
        <w:right w:val="none" w:sz="0" w:space="0" w:color="auto"/>
      </w:divBdr>
    </w:div>
    <w:div w:id="847019412">
      <w:bodyDiv w:val="1"/>
      <w:marLeft w:val="0"/>
      <w:marRight w:val="0"/>
      <w:marTop w:val="0"/>
      <w:marBottom w:val="0"/>
      <w:divBdr>
        <w:top w:val="none" w:sz="0" w:space="0" w:color="auto"/>
        <w:left w:val="none" w:sz="0" w:space="0" w:color="auto"/>
        <w:bottom w:val="none" w:sz="0" w:space="0" w:color="auto"/>
        <w:right w:val="none" w:sz="0" w:space="0" w:color="auto"/>
      </w:divBdr>
    </w:div>
    <w:div w:id="918755828">
      <w:bodyDiv w:val="1"/>
      <w:marLeft w:val="0"/>
      <w:marRight w:val="0"/>
      <w:marTop w:val="0"/>
      <w:marBottom w:val="0"/>
      <w:divBdr>
        <w:top w:val="none" w:sz="0" w:space="0" w:color="auto"/>
        <w:left w:val="none" w:sz="0" w:space="0" w:color="auto"/>
        <w:bottom w:val="none" w:sz="0" w:space="0" w:color="auto"/>
        <w:right w:val="none" w:sz="0" w:space="0" w:color="auto"/>
      </w:divBdr>
    </w:div>
    <w:div w:id="944116165">
      <w:bodyDiv w:val="1"/>
      <w:marLeft w:val="0"/>
      <w:marRight w:val="0"/>
      <w:marTop w:val="0"/>
      <w:marBottom w:val="0"/>
      <w:divBdr>
        <w:top w:val="none" w:sz="0" w:space="0" w:color="auto"/>
        <w:left w:val="none" w:sz="0" w:space="0" w:color="auto"/>
        <w:bottom w:val="none" w:sz="0" w:space="0" w:color="auto"/>
        <w:right w:val="none" w:sz="0" w:space="0" w:color="auto"/>
      </w:divBdr>
    </w:div>
    <w:div w:id="959801426">
      <w:bodyDiv w:val="1"/>
      <w:marLeft w:val="0"/>
      <w:marRight w:val="0"/>
      <w:marTop w:val="0"/>
      <w:marBottom w:val="0"/>
      <w:divBdr>
        <w:top w:val="none" w:sz="0" w:space="0" w:color="auto"/>
        <w:left w:val="none" w:sz="0" w:space="0" w:color="auto"/>
        <w:bottom w:val="none" w:sz="0" w:space="0" w:color="auto"/>
        <w:right w:val="none" w:sz="0" w:space="0" w:color="auto"/>
      </w:divBdr>
    </w:div>
    <w:div w:id="1002782473">
      <w:bodyDiv w:val="1"/>
      <w:marLeft w:val="0"/>
      <w:marRight w:val="0"/>
      <w:marTop w:val="0"/>
      <w:marBottom w:val="0"/>
      <w:divBdr>
        <w:top w:val="none" w:sz="0" w:space="0" w:color="auto"/>
        <w:left w:val="none" w:sz="0" w:space="0" w:color="auto"/>
        <w:bottom w:val="none" w:sz="0" w:space="0" w:color="auto"/>
        <w:right w:val="none" w:sz="0" w:space="0" w:color="auto"/>
      </w:divBdr>
    </w:div>
    <w:div w:id="1014723283">
      <w:bodyDiv w:val="1"/>
      <w:marLeft w:val="0"/>
      <w:marRight w:val="0"/>
      <w:marTop w:val="0"/>
      <w:marBottom w:val="0"/>
      <w:divBdr>
        <w:top w:val="none" w:sz="0" w:space="0" w:color="auto"/>
        <w:left w:val="none" w:sz="0" w:space="0" w:color="auto"/>
        <w:bottom w:val="none" w:sz="0" w:space="0" w:color="auto"/>
        <w:right w:val="none" w:sz="0" w:space="0" w:color="auto"/>
      </w:divBdr>
    </w:div>
    <w:div w:id="1062560502">
      <w:bodyDiv w:val="1"/>
      <w:marLeft w:val="0"/>
      <w:marRight w:val="0"/>
      <w:marTop w:val="0"/>
      <w:marBottom w:val="0"/>
      <w:divBdr>
        <w:top w:val="none" w:sz="0" w:space="0" w:color="auto"/>
        <w:left w:val="none" w:sz="0" w:space="0" w:color="auto"/>
        <w:bottom w:val="none" w:sz="0" w:space="0" w:color="auto"/>
        <w:right w:val="none" w:sz="0" w:space="0" w:color="auto"/>
      </w:divBdr>
    </w:div>
    <w:div w:id="1109396689">
      <w:bodyDiv w:val="1"/>
      <w:marLeft w:val="0"/>
      <w:marRight w:val="0"/>
      <w:marTop w:val="0"/>
      <w:marBottom w:val="0"/>
      <w:divBdr>
        <w:top w:val="none" w:sz="0" w:space="0" w:color="auto"/>
        <w:left w:val="none" w:sz="0" w:space="0" w:color="auto"/>
        <w:bottom w:val="none" w:sz="0" w:space="0" w:color="auto"/>
        <w:right w:val="none" w:sz="0" w:space="0" w:color="auto"/>
      </w:divBdr>
    </w:div>
    <w:div w:id="1145195551">
      <w:bodyDiv w:val="1"/>
      <w:marLeft w:val="0"/>
      <w:marRight w:val="0"/>
      <w:marTop w:val="0"/>
      <w:marBottom w:val="0"/>
      <w:divBdr>
        <w:top w:val="none" w:sz="0" w:space="0" w:color="auto"/>
        <w:left w:val="none" w:sz="0" w:space="0" w:color="auto"/>
        <w:bottom w:val="none" w:sz="0" w:space="0" w:color="auto"/>
        <w:right w:val="none" w:sz="0" w:space="0" w:color="auto"/>
      </w:divBdr>
    </w:div>
    <w:div w:id="1164008691">
      <w:bodyDiv w:val="1"/>
      <w:marLeft w:val="0"/>
      <w:marRight w:val="0"/>
      <w:marTop w:val="0"/>
      <w:marBottom w:val="0"/>
      <w:divBdr>
        <w:top w:val="none" w:sz="0" w:space="0" w:color="auto"/>
        <w:left w:val="none" w:sz="0" w:space="0" w:color="auto"/>
        <w:bottom w:val="none" w:sz="0" w:space="0" w:color="auto"/>
        <w:right w:val="none" w:sz="0" w:space="0" w:color="auto"/>
      </w:divBdr>
    </w:div>
    <w:div w:id="1169566260">
      <w:bodyDiv w:val="1"/>
      <w:marLeft w:val="0"/>
      <w:marRight w:val="0"/>
      <w:marTop w:val="0"/>
      <w:marBottom w:val="0"/>
      <w:divBdr>
        <w:top w:val="none" w:sz="0" w:space="0" w:color="auto"/>
        <w:left w:val="none" w:sz="0" w:space="0" w:color="auto"/>
        <w:bottom w:val="none" w:sz="0" w:space="0" w:color="auto"/>
        <w:right w:val="none" w:sz="0" w:space="0" w:color="auto"/>
      </w:divBdr>
    </w:div>
    <w:div w:id="1200626338">
      <w:bodyDiv w:val="1"/>
      <w:marLeft w:val="0"/>
      <w:marRight w:val="0"/>
      <w:marTop w:val="0"/>
      <w:marBottom w:val="0"/>
      <w:divBdr>
        <w:top w:val="none" w:sz="0" w:space="0" w:color="auto"/>
        <w:left w:val="none" w:sz="0" w:space="0" w:color="auto"/>
        <w:bottom w:val="none" w:sz="0" w:space="0" w:color="auto"/>
        <w:right w:val="none" w:sz="0" w:space="0" w:color="auto"/>
      </w:divBdr>
    </w:div>
    <w:div w:id="1204832596">
      <w:bodyDiv w:val="1"/>
      <w:marLeft w:val="0"/>
      <w:marRight w:val="0"/>
      <w:marTop w:val="0"/>
      <w:marBottom w:val="0"/>
      <w:divBdr>
        <w:top w:val="none" w:sz="0" w:space="0" w:color="auto"/>
        <w:left w:val="none" w:sz="0" w:space="0" w:color="auto"/>
        <w:bottom w:val="none" w:sz="0" w:space="0" w:color="auto"/>
        <w:right w:val="none" w:sz="0" w:space="0" w:color="auto"/>
      </w:divBdr>
    </w:div>
    <w:div w:id="1209104299">
      <w:bodyDiv w:val="1"/>
      <w:marLeft w:val="0"/>
      <w:marRight w:val="0"/>
      <w:marTop w:val="0"/>
      <w:marBottom w:val="0"/>
      <w:divBdr>
        <w:top w:val="none" w:sz="0" w:space="0" w:color="auto"/>
        <w:left w:val="none" w:sz="0" w:space="0" w:color="auto"/>
        <w:bottom w:val="none" w:sz="0" w:space="0" w:color="auto"/>
        <w:right w:val="none" w:sz="0" w:space="0" w:color="auto"/>
      </w:divBdr>
    </w:div>
    <w:div w:id="1209224600">
      <w:bodyDiv w:val="1"/>
      <w:marLeft w:val="0"/>
      <w:marRight w:val="0"/>
      <w:marTop w:val="0"/>
      <w:marBottom w:val="0"/>
      <w:divBdr>
        <w:top w:val="none" w:sz="0" w:space="0" w:color="auto"/>
        <w:left w:val="none" w:sz="0" w:space="0" w:color="auto"/>
        <w:bottom w:val="none" w:sz="0" w:space="0" w:color="auto"/>
        <w:right w:val="none" w:sz="0" w:space="0" w:color="auto"/>
      </w:divBdr>
    </w:div>
    <w:div w:id="1217741506">
      <w:bodyDiv w:val="1"/>
      <w:marLeft w:val="0"/>
      <w:marRight w:val="0"/>
      <w:marTop w:val="0"/>
      <w:marBottom w:val="0"/>
      <w:divBdr>
        <w:top w:val="none" w:sz="0" w:space="0" w:color="auto"/>
        <w:left w:val="none" w:sz="0" w:space="0" w:color="auto"/>
        <w:bottom w:val="none" w:sz="0" w:space="0" w:color="auto"/>
        <w:right w:val="none" w:sz="0" w:space="0" w:color="auto"/>
      </w:divBdr>
    </w:div>
    <w:div w:id="1228539334">
      <w:bodyDiv w:val="1"/>
      <w:marLeft w:val="0"/>
      <w:marRight w:val="0"/>
      <w:marTop w:val="0"/>
      <w:marBottom w:val="0"/>
      <w:divBdr>
        <w:top w:val="none" w:sz="0" w:space="0" w:color="auto"/>
        <w:left w:val="none" w:sz="0" w:space="0" w:color="auto"/>
        <w:bottom w:val="none" w:sz="0" w:space="0" w:color="auto"/>
        <w:right w:val="none" w:sz="0" w:space="0" w:color="auto"/>
      </w:divBdr>
    </w:div>
    <w:div w:id="1231766102">
      <w:bodyDiv w:val="1"/>
      <w:marLeft w:val="0"/>
      <w:marRight w:val="0"/>
      <w:marTop w:val="0"/>
      <w:marBottom w:val="0"/>
      <w:divBdr>
        <w:top w:val="none" w:sz="0" w:space="0" w:color="auto"/>
        <w:left w:val="none" w:sz="0" w:space="0" w:color="auto"/>
        <w:bottom w:val="none" w:sz="0" w:space="0" w:color="auto"/>
        <w:right w:val="none" w:sz="0" w:space="0" w:color="auto"/>
      </w:divBdr>
    </w:div>
    <w:div w:id="1239365145">
      <w:bodyDiv w:val="1"/>
      <w:marLeft w:val="0"/>
      <w:marRight w:val="0"/>
      <w:marTop w:val="0"/>
      <w:marBottom w:val="0"/>
      <w:divBdr>
        <w:top w:val="none" w:sz="0" w:space="0" w:color="auto"/>
        <w:left w:val="none" w:sz="0" w:space="0" w:color="auto"/>
        <w:bottom w:val="none" w:sz="0" w:space="0" w:color="auto"/>
        <w:right w:val="none" w:sz="0" w:space="0" w:color="auto"/>
      </w:divBdr>
    </w:div>
    <w:div w:id="1242179531">
      <w:bodyDiv w:val="1"/>
      <w:marLeft w:val="0"/>
      <w:marRight w:val="0"/>
      <w:marTop w:val="0"/>
      <w:marBottom w:val="0"/>
      <w:divBdr>
        <w:top w:val="none" w:sz="0" w:space="0" w:color="auto"/>
        <w:left w:val="none" w:sz="0" w:space="0" w:color="auto"/>
        <w:bottom w:val="none" w:sz="0" w:space="0" w:color="auto"/>
        <w:right w:val="none" w:sz="0" w:space="0" w:color="auto"/>
      </w:divBdr>
    </w:div>
    <w:div w:id="1354309091">
      <w:bodyDiv w:val="1"/>
      <w:marLeft w:val="0"/>
      <w:marRight w:val="0"/>
      <w:marTop w:val="0"/>
      <w:marBottom w:val="0"/>
      <w:divBdr>
        <w:top w:val="none" w:sz="0" w:space="0" w:color="auto"/>
        <w:left w:val="none" w:sz="0" w:space="0" w:color="auto"/>
        <w:bottom w:val="none" w:sz="0" w:space="0" w:color="auto"/>
        <w:right w:val="none" w:sz="0" w:space="0" w:color="auto"/>
      </w:divBdr>
    </w:div>
    <w:div w:id="1425613073">
      <w:bodyDiv w:val="1"/>
      <w:marLeft w:val="0"/>
      <w:marRight w:val="0"/>
      <w:marTop w:val="0"/>
      <w:marBottom w:val="0"/>
      <w:divBdr>
        <w:top w:val="none" w:sz="0" w:space="0" w:color="auto"/>
        <w:left w:val="none" w:sz="0" w:space="0" w:color="auto"/>
        <w:bottom w:val="none" w:sz="0" w:space="0" w:color="auto"/>
        <w:right w:val="none" w:sz="0" w:space="0" w:color="auto"/>
      </w:divBdr>
    </w:div>
    <w:div w:id="1429424442">
      <w:bodyDiv w:val="1"/>
      <w:marLeft w:val="0"/>
      <w:marRight w:val="0"/>
      <w:marTop w:val="0"/>
      <w:marBottom w:val="0"/>
      <w:divBdr>
        <w:top w:val="none" w:sz="0" w:space="0" w:color="auto"/>
        <w:left w:val="none" w:sz="0" w:space="0" w:color="auto"/>
        <w:bottom w:val="none" w:sz="0" w:space="0" w:color="auto"/>
        <w:right w:val="none" w:sz="0" w:space="0" w:color="auto"/>
      </w:divBdr>
    </w:div>
    <w:div w:id="1490756570">
      <w:bodyDiv w:val="1"/>
      <w:marLeft w:val="0"/>
      <w:marRight w:val="0"/>
      <w:marTop w:val="0"/>
      <w:marBottom w:val="0"/>
      <w:divBdr>
        <w:top w:val="none" w:sz="0" w:space="0" w:color="auto"/>
        <w:left w:val="none" w:sz="0" w:space="0" w:color="auto"/>
        <w:bottom w:val="none" w:sz="0" w:space="0" w:color="auto"/>
        <w:right w:val="none" w:sz="0" w:space="0" w:color="auto"/>
      </w:divBdr>
    </w:div>
    <w:div w:id="1498879922">
      <w:bodyDiv w:val="1"/>
      <w:marLeft w:val="0"/>
      <w:marRight w:val="0"/>
      <w:marTop w:val="0"/>
      <w:marBottom w:val="0"/>
      <w:divBdr>
        <w:top w:val="none" w:sz="0" w:space="0" w:color="auto"/>
        <w:left w:val="none" w:sz="0" w:space="0" w:color="auto"/>
        <w:bottom w:val="none" w:sz="0" w:space="0" w:color="auto"/>
        <w:right w:val="none" w:sz="0" w:space="0" w:color="auto"/>
      </w:divBdr>
    </w:div>
    <w:div w:id="1518421665">
      <w:bodyDiv w:val="1"/>
      <w:marLeft w:val="0"/>
      <w:marRight w:val="0"/>
      <w:marTop w:val="0"/>
      <w:marBottom w:val="0"/>
      <w:divBdr>
        <w:top w:val="none" w:sz="0" w:space="0" w:color="auto"/>
        <w:left w:val="none" w:sz="0" w:space="0" w:color="auto"/>
        <w:bottom w:val="none" w:sz="0" w:space="0" w:color="auto"/>
        <w:right w:val="none" w:sz="0" w:space="0" w:color="auto"/>
      </w:divBdr>
    </w:div>
    <w:div w:id="1532953601">
      <w:bodyDiv w:val="1"/>
      <w:marLeft w:val="0"/>
      <w:marRight w:val="0"/>
      <w:marTop w:val="0"/>
      <w:marBottom w:val="0"/>
      <w:divBdr>
        <w:top w:val="none" w:sz="0" w:space="0" w:color="auto"/>
        <w:left w:val="none" w:sz="0" w:space="0" w:color="auto"/>
        <w:bottom w:val="none" w:sz="0" w:space="0" w:color="auto"/>
        <w:right w:val="none" w:sz="0" w:space="0" w:color="auto"/>
      </w:divBdr>
    </w:div>
    <w:div w:id="1546019076">
      <w:bodyDiv w:val="1"/>
      <w:marLeft w:val="0"/>
      <w:marRight w:val="0"/>
      <w:marTop w:val="0"/>
      <w:marBottom w:val="0"/>
      <w:divBdr>
        <w:top w:val="none" w:sz="0" w:space="0" w:color="auto"/>
        <w:left w:val="none" w:sz="0" w:space="0" w:color="auto"/>
        <w:bottom w:val="none" w:sz="0" w:space="0" w:color="auto"/>
        <w:right w:val="none" w:sz="0" w:space="0" w:color="auto"/>
      </w:divBdr>
    </w:div>
    <w:div w:id="1566993298">
      <w:bodyDiv w:val="1"/>
      <w:marLeft w:val="0"/>
      <w:marRight w:val="0"/>
      <w:marTop w:val="0"/>
      <w:marBottom w:val="0"/>
      <w:divBdr>
        <w:top w:val="none" w:sz="0" w:space="0" w:color="auto"/>
        <w:left w:val="none" w:sz="0" w:space="0" w:color="auto"/>
        <w:bottom w:val="none" w:sz="0" w:space="0" w:color="auto"/>
        <w:right w:val="none" w:sz="0" w:space="0" w:color="auto"/>
      </w:divBdr>
    </w:div>
    <w:div w:id="1583026936">
      <w:bodyDiv w:val="1"/>
      <w:marLeft w:val="0"/>
      <w:marRight w:val="0"/>
      <w:marTop w:val="0"/>
      <w:marBottom w:val="0"/>
      <w:divBdr>
        <w:top w:val="none" w:sz="0" w:space="0" w:color="auto"/>
        <w:left w:val="none" w:sz="0" w:space="0" w:color="auto"/>
        <w:bottom w:val="none" w:sz="0" w:space="0" w:color="auto"/>
        <w:right w:val="none" w:sz="0" w:space="0" w:color="auto"/>
      </w:divBdr>
    </w:div>
    <w:div w:id="1598169926">
      <w:bodyDiv w:val="1"/>
      <w:marLeft w:val="0"/>
      <w:marRight w:val="0"/>
      <w:marTop w:val="0"/>
      <w:marBottom w:val="0"/>
      <w:divBdr>
        <w:top w:val="none" w:sz="0" w:space="0" w:color="auto"/>
        <w:left w:val="none" w:sz="0" w:space="0" w:color="auto"/>
        <w:bottom w:val="none" w:sz="0" w:space="0" w:color="auto"/>
        <w:right w:val="none" w:sz="0" w:space="0" w:color="auto"/>
      </w:divBdr>
    </w:div>
    <w:div w:id="1614900917">
      <w:bodyDiv w:val="1"/>
      <w:marLeft w:val="0"/>
      <w:marRight w:val="0"/>
      <w:marTop w:val="0"/>
      <w:marBottom w:val="0"/>
      <w:divBdr>
        <w:top w:val="none" w:sz="0" w:space="0" w:color="auto"/>
        <w:left w:val="none" w:sz="0" w:space="0" w:color="auto"/>
        <w:bottom w:val="none" w:sz="0" w:space="0" w:color="auto"/>
        <w:right w:val="none" w:sz="0" w:space="0" w:color="auto"/>
      </w:divBdr>
    </w:div>
    <w:div w:id="1622228798">
      <w:bodyDiv w:val="1"/>
      <w:marLeft w:val="0"/>
      <w:marRight w:val="0"/>
      <w:marTop w:val="0"/>
      <w:marBottom w:val="0"/>
      <w:divBdr>
        <w:top w:val="none" w:sz="0" w:space="0" w:color="auto"/>
        <w:left w:val="none" w:sz="0" w:space="0" w:color="auto"/>
        <w:bottom w:val="none" w:sz="0" w:space="0" w:color="auto"/>
        <w:right w:val="none" w:sz="0" w:space="0" w:color="auto"/>
      </w:divBdr>
    </w:div>
    <w:div w:id="1622566785">
      <w:bodyDiv w:val="1"/>
      <w:marLeft w:val="0"/>
      <w:marRight w:val="0"/>
      <w:marTop w:val="0"/>
      <w:marBottom w:val="0"/>
      <w:divBdr>
        <w:top w:val="none" w:sz="0" w:space="0" w:color="auto"/>
        <w:left w:val="none" w:sz="0" w:space="0" w:color="auto"/>
        <w:bottom w:val="none" w:sz="0" w:space="0" w:color="auto"/>
        <w:right w:val="none" w:sz="0" w:space="0" w:color="auto"/>
      </w:divBdr>
    </w:div>
    <w:div w:id="1629316290">
      <w:bodyDiv w:val="1"/>
      <w:marLeft w:val="0"/>
      <w:marRight w:val="0"/>
      <w:marTop w:val="0"/>
      <w:marBottom w:val="0"/>
      <w:divBdr>
        <w:top w:val="none" w:sz="0" w:space="0" w:color="auto"/>
        <w:left w:val="none" w:sz="0" w:space="0" w:color="auto"/>
        <w:bottom w:val="none" w:sz="0" w:space="0" w:color="auto"/>
        <w:right w:val="none" w:sz="0" w:space="0" w:color="auto"/>
      </w:divBdr>
    </w:div>
    <w:div w:id="1652171986">
      <w:bodyDiv w:val="1"/>
      <w:marLeft w:val="0"/>
      <w:marRight w:val="0"/>
      <w:marTop w:val="0"/>
      <w:marBottom w:val="0"/>
      <w:divBdr>
        <w:top w:val="none" w:sz="0" w:space="0" w:color="auto"/>
        <w:left w:val="none" w:sz="0" w:space="0" w:color="auto"/>
        <w:bottom w:val="none" w:sz="0" w:space="0" w:color="auto"/>
        <w:right w:val="none" w:sz="0" w:space="0" w:color="auto"/>
      </w:divBdr>
    </w:div>
    <w:div w:id="1701392356">
      <w:bodyDiv w:val="1"/>
      <w:marLeft w:val="0"/>
      <w:marRight w:val="0"/>
      <w:marTop w:val="0"/>
      <w:marBottom w:val="0"/>
      <w:divBdr>
        <w:top w:val="none" w:sz="0" w:space="0" w:color="auto"/>
        <w:left w:val="none" w:sz="0" w:space="0" w:color="auto"/>
        <w:bottom w:val="none" w:sz="0" w:space="0" w:color="auto"/>
        <w:right w:val="none" w:sz="0" w:space="0" w:color="auto"/>
      </w:divBdr>
    </w:div>
    <w:div w:id="1703238031">
      <w:bodyDiv w:val="1"/>
      <w:marLeft w:val="0"/>
      <w:marRight w:val="0"/>
      <w:marTop w:val="0"/>
      <w:marBottom w:val="0"/>
      <w:divBdr>
        <w:top w:val="none" w:sz="0" w:space="0" w:color="auto"/>
        <w:left w:val="none" w:sz="0" w:space="0" w:color="auto"/>
        <w:bottom w:val="none" w:sz="0" w:space="0" w:color="auto"/>
        <w:right w:val="none" w:sz="0" w:space="0" w:color="auto"/>
      </w:divBdr>
    </w:div>
    <w:div w:id="1705397548">
      <w:bodyDiv w:val="1"/>
      <w:marLeft w:val="0"/>
      <w:marRight w:val="0"/>
      <w:marTop w:val="0"/>
      <w:marBottom w:val="0"/>
      <w:divBdr>
        <w:top w:val="none" w:sz="0" w:space="0" w:color="auto"/>
        <w:left w:val="none" w:sz="0" w:space="0" w:color="auto"/>
        <w:bottom w:val="none" w:sz="0" w:space="0" w:color="auto"/>
        <w:right w:val="none" w:sz="0" w:space="0" w:color="auto"/>
      </w:divBdr>
    </w:div>
    <w:div w:id="1730037801">
      <w:bodyDiv w:val="1"/>
      <w:marLeft w:val="0"/>
      <w:marRight w:val="0"/>
      <w:marTop w:val="0"/>
      <w:marBottom w:val="0"/>
      <w:divBdr>
        <w:top w:val="none" w:sz="0" w:space="0" w:color="auto"/>
        <w:left w:val="none" w:sz="0" w:space="0" w:color="auto"/>
        <w:bottom w:val="none" w:sz="0" w:space="0" w:color="auto"/>
        <w:right w:val="none" w:sz="0" w:space="0" w:color="auto"/>
      </w:divBdr>
    </w:div>
    <w:div w:id="1751463434">
      <w:bodyDiv w:val="1"/>
      <w:marLeft w:val="0"/>
      <w:marRight w:val="0"/>
      <w:marTop w:val="0"/>
      <w:marBottom w:val="0"/>
      <w:divBdr>
        <w:top w:val="none" w:sz="0" w:space="0" w:color="auto"/>
        <w:left w:val="none" w:sz="0" w:space="0" w:color="auto"/>
        <w:bottom w:val="none" w:sz="0" w:space="0" w:color="auto"/>
        <w:right w:val="none" w:sz="0" w:space="0" w:color="auto"/>
      </w:divBdr>
    </w:div>
    <w:div w:id="1779713990">
      <w:bodyDiv w:val="1"/>
      <w:marLeft w:val="0"/>
      <w:marRight w:val="0"/>
      <w:marTop w:val="0"/>
      <w:marBottom w:val="0"/>
      <w:divBdr>
        <w:top w:val="none" w:sz="0" w:space="0" w:color="auto"/>
        <w:left w:val="none" w:sz="0" w:space="0" w:color="auto"/>
        <w:bottom w:val="none" w:sz="0" w:space="0" w:color="auto"/>
        <w:right w:val="none" w:sz="0" w:space="0" w:color="auto"/>
      </w:divBdr>
    </w:div>
    <w:div w:id="1780445217">
      <w:bodyDiv w:val="1"/>
      <w:marLeft w:val="0"/>
      <w:marRight w:val="0"/>
      <w:marTop w:val="0"/>
      <w:marBottom w:val="0"/>
      <w:divBdr>
        <w:top w:val="none" w:sz="0" w:space="0" w:color="auto"/>
        <w:left w:val="none" w:sz="0" w:space="0" w:color="auto"/>
        <w:bottom w:val="none" w:sz="0" w:space="0" w:color="auto"/>
        <w:right w:val="none" w:sz="0" w:space="0" w:color="auto"/>
      </w:divBdr>
    </w:div>
    <w:div w:id="1877547287">
      <w:bodyDiv w:val="1"/>
      <w:marLeft w:val="0"/>
      <w:marRight w:val="0"/>
      <w:marTop w:val="0"/>
      <w:marBottom w:val="0"/>
      <w:divBdr>
        <w:top w:val="none" w:sz="0" w:space="0" w:color="auto"/>
        <w:left w:val="none" w:sz="0" w:space="0" w:color="auto"/>
        <w:bottom w:val="none" w:sz="0" w:space="0" w:color="auto"/>
        <w:right w:val="none" w:sz="0" w:space="0" w:color="auto"/>
      </w:divBdr>
    </w:div>
    <w:div w:id="1892423825">
      <w:bodyDiv w:val="1"/>
      <w:marLeft w:val="0"/>
      <w:marRight w:val="0"/>
      <w:marTop w:val="0"/>
      <w:marBottom w:val="0"/>
      <w:divBdr>
        <w:top w:val="none" w:sz="0" w:space="0" w:color="auto"/>
        <w:left w:val="none" w:sz="0" w:space="0" w:color="auto"/>
        <w:bottom w:val="none" w:sz="0" w:space="0" w:color="auto"/>
        <w:right w:val="none" w:sz="0" w:space="0" w:color="auto"/>
      </w:divBdr>
    </w:div>
    <w:div w:id="1972901013">
      <w:bodyDiv w:val="1"/>
      <w:marLeft w:val="0"/>
      <w:marRight w:val="0"/>
      <w:marTop w:val="0"/>
      <w:marBottom w:val="0"/>
      <w:divBdr>
        <w:top w:val="none" w:sz="0" w:space="0" w:color="auto"/>
        <w:left w:val="none" w:sz="0" w:space="0" w:color="auto"/>
        <w:bottom w:val="none" w:sz="0" w:space="0" w:color="auto"/>
        <w:right w:val="none" w:sz="0" w:space="0" w:color="auto"/>
      </w:divBdr>
    </w:div>
    <w:div w:id="1992977990">
      <w:bodyDiv w:val="1"/>
      <w:marLeft w:val="0"/>
      <w:marRight w:val="0"/>
      <w:marTop w:val="0"/>
      <w:marBottom w:val="0"/>
      <w:divBdr>
        <w:top w:val="none" w:sz="0" w:space="0" w:color="auto"/>
        <w:left w:val="none" w:sz="0" w:space="0" w:color="auto"/>
        <w:bottom w:val="none" w:sz="0" w:space="0" w:color="auto"/>
        <w:right w:val="none" w:sz="0" w:space="0" w:color="auto"/>
      </w:divBdr>
    </w:div>
    <w:div w:id="1993177853">
      <w:bodyDiv w:val="1"/>
      <w:marLeft w:val="0"/>
      <w:marRight w:val="0"/>
      <w:marTop w:val="0"/>
      <w:marBottom w:val="0"/>
      <w:divBdr>
        <w:top w:val="none" w:sz="0" w:space="0" w:color="auto"/>
        <w:left w:val="none" w:sz="0" w:space="0" w:color="auto"/>
        <w:bottom w:val="none" w:sz="0" w:space="0" w:color="auto"/>
        <w:right w:val="none" w:sz="0" w:space="0" w:color="auto"/>
      </w:divBdr>
    </w:div>
    <w:div w:id="2120172446">
      <w:bodyDiv w:val="1"/>
      <w:marLeft w:val="0"/>
      <w:marRight w:val="0"/>
      <w:marTop w:val="0"/>
      <w:marBottom w:val="0"/>
      <w:divBdr>
        <w:top w:val="none" w:sz="0" w:space="0" w:color="auto"/>
        <w:left w:val="none" w:sz="0" w:space="0" w:color="auto"/>
        <w:bottom w:val="none" w:sz="0" w:space="0" w:color="auto"/>
        <w:right w:val="none" w:sz="0" w:space="0" w:color="auto"/>
      </w:divBdr>
    </w:div>
    <w:div w:id="213427717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10.1177/14713012251367810" TargetMode="External"/><Relationship Id="rId18" Type="http://schemas.openxmlformats.org/officeDocument/2006/relationships/hyperlink" Target="https://doi:10.12968/bjcn.2017.22.8.384" TargetMode="External"/><Relationship Id="rId26" Type="http://schemas.openxmlformats.org/officeDocument/2006/relationships/hyperlink" Target="https://doi:10.1093/ageing/afaf120" TargetMode="External"/><Relationship Id="rId21" Type="http://schemas.openxmlformats.org/officeDocument/2006/relationships/hyperlink" Target="Https://doi:10.1177/14713012221080252"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doi:10.3310/ttwg4738" TargetMode="External"/><Relationship Id="rId17" Type="http://schemas.openxmlformats.org/officeDocument/2006/relationships/hyperlink" Target="https://doi:10.1136/bmj.c4184" TargetMode="External"/><Relationship Id="rId25" Type="http://schemas.openxmlformats.org/officeDocument/2006/relationships/hyperlink" Target="https://doi:10.1093/geront/gnac012"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10.2196/46478" TargetMode="External"/><Relationship Id="rId20" Type="http://schemas.openxmlformats.org/officeDocument/2006/relationships/hyperlink" Target="https://doi:10.7748/ns.2017.e10558" TargetMode="External"/><Relationship Id="rId29" Type="http://schemas.openxmlformats.org/officeDocument/2006/relationships/hyperlink" Target="https://pubmed.ncbi.nlm.nih.gov/2064221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10.1177/18333583231218029" TargetMode="External"/><Relationship Id="rId24" Type="http://schemas.openxmlformats.org/officeDocument/2006/relationships/hyperlink" Target="https://doi:10.1017/s1041610215000903"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10.1186/s12912-022-00863-9" TargetMode="External"/><Relationship Id="rId23" Type="http://schemas.openxmlformats.org/officeDocument/2006/relationships/hyperlink" Target="https://www.gov.uk/government/publications/people-with-dementia-and-learning-disabilities-reasonable-adjustments/dementia-and-people-with-learning-disabilities" TargetMode="External"/><Relationship Id="rId28" Type="http://schemas.openxmlformats.org/officeDocument/2006/relationships/hyperlink" Target="https://doi:10.1186/s12875-016-0535-7" TargetMode="External"/><Relationship Id="rId36" Type="http://schemas.openxmlformats.org/officeDocument/2006/relationships/fontTable" Target="fontTable.xml"/><Relationship Id="rId10" Type="http://schemas.openxmlformats.org/officeDocument/2006/relationships/hyperlink" Target="https://doi:10.1136/bmjopen-2017-018977" TargetMode="External"/><Relationship Id="rId19" Type="http://schemas.openxmlformats.org/officeDocument/2006/relationships/hyperlink" Target="https://doi:10.1177/07334648221142852"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i:10.1136/bmj.f2716" TargetMode="External"/><Relationship Id="rId14" Type="http://schemas.openxmlformats.org/officeDocument/2006/relationships/hyperlink" Target="https://doi:10.1155/2024/6437930" TargetMode="External"/><Relationship Id="rId22" Type="http://schemas.openxmlformats.org/officeDocument/2006/relationships/hyperlink" Target="https://doi:10.1111/jocn.15885" TargetMode="External"/><Relationship Id="rId27" Type="http://schemas.openxmlformats.org/officeDocument/2006/relationships/hyperlink" Target="https://doi:10.1002/lrh2.10392"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https://doi:10.1136/bmj.f7716"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00887D-BF6A-4771-975E-8BBAA5D226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3009</Words>
  <Characters>17153</Characters>
  <Application>Microsoft Office Word</Application>
  <DocSecurity>0</DocSecurity>
  <Lines>142</Lines>
  <Paragraphs>40</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1. Introduction</vt:lpstr>
      <vt:lpstr>2. Effective Communication within Mrs Thompson’s Care</vt:lpstr>
      <vt:lpstr>    2.1 Importance of Effective Communication in Dementia Care </vt:lpstr>
      <vt:lpstr>    2.2 Application of SOLER Communication Model </vt:lpstr>
      <vt:lpstr>    2.3 Equality Act 2010 and Communication with Family Members </vt:lpstr>
      <vt:lpstr>3. Importance of Administrative Skills, Record Keeping and Data Protection</vt:lpstr>
      <vt:lpstr>    3.1 Importance of Accurate Record Keeping </vt:lpstr>
      <vt:lpstr>    3.2 Data Protection Act 2018 and Confidentiality</vt:lpstr>
      <vt:lpstr>    3.3 Relevant Health and Social Care Legislation</vt:lpstr>
      <vt:lpstr>4. Collaborative Working between Health and Social Care Professionals</vt:lpstr>
      <vt:lpstr>    4.1 Importance of Multi-Agency Working </vt:lpstr>
      <vt:lpstr>    4.2 Strategies for Effective Collaboration </vt:lpstr>
      <vt:lpstr>    4.3 Challenges and Solutions </vt:lpstr>
      <vt:lpstr>5. Conclusion </vt:lpstr>
      <vt:lpstr>References</vt:lpstr>
    </vt:vector>
  </TitlesOfParts>
  <Company/>
  <LinksUpToDate>false</LinksUpToDate>
  <CharactersWithSpaces>20122</CharactersWithSpaces>
  <SharedDoc>false</SharedDoc>
  <HLinks>
    <vt:vector size="132" baseType="variant">
      <vt:variant>
        <vt:i4>524288</vt:i4>
      </vt:variant>
      <vt:variant>
        <vt:i4>111</vt:i4>
      </vt:variant>
      <vt:variant>
        <vt:i4>0</vt:i4>
      </vt:variant>
      <vt:variant>
        <vt:i4>5</vt:i4>
      </vt:variant>
      <vt:variant>
        <vt:lpwstr>https://pubmed.ncbi.nlm.nih.gov/20642214/</vt:lpwstr>
      </vt:variant>
      <vt:variant>
        <vt:lpwstr/>
      </vt:variant>
      <vt:variant>
        <vt:i4>4587538</vt:i4>
      </vt:variant>
      <vt:variant>
        <vt:i4>108</vt:i4>
      </vt:variant>
      <vt:variant>
        <vt:i4>0</vt:i4>
      </vt:variant>
      <vt:variant>
        <vt:i4>5</vt:i4>
      </vt:variant>
      <vt:variant>
        <vt:lpwstr>https://doi:10.1186/s12875-016-0535-7</vt:lpwstr>
      </vt:variant>
      <vt:variant>
        <vt:lpwstr/>
      </vt:variant>
      <vt:variant>
        <vt:i4>2752627</vt:i4>
      </vt:variant>
      <vt:variant>
        <vt:i4>105</vt:i4>
      </vt:variant>
      <vt:variant>
        <vt:i4>0</vt:i4>
      </vt:variant>
      <vt:variant>
        <vt:i4>5</vt:i4>
      </vt:variant>
      <vt:variant>
        <vt:lpwstr>https://doi:10.1002/lrh2.10392</vt:lpwstr>
      </vt:variant>
      <vt:variant>
        <vt:lpwstr/>
      </vt:variant>
      <vt:variant>
        <vt:i4>3866662</vt:i4>
      </vt:variant>
      <vt:variant>
        <vt:i4>102</vt:i4>
      </vt:variant>
      <vt:variant>
        <vt:i4>0</vt:i4>
      </vt:variant>
      <vt:variant>
        <vt:i4>5</vt:i4>
      </vt:variant>
      <vt:variant>
        <vt:lpwstr>https://doi:10.1093/ageing/afaf120</vt:lpwstr>
      </vt:variant>
      <vt:variant>
        <vt:lpwstr/>
      </vt:variant>
      <vt:variant>
        <vt:i4>2687033</vt:i4>
      </vt:variant>
      <vt:variant>
        <vt:i4>99</vt:i4>
      </vt:variant>
      <vt:variant>
        <vt:i4>0</vt:i4>
      </vt:variant>
      <vt:variant>
        <vt:i4>5</vt:i4>
      </vt:variant>
      <vt:variant>
        <vt:lpwstr>https://doi:10.1093/geront/gnac012</vt:lpwstr>
      </vt:variant>
      <vt:variant>
        <vt:lpwstr/>
      </vt:variant>
      <vt:variant>
        <vt:i4>5832728</vt:i4>
      </vt:variant>
      <vt:variant>
        <vt:i4>96</vt:i4>
      </vt:variant>
      <vt:variant>
        <vt:i4>0</vt:i4>
      </vt:variant>
      <vt:variant>
        <vt:i4>5</vt:i4>
      </vt:variant>
      <vt:variant>
        <vt:lpwstr>https://doi:10.1017/s1041610215000903</vt:lpwstr>
      </vt:variant>
      <vt:variant>
        <vt:lpwstr/>
      </vt:variant>
      <vt:variant>
        <vt:i4>6553657</vt:i4>
      </vt:variant>
      <vt:variant>
        <vt:i4>93</vt:i4>
      </vt:variant>
      <vt:variant>
        <vt:i4>0</vt:i4>
      </vt:variant>
      <vt:variant>
        <vt:i4>5</vt:i4>
      </vt:variant>
      <vt:variant>
        <vt:lpwstr>https://www.gov.uk/government/publications/people-with-dementia-and-learning-disabilities-reasonable-adjustments/dementia-and-people-with-learning-disabilities</vt:lpwstr>
      </vt:variant>
      <vt:variant>
        <vt:lpwstr/>
      </vt:variant>
      <vt:variant>
        <vt:i4>6684792</vt:i4>
      </vt:variant>
      <vt:variant>
        <vt:i4>90</vt:i4>
      </vt:variant>
      <vt:variant>
        <vt:i4>0</vt:i4>
      </vt:variant>
      <vt:variant>
        <vt:i4>5</vt:i4>
      </vt:variant>
      <vt:variant>
        <vt:lpwstr>https://doi:10.1111/jocn.15885</vt:lpwstr>
      </vt:variant>
      <vt:variant>
        <vt:lpwstr/>
      </vt:variant>
      <vt:variant>
        <vt:i4>6094937</vt:i4>
      </vt:variant>
      <vt:variant>
        <vt:i4>87</vt:i4>
      </vt:variant>
      <vt:variant>
        <vt:i4>0</vt:i4>
      </vt:variant>
      <vt:variant>
        <vt:i4>5</vt:i4>
      </vt:variant>
      <vt:variant>
        <vt:lpwstr>Https://doi:10.1177/14713012221080252</vt:lpwstr>
      </vt:variant>
      <vt:variant>
        <vt:lpwstr/>
      </vt:variant>
      <vt:variant>
        <vt:i4>3801210</vt:i4>
      </vt:variant>
      <vt:variant>
        <vt:i4>84</vt:i4>
      </vt:variant>
      <vt:variant>
        <vt:i4>0</vt:i4>
      </vt:variant>
      <vt:variant>
        <vt:i4>5</vt:i4>
      </vt:variant>
      <vt:variant>
        <vt:lpwstr>https://doi:10.7748/ns.2017.e10558</vt:lpwstr>
      </vt:variant>
      <vt:variant>
        <vt:lpwstr/>
      </vt:variant>
      <vt:variant>
        <vt:i4>5439576</vt:i4>
      </vt:variant>
      <vt:variant>
        <vt:i4>81</vt:i4>
      </vt:variant>
      <vt:variant>
        <vt:i4>0</vt:i4>
      </vt:variant>
      <vt:variant>
        <vt:i4>5</vt:i4>
      </vt:variant>
      <vt:variant>
        <vt:lpwstr>https://doi:10.1177/07334648221142852</vt:lpwstr>
      </vt:variant>
      <vt:variant>
        <vt:lpwstr/>
      </vt:variant>
      <vt:variant>
        <vt:i4>6684777</vt:i4>
      </vt:variant>
      <vt:variant>
        <vt:i4>78</vt:i4>
      </vt:variant>
      <vt:variant>
        <vt:i4>0</vt:i4>
      </vt:variant>
      <vt:variant>
        <vt:i4>5</vt:i4>
      </vt:variant>
      <vt:variant>
        <vt:lpwstr>https://doi:10.12968/bjcn.2017.22.8.384</vt:lpwstr>
      </vt:variant>
      <vt:variant>
        <vt:lpwstr/>
      </vt:variant>
      <vt:variant>
        <vt:i4>1441807</vt:i4>
      </vt:variant>
      <vt:variant>
        <vt:i4>75</vt:i4>
      </vt:variant>
      <vt:variant>
        <vt:i4>0</vt:i4>
      </vt:variant>
      <vt:variant>
        <vt:i4>5</vt:i4>
      </vt:variant>
      <vt:variant>
        <vt:lpwstr>https://doi:10.1136/bmj.c4184</vt:lpwstr>
      </vt:variant>
      <vt:variant>
        <vt:lpwstr/>
      </vt:variant>
      <vt:variant>
        <vt:i4>5308501</vt:i4>
      </vt:variant>
      <vt:variant>
        <vt:i4>72</vt:i4>
      </vt:variant>
      <vt:variant>
        <vt:i4>0</vt:i4>
      </vt:variant>
      <vt:variant>
        <vt:i4>5</vt:i4>
      </vt:variant>
      <vt:variant>
        <vt:lpwstr>https://doi:10.2196/46478</vt:lpwstr>
      </vt:variant>
      <vt:variant>
        <vt:lpwstr/>
      </vt:variant>
      <vt:variant>
        <vt:i4>6815804</vt:i4>
      </vt:variant>
      <vt:variant>
        <vt:i4>69</vt:i4>
      </vt:variant>
      <vt:variant>
        <vt:i4>0</vt:i4>
      </vt:variant>
      <vt:variant>
        <vt:i4>5</vt:i4>
      </vt:variant>
      <vt:variant>
        <vt:lpwstr>https://doi:10.1186/s12912-022-00863-9</vt:lpwstr>
      </vt:variant>
      <vt:variant>
        <vt:lpwstr/>
      </vt:variant>
      <vt:variant>
        <vt:i4>5701705</vt:i4>
      </vt:variant>
      <vt:variant>
        <vt:i4>66</vt:i4>
      </vt:variant>
      <vt:variant>
        <vt:i4>0</vt:i4>
      </vt:variant>
      <vt:variant>
        <vt:i4>5</vt:i4>
      </vt:variant>
      <vt:variant>
        <vt:lpwstr>https://doi:10.1155/2024/6437930</vt:lpwstr>
      </vt:variant>
      <vt:variant>
        <vt:lpwstr/>
      </vt:variant>
      <vt:variant>
        <vt:i4>5898333</vt:i4>
      </vt:variant>
      <vt:variant>
        <vt:i4>63</vt:i4>
      </vt:variant>
      <vt:variant>
        <vt:i4>0</vt:i4>
      </vt:variant>
      <vt:variant>
        <vt:i4>5</vt:i4>
      </vt:variant>
      <vt:variant>
        <vt:lpwstr>https://doi:10.1177/14713012251367810</vt:lpwstr>
      </vt:variant>
      <vt:variant>
        <vt:lpwstr/>
      </vt:variant>
      <vt:variant>
        <vt:i4>4522069</vt:i4>
      </vt:variant>
      <vt:variant>
        <vt:i4>60</vt:i4>
      </vt:variant>
      <vt:variant>
        <vt:i4>0</vt:i4>
      </vt:variant>
      <vt:variant>
        <vt:i4>5</vt:i4>
      </vt:variant>
      <vt:variant>
        <vt:lpwstr>https://doi:10.3310/ttwg4738</vt:lpwstr>
      </vt:variant>
      <vt:variant>
        <vt:lpwstr/>
      </vt:variant>
      <vt:variant>
        <vt:i4>5963871</vt:i4>
      </vt:variant>
      <vt:variant>
        <vt:i4>57</vt:i4>
      </vt:variant>
      <vt:variant>
        <vt:i4>0</vt:i4>
      </vt:variant>
      <vt:variant>
        <vt:i4>5</vt:i4>
      </vt:variant>
      <vt:variant>
        <vt:lpwstr>https://doi:10.1177/18333583231218029</vt:lpwstr>
      </vt:variant>
      <vt:variant>
        <vt:lpwstr/>
      </vt:variant>
      <vt:variant>
        <vt:i4>2818149</vt:i4>
      </vt:variant>
      <vt:variant>
        <vt:i4>54</vt:i4>
      </vt:variant>
      <vt:variant>
        <vt:i4>0</vt:i4>
      </vt:variant>
      <vt:variant>
        <vt:i4>5</vt:i4>
      </vt:variant>
      <vt:variant>
        <vt:lpwstr>https://doi:10.1136/bmjopen-2017-018977</vt:lpwstr>
      </vt:variant>
      <vt:variant>
        <vt:lpwstr/>
      </vt:variant>
      <vt:variant>
        <vt:i4>1638412</vt:i4>
      </vt:variant>
      <vt:variant>
        <vt:i4>51</vt:i4>
      </vt:variant>
      <vt:variant>
        <vt:i4>0</vt:i4>
      </vt:variant>
      <vt:variant>
        <vt:i4>5</vt:i4>
      </vt:variant>
      <vt:variant>
        <vt:lpwstr>https://doi:10.1136/bmj.f2716</vt:lpwstr>
      </vt:variant>
      <vt:variant>
        <vt:lpwstr/>
      </vt:variant>
      <vt:variant>
        <vt:i4>1835020</vt:i4>
      </vt:variant>
      <vt:variant>
        <vt:i4>48</vt:i4>
      </vt:variant>
      <vt:variant>
        <vt:i4>0</vt:i4>
      </vt:variant>
      <vt:variant>
        <vt:i4>5</vt:i4>
      </vt:variant>
      <vt:variant>
        <vt:lpwstr>https://doi:10.1136/bmj.f7716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Amal Hussain (2520490)</cp:lastModifiedBy>
  <cp:revision>2</cp:revision>
  <cp:lastPrinted>1601-01-01T00:00:00Z</cp:lastPrinted>
  <dcterms:created xsi:type="dcterms:W3CDTF">2026-07-20T19:32:00Z</dcterms:created>
  <dcterms:modified xsi:type="dcterms:W3CDTF">2026-07-20T19:32:00Z</dcterms:modified>
</cp:coreProperties>
</file>