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851AB" w14:textId="77777777" w:rsidR="00597AE1" w:rsidRPr="00AD7494" w:rsidRDefault="00597AE1" w:rsidP="001D2D05">
      <w:pPr>
        <w:spacing w:line="360" w:lineRule="auto"/>
        <w:rPr>
          <w:rFonts w:ascii="Ariel" w:hAnsi="Ariel"/>
          <w:sz w:val="40"/>
          <w:szCs w:val="40"/>
        </w:rPr>
      </w:pPr>
      <w:r w:rsidRPr="00AD7494">
        <w:rPr>
          <w:rFonts w:ascii="Ariel" w:hAnsi="Ariel"/>
          <w:b/>
          <w:bCs/>
          <w:sz w:val="40"/>
          <w:szCs w:val="40"/>
        </w:rPr>
        <w:t>Student Name: Zakia Bi</w:t>
      </w:r>
      <w:r w:rsidRPr="00AD7494">
        <w:rPr>
          <w:rFonts w:ascii="Ariel" w:hAnsi="Ariel"/>
          <w:sz w:val="40"/>
          <w:szCs w:val="40"/>
        </w:rPr>
        <w:t> </w:t>
      </w:r>
    </w:p>
    <w:p w14:paraId="5061B894" w14:textId="77777777" w:rsidR="00597AE1" w:rsidRPr="00AD7494" w:rsidRDefault="00597AE1" w:rsidP="001D2D05">
      <w:pPr>
        <w:spacing w:line="360" w:lineRule="auto"/>
        <w:rPr>
          <w:rFonts w:ascii="Ariel" w:hAnsi="Ariel"/>
          <w:sz w:val="40"/>
          <w:szCs w:val="40"/>
        </w:rPr>
      </w:pPr>
      <w:r w:rsidRPr="00AD7494">
        <w:rPr>
          <w:rFonts w:ascii="Ariel" w:hAnsi="Ariel"/>
          <w:b/>
          <w:bCs/>
          <w:sz w:val="40"/>
          <w:szCs w:val="40"/>
        </w:rPr>
        <w:t>Student Number: 2446095</w:t>
      </w:r>
      <w:r w:rsidRPr="00AD7494">
        <w:rPr>
          <w:rFonts w:ascii="Ariel" w:hAnsi="Ariel"/>
          <w:sz w:val="40"/>
          <w:szCs w:val="40"/>
        </w:rPr>
        <w:t> </w:t>
      </w:r>
    </w:p>
    <w:p w14:paraId="4FF2ED17" w14:textId="77777777" w:rsidR="00597AE1" w:rsidRPr="00AD7494" w:rsidRDefault="00597AE1" w:rsidP="001D2D05">
      <w:pPr>
        <w:spacing w:line="360" w:lineRule="auto"/>
        <w:rPr>
          <w:rFonts w:ascii="Ariel" w:hAnsi="Ariel"/>
          <w:sz w:val="40"/>
          <w:szCs w:val="40"/>
        </w:rPr>
      </w:pPr>
      <w:r w:rsidRPr="00AD7494">
        <w:rPr>
          <w:rFonts w:ascii="Ariel" w:hAnsi="Ariel"/>
          <w:b/>
          <w:bCs/>
          <w:sz w:val="40"/>
          <w:szCs w:val="40"/>
        </w:rPr>
        <w:t>Programme: BSc (Hons) Health and Social Care </w:t>
      </w:r>
      <w:r w:rsidRPr="00AD7494">
        <w:rPr>
          <w:rFonts w:ascii="Ariel" w:hAnsi="Ariel"/>
          <w:sz w:val="40"/>
          <w:szCs w:val="40"/>
        </w:rPr>
        <w:t> </w:t>
      </w:r>
    </w:p>
    <w:p w14:paraId="357E77B4" w14:textId="77777777" w:rsidR="00597AE1" w:rsidRPr="00AD7494" w:rsidRDefault="00597AE1" w:rsidP="001D2D05">
      <w:pPr>
        <w:spacing w:line="360" w:lineRule="auto"/>
        <w:rPr>
          <w:rFonts w:ascii="Ariel" w:hAnsi="Ariel"/>
          <w:sz w:val="40"/>
          <w:szCs w:val="40"/>
        </w:rPr>
      </w:pPr>
      <w:r w:rsidRPr="00AD7494">
        <w:rPr>
          <w:rFonts w:ascii="Ariel" w:hAnsi="Ariel"/>
          <w:b/>
          <w:bCs/>
          <w:sz w:val="40"/>
          <w:szCs w:val="40"/>
        </w:rPr>
        <w:t>Module: Independent Project</w:t>
      </w:r>
      <w:r w:rsidRPr="00AD7494">
        <w:rPr>
          <w:rFonts w:ascii="Ariel" w:hAnsi="Ariel"/>
          <w:sz w:val="40"/>
          <w:szCs w:val="40"/>
        </w:rPr>
        <w:t> </w:t>
      </w:r>
    </w:p>
    <w:p w14:paraId="4FC300E4" w14:textId="77777777" w:rsidR="00597AE1" w:rsidRPr="00AD7494" w:rsidRDefault="00597AE1" w:rsidP="001D2D05">
      <w:pPr>
        <w:spacing w:line="360" w:lineRule="auto"/>
        <w:rPr>
          <w:rFonts w:ascii="Ariel" w:hAnsi="Ariel"/>
          <w:sz w:val="40"/>
          <w:szCs w:val="40"/>
        </w:rPr>
      </w:pPr>
      <w:r w:rsidRPr="00AD7494">
        <w:rPr>
          <w:rFonts w:ascii="Ariel" w:hAnsi="Ariel"/>
          <w:b/>
          <w:bCs/>
          <w:sz w:val="40"/>
          <w:szCs w:val="40"/>
        </w:rPr>
        <w:t>Module Code: BMHP6020</w:t>
      </w:r>
      <w:r w:rsidRPr="00AD7494">
        <w:rPr>
          <w:rFonts w:ascii="Ariel" w:hAnsi="Ariel"/>
          <w:sz w:val="40"/>
          <w:szCs w:val="40"/>
        </w:rPr>
        <w:t> </w:t>
      </w:r>
    </w:p>
    <w:p w14:paraId="07061621" w14:textId="4A077DAF" w:rsidR="00597AE1" w:rsidRPr="00AD7494" w:rsidRDefault="00597AE1" w:rsidP="001D2D05">
      <w:pPr>
        <w:spacing w:line="360" w:lineRule="auto"/>
        <w:rPr>
          <w:rFonts w:ascii="Ariel" w:hAnsi="Ariel"/>
          <w:sz w:val="40"/>
          <w:szCs w:val="40"/>
        </w:rPr>
      </w:pPr>
      <w:r w:rsidRPr="00AD7494">
        <w:rPr>
          <w:rFonts w:ascii="Ariel" w:hAnsi="Ariel"/>
          <w:b/>
          <w:bCs/>
          <w:sz w:val="40"/>
          <w:szCs w:val="40"/>
        </w:rPr>
        <w:t>Assignment Title: Dissertation chapter1</w:t>
      </w:r>
      <w:r w:rsidR="00693A59" w:rsidRPr="00AD7494">
        <w:rPr>
          <w:rFonts w:ascii="Ariel" w:hAnsi="Ariel"/>
          <w:b/>
          <w:bCs/>
          <w:sz w:val="40"/>
          <w:szCs w:val="40"/>
        </w:rPr>
        <w:t>,</w:t>
      </w:r>
      <w:r w:rsidRPr="00AD7494">
        <w:rPr>
          <w:rFonts w:ascii="Ariel" w:hAnsi="Ariel"/>
          <w:b/>
          <w:bCs/>
          <w:sz w:val="40"/>
          <w:szCs w:val="40"/>
        </w:rPr>
        <w:t>2</w:t>
      </w:r>
      <w:r w:rsidR="00693A59" w:rsidRPr="00AD7494">
        <w:rPr>
          <w:rFonts w:ascii="Ariel" w:hAnsi="Ariel"/>
          <w:b/>
          <w:bCs/>
          <w:sz w:val="40"/>
          <w:szCs w:val="40"/>
        </w:rPr>
        <w:t>,3,4,5</w:t>
      </w:r>
      <w:r w:rsidRPr="00AD7494">
        <w:rPr>
          <w:rFonts w:ascii="Ariel" w:hAnsi="Ariel"/>
          <w:sz w:val="40"/>
          <w:szCs w:val="40"/>
        </w:rPr>
        <w:t> </w:t>
      </w:r>
    </w:p>
    <w:p w14:paraId="0F8BA7AA" w14:textId="77777777" w:rsidR="00597AE1" w:rsidRPr="00AD7494" w:rsidRDefault="00597AE1" w:rsidP="001D2D05">
      <w:pPr>
        <w:spacing w:line="360" w:lineRule="auto"/>
        <w:rPr>
          <w:rFonts w:ascii="Ariel" w:hAnsi="Ariel"/>
          <w:sz w:val="40"/>
          <w:szCs w:val="40"/>
        </w:rPr>
      </w:pPr>
      <w:r w:rsidRPr="00AD7494">
        <w:rPr>
          <w:rFonts w:ascii="Ariel" w:hAnsi="Ariel"/>
          <w:b/>
          <w:bCs/>
          <w:sz w:val="40"/>
          <w:szCs w:val="40"/>
        </w:rPr>
        <w:t>Lecturer: Chloe Harris</w:t>
      </w:r>
      <w:r w:rsidRPr="00AD7494">
        <w:rPr>
          <w:rFonts w:ascii="Ariel" w:hAnsi="Ariel"/>
          <w:sz w:val="40"/>
          <w:szCs w:val="40"/>
        </w:rPr>
        <w:t> </w:t>
      </w:r>
    </w:p>
    <w:p w14:paraId="7BABD6A8" w14:textId="77777777" w:rsidR="00597AE1" w:rsidRPr="001D2D05" w:rsidRDefault="00597AE1" w:rsidP="001D2D05">
      <w:pPr>
        <w:spacing w:line="360" w:lineRule="auto"/>
        <w:rPr>
          <w:rFonts w:ascii="Ariel" w:hAnsi="Ariel"/>
          <w:sz w:val="22"/>
          <w:szCs w:val="22"/>
        </w:rPr>
      </w:pPr>
      <w:r w:rsidRPr="001D2D05">
        <w:rPr>
          <w:rFonts w:ascii="Ariel" w:hAnsi="Ariel"/>
          <w:sz w:val="22"/>
          <w:szCs w:val="22"/>
        </w:rPr>
        <w:t> </w:t>
      </w:r>
    </w:p>
    <w:p w14:paraId="0A56EA30" w14:textId="77777777" w:rsidR="00597AE1" w:rsidRPr="001D2D05" w:rsidRDefault="00597AE1" w:rsidP="001D2D05">
      <w:pPr>
        <w:spacing w:line="360" w:lineRule="auto"/>
        <w:rPr>
          <w:rFonts w:ascii="Ariel" w:hAnsi="Ariel"/>
          <w:sz w:val="22"/>
          <w:szCs w:val="22"/>
        </w:rPr>
      </w:pPr>
      <w:r w:rsidRPr="001D2D05">
        <w:rPr>
          <w:rFonts w:ascii="Ariel" w:hAnsi="Ariel"/>
          <w:sz w:val="22"/>
          <w:szCs w:val="22"/>
        </w:rPr>
        <w:t> </w:t>
      </w:r>
    </w:p>
    <w:p w14:paraId="4362F05B" w14:textId="77777777" w:rsidR="00597AE1" w:rsidRPr="001D2D05" w:rsidRDefault="00597AE1" w:rsidP="001D2D05">
      <w:pPr>
        <w:spacing w:line="360" w:lineRule="auto"/>
        <w:rPr>
          <w:rFonts w:ascii="Ariel" w:hAnsi="Ariel"/>
          <w:sz w:val="22"/>
          <w:szCs w:val="22"/>
        </w:rPr>
      </w:pPr>
      <w:r w:rsidRPr="001D2D05">
        <w:rPr>
          <w:rFonts w:ascii="Ariel" w:hAnsi="Ariel"/>
          <w:sz w:val="22"/>
          <w:szCs w:val="22"/>
        </w:rPr>
        <w:t> </w:t>
      </w:r>
    </w:p>
    <w:p w14:paraId="45ABA062" w14:textId="77777777" w:rsidR="00597AE1" w:rsidRPr="001D2D05" w:rsidRDefault="00597AE1" w:rsidP="001D2D05">
      <w:pPr>
        <w:spacing w:line="360" w:lineRule="auto"/>
        <w:rPr>
          <w:rFonts w:ascii="Ariel" w:hAnsi="Ariel"/>
          <w:sz w:val="22"/>
          <w:szCs w:val="22"/>
        </w:rPr>
      </w:pPr>
      <w:r w:rsidRPr="001D2D05">
        <w:rPr>
          <w:rFonts w:ascii="Ariel" w:hAnsi="Ariel"/>
          <w:sz w:val="22"/>
          <w:szCs w:val="22"/>
        </w:rPr>
        <w:t> </w:t>
      </w:r>
    </w:p>
    <w:p w14:paraId="6434BAD2" w14:textId="77777777" w:rsidR="00597AE1" w:rsidRPr="001D2D05" w:rsidRDefault="00597AE1" w:rsidP="001D2D05">
      <w:pPr>
        <w:spacing w:line="360" w:lineRule="auto"/>
        <w:rPr>
          <w:rFonts w:ascii="Ariel" w:hAnsi="Ariel"/>
          <w:sz w:val="22"/>
          <w:szCs w:val="22"/>
        </w:rPr>
      </w:pPr>
      <w:r w:rsidRPr="001D2D05">
        <w:rPr>
          <w:rFonts w:ascii="Ariel" w:hAnsi="Ariel"/>
          <w:sz w:val="22"/>
          <w:szCs w:val="22"/>
        </w:rPr>
        <w:t> </w:t>
      </w:r>
    </w:p>
    <w:p w14:paraId="55F007B8" w14:textId="77777777" w:rsidR="00597AE1" w:rsidRPr="001D2D05" w:rsidRDefault="00597AE1" w:rsidP="001D2D05">
      <w:pPr>
        <w:spacing w:line="360" w:lineRule="auto"/>
        <w:rPr>
          <w:rFonts w:ascii="Ariel" w:hAnsi="Ariel"/>
          <w:sz w:val="22"/>
          <w:szCs w:val="22"/>
        </w:rPr>
      </w:pPr>
      <w:r w:rsidRPr="001D2D05">
        <w:rPr>
          <w:rFonts w:ascii="Ariel" w:hAnsi="Ariel"/>
          <w:sz w:val="22"/>
          <w:szCs w:val="22"/>
        </w:rPr>
        <w:t> </w:t>
      </w:r>
    </w:p>
    <w:p w14:paraId="7464FA3A" w14:textId="77777777" w:rsidR="00597AE1" w:rsidRPr="001D2D05" w:rsidRDefault="00597AE1" w:rsidP="001D2D05">
      <w:pPr>
        <w:spacing w:line="360" w:lineRule="auto"/>
        <w:rPr>
          <w:rFonts w:ascii="Ariel" w:hAnsi="Ariel"/>
          <w:sz w:val="22"/>
          <w:szCs w:val="22"/>
        </w:rPr>
      </w:pPr>
      <w:r w:rsidRPr="001D2D05">
        <w:rPr>
          <w:rFonts w:ascii="Ariel" w:hAnsi="Ariel"/>
          <w:sz w:val="22"/>
          <w:szCs w:val="22"/>
        </w:rPr>
        <w:t> </w:t>
      </w:r>
    </w:p>
    <w:p w14:paraId="60E081D9" w14:textId="77777777" w:rsidR="00597AE1" w:rsidRPr="001D2D05" w:rsidRDefault="00597AE1" w:rsidP="001D2D05">
      <w:pPr>
        <w:spacing w:line="360" w:lineRule="auto"/>
        <w:rPr>
          <w:rFonts w:ascii="Ariel" w:hAnsi="Ariel"/>
          <w:sz w:val="22"/>
          <w:szCs w:val="22"/>
        </w:rPr>
      </w:pPr>
      <w:r w:rsidRPr="001D2D05">
        <w:rPr>
          <w:rFonts w:ascii="Ariel" w:hAnsi="Ariel"/>
          <w:sz w:val="22"/>
          <w:szCs w:val="22"/>
        </w:rPr>
        <w:t> </w:t>
      </w:r>
    </w:p>
    <w:p w14:paraId="1FE24890" w14:textId="77777777" w:rsidR="00597AE1" w:rsidRPr="001D2D05" w:rsidRDefault="00597AE1" w:rsidP="001D2D05">
      <w:pPr>
        <w:spacing w:line="360" w:lineRule="auto"/>
        <w:rPr>
          <w:rFonts w:ascii="Ariel" w:hAnsi="Ariel"/>
          <w:sz w:val="22"/>
          <w:szCs w:val="22"/>
        </w:rPr>
      </w:pPr>
      <w:r w:rsidRPr="001D2D05">
        <w:rPr>
          <w:rFonts w:ascii="Ariel" w:hAnsi="Ariel"/>
          <w:sz w:val="22"/>
          <w:szCs w:val="22"/>
        </w:rPr>
        <w:t> </w:t>
      </w:r>
    </w:p>
    <w:p w14:paraId="52B6FB10" w14:textId="77777777" w:rsidR="00615240" w:rsidRPr="001D2D05" w:rsidRDefault="00615240" w:rsidP="001D2D05">
      <w:pPr>
        <w:spacing w:line="360" w:lineRule="auto"/>
        <w:rPr>
          <w:rFonts w:ascii="Ariel" w:hAnsi="Ariel"/>
          <w:b/>
          <w:bCs/>
          <w:sz w:val="22"/>
          <w:szCs w:val="22"/>
          <w:u w:val="single"/>
        </w:rPr>
      </w:pPr>
    </w:p>
    <w:p w14:paraId="001AF8D2" w14:textId="77777777" w:rsidR="00615240" w:rsidRPr="001D2D05" w:rsidRDefault="00615240" w:rsidP="001D2D05">
      <w:pPr>
        <w:spacing w:line="360" w:lineRule="auto"/>
        <w:rPr>
          <w:rFonts w:ascii="Ariel" w:hAnsi="Ariel"/>
          <w:b/>
          <w:bCs/>
          <w:sz w:val="22"/>
          <w:szCs w:val="22"/>
          <w:u w:val="single"/>
        </w:rPr>
      </w:pPr>
    </w:p>
    <w:p w14:paraId="0D137C71" w14:textId="77777777" w:rsidR="00615240" w:rsidRPr="001D2D05" w:rsidRDefault="00615240" w:rsidP="001D2D05">
      <w:pPr>
        <w:spacing w:line="360" w:lineRule="auto"/>
        <w:rPr>
          <w:rFonts w:ascii="Ariel" w:hAnsi="Ariel"/>
          <w:b/>
          <w:bCs/>
          <w:sz w:val="22"/>
          <w:szCs w:val="22"/>
          <w:u w:val="single"/>
        </w:rPr>
      </w:pPr>
    </w:p>
    <w:p w14:paraId="0855C55D" w14:textId="77777777" w:rsidR="00615240" w:rsidRPr="001D2D05" w:rsidRDefault="00615240" w:rsidP="001D2D05">
      <w:pPr>
        <w:spacing w:line="360" w:lineRule="auto"/>
        <w:rPr>
          <w:rFonts w:ascii="Ariel" w:hAnsi="Ariel"/>
          <w:b/>
          <w:bCs/>
          <w:sz w:val="22"/>
          <w:szCs w:val="22"/>
          <w:u w:val="single"/>
        </w:rPr>
      </w:pPr>
    </w:p>
    <w:p w14:paraId="3E773A44" w14:textId="77777777" w:rsidR="00615240" w:rsidRPr="001D2D05" w:rsidRDefault="00615240" w:rsidP="001D2D05">
      <w:pPr>
        <w:spacing w:line="360" w:lineRule="auto"/>
        <w:rPr>
          <w:rFonts w:ascii="Ariel" w:hAnsi="Ariel"/>
          <w:b/>
          <w:bCs/>
          <w:sz w:val="22"/>
          <w:szCs w:val="22"/>
          <w:u w:val="single"/>
        </w:rPr>
      </w:pPr>
    </w:p>
    <w:p w14:paraId="7A724FB0" w14:textId="70E87CB6" w:rsidR="001F720E" w:rsidRPr="00D50C5D" w:rsidRDefault="001F720E" w:rsidP="001D2D05">
      <w:pPr>
        <w:spacing w:line="360" w:lineRule="auto"/>
        <w:rPr>
          <w:rFonts w:ascii="Ariel" w:eastAsia="Times New Roman" w:hAnsi="Ariel" w:cs="Arial"/>
          <w:b/>
          <w:sz w:val="28"/>
          <w:szCs w:val="28"/>
          <w:u w:val="single"/>
        </w:rPr>
      </w:pPr>
      <w:r w:rsidRPr="00D50C5D">
        <w:rPr>
          <w:rFonts w:ascii="Ariel" w:eastAsia="Times New Roman" w:hAnsi="Ariel" w:cs="Arial"/>
          <w:b/>
          <w:sz w:val="28"/>
          <w:szCs w:val="28"/>
          <w:u w:val="single"/>
        </w:rPr>
        <w:lastRenderedPageBreak/>
        <w:t>DECLARATION</w:t>
      </w:r>
    </w:p>
    <w:p w14:paraId="0E680B80" w14:textId="7494B2FA" w:rsidR="001F720E" w:rsidRPr="001D2D05" w:rsidRDefault="001F720E" w:rsidP="001D2D05">
      <w:pPr>
        <w:spacing w:line="360" w:lineRule="auto"/>
        <w:rPr>
          <w:rFonts w:ascii="Ariel" w:eastAsia="Times New Roman" w:hAnsi="Ariel" w:cs="Arial"/>
          <w:sz w:val="22"/>
          <w:szCs w:val="22"/>
        </w:rPr>
      </w:pPr>
      <w:r w:rsidRPr="001D2D05">
        <w:rPr>
          <w:rFonts w:ascii="Ariel" w:eastAsia="Times New Roman" w:hAnsi="Ariel" w:cs="Arial"/>
          <w:sz w:val="22"/>
          <w:szCs w:val="22"/>
        </w:rPr>
        <w:t xml:space="preserve">This work has not previously been accepted in substance for any degree and is not being concurrently submitted in candidature for any </w:t>
      </w:r>
      <w:r w:rsidR="009B3BA1" w:rsidRPr="001D2D05">
        <w:rPr>
          <w:rFonts w:ascii="Ariel" w:eastAsia="Times New Roman" w:hAnsi="Ariel" w:cs="Arial"/>
          <w:sz w:val="22"/>
          <w:szCs w:val="22"/>
        </w:rPr>
        <w:t>degree.</w:t>
      </w:r>
    </w:p>
    <w:p w14:paraId="488DEB04" w14:textId="6E3D8DF7" w:rsidR="001F720E" w:rsidRPr="001D2D05" w:rsidRDefault="001F720E" w:rsidP="001D2D05">
      <w:pPr>
        <w:spacing w:line="360" w:lineRule="auto"/>
        <w:rPr>
          <w:rFonts w:ascii="Ariel" w:eastAsia="Times New Roman" w:hAnsi="Ariel" w:cs="Arial"/>
          <w:sz w:val="22"/>
          <w:szCs w:val="22"/>
        </w:rPr>
      </w:pPr>
      <w:r w:rsidRPr="001D2D05">
        <w:rPr>
          <w:rFonts w:ascii="Ariel" w:eastAsia="Times New Roman" w:hAnsi="Ariel" w:cs="Arial"/>
          <w:sz w:val="22"/>
          <w:szCs w:val="22"/>
        </w:rPr>
        <w:t>Signed………………………</w:t>
      </w:r>
      <w:r w:rsidR="003F06EA" w:rsidRPr="001D2D05">
        <w:rPr>
          <w:rFonts w:ascii="Ariel" w:eastAsia="Times New Roman" w:hAnsi="Ariel" w:cs="Arial"/>
          <w:sz w:val="22"/>
          <w:szCs w:val="22"/>
        </w:rPr>
        <w:t>Z</w:t>
      </w:r>
      <w:r w:rsidR="005F72A3" w:rsidRPr="001D2D05">
        <w:rPr>
          <w:rFonts w:ascii="Ariel" w:eastAsia="Times New Roman" w:hAnsi="Ariel" w:cs="Arial"/>
          <w:sz w:val="22"/>
          <w:szCs w:val="22"/>
        </w:rPr>
        <w:t>.</w:t>
      </w:r>
      <w:r w:rsidR="003F06EA" w:rsidRPr="001D2D05">
        <w:rPr>
          <w:rFonts w:ascii="Ariel" w:eastAsia="Times New Roman" w:hAnsi="Ariel" w:cs="Arial"/>
          <w:sz w:val="22"/>
          <w:szCs w:val="22"/>
        </w:rPr>
        <w:t>Bi</w:t>
      </w:r>
      <w:r w:rsidRPr="001D2D05">
        <w:rPr>
          <w:rFonts w:ascii="Ariel" w:eastAsia="Times New Roman" w:hAnsi="Ariel" w:cs="Arial"/>
          <w:sz w:val="22"/>
          <w:szCs w:val="22"/>
        </w:rPr>
        <w:t>……………………</w:t>
      </w:r>
    </w:p>
    <w:p w14:paraId="077DD72B" w14:textId="5EBBE1E0" w:rsidR="001F720E" w:rsidRPr="001D2D05" w:rsidRDefault="001F720E" w:rsidP="001D2D05">
      <w:pPr>
        <w:spacing w:line="360" w:lineRule="auto"/>
        <w:rPr>
          <w:rFonts w:ascii="Ariel" w:eastAsia="Times New Roman" w:hAnsi="Ariel" w:cs="Arial"/>
          <w:sz w:val="22"/>
          <w:szCs w:val="22"/>
        </w:rPr>
      </w:pPr>
      <w:r w:rsidRPr="001D2D05">
        <w:rPr>
          <w:rFonts w:ascii="Ariel" w:eastAsia="Times New Roman" w:hAnsi="Ariel" w:cs="Arial"/>
          <w:sz w:val="22"/>
          <w:szCs w:val="22"/>
        </w:rPr>
        <w:t>Date……………………</w:t>
      </w:r>
      <w:r w:rsidR="003F06EA" w:rsidRPr="001D2D05">
        <w:rPr>
          <w:rFonts w:ascii="Ariel" w:eastAsia="Times New Roman" w:hAnsi="Ariel" w:cs="Arial"/>
          <w:sz w:val="22"/>
          <w:szCs w:val="22"/>
        </w:rPr>
        <w:t>27/03/2026</w:t>
      </w:r>
      <w:r w:rsidRPr="001D2D05">
        <w:rPr>
          <w:rFonts w:ascii="Ariel" w:eastAsia="Times New Roman" w:hAnsi="Ariel" w:cs="Arial"/>
          <w:sz w:val="22"/>
          <w:szCs w:val="22"/>
        </w:rPr>
        <w:t>…………………………</w:t>
      </w:r>
    </w:p>
    <w:p w14:paraId="01B43084" w14:textId="77777777" w:rsidR="001F720E" w:rsidRPr="001D2D05" w:rsidRDefault="001F720E" w:rsidP="001D2D05">
      <w:pPr>
        <w:spacing w:line="360" w:lineRule="auto"/>
        <w:rPr>
          <w:rFonts w:ascii="Ariel" w:eastAsia="Times New Roman" w:hAnsi="Ariel" w:cs="Arial"/>
          <w:bCs/>
          <w:kern w:val="32"/>
          <w:sz w:val="22"/>
          <w:szCs w:val="22"/>
        </w:rPr>
      </w:pPr>
      <w:r w:rsidRPr="001D2D05">
        <w:rPr>
          <w:rFonts w:ascii="Ariel" w:eastAsia="Times New Roman" w:hAnsi="Ariel" w:cs="Arial"/>
          <w:b/>
          <w:sz w:val="22"/>
          <w:szCs w:val="22"/>
        </w:rPr>
        <w:t xml:space="preserve">STATEMENT 1 </w:t>
      </w:r>
    </w:p>
    <w:p w14:paraId="78B5EBA7" w14:textId="77777777" w:rsidR="001F720E" w:rsidRPr="001D2D05" w:rsidRDefault="001F720E" w:rsidP="001D2D05">
      <w:pPr>
        <w:spacing w:line="360" w:lineRule="auto"/>
        <w:rPr>
          <w:rFonts w:ascii="Ariel" w:eastAsia="Times New Roman" w:hAnsi="Ariel" w:cs="Arial"/>
          <w:sz w:val="22"/>
          <w:szCs w:val="22"/>
        </w:rPr>
      </w:pPr>
      <w:r w:rsidRPr="001D2D05">
        <w:rPr>
          <w:rFonts w:ascii="Ariel" w:eastAsia="Times New Roman" w:hAnsi="Ariel" w:cs="Arial"/>
          <w:sz w:val="22"/>
          <w:szCs w:val="22"/>
        </w:rPr>
        <w:t>This dissertation is being submitted in partial fulfilment of the requirements for the degree of BSc.</w:t>
      </w:r>
    </w:p>
    <w:p w14:paraId="761E4C3F" w14:textId="6762E7B2" w:rsidR="001F720E" w:rsidRPr="001D2D05" w:rsidRDefault="001F720E" w:rsidP="001D2D05">
      <w:pPr>
        <w:spacing w:line="360" w:lineRule="auto"/>
        <w:rPr>
          <w:rFonts w:ascii="Ariel" w:eastAsia="Times New Roman" w:hAnsi="Ariel" w:cs="Arial"/>
          <w:sz w:val="22"/>
          <w:szCs w:val="22"/>
        </w:rPr>
      </w:pPr>
      <w:r w:rsidRPr="001D2D05">
        <w:rPr>
          <w:rFonts w:ascii="Ariel" w:eastAsia="Times New Roman" w:hAnsi="Ariel" w:cs="Arial"/>
          <w:sz w:val="22"/>
          <w:szCs w:val="22"/>
        </w:rPr>
        <w:t>Signed…………………</w:t>
      </w:r>
      <w:r w:rsidR="003F06EA" w:rsidRPr="001D2D05">
        <w:rPr>
          <w:rFonts w:ascii="Ariel" w:eastAsia="Times New Roman" w:hAnsi="Ariel" w:cs="Arial"/>
          <w:sz w:val="22"/>
          <w:szCs w:val="22"/>
        </w:rPr>
        <w:t>Z.Bi</w:t>
      </w:r>
      <w:r w:rsidRPr="001D2D05">
        <w:rPr>
          <w:rFonts w:ascii="Ariel" w:eastAsia="Times New Roman" w:hAnsi="Ariel" w:cs="Arial"/>
          <w:sz w:val="22"/>
          <w:szCs w:val="22"/>
        </w:rPr>
        <w:t xml:space="preserve">…………………………. </w:t>
      </w:r>
    </w:p>
    <w:p w14:paraId="035FF0EC" w14:textId="5809918F" w:rsidR="001F720E" w:rsidRPr="001D2D05" w:rsidRDefault="001F720E" w:rsidP="001D2D05">
      <w:pPr>
        <w:spacing w:line="360" w:lineRule="auto"/>
        <w:rPr>
          <w:rFonts w:ascii="Ariel" w:eastAsia="Times New Roman" w:hAnsi="Ariel" w:cs="Arial"/>
          <w:sz w:val="22"/>
          <w:szCs w:val="22"/>
        </w:rPr>
      </w:pPr>
      <w:r w:rsidRPr="001D2D05">
        <w:rPr>
          <w:rFonts w:ascii="Ariel" w:eastAsia="Times New Roman" w:hAnsi="Ariel" w:cs="Arial"/>
          <w:sz w:val="22"/>
          <w:szCs w:val="22"/>
        </w:rPr>
        <w:t>Date………………</w:t>
      </w:r>
      <w:r w:rsidR="003F06EA" w:rsidRPr="001D2D05">
        <w:rPr>
          <w:rFonts w:ascii="Ariel" w:eastAsia="Times New Roman" w:hAnsi="Ariel" w:cs="Arial"/>
          <w:sz w:val="22"/>
          <w:szCs w:val="22"/>
        </w:rPr>
        <w:t>27/03/2026</w:t>
      </w:r>
      <w:r w:rsidRPr="001D2D05">
        <w:rPr>
          <w:rFonts w:ascii="Ariel" w:eastAsia="Times New Roman" w:hAnsi="Ariel" w:cs="Arial"/>
          <w:sz w:val="22"/>
          <w:szCs w:val="22"/>
        </w:rPr>
        <w:t>………………………………</w:t>
      </w:r>
    </w:p>
    <w:p w14:paraId="12AA2DBB" w14:textId="77777777" w:rsidR="001F720E" w:rsidRPr="001D2D05" w:rsidRDefault="001F720E" w:rsidP="001D2D05">
      <w:pPr>
        <w:spacing w:line="360" w:lineRule="auto"/>
        <w:rPr>
          <w:rFonts w:ascii="Ariel" w:eastAsia="Times New Roman" w:hAnsi="Ariel" w:cs="Arial"/>
          <w:sz w:val="22"/>
          <w:szCs w:val="22"/>
        </w:rPr>
      </w:pPr>
      <w:r w:rsidRPr="001D2D05">
        <w:rPr>
          <w:rFonts w:ascii="Ariel" w:eastAsia="Times New Roman" w:hAnsi="Ariel" w:cs="Arial"/>
          <w:b/>
          <w:sz w:val="22"/>
          <w:szCs w:val="22"/>
        </w:rPr>
        <w:t>STATEMENT 2</w:t>
      </w:r>
    </w:p>
    <w:p w14:paraId="25A927EA" w14:textId="4B3AA8C5" w:rsidR="001F720E" w:rsidRPr="001D2D05" w:rsidRDefault="001F720E" w:rsidP="001D2D05">
      <w:pPr>
        <w:spacing w:line="360" w:lineRule="auto"/>
        <w:rPr>
          <w:rFonts w:ascii="Ariel" w:eastAsia="Times New Roman" w:hAnsi="Ariel" w:cs="Arial"/>
          <w:sz w:val="22"/>
          <w:szCs w:val="22"/>
        </w:rPr>
      </w:pPr>
      <w:r w:rsidRPr="001D2D05">
        <w:rPr>
          <w:rFonts w:ascii="Ariel" w:eastAsia="Times New Roman" w:hAnsi="Ariel" w:cs="Arial"/>
          <w:sz w:val="22"/>
          <w:szCs w:val="22"/>
        </w:rPr>
        <w:t>This dissertation is the result of my own independent work/investigation, except where otherwise stated. Other sources are acknowledged by footnotes giving explicit references</w:t>
      </w:r>
      <w:r w:rsidR="00D111C9" w:rsidRPr="001D2D05">
        <w:rPr>
          <w:rFonts w:ascii="Ariel" w:eastAsia="Times New Roman" w:hAnsi="Ariel" w:cs="Arial"/>
          <w:sz w:val="22"/>
          <w:szCs w:val="22"/>
        </w:rPr>
        <w:t xml:space="preserve">. </w:t>
      </w:r>
      <w:r w:rsidRPr="001D2D05">
        <w:rPr>
          <w:rFonts w:ascii="Ariel" w:eastAsia="Times New Roman" w:hAnsi="Ariel" w:cs="Arial"/>
          <w:sz w:val="22"/>
          <w:szCs w:val="22"/>
        </w:rPr>
        <w:t>A bibliography is appended.</w:t>
      </w:r>
    </w:p>
    <w:p w14:paraId="656D12B3" w14:textId="56B84832" w:rsidR="001F720E" w:rsidRPr="001D2D05" w:rsidRDefault="001F720E" w:rsidP="001D2D05">
      <w:pPr>
        <w:spacing w:line="360" w:lineRule="auto"/>
        <w:rPr>
          <w:rFonts w:ascii="Ariel" w:eastAsia="Times New Roman" w:hAnsi="Ariel" w:cs="Arial"/>
          <w:sz w:val="22"/>
          <w:szCs w:val="22"/>
        </w:rPr>
      </w:pPr>
      <w:r w:rsidRPr="001D2D05">
        <w:rPr>
          <w:rFonts w:ascii="Ariel" w:eastAsia="Times New Roman" w:hAnsi="Ariel" w:cs="Arial"/>
          <w:sz w:val="22"/>
          <w:szCs w:val="22"/>
        </w:rPr>
        <w:t>Signed……………</w:t>
      </w:r>
      <w:r w:rsidR="003F06EA" w:rsidRPr="001D2D05">
        <w:rPr>
          <w:rFonts w:ascii="Ariel" w:eastAsia="Times New Roman" w:hAnsi="Ariel" w:cs="Arial"/>
          <w:sz w:val="22"/>
          <w:szCs w:val="22"/>
        </w:rPr>
        <w:t>Z.Bi</w:t>
      </w:r>
      <w:r w:rsidRPr="001D2D05">
        <w:rPr>
          <w:rFonts w:ascii="Ariel" w:eastAsia="Times New Roman" w:hAnsi="Ariel" w:cs="Arial"/>
          <w:sz w:val="22"/>
          <w:szCs w:val="22"/>
        </w:rPr>
        <w:t>………………………………</w:t>
      </w:r>
    </w:p>
    <w:p w14:paraId="24733CF0" w14:textId="6D424CCA" w:rsidR="001F720E" w:rsidRPr="001D2D05" w:rsidRDefault="001F720E" w:rsidP="001D2D05">
      <w:pPr>
        <w:spacing w:line="360" w:lineRule="auto"/>
        <w:rPr>
          <w:rFonts w:ascii="Ariel" w:eastAsia="Times New Roman" w:hAnsi="Ariel" w:cs="Arial"/>
          <w:sz w:val="22"/>
          <w:szCs w:val="22"/>
        </w:rPr>
      </w:pPr>
      <w:r w:rsidRPr="001D2D05">
        <w:rPr>
          <w:rFonts w:ascii="Ariel" w:eastAsia="Times New Roman" w:hAnsi="Ariel" w:cs="Arial"/>
          <w:sz w:val="22"/>
          <w:szCs w:val="22"/>
        </w:rPr>
        <w:t>Date……………</w:t>
      </w:r>
      <w:r w:rsidR="003F06EA" w:rsidRPr="001D2D05">
        <w:rPr>
          <w:rFonts w:ascii="Ariel" w:eastAsia="Times New Roman" w:hAnsi="Ariel" w:cs="Arial"/>
          <w:sz w:val="22"/>
          <w:szCs w:val="22"/>
        </w:rPr>
        <w:t>27/03/2026</w:t>
      </w:r>
      <w:r w:rsidRPr="001D2D05">
        <w:rPr>
          <w:rFonts w:ascii="Ariel" w:eastAsia="Times New Roman" w:hAnsi="Ariel" w:cs="Arial"/>
          <w:sz w:val="22"/>
          <w:szCs w:val="22"/>
        </w:rPr>
        <w:t xml:space="preserve">………………………………… </w:t>
      </w:r>
    </w:p>
    <w:p w14:paraId="73F589D8" w14:textId="77777777" w:rsidR="001F720E" w:rsidRPr="001D2D05" w:rsidRDefault="001F720E" w:rsidP="001D2D05">
      <w:pPr>
        <w:spacing w:line="360" w:lineRule="auto"/>
        <w:rPr>
          <w:rFonts w:ascii="Ariel" w:eastAsia="Times New Roman" w:hAnsi="Ariel" w:cs="Arial"/>
          <w:sz w:val="22"/>
          <w:szCs w:val="22"/>
        </w:rPr>
      </w:pPr>
      <w:r w:rsidRPr="001D2D05">
        <w:rPr>
          <w:rFonts w:ascii="Ariel" w:eastAsia="Times New Roman" w:hAnsi="Ariel" w:cs="Arial"/>
          <w:b/>
          <w:sz w:val="22"/>
          <w:szCs w:val="22"/>
        </w:rPr>
        <w:t>STATEMENT 3</w:t>
      </w:r>
    </w:p>
    <w:p w14:paraId="2DB60853" w14:textId="77777777" w:rsidR="001F720E" w:rsidRPr="001D2D05" w:rsidRDefault="001F720E" w:rsidP="001D2D05">
      <w:pPr>
        <w:spacing w:line="360" w:lineRule="auto"/>
        <w:rPr>
          <w:rFonts w:ascii="Ariel" w:eastAsia="Times New Roman" w:hAnsi="Ariel" w:cs="Arial"/>
          <w:sz w:val="22"/>
          <w:szCs w:val="22"/>
        </w:rPr>
      </w:pPr>
      <w:r w:rsidRPr="001D2D05">
        <w:rPr>
          <w:rFonts w:ascii="Ariel" w:eastAsia="Times New Roman" w:hAnsi="Ariel" w:cs="Arial"/>
          <w:sz w:val="22"/>
          <w:szCs w:val="22"/>
        </w:rPr>
        <w:t>I hereby give consent for my dissertation, if accepted, to be available for photocopying and for interlibrary loan, and for the title and summary to be made available to outside organisations.</w:t>
      </w:r>
    </w:p>
    <w:p w14:paraId="3B6A1E83" w14:textId="16DCBCE5" w:rsidR="001F720E" w:rsidRPr="001D2D05" w:rsidRDefault="001F720E" w:rsidP="001D2D05">
      <w:pPr>
        <w:spacing w:line="360" w:lineRule="auto"/>
        <w:rPr>
          <w:rFonts w:ascii="Ariel" w:eastAsia="Times New Roman" w:hAnsi="Ariel" w:cs="Arial"/>
          <w:sz w:val="22"/>
          <w:szCs w:val="22"/>
        </w:rPr>
      </w:pPr>
      <w:r w:rsidRPr="001D2D05">
        <w:rPr>
          <w:rFonts w:ascii="Ariel" w:eastAsia="Times New Roman" w:hAnsi="Ariel" w:cs="Arial"/>
          <w:sz w:val="22"/>
          <w:szCs w:val="22"/>
        </w:rPr>
        <w:t>Signed……………</w:t>
      </w:r>
      <w:r w:rsidR="005F72A3" w:rsidRPr="001D2D05">
        <w:rPr>
          <w:rFonts w:ascii="Ariel" w:eastAsia="Times New Roman" w:hAnsi="Ariel" w:cs="Arial"/>
          <w:sz w:val="22"/>
          <w:szCs w:val="22"/>
        </w:rPr>
        <w:t>Z.Bi</w:t>
      </w:r>
      <w:r w:rsidRPr="001D2D05">
        <w:rPr>
          <w:rFonts w:ascii="Ariel" w:eastAsia="Times New Roman" w:hAnsi="Ariel" w:cs="Arial"/>
          <w:sz w:val="22"/>
          <w:szCs w:val="22"/>
        </w:rPr>
        <w:t>…………………………………</w:t>
      </w:r>
    </w:p>
    <w:p w14:paraId="71215091" w14:textId="4CD1C9B2" w:rsidR="001F720E" w:rsidRPr="001D2D05" w:rsidRDefault="001F720E" w:rsidP="001D2D0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rPr>
          <w:rFonts w:ascii="Ariel" w:eastAsia="Times New Roman" w:hAnsi="Ariel" w:cs="Arial"/>
          <w:sz w:val="22"/>
          <w:szCs w:val="22"/>
        </w:rPr>
      </w:pPr>
      <w:r w:rsidRPr="001D2D05">
        <w:rPr>
          <w:rFonts w:ascii="Ariel" w:eastAsia="Times New Roman" w:hAnsi="Ariel" w:cs="Arial"/>
          <w:sz w:val="22"/>
          <w:szCs w:val="22"/>
        </w:rPr>
        <w:t>Date……………</w:t>
      </w:r>
      <w:r w:rsidR="005F72A3" w:rsidRPr="001D2D05">
        <w:rPr>
          <w:rFonts w:ascii="Ariel" w:eastAsia="Times New Roman" w:hAnsi="Ariel" w:cs="Arial"/>
          <w:sz w:val="22"/>
          <w:szCs w:val="22"/>
        </w:rPr>
        <w:t>27/03/2026</w:t>
      </w:r>
      <w:r w:rsidRPr="001D2D05">
        <w:rPr>
          <w:rFonts w:ascii="Ariel" w:eastAsia="Times New Roman" w:hAnsi="Ariel" w:cs="Arial"/>
          <w:sz w:val="22"/>
          <w:szCs w:val="22"/>
        </w:rPr>
        <w:t>……………………………………</w:t>
      </w:r>
    </w:p>
    <w:p w14:paraId="261CC7BC" w14:textId="77777777" w:rsidR="001F720E" w:rsidRPr="001D2D05" w:rsidRDefault="001F720E" w:rsidP="001D2D05">
      <w:pPr>
        <w:spacing w:line="360" w:lineRule="auto"/>
        <w:rPr>
          <w:rFonts w:ascii="Ariel" w:eastAsia="Times New Roman" w:hAnsi="Ariel" w:cs="Arial"/>
          <w:b/>
          <w:sz w:val="22"/>
          <w:szCs w:val="22"/>
        </w:rPr>
      </w:pPr>
      <w:r w:rsidRPr="001D2D05">
        <w:rPr>
          <w:rFonts w:ascii="Ariel" w:eastAsia="Times New Roman" w:hAnsi="Ariel" w:cs="Arial"/>
          <w:b/>
          <w:sz w:val="22"/>
          <w:szCs w:val="22"/>
        </w:rPr>
        <w:t>STATEMENT 4</w:t>
      </w:r>
    </w:p>
    <w:p w14:paraId="392730EB" w14:textId="03FF410F" w:rsidR="001F720E" w:rsidRPr="001D2D05" w:rsidRDefault="001F720E" w:rsidP="001D2D05">
      <w:pPr>
        <w:spacing w:line="360" w:lineRule="auto"/>
        <w:rPr>
          <w:rFonts w:ascii="Ariel" w:eastAsia="Times New Roman" w:hAnsi="Ariel" w:cs="Arial"/>
          <w:sz w:val="22"/>
          <w:szCs w:val="22"/>
        </w:rPr>
      </w:pPr>
      <w:r w:rsidRPr="001D2D05">
        <w:rPr>
          <w:rFonts w:ascii="Ariel" w:eastAsia="Times New Roman" w:hAnsi="Ariel" w:cs="Arial"/>
          <w:sz w:val="22"/>
          <w:szCs w:val="22"/>
        </w:rPr>
        <w:t xml:space="preserve">I hereby give consent for my dissertation, if accepted, to be available on the university’s IT system to those </w:t>
      </w:r>
      <w:r w:rsidR="002B1D3E" w:rsidRPr="001D2D05">
        <w:rPr>
          <w:rFonts w:ascii="Ariel" w:eastAsia="Times New Roman" w:hAnsi="Ariel" w:cs="Arial"/>
          <w:sz w:val="22"/>
          <w:szCs w:val="22"/>
        </w:rPr>
        <w:t xml:space="preserve">World </w:t>
      </w:r>
      <w:r w:rsidR="00393E12" w:rsidRPr="001D2D05">
        <w:rPr>
          <w:rFonts w:ascii="Ariel" w:eastAsia="Times New Roman" w:hAnsi="Ariel" w:cs="Arial"/>
          <w:sz w:val="22"/>
          <w:szCs w:val="22"/>
        </w:rPr>
        <w:t>Health</w:t>
      </w:r>
      <w:r w:rsidR="002B1D3E" w:rsidRPr="001D2D05">
        <w:rPr>
          <w:rFonts w:ascii="Ariel" w:eastAsia="Times New Roman" w:hAnsi="Ariel" w:cs="Arial"/>
          <w:sz w:val="22"/>
          <w:szCs w:val="22"/>
        </w:rPr>
        <w:t xml:space="preserve"> </w:t>
      </w:r>
      <w:r w:rsidR="00393E12" w:rsidRPr="001D2D05">
        <w:rPr>
          <w:rFonts w:ascii="Ariel" w:eastAsia="Times New Roman" w:hAnsi="Ariel" w:cs="Arial"/>
          <w:sz w:val="22"/>
          <w:szCs w:val="22"/>
        </w:rPr>
        <w:t>organisation</w:t>
      </w:r>
      <w:r w:rsidRPr="001D2D05">
        <w:rPr>
          <w:rFonts w:ascii="Ariel" w:eastAsia="Times New Roman" w:hAnsi="Ariel" w:cs="Arial"/>
          <w:sz w:val="22"/>
          <w:szCs w:val="22"/>
        </w:rPr>
        <w:t xml:space="preserve"> have consent to use the system.</w:t>
      </w:r>
    </w:p>
    <w:p w14:paraId="2F8C7500" w14:textId="4D88E81E" w:rsidR="001F720E" w:rsidRPr="001D2D05" w:rsidRDefault="001F720E" w:rsidP="001D2D05">
      <w:pPr>
        <w:spacing w:line="360" w:lineRule="auto"/>
        <w:rPr>
          <w:rFonts w:ascii="Ariel" w:eastAsia="Times New Roman" w:hAnsi="Ariel" w:cs="Arial"/>
          <w:sz w:val="22"/>
          <w:szCs w:val="22"/>
        </w:rPr>
      </w:pPr>
      <w:r w:rsidRPr="001D2D05">
        <w:rPr>
          <w:rFonts w:ascii="Ariel" w:eastAsia="Times New Roman" w:hAnsi="Ariel" w:cs="Arial"/>
          <w:sz w:val="22"/>
          <w:szCs w:val="22"/>
        </w:rPr>
        <w:t>Signed…………</w:t>
      </w:r>
      <w:r w:rsidR="005F72A3" w:rsidRPr="001D2D05">
        <w:rPr>
          <w:rFonts w:ascii="Ariel" w:eastAsia="Times New Roman" w:hAnsi="Ariel" w:cs="Arial"/>
          <w:sz w:val="22"/>
          <w:szCs w:val="22"/>
        </w:rPr>
        <w:t>Z.Bi</w:t>
      </w:r>
      <w:r w:rsidRPr="001D2D05">
        <w:rPr>
          <w:rFonts w:ascii="Ariel" w:eastAsia="Times New Roman" w:hAnsi="Ariel" w:cs="Arial"/>
          <w:sz w:val="22"/>
          <w:szCs w:val="22"/>
        </w:rPr>
        <w:t>……………………………………</w:t>
      </w:r>
    </w:p>
    <w:p w14:paraId="3A713B5F" w14:textId="71067138" w:rsidR="001F720E" w:rsidRPr="001D2D05" w:rsidRDefault="001F720E" w:rsidP="001D2D05">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rPr>
          <w:rFonts w:ascii="Ariel" w:eastAsia="Times New Roman" w:hAnsi="Ariel" w:cs="Arial"/>
          <w:sz w:val="22"/>
          <w:szCs w:val="22"/>
        </w:rPr>
      </w:pPr>
      <w:r w:rsidRPr="001D2D05">
        <w:rPr>
          <w:rFonts w:ascii="Ariel" w:eastAsia="Times New Roman" w:hAnsi="Ariel" w:cs="Arial"/>
          <w:sz w:val="22"/>
          <w:szCs w:val="22"/>
        </w:rPr>
        <w:t>Date………</w:t>
      </w:r>
      <w:r w:rsidR="005F72A3" w:rsidRPr="001D2D05">
        <w:rPr>
          <w:rFonts w:ascii="Ariel" w:eastAsia="Times New Roman" w:hAnsi="Ariel" w:cs="Arial"/>
          <w:sz w:val="22"/>
          <w:szCs w:val="22"/>
        </w:rPr>
        <w:t>27/03/2026</w:t>
      </w:r>
      <w:r w:rsidRPr="001D2D05">
        <w:rPr>
          <w:rFonts w:ascii="Ariel" w:eastAsia="Times New Roman" w:hAnsi="Ariel" w:cs="Arial"/>
          <w:sz w:val="22"/>
          <w:szCs w:val="22"/>
        </w:rPr>
        <w:t>…………………………………………</w:t>
      </w:r>
    </w:p>
    <w:p w14:paraId="47FD3A62" w14:textId="77777777" w:rsidR="001D2D05" w:rsidRDefault="001D2D05" w:rsidP="001D2D05">
      <w:pPr>
        <w:spacing w:line="360" w:lineRule="auto"/>
        <w:rPr>
          <w:rFonts w:ascii="Ariel" w:hAnsi="Ariel"/>
          <w:sz w:val="22"/>
          <w:szCs w:val="22"/>
        </w:rPr>
      </w:pPr>
    </w:p>
    <w:p w14:paraId="4FCFE301" w14:textId="5C7D24E5" w:rsidR="00D57B9D" w:rsidRPr="00D50C5D" w:rsidRDefault="00D57B9D" w:rsidP="001D2D05">
      <w:pPr>
        <w:spacing w:line="360" w:lineRule="auto"/>
        <w:rPr>
          <w:rFonts w:ascii="Ariel" w:hAnsi="Ariel"/>
          <w:b/>
          <w:bCs/>
          <w:sz w:val="28"/>
          <w:szCs w:val="28"/>
          <w:u w:val="single"/>
        </w:rPr>
      </w:pPr>
      <w:r w:rsidRPr="00D50C5D">
        <w:rPr>
          <w:rFonts w:ascii="Ariel" w:hAnsi="Ariel"/>
          <w:b/>
          <w:bCs/>
          <w:sz w:val="28"/>
          <w:szCs w:val="28"/>
          <w:u w:val="single"/>
        </w:rPr>
        <w:lastRenderedPageBreak/>
        <w:t>ACKNOWLEDGEMENTS</w:t>
      </w:r>
    </w:p>
    <w:p w14:paraId="6473E8E0" w14:textId="7C1CACD1" w:rsidR="00F31EDA" w:rsidRPr="001D2D05" w:rsidRDefault="00F31EDA" w:rsidP="001D2D05">
      <w:pPr>
        <w:spacing w:line="360" w:lineRule="auto"/>
        <w:rPr>
          <w:rFonts w:ascii="Ariel" w:hAnsi="Ariel"/>
          <w:sz w:val="22"/>
          <w:szCs w:val="22"/>
        </w:rPr>
      </w:pPr>
      <w:r w:rsidRPr="001D2D05">
        <w:rPr>
          <w:rFonts w:ascii="Ariel" w:hAnsi="Ariel"/>
          <w:sz w:val="22"/>
          <w:szCs w:val="22"/>
        </w:rPr>
        <w:t xml:space="preserve">I want to </w:t>
      </w:r>
      <w:r w:rsidR="009B3BA1" w:rsidRPr="001D2D05">
        <w:rPr>
          <w:rFonts w:ascii="Ariel" w:hAnsi="Ariel"/>
          <w:sz w:val="22"/>
          <w:szCs w:val="22"/>
        </w:rPr>
        <w:t>thank</w:t>
      </w:r>
      <w:r w:rsidRPr="001D2D05">
        <w:rPr>
          <w:rFonts w:ascii="Ariel" w:hAnsi="Ariel"/>
          <w:sz w:val="22"/>
          <w:szCs w:val="22"/>
        </w:rPr>
        <w:t xml:space="preserve"> my tutors for all their help, encouragement, and support during the research and writing of this dissertation. Their knowledge and kind criticism have been helpful in helping me improve my concepts and have a deeper comprehension of the topic. I am particularly appreciative of their tolerance, readiness to respond to inquiries, and insightful counsel throughout the entire endeavour. Their support motivated me to pursue excellence while also assisting me in overcoming obstacles. I </w:t>
      </w:r>
      <w:r w:rsidR="009B3BA1" w:rsidRPr="001D2D05">
        <w:rPr>
          <w:rFonts w:ascii="Ariel" w:hAnsi="Ariel"/>
          <w:sz w:val="22"/>
          <w:szCs w:val="22"/>
        </w:rPr>
        <w:t>appreciate</w:t>
      </w:r>
      <w:r w:rsidRPr="001D2D05">
        <w:rPr>
          <w:rFonts w:ascii="Ariel" w:hAnsi="Ariel"/>
          <w:sz w:val="22"/>
          <w:szCs w:val="22"/>
        </w:rPr>
        <w:t xml:space="preserve"> all their work and effort in helping me finish this dissertation.</w:t>
      </w:r>
    </w:p>
    <w:p w14:paraId="7E791063" w14:textId="77777777" w:rsidR="00D57B9D" w:rsidRPr="001D2D05" w:rsidRDefault="00D57B9D" w:rsidP="001D2D05">
      <w:pPr>
        <w:spacing w:line="360" w:lineRule="auto"/>
        <w:rPr>
          <w:rFonts w:ascii="Ariel" w:hAnsi="Ariel"/>
          <w:sz w:val="22"/>
          <w:szCs w:val="22"/>
        </w:rPr>
      </w:pPr>
    </w:p>
    <w:p w14:paraId="34B4A73A" w14:textId="77777777" w:rsidR="00D57B9D" w:rsidRPr="001D2D05" w:rsidRDefault="00D57B9D" w:rsidP="001D2D05">
      <w:pPr>
        <w:spacing w:line="360" w:lineRule="auto"/>
        <w:rPr>
          <w:rFonts w:ascii="Ariel" w:hAnsi="Ariel"/>
          <w:sz w:val="22"/>
          <w:szCs w:val="22"/>
        </w:rPr>
      </w:pPr>
    </w:p>
    <w:p w14:paraId="7DDAA63D" w14:textId="77777777" w:rsidR="00D57B9D" w:rsidRPr="001D2D05" w:rsidRDefault="00D57B9D" w:rsidP="001D2D05">
      <w:pPr>
        <w:spacing w:line="360" w:lineRule="auto"/>
        <w:rPr>
          <w:rFonts w:ascii="Ariel" w:hAnsi="Ariel"/>
          <w:sz w:val="22"/>
          <w:szCs w:val="22"/>
        </w:rPr>
      </w:pPr>
    </w:p>
    <w:p w14:paraId="4F45B329" w14:textId="77777777" w:rsidR="00D57B9D" w:rsidRPr="001D2D05" w:rsidRDefault="00D57B9D" w:rsidP="001D2D05">
      <w:pPr>
        <w:spacing w:line="360" w:lineRule="auto"/>
        <w:rPr>
          <w:rFonts w:ascii="Ariel" w:hAnsi="Ariel"/>
          <w:sz w:val="22"/>
          <w:szCs w:val="22"/>
        </w:rPr>
      </w:pPr>
    </w:p>
    <w:p w14:paraId="0272F12C" w14:textId="77777777" w:rsidR="00D57B9D" w:rsidRPr="001D2D05" w:rsidRDefault="00D57B9D" w:rsidP="001D2D05">
      <w:pPr>
        <w:spacing w:line="360" w:lineRule="auto"/>
        <w:rPr>
          <w:rFonts w:ascii="Ariel" w:hAnsi="Ariel"/>
          <w:sz w:val="22"/>
          <w:szCs w:val="22"/>
        </w:rPr>
      </w:pPr>
    </w:p>
    <w:p w14:paraId="645DE4D3" w14:textId="77777777" w:rsidR="00D57B9D" w:rsidRPr="001D2D05" w:rsidRDefault="00D57B9D" w:rsidP="001D2D05">
      <w:pPr>
        <w:spacing w:line="360" w:lineRule="auto"/>
        <w:rPr>
          <w:rFonts w:ascii="Ariel" w:hAnsi="Ariel"/>
          <w:sz w:val="22"/>
          <w:szCs w:val="22"/>
        </w:rPr>
      </w:pPr>
    </w:p>
    <w:p w14:paraId="53B25AF0" w14:textId="77777777" w:rsidR="00D57B9D" w:rsidRPr="001D2D05" w:rsidRDefault="00D57B9D" w:rsidP="001D2D05">
      <w:pPr>
        <w:spacing w:line="360" w:lineRule="auto"/>
        <w:rPr>
          <w:rFonts w:ascii="Ariel" w:hAnsi="Ariel"/>
          <w:sz w:val="22"/>
          <w:szCs w:val="22"/>
        </w:rPr>
      </w:pPr>
    </w:p>
    <w:p w14:paraId="467267D9" w14:textId="77777777" w:rsidR="00D57B9D" w:rsidRPr="001D2D05" w:rsidRDefault="00D57B9D" w:rsidP="001D2D05">
      <w:pPr>
        <w:spacing w:line="360" w:lineRule="auto"/>
        <w:rPr>
          <w:rFonts w:ascii="Ariel" w:hAnsi="Ariel"/>
          <w:sz w:val="22"/>
          <w:szCs w:val="22"/>
        </w:rPr>
      </w:pPr>
    </w:p>
    <w:p w14:paraId="565992CF" w14:textId="77777777" w:rsidR="00D57B9D" w:rsidRPr="001D2D05" w:rsidRDefault="00D57B9D" w:rsidP="001D2D05">
      <w:pPr>
        <w:spacing w:line="360" w:lineRule="auto"/>
        <w:rPr>
          <w:rFonts w:ascii="Ariel" w:hAnsi="Ariel"/>
          <w:sz w:val="22"/>
          <w:szCs w:val="22"/>
        </w:rPr>
      </w:pPr>
    </w:p>
    <w:p w14:paraId="5A7A9C2E" w14:textId="77777777" w:rsidR="00D57B9D" w:rsidRPr="001D2D05" w:rsidRDefault="00D57B9D" w:rsidP="001D2D05">
      <w:pPr>
        <w:spacing w:line="360" w:lineRule="auto"/>
        <w:rPr>
          <w:rFonts w:ascii="Ariel" w:hAnsi="Ariel"/>
          <w:sz w:val="22"/>
          <w:szCs w:val="22"/>
        </w:rPr>
      </w:pPr>
    </w:p>
    <w:p w14:paraId="549BE1C1" w14:textId="77777777" w:rsidR="00D57B9D" w:rsidRPr="001D2D05" w:rsidRDefault="00D57B9D" w:rsidP="001D2D05">
      <w:pPr>
        <w:spacing w:line="360" w:lineRule="auto"/>
        <w:rPr>
          <w:rFonts w:ascii="Ariel" w:hAnsi="Ariel"/>
          <w:sz w:val="22"/>
          <w:szCs w:val="22"/>
        </w:rPr>
      </w:pPr>
    </w:p>
    <w:p w14:paraId="0FA0D65E" w14:textId="77777777" w:rsidR="00D57B9D" w:rsidRPr="001D2D05" w:rsidRDefault="00D57B9D" w:rsidP="001D2D05">
      <w:pPr>
        <w:spacing w:line="360" w:lineRule="auto"/>
        <w:rPr>
          <w:rFonts w:ascii="Ariel" w:hAnsi="Ariel"/>
          <w:sz w:val="22"/>
          <w:szCs w:val="22"/>
        </w:rPr>
      </w:pPr>
    </w:p>
    <w:p w14:paraId="1B40D3B2" w14:textId="77777777" w:rsidR="00D57B9D" w:rsidRPr="001D2D05" w:rsidRDefault="00D57B9D" w:rsidP="001D2D05">
      <w:pPr>
        <w:spacing w:line="360" w:lineRule="auto"/>
        <w:rPr>
          <w:rFonts w:ascii="Ariel" w:hAnsi="Ariel"/>
          <w:sz w:val="22"/>
          <w:szCs w:val="22"/>
        </w:rPr>
      </w:pPr>
    </w:p>
    <w:p w14:paraId="01A86698" w14:textId="77777777" w:rsidR="00D57B9D" w:rsidRPr="001D2D05" w:rsidRDefault="00D57B9D" w:rsidP="001D2D05">
      <w:pPr>
        <w:spacing w:line="360" w:lineRule="auto"/>
        <w:rPr>
          <w:rFonts w:ascii="Ariel" w:hAnsi="Ariel"/>
          <w:sz w:val="22"/>
          <w:szCs w:val="22"/>
        </w:rPr>
      </w:pPr>
    </w:p>
    <w:p w14:paraId="782549E2" w14:textId="77777777" w:rsidR="00D57B9D" w:rsidRPr="001D2D05" w:rsidRDefault="00D57B9D" w:rsidP="001D2D05">
      <w:pPr>
        <w:spacing w:line="360" w:lineRule="auto"/>
        <w:rPr>
          <w:rFonts w:ascii="Ariel" w:hAnsi="Ariel"/>
          <w:sz w:val="22"/>
          <w:szCs w:val="22"/>
        </w:rPr>
      </w:pPr>
    </w:p>
    <w:p w14:paraId="41431FF2" w14:textId="77777777" w:rsidR="00D57B9D" w:rsidRPr="001D2D05" w:rsidRDefault="00D57B9D" w:rsidP="001D2D05">
      <w:pPr>
        <w:spacing w:line="360" w:lineRule="auto"/>
        <w:rPr>
          <w:rFonts w:ascii="Ariel" w:hAnsi="Ariel"/>
          <w:sz w:val="22"/>
          <w:szCs w:val="22"/>
        </w:rPr>
      </w:pPr>
    </w:p>
    <w:p w14:paraId="342A6F2C" w14:textId="77777777" w:rsidR="00D57B9D" w:rsidRPr="001D2D05" w:rsidRDefault="00D57B9D" w:rsidP="001D2D05">
      <w:pPr>
        <w:spacing w:line="360" w:lineRule="auto"/>
        <w:rPr>
          <w:rFonts w:ascii="Ariel" w:hAnsi="Ariel"/>
          <w:sz w:val="22"/>
          <w:szCs w:val="22"/>
        </w:rPr>
      </w:pPr>
    </w:p>
    <w:p w14:paraId="6D694E48" w14:textId="77777777" w:rsidR="00D57B9D" w:rsidRPr="001D2D05" w:rsidRDefault="00D57B9D" w:rsidP="001D2D05">
      <w:pPr>
        <w:spacing w:line="360" w:lineRule="auto"/>
        <w:rPr>
          <w:rFonts w:ascii="Ariel" w:hAnsi="Ariel"/>
          <w:sz w:val="22"/>
          <w:szCs w:val="22"/>
        </w:rPr>
      </w:pPr>
    </w:p>
    <w:p w14:paraId="74AC95E2" w14:textId="77777777" w:rsidR="006343FD" w:rsidRPr="001D2D05" w:rsidRDefault="006343FD" w:rsidP="001D2D05">
      <w:pPr>
        <w:spacing w:line="360" w:lineRule="auto"/>
        <w:rPr>
          <w:rFonts w:ascii="Ariel" w:hAnsi="Ariel"/>
          <w:sz w:val="22"/>
          <w:szCs w:val="22"/>
        </w:rPr>
      </w:pPr>
    </w:p>
    <w:p w14:paraId="0701B08C" w14:textId="13D56F9C" w:rsidR="001214CD" w:rsidRPr="00D50C5D" w:rsidRDefault="0062104A" w:rsidP="001D2D05">
      <w:pPr>
        <w:spacing w:line="360" w:lineRule="auto"/>
        <w:rPr>
          <w:rFonts w:ascii="Ariel" w:hAnsi="Ariel"/>
          <w:b/>
          <w:bCs/>
          <w:sz w:val="40"/>
          <w:szCs w:val="40"/>
          <w:u w:val="single"/>
        </w:rPr>
      </w:pPr>
      <w:r w:rsidRPr="0062104A">
        <w:rPr>
          <w:rFonts w:ascii="Ariel" w:hAnsi="Ariel"/>
          <w:b/>
          <w:bCs/>
          <w:sz w:val="40"/>
          <w:szCs w:val="40"/>
        </w:rPr>
        <w:lastRenderedPageBreak/>
        <w:t xml:space="preserve">                             </w:t>
      </w:r>
      <w:r w:rsidR="001214CD" w:rsidRPr="00D50C5D">
        <w:rPr>
          <w:rFonts w:ascii="Ariel" w:hAnsi="Ariel"/>
          <w:b/>
          <w:bCs/>
          <w:sz w:val="40"/>
          <w:szCs w:val="40"/>
          <w:u w:val="single"/>
        </w:rPr>
        <w:t>Context page</w:t>
      </w:r>
    </w:p>
    <w:p w14:paraId="4D21DE11" w14:textId="77777777" w:rsidR="0077786D" w:rsidRDefault="0077786D" w:rsidP="0077786D">
      <w:pPr>
        <w:pStyle w:val="TOC2"/>
        <w:ind w:left="0"/>
        <w:rPr>
          <w:rFonts w:eastAsiaTheme="minorEastAsia"/>
          <w:lang w:eastAsia="en-GB"/>
        </w:rPr>
      </w:pPr>
      <w:r>
        <w:rPr>
          <w:noProof w:val="0"/>
        </w:rPr>
        <w:fldChar w:fldCharType="begin"/>
      </w:r>
      <w:r>
        <w:instrText xml:space="preserve"> TOC \o "1-3" \h \z \u </w:instrText>
      </w:r>
      <w:r>
        <w:rPr>
          <w:noProof w:val="0"/>
        </w:rPr>
        <w:fldChar w:fldCharType="separate"/>
      </w:r>
      <w:hyperlink w:anchor="_Toc225966590" w:history="1">
        <w:r w:rsidRPr="00804891">
          <w:rPr>
            <w:rStyle w:val="Hyperlink"/>
            <w:b/>
            <w:bCs/>
          </w:rPr>
          <w:t>Abstract</w:t>
        </w:r>
        <w:r>
          <w:rPr>
            <w:webHidden/>
          </w:rPr>
          <w:tab/>
        </w:r>
        <w:r>
          <w:rPr>
            <w:webHidden/>
          </w:rPr>
          <w:fldChar w:fldCharType="begin"/>
        </w:r>
        <w:r>
          <w:rPr>
            <w:webHidden/>
          </w:rPr>
          <w:instrText xml:space="preserve"> PAGEREF _Toc225966590 \h </w:instrText>
        </w:r>
        <w:r>
          <w:rPr>
            <w:webHidden/>
          </w:rPr>
        </w:r>
        <w:r>
          <w:rPr>
            <w:webHidden/>
          </w:rPr>
          <w:fldChar w:fldCharType="separate"/>
        </w:r>
        <w:r>
          <w:rPr>
            <w:webHidden/>
          </w:rPr>
          <w:t>7</w:t>
        </w:r>
        <w:r>
          <w:rPr>
            <w:webHidden/>
          </w:rPr>
          <w:fldChar w:fldCharType="end"/>
        </w:r>
      </w:hyperlink>
    </w:p>
    <w:p w14:paraId="27510293" w14:textId="77777777" w:rsidR="0077786D" w:rsidRPr="00C87B84" w:rsidRDefault="0077786D" w:rsidP="0077786D">
      <w:pPr>
        <w:pStyle w:val="TOC2"/>
        <w:rPr>
          <w:rFonts w:eastAsiaTheme="minorEastAsia"/>
          <w:lang w:eastAsia="en-GB"/>
        </w:rPr>
      </w:pPr>
      <w:hyperlink w:anchor="_Toc225966591" w:history="1">
        <w:r w:rsidRPr="00C87B84">
          <w:rPr>
            <w:rStyle w:val="Hyperlink"/>
            <w:b/>
            <w:bCs/>
          </w:rPr>
          <w:t xml:space="preserve">Chapter </w:t>
        </w:r>
        <w:r>
          <w:rPr>
            <w:rStyle w:val="Hyperlink"/>
            <w:b/>
            <w:bCs/>
          </w:rPr>
          <w:t xml:space="preserve">1- </w:t>
        </w:r>
        <w:r w:rsidRPr="0034467F">
          <w:rPr>
            <w:rStyle w:val="Hyperlink"/>
            <w:b/>
            <w:bCs/>
          </w:rPr>
          <w:t>Introduction</w:t>
        </w:r>
        <w:r w:rsidRPr="0034467F">
          <w:rPr>
            <w:rStyle w:val="Hyperlink"/>
            <w:b/>
            <w:bCs/>
          </w:rPr>
          <w:tab/>
        </w:r>
      </w:hyperlink>
      <w:r>
        <w:t>8</w:t>
      </w:r>
    </w:p>
    <w:p w14:paraId="69DC976B" w14:textId="77777777" w:rsidR="0077786D" w:rsidRDefault="0077786D" w:rsidP="0077786D">
      <w:pPr>
        <w:pStyle w:val="TOC1"/>
        <w:rPr>
          <w:rFonts w:eastAsiaTheme="minorEastAsia"/>
          <w:lang w:eastAsia="en-GB"/>
        </w:rPr>
      </w:pPr>
      <w:hyperlink w:anchor="_Toc225966593" w:history="1">
        <w:r w:rsidRPr="00804891">
          <w:rPr>
            <w:rStyle w:val="Hyperlink"/>
          </w:rPr>
          <w:t>Definitions and Terminology</w:t>
        </w:r>
        <w:r>
          <w:rPr>
            <w:webHidden/>
          </w:rPr>
          <w:tab/>
          <w:t>8,</w:t>
        </w:r>
        <w:r>
          <w:rPr>
            <w:webHidden/>
          </w:rPr>
          <w:fldChar w:fldCharType="begin"/>
        </w:r>
        <w:r>
          <w:rPr>
            <w:webHidden/>
          </w:rPr>
          <w:instrText xml:space="preserve"> PAGEREF _Toc225966593 \h </w:instrText>
        </w:r>
        <w:r>
          <w:rPr>
            <w:webHidden/>
          </w:rPr>
        </w:r>
        <w:r>
          <w:rPr>
            <w:webHidden/>
          </w:rPr>
          <w:fldChar w:fldCharType="separate"/>
        </w:r>
        <w:r>
          <w:rPr>
            <w:webHidden/>
          </w:rPr>
          <w:t>9</w:t>
        </w:r>
        <w:r>
          <w:rPr>
            <w:webHidden/>
          </w:rPr>
          <w:fldChar w:fldCharType="end"/>
        </w:r>
      </w:hyperlink>
    </w:p>
    <w:p w14:paraId="4EA9D1CA" w14:textId="77777777" w:rsidR="0077786D" w:rsidRDefault="0077786D" w:rsidP="0077786D">
      <w:pPr>
        <w:pStyle w:val="TOC1"/>
        <w:rPr>
          <w:rFonts w:eastAsiaTheme="minorEastAsia"/>
          <w:lang w:eastAsia="en-GB"/>
        </w:rPr>
      </w:pPr>
      <w:hyperlink w:anchor="_Toc225966594" w:history="1">
        <w:r w:rsidRPr="00804891">
          <w:rPr>
            <w:rStyle w:val="Hyperlink"/>
          </w:rPr>
          <w:t>Acronyms and Abbreviations</w:t>
        </w:r>
        <w:r>
          <w:rPr>
            <w:webHidden/>
          </w:rPr>
          <w:tab/>
        </w:r>
        <w:r>
          <w:rPr>
            <w:webHidden/>
          </w:rPr>
          <w:fldChar w:fldCharType="begin"/>
        </w:r>
        <w:r>
          <w:rPr>
            <w:webHidden/>
          </w:rPr>
          <w:instrText xml:space="preserve"> PAGEREF _Toc225966594 \h </w:instrText>
        </w:r>
        <w:r>
          <w:rPr>
            <w:webHidden/>
          </w:rPr>
        </w:r>
        <w:r>
          <w:rPr>
            <w:webHidden/>
          </w:rPr>
          <w:fldChar w:fldCharType="separate"/>
        </w:r>
        <w:r>
          <w:rPr>
            <w:webHidden/>
          </w:rPr>
          <w:t>9</w:t>
        </w:r>
        <w:r>
          <w:rPr>
            <w:webHidden/>
          </w:rPr>
          <w:fldChar w:fldCharType="end"/>
        </w:r>
      </w:hyperlink>
    </w:p>
    <w:p w14:paraId="63E21E21" w14:textId="77777777" w:rsidR="0077786D" w:rsidRDefault="0077786D" w:rsidP="0077786D">
      <w:pPr>
        <w:pStyle w:val="TOC1"/>
        <w:rPr>
          <w:rFonts w:eastAsiaTheme="minorEastAsia"/>
          <w:lang w:eastAsia="en-GB"/>
        </w:rPr>
      </w:pPr>
      <w:hyperlink w:anchor="_Toc225966595" w:history="1">
        <w:r w:rsidRPr="00804891">
          <w:rPr>
            <w:rStyle w:val="Hyperlink"/>
          </w:rPr>
          <w:t>Purpose of the Research</w:t>
        </w:r>
        <w:r>
          <w:rPr>
            <w:webHidden/>
          </w:rPr>
          <w:tab/>
          <w:t>9,</w:t>
        </w:r>
        <w:r>
          <w:rPr>
            <w:webHidden/>
          </w:rPr>
          <w:fldChar w:fldCharType="begin"/>
        </w:r>
        <w:r>
          <w:rPr>
            <w:webHidden/>
          </w:rPr>
          <w:instrText xml:space="preserve"> PAGEREF _Toc225966595 \h </w:instrText>
        </w:r>
        <w:r>
          <w:rPr>
            <w:webHidden/>
          </w:rPr>
        </w:r>
        <w:r>
          <w:rPr>
            <w:webHidden/>
          </w:rPr>
          <w:fldChar w:fldCharType="separate"/>
        </w:r>
        <w:r>
          <w:rPr>
            <w:webHidden/>
          </w:rPr>
          <w:t>10</w:t>
        </w:r>
        <w:r>
          <w:rPr>
            <w:webHidden/>
          </w:rPr>
          <w:fldChar w:fldCharType="end"/>
        </w:r>
      </w:hyperlink>
    </w:p>
    <w:p w14:paraId="74AAB978" w14:textId="77777777" w:rsidR="0077786D" w:rsidRDefault="0077786D" w:rsidP="0077786D">
      <w:pPr>
        <w:pStyle w:val="TOC1"/>
        <w:rPr>
          <w:rFonts w:eastAsiaTheme="minorEastAsia"/>
          <w:lang w:eastAsia="en-GB"/>
        </w:rPr>
      </w:pPr>
      <w:hyperlink w:anchor="_Toc225966596" w:history="1">
        <w:r w:rsidRPr="00804891">
          <w:rPr>
            <w:rStyle w:val="Hyperlink"/>
          </w:rPr>
          <w:t>Aim</w:t>
        </w:r>
        <w:r>
          <w:rPr>
            <w:webHidden/>
          </w:rPr>
          <w:tab/>
        </w:r>
        <w:r>
          <w:rPr>
            <w:webHidden/>
          </w:rPr>
          <w:fldChar w:fldCharType="begin"/>
        </w:r>
        <w:r>
          <w:rPr>
            <w:webHidden/>
          </w:rPr>
          <w:instrText xml:space="preserve"> PAGEREF _Toc225966596 \h </w:instrText>
        </w:r>
        <w:r>
          <w:rPr>
            <w:webHidden/>
          </w:rPr>
        </w:r>
        <w:r>
          <w:rPr>
            <w:webHidden/>
          </w:rPr>
          <w:fldChar w:fldCharType="separate"/>
        </w:r>
        <w:r>
          <w:rPr>
            <w:webHidden/>
          </w:rPr>
          <w:t>10</w:t>
        </w:r>
        <w:r>
          <w:rPr>
            <w:webHidden/>
          </w:rPr>
          <w:fldChar w:fldCharType="end"/>
        </w:r>
      </w:hyperlink>
    </w:p>
    <w:p w14:paraId="549A167F" w14:textId="77777777" w:rsidR="0077786D" w:rsidRDefault="0077786D" w:rsidP="0077786D">
      <w:pPr>
        <w:pStyle w:val="TOC1"/>
        <w:rPr>
          <w:rFonts w:eastAsiaTheme="minorEastAsia"/>
          <w:lang w:eastAsia="en-GB"/>
        </w:rPr>
      </w:pPr>
      <w:hyperlink w:anchor="_Toc225966597" w:history="1">
        <w:r w:rsidRPr="00804891">
          <w:rPr>
            <w:rStyle w:val="Hyperlink"/>
          </w:rPr>
          <w:t>Objectives</w:t>
        </w:r>
        <w:r>
          <w:rPr>
            <w:webHidden/>
          </w:rPr>
          <w:t>……………………………………………………………………………….</w:t>
        </w:r>
        <w:r>
          <w:rPr>
            <w:webHidden/>
          </w:rPr>
          <w:fldChar w:fldCharType="begin"/>
        </w:r>
        <w:r>
          <w:rPr>
            <w:webHidden/>
          </w:rPr>
          <w:instrText xml:space="preserve"> PAGEREF _Toc225966597 \h </w:instrText>
        </w:r>
        <w:r>
          <w:rPr>
            <w:webHidden/>
          </w:rPr>
        </w:r>
        <w:r>
          <w:rPr>
            <w:webHidden/>
          </w:rPr>
          <w:fldChar w:fldCharType="separate"/>
        </w:r>
        <w:r>
          <w:rPr>
            <w:webHidden/>
          </w:rPr>
          <w:t>10</w:t>
        </w:r>
        <w:r>
          <w:rPr>
            <w:webHidden/>
          </w:rPr>
          <w:fldChar w:fldCharType="end"/>
        </w:r>
      </w:hyperlink>
      <w:r>
        <w:t>,11</w:t>
      </w:r>
    </w:p>
    <w:p w14:paraId="365DE12D" w14:textId="77777777" w:rsidR="0077786D" w:rsidRDefault="0077786D" w:rsidP="0077786D">
      <w:pPr>
        <w:pStyle w:val="TOC1"/>
        <w:rPr>
          <w:rFonts w:eastAsiaTheme="minorEastAsia"/>
          <w:lang w:eastAsia="en-GB"/>
        </w:rPr>
      </w:pPr>
      <w:hyperlink w:anchor="_Toc225966598" w:history="1">
        <w:r w:rsidRPr="00804891">
          <w:rPr>
            <w:rStyle w:val="Hyperlink"/>
          </w:rPr>
          <w:t>Conclusion</w:t>
        </w:r>
        <w:r>
          <w:rPr>
            <w:webHidden/>
          </w:rPr>
          <w:tab/>
        </w:r>
        <w:r>
          <w:rPr>
            <w:webHidden/>
          </w:rPr>
          <w:fldChar w:fldCharType="begin"/>
        </w:r>
        <w:r>
          <w:rPr>
            <w:webHidden/>
          </w:rPr>
          <w:instrText xml:space="preserve"> PAGEREF _Toc225966598 \h </w:instrText>
        </w:r>
        <w:r>
          <w:rPr>
            <w:webHidden/>
          </w:rPr>
        </w:r>
        <w:r>
          <w:rPr>
            <w:webHidden/>
          </w:rPr>
          <w:fldChar w:fldCharType="separate"/>
        </w:r>
        <w:r>
          <w:rPr>
            <w:webHidden/>
          </w:rPr>
          <w:t>11</w:t>
        </w:r>
        <w:r>
          <w:rPr>
            <w:webHidden/>
          </w:rPr>
          <w:fldChar w:fldCharType="end"/>
        </w:r>
      </w:hyperlink>
    </w:p>
    <w:p w14:paraId="4A94496C" w14:textId="77777777" w:rsidR="0077786D" w:rsidRPr="00A323AE" w:rsidRDefault="0077786D" w:rsidP="0077786D">
      <w:pPr>
        <w:pStyle w:val="TOC2"/>
        <w:rPr>
          <w:rFonts w:eastAsiaTheme="minorEastAsia"/>
          <w:lang w:eastAsia="en-GB"/>
        </w:rPr>
      </w:pPr>
      <w:hyperlink w:anchor="_Toc225966599" w:history="1">
        <w:r w:rsidRPr="00A323AE">
          <w:rPr>
            <w:rStyle w:val="Hyperlink"/>
            <w:b/>
            <w:bCs/>
          </w:rPr>
          <w:t>CHAPTER 2 - Background Information and Analysis</w:t>
        </w:r>
        <w:r w:rsidRPr="00A323AE">
          <w:rPr>
            <w:webHidden/>
          </w:rPr>
          <w:tab/>
        </w:r>
        <w:r w:rsidRPr="00A323AE">
          <w:rPr>
            <w:webHidden/>
          </w:rPr>
          <w:fldChar w:fldCharType="begin"/>
        </w:r>
        <w:r w:rsidRPr="00A323AE">
          <w:rPr>
            <w:webHidden/>
          </w:rPr>
          <w:instrText xml:space="preserve"> PAGEREF _Toc225966599 \h </w:instrText>
        </w:r>
        <w:r w:rsidRPr="00A323AE">
          <w:rPr>
            <w:webHidden/>
          </w:rPr>
        </w:r>
        <w:r w:rsidRPr="00A323AE">
          <w:rPr>
            <w:webHidden/>
          </w:rPr>
          <w:fldChar w:fldCharType="separate"/>
        </w:r>
        <w:r w:rsidRPr="00A323AE">
          <w:rPr>
            <w:webHidden/>
          </w:rPr>
          <w:t>12</w:t>
        </w:r>
        <w:r w:rsidRPr="00A323AE">
          <w:rPr>
            <w:webHidden/>
          </w:rPr>
          <w:fldChar w:fldCharType="end"/>
        </w:r>
      </w:hyperlink>
    </w:p>
    <w:p w14:paraId="35D1986A" w14:textId="77777777" w:rsidR="0077786D" w:rsidRDefault="0077786D" w:rsidP="0077786D">
      <w:pPr>
        <w:pStyle w:val="TOC1"/>
        <w:rPr>
          <w:rFonts w:eastAsiaTheme="minorEastAsia"/>
          <w:lang w:eastAsia="en-GB"/>
        </w:rPr>
      </w:pPr>
      <w:hyperlink w:anchor="_Toc225966600" w:history="1">
        <w:r w:rsidRPr="00804891">
          <w:rPr>
            <w:rStyle w:val="Hyperlink"/>
          </w:rPr>
          <w:t>Introduction</w:t>
        </w:r>
        <w:r>
          <w:rPr>
            <w:webHidden/>
          </w:rPr>
          <w:tab/>
        </w:r>
        <w:r>
          <w:rPr>
            <w:webHidden/>
          </w:rPr>
          <w:fldChar w:fldCharType="begin"/>
        </w:r>
        <w:r>
          <w:rPr>
            <w:webHidden/>
          </w:rPr>
          <w:instrText xml:space="preserve"> PAGEREF _Toc225966600 \h </w:instrText>
        </w:r>
        <w:r>
          <w:rPr>
            <w:webHidden/>
          </w:rPr>
        </w:r>
        <w:r>
          <w:rPr>
            <w:webHidden/>
          </w:rPr>
          <w:fldChar w:fldCharType="separate"/>
        </w:r>
        <w:r>
          <w:rPr>
            <w:webHidden/>
          </w:rPr>
          <w:t>12</w:t>
        </w:r>
        <w:r>
          <w:rPr>
            <w:webHidden/>
          </w:rPr>
          <w:fldChar w:fldCharType="end"/>
        </w:r>
      </w:hyperlink>
    </w:p>
    <w:p w14:paraId="44D0EEBA" w14:textId="77777777" w:rsidR="0077786D" w:rsidRDefault="0077786D" w:rsidP="0077786D">
      <w:pPr>
        <w:pStyle w:val="TOC1"/>
        <w:rPr>
          <w:rFonts w:eastAsiaTheme="minorEastAsia"/>
          <w:lang w:eastAsia="en-GB"/>
        </w:rPr>
      </w:pPr>
      <w:hyperlink w:anchor="_Toc225966601" w:history="1">
        <w:r w:rsidRPr="00804891">
          <w:rPr>
            <w:rStyle w:val="Hyperlink"/>
          </w:rPr>
          <w:t>TimeLine Diagram</w:t>
        </w:r>
        <w:r>
          <w:rPr>
            <w:webHidden/>
          </w:rPr>
          <w:tab/>
        </w:r>
        <w:r>
          <w:rPr>
            <w:webHidden/>
          </w:rPr>
          <w:fldChar w:fldCharType="begin"/>
        </w:r>
        <w:r>
          <w:rPr>
            <w:webHidden/>
          </w:rPr>
          <w:instrText xml:space="preserve"> PAGEREF _Toc225966601 \h </w:instrText>
        </w:r>
        <w:r>
          <w:rPr>
            <w:webHidden/>
          </w:rPr>
        </w:r>
        <w:r>
          <w:rPr>
            <w:webHidden/>
          </w:rPr>
          <w:fldChar w:fldCharType="separate"/>
        </w:r>
        <w:r>
          <w:rPr>
            <w:webHidden/>
          </w:rPr>
          <w:t>13</w:t>
        </w:r>
        <w:r>
          <w:rPr>
            <w:webHidden/>
          </w:rPr>
          <w:fldChar w:fldCharType="end"/>
        </w:r>
      </w:hyperlink>
    </w:p>
    <w:p w14:paraId="1E6335B5" w14:textId="77777777" w:rsidR="0077786D" w:rsidRDefault="0077786D" w:rsidP="0077786D">
      <w:pPr>
        <w:pStyle w:val="TOC1"/>
        <w:rPr>
          <w:rFonts w:eastAsiaTheme="minorEastAsia"/>
          <w:lang w:eastAsia="en-GB"/>
        </w:rPr>
      </w:pPr>
      <w:hyperlink w:anchor="_Toc225966602" w:history="1">
        <w:r w:rsidRPr="00804891">
          <w:rPr>
            <w:rStyle w:val="Hyperlink"/>
          </w:rPr>
          <w:t>Historical Background</w:t>
        </w:r>
        <w:r>
          <w:rPr>
            <w:webHidden/>
          </w:rPr>
          <w:tab/>
        </w:r>
        <w:r>
          <w:rPr>
            <w:webHidden/>
          </w:rPr>
          <w:fldChar w:fldCharType="begin"/>
        </w:r>
        <w:r>
          <w:rPr>
            <w:webHidden/>
          </w:rPr>
          <w:instrText xml:space="preserve"> PAGEREF _Toc225966602 \h </w:instrText>
        </w:r>
        <w:r>
          <w:rPr>
            <w:webHidden/>
          </w:rPr>
        </w:r>
        <w:r>
          <w:rPr>
            <w:webHidden/>
          </w:rPr>
          <w:fldChar w:fldCharType="separate"/>
        </w:r>
        <w:r>
          <w:rPr>
            <w:webHidden/>
          </w:rPr>
          <w:t>13</w:t>
        </w:r>
        <w:r>
          <w:rPr>
            <w:webHidden/>
          </w:rPr>
          <w:fldChar w:fldCharType="end"/>
        </w:r>
      </w:hyperlink>
    </w:p>
    <w:p w14:paraId="5F1015F4" w14:textId="77777777" w:rsidR="0077786D" w:rsidRDefault="0077786D" w:rsidP="0077786D">
      <w:pPr>
        <w:pStyle w:val="TOC1"/>
        <w:rPr>
          <w:rFonts w:eastAsiaTheme="minorEastAsia"/>
          <w:lang w:eastAsia="en-GB"/>
        </w:rPr>
      </w:pPr>
      <w:hyperlink w:anchor="_Toc225966603" w:history="1">
        <w:r w:rsidRPr="00804891">
          <w:rPr>
            <w:rStyle w:val="Hyperlink"/>
          </w:rPr>
          <w:t>Significant Historical Figures and Contributions</w:t>
        </w:r>
        <w:r>
          <w:rPr>
            <w:webHidden/>
          </w:rPr>
          <w:tab/>
          <w:t>13,</w:t>
        </w:r>
        <w:r>
          <w:rPr>
            <w:webHidden/>
          </w:rPr>
          <w:fldChar w:fldCharType="begin"/>
        </w:r>
        <w:r>
          <w:rPr>
            <w:webHidden/>
          </w:rPr>
          <w:instrText xml:space="preserve"> PAGEREF _Toc225966603 \h </w:instrText>
        </w:r>
        <w:r>
          <w:rPr>
            <w:webHidden/>
          </w:rPr>
        </w:r>
        <w:r>
          <w:rPr>
            <w:webHidden/>
          </w:rPr>
          <w:fldChar w:fldCharType="separate"/>
        </w:r>
        <w:r>
          <w:rPr>
            <w:webHidden/>
          </w:rPr>
          <w:t>14</w:t>
        </w:r>
        <w:r>
          <w:rPr>
            <w:webHidden/>
          </w:rPr>
          <w:fldChar w:fldCharType="end"/>
        </w:r>
      </w:hyperlink>
    </w:p>
    <w:p w14:paraId="07270A22" w14:textId="77777777" w:rsidR="0077786D" w:rsidRDefault="0077786D" w:rsidP="0077786D">
      <w:pPr>
        <w:pStyle w:val="TOC1"/>
        <w:rPr>
          <w:rFonts w:eastAsiaTheme="minorEastAsia"/>
          <w:lang w:eastAsia="en-GB"/>
        </w:rPr>
      </w:pPr>
      <w:hyperlink w:anchor="_Toc225966604" w:history="1">
        <w:r w:rsidRPr="00804891">
          <w:rPr>
            <w:rStyle w:val="Hyperlink"/>
          </w:rPr>
          <w:t>Conceptual Framework Linking Alcohol, Deprivation and YOD</w:t>
        </w:r>
        <w:r>
          <w:rPr>
            <w:webHidden/>
          </w:rPr>
          <w:tab/>
        </w:r>
        <w:r>
          <w:rPr>
            <w:webHidden/>
          </w:rPr>
          <w:fldChar w:fldCharType="begin"/>
        </w:r>
        <w:r>
          <w:rPr>
            <w:webHidden/>
          </w:rPr>
          <w:instrText xml:space="preserve"> PAGEREF _Toc225966604 \h </w:instrText>
        </w:r>
        <w:r>
          <w:rPr>
            <w:webHidden/>
          </w:rPr>
        </w:r>
        <w:r>
          <w:rPr>
            <w:webHidden/>
          </w:rPr>
          <w:fldChar w:fldCharType="separate"/>
        </w:r>
        <w:r>
          <w:rPr>
            <w:webHidden/>
          </w:rPr>
          <w:t>14</w:t>
        </w:r>
        <w:r>
          <w:rPr>
            <w:webHidden/>
          </w:rPr>
          <w:fldChar w:fldCharType="end"/>
        </w:r>
      </w:hyperlink>
    </w:p>
    <w:p w14:paraId="7FBC81AE" w14:textId="77777777" w:rsidR="0077786D" w:rsidRDefault="0077786D" w:rsidP="0077786D">
      <w:pPr>
        <w:pStyle w:val="TOC1"/>
        <w:rPr>
          <w:rFonts w:eastAsiaTheme="minorEastAsia"/>
          <w:lang w:eastAsia="en-GB"/>
        </w:rPr>
      </w:pPr>
      <w:hyperlink w:anchor="_Toc225966605" w:history="1">
        <w:r w:rsidRPr="00804891">
          <w:rPr>
            <w:rStyle w:val="Hyperlink"/>
          </w:rPr>
          <w:t>Theoretical Background</w:t>
        </w:r>
        <w:r>
          <w:rPr>
            <w:webHidden/>
          </w:rPr>
          <w:tab/>
          <w:t>14,</w:t>
        </w:r>
        <w:r>
          <w:rPr>
            <w:webHidden/>
          </w:rPr>
          <w:fldChar w:fldCharType="begin"/>
        </w:r>
        <w:r>
          <w:rPr>
            <w:webHidden/>
          </w:rPr>
          <w:instrText xml:space="preserve"> PAGEREF _Toc225966605 \h </w:instrText>
        </w:r>
        <w:r>
          <w:rPr>
            <w:webHidden/>
          </w:rPr>
        </w:r>
        <w:r>
          <w:rPr>
            <w:webHidden/>
          </w:rPr>
          <w:fldChar w:fldCharType="separate"/>
        </w:r>
        <w:r>
          <w:rPr>
            <w:webHidden/>
          </w:rPr>
          <w:t>15</w:t>
        </w:r>
        <w:r>
          <w:rPr>
            <w:webHidden/>
          </w:rPr>
          <w:fldChar w:fldCharType="end"/>
        </w:r>
      </w:hyperlink>
    </w:p>
    <w:p w14:paraId="7DC7ED6A" w14:textId="77777777" w:rsidR="0077786D" w:rsidRDefault="0077786D" w:rsidP="0077786D">
      <w:pPr>
        <w:pStyle w:val="TOC1"/>
        <w:rPr>
          <w:rFonts w:eastAsiaTheme="minorEastAsia"/>
          <w:lang w:eastAsia="en-GB"/>
        </w:rPr>
      </w:pPr>
      <w:hyperlink w:anchor="_Toc225966606" w:history="1">
        <w:r w:rsidRPr="00804891">
          <w:rPr>
            <w:rStyle w:val="Hyperlink"/>
          </w:rPr>
          <w:t>Key Differences in Explaining Alcohol-Related Neurological Decline</w:t>
        </w:r>
        <w:r>
          <w:rPr>
            <w:webHidden/>
          </w:rPr>
          <w:tab/>
        </w:r>
        <w:r>
          <w:rPr>
            <w:webHidden/>
          </w:rPr>
          <w:fldChar w:fldCharType="begin"/>
        </w:r>
        <w:r>
          <w:rPr>
            <w:webHidden/>
          </w:rPr>
          <w:instrText xml:space="preserve"> PAGEREF _Toc225966606 \h </w:instrText>
        </w:r>
        <w:r>
          <w:rPr>
            <w:webHidden/>
          </w:rPr>
        </w:r>
        <w:r>
          <w:rPr>
            <w:webHidden/>
          </w:rPr>
          <w:fldChar w:fldCharType="separate"/>
        </w:r>
        <w:r>
          <w:rPr>
            <w:webHidden/>
          </w:rPr>
          <w:t>18</w:t>
        </w:r>
        <w:r>
          <w:rPr>
            <w:webHidden/>
          </w:rPr>
          <w:fldChar w:fldCharType="end"/>
        </w:r>
      </w:hyperlink>
    </w:p>
    <w:p w14:paraId="79EBE96D" w14:textId="77777777" w:rsidR="0077786D" w:rsidRDefault="0077786D" w:rsidP="0077786D">
      <w:pPr>
        <w:pStyle w:val="TOC1"/>
        <w:rPr>
          <w:rFonts w:eastAsiaTheme="minorEastAsia"/>
          <w:lang w:eastAsia="en-GB"/>
        </w:rPr>
      </w:pPr>
      <w:hyperlink w:anchor="_Toc225966607" w:history="1">
        <w:r w:rsidRPr="00804891">
          <w:rPr>
            <w:rStyle w:val="Hyperlink"/>
          </w:rPr>
          <w:t>Critical Evaluation</w:t>
        </w:r>
        <w:r>
          <w:rPr>
            <w:webHidden/>
          </w:rPr>
          <w:tab/>
        </w:r>
        <w:r>
          <w:rPr>
            <w:webHidden/>
          </w:rPr>
          <w:fldChar w:fldCharType="begin"/>
        </w:r>
        <w:r>
          <w:rPr>
            <w:webHidden/>
          </w:rPr>
          <w:instrText xml:space="preserve"> PAGEREF _Toc225966607 \h </w:instrText>
        </w:r>
        <w:r>
          <w:rPr>
            <w:webHidden/>
          </w:rPr>
        </w:r>
        <w:r>
          <w:rPr>
            <w:webHidden/>
          </w:rPr>
          <w:fldChar w:fldCharType="separate"/>
        </w:r>
        <w:r>
          <w:rPr>
            <w:webHidden/>
          </w:rPr>
          <w:t>18</w:t>
        </w:r>
        <w:r>
          <w:rPr>
            <w:webHidden/>
          </w:rPr>
          <w:fldChar w:fldCharType="end"/>
        </w:r>
      </w:hyperlink>
    </w:p>
    <w:p w14:paraId="6A66E66B" w14:textId="77777777" w:rsidR="0077786D" w:rsidRDefault="0077786D" w:rsidP="0077786D">
      <w:pPr>
        <w:pStyle w:val="TOC1"/>
      </w:pPr>
      <w:hyperlink w:anchor="_Toc225966608" w:history="1">
        <w:r w:rsidRPr="00804891">
          <w:rPr>
            <w:rStyle w:val="Hyperlink"/>
          </w:rPr>
          <w:t>International Context</w:t>
        </w:r>
        <w:r>
          <w:rPr>
            <w:webHidden/>
          </w:rPr>
          <w:tab/>
        </w:r>
        <w:r>
          <w:rPr>
            <w:webHidden/>
          </w:rPr>
          <w:fldChar w:fldCharType="begin"/>
        </w:r>
        <w:r>
          <w:rPr>
            <w:webHidden/>
          </w:rPr>
          <w:instrText xml:space="preserve"> PAGEREF _Toc225966608 \h </w:instrText>
        </w:r>
        <w:r>
          <w:rPr>
            <w:webHidden/>
          </w:rPr>
        </w:r>
        <w:r>
          <w:rPr>
            <w:webHidden/>
          </w:rPr>
          <w:fldChar w:fldCharType="separate"/>
        </w:r>
        <w:r>
          <w:rPr>
            <w:webHidden/>
          </w:rPr>
          <w:t>18</w:t>
        </w:r>
        <w:r>
          <w:rPr>
            <w:webHidden/>
          </w:rPr>
          <w:fldChar w:fldCharType="end"/>
        </w:r>
      </w:hyperlink>
    </w:p>
    <w:p w14:paraId="08A27F66" w14:textId="77777777" w:rsidR="0077786D" w:rsidRPr="001B56BB" w:rsidRDefault="0077786D" w:rsidP="0077786D">
      <w:r w:rsidRPr="001B56BB">
        <w:t>Comparative Analysis</w:t>
      </w:r>
      <w:r>
        <w:t>………………………………………………………………………………………18</w:t>
      </w:r>
    </w:p>
    <w:p w14:paraId="5CFE2E71" w14:textId="77777777" w:rsidR="0077786D" w:rsidRDefault="0077786D" w:rsidP="0077786D">
      <w:pPr>
        <w:pStyle w:val="TOC1"/>
        <w:rPr>
          <w:rFonts w:eastAsiaTheme="minorEastAsia"/>
          <w:lang w:eastAsia="en-GB"/>
        </w:rPr>
      </w:pPr>
      <w:hyperlink w:anchor="_Toc225966609" w:history="1">
        <w:r w:rsidRPr="00804891">
          <w:rPr>
            <w:rStyle w:val="Hyperlink"/>
          </w:rPr>
          <w:t>Case Studies</w:t>
        </w:r>
        <w:r>
          <w:rPr>
            <w:webHidden/>
          </w:rPr>
          <w:tab/>
          <w:t>18,</w:t>
        </w:r>
        <w:r>
          <w:rPr>
            <w:webHidden/>
          </w:rPr>
          <w:fldChar w:fldCharType="begin"/>
        </w:r>
        <w:r>
          <w:rPr>
            <w:webHidden/>
          </w:rPr>
          <w:instrText xml:space="preserve"> PAGEREF _Toc225966609 \h </w:instrText>
        </w:r>
        <w:r>
          <w:rPr>
            <w:webHidden/>
          </w:rPr>
        </w:r>
        <w:r>
          <w:rPr>
            <w:webHidden/>
          </w:rPr>
          <w:fldChar w:fldCharType="separate"/>
        </w:r>
        <w:r>
          <w:rPr>
            <w:webHidden/>
          </w:rPr>
          <w:t>19</w:t>
        </w:r>
        <w:r>
          <w:rPr>
            <w:webHidden/>
          </w:rPr>
          <w:fldChar w:fldCharType="end"/>
        </w:r>
      </w:hyperlink>
    </w:p>
    <w:p w14:paraId="1E487C58" w14:textId="0E94AB26" w:rsidR="0077786D" w:rsidRDefault="0077786D" w:rsidP="0077786D">
      <w:pPr>
        <w:pStyle w:val="TOC1"/>
        <w:rPr>
          <w:rFonts w:eastAsiaTheme="minorEastAsia"/>
          <w:lang w:eastAsia="en-GB"/>
        </w:rPr>
      </w:pPr>
      <w:hyperlink w:anchor="_Toc225966610" w:history="1">
        <w:r w:rsidRPr="00804891">
          <w:rPr>
            <w:rStyle w:val="Hyperlink"/>
          </w:rPr>
          <w:t>National/Local UK Context</w:t>
        </w:r>
        <w:r>
          <w:rPr>
            <w:webHidden/>
          </w:rPr>
          <w:tab/>
          <w:t>19</w:t>
        </w:r>
      </w:hyperlink>
      <w:r w:rsidR="004A06A1">
        <w:t>,20</w:t>
      </w:r>
    </w:p>
    <w:p w14:paraId="5DD706E5" w14:textId="77777777" w:rsidR="0077786D" w:rsidRDefault="0077786D" w:rsidP="0077786D">
      <w:pPr>
        <w:pStyle w:val="TOC1"/>
        <w:rPr>
          <w:rFonts w:eastAsiaTheme="minorEastAsia"/>
          <w:lang w:eastAsia="en-GB"/>
        </w:rPr>
      </w:pPr>
      <w:hyperlink w:anchor="_Toc225966611" w:history="1">
        <w:r w:rsidRPr="00804891">
          <w:rPr>
            <w:rStyle w:val="Hyperlink"/>
          </w:rPr>
          <w:t>Policy and Regulation</w:t>
        </w:r>
        <w:r>
          <w:rPr>
            <w:webHidden/>
          </w:rPr>
          <w:tab/>
        </w:r>
        <w:r>
          <w:rPr>
            <w:webHidden/>
          </w:rPr>
          <w:fldChar w:fldCharType="begin"/>
        </w:r>
        <w:r>
          <w:rPr>
            <w:webHidden/>
          </w:rPr>
          <w:instrText xml:space="preserve"> PAGEREF _Toc225966611 \h </w:instrText>
        </w:r>
        <w:r>
          <w:rPr>
            <w:webHidden/>
          </w:rPr>
        </w:r>
        <w:r>
          <w:rPr>
            <w:webHidden/>
          </w:rPr>
          <w:fldChar w:fldCharType="separate"/>
        </w:r>
        <w:r>
          <w:rPr>
            <w:webHidden/>
          </w:rPr>
          <w:t>20</w:t>
        </w:r>
        <w:r>
          <w:rPr>
            <w:webHidden/>
          </w:rPr>
          <w:fldChar w:fldCharType="end"/>
        </w:r>
      </w:hyperlink>
    </w:p>
    <w:p w14:paraId="1D30719C" w14:textId="77777777" w:rsidR="0077786D" w:rsidRDefault="0077786D" w:rsidP="0077786D">
      <w:pPr>
        <w:pStyle w:val="TOC1"/>
        <w:rPr>
          <w:rFonts w:eastAsiaTheme="minorEastAsia"/>
          <w:lang w:eastAsia="en-GB"/>
        </w:rPr>
      </w:pPr>
      <w:hyperlink w:anchor="_Toc225966612" w:history="1">
        <w:r w:rsidRPr="00804891">
          <w:rPr>
            <w:rStyle w:val="Hyperlink"/>
          </w:rPr>
          <w:t>Conclusion</w:t>
        </w:r>
        <w:r>
          <w:rPr>
            <w:webHidden/>
          </w:rPr>
          <w:tab/>
        </w:r>
        <w:r>
          <w:rPr>
            <w:webHidden/>
          </w:rPr>
          <w:fldChar w:fldCharType="begin"/>
        </w:r>
        <w:r>
          <w:rPr>
            <w:webHidden/>
          </w:rPr>
          <w:instrText xml:space="preserve"> PAGEREF _Toc225966612 \h </w:instrText>
        </w:r>
        <w:r>
          <w:rPr>
            <w:webHidden/>
          </w:rPr>
        </w:r>
        <w:r>
          <w:rPr>
            <w:webHidden/>
          </w:rPr>
          <w:fldChar w:fldCharType="separate"/>
        </w:r>
        <w:r>
          <w:rPr>
            <w:webHidden/>
          </w:rPr>
          <w:t>20</w:t>
        </w:r>
        <w:r>
          <w:rPr>
            <w:webHidden/>
          </w:rPr>
          <w:fldChar w:fldCharType="end"/>
        </w:r>
      </w:hyperlink>
    </w:p>
    <w:p w14:paraId="66832F28" w14:textId="77777777" w:rsidR="0077786D" w:rsidRPr="00C87B84" w:rsidRDefault="0077786D" w:rsidP="0077786D">
      <w:pPr>
        <w:pStyle w:val="TOC1"/>
        <w:rPr>
          <w:rFonts w:eastAsiaTheme="minorEastAsia"/>
          <w:lang w:eastAsia="en-GB"/>
        </w:rPr>
      </w:pPr>
      <w:hyperlink w:anchor="_Toc225966613" w:history="1">
        <w:r w:rsidRPr="00C87B84">
          <w:rPr>
            <w:rStyle w:val="Hyperlink"/>
            <w:b/>
            <w:bCs/>
          </w:rPr>
          <w:t xml:space="preserve">      Chapter 3</w:t>
        </w:r>
        <w:r>
          <w:rPr>
            <w:rStyle w:val="Hyperlink"/>
            <w:b/>
            <w:bCs/>
          </w:rPr>
          <w:t xml:space="preserve"> -</w:t>
        </w:r>
        <w:r w:rsidRPr="00C87B84">
          <w:rPr>
            <w:rStyle w:val="Hyperlink"/>
            <w:b/>
            <w:bCs/>
          </w:rPr>
          <w:t xml:space="preserve"> metholodolgy </w:t>
        </w:r>
        <w:r w:rsidRPr="00C87B84">
          <w:rPr>
            <w:webHidden/>
          </w:rPr>
          <w:tab/>
        </w:r>
        <w:r w:rsidRPr="00C87B84">
          <w:rPr>
            <w:webHidden/>
          </w:rPr>
          <w:fldChar w:fldCharType="begin"/>
        </w:r>
        <w:r w:rsidRPr="00C87B84">
          <w:rPr>
            <w:webHidden/>
          </w:rPr>
          <w:instrText xml:space="preserve"> PAGEREF _Toc225966613 \h </w:instrText>
        </w:r>
        <w:r w:rsidRPr="00C87B84">
          <w:rPr>
            <w:webHidden/>
          </w:rPr>
        </w:r>
        <w:r w:rsidRPr="00C87B84">
          <w:rPr>
            <w:webHidden/>
          </w:rPr>
          <w:fldChar w:fldCharType="separate"/>
        </w:r>
        <w:r w:rsidRPr="00C87B84">
          <w:rPr>
            <w:webHidden/>
          </w:rPr>
          <w:t>2</w:t>
        </w:r>
        <w:r>
          <w:rPr>
            <w:webHidden/>
          </w:rPr>
          <w:t>1</w:t>
        </w:r>
        <w:r w:rsidRPr="00C87B84">
          <w:rPr>
            <w:webHidden/>
          </w:rPr>
          <w:fldChar w:fldCharType="end"/>
        </w:r>
      </w:hyperlink>
    </w:p>
    <w:p w14:paraId="51B5084B" w14:textId="77777777" w:rsidR="0077786D" w:rsidRDefault="0077786D" w:rsidP="0077786D">
      <w:pPr>
        <w:pStyle w:val="TOC1"/>
      </w:pPr>
      <w:hyperlink w:anchor="_Toc225966614" w:history="1">
        <w:r w:rsidRPr="00804891">
          <w:rPr>
            <w:rStyle w:val="Hyperlink"/>
          </w:rPr>
          <w:t>Search Strategies</w:t>
        </w:r>
        <w:r>
          <w:rPr>
            <w:webHidden/>
          </w:rPr>
          <w:tab/>
        </w:r>
        <w:r>
          <w:rPr>
            <w:webHidden/>
          </w:rPr>
          <w:fldChar w:fldCharType="begin"/>
        </w:r>
        <w:r>
          <w:rPr>
            <w:webHidden/>
          </w:rPr>
          <w:instrText xml:space="preserve"> PAGEREF _Toc225966614 \h </w:instrText>
        </w:r>
        <w:r>
          <w:rPr>
            <w:webHidden/>
          </w:rPr>
        </w:r>
        <w:r>
          <w:rPr>
            <w:webHidden/>
          </w:rPr>
          <w:fldChar w:fldCharType="separate"/>
        </w:r>
        <w:r>
          <w:rPr>
            <w:webHidden/>
          </w:rPr>
          <w:t>21</w:t>
        </w:r>
        <w:r>
          <w:rPr>
            <w:webHidden/>
          </w:rPr>
          <w:fldChar w:fldCharType="end"/>
        </w:r>
      </w:hyperlink>
    </w:p>
    <w:p w14:paraId="290BFB44" w14:textId="77777777" w:rsidR="0077786D" w:rsidRPr="001B56BB" w:rsidRDefault="0077786D" w:rsidP="0077786D">
      <w:r w:rsidRPr="001B56BB">
        <w:t>Boolean Search Strategies</w:t>
      </w:r>
      <w:r>
        <w:t>………………………………………………………………………………..22</w:t>
      </w:r>
    </w:p>
    <w:p w14:paraId="4BB32742" w14:textId="77777777" w:rsidR="0077786D" w:rsidRDefault="0077786D" w:rsidP="0077786D">
      <w:pPr>
        <w:pStyle w:val="TOC1"/>
        <w:rPr>
          <w:rFonts w:eastAsiaTheme="minorEastAsia"/>
          <w:lang w:eastAsia="en-GB"/>
        </w:rPr>
      </w:pPr>
      <w:hyperlink w:anchor="_Toc225966615" w:history="1">
        <w:r w:rsidRPr="00804891">
          <w:rPr>
            <w:rStyle w:val="Hyperlink"/>
          </w:rPr>
          <w:t>Searching for Information</w:t>
        </w:r>
        <w:r>
          <w:rPr>
            <w:webHidden/>
          </w:rPr>
          <w:tab/>
        </w:r>
        <w:r>
          <w:rPr>
            <w:webHidden/>
          </w:rPr>
          <w:fldChar w:fldCharType="begin"/>
        </w:r>
        <w:r>
          <w:rPr>
            <w:webHidden/>
          </w:rPr>
          <w:instrText xml:space="preserve"> PAGEREF _Toc225966615 \h </w:instrText>
        </w:r>
        <w:r>
          <w:rPr>
            <w:webHidden/>
          </w:rPr>
        </w:r>
        <w:r>
          <w:rPr>
            <w:webHidden/>
          </w:rPr>
          <w:fldChar w:fldCharType="separate"/>
        </w:r>
        <w:r>
          <w:rPr>
            <w:webHidden/>
          </w:rPr>
          <w:t>22,23</w:t>
        </w:r>
        <w:r>
          <w:rPr>
            <w:webHidden/>
          </w:rPr>
          <w:fldChar w:fldCharType="end"/>
        </w:r>
      </w:hyperlink>
    </w:p>
    <w:p w14:paraId="32F5FAB9" w14:textId="77777777" w:rsidR="0077786D" w:rsidRDefault="0077786D" w:rsidP="0077786D">
      <w:pPr>
        <w:pStyle w:val="TOC1"/>
        <w:rPr>
          <w:rFonts w:eastAsiaTheme="minorEastAsia"/>
          <w:lang w:eastAsia="en-GB"/>
        </w:rPr>
      </w:pPr>
      <w:hyperlink w:anchor="_Toc225966616" w:history="1">
        <w:r w:rsidRPr="00804891">
          <w:rPr>
            <w:rStyle w:val="Hyperlink"/>
          </w:rPr>
          <w:t>Research Validation</w:t>
        </w:r>
        <w:r>
          <w:rPr>
            <w:webHidden/>
          </w:rPr>
          <w:tab/>
        </w:r>
        <w:r>
          <w:rPr>
            <w:webHidden/>
          </w:rPr>
          <w:fldChar w:fldCharType="begin"/>
        </w:r>
        <w:r>
          <w:rPr>
            <w:webHidden/>
          </w:rPr>
          <w:instrText xml:space="preserve"> PAGEREF _Toc225966616 \h </w:instrText>
        </w:r>
        <w:r>
          <w:rPr>
            <w:webHidden/>
          </w:rPr>
        </w:r>
        <w:r>
          <w:rPr>
            <w:webHidden/>
          </w:rPr>
          <w:fldChar w:fldCharType="separate"/>
        </w:r>
        <w:r>
          <w:rPr>
            <w:webHidden/>
          </w:rPr>
          <w:t>23</w:t>
        </w:r>
        <w:r>
          <w:rPr>
            <w:webHidden/>
          </w:rPr>
          <w:fldChar w:fldCharType="end"/>
        </w:r>
      </w:hyperlink>
    </w:p>
    <w:p w14:paraId="21A06CB1" w14:textId="77777777" w:rsidR="0077786D" w:rsidRDefault="0077786D" w:rsidP="0077786D">
      <w:pPr>
        <w:pStyle w:val="TOC1"/>
        <w:rPr>
          <w:rFonts w:eastAsiaTheme="minorEastAsia"/>
          <w:lang w:eastAsia="en-GB"/>
        </w:rPr>
      </w:pPr>
      <w:hyperlink w:anchor="_Toc225966617" w:history="1">
        <w:r w:rsidRPr="00804891">
          <w:rPr>
            <w:rStyle w:val="Hyperlink"/>
          </w:rPr>
          <w:t>CRAAP Test Example</w:t>
        </w:r>
        <w:r>
          <w:rPr>
            <w:webHidden/>
          </w:rPr>
          <w:tab/>
        </w:r>
        <w:r>
          <w:rPr>
            <w:webHidden/>
          </w:rPr>
          <w:fldChar w:fldCharType="begin"/>
        </w:r>
        <w:r>
          <w:rPr>
            <w:webHidden/>
          </w:rPr>
          <w:instrText xml:space="preserve"> PAGEREF _Toc225966617 \h </w:instrText>
        </w:r>
        <w:r>
          <w:rPr>
            <w:webHidden/>
          </w:rPr>
        </w:r>
        <w:r>
          <w:rPr>
            <w:webHidden/>
          </w:rPr>
          <w:fldChar w:fldCharType="separate"/>
        </w:r>
        <w:r>
          <w:rPr>
            <w:webHidden/>
          </w:rPr>
          <w:t>24</w:t>
        </w:r>
        <w:r>
          <w:rPr>
            <w:webHidden/>
          </w:rPr>
          <w:fldChar w:fldCharType="end"/>
        </w:r>
      </w:hyperlink>
    </w:p>
    <w:p w14:paraId="227681D8" w14:textId="77777777" w:rsidR="0077786D" w:rsidRDefault="0077786D" w:rsidP="0077786D">
      <w:pPr>
        <w:pStyle w:val="TOC1"/>
        <w:rPr>
          <w:rFonts w:eastAsiaTheme="minorEastAsia"/>
          <w:lang w:eastAsia="en-GB"/>
        </w:rPr>
      </w:pPr>
      <w:hyperlink w:anchor="_Toc225966618" w:history="1">
        <w:r w:rsidRPr="00804891">
          <w:rPr>
            <w:rStyle w:val="Hyperlink"/>
          </w:rPr>
          <w:t>Inclusion and Exclusion Criteria</w:t>
        </w:r>
        <w:r>
          <w:rPr>
            <w:webHidden/>
          </w:rPr>
          <w:tab/>
        </w:r>
        <w:r>
          <w:rPr>
            <w:webHidden/>
          </w:rPr>
          <w:fldChar w:fldCharType="begin"/>
        </w:r>
        <w:r>
          <w:rPr>
            <w:webHidden/>
          </w:rPr>
          <w:instrText xml:space="preserve"> PAGEREF _Toc225966618 \h </w:instrText>
        </w:r>
        <w:r>
          <w:rPr>
            <w:webHidden/>
          </w:rPr>
        </w:r>
        <w:r>
          <w:rPr>
            <w:webHidden/>
          </w:rPr>
          <w:fldChar w:fldCharType="separate"/>
        </w:r>
        <w:r>
          <w:rPr>
            <w:webHidden/>
          </w:rPr>
          <w:t>24</w:t>
        </w:r>
        <w:r>
          <w:rPr>
            <w:webHidden/>
          </w:rPr>
          <w:fldChar w:fldCharType="end"/>
        </w:r>
      </w:hyperlink>
    </w:p>
    <w:p w14:paraId="375FF025" w14:textId="77777777" w:rsidR="0077786D" w:rsidRDefault="0077786D" w:rsidP="0077786D">
      <w:pPr>
        <w:pStyle w:val="TOC1"/>
        <w:rPr>
          <w:rFonts w:eastAsiaTheme="minorEastAsia"/>
          <w:lang w:eastAsia="en-GB"/>
        </w:rPr>
      </w:pPr>
      <w:hyperlink w:anchor="_Toc225966619" w:history="1">
        <w:r w:rsidRPr="00804891">
          <w:rPr>
            <w:rStyle w:val="Hyperlink"/>
          </w:rPr>
          <w:t>Analysing Research</w:t>
        </w:r>
        <w:r>
          <w:rPr>
            <w:webHidden/>
          </w:rPr>
          <w:tab/>
          <w:t>24,</w:t>
        </w:r>
        <w:r>
          <w:rPr>
            <w:webHidden/>
          </w:rPr>
          <w:fldChar w:fldCharType="begin"/>
        </w:r>
        <w:r>
          <w:rPr>
            <w:webHidden/>
          </w:rPr>
          <w:instrText xml:space="preserve"> PAGEREF _Toc225966619 \h </w:instrText>
        </w:r>
        <w:r>
          <w:rPr>
            <w:webHidden/>
          </w:rPr>
        </w:r>
        <w:r>
          <w:rPr>
            <w:webHidden/>
          </w:rPr>
          <w:fldChar w:fldCharType="separate"/>
        </w:r>
        <w:r>
          <w:rPr>
            <w:webHidden/>
          </w:rPr>
          <w:t>25</w:t>
        </w:r>
        <w:r>
          <w:rPr>
            <w:webHidden/>
          </w:rPr>
          <w:fldChar w:fldCharType="end"/>
        </w:r>
      </w:hyperlink>
    </w:p>
    <w:p w14:paraId="768C8984" w14:textId="77777777" w:rsidR="0077786D" w:rsidRDefault="0077786D" w:rsidP="0077786D">
      <w:pPr>
        <w:pStyle w:val="TOC1"/>
        <w:rPr>
          <w:rFonts w:eastAsiaTheme="minorEastAsia"/>
          <w:lang w:eastAsia="en-GB"/>
        </w:rPr>
      </w:pPr>
      <w:hyperlink w:anchor="_Toc225966620" w:history="1">
        <w:r w:rsidRPr="00804891">
          <w:rPr>
            <w:rStyle w:val="Hyperlink"/>
          </w:rPr>
          <w:t>Thematic Development - Interlocking Cyclical Model of Alcohol, Deprivation and  onset Dementia Risk</w:t>
        </w:r>
        <w:r>
          <w:rPr>
            <w:webHidden/>
          </w:rPr>
          <w:tab/>
        </w:r>
        <w:r>
          <w:rPr>
            <w:webHidden/>
          </w:rPr>
          <w:fldChar w:fldCharType="begin"/>
        </w:r>
        <w:r>
          <w:rPr>
            <w:webHidden/>
          </w:rPr>
          <w:instrText xml:space="preserve"> PAGEREF _Toc225966620 \h </w:instrText>
        </w:r>
        <w:r>
          <w:rPr>
            <w:webHidden/>
          </w:rPr>
        </w:r>
        <w:r>
          <w:rPr>
            <w:webHidden/>
          </w:rPr>
          <w:fldChar w:fldCharType="separate"/>
        </w:r>
        <w:r>
          <w:rPr>
            <w:webHidden/>
          </w:rPr>
          <w:t>25,26</w:t>
        </w:r>
        <w:r>
          <w:rPr>
            <w:webHidden/>
          </w:rPr>
          <w:fldChar w:fldCharType="end"/>
        </w:r>
      </w:hyperlink>
    </w:p>
    <w:p w14:paraId="08847123" w14:textId="77777777" w:rsidR="0077786D" w:rsidRDefault="0077786D" w:rsidP="0077786D">
      <w:pPr>
        <w:pStyle w:val="TOC1"/>
        <w:rPr>
          <w:rFonts w:eastAsiaTheme="minorEastAsia"/>
          <w:lang w:eastAsia="en-GB"/>
        </w:rPr>
      </w:pPr>
      <w:hyperlink w:anchor="_Toc225966621" w:history="1">
        <w:r w:rsidRPr="00804891">
          <w:rPr>
            <w:rStyle w:val="Hyperlink"/>
          </w:rPr>
          <w:t>Cyclical Relationship Explanation</w:t>
        </w:r>
        <w:r>
          <w:rPr>
            <w:webHidden/>
          </w:rPr>
          <w:tab/>
        </w:r>
        <w:r>
          <w:rPr>
            <w:webHidden/>
          </w:rPr>
          <w:fldChar w:fldCharType="begin"/>
        </w:r>
        <w:r>
          <w:rPr>
            <w:webHidden/>
          </w:rPr>
          <w:instrText xml:space="preserve"> PAGEREF _Toc225966621 \h </w:instrText>
        </w:r>
        <w:r>
          <w:rPr>
            <w:webHidden/>
          </w:rPr>
        </w:r>
        <w:r>
          <w:rPr>
            <w:webHidden/>
          </w:rPr>
          <w:fldChar w:fldCharType="separate"/>
        </w:r>
        <w:r>
          <w:rPr>
            <w:webHidden/>
          </w:rPr>
          <w:t>27</w:t>
        </w:r>
        <w:r>
          <w:rPr>
            <w:webHidden/>
          </w:rPr>
          <w:fldChar w:fldCharType="end"/>
        </w:r>
      </w:hyperlink>
    </w:p>
    <w:p w14:paraId="5BF4F9A5" w14:textId="77777777" w:rsidR="0077786D" w:rsidRDefault="0077786D" w:rsidP="0077786D">
      <w:pPr>
        <w:pStyle w:val="TOC1"/>
        <w:rPr>
          <w:rFonts w:eastAsiaTheme="minorEastAsia"/>
          <w:lang w:eastAsia="en-GB"/>
        </w:rPr>
      </w:pPr>
      <w:hyperlink w:anchor="_Toc225966622" w:history="1">
        <w:r w:rsidRPr="00804891">
          <w:rPr>
            <w:rStyle w:val="Hyperlink"/>
          </w:rPr>
          <w:t>Ethical Considerations</w:t>
        </w:r>
        <w:r>
          <w:rPr>
            <w:webHidden/>
          </w:rPr>
          <w:tab/>
        </w:r>
        <w:r>
          <w:rPr>
            <w:webHidden/>
          </w:rPr>
          <w:fldChar w:fldCharType="begin"/>
        </w:r>
        <w:r>
          <w:rPr>
            <w:webHidden/>
          </w:rPr>
          <w:instrText xml:space="preserve"> PAGEREF _Toc225966622 \h </w:instrText>
        </w:r>
        <w:r>
          <w:rPr>
            <w:webHidden/>
          </w:rPr>
        </w:r>
        <w:r>
          <w:rPr>
            <w:webHidden/>
          </w:rPr>
          <w:fldChar w:fldCharType="separate"/>
        </w:r>
        <w:r>
          <w:rPr>
            <w:webHidden/>
          </w:rPr>
          <w:t>27</w:t>
        </w:r>
        <w:r>
          <w:rPr>
            <w:webHidden/>
          </w:rPr>
          <w:fldChar w:fldCharType="end"/>
        </w:r>
      </w:hyperlink>
    </w:p>
    <w:p w14:paraId="601A160B" w14:textId="77777777" w:rsidR="0077786D" w:rsidRDefault="0077786D" w:rsidP="0077786D">
      <w:pPr>
        <w:pStyle w:val="TOC1"/>
        <w:rPr>
          <w:rFonts w:eastAsiaTheme="minorEastAsia"/>
          <w:lang w:eastAsia="en-GB"/>
        </w:rPr>
      </w:pPr>
      <w:hyperlink w:anchor="_Toc225966623" w:history="1">
        <w:r w:rsidRPr="00804891">
          <w:rPr>
            <w:rStyle w:val="Hyperlink"/>
          </w:rPr>
          <w:t>Conclusion</w:t>
        </w:r>
        <w:r>
          <w:rPr>
            <w:webHidden/>
          </w:rPr>
          <w:tab/>
        </w:r>
        <w:r>
          <w:rPr>
            <w:webHidden/>
          </w:rPr>
          <w:fldChar w:fldCharType="begin"/>
        </w:r>
        <w:r>
          <w:rPr>
            <w:webHidden/>
          </w:rPr>
          <w:instrText xml:space="preserve"> PAGEREF _Toc225966623 \h </w:instrText>
        </w:r>
        <w:r>
          <w:rPr>
            <w:webHidden/>
          </w:rPr>
        </w:r>
        <w:r>
          <w:rPr>
            <w:webHidden/>
          </w:rPr>
          <w:fldChar w:fldCharType="separate"/>
        </w:r>
        <w:r>
          <w:rPr>
            <w:webHidden/>
          </w:rPr>
          <w:t>27</w:t>
        </w:r>
        <w:r>
          <w:rPr>
            <w:webHidden/>
          </w:rPr>
          <w:fldChar w:fldCharType="end"/>
        </w:r>
      </w:hyperlink>
    </w:p>
    <w:p w14:paraId="63CC7B70" w14:textId="77777777" w:rsidR="0077786D" w:rsidRPr="0034563D" w:rsidRDefault="0077786D" w:rsidP="0077786D">
      <w:pPr>
        <w:pStyle w:val="TOC2"/>
        <w:rPr>
          <w:rFonts w:eastAsiaTheme="minorEastAsia"/>
          <w:lang w:eastAsia="en-GB"/>
        </w:rPr>
      </w:pPr>
      <w:hyperlink w:anchor="_Toc225966624" w:history="1">
        <w:r w:rsidRPr="0034563D">
          <w:rPr>
            <w:rStyle w:val="Hyperlink"/>
            <w:b/>
            <w:bCs/>
          </w:rPr>
          <w:t>Chapter 4 - Findings and Discussion</w:t>
        </w:r>
        <w:r w:rsidRPr="0034563D">
          <w:rPr>
            <w:webHidden/>
          </w:rPr>
          <w:tab/>
        </w:r>
        <w:r w:rsidRPr="0034563D">
          <w:rPr>
            <w:webHidden/>
          </w:rPr>
          <w:fldChar w:fldCharType="begin"/>
        </w:r>
        <w:r w:rsidRPr="0034563D">
          <w:rPr>
            <w:webHidden/>
          </w:rPr>
          <w:instrText xml:space="preserve"> PAGEREF _Toc225966624 \h </w:instrText>
        </w:r>
        <w:r w:rsidRPr="0034563D">
          <w:rPr>
            <w:webHidden/>
          </w:rPr>
        </w:r>
        <w:r w:rsidRPr="0034563D">
          <w:rPr>
            <w:webHidden/>
          </w:rPr>
          <w:fldChar w:fldCharType="separate"/>
        </w:r>
        <w:r w:rsidRPr="0034563D">
          <w:rPr>
            <w:webHidden/>
          </w:rPr>
          <w:t>2</w:t>
        </w:r>
        <w:r>
          <w:rPr>
            <w:webHidden/>
          </w:rPr>
          <w:t>8</w:t>
        </w:r>
        <w:r w:rsidRPr="0034563D">
          <w:rPr>
            <w:webHidden/>
          </w:rPr>
          <w:fldChar w:fldCharType="end"/>
        </w:r>
      </w:hyperlink>
    </w:p>
    <w:p w14:paraId="36A8508E" w14:textId="77777777" w:rsidR="0077786D" w:rsidRDefault="0077786D" w:rsidP="0077786D">
      <w:pPr>
        <w:pStyle w:val="TOC1"/>
        <w:rPr>
          <w:rFonts w:eastAsiaTheme="minorEastAsia"/>
          <w:lang w:eastAsia="en-GB"/>
        </w:rPr>
      </w:pPr>
      <w:hyperlink w:anchor="_Toc225966625" w:history="1">
        <w:r w:rsidRPr="00804891">
          <w:rPr>
            <w:rStyle w:val="Hyperlink"/>
          </w:rPr>
          <w:t>Introduction</w:t>
        </w:r>
        <w:r>
          <w:rPr>
            <w:webHidden/>
          </w:rPr>
          <w:tab/>
        </w:r>
        <w:r>
          <w:rPr>
            <w:webHidden/>
          </w:rPr>
          <w:fldChar w:fldCharType="begin"/>
        </w:r>
        <w:r>
          <w:rPr>
            <w:webHidden/>
          </w:rPr>
          <w:instrText xml:space="preserve"> PAGEREF _Toc225966625 \h </w:instrText>
        </w:r>
        <w:r>
          <w:rPr>
            <w:webHidden/>
          </w:rPr>
        </w:r>
        <w:r>
          <w:rPr>
            <w:webHidden/>
          </w:rPr>
          <w:fldChar w:fldCharType="separate"/>
        </w:r>
        <w:r>
          <w:rPr>
            <w:webHidden/>
          </w:rPr>
          <w:t>28</w:t>
        </w:r>
        <w:r>
          <w:rPr>
            <w:webHidden/>
          </w:rPr>
          <w:fldChar w:fldCharType="end"/>
        </w:r>
      </w:hyperlink>
    </w:p>
    <w:p w14:paraId="72271B65" w14:textId="77777777" w:rsidR="0077786D" w:rsidRDefault="0077786D" w:rsidP="0077786D">
      <w:pPr>
        <w:pStyle w:val="TOC1"/>
        <w:rPr>
          <w:rFonts w:eastAsiaTheme="minorEastAsia"/>
          <w:lang w:eastAsia="en-GB"/>
        </w:rPr>
      </w:pPr>
      <w:hyperlink w:anchor="_Toc225966626" w:history="1">
        <w:r w:rsidRPr="00804891">
          <w:rPr>
            <w:rStyle w:val="Hyperlink"/>
          </w:rPr>
          <w:t>Thematic Analysis</w:t>
        </w:r>
        <w:r>
          <w:rPr>
            <w:webHidden/>
          </w:rPr>
          <w:tab/>
        </w:r>
        <w:r>
          <w:rPr>
            <w:webHidden/>
          </w:rPr>
          <w:fldChar w:fldCharType="begin"/>
        </w:r>
        <w:r>
          <w:rPr>
            <w:webHidden/>
          </w:rPr>
          <w:instrText xml:space="preserve"> PAGEREF _Toc225966626 \h </w:instrText>
        </w:r>
        <w:r>
          <w:rPr>
            <w:webHidden/>
          </w:rPr>
        </w:r>
        <w:r>
          <w:rPr>
            <w:webHidden/>
          </w:rPr>
          <w:fldChar w:fldCharType="separate"/>
        </w:r>
        <w:r>
          <w:rPr>
            <w:webHidden/>
          </w:rPr>
          <w:t>28,29</w:t>
        </w:r>
        <w:r>
          <w:rPr>
            <w:webHidden/>
          </w:rPr>
          <w:fldChar w:fldCharType="end"/>
        </w:r>
      </w:hyperlink>
    </w:p>
    <w:p w14:paraId="6152DA4A" w14:textId="77777777" w:rsidR="0077786D" w:rsidRDefault="0077786D" w:rsidP="0077786D">
      <w:pPr>
        <w:pStyle w:val="TOC1"/>
        <w:rPr>
          <w:rFonts w:eastAsiaTheme="minorEastAsia"/>
          <w:lang w:eastAsia="en-GB"/>
        </w:rPr>
      </w:pPr>
      <w:hyperlink w:anchor="_Toc225966627" w:history="1">
        <w:r w:rsidRPr="00804891">
          <w:rPr>
            <w:rStyle w:val="Hyperlink"/>
          </w:rPr>
          <w:t>Theme 1: Alcohol-Related Brain Damage and Young-Onset Dementia</w:t>
        </w:r>
        <w:r>
          <w:rPr>
            <w:webHidden/>
          </w:rPr>
          <w:tab/>
          <w:t>29</w:t>
        </w:r>
      </w:hyperlink>
    </w:p>
    <w:p w14:paraId="428D389A" w14:textId="77777777" w:rsidR="0077786D" w:rsidRDefault="0077786D" w:rsidP="0077786D">
      <w:pPr>
        <w:pStyle w:val="TOC1"/>
        <w:rPr>
          <w:rFonts w:eastAsiaTheme="minorEastAsia"/>
          <w:lang w:eastAsia="en-GB"/>
        </w:rPr>
      </w:pPr>
      <w:hyperlink w:anchor="_Toc225966628" w:history="1">
        <w:r w:rsidRPr="00804891">
          <w:rPr>
            <w:rStyle w:val="Hyperlink"/>
          </w:rPr>
          <w:t>Definition</w:t>
        </w:r>
        <w:r>
          <w:rPr>
            <w:webHidden/>
          </w:rPr>
          <w:tab/>
          <w:t>29</w:t>
        </w:r>
      </w:hyperlink>
    </w:p>
    <w:p w14:paraId="3EC13F1E" w14:textId="77777777" w:rsidR="0077786D" w:rsidRDefault="0077786D" w:rsidP="0077786D">
      <w:pPr>
        <w:pStyle w:val="TOC1"/>
        <w:rPr>
          <w:rFonts w:eastAsiaTheme="minorEastAsia"/>
          <w:lang w:eastAsia="en-GB"/>
        </w:rPr>
      </w:pPr>
      <w:hyperlink w:anchor="_Toc225966629" w:history="1">
        <w:r w:rsidRPr="00804891">
          <w:rPr>
            <w:rStyle w:val="Hyperlink"/>
          </w:rPr>
          <w:t>Historical and Contextual Background</w:t>
        </w:r>
        <w:r>
          <w:rPr>
            <w:webHidden/>
          </w:rPr>
          <w:tab/>
          <w:t>29,30</w:t>
        </w:r>
      </w:hyperlink>
    </w:p>
    <w:p w14:paraId="169F2D34" w14:textId="77777777" w:rsidR="0077786D" w:rsidRDefault="0077786D" w:rsidP="0077786D">
      <w:pPr>
        <w:pStyle w:val="TOC1"/>
        <w:rPr>
          <w:rFonts w:eastAsiaTheme="minorEastAsia"/>
          <w:lang w:eastAsia="en-GB"/>
        </w:rPr>
      </w:pPr>
      <w:hyperlink w:anchor="_Toc225966630" w:history="1">
        <w:r w:rsidRPr="00804891">
          <w:rPr>
            <w:rStyle w:val="Hyperlink"/>
          </w:rPr>
          <w:t>Impact on Research Question</w:t>
        </w:r>
        <w:r>
          <w:rPr>
            <w:webHidden/>
          </w:rPr>
          <w:tab/>
        </w:r>
        <w:r>
          <w:rPr>
            <w:webHidden/>
          </w:rPr>
          <w:fldChar w:fldCharType="begin"/>
        </w:r>
        <w:r>
          <w:rPr>
            <w:webHidden/>
          </w:rPr>
          <w:instrText xml:space="preserve"> PAGEREF _Toc225966630 \h </w:instrText>
        </w:r>
        <w:r>
          <w:rPr>
            <w:webHidden/>
          </w:rPr>
        </w:r>
        <w:r>
          <w:rPr>
            <w:webHidden/>
          </w:rPr>
          <w:fldChar w:fldCharType="separate"/>
        </w:r>
        <w:r>
          <w:rPr>
            <w:webHidden/>
          </w:rPr>
          <w:t>30</w:t>
        </w:r>
        <w:r>
          <w:rPr>
            <w:webHidden/>
          </w:rPr>
          <w:fldChar w:fldCharType="end"/>
        </w:r>
      </w:hyperlink>
    </w:p>
    <w:p w14:paraId="7395EC6B" w14:textId="77777777" w:rsidR="0077786D" w:rsidRDefault="0077786D" w:rsidP="0077786D">
      <w:pPr>
        <w:pStyle w:val="TOC1"/>
        <w:rPr>
          <w:rFonts w:eastAsiaTheme="minorEastAsia"/>
          <w:lang w:eastAsia="en-GB"/>
        </w:rPr>
      </w:pPr>
      <w:hyperlink w:anchor="_Toc225966631" w:history="1">
        <w:r w:rsidRPr="00804891">
          <w:rPr>
            <w:rStyle w:val="Hyperlink"/>
          </w:rPr>
          <w:t>Statistical Information</w:t>
        </w:r>
        <w:r>
          <w:rPr>
            <w:webHidden/>
          </w:rPr>
          <w:tab/>
          <w:t>30,</w:t>
        </w:r>
        <w:r>
          <w:rPr>
            <w:webHidden/>
          </w:rPr>
          <w:fldChar w:fldCharType="begin"/>
        </w:r>
        <w:r>
          <w:rPr>
            <w:webHidden/>
          </w:rPr>
          <w:instrText xml:space="preserve"> PAGEREF _Toc225966631 \h </w:instrText>
        </w:r>
        <w:r>
          <w:rPr>
            <w:webHidden/>
          </w:rPr>
        </w:r>
        <w:r>
          <w:rPr>
            <w:webHidden/>
          </w:rPr>
          <w:fldChar w:fldCharType="separate"/>
        </w:r>
        <w:r>
          <w:rPr>
            <w:webHidden/>
          </w:rPr>
          <w:t>31</w:t>
        </w:r>
        <w:r>
          <w:rPr>
            <w:webHidden/>
          </w:rPr>
          <w:fldChar w:fldCharType="end"/>
        </w:r>
      </w:hyperlink>
    </w:p>
    <w:p w14:paraId="599BBE7A" w14:textId="77777777" w:rsidR="0077786D" w:rsidRDefault="0077786D" w:rsidP="0077786D">
      <w:pPr>
        <w:pStyle w:val="TOC1"/>
        <w:rPr>
          <w:rFonts w:eastAsiaTheme="minorEastAsia"/>
          <w:lang w:eastAsia="en-GB"/>
        </w:rPr>
      </w:pPr>
      <w:hyperlink w:anchor="_Toc225966632" w:history="1">
        <w:r w:rsidRPr="00804891">
          <w:rPr>
            <w:rStyle w:val="Hyperlink"/>
          </w:rPr>
          <w:t>Theoretical Framework</w:t>
        </w:r>
        <w:r>
          <w:rPr>
            <w:webHidden/>
          </w:rPr>
          <w:tab/>
          <w:t>31,</w:t>
        </w:r>
        <w:r>
          <w:rPr>
            <w:webHidden/>
          </w:rPr>
          <w:fldChar w:fldCharType="begin"/>
        </w:r>
        <w:r>
          <w:rPr>
            <w:webHidden/>
          </w:rPr>
          <w:instrText xml:space="preserve"> PAGEREF _Toc225966632 \h </w:instrText>
        </w:r>
        <w:r>
          <w:rPr>
            <w:webHidden/>
          </w:rPr>
        </w:r>
        <w:r>
          <w:rPr>
            <w:webHidden/>
          </w:rPr>
          <w:fldChar w:fldCharType="separate"/>
        </w:r>
        <w:r>
          <w:rPr>
            <w:webHidden/>
          </w:rPr>
          <w:t>32</w:t>
        </w:r>
        <w:r>
          <w:rPr>
            <w:webHidden/>
          </w:rPr>
          <w:fldChar w:fldCharType="end"/>
        </w:r>
      </w:hyperlink>
    </w:p>
    <w:p w14:paraId="46E74708" w14:textId="77777777" w:rsidR="0077786D" w:rsidRDefault="0077786D" w:rsidP="0077786D">
      <w:pPr>
        <w:pStyle w:val="TOC1"/>
        <w:rPr>
          <w:rFonts w:eastAsiaTheme="minorEastAsia"/>
          <w:lang w:eastAsia="en-GB"/>
        </w:rPr>
      </w:pPr>
      <w:hyperlink w:anchor="_Toc225966633" w:history="1">
        <w:r w:rsidRPr="00804891">
          <w:rPr>
            <w:rStyle w:val="Hyperlink"/>
          </w:rPr>
          <w:t>Policy and Legislation</w:t>
        </w:r>
        <w:r>
          <w:rPr>
            <w:webHidden/>
          </w:rPr>
          <w:tab/>
        </w:r>
        <w:r>
          <w:rPr>
            <w:webHidden/>
          </w:rPr>
          <w:fldChar w:fldCharType="begin"/>
        </w:r>
        <w:r>
          <w:rPr>
            <w:webHidden/>
          </w:rPr>
          <w:instrText xml:space="preserve"> PAGEREF _Toc225966633 \h </w:instrText>
        </w:r>
        <w:r>
          <w:rPr>
            <w:webHidden/>
          </w:rPr>
        </w:r>
        <w:r>
          <w:rPr>
            <w:webHidden/>
          </w:rPr>
          <w:fldChar w:fldCharType="separate"/>
        </w:r>
        <w:r>
          <w:rPr>
            <w:webHidden/>
          </w:rPr>
          <w:t>32</w:t>
        </w:r>
        <w:r>
          <w:rPr>
            <w:webHidden/>
          </w:rPr>
          <w:fldChar w:fldCharType="end"/>
        </w:r>
      </w:hyperlink>
    </w:p>
    <w:p w14:paraId="319CC949" w14:textId="77777777" w:rsidR="0077786D" w:rsidRDefault="0077786D" w:rsidP="0077786D">
      <w:pPr>
        <w:pStyle w:val="TOC1"/>
        <w:rPr>
          <w:rFonts w:eastAsiaTheme="minorEastAsia"/>
          <w:lang w:eastAsia="en-GB"/>
        </w:rPr>
      </w:pPr>
      <w:hyperlink w:anchor="_Toc225966634" w:history="1">
        <w:r w:rsidRPr="00804891">
          <w:rPr>
            <w:rStyle w:val="Hyperlink"/>
          </w:rPr>
          <w:t>Positive Implications</w:t>
        </w:r>
        <w:r>
          <w:rPr>
            <w:webHidden/>
          </w:rPr>
          <w:tab/>
          <w:t>32,</w:t>
        </w:r>
        <w:r>
          <w:rPr>
            <w:webHidden/>
          </w:rPr>
          <w:fldChar w:fldCharType="begin"/>
        </w:r>
        <w:r>
          <w:rPr>
            <w:webHidden/>
          </w:rPr>
          <w:instrText xml:space="preserve"> PAGEREF _Toc225966634 \h </w:instrText>
        </w:r>
        <w:r>
          <w:rPr>
            <w:webHidden/>
          </w:rPr>
        </w:r>
        <w:r>
          <w:rPr>
            <w:webHidden/>
          </w:rPr>
          <w:fldChar w:fldCharType="separate"/>
        </w:r>
        <w:r>
          <w:rPr>
            <w:webHidden/>
          </w:rPr>
          <w:t>33</w:t>
        </w:r>
        <w:r>
          <w:rPr>
            <w:webHidden/>
          </w:rPr>
          <w:fldChar w:fldCharType="end"/>
        </w:r>
      </w:hyperlink>
    </w:p>
    <w:p w14:paraId="66E2C504" w14:textId="77777777" w:rsidR="0077786D" w:rsidRDefault="0077786D" w:rsidP="0077786D">
      <w:pPr>
        <w:pStyle w:val="TOC1"/>
        <w:rPr>
          <w:rFonts w:eastAsiaTheme="minorEastAsia"/>
          <w:lang w:eastAsia="en-GB"/>
        </w:rPr>
      </w:pPr>
      <w:hyperlink w:anchor="_Toc225966635" w:history="1">
        <w:r w:rsidRPr="00804891">
          <w:rPr>
            <w:rStyle w:val="Hyperlink"/>
          </w:rPr>
          <w:t>Negative Implications</w:t>
        </w:r>
        <w:r>
          <w:rPr>
            <w:webHidden/>
          </w:rPr>
          <w:tab/>
        </w:r>
        <w:r>
          <w:rPr>
            <w:webHidden/>
          </w:rPr>
          <w:fldChar w:fldCharType="begin"/>
        </w:r>
        <w:r>
          <w:rPr>
            <w:webHidden/>
          </w:rPr>
          <w:instrText xml:space="preserve"> PAGEREF _Toc225966635 \h </w:instrText>
        </w:r>
        <w:r>
          <w:rPr>
            <w:webHidden/>
          </w:rPr>
        </w:r>
        <w:r>
          <w:rPr>
            <w:webHidden/>
          </w:rPr>
          <w:fldChar w:fldCharType="separate"/>
        </w:r>
        <w:r>
          <w:rPr>
            <w:webHidden/>
          </w:rPr>
          <w:t>33</w:t>
        </w:r>
        <w:r>
          <w:rPr>
            <w:webHidden/>
          </w:rPr>
          <w:fldChar w:fldCharType="end"/>
        </w:r>
      </w:hyperlink>
    </w:p>
    <w:p w14:paraId="24AD1FF1" w14:textId="77777777" w:rsidR="0077786D" w:rsidRDefault="0077786D" w:rsidP="0077786D">
      <w:pPr>
        <w:pStyle w:val="TOC1"/>
        <w:rPr>
          <w:rFonts w:eastAsiaTheme="minorEastAsia"/>
          <w:lang w:eastAsia="en-GB"/>
        </w:rPr>
      </w:pPr>
      <w:hyperlink w:anchor="_Toc225966636" w:history="1">
        <w:r w:rsidRPr="00804891">
          <w:rPr>
            <w:rStyle w:val="Hyperlink"/>
          </w:rPr>
          <w:t>Literature Examples</w:t>
        </w:r>
        <w:r>
          <w:rPr>
            <w:webHidden/>
          </w:rPr>
          <w:tab/>
        </w:r>
        <w:r>
          <w:rPr>
            <w:webHidden/>
          </w:rPr>
          <w:fldChar w:fldCharType="begin"/>
        </w:r>
        <w:r>
          <w:rPr>
            <w:webHidden/>
          </w:rPr>
          <w:instrText xml:space="preserve"> PAGEREF _Toc225966636 \h </w:instrText>
        </w:r>
        <w:r>
          <w:rPr>
            <w:webHidden/>
          </w:rPr>
        </w:r>
        <w:r>
          <w:rPr>
            <w:webHidden/>
          </w:rPr>
          <w:fldChar w:fldCharType="separate"/>
        </w:r>
        <w:r>
          <w:rPr>
            <w:webHidden/>
          </w:rPr>
          <w:t>33</w:t>
        </w:r>
        <w:r>
          <w:rPr>
            <w:webHidden/>
          </w:rPr>
          <w:fldChar w:fldCharType="end"/>
        </w:r>
      </w:hyperlink>
    </w:p>
    <w:p w14:paraId="20AF3333" w14:textId="77777777" w:rsidR="0077786D" w:rsidRDefault="0077786D" w:rsidP="0077786D">
      <w:pPr>
        <w:pStyle w:val="TOC1"/>
        <w:rPr>
          <w:rFonts w:eastAsiaTheme="minorEastAsia"/>
          <w:lang w:eastAsia="en-GB"/>
        </w:rPr>
      </w:pPr>
      <w:hyperlink w:anchor="_Toc225966637" w:history="1">
        <w:r w:rsidRPr="00804891">
          <w:rPr>
            <w:rStyle w:val="Hyperlink"/>
          </w:rPr>
          <w:t>Connections to Other Themes</w:t>
        </w:r>
        <w:r>
          <w:rPr>
            <w:webHidden/>
          </w:rPr>
          <w:tab/>
          <w:t>33</w:t>
        </w:r>
      </w:hyperlink>
    </w:p>
    <w:p w14:paraId="7C4BEC69" w14:textId="77777777" w:rsidR="0077786D" w:rsidRDefault="0077786D" w:rsidP="0077786D">
      <w:pPr>
        <w:pStyle w:val="TOC1"/>
        <w:rPr>
          <w:rFonts w:eastAsiaTheme="minorEastAsia"/>
          <w:lang w:eastAsia="en-GB"/>
        </w:rPr>
      </w:pPr>
      <w:hyperlink w:anchor="_Toc225966638" w:history="1">
        <w:r w:rsidRPr="00804891">
          <w:rPr>
            <w:rStyle w:val="Hyperlink"/>
          </w:rPr>
          <w:t>Theme 2: Socioeconomic Deprivation and Dementia Risk</w:t>
        </w:r>
        <w:r>
          <w:rPr>
            <w:webHidden/>
          </w:rPr>
          <w:tab/>
        </w:r>
        <w:r>
          <w:rPr>
            <w:webHidden/>
          </w:rPr>
          <w:fldChar w:fldCharType="begin"/>
        </w:r>
        <w:r>
          <w:rPr>
            <w:webHidden/>
          </w:rPr>
          <w:instrText xml:space="preserve"> PAGEREF _Toc225966638 \h </w:instrText>
        </w:r>
        <w:r>
          <w:rPr>
            <w:webHidden/>
          </w:rPr>
        </w:r>
        <w:r>
          <w:rPr>
            <w:webHidden/>
          </w:rPr>
          <w:fldChar w:fldCharType="separate"/>
        </w:r>
        <w:r>
          <w:rPr>
            <w:webHidden/>
          </w:rPr>
          <w:t>34</w:t>
        </w:r>
        <w:r>
          <w:rPr>
            <w:webHidden/>
          </w:rPr>
          <w:fldChar w:fldCharType="end"/>
        </w:r>
      </w:hyperlink>
    </w:p>
    <w:p w14:paraId="07B983E4" w14:textId="77777777" w:rsidR="0077786D" w:rsidRDefault="0077786D" w:rsidP="0077786D">
      <w:pPr>
        <w:pStyle w:val="TOC1"/>
        <w:rPr>
          <w:rFonts w:eastAsiaTheme="minorEastAsia"/>
          <w:lang w:eastAsia="en-GB"/>
        </w:rPr>
      </w:pPr>
      <w:hyperlink w:anchor="_Toc225966639" w:history="1">
        <w:r w:rsidRPr="00804891">
          <w:rPr>
            <w:rStyle w:val="Hyperlink"/>
          </w:rPr>
          <w:t>Historical and Contextual Background</w:t>
        </w:r>
        <w:r>
          <w:rPr>
            <w:webHidden/>
          </w:rPr>
          <w:tab/>
          <w:t>43,</w:t>
        </w:r>
        <w:r>
          <w:rPr>
            <w:webHidden/>
          </w:rPr>
          <w:fldChar w:fldCharType="begin"/>
        </w:r>
        <w:r>
          <w:rPr>
            <w:webHidden/>
          </w:rPr>
          <w:instrText xml:space="preserve"> PAGEREF _Toc225966639 \h </w:instrText>
        </w:r>
        <w:r>
          <w:rPr>
            <w:webHidden/>
          </w:rPr>
        </w:r>
        <w:r>
          <w:rPr>
            <w:webHidden/>
          </w:rPr>
          <w:fldChar w:fldCharType="separate"/>
        </w:r>
        <w:r>
          <w:rPr>
            <w:webHidden/>
          </w:rPr>
          <w:t>35</w:t>
        </w:r>
        <w:r>
          <w:rPr>
            <w:webHidden/>
          </w:rPr>
          <w:fldChar w:fldCharType="end"/>
        </w:r>
      </w:hyperlink>
    </w:p>
    <w:p w14:paraId="73056C29" w14:textId="77777777" w:rsidR="0077786D" w:rsidRDefault="0077786D" w:rsidP="0077786D">
      <w:pPr>
        <w:pStyle w:val="TOC1"/>
        <w:rPr>
          <w:rFonts w:eastAsiaTheme="minorEastAsia"/>
          <w:lang w:eastAsia="en-GB"/>
        </w:rPr>
      </w:pPr>
      <w:hyperlink w:anchor="_Toc225966640" w:history="1">
        <w:r w:rsidRPr="00804891">
          <w:rPr>
            <w:rStyle w:val="Hyperlink"/>
          </w:rPr>
          <w:t>Impact on Research Question</w:t>
        </w:r>
        <w:r>
          <w:rPr>
            <w:webHidden/>
          </w:rPr>
          <w:tab/>
        </w:r>
        <w:r>
          <w:rPr>
            <w:webHidden/>
          </w:rPr>
          <w:fldChar w:fldCharType="begin"/>
        </w:r>
        <w:r>
          <w:rPr>
            <w:webHidden/>
          </w:rPr>
          <w:instrText xml:space="preserve"> PAGEREF _Toc225966640 \h </w:instrText>
        </w:r>
        <w:r>
          <w:rPr>
            <w:webHidden/>
          </w:rPr>
        </w:r>
        <w:r>
          <w:rPr>
            <w:webHidden/>
          </w:rPr>
          <w:fldChar w:fldCharType="separate"/>
        </w:r>
        <w:r>
          <w:rPr>
            <w:webHidden/>
          </w:rPr>
          <w:t>35</w:t>
        </w:r>
        <w:r>
          <w:rPr>
            <w:webHidden/>
          </w:rPr>
          <w:fldChar w:fldCharType="end"/>
        </w:r>
      </w:hyperlink>
    </w:p>
    <w:p w14:paraId="321352C9" w14:textId="77777777" w:rsidR="0077786D" w:rsidRDefault="0077786D" w:rsidP="0077786D">
      <w:pPr>
        <w:pStyle w:val="TOC1"/>
        <w:rPr>
          <w:rFonts w:eastAsiaTheme="minorEastAsia"/>
          <w:lang w:eastAsia="en-GB"/>
        </w:rPr>
      </w:pPr>
      <w:hyperlink w:anchor="_Toc225966641" w:history="1">
        <w:r w:rsidRPr="00804891">
          <w:rPr>
            <w:rStyle w:val="Hyperlink"/>
          </w:rPr>
          <w:t>Statistical Information</w:t>
        </w:r>
        <w:r>
          <w:rPr>
            <w:webHidden/>
          </w:rPr>
          <w:tab/>
          <w:t>35,</w:t>
        </w:r>
        <w:r>
          <w:rPr>
            <w:webHidden/>
          </w:rPr>
          <w:fldChar w:fldCharType="begin"/>
        </w:r>
        <w:r>
          <w:rPr>
            <w:webHidden/>
          </w:rPr>
          <w:instrText xml:space="preserve"> PAGEREF _Toc225966641 \h </w:instrText>
        </w:r>
        <w:r>
          <w:rPr>
            <w:webHidden/>
          </w:rPr>
        </w:r>
        <w:r>
          <w:rPr>
            <w:webHidden/>
          </w:rPr>
          <w:fldChar w:fldCharType="separate"/>
        </w:r>
        <w:r>
          <w:rPr>
            <w:webHidden/>
          </w:rPr>
          <w:t>36</w:t>
        </w:r>
        <w:r>
          <w:rPr>
            <w:webHidden/>
          </w:rPr>
          <w:fldChar w:fldCharType="end"/>
        </w:r>
      </w:hyperlink>
    </w:p>
    <w:p w14:paraId="2A5BC675" w14:textId="77777777" w:rsidR="0077786D" w:rsidRDefault="0077786D" w:rsidP="0077786D">
      <w:pPr>
        <w:pStyle w:val="TOC1"/>
        <w:rPr>
          <w:rFonts w:eastAsiaTheme="minorEastAsia"/>
          <w:lang w:eastAsia="en-GB"/>
        </w:rPr>
      </w:pPr>
      <w:hyperlink w:anchor="_Toc225966642" w:history="1">
        <w:r w:rsidRPr="00804891">
          <w:rPr>
            <w:rStyle w:val="Hyperlink"/>
          </w:rPr>
          <w:t>Theoretical Framework</w:t>
        </w:r>
        <w:r>
          <w:rPr>
            <w:webHidden/>
          </w:rPr>
          <w:tab/>
        </w:r>
        <w:r>
          <w:rPr>
            <w:webHidden/>
          </w:rPr>
          <w:fldChar w:fldCharType="begin"/>
        </w:r>
        <w:r>
          <w:rPr>
            <w:webHidden/>
          </w:rPr>
          <w:instrText xml:space="preserve"> PAGEREF _Toc225966642 \h </w:instrText>
        </w:r>
        <w:r>
          <w:rPr>
            <w:webHidden/>
          </w:rPr>
        </w:r>
        <w:r>
          <w:rPr>
            <w:webHidden/>
          </w:rPr>
          <w:fldChar w:fldCharType="separate"/>
        </w:r>
        <w:r>
          <w:rPr>
            <w:webHidden/>
          </w:rPr>
          <w:t>36</w:t>
        </w:r>
        <w:r>
          <w:rPr>
            <w:webHidden/>
          </w:rPr>
          <w:fldChar w:fldCharType="end"/>
        </w:r>
      </w:hyperlink>
    </w:p>
    <w:p w14:paraId="1DD93D63" w14:textId="77777777" w:rsidR="0077786D" w:rsidRDefault="0077786D" w:rsidP="0077786D">
      <w:pPr>
        <w:pStyle w:val="TOC1"/>
        <w:rPr>
          <w:rFonts w:eastAsiaTheme="minorEastAsia"/>
          <w:lang w:eastAsia="en-GB"/>
        </w:rPr>
      </w:pPr>
      <w:hyperlink w:anchor="_Toc225966643" w:history="1">
        <w:r w:rsidRPr="00804891">
          <w:rPr>
            <w:rStyle w:val="Hyperlink"/>
          </w:rPr>
          <w:t>Policy and Legislation</w:t>
        </w:r>
        <w:r>
          <w:rPr>
            <w:webHidden/>
          </w:rPr>
          <w:tab/>
          <w:t>36,</w:t>
        </w:r>
        <w:r>
          <w:rPr>
            <w:webHidden/>
          </w:rPr>
          <w:fldChar w:fldCharType="begin"/>
        </w:r>
        <w:r>
          <w:rPr>
            <w:webHidden/>
          </w:rPr>
          <w:instrText xml:space="preserve"> PAGEREF _Toc225966643 \h </w:instrText>
        </w:r>
        <w:r>
          <w:rPr>
            <w:webHidden/>
          </w:rPr>
        </w:r>
        <w:r>
          <w:rPr>
            <w:webHidden/>
          </w:rPr>
          <w:fldChar w:fldCharType="separate"/>
        </w:r>
        <w:r>
          <w:rPr>
            <w:webHidden/>
          </w:rPr>
          <w:t>37</w:t>
        </w:r>
        <w:r>
          <w:rPr>
            <w:webHidden/>
          </w:rPr>
          <w:fldChar w:fldCharType="end"/>
        </w:r>
      </w:hyperlink>
    </w:p>
    <w:p w14:paraId="3214D25C" w14:textId="77777777" w:rsidR="0077786D" w:rsidRDefault="0077786D" w:rsidP="0077786D">
      <w:pPr>
        <w:pStyle w:val="TOC1"/>
        <w:rPr>
          <w:rFonts w:eastAsiaTheme="minorEastAsia"/>
          <w:lang w:eastAsia="en-GB"/>
        </w:rPr>
      </w:pPr>
      <w:hyperlink w:anchor="_Toc225966644" w:history="1">
        <w:r w:rsidRPr="00804891">
          <w:rPr>
            <w:rStyle w:val="Hyperlink"/>
          </w:rPr>
          <w:t>Addressing deprivation effectively requires multi-level interventions:</w:t>
        </w:r>
        <w:r>
          <w:rPr>
            <w:webHidden/>
          </w:rPr>
          <w:tab/>
        </w:r>
        <w:r>
          <w:rPr>
            <w:webHidden/>
          </w:rPr>
          <w:fldChar w:fldCharType="begin"/>
        </w:r>
        <w:r>
          <w:rPr>
            <w:webHidden/>
          </w:rPr>
          <w:instrText xml:space="preserve"> PAGEREF _Toc225966644 \h </w:instrText>
        </w:r>
        <w:r>
          <w:rPr>
            <w:webHidden/>
          </w:rPr>
        </w:r>
        <w:r>
          <w:rPr>
            <w:webHidden/>
          </w:rPr>
          <w:fldChar w:fldCharType="separate"/>
        </w:r>
        <w:r>
          <w:rPr>
            <w:webHidden/>
          </w:rPr>
          <w:t>37</w:t>
        </w:r>
        <w:r>
          <w:rPr>
            <w:webHidden/>
          </w:rPr>
          <w:fldChar w:fldCharType="end"/>
        </w:r>
      </w:hyperlink>
    </w:p>
    <w:p w14:paraId="63D6F3A1" w14:textId="77777777" w:rsidR="0077786D" w:rsidRDefault="0077786D" w:rsidP="0077786D">
      <w:pPr>
        <w:pStyle w:val="TOC1"/>
        <w:rPr>
          <w:rFonts w:eastAsiaTheme="minorEastAsia"/>
          <w:lang w:eastAsia="en-GB"/>
        </w:rPr>
      </w:pPr>
      <w:hyperlink w:anchor="_Toc225966645" w:history="1">
        <w:r w:rsidRPr="00804891">
          <w:rPr>
            <w:rStyle w:val="Hyperlink"/>
          </w:rPr>
          <w:t>Positive Implications</w:t>
        </w:r>
        <w:r>
          <w:rPr>
            <w:webHidden/>
          </w:rPr>
          <w:tab/>
        </w:r>
        <w:r>
          <w:rPr>
            <w:webHidden/>
          </w:rPr>
          <w:fldChar w:fldCharType="begin"/>
        </w:r>
        <w:r>
          <w:rPr>
            <w:webHidden/>
          </w:rPr>
          <w:instrText xml:space="preserve"> PAGEREF _Toc225966645 \h </w:instrText>
        </w:r>
        <w:r>
          <w:rPr>
            <w:webHidden/>
          </w:rPr>
        </w:r>
        <w:r>
          <w:rPr>
            <w:webHidden/>
          </w:rPr>
          <w:fldChar w:fldCharType="separate"/>
        </w:r>
        <w:r>
          <w:rPr>
            <w:webHidden/>
          </w:rPr>
          <w:t>37</w:t>
        </w:r>
        <w:r>
          <w:rPr>
            <w:webHidden/>
          </w:rPr>
          <w:fldChar w:fldCharType="end"/>
        </w:r>
      </w:hyperlink>
    </w:p>
    <w:p w14:paraId="484D4A05" w14:textId="77777777" w:rsidR="0077786D" w:rsidRDefault="0077786D" w:rsidP="0077786D">
      <w:pPr>
        <w:pStyle w:val="TOC1"/>
        <w:rPr>
          <w:rFonts w:eastAsiaTheme="minorEastAsia"/>
          <w:lang w:eastAsia="en-GB"/>
        </w:rPr>
      </w:pPr>
      <w:hyperlink w:anchor="_Toc225966646" w:history="1">
        <w:r w:rsidRPr="00804891">
          <w:rPr>
            <w:rStyle w:val="Hyperlink"/>
          </w:rPr>
          <w:t>Negative Implications</w:t>
        </w:r>
        <w:r>
          <w:rPr>
            <w:webHidden/>
          </w:rPr>
          <w:tab/>
          <w:t>37</w:t>
        </w:r>
      </w:hyperlink>
    </w:p>
    <w:p w14:paraId="581D762F" w14:textId="77777777" w:rsidR="0077786D" w:rsidRDefault="0077786D" w:rsidP="0077786D">
      <w:pPr>
        <w:pStyle w:val="TOC1"/>
        <w:rPr>
          <w:rFonts w:eastAsiaTheme="minorEastAsia"/>
          <w:lang w:eastAsia="en-GB"/>
        </w:rPr>
      </w:pPr>
      <w:hyperlink w:anchor="_Toc225966647" w:history="1">
        <w:r w:rsidRPr="00804891">
          <w:rPr>
            <w:rStyle w:val="Hyperlink"/>
          </w:rPr>
          <w:t>Literature Examples</w:t>
        </w:r>
        <w:r>
          <w:rPr>
            <w:webHidden/>
          </w:rPr>
          <w:tab/>
          <w:t>37,</w:t>
        </w:r>
        <w:r>
          <w:rPr>
            <w:webHidden/>
          </w:rPr>
          <w:fldChar w:fldCharType="begin"/>
        </w:r>
        <w:r>
          <w:rPr>
            <w:webHidden/>
          </w:rPr>
          <w:instrText xml:space="preserve"> PAGEREF _Toc225966647 \h </w:instrText>
        </w:r>
        <w:r>
          <w:rPr>
            <w:webHidden/>
          </w:rPr>
        </w:r>
        <w:r>
          <w:rPr>
            <w:webHidden/>
          </w:rPr>
          <w:fldChar w:fldCharType="separate"/>
        </w:r>
        <w:r>
          <w:rPr>
            <w:webHidden/>
          </w:rPr>
          <w:t>38</w:t>
        </w:r>
        <w:r>
          <w:rPr>
            <w:webHidden/>
          </w:rPr>
          <w:fldChar w:fldCharType="end"/>
        </w:r>
      </w:hyperlink>
    </w:p>
    <w:p w14:paraId="7D4BD724" w14:textId="77777777" w:rsidR="0077786D" w:rsidRDefault="0077786D" w:rsidP="0077786D">
      <w:pPr>
        <w:pStyle w:val="TOC1"/>
        <w:rPr>
          <w:rFonts w:eastAsiaTheme="minorEastAsia"/>
          <w:lang w:eastAsia="en-GB"/>
        </w:rPr>
      </w:pPr>
      <w:hyperlink w:anchor="_Toc225966648" w:history="1">
        <w:r w:rsidRPr="00804891">
          <w:rPr>
            <w:rStyle w:val="Hyperlink"/>
          </w:rPr>
          <w:t>Connections to Other Themes</w:t>
        </w:r>
        <w:r>
          <w:rPr>
            <w:webHidden/>
          </w:rPr>
          <w:tab/>
        </w:r>
        <w:r>
          <w:rPr>
            <w:webHidden/>
          </w:rPr>
          <w:fldChar w:fldCharType="begin"/>
        </w:r>
        <w:r>
          <w:rPr>
            <w:webHidden/>
          </w:rPr>
          <w:instrText xml:space="preserve"> PAGEREF _Toc225966648 \h </w:instrText>
        </w:r>
        <w:r>
          <w:rPr>
            <w:webHidden/>
          </w:rPr>
        </w:r>
        <w:r>
          <w:rPr>
            <w:webHidden/>
          </w:rPr>
          <w:fldChar w:fldCharType="separate"/>
        </w:r>
        <w:r>
          <w:rPr>
            <w:webHidden/>
          </w:rPr>
          <w:t>38</w:t>
        </w:r>
        <w:r>
          <w:rPr>
            <w:webHidden/>
          </w:rPr>
          <w:fldChar w:fldCharType="end"/>
        </w:r>
      </w:hyperlink>
    </w:p>
    <w:p w14:paraId="618979C3" w14:textId="77777777" w:rsidR="0077786D" w:rsidRDefault="0077786D" w:rsidP="0077786D">
      <w:pPr>
        <w:pStyle w:val="TOC1"/>
        <w:rPr>
          <w:rFonts w:eastAsiaTheme="minorEastAsia"/>
          <w:lang w:eastAsia="en-GB"/>
        </w:rPr>
      </w:pPr>
      <w:hyperlink w:anchor="_Toc225966649" w:history="1">
        <w:r w:rsidRPr="00804891">
          <w:rPr>
            <w:rStyle w:val="Hyperlink"/>
          </w:rPr>
          <w:t>Theme 3: Public Health Policy and Prevention</w:t>
        </w:r>
        <w:r>
          <w:rPr>
            <w:webHidden/>
          </w:rPr>
          <w:tab/>
        </w:r>
        <w:r>
          <w:rPr>
            <w:webHidden/>
          </w:rPr>
          <w:fldChar w:fldCharType="begin"/>
        </w:r>
        <w:r>
          <w:rPr>
            <w:webHidden/>
          </w:rPr>
          <w:instrText xml:space="preserve"> PAGEREF _Toc225966649 \h </w:instrText>
        </w:r>
        <w:r>
          <w:rPr>
            <w:webHidden/>
          </w:rPr>
        </w:r>
        <w:r>
          <w:rPr>
            <w:webHidden/>
          </w:rPr>
          <w:fldChar w:fldCharType="separate"/>
        </w:r>
        <w:r>
          <w:rPr>
            <w:webHidden/>
          </w:rPr>
          <w:t>38,39</w:t>
        </w:r>
        <w:r>
          <w:rPr>
            <w:webHidden/>
          </w:rPr>
          <w:fldChar w:fldCharType="end"/>
        </w:r>
      </w:hyperlink>
    </w:p>
    <w:p w14:paraId="72110714" w14:textId="77777777" w:rsidR="0077786D" w:rsidRDefault="0077786D" w:rsidP="0077786D">
      <w:pPr>
        <w:pStyle w:val="TOC1"/>
        <w:rPr>
          <w:rFonts w:eastAsiaTheme="minorEastAsia"/>
          <w:lang w:eastAsia="en-GB"/>
        </w:rPr>
      </w:pPr>
      <w:hyperlink w:anchor="_Toc225966650" w:history="1">
        <w:r w:rsidRPr="00804891">
          <w:rPr>
            <w:rStyle w:val="Hyperlink"/>
          </w:rPr>
          <w:t>Historical and Contextual Background</w:t>
        </w:r>
        <w:r>
          <w:rPr>
            <w:webHidden/>
          </w:rPr>
          <w:tab/>
          <w:t>39</w:t>
        </w:r>
      </w:hyperlink>
    </w:p>
    <w:p w14:paraId="124970EC" w14:textId="77777777" w:rsidR="0077786D" w:rsidRDefault="0077786D" w:rsidP="0077786D">
      <w:pPr>
        <w:pStyle w:val="TOC1"/>
        <w:rPr>
          <w:rFonts w:eastAsiaTheme="minorEastAsia"/>
          <w:lang w:eastAsia="en-GB"/>
        </w:rPr>
      </w:pPr>
      <w:hyperlink w:anchor="_Toc225966651" w:history="1">
        <w:r w:rsidRPr="00804891">
          <w:rPr>
            <w:rStyle w:val="Hyperlink"/>
          </w:rPr>
          <w:t>Impact on Research Question</w:t>
        </w:r>
        <w:r>
          <w:rPr>
            <w:webHidden/>
          </w:rPr>
          <w:tab/>
          <w:t>39,</w:t>
        </w:r>
        <w:r>
          <w:rPr>
            <w:webHidden/>
          </w:rPr>
          <w:fldChar w:fldCharType="begin"/>
        </w:r>
        <w:r>
          <w:rPr>
            <w:webHidden/>
          </w:rPr>
          <w:instrText xml:space="preserve"> PAGEREF _Toc225966651 \h </w:instrText>
        </w:r>
        <w:r>
          <w:rPr>
            <w:webHidden/>
          </w:rPr>
        </w:r>
        <w:r>
          <w:rPr>
            <w:webHidden/>
          </w:rPr>
          <w:fldChar w:fldCharType="separate"/>
        </w:r>
        <w:r>
          <w:rPr>
            <w:webHidden/>
          </w:rPr>
          <w:t>40</w:t>
        </w:r>
        <w:r>
          <w:rPr>
            <w:webHidden/>
          </w:rPr>
          <w:fldChar w:fldCharType="end"/>
        </w:r>
      </w:hyperlink>
    </w:p>
    <w:p w14:paraId="267DBB84" w14:textId="77777777" w:rsidR="0077786D" w:rsidRDefault="0077786D" w:rsidP="0077786D">
      <w:pPr>
        <w:pStyle w:val="TOC1"/>
        <w:rPr>
          <w:rFonts w:eastAsiaTheme="minorEastAsia"/>
          <w:lang w:eastAsia="en-GB"/>
        </w:rPr>
      </w:pPr>
      <w:hyperlink w:anchor="_Toc225966652" w:history="1">
        <w:r w:rsidRPr="00804891">
          <w:rPr>
            <w:rStyle w:val="Hyperlink"/>
          </w:rPr>
          <w:t>Statistical Information</w:t>
        </w:r>
        <w:r>
          <w:rPr>
            <w:webHidden/>
          </w:rPr>
          <w:tab/>
        </w:r>
        <w:r>
          <w:rPr>
            <w:webHidden/>
          </w:rPr>
          <w:fldChar w:fldCharType="begin"/>
        </w:r>
        <w:r>
          <w:rPr>
            <w:webHidden/>
          </w:rPr>
          <w:instrText xml:space="preserve"> PAGEREF _Toc225966652 \h </w:instrText>
        </w:r>
        <w:r>
          <w:rPr>
            <w:webHidden/>
          </w:rPr>
        </w:r>
        <w:r>
          <w:rPr>
            <w:webHidden/>
          </w:rPr>
          <w:fldChar w:fldCharType="separate"/>
        </w:r>
        <w:r>
          <w:rPr>
            <w:webHidden/>
          </w:rPr>
          <w:t>40</w:t>
        </w:r>
        <w:r>
          <w:rPr>
            <w:webHidden/>
          </w:rPr>
          <w:fldChar w:fldCharType="end"/>
        </w:r>
      </w:hyperlink>
    </w:p>
    <w:p w14:paraId="408F901E" w14:textId="77777777" w:rsidR="0077786D" w:rsidRDefault="0077786D" w:rsidP="0077786D">
      <w:pPr>
        <w:pStyle w:val="TOC1"/>
        <w:rPr>
          <w:rFonts w:eastAsiaTheme="minorEastAsia"/>
          <w:lang w:eastAsia="en-GB"/>
        </w:rPr>
      </w:pPr>
      <w:hyperlink w:anchor="_Toc225966653" w:history="1">
        <w:r w:rsidRPr="00804891">
          <w:rPr>
            <w:rStyle w:val="Hyperlink"/>
          </w:rPr>
          <w:t>Theoretical Framework</w:t>
        </w:r>
        <w:r>
          <w:rPr>
            <w:webHidden/>
          </w:rPr>
          <w:tab/>
          <w:t>40,</w:t>
        </w:r>
        <w:r>
          <w:rPr>
            <w:webHidden/>
          </w:rPr>
          <w:fldChar w:fldCharType="begin"/>
        </w:r>
        <w:r>
          <w:rPr>
            <w:webHidden/>
          </w:rPr>
          <w:instrText xml:space="preserve"> PAGEREF _Toc225966653 \h </w:instrText>
        </w:r>
        <w:r>
          <w:rPr>
            <w:webHidden/>
          </w:rPr>
        </w:r>
        <w:r>
          <w:rPr>
            <w:webHidden/>
          </w:rPr>
          <w:fldChar w:fldCharType="separate"/>
        </w:r>
        <w:r>
          <w:rPr>
            <w:webHidden/>
          </w:rPr>
          <w:t>41</w:t>
        </w:r>
        <w:r>
          <w:rPr>
            <w:webHidden/>
          </w:rPr>
          <w:fldChar w:fldCharType="end"/>
        </w:r>
      </w:hyperlink>
    </w:p>
    <w:p w14:paraId="5E98AE95" w14:textId="77777777" w:rsidR="0077786D" w:rsidRDefault="0077786D" w:rsidP="0077786D">
      <w:pPr>
        <w:pStyle w:val="TOC1"/>
        <w:rPr>
          <w:rFonts w:eastAsiaTheme="minorEastAsia"/>
          <w:lang w:eastAsia="en-GB"/>
        </w:rPr>
      </w:pPr>
      <w:hyperlink w:anchor="_Toc225966654" w:history="1">
        <w:r w:rsidRPr="00804891">
          <w:rPr>
            <w:rStyle w:val="Hyperlink"/>
          </w:rPr>
          <w:t>Policy and Legislation</w:t>
        </w:r>
        <w:r>
          <w:rPr>
            <w:webHidden/>
          </w:rPr>
          <w:tab/>
        </w:r>
        <w:r>
          <w:rPr>
            <w:webHidden/>
          </w:rPr>
          <w:fldChar w:fldCharType="begin"/>
        </w:r>
        <w:r>
          <w:rPr>
            <w:webHidden/>
          </w:rPr>
          <w:instrText xml:space="preserve"> PAGEREF _Toc225966654 \h </w:instrText>
        </w:r>
        <w:r>
          <w:rPr>
            <w:webHidden/>
          </w:rPr>
        </w:r>
        <w:r>
          <w:rPr>
            <w:webHidden/>
          </w:rPr>
          <w:fldChar w:fldCharType="separate"/>
        </w:r>
        <w:r>
          <w:rPr>
            <w:webHidden/>
          </w:rPr>
          <w:t>42</w:t>
        </w:r>
        <w:r>
          <w:rPr>
            <w:webHidden/>
          </w:rPr>
          <w:fldChar w:fldCharType="end"/>
        </w:r>
      </w:hyperlink>
    </w:p>
    <w:p w14:paraId="226E623F" w14:textId="77777777" w:rsidR="0077786D" w:rsidRDefault="0077786D" w:rsidP="0077786D">
      <w:pPr>
        <w:pStyle w:val="TOC1"/>
        <w:rPr>
          <w:rFonts w:eastAsiaTheme="minorEastAsia"/>
          <w:lang w:eastAsia="en-GB"/>
        </w:rPr>
      </w:pPr>
      <w:hyperlink w:anchor="_Toc225966655" w:history="1">
        <w:r w:rsidRPr="00804891">
          <w:rPr>
            <w:rStyle w:val="Hyperlink"/>
          </w:rPr>
          <w:t>Positive Implications</w:t>
        </w:r>
        <w:r>
          <w:rPr>
            <w:webHidden/>
          </w:rPr>
          <w:tab/>
        </w:r>
        <w:r>
          <w:rPr>
            <w:webHidden/>
          </w:rPr>
          <w:fldChar w:fldCharType="begin"/>
        </w:r>
        <w:r>
          <w:rPr>
            <w:webHidden/>
          </w:rPr>
          <w:instrText xml:space="preserve"> PAGEREF _Toc225966655 \h </w:instrText>
        </w:r>
        <w:r>
          <w:rPr>
            <w:webHidden/>
          </w:rPr>
        </w:r>
        <w:r>
          <w:rPr>
            <w:webHidden/>
          </w:rPr>
          <w:fldChar w:fldCharType="separate"/>
        </w:r>
        <w:r>
          <w:rPr>
            <w:webHidden/>
          </w:rPr>
          <w:t>42</w:t>
        </w:r>
        <w:r>
          <w:rPr>
            <w:webHidden/>
          </w:rPr>
          <w:fldChar w:fldCharType="end"/>
        </w:r>
      </w:hyperlink>
    </w:p>
    <w:p w14:paraId="7FBBD5BD" w14:textId="77777777" w:rsidR="0077786D" w:rsidRDefault="0077786D" w:rsidP="0077786D">
      <w:pPr>
        <w:pStyle w:val="TOC1"/>
        <w:rPr>
          <w:rFonts w:eastAsiaTheme="minorEastAsia"/>
          <w:lang w:eastAsia="en-GB"/>
        </w:rPr>
      </w:pPr>
      <w:hyperlink w:anchor="_Toc225966656" w:history="1">
        <w:r w:rsidRPr="00804891">
          <w:rPr>
            <w:rStyle w:val="Hyperlink"/>
          </w:rPr>
          <w:t>Negative Implications</w:t>
        </w:r>
        <w:r>
          <w:rPr>
            <w:webHidden/>
          </w:rPr>
          <w:tab/>
        </w:r>
        <w:r>
          <w:rPr>
            <w:webHidden/>
          </w:rPr>
          <w:fldChar w:fldCharType="begin"/>
        </w:r>
        <w:r>
          <w:rPr>
            <w:webHidden/>
          </w:rPr>
          <w:instrText xml:space="preserve"> PAGEREF _Toc225966656 \h </w:instrText>
        </w:r>
        <w:r>
          <w:rPr>
            <w:webHidden/>
          </w:rPr>
        </w:r>
        <w:r>
          <w:rPr>
            <w:webHidden/>
          </w:rPr>
          <w:fldChar w:fldCharType="separate"/>
        </w:r>
        <w:r>
          <w:rPr>
            <w:webHidden/>
          </w:rPr>
          <w:t>42</w:t>
        </w:r>
        <w:r>
          <w:rPr>
            <w:webHidden/>
          </w:rPr>
          <w:fldChar w:fldCharType="end"/>
        </w:r>
      </w:hyperlink>
    </w:p>
    <w:p w14:paraId="64039F1B" w14:textId="77777777" w:rsidR="0077786D" w:rsidRDefault="0077786D" w:rsidP="0077786D">
      <w:pPr>
        <w:pStyle w:val="TOC1"/>
        <w:rPr>
          <w:rFonts w:eastAsiaTheme="minorEastAsia"/>
          <w:lang w:eastAsia="en-GB"/>
        </w:rPr>
      </w:pPr>
      <w:hyperlink w:anchor="_Toc225966657" w:history="1">
        <w:r w:rsidRPr="00804891">
          <w:rPr>
            <w:rStyle w:val="Hyperlink"/>
          </w:rPr>
          <w:t>Literature Examples</w:t>
        </w:r>
        <w:r>
          <w:rPr>
            <w:webHidden/>
          </w:rPr>
          <w:tab/>
          <w:t>42,</w:t>
        </w:r>
        <w:r>
          <w:rPr>
            <w:webHidden/>
          </w:rPr>
          <w:fldChar w:fldCharType="begin"/>
        </w:r>
        <w:r>
          <w:rPr>
            <w:webHidden/>
          </w:rPr>
          <w:instrText xml:space="preserve"> PAGEREF _Toc225966657 \h </w:instrText>
        </w:r>
        <w:r>
          <w:rPr>
            <w:webHidden/>
          </w:rPr>
        </w:r>
        <w:r>
          <w:rPr>
            <w:webHidden/>
          </w:rPr>
          <w:fldChar w:fldCharType="separate"/>
        </w:r>
        <w:r>
          <w:rPr>
            <w:webHidden/>
          </w:rPr>
          <w:t>43</w:t>
        </w:r>
        <w:r>
          <w:rPr>
            <w:webHidden/>
          </w:rPr>
          <w:fldChar w:fldCharType="end"/>
        </w:r>
      </w:hyperlink>
    </w:p>
    <w:p w14:paraId="79FBBAED" w14:textId="77777777" w:rsidR="0077786D" w:rsidRDefault="0077786D" w:rsidP="0077786D">
      <w:pPr>
        <w:pStyle w:val="TOC1"/>
        <w:rPr>
          <w:rFonts w:eastAsiaTheme="minorEastAsia"/>
          <w:lang w:eastAsia="en-GB"/>
        </w:rPr>
      </w:pPr>
      <w:hyperlink w:anchor="_Toc225966658" w:history="1">
        <w:r w:rsidRPr="00804891">
          <w:rPr>
            <w:rStyle w:val="Hyperlink"/>
          </w:rPr>
          <w:t>Connections to Other Themes</w:t>
        </w:r>
        <w:r>
          <w:rPr>
            <w:webHidden/>
          </w:rPr>
          <w:tab/>
        </w:r>
        <w:r>
          <w:rPr>
            <w:webHidden/>
          </w:rPr>
          <w:fldChar w:fldCharType="begin"/>
        </w:r>
        <w:r>
          <w:rPr>
            <w:webHidden/>
          </w:rPr>
          <w:instrText xml:space="preserve"> PAGEREF _Toc225966658 \h </w:instrText>
        </w:r>
        <w:r>
          <w:rPr>
            <w:webHidden/>
          </w:rPr>
        </w:r>
        <w:r>
          <w:rPr>
            <w:webHidden/>
          </w:rPr>
          <w:fldChar w:fldCharType="separate"/>
        </w:r>
        <w:r>
          <w:rPr>
            <w:webHidden/>
          </w:rPr>
          <w:t>43</w:t>
        </w:r>
        <w:r>
          <w:rPr>
            <w:webHidden/>
          </w:rPr>
          <w:fldChar w:fldCharType="end"/>
        </w:r>
      </w:hyperlink>
    </w:p>
    <w:p w14:paraId="493F1A6C" w14:textId="77777777" w:rsidR="0077786D" w:rsidRDefault="0077786D" w:rsidP="0077786D">
      <w:pPr>
        <w:pStyle w:val="TOC1"/>
        <w:rPr>
          <w:rFonts w:eastAsiaTheme="minorEastAsia"/>
          <w:lang w:eastAsia="en-GB"/>
        </w:rPr>
      </w:pPr>
      <w:hyperlink w:anchor="_Toc225966659" w:history="1">
        <w:r w:rsidRPr="00804891">
          <w:rPr>
            <w:rStyle w:val="Hyperlink"/>
          </w:rPr>
          <w:t>Conclusion</w:t>
        </w:r>
        <w:r>
          <w:rPr>
            <w:webHidden/>
          </w:rPr>
          <w:tab/>
          <w:t>43,</w:t>
        </w:r>
        <w:r>
          <w:rPr>
            <w:webHidden/>
          </w:rPr>
          <w:fldChar w:fldCharType="begin"/>
        </w:r>
        <w:r>
          <w:rPr>
            <w:webHidden/>
          </w:rPr>
          <w:instrText xml:space="preserve"> PAGEREF _Toc225966659 \h </w:instrText>
        </w:r>
        <w:r>
          <w:rPr>
            <w:webHidden/>
          </w:rPr>
        </w:r>
        <w:r>
          <w:rPr>
            <w:webHidden/>
          </w:rPr>
          <w:fldChar w:fldCharType="separate"/>
        </w:r>
        <w:r>
          <w:rPr>
            <w:webHidden/>
          </w:rPr>
          <w:t>44</w:t>
        </w:r>
        <w:r>
          <w:rPr>
            <w:webHidden/>
          </w:rPr>
          <w:fldChar w:fldCharType="end"/>
        </w:r>
      </w:hyperlink>
    </w:p>
    <w:p w14:paraId="14E572AF" w14:textId="77777777" w:rsidR="0077786D" w:rsidRPr="0034563D" w:rsidRDefault="0077786D" w:rsidP="0077786D">
      <w:pPr>
        <w:pStyle w:val="TOC2"/>
        <w:rPr>
          <w:rFonts w:eastAsiaTheme="minorEastAsia"/>
          <w:lang w:eastAsia="en-GB"/>
        </w:rPr>
      </w:pPr>
      <w:hyperlink w:anchor="_Toc225966660" w:history="1">
        <w:r w:rsidRPr="0034563D">
          <w:rPr>
            <w:rStyle w:val="Hyperlink"/>
            <w:b/>
            <w:bCs/>
          </w:rPr>
          <w:t>Chapter 5 -</w:t>
        </w:r>
        <w:r>
          <w:rPr>
            <w:rStyle w:val="Hyperlink"/>
            <w:b/>
            <w:bCs/>
          </w:rPr>
          <w:t xml:space="preserve"> </w:t>
        </w:r>
        <w:r w:rsidRPr="0034563D">
          <w:rPr>
            <w:rStyle w:val="Hyperlink"/>
            <w:b/>
            <w:bCs/>
          </w:rPr>
          <w:t>Conclusion and Recommendations.</w:t>
        </w:r>
        <w:r w:rsidRPr="0034563D">
          <w:rPr>
            <w:webHidden/>
          </w:rPr>
          <w:tab/>
        </w:r>
        <w:r w:rsidRPr="0034563D">
          <w:rPr>
            <w:webHidden/>
          </w:rPr>
          <w:fldChar w:fldCharType="begin"/>
        </w:r>
        <w:r w:rsidRPr="0034563D">
          <w:rPr>
            <w:webHidden/>
          </w:rPr>
          <w:instrText xml:space="preserve"> PAGEREF _Toc225966660 \h </w:instrText>
        </w:r>
        <w:r w:rsidRPr="0034563D">
          <w:rPr>
            <w:webHidden/>
          </w:rPr>
        </w:r>
        <w:r w:rsidRPr="0034563D">
          <w:rPr>
            <w:webHidden/>
          </w:rPr>
          <w:fldChar w:fldCharType="separate"/>
        </w:r>
        <w:r w:rsidRPr="0034563D">
          <w:rPr>
            <w:webHidden/>
          </w:rPr>
          <w:t>4</w:t>
        </w:r>
        <w:r>
          <w:rPr>
            <w:webHidden/>
          </w:rPr>
          <w:t>5</w:t>
        </w:r>
        <w:r w:rsidRPr="0034563D">
          <w:rPr>
            <w:webHidden/>
          </w:rPr>
          <w:fldChar w:fldCharType="end"/>
        </w:r>
      </w:hyperlink>
    </w:p>
    <w:p w14:paraId="416D680F" w14:textId="77777777" w:rsidR="0077786D" w:rsidRDefault="0077786D" w:rsidP="0077786D">
      <w:pPr>
        <w:pStyle w:val="TOC1"/>
        <w:rPr>
          <w:rFonts w:eastAsiaTheme="minorEastAsia"/>
          <w:lang w:eastAsia="en-GB"/>
        </w:rPr>
      </w:pPr>
      <w:hyperlink w:anchor="_Toc225966661" w:history="1">
        <w:r w:rsidRPr="00804891">
          <w:rPr>
            <w:rStyle w:val="Hyperlink"/>
          </w:rPr>
          <w:t>Conclusion</w:t>
        </w:r>
        <w:r>
          <w:rPr>
            <w:webHidden/>
          </w:rPr>
          <w:tab/>
        </w:r>
        <w:r>
          <w:rPr>
            <w:webHidden/>
          </w:rPr>
          <w:fldChar w:fldCharType="begin"/>
        </w:r>
        <w:r>
          <w:rPr>
            <w:webHidden/>
          </w:rPr>
          <w:instrText xml:space="preserve"> PAGEREF _Toc225966661 \h </w:instrText>
        </w:r>
        <w:r>
          <w:rPr>
            <w:webHidden/>
          </w:rPr>
        </w:r>
        <w:r>
          <w:rPr>
            <w:webHidden/>
          </w:rPr>
          <w:fldChar w:fldCharType="separate"/>
        </w:r>
        <w:r>
          <w:rPr>
            <w:webHidden/>
          </w:rPr>
          <w:t>45</w:t>
        </w:r>
        <w:r>
          <w:rPr>
            <w:webHidden/>
          </w:rPr>
          <w:fldChar w:fldCharType="end"/>
        </w:r>
      </w:hyperlink>
    </w:p>
    <w:p w14:paraId="1D3DE20A" w14:textId="43ACB4FE" w:rsidR="0077786D" w:rsidRDefault="0077786D" w:rsidP="0077786D">
      <w:pPr>
        <w:pStyle w:val="TOC1"/>
      </w:pPr>
      <w:hyperlink w:anchor="_Toc225966662" w:history="1">
        <w:r w:rsidRPr="00804891">
          <w:rPr>
            <w:rStyle w:val="Hyperlink"/>
          </w:rPr>
          <w:t>Recommendations</w:t>
        </w:r>
        <w:r>
          <w:rPr>
            <w:webHidden/>
          </w:rPr>
          <w:tab/>
        </w:r>
        <w:r>
          <w:rPr>
            <w:webHidden/>
          </w:rPr>
          <w:fldChar w:fldCharType="begin"/>
        </w:r>
        <w:r>
          <w:rPr>
            <w:webHidden/>
          </w:rPr>
          <w:instrText xml:space="preserve"> PAGEREF _Toc225966662 \h </w:instrText>
        </w:r>
        <w:r>
          <w:rPr>
            <w:webHidden/>
          </w:rPr>
        </w:r>
        <w:r>
          <w:rPr>
            <w:webHidden/>
          </w:rPr>
          <w:fldChar w:fldCharType="separate"/>
        </w:r>
        <w:r>
          <w:rPr>
            <w:webHidden/>
          </w:rPr>
          <w:t>45,4</w:t>
        </w:r>
        <w:r w:rsidR="001F73EA">
          <w:rPr>
            <w:webHidden/>
          </w:rPr>
          <w:t>7</w:t>
        </w:r>
        <w:r>
          <w:rPr>
            <w:webHidden/>
          </w:rPr>
          <w:fldChar w:fldCharType="end"/>
        </w:r>
      </w:hyperlink>
    </w:p>
    <w:p w14:paraId="6A156442" w14:textId="79726F11" w:rsidR="0077786D" w:rsidRDefault="0077786D" w:rsidP="0077786D">
      <w:r w:rsidRPr="00C87B84">
        <w:rPr>
          <w:b/>
          <w:bCs/>
        </w:rPr>
        <w:t>References</w:t>
      </w:r>
      <w:r>
        <w:t>………………………………………………………………………………………………4</w:t>
      </w:r>
      <w:r w:rsidR="001F73EA">
        <w:t>8</w:t>
      </w:r>
      <w:r>
        <w:t>,6</w:t>
      </w:r>
      <w:r w:rsidR="001F73EA">
        <w:t>6</w:t>
      </w:r>
    </w:p>
    <w:p w14:paraId="51B434E2" w14:textId="66FEF66D" w:rsidR="0077786D" w:rsidRDefault="0077786D" w:rsidP="0077786D">
      <w:r w:rsidRPr="004F423C">
        <w:rPr>
          <w:b/>
          <w:bCs/>
        </w:rPr>
        <w:t>Appendices</w:t>
      </w:r>
      <w:r>
        <w:t>……………………………………………………………………………………………………6</w:t>
      </w:r>
      <w:r w:rsidR="001F73EA">
        <w:t>7</w:t>
      </w:r>
    </w:p>
    <w:p w14:paraId="095D9414" w14:textId="1EF61807" w:rsidR="0077786D" w:rsidRPr="00EC4F4A" w:rsidRDefault="0077786D" w:rsidP="0077786D">
      <w:r>
        <w:t>Summary table …………………………………………………………………………………………6</w:t>
      </w:r>
      <w:r w:rsidR="001F73EA">
        <w:t>7</w:t>
      </w:r>
      <w:r>
        <w:t>,7</w:t>
      </w:r>
      <w:r w:rsidR="001F73EA">
        <w:t>1</w:t>
      </w:r>
    </w:p>
    <w:p w14:paraId="66066BCD" w14:textId="55A8EAAF" w:rsidR="0077786D" w:rsidRDefault="0077786D" w:rsidP="0077786D">
      <w:pPr>
        <w:rPr>
          <w:noProof/>
        </w:rPr>
      </w:pPr>
      <w:r>
        <w:rPr>
          <w:b/>
          <w:bCs/>
          <w:noProof/>
        </w:rPr>
        <w:fldChar w:fldCharType="end"/>
      </w:r>
      <w:r w:rsidRPr="00C32544">
        <w:rPr>
          <w:noProof/>
        </w:rPr>
        <w:t xml:space="preserve">Saurce </w:t>
      </w:r>
      <w:r>
        <w:rPr>
          <w:noProof/>
        </w:rPr>
        <w:t xml:space="preserve">Tracking </w:t>
      </w:r>
      <w:r w:rsidRPr="00C32544">
        <w:rPr>
          <w:noProof/>
        </w:rPr>
        <w:t>table</w:t>
      </w:r>
      <w:r>
        <w:rPr>
          <w:noProof/>
        </w:rPr>
        <w:t>………………………………………………………………………………….7</w:t>
      </w:r>
      <w:r w:rsidR="001F73EA">
        <w:rPr>
          <w:noProof/>
        </w:rPr>
        <w:t>2</w:t>
      </w:r>
      <w:r>
        <w:rPr>
          <w:noProof/>
        </w:rPr>
        <w:t>,7</w:t>
      </w:r>
      <w:r w:rsidR="001F73EA">
        <w:rPr>
          <w:noProof/>
        </w:rPr>
        <w:t>4</w:t>
      </w:r>
    </w:p>
    <w:p w14:paraId="1F627B94" w14:textId="77777777" w:rsidR="0077786D" w:rsidRDefault="0077786D" w:rsidP="0077786D"/>
    <w:p w14:paraId="1D2E6B94" w14:textId="77777777" w:rsidR="001214CD" w:rsidRDefault="001214CD" w:rsidP="001D2D05">
      <w:pPr>
        <w:spacing w:line="360" w:lineRule="auto"/>
        <w:rPr>
          <w:rFonts w:ascii="Ariel" w:hAnsi="Ariel"/>
          <w:b/>
          <w:bCs/>
          <w:sz w:val="22"/>
          <w:szCs w:val="22"/>
          <w:u w:val="single"/>
        </w:rPr>
      </w:pPr>
    </w:p>
    <w:p w14:paraId="2B75AFB5" w14:textId="77777777" w:rsidR="001214CD" w:rsidRDefault="001214CD" w:rsidP="001D2D05">
      <w:pPr>
        <w:spacing w:line="360" w:lineRule="auto"/>
        <w:rPr>
          <w:rFonts w:ascii="Ariel" w:hAnsi="Ariel"/>
          <w:b/>
          <w:bCs/>
          <w:sz w:val="22"/>
          <w:szCs w:val="22"/>
          <w:u w:val="single"/>
        </w:rPr>
      </w:pPr>
    </w:p>
    <w:p w14:paraId="7A6C328F" w14:textId="77777777" w:rsidR="001214CD" w:rsidRDefault="001214CD" w:rsidP="001D2D05">
      <w:pPr>
        <w:spacing w:line="360" w:lineRule="auto"/>
        <w:rPr>
          <w:rFonts w:ascii="Ariel" w:hAnsi="Ariel"/>
          <w:b/>
          <w:bCs/>
          <w:sz w:val="22"/>
          <w:szCs w:val="22"/>
          <w:u w:val="single"/>
        </w:rPr>
      </w:pPr>
    </w:p>
    <w:p w14:paraId="29FC02ED" w14:textId="3C4B4FDF" w:rsidR="0062104A" w:rsidRPr="003379E2" w:rsidRDefault="0062104A">
      <w:pPr>
        <w:pStyle w:val="TOCHeading"/>
        <w:rPr>
          <w:color w:val="auto"/>
        </w:rPr>
      </w:pPr>
    </w:p>
    <w:p w14:paraId="671EDBEE" w14:textId="77777777" w:rsidR="001214CD" w:rsidRDefault="001214CD" w:rsidP="001D2D05">
      <w:pPr>
        <w:spacing w:line="360" w:lineRule="auto"/>
        <w:rPr>
          <w:rFonts w:ascii="Ariel" w:hAnsi="Ariel"/>
          <w:b/>
          <w:bCs/>
          <w:sz w:val="22"/>
          <w:szCs w:val="22"/>
          <w:u w:val="single"/>
        </w:rPr>
      </w:pPr>
    </w:p>
    <w:p w14:paraId="53A39DDC" w14:textId="77777777" w:rsidR="001214CD" w:rsidRDefault="001214CD" w:rsidP="001D2D05">
      <w:pPr>
        <w:spacing w:line="360" w:lineRule="auto"/>
        <w:rPr>
          <w:rFonts w:ascii="Ariel" w:hAnsi="Ariel"/>
          <w:b/>
          <w:bCs/>
          <w:sz w:val="22"/>
          <w:szCs w:val="22"/>
          <w:u w:val="single"/>
        </w:rPr>
      </w:pPr>
    </w:p>
    <w:p w14:paraId="61485B9B" w14:textId="77777777" w:rsidR="001214CD" w:rsidRDefault="001214CD" w:rsidP="001D2D05">
      <w:pPr>
        <w:spacing w:line="360" w:lineRule="auto"/>
        <w:rPr>
          <w:rFonts w:ascii="Ariel" w:hAnsi="Ariel"/>
          <w:b/>
          <w:bCs/>
          <w:sz w:val="22"/>
          <w:szCs w:val="22"/>
          <w:u w:val="single"/>
        </w:rPr>
      </w:pPr>
    </w:p>
    <w:p w14:paraId="05800AD5" w14:textId="77777777" w:rsidR="001214CD" w:rsidRDefault="001214CD" w:rsidP="001D2D05">
      <w:pPr>
        <w:spacing w:line="360" w:lineRule="auto"/>
        <w:rPr>
          <w:rFonts w:ascii="Ariel" w:hAnsi="Ariel"/>
          <w:b/>
          <w:bCs/>
          <w:sz w:val="22"/>
          <w:szCs w:val="22"/>
          <w:u w:val="single"/>
        </w:rPr>
      </w:pPr>
    </w:p>
    <w:p w14:paraId="1CEC6264" w14:textId="1DB50477" w:rsidR="008C451C" w:rsidRPr="008C451C" w:rsidRDefault="008C451C" w:rsidP="008C451C">
      <w:pPr>
        <w:pStyle w:val="Heading2"/>
        <w:rPr>
          <w:rFonts w:ascii="Ariel" w:hAnsi="Ariel"/>
          <w:b/>
          <w:bCs/>
          <w:color w:val="auto"/>
          <w:sz w:val="28"/>
          <w:szCs w:val="28"/>
        </w:rPr>
      </w:pPr>
      <w:r w:rsidRPr="008C451C">
        <w:rPr>
          <w:rFonts w:ascii="Ariel" w:hAnsi="Ariel"/>
          <w:b/>
          <w:bCs/>
          <w:color w:val="auto"/>
          <w:sz w:val="28"/>
          <w:szCs w:val="28"/>
        </w:rPr>
        <w:lastRenderedPageBreak/>
        <w:t xml:space="preserve">Abstract </w:t>
      </w:r>
    </w:p>
    <w:p w14:paraId="07D70DA1" w14:textId="35F89802" w:rsidR="006F16D4" w:rsidRPr="008C451C" w:rsidRDefault="006F16D4" w:rsidP="008C451C">
      <w:pPr>
        <w:pStyle w:val="Heading2"/>
        <w:spacing w:line="360" w:lineRule="auto"/>
        <w:rPr>
          <w:b/>
          <w:bCs/>
          <w:color w:val="auto"/>
          <w:u w:val="single"/>
        </w:rPr>
      </w:pPr>
      <w:r w:rsidRPr="00F70114">
        <w:rPr>
          <w:rFonts w:ascii="Ariel" w:hAnsi="Ariel"/>
          <w:color w:val="auto"/>
          <w:sz w:val="22"/>
          <w:szCs w:val="22"/>
        </w:rPr>
        <w:t xml:space="preserve">This research </w:t>
      </w:r>
      <w:r w:rsidR="00B35BB8" w:rsidRPr="00F70114">
        <w:rPr>
          <w:rFonts w:ascii="Ariel" w:hAnsi="Ariel"/>
          <w:color w:val="auto"/>
          <w:sz w:val="22"/>
          <w:szCs w:val="22"/>
        </w:rPr>
        <w:t>cri</w:t>
      </w:r>
      <w:r w:rsidR="003E31AA" w:rsidRPr="00F70114">
        <w:rPr>
          <w:rFonts w:ascii="Ariel" w:hAnsi="Ariel"/>
          <w:color w:val="auto"/>
          <w:sz w:val="22"/>
          <w:szCs w:val="22"/>
        </w:rPr>
        <w:t xml:space="preserve">tically examines </w:t>
      </w:r>
      <w:r w:rsidRPr="00F70114">
        <w:rPr>
          <w:rFonts w:ascii="Ariel" w:hAnsi="Ariel"/>
          <w:color w:val="auto"/>
          <w:sz w:val="22"/>
          <w:szCs w:val="22"/>
        </w:rPr>
        <w:t xml:space="preserve">the relationship between alcohol use, socioeconomic disadvantage, and early-onset dementia (EOD), defined as dementia before age 65. It </w:t>
      </w:r>
      <w:r w:rsidR="003E31AA" w:rsidRPr="00F70114">
        <w:rPr>
          <w:rFonts w:ascii="Ariel" w:hAnsi="Ariel"/>
          <w:color w:val="auto"/>
          <w:sz w:val="22"/>
          <w:szCs w:val="22"/>
        </w:rPr>
        <w:t>explores</w:t>
      </w:r>
      <w:r w:rsidRPr="00F70114">
        <w:rPr>
          <w:rFonts w:ascii="Ariel" w:hAnsi="Ariel"/>
          <w:color w:val="auto"/>
          <w:sz w:val="22"/>
          <w:szCs w:val="22"/>
        </w:rPr>
        <w:t xml:space="preserve"> </w:t>
      </w:r>
      <w:r w:rsidR="006B2296" w:rsidRPr="00F70114">
        <w:rPr>
          <w:rFonts w:ascii="Ariel" w:hAnsi="Ariel"/>
          <w:color w:val="auto"/>
          <w:sz w:val="22"/>
          <w:szCs w:val="22"/>
        </w:rPr>
        <w:t xml:space="preserve">the </w:t>
      </w:r>
      <w:r w:rsidR="006F5379" w:rsidRPr="00F70114">
        <w:rPr>
          <w:rFonts w:ascii="Ariel" w:hAnsi="Ariel"/>
          <w:color w:val="auto"/>
          <w:sz w:val="22"/>
          <w:szCs w:val="22"/>
        </w:rPr>
        <w:t xml:space="preserve"> extent to which </w:t>
      </w:r>
      <w:r w:rsidRPr="00F70114">
        <w:rPr>
          <w:rFonts w:ascii="Ariel" w:hAnsi="Ariel"/>
          <w:color w:val="auto"/>
          <w:sz w:val="22"/>
          <w:szCs w:val="22"/>
        </w:rPr>
        <w:t xml:space="preserve">patterns of alcohol </w:t>
      </w:r>
      <w:r w:rsidR="000144F2" w:rsidRPr="00F70114">
        <w:rPr>
          <w:rFonts w:ascii="Ariel" w:hAnsi="Ariel"/>
          <w:color w:val="auto"/>
          <w:sz w:val="22"/>
          <w:szCs w:val="22"/>
        </w:rPr>
        <w:t>use</w:t>
      </w:r>
      <w:r w:rsidRPr="00F70114">
        <w:rPr>
          <w:rFonts w:ascii="Ariel" w:hAnsi="Ariel"/>
          <w:color w:val="auto"/>
          <w:sz w:val="22"/>
          <w:szCs w:val="22"/>
        </w:rPr>
        <w:t xml:space="preserve"> and </w:t>
      </w:r>
      <w:r w:rsidR="004B3347" w:rsidRPr="00F70114">
        <w:rPr>
          <w:rFonts w:ascii="Ariel" w:hAnsi="Ariel"/>
          <w:color w:val="auto"/>
          <w:sz w:val="22"/>
          <w:szCs w:val="22"/>
        </w:rPr>
        <w:t xml:space="preserve">structural </w:t>
      </w:r>
      <w:r w:rsidRPr="00F70114">
        <w:rPr>
          <w:rFonts w:ascii="Ariel" w:hAnsi="Ariel"/>
          <w:color w:val="auto"/>
          <w:sz w:val="22"/>
          <w:szCs w:val="22"/>
        </w:rPr>
        <w:t xml:space="preserve">social inequalities independently and </w:t>
      </w:r>
      <w:r w:rsidR="007B33BC" w:rsidRPr="00F70114">
        <w:rPr>
          <w:rFonts w:ascii="Ariel" w:hAnsi="Ariel"/>
          <w:color w:val="auto"/>
          <w:sz w:val="22"/>
          <w:szCs w:val="22"/>
        </w:rPr>
        <w:t>synergistically</w:t>
      </w:r>
      <w:r w:rsidRPr="00F70114">
        <w:rPr>
          <w:rFonts w:ascii="Ariel" w:hAnsi="Ariel"/>
          <w:color w:val="auto"/>
          <w:sz w:val="22"/>
          <w:szCs w:val="22"/>
        </w:rPr>
        <w:t xml:space="preserve"> </w:t>
      </w:r>
      <w:r w:rsidR="004B3347" w:rsidRPr="00F70114">
        <w:rPr>
          <w:rFonts w:ascii="Ariel" w:hAnsi="Ariel"/>
          <w:color w:val="auto"/>
          <w:sz w:val="22"/>
          <w:szCs w:val="22"/>
        </w:rPr>
        <w:t xml:space="preserve">contribute </w:t>
      </w:r>
      <w:r w:rsidR="00AD2A30" w:rsidRPr="00F70114">
        <w:rPr>
          <w:rFonts w:ascii="Ariel" w:hAnsi="Ariel"/>
          <w:color w:val="auto"/>
          <w:sz w:val="22"/>
          <w:szCs w:val="22"/>
        </w:rPr>
        <w:t xml:space="preserve">to </w:t>
      </w:r>
      <w:r w:rsidR="007C7A97" w:rsidRPr="00F70114">
        <w:rPr>
          <w:rFonts w:ascii="Ariel" w:hAnsi="Ariel"/>
          <w:color w:val="auto"/>
          <w:sz w:val="22"/>
          <w:szCs w:val="22"/>
        </w:rPr>
        <w:t>onset</w:t>
      </w:r>
      <w:r w:rsidR="00AD2A30" w:rsidRPr="00F70114">
        <w:rPr>
          <w:rFonts w:ascii="Ariel" w:hAnsi="Ariel"/>
          <w:color w:val="auto"/>
          <w:sz w:val="22"/>
          <w:szCs w:val="22"/>
        </w:rPr>
        <w:t xml:space="preserve"> of</w:t>
      </w:r>
      <w:r w:rsidRPr="00F70114">
        <w:rPr>
          <w:rFonts w:ascii="Ariel" w:hAnsi="Ariel"/>
          <w:color w:val="auto"/>
          <w:sz w:val="22"/>
          <w:szCs w:val="22"/>
        </w:rPr>
        <w:t xml:space="preserve"> earlier cognitive decline</w:t>
      </w:r>
      <w:r w:rsidR="001E2209" w:rsidRPr="00F70114">
        <w:rPr>
          <w:rFonts w:ascii="Ariel" w:hAnsi="Ariel"/>
          <w:color w:val="auto"/>
          <w:sz w:val="22"/>
          <w:szCs w:val="22"/>
        </w:rPr>
        <w:t xml:space="preserve"> at an earlier stage of the life course</w:t>
      </w:r>
      <w:r w:rsidRPr="00F70114">
        <w:rPr>
          <w:rFonts w:ascii="Ariel" w:hAnsi="Ariel"/>
          <w:color w:val="auto"/>
          <w:sz w:val="22"/>
          <w:szCs w:val="22"/>
        </w:rPr>
        <w:t xml:space="preserve">. </w:t>
      </w:r>
      <w:r w:rsidR="007C7A97" w:rsidRPr="00F70114">
        <w:rPr>
          <w:rFonts w:ascii="Ariel" w:hAnsi="Ariel"/>
          <w:color w:val="auto"/>
          <w:sz w:val="22"/>
          <w:szCs w:val="22"/>
        </w:rPr>
        <w:t>An u</w:t>
      </w:r>
      <w:r w:rsidRPr="00F70114">
        <w:rPr>
          <w:rFonts w:ascii="Ariel" w:hAnsi="Ariel"/>
          <w:color w:val="auto"/>
          <w:sz w:val="22"/>
          <w:szCs w:val="22"/>
        </w:rPr>
        <w:t xml:space="preserve">nderstanding these relationships is critical in health and social care, as EOD has significant social, economic, and healthcare impacts. While dementia is </w:t>
      </w:r>
      <w:r w:rsidR="009F7206" w:rsidRPr="00F70114">
        <w:rPr>
          <w:rFonts w:ascii="Ariel" w:hAnsi="Ariel"/>
          <w:color w:val="auto"/>
          <w:sz w:val="22"/>
          <w:szCs w:val="22"/>
        </w:rPr>
        <w:t>traditional</w:t>
      </w:r>
      <w:r w:rsidRPr="00F70114">
        <w:rPr>
          <w:rFonts w:ascii="Ariel" w:hAnsi="Ariel"/>
          <w:color w:val="auto"/>
          <w:sz w:val="22"/>
          <w:szCs w:val="22"/>
        </w:rPr>
        <w:t xml:space="preserve"> associated with older adults, evidence highlights modifiable lifestyle factors and social determinants in earlier onset</w:t>
      </w:r>
      <w:r w:rsidR="0022393C" w:rsidRPr="00F70114">
        <w:rPr>
          <w:rFonts w:ascii="Ariel" w:hAnsi="Ariel"/>
          <w:color w:val="auto"/>
          <w:sz w:val="22"/>
          <w:szCs w:val="22"/>
        </w:rPr>
        <w:t>. This</w:t>
      </w:r>
      <w:r w:rsidRPr="00F70114">
        <w:rPr>
          <w:rFonts w:ascii="Ariel" w:hAnsi="Ariel"/>
          <w:color w:val="auto"/>
          <w:sz w:val="22"/>
          <w:szCs w:val="22"/>
        </w:rPr>
        <w:t xml:space="preserve"> emphasi</w:t>
      </w:r>
      <w:r w:rsidR="00970D7D" w:rsidRPr="00F70114">
        <w:rPr>
          <w:rFonts w:ascii="Ariel" w:hAnsi="Ariel"/>
          <w:color w:val="auto"/>
          <w:sz w:val="22"/>
          <w:szCs w:val="22"/>
        </w:rPr>
        <w:t>ses the importance</w:t>
      </w:r>
      <w:r w:rsidR="001B0E27" w:rsidRPr="00F70114">
        <w:rPr>
          <w:rFonts w:ascii="Ariel" w:hAnsi="Ariel"/>
          <w:color w:val="auto"/>
          <w:sz w:val="22"/>
          <w:szCs w:val="22"/>
        </w:rPr>
        <w:t xml:space="preserve"> of </w:t>
      </w:r>
      <w:r w:rsidRPr="00F70114">
        <w:rPr>
          <w:rFonts w:ascii="Ariel" w:hAnsi="Ariel"/>
          <w:color w:val="auto"/>
          <w:sz w:val="22"/>
          <w:szCs w:val="22"/>
        </w:rPr>
        <w:t xml:space="preserve"> identify</w:t>
      </w:r>
      <w:r w:rsidR="001B0E27" w:rsidRPr="00F70114">
        <w:rPr>
          <w:rFonts w:ascii="Ariel" w:hAnsi="Ariel"/>
          <w:color w:val="auto"/>
          <w:sz w:val="22"/>
          <w:szCs w:val="22"/>
        </w:rPr>
        <w:t>ing</w:t>
      </w:r>
      <w:r w:rsidRPr="00F70114">
        <w:rPr>
          <w:rFonts w:ascii="Ariel" w:hAnsi="Ariel"/>
          <w:color w:val="auto"/>
          <w:sz w:val="22"/>
          <w:szCs w:val="22"/>
        </w:rPr>
        <w:t xml:space="preserve"> </w:t>
      </w:r>
      <w:r w:rsidR="00D03907" w:rsidRPr="00F70114">
        <w:rPr>
          <w:rFonts w:ascii="Ariel" w:hAnsi="Ariel"/>
          <w:color w:val="auto"/>
          <w:sz w:val="22"/>
          <w:szCs w:val="22"/>
        </w:rPr>
        <w:t xml:space="preserve"> </w:t>
      </w:r>
      <w:r w:rsidRPr="00F70114">
        <w:rPr>
          <w:rFonts w:ascii="Ariel" w:hAnsi="Ariel"/>
          <w:color w:val="auto"/>
          <w:sz w:val="22"/>
          <w:szCs w:val="22"/>
        </w:rPr>
        <w:t>populations</w:t>
      </w:r>
      <w:r w:rsidR="00D03907" w:rsidRPr="00F70114">
        <w:rPr>
          <w:rFonts w:ascii="Ariel" w:hAnsi="Ariel"/>
          <w:color w:val="auto"/>
          <w:sz w:val="22"/>
          <w:szCs w:val="22"/>
        </w:rPr>
        <w:t xml:space="preserve"> at </w:t>
      </w:r>
      <w:r w:rsidR="00800A4D" w:rsidRPr="00F70114">
        <w:rPr>
          <w:rFonts w:ascii="Ariel" w:hAnsi="Ariel"/>
          <w:color w:val="auto"/>
          <w:sz w:val="22"/>
          <w:szCs w:val="22"/>
        </w:rPr>
        <w:t>heightened risk,</w:t>
      </w:r>
      <w:r w:rsidRPr="00F70114">
        <w:rPr>
          <w:rFonts w:ascii="Ariel" w:hAnsi="Ariel"/>
          <w:color w:val="auto"/>
          <w:sz w:val="22"/>
          <w:szCs w:val="22"/>
        </w:rPr>
        <w:t xml:space="preserve"> inform</w:t>
      </w:r>
      <w:r w:rsidR="00800A4D" w:rsidRPr="00F70114">
        <w:rPr>
          <w:rFonts w:ascii="Ariel" w:hAnsi="Ariel"/>
          <w:color w:val="auto"/>
          <w:sz w:val="22"/>
          <w:szCs w:val="22"/>
        </w:rPr>
        <w:t>ing evidence</w:t>
      </w:r>
      <w:r w:rsidR="001412FA" w:rsidRPr="00F70114">
        <w:rPr>
          <w:rFonts w:ascii="Ariel" w:hAnsi="Ariel"/>
          <w:color w:val="auto"/>
          <w:sz w:val="22"/>
          <w:szCs w:val="22"/>
        </w:rPr>
        <w:t xml:space="preserve">-based </w:t>
      </w:r>
      <w:r w:rsidRPr="00F70114">
        <w:rPr>
          <w:rFonts w:ascii="Ariel" w:hAnsi="Ariel"/>
          <w:color w:val="auto"/>
          <w:sz w:val="22"/>
          <w:szCs w:val="22"/>
        </w:rPr>
        <w:t xml:space="preserve"> prevention strategies, and reduce health inequalities.</w:t>
      </w:r>
    </w:p>
    <w:p w14:paraId="06E594A3" w14:textId="5AE5CA89" w:rsidR="00476AD7" w:rsidRPr="00F70114" w:rsidRDefault="00476AD7" w:rsidP="008C451C">
      <w:pPr>
        <w:spacing w:line="360" w:lineRule="auto"/>
        <w:rPr>
          <w:rFonts w:ascii="Ariel" w:hAnsi="Ariel"/>
          <w:sz w:val="22"/>
          <w:szCs w:val="22"/>
        </w:rPr>
      </w:pPr>
      <w:r w:rsidRPr="00F70114">
        <w:rPr>
          <w:rFonts w:ascii="Ariel" w:hAnsi="Ariel"/>
          <w:sz w:val="22"/>
          <w:szCs w:val="22"/>
        </w:rPr>
        <w:t>A literature-based approach was adopted, using thematic analysis to synthesise peer-reviewed articles, epidemiological studies, and public health reports. By concentrating on the connections between alcohol, socioeconomic status, and EOD risk rather than primary data collecti</w:t>
      </w:r>
      <w:r w:rsidR="00DF2555" w:rsidRPr="00F70114">
        <w:rPr>
          <w:rFonts w:ascii="Ariel" w:hAnsi="Ariel"/>
          <w:sz w:val="22"/>
          <w:szCs w:val="22"/>
        </w:rPr>
        <w:t>on</w:t>
      </w:r>
      <w:r w:rsidRPr="00F70114">
        <w:rPr>
          <w:rFonts w:ascii="Ariel" w:hAnsi="Ariel"/>
          <w:sz w:val="22"/>
          <w:szCs w:val="22"/>
        </w:rPr>
        <w:t xml:space="preserve">, this approach made it possible to identify recurrent patterns and </w:t>
      </w:r>
      <w:r w:rsidR="00DF2555" w:rsidRPr="00F70114">
        <w:rPr>
          <w:rFonts w:ascii="Ariel" w:hAnsi="Ariel"/>
          <w:sz w:val="22"/>
          <w:szCs w:val="22"/>
        </w:rPr>
        <w:t>associations</w:t>
      </w:r>
      <w:r w:rsidRPr="00F70114">
        <w:rPr>
          <w:rFonts w:ascii="Ariel" w:hAnsi="Ariel"/>
          <w:sz w:val="22"/>
          <w:szCs w:val="22"/>
        </w:rPr>
        <w:t xml:space="preserve"> across research.</w:t>
      </w:r>
    </w:p>
    <w:p w14:paraId="3320E620" w14:textId="70BC0035" w:rsidR="00A47492" w:rsidRPr="00F70114" w:rsidRDefault="00A47492" w:rsidP="008C451C">
      <w:pPr>
        <w:spacing w:line="360" w:lineRule="auto"/>
        <w:rPr>
          <w:rFonts w:ascii="Ariel" w:hAnsi="Ariel"/>
          <w:sz w:val="22"/>
          <w:szCs w:val="22"/>
        </w:rPr>
      </w:pPr>
      <w:r w:rsidRPr="00F70114">
        <w:rPr>
          <w:rFonts w:ascii="Ariel" w:hAnsi="Ariel"/>
          <w:sz w:val="22"/>
          <w:szCs w:val="22"/>
        </w:rPr>
        <w:t xml:space="preserve">Three main themes emerged from the findings: chronic excessive alcohol consumption is strongly </w:t>
      </w:r>
      <w:r w:rsidR="00EB3F37" w:rsidRPr="00F70114">
        <w:rPr>
          <w:rFonts w:ascii="Ariel" w:hAnsi="Ariel"/>
          <w:sz w:val="22"/>
          <w:szCs w:val="22"/>
        </w:rPr>
        <w:t>as</w:t>
      </w:r>
      <w:r w:rsidR="002E65E5" w:rsidRPr="00F70114">
        <w:rPr>
          <w:rFonts w:ascii="Ariel" w:hAnsi="Ariel"/>
          <w:sz w:val="22"/>
          <w:szCs w:val="22"/>
        </w:rPr>
        <w:t>sociated with</w:t>
      </w:r>
      <w:r w:rsidRPr="00F70114">
        <w:rPr>
          <w:rFonts w:ascii="Ariel" w:hAnsi="Ariel"/>
          <w:sz w:val="22"/>
          <w:szCs w:val="22"/>
        </w:rPr>
        <w:t xml:space="preserve"> neurological damage, cognitive impairment, and alcohol-related brain disorders; socioeconomic disadvantage, which includes low income, limited education, and restricted access to healthcare, </w:t>
      </w:r>
      <w:r w:rsidR="002E65E5" w:rsidRPr="00F70114">
        <w:rPr>
          <w:rFonts w:ascii="Ariel" w:hAnsi="Ariel"/>
          <w:sz w:val="22"/>
          <w:szCs w:val="22"/>
        </w:rPr>
        <w:t>reduces</w:t>
      </w:r>
      <w:r w:rsidRPr="00F70114">
        <w:rPr>
          <w:rFonts w:ascii="Ariel" w:hAnsi="Ariel"/>
          <w:sz w:val="22"/>
          <w:szCs w:val="22"/>
        </w:rPr>
        <w:t xml:space="preserve"> cognitive reserve and </w:t>
      </w:r>
      <w:r w:rsidR="0081259D" w:rsidRPr="00F70114">
        <w:rPr>
          <w:rFonts w:ascii="Ariel" w:hAnsi="Ariel"/>
          <w:sz w:val="22"/>
          <w:szCs w:val="22"/>
        </w:rPr>
        <w:t>increases</w:t>
      </w:r>
      <w:r w:rsidRPr="00F70114">
        <w:rPr>
          <w:rFonts w:ascii="Ariel" w:hAnsi="Ariel"/>
          <w:sz w:val="22"/>
          <w:szCs w:val="22"/>
        </w:rPr>
        <w:t xml:space="preserve"> the risk of dementia; and these factors interact, with disadvantaged people more likely to drink harmfully due to stress and a lack of support. Social hardship and alcohol </w:t>
      </w:r>
      <w:r w:rsidR="001A5A65" w:rsidRPr="00F70114">
        <w:rPr>
          <w:rFonts w:ascii="Ariel" w:hAnsi="Ariel"/>
          <w:sz w:val="22"/>
          <w:szCs w:val="22"/>
        </w:rPr>
        <w:t>misuse collectively heigh</w:t>
      </w:r>
      <w:r w:rsidR="00555FE5" w:rsidRPr="00F70114">
        <w:rPr>
          <w:rFonts w:ascii="Ariel" w:hAnsi="Ariel"/>
          <w:sz w:val="22"/>
          <w:szCs w:val="22"/>
        </w:rPr>
        <w:t>ten susceptibility</w:t>
      </w:r>
      <w:r w:rsidRPr="00F70114">
        <w:rPr>
          <w:rFonts w:ascii="Ariel" w:hAnsi="Ariel"/>
          <w:sz w:val="22"/>
          <w:szCs w:val="22"/>
        </w:rPr>
        <w:t xml:space="preserve"> to EOD.</w:t>
      </w:r>
    </w:p>
    <w:p w14:paraId="0780845C" w14:textId="51D6A3F0" w:rsidR="006F16D4" w:rsidRPr="00F70114" w:rsidRDefault="006F16D4" w:rsidP="008C451C">
      <w:pPr>
        <w:spacing w:line="360" w:lineRule="auto"/>
        <w:rPr>
          <w:rFonts w:ascii="Ariel" w:hAnsi="Ariel"/>
          <w:sz w:val="22"/>
          <w:szCs w:val="22"/>
        </w:rPr>
      </w:pPr>
      <w:r w:rsidRPr="00F70114">
        <w:rPr>
          <w:rFonts w:ascii="Ariel" w:hAnsi="Ariel"/>
          <w:sz w:val="22"/>
          <w:szCs w:val="22"/>
        </w:rPr>
        <w:t xml:space="preserve">Limitations include reliance on secondary data, variability in study designs and definitions, limited EOD-specific research, and potential publication bias. These </w:t>
      </w:r>
      <w:r w:rsidR="00926397" w:rsidRPr="00F70114">
        <w:rPr>
          <w:rFonts w:ascii="Ariel" w:hAnsi="Ariel"/>
          <w:sz w:val="22"/>
          <w:szCs w:val="22"/>
        </w:rPr>
        <w:t xml:space="preserve">limitations </w:t>
      </w:r>
      <w:r w:rsidRPr="00F70114">
        <w:rPr>
          <w:rFonts w:ascii="Ariel" w:hAnsi="Ariel"/>
          <w:sz w:val="22"/>
          <w:szCs w:val="22"/>
        </w:rPr>
        <w:t>highlight gaps requiring targeted, longitudinal research to inform clinical practice and policy.</w:t>
      </w:r>
    </w:p>
    <w:p w14:paraId="177872DD" w14:textId="6436BC2D" w:rsidR="003152B5" w:rsidRPr="00F70114" w:rsidRDefault="003152B5" w:rsidP="008C451C">
      <w:pPr>
        <w:spacing w:line="360" w:lineRule="auto"/>
        <w:rPr>
          <w:rFonts w:ascii="Ariel" w:hAnsi="Ariel"/>
          <w:b/>
          <w:bCs/>
          <w:sz w:val="22"/>
          <w:szCs w:val="22"/>
          <w:u w:val="single"/>
        </w:rPr>
      </w:pPr>
      <w:r w:rsidRPr="00F70114">
        <w:rPr>
          <w:rFonts w:ascii="Ariel" w:hAnsi="Ariel"/>
          <w:sz w:val="22"/>
          <w:szCs w:val="22"/>
        </w:rPr>
        <w:t>Public health policies targeting alcohol damage and inequality, professional education on EOD risk factors, integrated health and social care interventions, and additional longitudinal studies are among the recommend</w:t>
      </w:r>
      <w:r w:rsidR="00686588" w:rsidRPr="00F70114">
        <w:rPr>
          <w:rFonts w:ascii="Ariel" w:hAnsi="Ariel"/>
          <w:sz w:val="22"/>
          <w:szCs w:val="22"/>
        </w:rPr>
        <w:t>ed stra</w:t>
      </w:r>
      <w:r w:rsidR="00390E2D" w:rsidRPr="00F70114">
        <w:rPr>
          <w:rFonts w:ascii="Ariel" w:hAnsi="Ariel"/>
          <w:sz w:val="22"/>
          <w:szCs w:val="22"/>
        </w:rPr>
        <w:t>tegies</w:t>
      </w:r>
      <w:r w:rsidRPr="00F70114">
        <w:rPr>
          <w:rFonts w:ascii="Ariel" w:hAnsi="Ariel"/>
          <w:sz w:val="22"/>
          <w:szCs w:val="22"/>
        </w:rPr>
        <w:t xml:space="preserve">. Reducing the burden of EOD and improving </w:t>
      </w:r>
      <w:r w:rsidR="00390E2D" w:rsidRPr="00F70114">
        <w:rPr>
          <w:rFonts w:ascii="Ariel" w:hAnsi="Ariel"/>
          <w:sz w:val="22"/>
          <w:szCs w:val="22"/>
        </w:rPr>
        <w:t xml:space="preserve">outcomes </w:t>
      </w:r>
      <w:r w:rsidRPr="00F70114">
        <w:rPr>
          <w:rFonts w:ascii="Ariel" w:hAnsi="Ariel"/>
          <w:sz w:val="22"/>
          <w:szCs w:val="22"/>
        </w:rPr>
        <w:t xml:space="preserve"> for vulnerable populations require a comprehensive, preventative approach</w:t>
      </w:r>
      <w:r w:rsidR="002650E6" w:rsidRPr="00F70114">
        <w:rPr>
          <w:rFonts w:ascii="Ariel" w:hAnsi="Ariel"/>
          <w:sz w:val="22"/>
          <w:szCs w:val="22"/>
        </w:rPr>
        <w:t>.</w:t>
      </w:r>
    </w:p>
    <w:p w14:paraId="50661220" w14:textId="77777777" w:rsidR="009F6D8D" w:rsidRPr="00F70114" w:rsidRDefault="009F6D8D" w:rsidP="008C451C">
      <w:pPr>
        <w:spacing w:line="360" w:lineRule="auto"/>
        <w:rPr>
          <w:rFonts w:ascii="Ariel" w:hAnsi="Ariel"/>
          <w:b/>
          <w:bCs/>
          <w:sz w:val="22"/>
          <w:szCs w:val="22"/>
          <w:u w:val="single"/>
        </w:rPr>
      </w:pPr>
    </w:p>
    <w:p w14:paraId="538D8C9A" w14:textId="77777777" w:rsidR="006F16D4" w:rsidRPr="00F70114" w:rsidRDefault="006F16D4" w:rsidP="008C451C">
      <w:pPr>
        <w:spacing w:line="360" w:lineRule="auto"/>
        <w:rPr>
          <w:rFonts w:ascii="Ariel" w:hAnsi="Ariel"/>
          <w:b/>
          <w:bCs/>
          <w:sz w:val="22"/>
          <w:szCs w:val="22"/>
          <w:u w:val="single"/>
        </w:rPr>
      </w:pPr>
    </w:p>
    <w:p w14:paraId="5C4F2565" w14:textId="77777777" w:rsidR="006F16D4" w:rsidRPr="00F70114" w:rsidRDefault="006F16D4" w:rsidP="008C451C">
      <w:pPr>
        <w:spacing w:line="360" w:lineRule="auto"/>
        <w:rPr>
          <w:rFonts w:ascii="Ariel" w:hAnsi="Ariel"/>
          <w:b/>
          <w:bCs/>
          <w:sz w:val="22"/>
          <w:szCs w:val="22"/>
          <w:u w:val="single"/>
        </w:rPr>
      </w:pPr>
    </w:p>
    <w:p w14:paraId="46E62673" w14:textId="77777777" w:rsidR="001D2D05" w:rsidRPr="00F70114" w:rsidRDefault="001D2D05" w:rsidP="001D2D05">
      <w:pPr>
        <w:spacing w:line="360" w:lineRule="auto"/>
        <w:rPr>
          <w:rFonts w:ascii="Ariel" w:hAnsi="Ariel"/>
          <w:b/>
          <w:bCs/>
          <w:sz w:val="22"/>
          <w:szCs w:val="22"/>
          <w:u w:val="single"/>
        </w:rPr>
      </w:pPr>
    </w:p>
    <w:p w14:paraId="13F75634" w14:textId="77777777" w:rsidR="00120E0E" w:rsidRPr="00AE1E76" w:rsidRDefault="00597AE1" w:rsidP="00120E0E">
      <w:pPr>
        <w:pStyle w:val="Heading2"/>
        <w:rPr>
          <w:rFonts w:ascii="Arial" w:hAnsi="Arial" w:cs="Arial"/>
          <w:b/>
          <w:bCs/>
          <w:color w:val="auto"/>
          <w:sz w:val="28"/>
          <w:szCs w:val="28"/>
          <w:u w:val="single"/>
        </w:rPr>
      </w:pPr>
      <w:bookmarkStart w:id="0" w:name="_Toc225966591"/>
      <w:r w:rsidRPr="00AE1E76">
        <w:rPr>
          <w:rFonts w:ascii="Arial" w:hAnsi="Arial" w:cs="Arial"/>
          <w:b/>
          <w:bCs/>
          <w:color w:val="auto"/>
          <w:sz w:val="28"/>
          <w:szCs w:val="28"/>
          <w:u w:val="single"/>
        </w:rPr>
        <w:lastRenderedPageBreak/>
        <w:t>Chapter one</w:t>
      </w:r>
      <w:bookmarkEnd w:id="0"/>
      <w:r w:rsidRPr="00AE1E76">
        <w:rPr>
          <w:rFonts w:ascii="Arial" w:hAnsi="Arial" w:cs="Arial"/>
          <w:b/>
          <w:bCs/>
          <w:color w:val="auto"/>
          <w:sz w:val="28"/>
          <w:szCs w:val="28"/>
          <w:u w:val="single"/>
        </w:rPr>
        <w:t> </w:t>
      </w:r>
    </w:p>
    <w:p w14:paraId="5D26881D" w14:textId="206313B2" w:rsidR="00597AE1" w:rsidRDefault="00597AE1" w:rsidP="00120E0E">
      <w:pPr>
        <w:pStyle w:val="Heading2"/>
        <w:rPr>
          <w:rFonts w:ascii="Arial" w:eastAsiaTheme="minorHAnsi" w:hAnsi="Arial" w:cs="Arial"/>
          <w:b/>
          <w:bCs/>
          <w:color w:val="auto"/>
          <w:sz w:val="28"/>
          <w:szCs w:val="28"/>
          <w:u w:val="single"/>
        </w:rPr>
      </w:pPr>
      <w:bookmarkStart w:id="1" w:name="_Toc225966592"/>
      <w:r w:rsidRPr="00AE1E76">
        <w:rPr>
          <w:rFonts w:ascii="Arial" w:hAnsi="Arial" w:cs="Arial"/>
          <w:b/>
          <w:bCs/>
          <w:color w:val="auto"/>
          <w:sz w:val="28"/>
          <w:szCs w:val="28"/>
          <w:u w:val="single"/>
        </w:rPr>
        <w:t>Introduction</w:t>
      </w:r>
      <w:bookmarkEnd w:id="1"/>
      <w:r w:rsidRPr="00AE1E76">
        <w:rPr>
          <w:rFonts w:ascii="Arial" w:hAnsi="Arial" w:cs="Arial"/>
          <w:b/>
          <w:bCs/>
          <w:color w:val="auto"/>
          <w:sz w:val="28"/>
          <w:szCs w:val="28"/>
          <w:u w:val="single"/>
        </w:rPr>
        <w:t> </w:t>
      </w:r>
      <w:r w:rsidRPr="00AE1E76">
        <w:rPr>
          <w:rFonts w:ascii="Arial" w:eastAsiaTheme="minorHAnsi" w:hAnsi="Arial" w:cs="Arial"/>
          <w:b/>
          <w:bCs/>
          <w:color w:val="auto"/>
          <w:sz w:val="28"/>
          <w:szCs w:val="28"/>
          <w:u w:val="single"/>
        </w:rPr>
        <w:t> </w:t>
      </w:r>
    </w:p>
    <w:p w14:paraId="5C789322" w14:textId="242E15EC" w:rsidR="00D243BA" w:rsidRPr="00D243BA" w:rsidRDefault="00D243BA" w:rsidP="00D243BA">
      <w:pPr>
        <w:spacing w:line="360" w:lineRule="auto"/>
      </w:pPr>
      <w:r w:rsidRPr="00D243BA">
        <w:rPr>
          <w:rFonts w:ascii="Arial" w:hAnsi="Arial" w:cs="Arial"/>
          <w:sz w:val="22"/>
          <w:szCs w:val="22"/>
        </w:rPr>
        <w:t>This dissertation is structured into five chapters. Chapter one introduces the research topic and outlines the research aims. Chapter two presents a review of the literature on alcohol-related, socioeconomic deprivation, and public health policy. Chapter three describes the research methodology. Chapter four presents the findings, and chapter five discusses the implications of these findings before concluding with recommendations for future research and policy</w:t>
      </w:r>
      <w:r w:rsidRPr="00D243BA">
        <w:t>.</w:t>
      </w:r>
    </w:p>
    <w:p w14:paraId="59E0DFCC" w14:textId="31604ED6" w:rsidR="00CE05AC" w:rsidRPr="00980BBE" w:rsidRDefault="00CE05AC" w:rsidP="001D2D05">
      <w:pPr>
        <w:spacing w:line="360" w:lineRule="auto"/>
        <w:rPr>
          <w:rFonts w:ascii="Arial" w:hAnsi="Arial" w:cs="Arial"/>
          <w:sz w:val="22"/>
          <w:szCs w:val="22"/>
        </w:rPr>
      </w:pPr>
      <w:r w:rsidRPr="00980BBE">
        <w:rPr>
          <w:rFonts w:ascii="Arial" w:hAnsi="Arial" w:cs="Arial"/>
          <w:sz w:val="22"/>
          <w:szCs w:val="22"/>
        </w:rPr>
        <w:t xml:space="preserve">The purpose of this study is to investigate the intricate </w:t>
      </w:r>
      <w:r w:rsidR="00C14B4D" w:rsidRPr="00980BBE">
        <w:rPr>
          <w:rFonts w:ascii="Arial" w:hAnsi="Arial" w:cs="Arial"/>
          <w:sz w:val="22"/>
          <w:szCs w:val="22"/>
        </w:rPr>
        <w:t>relationship</w:t>
      </w:r>
      <w:r w:rsidRPr="00980BBE">
        <w:rPr>
          <w:rFonts w:ascii="Arial" w:hAnsi="Arial" w:cs="Arial"/>
          <w:sz w:val="22"/>
          <w:szCs w:val="22"/>
        </w:rPr>
        <w:t xml:space="preserve"> between early-onset dementia, alcohol consumption, and socioeconomic disadvantage (Kovačić Petrović, Peraica, and Kozarić-Kovačić, 2025a). Its objective is to generate insights that can improve service delivery, direct prevention initiatives, and </w:t>
      </w:r>
      <w:r w:rsidR="00D11601" w:rsidRPr="00980BBE">
        <w:rPr>
          <w:rFonts w:ascii="Arial" w:hAnsi="Arial" w:cs="Arial"/>
          <w:sz w:val="22"/>
          <w:szCs w:val="22"/>
        </w:rPr>
        <w:t>reduce</w:t>
      </w:r>
      <w:r w:rsidRPr="00980BBE">
        <w:rPr>
          <w:rFonts w:ascii="Arial" w:hAnsi="Arial" w:cs="Arial"/>
          <w:sz w:val="22"/>
          <w:szCs w:val="22"/>
        </w:rPr>
        <w:t xml:space="preserve"> health inequities (Zahr, 2024). A significant global public health concern is the increasing </w:t>
      </w:r>
      <w:r w:rsidR="00D11601" w:rsidRPr="00980BBE">
        <w:rPr>
          <w:rFonts w:ascii="Arial" w:hAnsi="Arial" w:cs="Arial"/>
          <w:sz w:val="22"/>
          <w:szCs w:val="22"/>
        </w:rPr>
        <w:t>p</w:t>
      </w:r>
      <w:r w:rsidR="003A2E23" w:rsidRPr="00980BBE">
        <w:rPr>
          <w:rFonts w:ascii="Arial" w:hAnsi="Arial" w:cs="Arial"/>
          <w:sz w:val="22"/>
          <w:szCs w:val="22"/>
        </w:rPr>
        <w:t>revalence</w:t>
      </w:r>
      <w:r w:rsidRPr="00980BBE">
        <w:rPr>
          <w:rFonts w:ascii="Arial" w:hAnsi="Arial" w:cs="Arial"/>
          <w:sz w:val="22"/>
          <w:szCs w:val="22"/>
        </w:rPr>
        <w:t xml:space="preserve"> of YOD, which is defined as dementia diagnosed under the age of 65, is becoming more widely </w:t>
      </w:r>
      <w:r w:rsidR="009E5AB6" w:rsidRPr="00980BBE">
        <w:rPr>
          <w:rFonts w:ascii="Arial" w:hAnsi="Arial" w:cs="Arial"/>
          <w:sz w:val="22"/>
          <w:szCs w:val="22"/>
        </w:rPr>
        <w:t>recognised</w:t>
      </w:r>
      <w:r w:rsidRPr="00980BBE">
        <w:rPr>
          <w:rFonts w:ascii="Arial" w:hAnsi="Arial" w:cs="Arial"/>
          <w:sz w:val="22"/>
          <w:szCs w:val="22"/>
        </w:rPr>
        <w:t xml:space="preserve"> as a comp</w:t>
      </w:r>
      <w:r w:rsidR="009E5AB6" w:rsidRPr="00980BBE">
        <w:rPr>
          <w:rFonts w:ascii="Arial" w:hAnsi="Arial" w:cs="Arial"/>
          <w:sz w:val="22"/>
          <w:szCs w:val="22"/>
        </w:rPr>
        <w:t>lex</w:t>
      </w:r>
      <w:r w:rsidRPr="00980BBE">
        <w:rPr>
          <w:rFonts w:ascii="Arial" w:hAnsi="Arial" w:cs="Arial"/>
          <w:sz w:val="22"/>
          <w:szCs w:val="22"/>
        </w:rPr>
        <w:t xml:space="preserve"> and expanding issue, even if </w:t>
      </w:r>
      <w:r w:rsidR="00976C87" w:rsidRPr="00980BBE">
        <w:rPr>
          <w:rFonts w:ascii="Arial" w:hAnsi="Arial" w:cs="Arial"/>
          <w:sz w:val="22"/>
          <w:szCs w:val="22"/>
        </w:rPr>
        <w:t>most</w:t>
      </w:r>
      <w:r w:rsidRPr="00980BBE">
        <w:rPr>
          <w:rFonts w:ascii="Arial" w:hAnsi="Arial" w:cs="Arial"/>
          <w:sz w:val="22"/>
          <w:szCs w:val="22"/>
        </w:rPr>
        <w:t xml:space="preserve"> cases affect older </w:t>
      </w:r>
      <w:r w:rsidR="008E6F43" w:rsidRPr="00980BBE">
        <w:rPr>
          <w:rFonts w:ascii="Arial" w:hAnsi="Arial" w:cs="Arial"/>
          <w:sz w:val="22"/>
          <w:szCs w:val="22"/>
        </w:rPr>
        <w:t>populations</w:t>
      </w:r>
      <w:r w:rsidRPr="00980BBE">
        <w:rPr>
          <w:rFonts w:ascii="Arial" w:hAnsi="Arial" w:cs="Arial"/>
          <w:sz w:val="22"/>
          <w:szCs w:val="22"/>
        </w:rPr>
        <w:t xml:space="preserve"> (Kivimäki et al., 2020). </w:t>
      </w:r>
    </w:p>
    <w:p w14:paraId="2A40A8D6" w14:textId="56BEC0B2" w:rsidR="00597AE1" w:rsidRPr="00980BBE" w:rsidRDefault="00597AE1" w:rsidP="001D2D05">
      <w:pPr>
        <w:spacing w:line="360" w:lineRule="auto"/>
        <w:rPr>
          <w:rFonts w:ascii="Arial" w:hAnsi="Arial" w:cs="Arial"/>
          <w:sz w:val="22"/>
          <w:szCs w:val="22"/>
        </w:rPr>
      </w:pPr>
      <w:r w:rsidRPr="00980BBE">
        <w:rPr>
          <w:rFonts w:ascii="Arial" w:hAnsi="Arial" w:cs="Arial"/>
          <w:sz w:val="22"/>
          <w:szCs w:val="22"/>
        </w:rPr>
        <w:t>In contrast to late-onset dementia, YOD</w:t>
      </w:r>
      <w:r w:rsidR="00A42FBD" w:rsidRPr="00980BBE">
        <w:rPr>
          <w:rFonts w:ascii="Arial" w:hAnsi="Arial" w:cs="Arial"/>
          <w:sz w:val="22"/>
          <w:szCs w:val="22"/>
        </w:rPr>
        <w:t xml:space="preserve"> </w:t>
      </w:r>
      <w:r w:rsidRPr="00980BBE">
        <w:rPr>
          <w:rFonts w:ascii="Arial" w:hAnsi="Arial" w:cs="Arial"/>
          <w:sz w:val="22"/>
          <w:szCs w:val="22"/>
        </w:rPr>
        <w:t>typically </w:t>
      </w:r>
      <w:r w:rsidR="00B877E4" w:rsidRPr="00980BBE">
        <w:rPr>
          <w:rFonts w:ascii="Arial" w:hAnsi="Arial" w:cs="Arial"/>
          <w:sz w:val="22"/>
          <w:szCs w:val="22"/>
        </w:rPr>
        <w:t>affects</w:t>
      </w:r>
      <w:r w:rsidRPr="00980BBE">
        <w:rPr>
          <w:rFonts w:ascii="Arial" w:hAnsi="Arial" w:cs="Arial"/>
          <w:sz w:val="22"/>
          <w:szCs w:val="22"/>
        </w:rPr>
        <w:t> individuals during their most productive social and economic years, disrupting employment, family dynamics, and overall quality of life (Ridley et al., 2013</w:t>
      </w:r>
      <w:r w:rsidR="00A006A8" w:rsidRPr="00980BBE">
        <w:rPr>
          <w:rFonts w:ascii="Arial" w:hAnsi="Arial" w:cs="Arial"/>
          <w:sz w:val="22"/>
          <w:szCs w:val="22"/>
        </w:rPr>
        <w:t>a</w:t>
      </w:r>
      <w:r w:rsidRPr="00980BBE">
        <w:rPr>
          <w:rFonts w:ascii="Arial" w:hAnsi="Arial" w:cs="Arial"/>
          <w:sz w:val="22"/>
          <w:szCs w:val="22"/>
        </w:rPr>
        <w:t>). Consequently, YOD </w:t>
      </w:r>
      <w:r w:rsidR="00B877E4" w:rsidRPr="00980BBE">
        <w:rPr>
          <w:rFonts w:ascii="Arial" w:hAnsi="Arial" w:cs="Arial"/>
          <w:sz w:val="22"/>
          <w:szCs w:val="22"/>
        </w:rPr>
        <w:t>rep</w:t>
      </w:r>
      <w:r w:rsidR="008C45FB" w:rsidRPr="00980BBE">
        <w:rPr>
          <w:rFonts w:ascii="Arial" w:hAnsi="Arial" w:cs="Arial"/>
          <w:sz w:val="22"/>
          <w:szCs w:val="22"/>
        </w:rPr>
        <w:t>resents</w:t>
      </w:r>
      <w:r w:rsidRPr="00980BBE">
        <w:rPr>
          <w:rFonts w:ascii="Arial" w:hAnsi="Arial" w:cs="Arial"/>
          <w:sz w:val="22"/>
          <w:szCs w:val="22"/>
        </w:rPr>
        <w:t> not only as a medical condition but also as a significant social and economic challenge (Sabia et al., 2018; Topiwala et al., 2025a). </w:t>
      </w:r>
    </w:p>
    <w:p w14:paraId="78BB0F3E" w14:textId="7A93A277" w:rsidR="00BA7ED8" w:rsidRPr="00980BBE" w:rsidRDefault="00BA7ED8" w:rsidP="001D2D05">
      <w:pPr>
        <w:spacing w:line="360" w:lineRule="auto"/>
        <w:rPr>
          <w:rFonts w:ascii="Arial" w:hAnsi="Arial" w:cs="Arial"/>
          <w:sz w:val="22"/>
          <w:szCs w:val="22"/>
        </w:rPr>
      </w:pPr>
      <w:r w:rsidRPr="00980BBE">
        <w:rPr>
          <w:rFonts w:ascii="Arial" w:hAnsi="Arial" w:cs="Arial"/>
          <w:sz w:val="22"/>
          <w:szCs w:val="22"/>
        </w:rPr>
        <w:t>Socioeconomic poverty and alcohol consumption</w:t>
      </w:r>
      <w:r w:rsidR="00D243BA">
        <w:rPr>
          <w:rFonts w:ascii="Arial" w:hAnsi="Arial" w:cs="Arial"/>
          <w:sz w:val="22"/>
          <w:szCs w:val="22"/>
        </w:rPr>
        <w:t xml:space="preserve"> </w:t>
      </w:r>
      <w:r w:rsidRPr="00980BBE">
        <w:rPr>
          <w:rFonts w:ascii="Arial" w:hAnsi="Arial" w:cs="Arial"/>
          <w:sz w:val="22"/>
          <w:szCs w:val="22"/>
        </w:rPr>
        <w:t xml:space="preserve">have been identified by research as important risk factors for the onset and progression of YOD (Rehm et al., 2019). Long-term alcohol use can significantly increase the risk of dementia by causing neurotoxic effects, nutritional </w:t>
      </w:r>
      <w:r w:rsidR="000E51C0" w:rsidRPr="00980BBE">
        <w:rPr>
          <w:rFonts w:ascii="Arial" w:hAnsi="Arial" w:cs="Arial"/>
          <w:sz w:val="22"/>
          <w:szCs w:val="22"/>
        </w:rPr>
        <w:t>deficiencies</w:t>
      </w:r>
      <w:r w:rsidRPr="00980BBE">
        <w:rPr>
          <w:rFonts w:ascii="Arial" w:hAnsi="Arial" w:cs="Arial"/>
          <w:sz w:val="22"/>
          <w:szCs w:val="22"/>
        </w:rPr>
        <w:t xml:space="preserve">, and disorders such alcohol-related brain damage (Xu et al., 2017). Reduced access to healthcare, poorer academic </w:t>
      </w:r>
      <w:r w:rsidR="000E51C0" w:rsidRPr="00980BBE">
        <w:rPr>
          <w:rFonts w:ascii="Arial" w:hAnsi="Arial" w:cs="Arial"/>
          <w:sz w:val="22"/>
          <w:szCs w:val="22"/>
        </w:rPr>
        <w:t>attainment</w:t>
      </w:r>
      <w:r w:rsidRPr="00980BBE">
        <w:rPr>
          <w:rFonts w:ascii="Arial" w:hAnsi="Arial" w:cs="Arial"/>
          <w:sz w:val="22"/>
          <w:szCs w:val="22"/>
        </w:rPr>
        <w:t xml:space="preserve">, and lifestyle-related difficulties are all associated with socioeconomic hardship and can increase the risk of dementia. </w:t>
      </w:r>
      <w:r w:rsidR="000E51C0" w:rsidRPr="00980BBE">
        <w:rPr>
          <w:rFonts w:ascii="Arial" w:hAnsi="Arial" w:cs="Arial"/>
          <w:sz w:val="22"/>
          <w:szCs w:val="22"/>
        </w:rPr>
        <w:t xml:space="preserve">The </w:t>
      </w:r>
      <w:r w:rsidR="00C56B0A" w:rsidRPr="00980BBE">
        <w:rPr>
          <w:rFonts w:ascii="Arial" w:hAnsi="Arial" w:cs="Arial"/>
          <w:sz w:val="22"/>
          <w:szCs w:val="22"/>
        </w:rPr>
        <w:t xml:space="preserve">interaction of these factors </w:t>
      </w:r>
      <w:r w:rsidR="001214CD" w:rsidRPr="00980BBE">
        <w:rPr>
          <w:rFonts w:ascii="Arial" w:hAnsi="Arial" w:cs="Arial"/>
          <w:sz w:val="22"/>
          <w:szCs w:val="22"/>
        </w:rPr>
        <w:t>represents</w:t>
      </w:r>
      <w:r w:rsidR="00C56B0A" w:rsidRPr="00980BBE">
        <w:rPr>
          <w:rFonts w:ascii="Arial" w:hAnsi="Arial" w:cs="Arial"/>
          <w:sz w:val="22"/>
          <w:szCs w:val="22"/>
        </w:rPr>
        <w:t xml:space="preserve"> a </w:t>
      </w:r>
      <w:r w:rsidR="0076711B" w:rsidRPr="00980BBE">
        <w:rPr>
          <w:rFonts w:ascii="Arial" w:hAnsi="Arial" w:cs="Arial"/>
          <w:sz w:val="22"/>
          <w:szCs w:val="22"/>
        </w:rPr>
        <w:t>compelling area of research, w</w:t>
      </w:r>
      <w:r w:rsidR="00A635DB" w:rsidRPr="00980BBE">
        <w:rPr>
          <w:rFonts w:ascii="Arial" w:hAnsi="Arial" w:cs="Arial"/>
          <w:sz w:val="22"/>
          <w:szCs w:val="22"/>
        </w:rPr>
        <w:t xml:space="preserve">ith significant implications </w:t>
      </w:r>
      <w:r w:rsidR="007B1EDD" w:rsidRPr="00980BBE">
        <w:rPr>
          <w:rFonts w:ascii="Arial" w:hAnsi="Arial" w:cs="Arial"/>
          <w:sz w:val="22"/>
          <w:szCs w:val="22"/>
        </w:rPr>
        <w:t xml:space="preserve">for social and health care policy </w:t>
      </w:r>
      <w:r w:rsidRPr="00980BBE">
        <w:rPr>
          <w:rFonts w:ascii="Arial" w:hAnsi="Arial" w:cs="Arial"/>
          <w:sz w:val="22"/>
          <w:szCs w:val="22"/>
        </w:rPr>
        <w:t xml:space="preserve">(Hendriks et al., 2023a). </w:t>
      </w:r>
    </w:p>
    <w:p w14:paraId="653C7725" w14:textId="77777777" w:rsidR="00597AE1" w:rsidRPr="00EB54BB" w:rsidRDefault="00597AE1" w:rsidP="00A72BB5">
      <w:pPr>
        <w:pStyle w:val="Heading1"/>
        <w:rPr>
          <w:rFonts w:ascii="Arial" w:hAnsi="Arial" w:cs="Arial"/>
          <w:b/>
          <w:bCs/>
          <w:color w:val="auto"/>
          <w:sz w:val="28"/>
          <w:szCs w:val="28"/>
          <w:u w:val="single"/>
        </w:rPr>
      </w:pPr>
      <w:bookmarkStart w:id="2" w:name="_Toc225966593"/>
      <w:r w:rsidRPr="00EB54BB">
        <w:rPr>
          <w:rFonts w:ascii="Arial" w:hAnsi="Arial" w:cs="Arial"/>
          <w:b/>
          <w:bCs/>
          <w:color w:val="auto"/>
          <w:sz w:val="28"/>
          <w:szCs w:val="28"/>
          <w:u w:val="single"/>
        </w:rPr>
        <w:t>Definitions and Terminology</w:t>
      </w:r>
      <w:bookmarkEnd w:id="2"/>
      <w:r w:rsidRPr="00EB54BB">
        <w:rPr>
          <w:rFonts w:ascii="Arial" w:hAnsi="Arial" w:cs="Arial"/>
          <w:b/>
          <w:bCs/>
          <w:color w:val="auto"/>
          <w:sz w:val="28"/>
          <w:szCs w:val="28"/>
          <w:u w:val="single"/>
        </w:rPr>
        <w:t>  </w:t>
      </w:r>
    </w:p>
    <w:p w14:paraId="5BB3B69C" w14:textId="77777777" w:rsidR="00597AE1" w:rsidRPr="00980BBE" w:rsidRDefault="00597AE1" w:rsidP="001D2D05">
      <w:pPr>
        <w:spacing w:line="360" w:lineRule="auto"/>
        <w:rPr>
          <w:rFonts w:ascii="Arial" w:hAnsi="Arial" w:cs="Arial"/>
          <w:sz w:val="22"/>
          <w:szCs w:val="22"/>
        </w:rPr>
      </w:pPr>
      <w:r w:rsidRPr="00980BBE">
        <w:rPr>
          <w:rFonts w:ascii="Arial" w:hAnsi="Arial" w:cs="Arial"/>
          <w:sz w:val="22"/>
          <w:szCs w:val="22"/>
        </w:rPr>
        <w:t>To achieve conceptual clarity, it is essential to delineate the key concepts underpinning this dissertation. </w:t>
      </w:r>
    </w:p>
    <w:p w14:paraId="1871554B" w14:textId="250523CB" w:rsidR="00597AE1" w:rsidRPr="00980BBE" w:rsidRDefault="00597AE1" w:rsidP="001D2D05">
      <w:pPr>
        <w:spacing w:line="360" w:lineRule="auto"/>
        <w:rPr>
          <w:rFonts w:ascii="Arial" w:hAnsi="Arial" w:cs="Arial"/>
          <w:sz w:val="22"/>
          <w:szCs w:val="22"/>
        </w:rPr>
      </w:pPr>
      <w:r w:rsidRPr="00980BBE">
        <w:rPr>
          <w:rFonts w:ascii="Arial" w:hAnsi="Arial" w:cs="Arial"/>
          <w:b/>
          <w:bCs/>
          <w:sz w:val="22"/>
          <w:szCs w:val="22"/>
        </w:rPr>
        <w:lastRenderedPageBreak/>
        <w:t>Dementia:</w:t>
      </w:r>
      <w:r w:rsidRPr="00980BBE">
        <w:rPr>
          <w:rFonts w:ascii="Arial" w:hAnsi="Arial" w:cs="Arial"/>
          <w:sz w:val="22"/>
          <w:szCs w:val="22"/>
        </w:rPr>
        <w:t> Refers to a group of</w:t>
      </w:r>
      <w:r w:rsidR="003E478C">
        <w:rPr>
          <w:rFonts w:ascii="Arial" w:hAnsi="Arial" w:cs="Arial"/>
          <w:sz w:val="22"/>
          <w:szCs w:val="22"/>
        </w:rPr>
        <w:t xml:space="preserve"> </w:t>
      </w:r>
      <w:r w:rsidRPr="00980BBE">
        <w:rPr>
          <w:rFonts w:ascii="Arial" w:hAnsi="Arial" w:cs="Arial"/>
          <w:sz w:val="22"/>
          <w:szCs w:val="22"/>
        </w:rPr>
        <w:t>neurological disorders characterized by cognitive decline, memory impairment, and difficulties in reasoning, communication, and daily functioning (</w:t>
      </w:r>
      <w:r w:rsidR="00911CDA" w:rsidRPr="00980BBE">
        <w:rPr>
          <w:rFonts w:ascii="Arial" w:hAnsi="Arial" w:cs="Arial"/>
          <w:sz w:val="22"/>
          <w:szCs w:val="22"/>
        </w:rPr>
        <w:t>Anstey, Mack and Cherbuin,</w:t>
      </w:r>
      <w:r w:rsidR="006A3624" w:rsidRPr="00980BBE">
        <w:rPr>
          <w:rFonts w:ascii="Arial" w:hAnsi="Arial" w:cs="Arial"/>
          <w:sz w:val="22"/>
          <w:szCs w:val="22"/>
        </w:rPr>
        <w:t xml:space="preserve"> 2009</w:t>
      </w:r>
      <w:r w:rsidRPr="00980BBE">
        <w:rPr>
          <w:rFonts w:ascii="Arial" w:hAnsi="Arial" w:cs="Arial"/>
          <w:sz w:val="22"/>
          <w:szCs w:val="22"/>
        </w:rPr>
        <w:t>; Schelleman-Offermans et al., 2025). </w:t>
      </w:r>
    </w:p>
    <w:p w14:paraId="4EE1D0D2" w14:textId="44118907" w:rsidR="00597AE1" w:rsidRPr="00980BBE" w:rsidRDefault="00597AE1" w:rsidP="001D2D05">
      <w:pPr>
        <w:spacing w:line="360" w:lineRule="auto"/>
        <w:rPr>
          <w:rFonts w:ascii="Arial" w:hAnsi="Arial" w:cs="Arial"/>
          <w:sz w:val="22"/>
          <w:szCs w:val="22"/>
        </w:rPr>
      </w:pPr>
      <w:r w:rsidRPr="00980BBE">
        <w:rPr>
          <w:rFonts w:ascii="Arial" w:hAnsi="Arial" w:cs="Arial"/>
          <w:b/>
          <w:bCs/>
          <w:sz w:val="22"/>
          <w:szCs w:val="22"/>
        </w:rPr>
        <w:t>Young-Onset Dementia (YOD):</w:t>
      </w:r>
      <w:r w:rsidRPr="00980BBE">
        <w:rPr>
          <w:rFonts w:ascii="Arial" w:hAnsi="Arial" w:cs="Arial"/>
          <w:sz w:val="22"/>
          <w:szCs w:val="22"/>
        </w:rPr>
        <w:t> Dementia diagnosed before the age of 65. This subgroup often faces unique challenges, including</w:t>
      </w:r>
      <w:r w:rsidR="00171C11">
        <w:rPr>
          <w:rFonts w:ascii="Arial" w:hAnsi="Arial" w:cs="Arial"/>
          <w:sz w:val="22"/>
          <w:szCs w:val="22"/>
        </w:rPr>
        <w:t xml:space="preserve"> </w:t>
      </w:r>
      <w:r w:rsidRPr="00980BBE">
        <w:rPr>
          <w:rFonts w:ascii="Arial" w:hAnsi="Arial" w:cs="Arial"/>
          <w:sz w:val="22"/>
          <w:szCs w:val="22"/>
        </w:rPr>
        <w:t>misdiagnosis, increased social and financial pressures, and reduced access to age-appropriate support options (Mukamal et al., 2003; </w:t>
      </w:r>
      <w:r w:rsidR="00440C20" w:rsidRPr="00980BBE">
        <w:rPr>
          <w:rFonts w:ascii="Arial" w:hAnsi="Arial" w:cs="Arial"/>
          <w:sz w:val="22"/>
          <w:szCs w:val="22"/>
        </w:rPr>
        <w:t>Kovačić Petrović,  Peraica</w:t>
      </w:r>
      <w:r w:rsidR="00087C74" w:rsidRPr="00980BBE">
        <w:rPr>
          <w:rFonts w:ascii="Arial" w:hAnsi="Arial" w:cs="Arial"/>
          <w:sz w:val="22"/>
          <w:szCs w:val="22"/>
        </w:rPr>
        <w:t xml:space="preserve"> and </w:t>
      </w:r>
      <w:r w:rsidR="00440C20" w:rsidRPr="00980BBE">
        <w:rPr>
          <w:rFonts w:ascii="Arial" w:hAnsi="Arial" w:cs="Arial"/>
          <w:sz w:val="22"/>
          <w:szCs w:val="22"/>
        </w:rPr>
        <w:t xml:space="preserve"> Kozarić-Kovačić, 2025</w:t>
      </w:r>
      <w:r w:rsidR="00587BFD" w:rsidRPr="00980BBE">
        <w:rPr>
          <w:rFonts w:ascii="Arial" w:hAnsi="Arial" w:cs="Arial"/>
          <w:sz w:val="22"/>
          <w:szCs w:val="22"/>
        </w:rPr>
        <w:t>b</w:t>
      </w:r>
      <w:r w:rsidR="00440C20" w:rsidRPr="00980BBE">
        <w:rPr>
          <w:rFonts w:ascii="Arial" w:hAnsi="Arial" w:cs="Arial"/>
          <w:sz w:val="22"/>
          <w:szCs w:val="22"/>
        </w:rPr>
        <w:t>)</w:t>
      </w:r>
      <w:r w:rsidRPr="00980BBE">
        <w:rPr>
          <w:rFonts w:ascii="Arial" w:hAnsi="Arial" w:cs="Arial"/>
          <w:sz w:val="22"/>
          <w:szCs w:val="22"/>
        </w:rPr>
        <w:t xml:space="preserve">, </w:t>
      </w:r>
    </w:p>
    <w:p w14:paraId="4814F96E" w14:textId="2D4ED6C8" w:rsidR="00597AE1" w:rsidRPr="00980BBE" w:rsidRDefault="00597AE1" w:rsidP="001D2D05">
      <w:pPr>
        <w:spacing w:line="360" w:lineRule="auto"/>
        <w:rPr>
          <w:rFonts w:ascii="Arial" w:hAnsi="Arial" w:cs="Arial"/>
          <w:sz w:val="22"/>
          <w:szCs w:val="22"/>
        </w:rPr>
      </w:pPr>
      <w:r w:rsidRPr="00980BBE">
        <w:rPr>
          <w:rFonts w:ascii="Arial" w:hAnsi="Arial" w:cs="Arial"/>
          <w:b/>
          <w:bCs/>
          <w:sz w:val="22"/>
          <w:szCs w:val="22"/>
        </w:rPr>
        <w:t>Alcohol Abuse:</w:t>
      </w:r>
      <w:r w:rsidRPr="00980BBE">
        <w:rPr>
          <w:rFonts w:ascii="Arial" w:hAnsi="Arial" w:cs="Arial"/>
          <w:sz w:val="22"/>
          <w:szCs w:val="22"/>
        </w:rPr>
        <w:t> Often described as alcohol misuse, this term refers to a pattern of drinking that negatively impacts a person’s health, relationships, or daily functioning. Long-term consumption can lead to Alcohol-Related Brain Damage (ARBD), Wernicke</w:t>
      </w:r>
      <w:r w:rsidR="001B66A2" w:rsidRPr="00980BBE">
        <w:rPr>
          <w:rFonts w:ascii="Arial" w:hAnsi="Arial" w:cs="Arial"/>
          <w:sz w:val="22"/>
          <w:szCs w:val="22"/>
        </w:rPr>
        <w:t>-</w:t>
      </w:r>
      <w:r w:rsidRPr="00980BBE">
        <w:rPr>
          <w:rFonts w:ascii="Arial" w:hAnsi="Arial" w:cs="Arial"/>
          <w:sz w:val="22"/>
          <w:szCs w:val="22"/>
        </w:rPr>
        <w:t>Korsakoff syndrome, and various cognitive impairments (Kim, et al. 2019; Topiwala et al., 2025</w:t>
      </w:r>
      <w:r w:rsidR="0025553F" w:rsidRPr="00980BBE">
        <w:rPr>
          <w:rFonts w:ascii="Arial" w:hAnsi="Arial" w:cs="Arial"/>
          <w:sz w:val="22"/>
          <w:szCs w:val="22"/>
        </w:rPr>
        <w:t>b</w:t>
      </w:r>
      <w:r w:rsidRPr="00980BBE">
        <w:rPr>
          <w:rFonts w:ascii="Arial" w:hAnsi="Arial" w:cs="Arial"/>
          <w:sz w:val="22"/>
          <w:szCs w:val="22"/>
        </w:rPr>
        <w:t>). </w:t>
      </w:r>
    </w:p>
    <w:p w14:paraId="67B1D570" w14:textId="77A8CED2" w:rsidR="00597AE1" w:rsidRPr="00980BBE" w:rsidRDefault="00597AE1" w:rsidP="001D2D05">
      <w:pPr>
        <w:spacing w:line="360" w:lineRule="auto"/>
        <w:rPr>
          <w:rFonts w:ascii="Arial" w:hAnsi="Arial" w:cs="Arial"/>
          <w:sz w:val="22"/>
          <w:szCs w:val="22"/>
        </w:rPr>
      </w:pPr>
      <w:r w:rsidRPr="00980BBE">
        <w:rPr>
          <w:rFonts w:ascii="Arial" w:hAnsi="Arial" w:cs="Arial"/>
          <w:b/>
          <w:bCs/>
          <w:sz w:val="22"/>
          <w:szCs w:val="22"/>
        </w:rPr>
        <w:t>Socioeconomic Deprivation:</w:t>
      </w:r>
      <w:r w:rsidRPr="00980BBE">
        <w:rPr>
          <w:rFonts w:ascii="Arial" w:hAnsi="Arial" w:cs="Arial"/>
          <w:sz w:val="22"/>
          <w:szCs w:val="22"/>
        </w:rPr>
        <w:t> Covers aspects of disadvantage such as poverty, unemployment, low educational attainment, and restricted access to healthcare. Such deprivation worsens health inequities and heightens the risk of both physical and mental health issues (Topiwala et al., 2025</w:t>
      </w:r>
      <w:r w:rsidR="0025553F" w:rsidRPr="00980BBE">
        <w:rPr>
          <w:rFonts w:ascii="Arial" w:hAnsi="Arial" w:cs="Arial"/>
          <w:sz w:val="22"/>
          <w:szCs w:val="22"/>
        </w:rPr>
        <w:t>c</w:t>
      </w:r>
      <w:r w:rsidRPr="00980BBE">
        <w:rPr>
          <w:rFonts w:ascii="Arial" w:hAnsi="Arial" w:cs="Arial"/>
          <w:sz w:val="22"/>
          <w:szCs w:val="22"/>
        </w:rPr>
        <w:t>). </w:t>
      </w:r>
    </w:p>
    <w:p w14:paraId="2C5619C8" w14:textId="02F626AE" w:rsidR="00597AE1" w:rsidRPr="00980BBE" w:rsidRDefault="00597AE1" w:rsidP="001D2D05">
      <w:pPr>
        <w:spacing w:line="360" w:lineRule="auto"/>
        <w:rPr>
          <w:rFonts w:ascii="Arial" w:hAnsi="Arial" w:cs="Arial"/>
          <w:sz w:val="22"/>
          <w:szCs w:val="22"/>
        </w:rPr>
      </w:pPr>
      <w:r w:rsidRPr="00980BBE">
        <w:rPr>
          <w:rFonts w:ascii="Arial" w:hAnsi="Arial" w:cs="Arial"/>
          <w:b/>
          <w:bCs/>
          <w:sz w:val="22"/>
          <w:szCs w:val="22"/>
        </w:rPr>
        <w:t>Health and Social Care:</w:t>
      </w:r>
      <w:r w:rsidRPr="00980BBE">
        <w:rPr>
          <w:rFonts w:ascii="Arial" w:hAnsi="Arial" w:cs="Arial"/>
          <w:sz w:val="22"/>
          <w:szCs w:val="22"/>
        </w:rPr>
        <w:t> Relates to the combined support offered by medical professionals, social workers, and community services to meet individuals’ healthcare and social needs (Hendriks et al., 2023</w:t>
      </w:r>
      <w:r w:rsidR="002130ED" w:rsidRPr="00980BBE">
        <w:rPr>
          <w:rFonts w:ascii="Arial" w:hAnsi="Arial" w:cs="Arial"/>
          <w:sz w:val="22"/>
          <w:szCs w:val="22"/>
        </w:rPr>
        <w:t>b</w:t>
      </w:r>
      <w:r w:rsidRPr="00980BBE">
        <w:rPr>
          <w:rFonts w:ascii="Arial" w:hAnsi="Arial" w:cs="Arial"/>
          <w:sz w:val="22"/>
          <w:szCs w:val="22"/>
        </w:rPr>
        <w:t>). </w:t>
      </w:r>
    </w:p>
    <w:p w14:paraId="7E27DD4D" w14:textId="77777777" w:rsidR="00597AE1" w:rsidRPr="00266F7A" w:rsidRDefault="00597AE1" w:rsidP="00A72BB5">
      <w:pPr>
        <w:pStyle w:val="Heading1"/>
        <w:rPr>
          <w:rFonts w:ascii="Arial" w:hAnsi="Arial" w:cs="Arial"/>
          <w:b/>
          <w:bCs/>
          <w:color w:val="auto"/>
          <w:sz w:val="28"/>
          <w:szCs w:val="28"/>
          <w:u w:val="single"/>
        </w:rPr>
      </w:pPr>
      <w:bookmarkStart w:id="3" w:name="_Toc225966594"/>
      <w:r w:rsidRPr="00266F7A">
        <w:rPr>
          <w:rFonts w:ascii="Arial" w:hAnsi="Arial" w:cs="Arial"/>
          <w:b/>
          <w:bCs/>
          <w:color w:val="auto"/>
          <w:sz w:val="28"/>
          <w:szCs w:val="28"/>
          <w:u w:val="single"/>
        </w:rPr>
        <w:t>Acronyms and Abbreviations</w:t>
      </w:r>
      <w:bookmarkEnd w:id="3"/>
      <w:r w:rsidRPr="00266F7A">
        <w:rPr>
          <w:rFonts w:ascii="Arial" w:hAnsi="Arial" w:cs="Arial"/>
          <w:b/>
          <w:bCs/>
          <w:color w:val="auto"/>
          <w:sz w:val="28"/>
          <w:szCs w:val="28"/>
          <w:u w:val="single"/>
        </w:rPr>
        <w:t> </w:t>
      </w:r>
    </w:p>
    <w:p w14:paraId="5A61D665" w14:textId="45F7A739" w:rsidR="00597AE1" w:rsidRPr="00980BBE" w:rsidRDefault="00597AE1" w:rsidP="001D2D05">
      <w:pPr>
        <w:spacing w:line="360" w:lineRule="auto"/>
        <w:rPr>
          <w:rFonts w:ascii="Arial" w:hAnsi="Arial" w:cs="Arial"/>
          <w:sz w:val="22"/>
          <w:szCs w:val="22"/>
        </w:rPr>
      </w:pPr>
      <w:r w:rsidRPr="00980BBE">
        <w:rPr>
          <w:rFonts w:ascii="Arial" w:hAnsi="Arial" w:cs="Arial"/>
          <w:b/>
          <w:bCs/>
          <w:sz w:val="22"/>
          <w:szCs w:val="22"/>
        </w:rPr>
        <w:t xml:space="preserve">YOD </w:t>
      </w:r>
      <w:r w:rsidR="001B66A2" w:rsidRPr="00980BBE">
        <w:rPr>
          <w:rFonts w:ascii="Arial" w:hAnsi="Arial" w:cs="Arial"/>
          <w:b/>
          <w:bCs/>
          <w:sz w:val="22"/>
          <w:szCs w:val="22"/>
        </w:rPr>
        <w:t>-</w:t>
      </w:r>
      <w:r w:rsidRPr="00980BBE">
        <w:rPr>
          <w:rFonts w:ascii="Arial" w:hAnsi="Arial" w:cs="Arial"/>
          <w:sz w:val="22"/>
          <w:szCs w:val="22"/>
        </w:rPr>
        <w:t> Young Onset Dementia </w:t>
      </w:r>
    </w:p>
    <w:p w14:paraId="766AD19B" w14:textId="7C908A22" w:rsidR="00597AE1" w:rsidRPr="00980BBE" w:rsidRDefault="00597AE1" w:rsidP="001D2D05">
      <w:pPr>
        <w:spacing w:line="360" w:lineRule="auto"/>
        <w:rPr>
          <w:rFonts w:ascii="Arial" w:hAnsi="Arial" w:cs="Arial"/>
          <w:sz w:val="22"/>
          <w:szCs w:val="22"/>
        </w:rPr>
      </w:pPr>
      <w:r w:rsidRPr="00980BBE">
        <w:rPr>
          <w:rFonts w:ascii="Arial" w:hAnsi="Arial" w:cs="Arial"/>
          <w:b/>
          <w:bCs/>
          <w:sz w:val="22"/>
          <w:szCs w:val="22"/>
        </w:rPr>
        <w:t xml:space="preserve">ARBD </w:t>
      </w:r>
      <w:r w:rsidR="001B66A2" w:rsidRPr="00980BBE">
        <w:rPr>
          <w:rFonts w:ascii="Arial" w:hAnsi="Arial" w:cs="Arial"/>
          <w:b/>
          <w:bCs/>
          <w:sz w:val="22"/>
          <w:szCs w:val="22"/>
        </w:rPr>
        <w:t>-</w:t>
      </w:r>
      <w:r w:rsidRPr="00980BBE">
        <w:rPr>
          <w:rFonts w:ascii="Arial" w:hAnsi="Arial" w:cs="Arial"/>
          <w:sz w:val="22"/>
          <w:szCs w:val="22"/>
        </w:rPr>
        <w:t> Alcohol-Related Brain Damage </w:t>
      </w:r>
    </w:p>
    <w:p w14:paraId="7AF81D3E" w14:textId="187838C9" w:rsidR="00597AE1" w:rsidRPr="00980BBE" w:rsidRDefault="00597AE1" w:rsidP="001D2D05">
      <w:pPr>
        <w:spacing w:line="360" w:lineRule="auto"/>
        <w:rPr>
          <w:rFonts w:ascii="Arial" w:hAnsi="Arial" w:cs="Arial"/>
          <w:sz w:val="22"/>
          <w:szCs w:val="22"/>
        </w:rPr>
      </w:pPr>
      <w:r w:rsidRPr="00980BBE">
        <w:rPr>
          <w:rFonts w:ascii="Arial" w:hAnsi="Arial" w:cs="Arial"/>
          <w:b/>
          <w:bCs/>
          <w:sz w:val="22"/>
          <w:szCs w:val="22"/>
        </w:rPr>
        <w:t xml:space="preserve">NHS </w:t>
      </w:r>
      <w:r w:rsidR="001B66A2" w:rsidRPr="00980BBE">
        <w:rPr>
          <w:rFonts w:ascii="Arial" w:hAnsi="Arial" w:cs="Arial"/>
          <w:b/>
          <w:bCs/>
          <w:sz w:val="22"/>
          <w:szCs w:val="22"/>
        </w:rPr>
        <w:t>-</w:t>
      </w:r>
      <w:r w:rsidRPr="00980BBE">
        <w:rPr>
          <w:rFonts w:ascii="Arial" w:hAnsi="Arial" w:cs="Arial"/>
          <w:sz w:val="22"/>
          <w:szCs w:val="22"/>
        </w:rPr>
        <w:t> National Health Service </w:t>
      </w:r>
    </w:p>
    <w:p w14:paraId="1B86D022" w14:textId="4F177693" w:rsidR="00597AE1" w:rsidRPr="00980BBE" w:rsidRDefault="0062104A" w:rsidP="001D2D05">
      <w:pPr>
        <w:spacing w:line="360" w:lineRule="auto"/>
        <w:rPr>
          <w:rFonts w:ascii="Arial" w:hAnsi="Arial" w:cs="Arial"/>
          <w:sz w:val="22"/>
          <w:szCs w:val="22"/>
        </w:rPr>
      </w:pPr>
      <w:r w:rsidRPr="00980BBE">
        <w:rPr>
          <w:rFonts w:ascii="Arial" w:hAnsi="Arial" w:cs="Arial"/>
          <w:b/>
          <w:bCs/>
          <w:sz w:val="22"/>
          <w:szCs w:val="22"/>
        </w:rPr>
        <w:t>W</w:t>
      </w:r>
      <w:r w:rsidR="000F7EFB" w:rsidRPr="00980BBE">
        <w:rPr>
          <w:rFonts w:ascii="Arial" w:hAnsi="Arial" w:cs="Arial"/>
          <w:b/>
          <w:bCs/>
          <w:sz w:val="22"/>
          <w:szCs w:val="22"/>
        </w:rPr>
        <w:t>HO</w:t>
      </w:r>
      <w:r w:rsidR="001B66A2" w:rsidRPr="00980BBE">
        <w:rPr>
          <w:rFonts w:ascii="Arial" w:hAnsi="Arial" w:cs="Arial"/>
          <w:b/>
          <w:bCs/>
          <w:sz w:val="22"/>
          <w:szCs w:val="22"/>
        </w:rPr>
        <w:t>-</w:t>
      </w:r>
      <w:r w:rsidR="00597AE1" w:rsidRPr="00980BBE">
        <w:rPr>
          <w:rFonts w:ascii="Arial" w:hAnsi="Arial" w:cs="Arial"/>
          <w:sz w:val="22"/>
          <w:szCs w:val="22"/>
        </w:rPr>
        <w:t> World Health Organization </w:t>
      </w:r>
    </w:p>
    <w:p w14:paraId="1DEB5E87" w14:textId="5EFC1B90" w:rsidR="00597AE1" w:rsidRPr="00980BBE" w:rsidRDefault="00597AE1" w:rsidP="001D2D05">
      <w:pPr>
        <w:spacing w:line="360" w:lineRule="auto"/>
        <w:rPr>
          <w:rFonts w:ascii="Arial" w:hAnsi="Arial" w:cs="Arial"/>
          <w:sz w:val="22"/>
          <w:szCs w:val="22"/>
        </w:rPr>
      </w:pPr>
      <w:r w:rsidRPr="00980BBE">
        <w:rPr>
          <w:rFonts w:ascii="Arial" w:hAnsi="Arial" w:cs="Arial"/>
          <w:b/>
          <w:bCs/>
          <w:sz w:val="22"/>
          <w:szCs w:val="22"/>
        </w:rPr>
        <w:t xml:space="preserve">SES </w:t>
      </w:r>
      <w:r w:rsidR="001B66A2" w:rsidRPr="00980BBE">
        <w:rPr>
          <w:rFonts w:ascii="Arial" w:hAnsi="Arial" w:cs="Arial"/>
          <w:b/>
          <w:bCs/>
          <w:sz w:val="22"/>
          <w:szCs w:val="22"/>
        </w:rPr>
        <w:t>-</w:t>
      </w:r>
      <w:r w:rsidRPr="00980BBE">
        <w:rPr>
          <w:rFonts w:ascii="Arial" w:hAnsi="Arial" w:cs="Arial"/>
          <w:sz w:val="22"/>
          <w:szCs w:val="22"/>
        </w:rPr>
        <w:t> Socioeconomic Status </w:t>
      </w:r>
    </w:p>
    <w:p w14:paraId="69962108" w14:textId="77777777" w:rsidR="00597AE1" w:rsidRPr="00980BBE" w:rsidRDefault="00597AE1" w:rsidP="001D2D05">
      <w:pPr>
        <w:spacing w:line="360" w:lineRule="auto"/>
        <w:rPr>
          <w:rFonts w:ascii="Arial" w:hAnsi="Arial" w:cs="Arial"/>
          <w:sz w:val="22"/>
          <w:szCs w:val="22"/>
        </w:rPr>
      </w:pPr>
      <w:r w:rsidRPr="00980BBE">
        <w:rPr>
          <w:rFonts w:ascii="Arial" w:hAnsi="Arial" w:cs="Arial"/>
          <w:sz w:val="22"/>
          <w:szCs w:val="22"/>
        </w:rPr>
        <w:t>Defining these key terms promotes clarity and coherence across the dissertation, ensuring that readers with varied levels of prior knowledge can fully understand the engage with the topic. </w:t>
      </w:r>
    </w:p>
    <w:p w14:paraId="3F7E0E64" w14:textId="77777777" w:rsidR="00597AE1" w:rsidRPr="00EB54BB" w:rsidRDefault="00597AE1" w:rsidP="00A72BB5">
      <w:pPr>
        <w:pStyle w:val="Heading1"/>
        <w:rPr>
          <w:rFonts w:ascii="Arial" w:hAnsi="Arial" w:cs="Arial"/>
          <w:b/>
          <w:bCs/>
          <w:color w:val="auto"/>
          <w:sz w:val="28"/>
          <w:szCs w:val="28"/>
          <w:u w:val="single"/>
        </w:rPr>
      </w:pPr>
      <w:bookmarkStart w:id="4" w:name="_Toc225966595"/>
      <w:r w:rsidRPr="00EB54BB">
        <w:rPr>
          <w:rFonts w:ascii="Arial" w:hAnsi="Arial" w:cs="Arial"/>
          <w:b/>
          <w:bCs/>
          <w:color w:val="auto"/>
          <w:sz w:val="28"/>
          <w:szCs w:val="28"/>
          <w:u w:val="single"/>
        </w:rPr>
        <w:t>Purpose of the Research</w:t>
      </w:r>
      <w:bookmarkEnd w:id="4"/>
      <w:r w:rsidRPr="00EB54BB">
        <w:rPr>
          <w:rFonts w:ascii="Arial" w:hAnsi="Arial" w:cs="Arial"/>
          <w:b/>
          <w:bCs/>
          <w:color w:val="auto"/>
          <w:sz w:val="28"/>
          <w:szCs w:val="28"/>
          <w:u w:val="single"/>
        </w:rPr>
        <w:t>  </w:t>
      </w:r>
    </w:p>
    <w:p w14:paraId="426A01CD" w14:textId="066027A3" w:rsidR="008067F9" w:rsidRPr="00980BBE" w:rsidRDefault="008067F9" w:rsidP="001D2D05">
      <w:pPr>
        <w:spacing w:line="360" w:lineRule="auto"/>
        <w:rPr>
          <w:rFonts w:ascii="Arial" w:hAnsi="Arial" w:cs="Arial"/>
          <w:sz w:val="22"/>
          <w:szCs w:val="22"/>
        </w:rPr>
      </w:pPr>
      <w:r w:rsidRPr="00980BBE">
        <w:rPr>
          <w:rFonts w:ascii="Arial" w:hAnsi="Arial" w:cs="Arial"/>
          <w:sz w:val="22"/>
          <w:szCs w:val="22"/>
        </w:rPr>
        <w:t>Alcohol abuse</w:t>
      </w:r>
      <w:r w:rsidR="00DE38F5">
        <w:rPr>
          <w:rFonts w:ascii="Arial" w:hAnsi="Arial" w:cs="Arial"/>
          <w:sz w:val="22"/>
          <w:szCs w:val="22"/>
        </w:rPr>
        <w:t xml:space="preserve"> </w:t>
      </w:r>
      <w:r w:rsidR="000C48F4">
        <w:rPr>
          <w:rFonts w:ascii="Arial" w:hAnsi="Arial" w:cs="Arial"/>
          <w:sz w:val="22"/>
          <w:szCs w:val="22"/>
        </w:rPr>
        <w:t>brain damage</w:t>
      </w:r>
      <w:r w:rsidRPr="00980BBE">
        <w:rPr>
          <w:rFonts w:ascii="Arial" w:hAnsi="Arial" w:cs="Arial"/>
          <w:sz w:val="22"/>
          <w:szCs w:val="22"/>
        </w:rPr>
        <w:t xml:space="preserve">, socioeconomic hardship, and early-onset dementia are the three main public health and social issues that are </w:t>
      </w:r>
      <w:r w:rsidR="006A74F9" w:rsidRPr="00980BBE">
        <w:rPr>
          <w:rFonts w:ascii="Arial" w:hAnsi="Arial" w:cs="Arial"/>
          <w:sz w:val="22"/>
          <w:szCs w:val="22"/>
        </w:rPr>
        <w:t>underpinning</w:t>
      </w:r>
      <w:r w:rsidRPr="00980BBE">
        <w:rPr>
          <w:rFonts w:ascii="Arial" w:hAnsi="Arial" w:cs="Arial"/>
          <w:sz w:val="22"/>
          <w:szCs w:val="22"/>
        </w:rPr>
        <w:t xml:space="preserve"> this research (ingston et al., 2020; Evans, 2025). Research indicates that people from lower socioeconomic </w:t>
      </w:r>
      <w:r w:rsidR="00F82346" w:rsidRPr="00980BBE">
        <w:rPr>
          <w:rFonts w:ascii="Arial" w:hAnsi="Arial" w:cs="Arial"/>
          <w:sz w:val="22"/>
          <w:szCs w:val="22"/>
        </w:rPr>
        <w:t>backgrounds</w:t>
      </w:r>
      <w:r w:rsidRPr="00980BBE">
        <w:rPr>
          <w:rFonts w:ascii="Arial" w:hAnsi="Arial" w:cs="Arial"/>
          <w:sz w:val="22"/>
          <w:szCs w:val="22"/>
        </w:rPr>
        <w:t xml:space="preserve"> </w:t>
      </w:r>
      <w:r w:rsidRPr="00980BBE">
        <w:rPr>
          <w:rFonts w:ascii="Arial" w:hAnsi="Arial" w:cs="Arial"/>
          <w:sz w:val="22"/>
          <w:szCs w:val="22"/>
        </w:rPr>
        <w:lastRenderedPageBreak/>
        <w:t xml:space="preserve">are more likely to develop early-onset dementia, in part </w:t>
      </w:r>
      <w:r w:rsidR="001B6B56" w:rsidRPr="00980BBE">
        <w:rPr>
          <w:rFonts w:ascii="Arial" w:hAnsi="Arial" w:cs="Arial"/>
          <w:sz w:val="22"/>
          <w:szCs w:val="22"/>
        </w:rPr>
        <w:t>due to</w:t>
      </w:r>
      <w:r w:rsidRPr="00980BBE">
        <w:rPr>
          <w:rFonts w:ascii="Arial" w:hAnsi="Arial" w:cs="Arial"/>
          <w:sz w:val="22"/>
          <w:szCs w:val="22"/>
        </w:rPr>
        <w:t xml:space="preserve"> lifestyle choices, </w:t>
      </w:r>
      <w:r w:rsidR="001B6B56" w:rsidRPr="00980BBE">
        <w:rPr>
          <w:rFonts w:ascii="Arial" w:hAnsi="Arial" w:cs="Arial"/>
          <w:sz w:val="22"/>
          <w:szCs w:val="22"/>
        </w:rPr>
        <w:t>chronic</w:t>
      </w:r>
      <w:r w:rsidRPr="00980BBE">
        <w:rPr>
          <w:rFonts w:ascii="Arial" w:hAnsi="Arial" w:cs="Arial"/>
          <w:sz w:val="22"/>
          <w:szCs w:val="22"/>
        </w:rPr>
        <w:t xml:space="preserve"> stress, and </w:t>
      </w:r>
      <w:r w:rsidR="00D53BE7" w:rsidRPr="00980BBE">
        <w:rPr>
          <w:rFonts w:ascii="Arial" w:hAnsi="Arial" w:cs="Arial"/>
          <w:sz w:val="22"/>
          <w:szCs w:val="22"/>
        </w:rPr>
        <w:t>barriers to accessing healthcare</w:t>
      </w:r>
      <w:r w:rsidRPr="00980BBE">
        <w:rPr>
          <w:rFonts w:ascii="Arial" w:hAnsi="Arial" w:cs="Arial"/>
          <w:sz w:val="22"/>
          <w:szCs w:val="22"/>
        </w:rPr>
        <w:t xml:space="preserve"> (Zhao, Yin, and Xu, 2024). There is </w:t>
      </w:r>
      <w:r w:rsidR="007539A3" w:rsidRPr="00980BBE">
        <w:rPr>
          <w:rFonts w:ascii="Arial" w:hAnsi="Arial" w:cs="Arial"/>
          <w:sz w:val="22"/>
          <w:szCs w:val="22"/>
        </w:rPr>
        <w:t>limited</w:t>
      </w:r>
      <w:r w:rsidRPr="00980BBE">
        <w:rPr>
          <w:rFonts w:ascii="Arial" w:hAnsi="Arial" w:cs="Arial"/>
          <w:sz w:val="22"/>
          <w:szCs w:val="22"/>
        </w:rPr>
        <w:t xml:space="preserve"> research on how alcohol consumption and deprivation </w:t>
      </w:r>
      <w:r w:rsidR="002D2AB3" w:rsidRPr="00980BBE">
        <w:rPr>
          <w:rFonts w:ascii="Arial" w:hAnsi="Arial" w:cs="Arial"/>
          <w:sz w:val="22"/>
          <w:szCs w:val="22"/>
        </w:rPr>
        <w:t>interact</w:t>
      </w:r>
      <w:r w:rsidRPr="00980BBE">
        <w:rPr>
          <w:rFonts w:ascii="Arial" w:hAnsi="Arial" w:cs="Arial"/>
          <w:sz w:val="22"/>
          <w:szCs w:val="22"/>
        </w:rPr>
        <w:t xml:space="preserve"> in young-onset dementia (Shield et al., 2025). Due to a historical emphasis on the short-term negative effects of alcohol, such as liver disease and accidents, rather than its long-term cognitive </w:t>
      </w:r>
      <w:r w:rsidR="007539A3" w:rsidRPr="00980BBE">
        <w:rPr>
          <w:rFonts w:ascii="Arial" w:hAnsi="Arial" w:cs="Arial"/>
          <w:sz w:val="22"/>
          <w:szCs w:val="22"/>
        </w:rPr>
        <w:t>consequences</w:t>
      </w:r>
      <w:r w:rsidRPr="00980BBE">
        <w:rPr>
          <w:rFonts w:ascii="Arial" w:hAnsi="Arial" w:cs="Arial"/>
          <w:sz w:val="22"/>
          <w:szCs w:val="22"/>
        </w:rPr>
        <w:t>, public health messag</w:t>
      </w:r>
      <w:r w:rsidR="00084772" w:rsidRPr="00980BBE">
        <w:rPr>
          <w:rFonts w:ascii="Arial" w:hAnsi="Arial" w:cs="Arial"/>
          <w:sz w:val="22"/>
          <w:szCs w:val="22"/>
        </w:rPr>
        <w:t>ing</w:t>
      </w:r>
      <w:r w:rsidRPr="00980BBE">
        <w:rPr>
          <w:rFonts w:ascii="Arial" w:hAnsi="Arial" w:cs="Arial"/>
          <w:sz w:val="22"/>
          <w:szCs w:val="22"/>
        </w:rPr>
        <w:t xml:space="preserve"> and intervention measures have not successfully reduced the pr</w:t>
      </w:r>
      <w:r w:rsidR="002D2AB3" w:rsidRPr="00980BBE">
        <w:rPr>
          <w:rFonts w:ascii="Arial" w:hAnsi="Arial" w:cs="Arial"/>
          <w:sz w:val="22"/>
          <w:szCs w:val="22"/>
        </w:rPr>
        <w:t>evalence</w:t>
      </w:r>
      <w:r w:rsidRPr="00980BBE">
        <w:rPr>
          <w:rFonts w:ascii="Arial" w:hAnsi="Arial" w:cs="Arial"/>
          <w:sz w:val="22"/>
          <w:szCs w:val="22"/>
        </w:rPr>
        <w:t xml:space="preserve"> of alcohol-related dementia.</w:t>
      </w:r>
    </w:p>
    <w:p w14:paraId="728ADC0F" w14:textId="77777777" w:rsidR="00597AE1" w:rsidRPr="00980BBE" w:rsidRDefault="00597AE1" w:rsidP="001D2D05">
      <w:pPr>
        <w:spacing w:line="360" w:lineRule="auto"/>
        <w:rPr>
          <w:rFonts w:ascii="Arial" w:hAnsi="Arial" w:cs="Arial"/>
          <w:sz w:val="22"/>
          <w:szCs w:val="22"/>
        </w:rPr>
      </w:pPr>
      <w:r w:rsidRPr="00980BBE">
        <w:rPr>
          <w:rFonts w:ascii="Arial" w:hAnsi="Arial" w:cs="Arial"/>
          <w:sz w:val="22"/>
          <w:szCs w:val="22"/>
        </w:rPr>
        <w:t>This research draws on secondary sources and will apply thematic analysis to examine how alcohol misuse and socioeconomic deprivation intersect in shaping the risk of young-onset dementia. </w:t>
      </w:r>
    </w:p>
    <w:p w14:paraId="3C75792E" w14:textId="569B7BAD" w:rsidR="00B97F7E" w:rsidRPr="00980BBE" w:rsidRDefault="00B97F7E" w:rsidP="001D2D05">
      <w:pPr>
        <w:spacing w:line="360" w:lineRule="auto"/>
        <w:rPr>
          <w:rFonts w:ascii="Arial" w:hAnsi="Arial" w:cs="Arial"/>
          <w:sz w:val="22"/>
          <w:szCs w:val="22"/>
        </w:rPr>
      </w:pPr>
      <w:r w:rsidRPr="00980BBE">
        <w:rPr>
          <w:rFonts w:ascii="Arial" w:hAnsi="Arial" w:cs="Arial"/>
          <w:sz w:val="22"/>
          <w:szCs w:val="22"/>
        </w:rPr>
        <w:t xml:space="preserve">Young-onset dementia has </w:t>
      </w:r>
      <w:r w:rsidR="001A2D7E" w:rsidRPr="00980BBE">
        <w:rPr>
          <w:rFonts w:ascii="Arial" w:hAnsi="Arial" w:cs="Arial"/>
          <w:sz w:val="22"/>
          <w:szCs w:val="22"/>
        </w:rPr>
        <w:t>far-reaching</w:t>
      </w:r>
      <w:r w:rsidRPr="00980BBE">
        <w:rPr>
          <w:rFonts w:ascii="Arial" w:hAnsi="Arial" w:cs="Arial"/>
          <w:sz w:val="22"/>
          <w:szCs w:val="22"/>
        </w:rPr>
        <w:t xml:space="preserve"> consequences for families, workplaces, and healthcare systems, often causing employment challenges and financial difficulties for affected individuals; these impacts are further exacerbated by socioeconomic disparities and increased alcohol use during periods of </w:t>
      </w:r>
      <w:r w:rsidR="000524F7" w:rsidRPr="00980BBE">
        <w:rPr>
          <w:rFonts w:ascii="Arial" w:hAnsi="Arial" w:cs="Arial"/>
          <w:sz w:val="22"/>
          <w:szCs w:val="22"/>
        </w:rPr>
        <w:t>budgetary crisis</w:t>
      </w:r>
      <w:r w:rsidRPr="00980BBE">
        <w:rPr>
          <w:rFonts w:ascii="Arial" w:hAnsi="Arial" w:cs="Arial"/>
          <w:sz w:val="22"/>
          <w:szCs w:val="22"/>
        </w:rPr>
        <w:t xml:space="preserve"> (Omote et al., 2023; Liu et al., 2019</w:t>
      </w:r>
      <w:r w:rsidR="00E55FBB" w:rsidRPr="00980BBE">
        <w:rPr>
          <w:rFonts w:ascii="Arial" w:hAnsi="Arial" w:cs="Arial"/>
          <w:sz w:val="22"/>
          <w:szCs w:val="22"/>
        </w:rPr>
        <w:t>a</w:t>
      </w:r>
      <w:r w:rsidRPr="00980BBE">
        <w:rPr>
          <w:rFonts w:ascii="Arial" w:hAnsi="Arial" w:cs="Arial"/>
          <w:sz w:val="22"/>
          <w:szCs w:val="22"/>
        </w:rPr>
        <w:t>; Chowdhary et al., 2022).</w:t>
      </w:r>
    </w:p>
    <w:p w14:paraId="542910E7" w14:textId="652E4E0F" w:rsidR="00597AE1" w:rsidRPr="00980BBE" w:rsidRDefault="00597AE1" w:rsidP="001D2D05">
      <w:pPr>
        <w:spacing w:line="360" w:lineRule="auto"/>
        <w:rPr>
          <w:rFonts w:ascii="Arial" w:hAnsi="Arial" w:cs="Arial"/>
          <w:sz w:val="22"/>
          <w:szCs w:val="22"/>
        </w:rPr>
      </w:pPr>
      <w:r w:rsidRPr="00980BBE">
        <w:rPr>
          <w:rFonts w:ascii="Arial" w:hAnsi="Arial" w:cs="Arial"/>
          <w:sz w:val="22"/>
          <w:szCs w:val="22"/>
        </w:rPr>
        <w:t xml:space="preserve">This research aligns with ongoing discussions about unequal health outcomes, particularly in the context of widening economic gaps and rising alcohol use during financial hardship (Pickett, Gauhar and Wilkinson, 2024). </w:t>
      </w:r>
      <w:r w:rsidR="00E24835" w:rsidRPr="00980BBE">
        <w:rPr>
          <w:rFonts w:ascii="Arial" w:hAnsi="Arial" w:cs="Arial"/>
          <w:sz w:val="22"/>
          <w:szCs w:val="22"/>
        </w:rPr>
        <w:t xml:space="preserve">Addressing these challenges could enhance early support and service delivery for improved long-term outcomes </w:t>
      </w:r>
      <w:r w:rsidRPr="00980BBE">
        <w:rPr>
          <w:rFonts w:ascii="Arial" w:hAnsi="Arial" w:cs="Arial"/>
          <w:sz w:val="22"/>
          <w:szCs w:val="22"/>
        </w:rPr>
        <w:t>(Giebel et al., 2024). </w:t>
      </w:r>
    </w:p>
    <w:p w14:paraId="467A45A9" w14:textId="77777777" w:rsidR="00597AE1" w:rsidRPr="00EB54BB" w:rsidRDefault="00597AE1" w:rsidP="00A72BB5">
      <w:pPr>
        <w:pStyle w:val="Heading1"/>
        <w:rPr>
          <w:rFonts w:ascii="Arial" w:hAnsi="Arial" w:cs="Arial"/>
          <w:b/>
          <w:bCs/>
          <w:color w:val="auto"/>
          <w:sz w:val="28"/>
          <w:szCs w:val="28"/>
          <w:u w:val="single"/>
        </w:rPr>
      </w:pPr>
      <w:bookmarkStart w:id="5" w:name="_Toc225966596"/>
      <w:r w:rsidRPr="00EB54BB">
        <w:rPr>
          <w:rFonts w:ascii="Arial" w:hAnsi="Arial" w:cs="Arial"/>
          <w:b/>
          <w:bCs/>
          <w:color w:val="auto"/>
          <w:sz w:val="28"/>
          <w:szCs w:val="28"/>
          <w:u w:val="single"/>
        </w:rPr>
        <w:t>Aim</w:t>
      </w:r>
      <w:bookmarkEnd w:id="5"/>
      <w:r w:rsidRPr="00EB54BB">
        <w:rPr>
          <w:rFonts w:ascii="Arial" w:hAnsi="Arial" w:cs="Arial"/>
          <w:b/>
          <w:bCs/>
          <w:color w:val="auto"/>
          <w:sz w:val="28"/>
          <w:szCs w:val="28"/>
          <w:u w:val="single"/>
        </w:rPr>
        <w:t> </w:t>
      </w:r>
    </w:p>
    <w:p w14:paraId="5BCF32C5" w14:textId="77777777" w:rsidR="00597AE1" w:rsidRPr="00980BBE" w:rsidRDefault="00597AE1" w:rsidP="001D2D05">
      <w:pPr>
        <w:spacing w:line="360" w:lineRule="auto"/>
        <w:rPr>
          <w:rFonts w:ascii="Arial" w:hAnsi="Arial" w:cs="Arial"/>
          <w:sz w:val="22"/>
          <w:szCs w:val="22"/>
        </w:rPr>
      </w:pPr>
      <w:r w:rsidRPr="00980BBE">
        <w:rPr>
          <w:rFonts w:ascii="Arial" w:hAnsi="Arial" w:cs="Arial"/>
          <w:sz w:val="22"/>
          <w:szCs w:val="22"/>
        </w:rPr>
        <w:t>To examine the relationship between alcohol misuse, socioeconomic disadvantage, and early onset dementia, and to outline evidence-based implications for healthcare and social services. </w:t>
      </w:r>
    </w:p>
    <w:p w14:paraId="36DB8942" w14:textId="77777777" w:rsidR="00597AE1" w:rsidRPr="00EB54BB" w:rsidRDefault="00597AE1" w:rsidP="00A72BB5">
      <w:pPr>
        <w:pStyle w:val="Heading1"/>
        <w:rPr>
          <w:rFonts w:ascii="Arial" w:hAnsi="Arial" w:cs="Arial"/>
          <w:b/>
          <w:bCs/>
          <w:color w:val="auto"/>
          <w:sz w:val="28"/>
          <w:szCs w:val="28"/>
          <w:u w:val="single"/>
        </w:rPr>
      </w:pPr>
      <w:bookmarkStart w:id="6" w:name="_Toc225966597"/>
      <w:r w:rsidRPr="00EB54BB">
        <w:rPr>
          <w:rFonts w:ascii="Arial" w:hAnsi="Arial" w:cs="Arial"/>
          <w:b/>
          <w:bCs/>
          <w:color w:val="auto"/>
          <w:sz w:val="28"/>
          <w:szCs w:val="28"/>
          <w:u w:val="single"/>
        </w:rPr>
        <w:t>Objectives</w:t>
      </w:r>
      <w:bookmarkEnd w:id="6"/>
      <w:r w:rsidRPr="00EB54BB">
        <w:rPr>
          <w:rFonts w:ascii="Arial" w:hAnsi="Arial" w:cs="Arial"/>
          <w:b/>
          <w:bCs/>
          <w:color w:val="auto"/>
          <w:sz w:val="28"/>
          <w:szCs w:val="28"/>
          <w:u w:val="single"/>
        </w:rPr>
        <w:t> </w:t>
      </w:r>
    </w:p>
    <w:p w14:paraId="1F2D6CB7" w14:textId="77777777" w:rsidR="00597AE1" w:rsidRPr="00980BBE" w:rsidRDefault="00597AE1" w:rsidP="001D2D05">
      <w:pPr>
        <w:spacing w:line="360" w:lineRule="auto"/>
        <w:rPr>
          <w:rFonts w:ascii="Arial" w:hAnsi="Arial" w:cs="Arial"/>
          <w:sz w:val="22"/>
          <w:szCs w:val="22"/>
        </w:rPr>
      </w:pPr>
      <w:r w:rsidRPr="00980BBE">
        <w:rPr>
          <w:rFonts w:ascii="Arial" w:hAnsi="Arial" w:cs="Arial"/>
          <w:sz w:val="22"/>
          <w:szCs w:val="22"/>
        </w:rPr>
        <w:t>The research objectives are structured to systematically tackle the target and create a framework for analysis. </w:t>
      </w:r>
    </w:p>
    <w:p w14:paraId="2CB063C0" w14:textId="77777777" w:rsidR="00597AE1" w:rsidRPr="00980BBE" w:rsidRDefault="00597AE1" w:rsidP="001D2D05">
      <w:pPr>
        <w:spacing w:line="360" w:lineRule="auto"/>
        <w:rPr>
          <w:rFonts w:ascii="Arial" w:hAnsi="Arial" w:cs="Arial"/>
          <w:sz w:val="22"/>
          <w:szCs w:val="22"/>
        </w:rPr>
      </w:pPr>
      <w:r w:rsidRPr="00980BBE">
        <w:rPr>
          <w:rFonts w:ascii="Arial" w:hAnsi="Arial" w:cs="Arial"/>
          <w:b/>
          <w:bCs/>
          <w:sz w:val="22"/>
          <w:szCs w:val="22"/>
        </w:rPr>
        <w:t>1.Define and examine</w:t>
      </w:r>
      <w:r w:rsidRPr="00980BBE">
        <w:rPr>
          <w:rFonts w:ascii="Arial" w:hAnsi="Arial" w:cs="Arial"/>
          <w:sz w:val="22"/>
          <w:szCs w:val="22"/>
        </w:rPr>
        <w:t> the correlation between alcohol misuse and early-onset dementia, referencing peer-reviewed research (Zahr, 2024b). </w:t>
      </w:r>
    </w:p>
    <w:p w14:paraId="05EF8A3B" w14:textId="76C74247" w:rsidR="00597AE1" w:rsidRPr="00980BBE" w:rsidRDefault="00597AE1" w:rsidP="001D2D05">
      <w:pPr>
        <w:spacing w:line="360" w:lineRule="auto"/>
        <w:rPr>
          <w:rFonts w:ascii="Arial" w:hAnsi="Arial" w:cs="Arial"/>
          <w:sz w:val="22"/>
          <w:szCs w:val="22"/>
        </w:rPr>
      </w:pPr>
      <w:r w:rsidRPr="00980BBE">
        <w:rPr>
          <w:rFonts w:ascii="Arial" w:hAnsi="Arial" w:cs="Arial"/>
          <w:b/>
          <w:bCs/>
          <w:sz w:val="22"/>
          <w:szCs w:val="22"/>
        </w:rPr>
        <w:t>2</w:t>
      </w:r>
      <w:r w:rsidRPr="00980BBE">
        <w:rPr>
          <w:rFonts w:ascii="Arial" w:hAnsi="Arial" w:cs="Arial"/>
          <w:sz w:val="22"/>
          <w:szCs w:val="22"/>
        </w:rPr>
        <w:t>.</w:t>
      </w:r>
      <w:r w:rsidRPr="00980BBE">
        <w:rPr>
          <w:rFonts w:ascii="Arial" w:hAnsi="Arial" w:cs="Arial"/>
          <w:b/>
          <w:bCs/>
          <w:sz w:val="22"/>
          <w:szCs w:val="22"/>
        </w:rPr>
        <w:t>Analyse </w:t>
      </w:r>
      <w:r w:rsidRPr="00980BBE">
        <w:rPr>
          <w:rFonts w:ascii="Arial" w:hAnsi="Arial" w:cs="Arial"/>
          <w:sz w:val="22"/>
          <w:szCs w:val="22"/>
        </w:rPr>
        <w:t>the influence of socioeconomic deprivation on the risk factors, diagnosis, and treatment of alcohol-related dementia, including relevant policies and care legislation </w:t>
      </w:r>
      <w:r w:rsidR="000E3FB7" w:rsidRPr="00980BBE">
        <w:rPr>
          <w:rFonts w:ascii="Arial" w:hAnsi="Arial" w:cs="Arial"/>
          <w:sz w:val="22"/>
          <w:szCs w:val="22"/>
        </w:rPr>
        <w:t>(</w:t>
      </w:r>
      <w:r w:rsidR="002F7F24" w:rsidRPr="00980BBE">
        <w:rPr>
          <w:rFonts w:ascii="Arial" w:hAnsi="Arial" w:cs="Arial"/>
          <w:sz w:val="22"/>
          <w:szCs w:val="22"/>
        </w:rPr>
        <w:t>Alderson, 20</w:t>
      </w:r>
      <w:r w:rsidR="000E3FB7" w:rsidRPr="00980BBE">
        <w:rPr>
          <w:rFonts w:ascii="Arial" w:hAnsi="Arial" w:cs="Arial"/>
          <w:sz w:val="22"/>
          <w:szCs w:val="22"/>
        </w:rPr>
        <w:t>22).</w:t>
      </w:r>
    </w:p>
    <w:p w14:paraId="5196A5DE" w14:textId="2E4DB1B4" w:rsidR="00597AE1" w:rsidRPr="00980BBE" w:rsidRDefault="00597AE1" w:rsidP="001D2D05">
      <w:pPr>
        <w:spacing w:line="360" w:lineRule="auto"/>
        <w:rPr>
          <w:rFonts w:ascii="Arial" w:hAnsi="Arial" w:cs="Arial"/>
          <w:sz w:val="22"/>
          <w:szCs w:val="22"/>
        </w:rPr>
      </w:pPr>
      <w:r w:rsidRPr="00EC4F4A">
        <w:rPr>
          <w:rFonts w:ascii="Arial" w:hAnsi="Arial" w:cs="Arial"/>
          <w:b/>
          <w:bCs/>
          <w:sz w:val="22"/>
          <w:szCs w:val="22"/>
        </w:rPr>
        <w:lastRenderedPageBreak/>
        <w:t>3</w:t>
      </w:r>
      <w:r w:rsidR="00CC1BE7" w:rsidRPr="00EC4F4A">
        <w:rPr>
          <w:rFonts w:ascii="Arial" w:hAnsi="Arial" w:cs="Arial"/>
          <w:b/>
          <w:bCs/>
          <w:sz w:val="22"/>
          <w:szCs w:val="22"/>
        </w:rPr>
        <w:t>.</w:t>
      </w:r>
      <w:r w:rsidRPr="00EC4F4A">
        <w:rPr>
          <w:rFonts w:ascii="Arial" w:hAnsi="Arial" w:cs="Arial"/>
          <w:b/>
          <w:bCs/>
          <w:sz w:val="22"/>
          <w:szCs w:val="22"/>
        </w:rPr>
        <w:t>Evaluate</w:t>
      </w:r>
      <w:r w:rsidRPr="00980BBE">
        <w:rPr>
          <w:rFonts w:ascii="Arial" w:hAnsi="Arial" w:cs="Arial"/>
          <w:sz w:val="22"/>
          <w:szCs w:val="22"/>
        </w:rPr>
        <w:t> current health and social care policies targeting young onset dementia in underprivileged communities, highlighting their strengths and weaknesses (Care Quality Commission, 202</w:t>
      </w:r>
      <w:r w:rsidR="00BC6929" w:rsidRPr="00980BBE">
        <w:rPr>
          <w:rFonts w:ascii="Arial" w:hAnsi="Arial" w:cs="Arial"/>
          <w:sz w:val="22"/>
          <w:szCs w:val="22"/>
        </w:rPr>
        <w:t>4</w:t>
      </w:r>
      <w:r w:rsidR="00174113" w:rsidRPr="00980BBE">
        <w:rPr>
          <w:rFonts w:ascii="Arial" w:hAnsi="Arial" w:cs="Arial"/>
          <w:sz w:val="22"/>
          <w:szCs w:val="22"/>
        </w:rPr>
        <w:t>a</w:t>
      </w:r>
      <w:r w:rsidRPr="00980BBE">
        <w:rPr>
          <w:rFonts w:ascii="Arial" w:hAnsi="Arial" w:cs="Arial"/>
          <w:sz w:val="22"/>
          <w:szCs w:val="22"/>
        </w:rPr>
        <w:t>). </w:t>
      </w:r>
    </w:p>
    <w:p w14:paraId="39C715D5" w14:textId="6F933C2B" w:rsidR="0073164F" w:rsidRPr="00980BBE" w:rsidRDefault="00597AE1" w:rsidP="001D2D05">
      <w:pPr>
        <w:spacing w:line="360" w:lineRule="auto"/>
        <w:rPr>
          <w:rFonts w:ascii="Arial" w:hAnsi="Arial" w:cs="Arial"/>
          <w:sz w:val="22"/>
          <w:szCs w:val="22"/>
        </w:rPr>
      </w:pPr>
      <w:r w:rsidRPr="00EC4F4A">
        <w:rPr>
          <w:rFonts w:ascii="Arial" w:hAnsi="Arial" w:cs="Arial"/>
          <w:b/>
          <w:bCs/>
          <w:sz w:val="22"/>
          <w:szCs w:val="22"/>
        </w:rPr>
        <w:t>4</w:t>
      </w:r>
      <w:r w:rsidR="00EC4F4A">
        <w:rPr>
          <w:rFonts w:ascii="Arial" w:hAnsi="Arial" w:cs="Arial"/>
          <w:b/>
          <w:bCs/>
          <w:sz w:val="22"/>
          <w:szCs w:val="22"/>
        </w:rPr>
        <w:t>.</w:t>
      </w:r>
      <w:r w:rsidR="000458B4" w:rsidRPr="00980BBE">
        <w:rPr>
          <w:rStyle w:val="Heading1Char"/>
          <w:rFonts w:ascii="Arial" w:hAnsi="Arial" w:cs="Arial"/>
          <w:b/>
          <w:bCs/>
          <w:color w:val="auto"/>
          <w:sz w:val="22"/>
          <w:szCs w:val="22"/>
        </w:rPr>
        <w:t>Recommendation</w:t>
      </w:r>
      <w:r w:rsidRPr="00980BBE">
        <w:rPr>
          <w:rFonts w:ascii="Arial" w:hAnsi="Arial" w:cs="Arial"/>
          <w:sz w:val="22"/>
          <w:szCs w:val="22"/>
        </w:rPr>
        <w:t xml:space="preserve"> suggestions for prevention, early intervention, and enhanced service delivery to mitigate disparities in dementia care and outcomes </w:t>
      </w:r>
      <w:r w:rsidR="0073164F" w:rsidRPr="00980BBE">
        <w:rPr>
          <w:rFonts w:ascii="Arial" w:hAnsi="Arial" w:cs="Arial"/>
          <w:sz w:val="22"/>
          <w:szCs w:val="22"/>
        </w:rPr>
        <w:t>(Bruinsma et al., 2024)</w:t>
      </w:r>
      <w:r w:rsidR="00213064" w:rsidRPr="00980BBE">
        <w:rPr>
          <w:rFonts w:ascii="Arial" w:hAnsi="Arial" w:cs="Arial"/>
          <w:sz w:val="22"/>
          <w:szCs w:val="22"/>
        </w:rPr>
        <w:t>.</w:t>
      </w:r>
    </w:p>
    <w:p w14:paraId="33C67318" w14:textId="77777777" w:rsidR="00597AE1" w:rsidRPr="00980BBE" w:rsidRDefault="00597AE1" w:rsidP="001D2D05">
      <w:pPr>
        <w:spacing w:line="360" w:lineRule="auto"/>
        <w:rPr>
          <w:rFonts w:ascii="Arial" w:hAnsi="Arial" w:cs="Arial"/>
          <w:sz w:val="22"/>
          <w:szCs w:val="22"/>
        </w:rPr>
      </w:pPr>
      <w:r w:rsidRPr="00980BBE">
        <w:rPr>
          <w:rFonts w:ascii="Arial" w:hAnsi="Arial" w:cs="Arial"/>
          <w:sz w:val="22"/>
          <w:szCs w:val="22"/>
        </w:rPr>
        <w:t>This dissertation seeks to cultivate a thorough comprehension of the interaction of biological, social, and systemic factors, while providing substantiated recommendations for policy and practice. </w:t>
      </w:r>
    </w:p>
    <w:p w14:paraId="5F3A3117" w14:textId="77777777" w:rsidR="00597AE1" w:rsidRPr="00EB54BB" w:rsidRDefault="00597AE1" w:rsidP="004E440C">
      <w:pPr>
        <w:pStyle w:val="Heading1"/>
        <w:rPr>
          <w:rFonts w:ascii="Arial" w:hAnsi="Arial" w:cs="Arial"/>
          <w:b/>
          <w:bCs/>
          <w:color w:val="auto"/>
          <w:sz w:val="28"/>
          <w:szCs w:val="28"/>
          <w:u w:val="single"/>
        </w:rPr>
      </w:pPr>
      <w:bookmarkStart w:id="7" w:name="_Toc225966598"/>
      <w:r w:rsidRPr="00EB54BB">
        <w:rPr>
          <w:rFonts w:ascii="Arial" w:hAnsi="Arial" w:cs="Arial"/>
          <w:b/>
          <w:bCs/>
          <w:color w:val="auto"/>
          <w:sz w:val="28"/>
          <w:szCs w:val="28"/>
          <w:u w:val="single"/>
        </w:rPr>
        <w:t>Conclusion</w:t>
      </w:r>
      <w:bookmarkEnd w:id="7"/>
      <w:r w:rsidRPr="00EB54BB">
        <w:rPr>
          <w:rFonts w:ascii="Arial" w:hAnsi="Arial" w:cs="Arial"/>
          <w:b/>
          <w:bCs/>
          <w:color w:val="auto"/>
          <w:sz w:val="28"/>
          <w:szCs w:val="28"/>
          <w:u w:val="single"/>
        </w:rPr>
        <w:t> </w:t>
      </w:r>
    </w:p>
    <w:p w14:paraId="63CBF230" w14:textId="288B31B9" w:rsidR="006574C0" w:rsidRPr="00980BBE" w:rsidRDefault="006574C0" w:rsidP="001D2D05">
      <w:pPr>
        <w:spacing w:line="360" w:lineRule="auto"/>
        <w:rPr>
          <w:rFonts w:ascii="Arial" w:hAnsi="Arial" w:cs="Arial"/>
          <w:sz w:val="22"/>
          <w:szCs w:val="22"/>
        </w:rPr>
      </w:pPr>
      <w:r w:rsidRPr="00980BBE">
        <w:rPr>
          <w:rFonts w:ascii="Arial" w:hAnsi="Arial" w:cs="Arial"/>
          <w:sz w:val="22"/>
          <w:szCs w:val="22"/>
        </w:rPr>
        <w:t xml:space="preserve">The research issue was introduced in this chapter, emphasizing the crucial relationship between early-onset dementia, alcohol abuse, and socioeconomic deprivation (Zahr, 2024c). It </w:t>
      </w:r>
      <w:r w:rsidR="00BE626A" w:rsidRPr="00980BBE">
        <w:rPr>
          <w:rFonts w:ascii="Arial" w:hAnsi="Arial" w:cs="Arial"/>
          <w:sz w:val="22"/>
          <w:szCs w:val="22"/>
        </w:rPr>
        <w:t>o</w:t>
      </w:r>
      <w:r w:rsidR="00FA5939" w:rsidRPr="00980BBE">
        <w:rPr>
          <w:rFonts w:ascii="Arial" w:hAnsi="Arial" w:cs="Arial"/>
          <w:sz w:val="22"/>
          <w:szCs w:val="22"/>
        </w:rPr>
        <w:t>utlined</w:t>
      </w:r>
      <w:r w:rsidRPr="00980BBE">
        <w:rPr>
          <w:rFonts w:ascii="Arial" w:hAnsi="Arial" w:cs="Arial"/>
          <w:sz w:val="22"/>
          <w:szCs w:val="22"/>
        </w:rPr>
        <w:t xml:space="preserve"> the hist</w:t>
      </w:r>
      <w:r w:rsidR="00FA5939" w:rsidRPr="00980BBE">
        <w:rPr>
          <w:rFonts w:ascii="Arial" w:hAnsi="Arial" w:cs="Arial"/>
          <w:sz w:val="22"/>
          <w:szCs w:val="22"/>
        </w:rPr>
        <w:t>orical</w:t>
      </w:r>
      <w:r w:rsidR="0027071B" w:rsidRPr="00980BBE">
        <w:rPr>
          <w:rFonts w:ascii="Arial" w:hAnsi="Arial" w:cs="Arial"/>
          <w:sz w:val="22"/>
          <w:szCs w:val="22"/>
        </w:rPr>
        <w:t xml:space="preserve"> </w:t>
      </w:r>
      <w:r w:rsidRPr="00980BBE">
        <w:rPr>
          <w:rFonts w:ascii="Arial" w:hAnsi="Arial" w:cs="Arial"/>
          <w:sz w:val="22"/>
          <w:szCs w:val="22"/>
        </w:rPr>
        <w:t xml:space="preserve"> and </w:t>
      </w:r>
      <w:r w:rsidR="0027071B" w:rsidRPr="00980BBE">
        <w:rPr>
          <w:rFonts w:ascii="Arial" w:hAnsi="Arial" w:cs="Arial"/>
          <w:sz w:val="22"/>
          <w:szCs w:val="22"/>
        </w:rPr>
        <w:t>contextual</w:t>
      </w:r>
      <w:r w:rsidRPr="00980BBE">
        <w:rPr>
          <w:rFonts w:ascii="Arial" w:hAnsi="Arial" w:cs="Arial"/>
          <w:sz w:val="22"/>
          <w:szCs w:val="22"/>
        </w:rPr>
        <w:t>,</w:t>
      </w:r>
      <w:r w:rsidR="00970B04" w:rsidRPr="00980BBE">
        <w:rPr>
          <w:rFonts w:ascii="Arial" w:hAnsi="Arial" w:cs="Arial"/>
          <w:sz w:val="22"/>
          <w:szCs w:val="22"/>
        </w:rPr>
        <w:t xml:space="preserve"> background clarified key terms and </w:t>
      </w:r>
      <w:r w:rsidR="00CE579F" w:rsidRPr="00980BBE">
        <w:rPr>
          <w:rFonts w:ascii="Arial" w:hAnsi="Arial" w:cs="Arial"/>
          <w:sz w:val="22"/>
          <w:szCs w:val="22"/>
        </w:rPr>
        <w:t>concepts and</w:t>
      </w:r>
      <w:r w:rsidRPr="00980BBE">
        <w:rPr>
          <w:rFonts w:ascii="Arial" w:hAnsi="Arial" w:cs="Arial"/>
          <w:sz w:val="22"/>
          <w:szCs w:val="22"/>
        </w:rPr>
        <w:t xml:space="preserve"> provided the </w:t>
      </w:r>
      <w:r w:rsidR="009B7110" w:rsidRPr="00980BBE">
        <w:rPr>
          <w:rFonts w:ascii="Arial" w:hAnsi="Arial" w:cs="Arial"/>
          <w:sz w:val="22"/>
          <w:szCs w:val="22"/>
        </w:rPr>
        <w:t>rational</w:t>
      </w:r>
      <w:r w:rsidRPr="00980BBE">
        <w:rPr>
          <w:rFonts w:ascii="Arial" w:hAnsi="Arial" w:cs="Arial"/>
          <w:sz w:val="22"/>
          <w:szCs w:val="22"/>
        </w:rPr>
        <w:t xml:space="preserve"> for </w:t>
      </w:r>
      <w:r w:rsidR="00012EF9" w:rsidRPr="00980BBE">
        <w:rPr>
          <w:rFonts w:ascii="Arial" w:hAnsi="Arial" w:cs="Arial"/>
          <w:sz w:val="22"/>
          <w:szCs w:val="22"/>
        </w:rPr>
        <w:t xml:space="preserve">investigating </w:t>
      </w:r>
      <w:r w:rsidRPr="00980BBE">
        <w:rPr>
          <w:rFonts w:ascii="Arial" w:hAnsi="Arial" w:cs="Arial"/>
          <w:sz w:val="22"/>
          <w:szCs w:val="22"/>
        </w:rPr>
        <w:t xml:space="preserve"> this relationship (Sakaniwa et al., 2024). The chapter also </w:t>
      </w:r>
      <w:r w:rsidR="00CE579F" w:rsidRPr="00980BBE">
        <w:rPr>
          <w:rFonts w:ascii="Arial" w:hAnsi="Arial" w:cs="Arial"/>
          <w:sz w:val="22"/>
          <w:szCs w:val="22"/>
        </w:rPr>
        <w:t>articulated</w:t>
      </w:r>
      <w:r w:rsidRPr="00980BBE">
        <w:rPr>
          <w:rFonts w:ascii="Arial" w:hAnsi="Arial" w:cs="Arial"/>
          <w:sz w:val="22"/>
          <w:szCs w:val="22"/>
        </w:rPr>
        <w:t xml:space="preserve"> the overall </w:t>
      </w:r>
      <w:r w:rsidR="00CE579F" w:rsidRPr="00980BBE">
        <w:rPr>
          <w:rFonts w:ascii="Arial" w:hAnsi="Arial" w:cs="Arial"/>
          <w:sz w:val="22"/>
          <w:szCs w:val="22"/>
        </w:rPr>
        <w:t>aims</w:t>
      </w:r>
      <w:r w:rsidRPr="00980BBE">
        <w:rPr>
          <w:rFonts w:ascii="Arial" w:hAnsi="Arial" w:cs="Arial"/>
          <w:sz w:val="22"/>
          <w:szCs w:val="22"/>
        </w:rPr>
        <w:t xml:space="preserve"> and </w:t>
      </w:r>
      <w:r w:rsidR="001D0FB8" w:rsidRPr="00980BBE">
        <w:rPr>
          <w:rFonts w:ascii="Arial" w:hAnsi="Arial" w:cs="Arial"/>
          <w:sz w:val="22"/>
          <w:szCs w:val="22"/>
        </w:rPr>
        <w:t xml:space="preserve">specific objectives, which focus </w:t>
      </w:r>
      <w:r w:rsidR="003D68C8" w:rsidRPr="00980BBE">
        <w:rPr>
          <w:rFonts w:ascii="Arial" w:hAnsi="Arial" w:cs="Arial"/>
          <w:sz w:val="22"/>
          <w:szCs w:val="22"/>
        </w:rPr>
        <w:t>on understanding the relationship</w:t>
      </w:r>
      <w:r w:rsidR="006500DD" w:rsidRPr="00980BBE">
        <w:rPr>
          <w:rFonts w:ascii="Arial" w:hAnsi="Arial" w:cs="Arial"/>
          <w:sz w:val="22"/>
          <w:szCs w:val="22"/>
        </w:rPr>
        <w:t xml:space="preserve"> between </w:t>
      </w:r>
      <w:r w:rsidRPr="00980BBE">
        <w:rPr>
          <w:rFonts w:ascii="Arial" w:hAnsi="Arial" w:cs="Arial"/>
          <w:sz w:val="22"/>
          <w:szCs w:val="22"/>
        </w:rPr>
        <w:t xml:space="preserve">alcohol abuse and EOD, </w:t>
      </w:r>
      <w:r w:rsidR="006500DD" w:rsidRPr="00980BBE">
        <w:rPr>
          <w:rFonts w:ascii="Arial" w:hAnsi="Arial" w:cs="Arial"/>
          <w:sz w:val="22"/>
          <w:szCs w:val="22"/>
        </w:rPr>
        <w:t>examining</w:t>
      </w:r>
      <w:r w:rsidRPr="00980BBE">
        <w:rPr>
          <w:rFonts w:ascii="Arial" w:hAnsi="Arial" w:cs="Arial"/>
          <w:sz w:val="22"/>
          <w:szCs w:val="22"/>
        </w:rPr>
        <w:t xml:space="preserve"> the impact of socioeconomic deprivation, </w:t>
      </w:r>
      <w:r w:rsidR="00482E72" w:rsidRPr="00980BBE">
        <w:rPr>
          <w:rFonts w:ascii="Arial" w:hAnsi="Arial" w:cs="Arial"/>
          <w:sz w:val="22"/>
          <w:szCs w:val="22"/>
        </w:rPr>
        <w:t>evaluating</w:t>
      </w:r>
      <w:r w:rsidRPr="00980BBE">
        <w:rPr>
          <w:rFonts w:ascii="Arial" w:hAnsi="Arial" w:cs="Arial"/>
          <w:sz w:val="22"/>
          <w:szCs w:val="22"/>
        </w:rPr>
        <w:t xml:space="preserve"> the </w:t>
      </w:r>
      <w:r w:rsidR="00482E72" w:rsidRPr="00980BBE">
        <w:rPr>
          <w:rFonts w:ascii="Arial" w:hAnsi="Arial" w:cs="Arial"/>
          <w:sz w:val="22"/>
          <w:szCs w:val="22"/>
        </w:rPr>
        <w:t xml:space="preserve">current </w:t>
      </w:r>
      <w:r w:rsidRPr="00980BBE">
        <w:rPr>
          <w:rFonts w:ascii="Arial" w:hAnsi="Arial" w:cs="Arial"/>
          <w:sz w:val="22"/>
          <w:szCs w:val="22"/>
        </w:rPr>
        <w:t xml:space="preserve">state of health and social care policies, and </w:t>
      </w:r>
      <w:r w:rsidR="00B20A81" w:rsidRPr="00980BBE">
        <w:rPr>
          <w:rFonts w:ascii="Arial" w:hAnsi="Arial" w:cs="Arial"/>
          <w:sz w:val="22"/>
          <w:szCs w:val="22"/>
        </w:rPr>
        <w:t>proposing</w:t>
      </w:r>
      <w:r w:rsidRPr="00980BBE">
        <w:rPr>
          <w:rFonts w:ascii="Arial" w:hAnsi="Arial" w:cs="Arial"/>
          <w:sz w:val="22"/>
          <w:szCs w:val="22"/>
        </w:rPr>
        <w:t xml:space="preserve"> evidence-based </w:t>
      </w:r>
      <w:r w:rsidR="00B20A81" w:rsidRPr="00980BBE">
        <w:rPr>
          <w:rFonts w:ascii="Arial" w:hAnsi="Arial" w:cs="Arial"/>
          <w:sz w:val="22"/>
          <w:szCs w:val="22"/>
        </w:rPr>
        <w:t xml:space="preserve">recommendations </w:t>
      </w:r>
      <w:r w:rsidRPr="00980BBE">
        <w:rPr>
          <w:rFonts w:ascii="Arial" w:hAnsi="Arial" w:cs="Arial"/>
          <w:sz w:val="22"/>
          <w:szCs w:val="22"/>
        </w:rPr>
        <w:t xml:space="preserve"> for prevention and service enhancement (Care Quality Commission, 2024b).</w:t>
      </w:r>
    </w:p>
    <w:p w14:paraId="7087CC02" w14:textId="726D524A" w:rsidR="00736725" w:rsidRPr="00980BBE" w:rsidRDefault="00736725" w:rsidP="001D2D05">
      <w:pPr>
        <w:spacing w:line="360" w:lineRule="auto"/>
        <w:rPr>
          <w:rFonts w:ascii="Arial" w:hAnsi="Arial" w:cs="Arial"/>
          <w:sz w:val="22"/>
          <w:szCs w:val="22"/>
        </w:rPr>
      </w:pPr>
      <w:r w:rsidRPr="00980BBE">
        <w:rPr>
          <w:rFonts w:ascii="Arial" w:hAnsi="Arial" w:cs="Arial"/>
          <w:sz w:val="22"/>
          <w:szCs w:val="22"/>
        </w:rPr>
        <w:t xml:space="preserve">This research is </w:t>
      </w:r>
      <w:r w:rsidR="002331F3" w:rsidRPr="00980BBE">
        <w:rPr>
          <w:rFonts w:ascii="Arial" w:hAnsi="Arial" w:cs="Arial"/>
          <w:sz w:val="22"/>
          <w:szCs w:val="22"/>
        </w:rPr>
        <w:t>significant</w:t>
      </w:r>
      <w:r w:rsidRPr="00980BBE">
        <w:rPr>
          <w:rFonts w:ascii="Arial" w:hAnsi="Arial" w:cs="Arial"/>
          <w:sz w:val="22"/>
          <w:szCs w:val="22"/>
        </w:rPr>
        <w:t xml:space="preserve"> because it addresses gaps in policy and practice</w:t>
      </w:r>
      <w:r w:rsidR="00655C60" w:rsidRPr="00980BBE">
        <w:rPr>
          <w:rFonts w:ascii="Arial" w:hAnsi="Arial" w:cs="Arial"/>
          <w:sz w:val="22"/>
          <w:szCs w:val="22"/>
        </w:rPr>
        <w:t xml:space="preserve"> aimed</w:t>
      </w:r>
      <w:r w:rsidRPr="00980BBE">
        <w:rPr>
          <w:rFonts w:ascii="Arial" w:hAnsi="Arial" w:cs="Arial"/>
          <w:sz w:val="22"/>
          <w:szCs w:val="22"/>
        </w:rPr>
        <w:t xml:space="preserve"> to reduc</w:t>
      </w:r>
      <w:r w:rsidR="00655C60" w:rsidRPr="00980BBE">
        <w:rPr>
          <w:rFonts w:ascii="Arial" w:hAnsi="Arial" w:cs="Arial"/>
          <w:sz w:val="22"/>
          <w:szCs w:val="22"/>
        </w:rPr>
        <w:t xml:space="preserve">ing </w:t>
      </w:r>
      <w:r w:rsidRPr="00980BBE">
        <w:rPr>
          <w:rFonts w:ascii="Arial" w:hAnsi="Arial" w:cs="Arial"/>
          <w:sz w:val="22"/>
          <w:szCs w:val="22"/>
        </w:rPr>
        <w:t xml:space="preserve">health inequalities and </w:t>
      </w:r>
      <w:r w:rsidR="00655C60" w:rsidRPr="00980BBE">
        <w:rPr>
          <w:rFonts w:ascii="Arial" w:hAnsi="Arial" w:cs="Arial"/>
          <w:sz w:val="22"/>
          <w:szCs w:val="22"/>
        </w:rPr>
        <w:t>enhancing</w:t>
      </w:r>
      <w:r w:rsidRPr="00980BBE">
        <w:rPr>
          <w:rFonts w:ascii="Arial" w:hAnsi="Arial" w:cs="Arial"/>
          <w:sz w:val="22"/>
          <w:szCs w:val="22"/>
        </w:rPr>
        <w:t xml:space="preserve"> dementia care outcomes</w:t>
      </w:r>
      <w:r w:rsidR="008F7B46" w:rsidRPr="00980BBE">
        <w:rPr>
          <w:rFonts w:ascii="Arial" w:hAnsi="Arial" w:cs="Arial"/>
          <w:sz w:val="22"/>
          <w:szCs w:val="22"/>
        </w:rPr>
        <w:t xml:space="preserve">. The subsequent chapter </w:t>
      </w:r>
      <w:r w:rsidR="00503A84" w:rsidRPr="00980BBE">
        <w:rPr>
          <w:rFonts w:ascii="Arial" w:hAnsi="Arial" w:cs="Arial"/>
          <w:sz w:val="22"/>
          <w:szCs w:val="22"/>
        </w:rPr>
        <w:t xml:space="preserve">will </w:t>
      </w:r>
      <w:r w:rsidRPr="00980BBE">
        <w:rPr>
          <w:rFonts w:ascii="Arial" w:hAnsi="Arial" w:cs="Arial"/>
          <w:sz w:val="22"/>
          <w:szCs w:val="22"/>
        </w:rPr>
        <w:t>provide a comprehensive background analysis</w:t>
      </w:r>
      <w:r w:rsidR="00722081" w:rsidRPr="00980BBE">
        <w:rPr>
          <w:rFonts w:ascii="Arial" w:hAnsi="Arial" w:cs="Arial"/>
          <w:sz w:val="22"/>
          <w:szCs w:val="22"/>
        </w:rPr>
        <w:t>-</w:t>
      </w:r>
      <w:r w:rsidR="00503A84" w:rsidRPr="00980BBE">
        <w:rPr>
          <w:rFonts w:ascii="Arial" w:hAnsi="Arial" w:cs="Arial"/>
          <w:sz w:val="22"/>
          <w:szCs w:val="22"/>
        </w:rPr>
        <w:t>e</w:t>
      </w:r>
      <w:r w:rsidR="00174900" w:rsidRPr="00980BBE">
        <w:rPr>
          <w:rFonts w:ascii="Arial" w:hAnsi="Arial" w:cs="Arial"/>
          <w:sz w:val="22"/>
          <w:szCs w:val="22"/>
        </w:rPr>
        <w:t xml:space="preserve">ncompassing </w:t>
      </w:r>
      <w:r w:rsidRPr="00980BBE">
        <w:rPr>
          <w:rFonts w:ascii="Arial" w:hAnsi="Arial" w:cs="Arial"/>
          <w:sz w:val="22"/>
          <w:szCs w:val="22"/>
        </w:rPr>
        <w:t xml:space="preserve"> historical developments, theoretical frameworks, and both international and UK contexts</w:t>
      </w:r>
      <w:r w:rsidR="00722081" w:rsidRPr="00980BBE">
        <w:rPr>
          <w:rFonts w:ascii="Arial" w:hAnsi="Arial" w:cs="Arial"/>
          <w:sz w:val="22"/>
          <w:szCs w:val="22"/>
        </w:rPr>
        <w:t>-</w:t>
      </w:r>
      <w:r w:rsidRPr="00980BBE">
        <w:rPr>
          <w:rFonts w:ascii="Arial" w:hAnsi="Arial" w:cs="Arial"/>
          <w:sz w:val="22"/>
          <w:szCs w:val="22"/>
        </w:rPr>
        <w:t xml:space="preserve">to </w:t>
      </w:r>
      <w:r w:rsidR="00A55D19" w:rsidRPr="00980BBE">
        <w:rPr>
          <w:rFonts w:ascii="Arial" w:hAnsi="Arial" w:cs="Arial"/>
          <w:sz w:val="22"/>
          <w:szCs w:val="22"/>
        </w:rPr>
        <w:t>inform</w:t>
      </w:r>
      <w:r w:rsidRPr="00980BBE">
        <w:rPr>
          <w:rFonts w:ascii="Arial" w:hAnsi="Arial" w:cs="Arial"/>
          <w:sz w:val="22"/>
          <w:szCs w:val="22"/>
        </w:rPr>
        <w:t xml:space="preserve"> the methodology and </w:t>
      </w:r>
      <w:r w:rsidR="00A55D19" w:rsidRPr="00980BBE">
        <w:rPr>
          <w:rFonts w:ascii="Arial" w:hAnsi="Arial" w:cs="Arial"/>
          <w:sz w:val="22"/>
          <w:szCs w:val="22"/>
        </w:rPr>
        <w:t xml:space="preserve">underpin </w:t>
      </w:r>
      <w:r w:rsidRPr="00980BBE">
        <w:rPr>
          <w:rFonts w:ascii="Arial" w:hAnsi="Arial" w:cs="Arial"/>
          <w:sz w:val="22"/>
          <w:szCs w:val="22"/>
        </w:rPr>
        <w:t>subsequent discussion (Livingston et al., 2024; Ridley et al., 2013b).</w:t>
      </w:r>
    </w:p>
    <w:p w14:paraId="4DD718AD" w14:textId="77777777" w:rsidR="00086BCE" w:rsidRDefault="00086BCE" w:rsidP="00086BCE">
      <w:bookmarkStart w:id="8" w:name="_Toc225966599"/>
    </w:p>
    <w:p w14:paraId="6998920A" w14:textId="77777777" w:rsidR="00154145" w:rsidRPr="00086BCE" w:rsidRDefault="00154145" w:rsidP="00086BCE"/>
    <w:p w14:paraId="449D5773" w14:textId="77777777" w:rsidR="00086BCE" w:rsidRDefault="00086BCE" w:rsidP="001F20EF">
      <w:pPr>
        <w:pStyle w:val="Heading2"/>
        <w:rPr>
          <w:rFonts w:ascii="Arial" w:hAnsi="Arial" w:cs="Arial"/>
          <w:color w:val="auto"/>
          <w:sz w:val="28"/>
          <w:szCs w:val="28"/>
          <w:u w:val="single"/>
        </w:rPr>
      </w:pPr>
    </w:p>
    <w:bookmarkEnd w:id="8"/>
    <w:p w14:paraId="2D6A0E22" w14:textId="77777777" w:rsidR="00146117" w:rsidRDefault="00146117" w:rsidP="00BD04AE">
      <w:pPr>
        <w:spacing w:line="360" w:lineRule="auto"/>
        <w:rPr>
          <w:rFonts w:ascii="Arial" w:hAnsi="Arial" w:cs="Arial"/>
          <w:sz w:val="22"/>
          <w:szCs w:val="22"/>
          <w:u w:val="single"/>
        </w:rPr>
      </w:pPr>
    </w:p>
    <w:p w14:paraId="7E966EB2" w14:textId="77777777" w:rsidR="00146117" w:rsidRDefault="00146117" w:rsidP="00BD04AE">
      <w:pPr>
        <w:spacing w:line="360" w:lineRule="auto"/>
        <w:rPr>
          <w:rFonts w:ascii="Arial" w:hAnsi="Arial" w:cs="Arial"/>
          <w:sz w:val="22"/>
          <w:szCs w:val="22"/>
          <w:u w:val="single"/>
        </w:rPr>
      </w:pPr>
    </w:p>
    <w:p w14:paraId="62F8DECE" w14:textId="77777777" w:rsidR="00146117" w:rsidRDefault="00146117" w:rsidP="00BD04AE">
      <w:pPr>
        <w:spacing w:line="360" w:lineRule="auto"/>
        <w:rPr>
          <w:rFonts w:ascii="Arial" w:hAnsi="Arial" w:cs="Arial"/>
          <w:sz w:val="22"/>
          <w:szCs w:val="22"/>
          <w:u w:val="single"/>
        </w:rPr>
      </w:pPr>
    </w:p>
    <w:p w14:paraId="0DE0BF47" w14:textId="77777777" w:rsidR="00146117" w:rsidRDefault="00146117" w:rsidP="00BD04AE">
      <w:pPr>
        <w:spacing w:line="360" w:lineRule="auto"/>
        <w:rPr>
          <w:rFonts w:ascii="Arial" w:hAnsi="Arial" w:cs="Arial"/>
          <w:sz w:val="22"/>
          <w:szCs w:val="22"/>
          <w:u w:val="single"/>
        </w:rPr>
      </w:pPr>
    </w:p>
    <w:p w14:paraId="67AC2EB7" w14:textId="00887442" w:rsidR="00BD04AE" w:rsidRPr="00EB54BB" w:rsidRDefault="00BD04AE" w:rsidP="00BD04AE">
      <w:pPr>
        <w:spacing w:line="360" w:lineRule="auto"/>
        <w:rPr>
          <w:rFonts w:ascii="Arial" w:hAnsi="Arial" w:cs="Arial"/>
          <w:b/>
          <w:bCs/>
          <w:sz w:val="28"/>
          <w:szCs w:val="28"/>
          <w:u w:val="single"/>
        </w:rPr>
      </w:pPr>
      <w:r w:rsidRPr="00EB54BB">
        <w:rPr>
          <w:rFonts w:ascii="Arial" w:hAnsi="Arial" w:cs="Arial"/>
          <w:b/>
          <w:bCs/>
          <w:sz w:val="28"/>
          <w:szCs w:val="28"/>
          <w:u w:val="single"/>
        </w:rPr>
        <w:lastRenderedPageBreak/>
        <w:t>CHAPTER 2 - Background Information and Analysis  </w:t>
      </w:r>
    </w:p>
    <w:p w14:paraId="5389144C" w14:textId="77777777" w:rsidR="00BD04AE" w:rsidRPr="00EB54BB" w:rsidRDefault="00BD04AE" w:rsidP="00BD04AE">
      <w:pPr>
        <w:spacing w:line="360" w:lineRule="auto"/>
        <w:rPr>
          <w:rFonts w:ascii="Arial" w:hAnsi="Arial" w:cs="Arial"/>
          <w:b/>
          <w:bCs/>
          <w:sz w:val="28"/>
          <w:szCs w:val="28"/>
          <w:u w:val="single"/>
        </w:rPr>
      </w:pPr>
      <w:r w:rsidRPr="00EB54BB">
        <w:rPr>
          <w:rFonts w:ascii="Arial" w:hAnsi="Arial" w:cs="Arial"/>
          <w:b/>
          <w:bCs/>
          <w:sz w:val="28"/>
          <w:szCs w:val="28"/>
          <w:u w:val="single"/>
        </w:rPr>
        <w:t>Introduction  </w:t>
      </w:r>
    </w:p>
    <w:p w14:paraId="632B5D59" w14:textId="50523833" w:rsidR="00331D65" w:rsidRPr="00980BBE" w:rsidRDefault="003F72C1" w:rsidP="003F72C1">
      <w:pPr>
        <w:spacing w:line="360" w:lineRule="auto"/>
        <w:rPr>
          <w:rFonts w:ascii="Arial" w:hAnsi="Arial" w:cs="Arial"/>
          <w:sz w:val="22"/>
          <w:szCs w:val="22"/>
        </w:rPr>
      </w:pPr>
      <w:r w:rsidRPr="003F72C1">
        <w:rPr>
          <w:rFonts w:ascii="Arial" w:hAnsi="Arial" w:cs="Arial"/>
          <w:sz w:val="22"/>
          <w:szCs w:val="22"/>
        </w:rPr>
        <w:t>By providing essential background information and critical analysis, this chapter aims to contextualize the current study, which investigates the relationship between alcohol use</w:t>
      </w:r>
      <w:r w:rsidR="00606F6D">
        <w:rPr>
          <w:rFonts w:ascii="Arial" w:hAnsi="Arial" w:cs="Arial"/>
          <w:sz w:val="22"/>
          <w:szCs w:val="22"/>
        </w:rPr>
        <w:t xml:space="preserve"> </w:t>
      </w:r>
      <w:r w:rsidR="00331D65" w:rsidRPr="00980BBE">
        <w:rPr>
          <w:rFonts w:ascii="Arial" w:hAnsi="Arial" w:cs="Arial"/>
          <w:sz w:val="22"/>
          <w:szCs w:val="22"/>
        </w:rPr>
        <w:t xml:space="preserve">socioeconomic deprivation, and young-onset dementia (YOD). By </w:t>
      </w:r>
      <w:r w:rsidR="00191F7A" w:rsidRPr="00980BBE">
        <w:rPr>
          <w:rFonts w:ascii="Arial" w:hAnsi="Arial" w:cs="Arial"/>
          <w:sz w:val="22"/>
          <w:szCs w:val="22"/>
        </w:rPr>
        <w:t>examining</w:t>
      </w:r>
      <w:r w:rsidR="00331D65" w:rsidRPr="00980BBE">
        <w:rPr>
          <w:rFonts w:ascii="Arial" w:hAnsi="Arial" w:cs="Arial"/>
          <w:sz w:val="22"/>
          <w:szCs w:val="22"/>
        </w:rPr>
        <w:t xml:space="preserve"> theoretical frameworks, considering UK-specific circumstances, and </w:t>
      </w:r>
      <w:r w:rsidR="00191F7A" w:rsidRPr="00980BBE">
        <w:rPr>
          <w:rFonts w:ascii="Arial" w:hAnsi="Arial" w:cs="Arial"/>
          <w:sz w:val="22"/>
          <w:szCs w:val="22"/>
        </w:rPr>
        <w:t>revi</w:t>
      </w:r>
      <w:r w:rsidR="000C52E4" w:rsidRPr="00980BBE">
        <w:rPr>
          <w:rFonts w:ascii="Arial" w:hAnsi="Arial" w:cs="Arial"/>
          <w:sz w:val="22"/>
          <w:szCs w:val="22"/>
        </w:rPr>
        <w:t>ewing</w:t>
      </w:r>
      <w:r w:rsidR="00331D65" w:rsidRPr="00980BBE">
        <w:rPr>
          <w:rFonts w:ascii="Arial" w:hAnsi="Arial" w:cs="Arial"/>
          <w:sz w:val="22"/>
          <w:szCs w:val="22"/>
        </w:rPr>
        <w:t xml:space="preserve"> the historical background of research on alcohol-related cognitive decline,</w:t>
      </w:r>
      <w:r w:rsidR="00606F6D">
        <w:rPr>
          <w:rFonts w:ascii="Arial" w:hAnsi="Arial" w:cs="Arial"/>
          <w:sz w:val="22"/>
          <w:szCs w:val="22"/>
        </w:rPr>
        <w:t xml:space="preserve"> and b</w:t>
      </w:r>
      <w:r w:rsidR="00BF3C8A">
        <w:rPr>
          <w:rFonts w:ascii="Arial" w:hAnsi="Arial" w:cs="Arial"/>
          <w:sz w:val="22"/>
          <w:szCs w:val="22"/>
        </w:rPr>
        <w:t>rain damage</w:t>
      </w:r>
      <w:r w:rsidR="00331D65" w:rsidRPr="00980BBE">
        <w:rPr>
          <w:rFonts w:ascii="Arial" w:hAnsi="Arial" w:cs="Arial"/>
          <w:sz w:val="22"/>
          <w:szCs w:val="22"/>
        </w:rPr>
        <w:t xml:space="preserve"> this chapter establishes the broader</w:t>
      </w:r>
      <w:r w:rsidR="000C52E4" w:rsidRPr="00980BBE">
        <w:rPr>
          <w:rFonts w:ascii="Arial" w:hAnsi="Arial" w:cs="Arial"/>
          <w:sz w:val="22"/>
          <w:szCs w:val="22"/>
        </w:rPr>
        <w:t xml:space="preserve"> </w:t>
      </w:r>
      <w:r w:rsidR="00E53F08" w:rsidRPr="00980BBE">
        <w:rPr>
          <w:rFonts w:ascii="Arial" w:hAnsi="Arial" w:cs="Arial"/>
          <w:sz w:val="22"/>
          <w:szCs w:val="22"/>
        </w:rPr>
        <w:t>foundations</w:t>
      </w:r>
      <w:r w:rsidR="00331D65" w:rsidRPr="00980BBE">
        <w:rPr>
          <w:rFonts w:ascii="Arial" w:hAnsi="Arial" w:cs="Arial"/>
          <w:sz w:val="22"/>
          <w:szCs w:val="22"/>
        </w:rPr>
        <w:t xml:space="preserve"> supporting the study's rationale. It is important to </w:t>
      </w:r>
      <w:r w:rsidR="00E53F08" w:rsidRPr="00980BBE">
        <w:rPr>
          <w:rFonts w:ascii="Arial" w:hAnsi="Arial" w:cs="Arial"/>
          <w:sz w:val="22"/>
          <w:szCs w:val="22"/>
        </w:rPr>
        <w:t>understand</w:t>
      </w:r>
      <w:r w:rsidR="00331D65" w:rsidRPr="00980BBE">
        <w:rPr>
          <w:rFonts w:ascii="Arial" w:hAnsi="Arial" w:cs="Arial"/>
          <w:sz w:val="22"/>
          <w:szCs w:val="22"/>
        </w:rPr>
        <w:t xml:space="preserve"> how attitudes toward alcohol abuse, poverty, and dementia have evolved over time</w:t>
      </w:r>
      <w:r w:rsidR="00CB1AC2" w:rsidRPr="00980BBE">
        <w:rPr>
          <w:rFonts w:ascii="Arial" w:hAnsi="Arial" w:cs="Arial"/>
          <w:sz w:val="22"/>
          <w:szCs w:val="22"/>
        </w:rPr>
        <w:t xml:space="preserve">, </w:t>
      </w:r>
      <w:r w:rsidR="00331D65" w:rsidRPr="00980BBE">
        <w:rPr>
          <w:rFonts w:ascii="Arial" w:hAnsi="Arial" w:cs="Arial"/>
          <w:sz w:val="22"/>
          <w:szCs w:val="22"/>
        </w:rPr>
        <w:t xml:space="preserve">recent research indicates that YOD, </w:t>
      </w:r>
      <w:r w:rsidR="00CB1AC2" w:rsidRPr="00980BBE">
        <w:rPr>
          <w:rFonts w:ascii="Arial" w:hAnsi="Arial" w:cs="Arial"/>
          <w:sz w:val="22"/>
          <w:szCs w:val="22"/>
        </w:rPr>
        <w:t>defined</w:t>
      </w:r>
      <w:r w:rsidR="00331D65" w:rsidRPr="00980BBE">
        <w:rPr>
          <w:rFonts w:ascii="Arial" w:hAnsi="Arial" w:cs="Arial"/>
          <w:sz w:val="22"/>
          <w:szCs w:val="22"/>
        </w:rPr>
        <w:t xml:space="preserve"> as dementia diagnosed before age 65, is significantly influenced by modifiable social and lifestyle factors (Livingston et al., 2020a; Tan, et al., 2024).</w:t>
      </w:r>
    </w:p>
    <w:p w14:paraId="486559CB" w14:textId="02AD831F" w:rsidR="00597AE1" w:rsidRPr="00980BBE" w:rsidRDefault="00597AE1" w:rsidP="001D2D05">
      <w:pPr>
        <w:spacing w:line="360" w:lineRule="auto"/>
        <w:rPr>
          <w:rFonts w:ascii="Arial" w:hAnsi="Arial" w:cs="Arial"/>
          <w:sz w:val="22"/>
          <w:szCs w:val="22"/>
        </w:rPr>
      </w:pPr>
      <w:r w:rsidRPr="00980BBE">
        <w:rPr>
          <w:rFonts w:ascii="Arial" w:hAnsi="Arial" w:cs="Arial"/>
          <w:sz w:val="22"/>
          <w:szCs w:val="22"/>
        </w:rPr>
        <w:t xml:space="preserve">Before </w:t>
      </w:r>
      <w:r w:rsidR="00903E8C" w:rsidRPr="00980BBE">
        <w:rPr>
          <w:rFonts w:ascii="Arial" w:hAnsi="Arial" w:cs="Arial"/>
          <w:sz w:val="22"/>
          <w:szCs w:val="22"/>
        </w:rPr>
        <w:t xml:space="preserve">exploring </w:t>
      </w:r>
      <w:r w:rsidRPr="00980BBE">
        <w:rPr>
          <w:rFonts w:ascii="Arial" w:hAnsi="Arial" w:cs="Arial"/>
          <w:sz w:val="22"/>
          <w:szCs w:val="22"/>
        </w:rPr>
        <w:t xml:space="preserve">into the theoretical ideas that underpin contemporary understandings, this chapter provides a historical review of alcohol-related injury and its </w:t>
      </w:r>
      <w:r w:rsidR="002E5B12" w:rsidRPr="00980BBE">
        <w:rPr>
          <w:rFonts w:ascii="Arial" w:hAnsi="Arial" w:cs="Arial"/>
          <w:sz w:val="22"/>
          <w:szCs w:val="22"/>
        </w:rPr>
        <w:t>association</w:t>
      </w:r>
      <w:r w:rsidRPr="00980BBE">
        <w:rPr>
          <w:rFonts w:ascii="Arial" w:hAnsi="Arial" w:cs="Arial"/>
          <w:sz w:val="22"/>
          <w:szCs w:val="22"/>
        </w:rPr>
        <w:t xml:space="preserve"> </w:t>
      </w:r>
      <w:r w:rsidR="002E5B12" w:rsidRPr="00980BBE">
        <w:rPr>
          <w:rFonts w:ascii="Arial" w:hAnsi="Arial" w:cs="Arial"/>
          <w:sz w:val="22"/>
          <w:szCs w:val="22"/>
        </w:rPr>
        <w:t xml:space="preserve">with </w:t>
      </w:r>
      <w:r w:rsidRPr="00980BBE">
        <w:rPr>
          <w:rFonts w:ascii="Arial" w:hAnsi="Arial" w:cs="Arial"/>
          <w:sz w:val="22"/>
          <w:szCs w:val="22"/>
        </w:rPr>
        <w:t xml:space="preserve">dementia. Following a discussion of global policies and strategies, the national and local </w:t>
      </w:r>
      <w:r w:rsidR="005B259E" w:rsidRPr="00980BBE">
        <w:rPr>
          <w:rFonts w:ascii="Arial" w:hAnsi="Arial" w:cs="Arial"/>
          <w:sz w:val="22"/>
          <w:szCs w:val="22"/>
        </w:rPr>
        <w:t>context</w:t>
      </w:r>
      <w:r w:rsidRPr="00980BBE">
        <w:rPr>
          <w:rFonts w:ascii="Arial" w:hAnsi="Arial" w:cs="Arial"/>
          <w:sz w:val="22"/>
          <w:szCs w:val="22"/>
        </w:rPr>
        <w:t xml:space="preserve"> of the UK is examined. When taken as a </w:t>
      </w:r>
      <w:r w:rsidR="002B1D3E" w:rsidRPr="00980BBE">
        <w:rPr>
          <w:rFonts w:ascii="Arial" w:hAnsi="Arial" w:cs="Arial"/>
          <w:sz w:val="22"/>
          <w:szCs w:val="22"/>
        </w:rPr>
        <w:t xml:space="preserve">World </w:t>
      </w:r>
      <w:r w:rsidR="000B3CF4" w:rsidRPr="00980BBE">
        <w:rPr>
          <w:rFonts w:ascii="Arial" w:hAnsi="Arial" w:cs="Arial"/>
          <w:sz w:val="22"/>
          <w:szCs w:val="22"/>
        </w:rPr>
        <w:t>Health</w:t>
      </w:r>
      <w:r w:rsidR="002B1D3E" w:rsidRPr="00980BBE">
        <w:rPr>
          <w:rFonts w:ascii="Arial" w:hAnsi="Arial" w:cs="Arial"/>
          <w:sz w:val="22"/>
          <w:szCs w:val="22"/>
        </w:rPr>
        <w:t xml:space="preserve"> Organasation </w:t>
      </w:r>
      <w:r w:rsidR="00B44FAD" w:rsidRPr="00980BBE">
        <w:rPr>
          <w:rFonts w:ascii="Arial" w:hAnsi="Arial" w:cs="Arial"/>
          <w:sz w:val="22"/>
          <w:szCs w:val="22"/>
        </w:rPr>
        <w:t xml:space="preserve">perspective </w:t>
      </w:r>
      <w:r w:rsidRPr="00980BBE">
        <w:rPr>
          <w:rFonts w:ascii="Arial" w:hAnsi="Arial" w:cs="Arial"/>
          <w:sz w:val="22"/>
          <w:szCs w:val="22"/>
        </w:rPr>
        <w:t xml:space="preserve"> this his</w:t>
      </w:r>
      <w:r w:rsidR="00F717CF" w:rsidRPr="00980BBE">
        <w:rPr>
          <w:rFonts w:ascii="Arial" w:hAnsi="Arial" w:cs="Arial"/>
          <w:sz w:val="22"/>
          <w:szCs w:val="22"/>
        </w:rPr>
        <w:t>torical overview supports</w:t>
      </w:r>
      <w:r w:rsidRPr="00980BBE">
        <w:rPr>
          <w:rFonts w:ascii="Arial" w:hAnsi="Arial" w:cs="Arial"/>
          <w:sz w:val="22"/>
          <w:szCs w:val="22"/>
        </w:rPr>
        <w:t xml:space="preserve"> the methodological approach </w:t>
      </w:r>
      <w:r w:rsidR="00BD59BD" w:rsidRPr="00980BBE">
        <w:rPr>
          <w:rFonts w:ascii="Arial" w:hAnsi="Arial" w:cs="Arial"/>
          <w:sz w:val="22"/>
          <w:szCs w:val="22"/>
        </w:rPr>
        <w:t>outlined</w:t>
      </w:r>
      <w:r w:rsidRPr="00980BBE">
        <w:rPr>
          <w:rFonts w:ascii="Arial" w:hAnsi="Arial" w:cs="Arial"/>
          <w:sz w:val="22"/>
          <w:szCs w:val="22"/>
        </w:rPr>
        <w:t xml:space="preserve"> in Chapter 3. </w:t>
      </w:r>
    </w:p>
    <w:p w14:paraId="7A2A1E17" w14:textId="65F22893" w:rsidR="00597AE1" w:rsidRPr="00D93EA3" w:rsidRDefault="00597AE1" w:rsidP="004E440C">
      <w:pPr>
        <w:pStyle w:val="Heading1"/>
        <w:rPr>
          <w:rFonts w:ascii="Arial" w:hAnsi="Arial" w:cs="Arial"/>
          <w:color w:val="auto"/>
          <w:sz w:val="28"/>
          <w:szCs w:val="28"/>
          <w:u w:val="single"/>
        </w:rPr>
      </w:pPr>
      <w:r w:rsidRPr="00980BBE">
        <w:rPr>
          <w:rFonts w:ascii="Arial" w:hAnsi="Arial" w:cs="Arial"/>
          <w:color w:val="auto"/>
        </w:rPr>
        <w:t> </w:t>
      </w:r>
      <w:bookmarkStart w:id="9" w:name="_Toc225966601"/>
      <w:r w:rsidRPr="00D93EA3">
        <w:rPr>
          <w:rFonts w:ascii="Arial" w:hAnsi="Arial" w:cs="Arial"/>
          <w:color w:val="auto"/>
          <w:sz w:val="28"/>
          <w:szCs w:val="28"/>
          <w:u w:val="single"/>
        </w:rPr>
        <w:t>TimeLine Diagram</w:t>
      </w:r>
      <w:bookmarkEnd w:id="9"/>
      <w:r w:rsidRPr="00D93EA3">
        <w:rPr>
          <w:rFonts w:ascii="Arial" w:hAnsi="Arial" w:cs="Arial"/>
          <w:color w:val="auto"/>
          <w:sz w:val="28"/>
          <w:szCs w:val="28"/>
          <w:u w:val="single"/>
        </w:rPr>
        <w:t> </w:t>
      </w:r>
    </w:p>
    <w:p w14:paraId="3CD13FAF" w14:textId="026EE434" w:rsidR="00597AE1" w:rsidRPr="00980BBE" w:rsidRDefault="00597AE1" w:rsidP="001D2D05">
      <w:pPr>
        <w:spacing w:line="360" w:lineRule="auto"/>
        <w:rPr>
          <w:rFonts w:ascii="Arial" w:hAnsi="Arial" w:cs="Arial"/>
          <w:sz w:val="22"/>
          <w:szCs w:val="22"/>
        </w:rPr>
      </w:pPr>
      <w:r w:rsidRPr="00980BBE">
        <w:rPr>
          <w:rFonts w:ascii="Arial" w:hAnsi="Arial" w:cs="Arial"/>
          <w:sz w:val="22"/>
          <w:szCs w:val="22"/>
        </w:rPr>
        <w:t> </w:t>
      </w:r>
      <w:r w:rsidR="00962275" w:rsidRPr="00980BBE">
        <w:rPr>
          <w:rFonts w:ascii="Arial" w:hAnsi="Arial" w:cs="Arial"/>
          <w:noProof/>
          <w:sz w:val="22"/>
          <w:szCs w:val="22"/>
        </w:rPr>
        <w:t xml:space="preserve"> </w:t>
      </w:r>
      <w:r w:rsidR="00624039" w:rsidRPr="00980BBE">
        <w:rPr>
          <w:rFonts w:ascii="Arial" w:hAnsi="Arial" w:cs="Arial"/>
          <w:noProof/>
          <w:sz w:val="22"/>
          <w:szCs w:val="22"/>
        </w:rPr>
        <w:drawing>
          <wp:inline distT="0" distB="0" distL="0" distR="0" wp14:anchorId="732B5978" wp14:editId="62FFEC26">
            <wp:extent cx="3807395" cy="2858135"/>
            <wp:effectExtent l="0" t="0" r="3175" b="0"/>
            <wp:docPr id="2123976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31718" cy="2876394"/>
                    </a:xfrm>
                    <a:prstGeom prst="rect">
                      <a:avLst/>
                    </a:prstGeom>
                    <a:noFill/>
                  </pic:spPr>
                </pic:pic>
              </a:graphicData>
            </a:graphic>
          </wp:inline>
        </w:drawing>
      </w:r>
      <w:r w:rsidR="002B4A44" w:rsidRPr="00980BBE">
        <w:rPr>
          <w:rFonts w:ascii="Arial" w:hAnsi="Arial" w:cs="Arial"/>
          <w:sz w:val="22"/>
          <w:szCs w:val="22"/>
        </w:rPr>
        <w:t>Fig 1</w:t>
      </w:r>
      <w:r w:rsidR="00952811" w:rsidRPr="00980BBE">
        <w:rPr>
          <w:rFonts w:ascii="Arial" w:hAnsi="Arial" w:cs="Arial"/>
          <w:sz w:val="22"/>
          <w:szCs w:val="22"/>
        </w:rPr>
        <w:t xml:space="preserve"> (</w:t>
      </w:r>
      <w:r w:rsidR="00C463BF" w:rsidRPr="00980BBE">
        <w:rPr>
          <w:rFonts w:ascii="Arial" w:hAnsi="Arial" w:cs="Arial"/>
          <w:sz w:val="22"/>
          <w:szCs w:val="22"/>
        </w:rPr>
        <w:t>made by author)</w:t>
      </w:r>
    </w:p>
    <w:p w14:paraId="770DA0A8" w14:textId="77777777" w:rsidR="00DB6A6D" w:rsidRPr="00980BBE" w:rsidRDefault="00064C6C" w:rsidP="001D2D05">
      <w:pPr>
        <w:spacing w:line="360" w:lineRule="auto"/>
        <w:rPr>
          <w:rFonts w:ascii="Arial" w:hAnsi="Arial" w:cs="Arial"/>
          <w:sz w:val="22"/>
          <w:szCs w:val="22"/>
        </w:rPr>
      </w:pPr>
      <w:r w:rsidRPr="00980BBE">
        <w:rPr>
          <w:rFonts w:ascii="Arial" w:hAnsi="Arial" w:cs="Arial"/>
          <w:sz w:val="22"/>
          <w:szCs w:val="22"/>
        </w:rPr>
        <w:t>This timeline shows how understanding of alcohol-related cognitive decline evolved from early clinical descriptions to modern epidemiological and causal research framing alcohol as a modifiable dementia risk factor.</w:t>
      </w:r>
    </w:p>
    <w:p w14:paraId="4284E2A2" w14:textId="3E665668" w:rsidR="00597AE1" w:rsidRPr="00EB54BB" w:rsidRDefault="00597AE1" w:rsidP="000E2C7A">
      <w:pPr>
        <w:pStyle w:val="Heading1"/>
        <w:rPr>
          <w:rFonts w:ascii="Arial" w:hAnsi="Arial" w:cs="Arial"/>
          <w:b/>
          <w:bCs/>
          <w:color w:val="auto"/>
          <w:sz w:val="28"/>
          <w:szCs w:val="28"/>
          <w:u w:val="single"/>
        </w:rPr>
      </w:pPr>
      <w:bookmarkStart w:id="10" w:name="_Toc225966602"/>
      <w:r w:rsidRPr="00EB54BB">
        <w:rPr>
          <w:rFonts w:ascii="Arial" w:hAnsi="Arial" w:cs="Arial"/>
          <w:b/>
          <w:bCs/>
          <w:color w:val="auto"/>
          <w:sz w:val="28"/>
          <w:szCs w:val="28"/>
          <w:u w:val="single"/>
        </w:rPr>
        <w:lastRenderedPageBreak/>
        <w:t>Historical Background</w:t>
      </w:r>
      <w:bookmarkEnd w:id="10"/>
      <w:r w:rsidRPr="00EB54BB">
        <w:rPr>
          <w:rFonts w:ascii="Arial" w:hAnsi="Arial" w:cs="Arial"/>
          <w:b/>
          <w:bCs/>
          <w:color w:val="auto"/>
          <w:sz w:val="28"/>
          <w:szCs w:val="28"/>
          <w:u w:val="single"/>
        </w:rPr>
        <w:t>  </w:t>
      </w:r>
    </w:p>
    <w:p w14:paraId="7EF73451" w14:textId="77777777" w:rsidR="00597AE1" w:rsidRPr="00266F7A" w:rsidRDefault="00597AE1" w:rsidP="001D2D05">
      <w:pPr>
        <w:spacing w:line="360" w:lineRule="auto"/>
        <w:rPr>
          <w:rFonts w:ascii="Arial" w:hAnsi="Arial" w:cs="Arial"/>
          <w:sz w:val="28"/>
          <w:szCs w:val="28"/>
          <w:u w:val="single"/>
        </w:rPr>
      </w:pPr>
      <w:r w:rsidRPr="00266F7A">
        <w:rPr>
          <w:rFonts w:ascii="Arial" w:hAnsi="Arial" w:cs="Arial"/>
          <w:b/>
          <w:bCs/>
          <w:sz w:val="28"/>
          <w:szCs w:val="28"/>
          <w:u w:val="single"/>
        </w:rPr>
        <w:t>Development of the Topic</w:t>
      </w:r>
      <w:r w:rsidRPr="00266F7A">
        <w:rPr>
          <w:rFonts w:ascii="Arial" w:hAnsi="Arial" w:cs="Arial"/>
          <w:sz w:val="28"/>
          <w:szCs w:val="28"/>
          <w:u w:val="single"/>
        </w:rPr>
        <w:t> </w:t>
      </w:r>
    </w:p>
    <w:p w14:paraId="2DF42637" w14:textId="0E7711E9" w:rsidR="00597AE1" w:rsidRPr="00980BBE" w:rsidRDefault="002C08B8" w:rsidP="001D2D05">
      <w:pPr>
        <w:spacing w:line="360" w:lineRule="auto"/>
        <w:rPr>
          <w:rFonts w:ascii="Arial" w:hAnsi="Arial" w:cs="Arial"/>
          <w:sz w:val="22"/>
          <w:szCs w:val="22"/>
        </w:rPr>
      </w:pPr>
      <w:r w:rsidRPr="00980BBE">
        <w:rPr>
          <w:rFonts w:ascii="Arial" w:hAnsi="Arial" w:cs="Arial"/>
          <w:sz w:val="22"/>
          <w:szCs w:val="22"/>
        </w:rPr>
        <w:t xml:space="preserve">The link between excessive alcohol consumption and cognitive decline has been recognized for over a century, with early medical observations </w:t>
      </w:r>
      <w:r w:rsidR="00C5711C" w:rsidRPr="00980BBE">
        <w:rPr>
          <w:rFonts w:ascii="Arial" w:hAnsi="Arial" w:cs="Arial"/>
          <w:sz w:val="22"/>
          <w:szCs w:val="22"/>
        </w:rPr>
        <w:t>documenting</w:t>
      </w:r>
      <w:r w:rsidRPr="00980BBE">
        <w:rPr>
          <w:rFonts w:ascii="Arial" w:hAnsi="Arial" w:cs="Arial"/>
          <w:sz w:val="22"/>
          <w:szCs w:val="22"/>
        </w:rPr>
        <w:t xml:space="preserve"> its neurological impacts</w:t>
      </w:r>
      <w:r w:rsidR="00597AE1" w:rsidRPr="00980BBE">
        <w:rPr>
          <w:rFonts w:ascii="Arial" w:hAnsi="Arial" w:cs="Arial"/>
          <w:sz w:val="22"/>
          <w:szCs w:val="22"/>
        </w:rPr>
        <w:t xml:space="preserve"> (Ridley, Draper and Withall, 2013</w:t>
      </w:r>
      <w:r w:rsidR="00EB21C6" w:rsidRPr="00980BBE">
        <w:rPr>
          <w:rFonts w:ascii="Arial" w:hAnsi="Arial" w:cs="Arial"/>
          <w:sz w:val="22"/>
          <w:szCs w:val="22"/>
        </w:rPr>
        <w:t>a</w:t>
      </w:r>
      <w:r w:rsidR="00597AE1" w:rsidRPr="00980BBE">
        <w:rPr>
          <w:rFonts w:ascii="Arial" w:hAnsi="Arial" w:cs="Arial"/>
          <w:sz w:val="22"/>
          <w:szCs w:val="22"/>
        </w:rPr>
        <w:t xml:space="preserve">). </w:t>
      </w:r>
      <w:r w:rsidR="00B03DAF" w:rsidRPr="00980BBE">
        <w:rPr>
          <w:rFonts w:ascii="Arial" w:hAnsi="Arial" w:cs="Arial"/>
          <w:sz w:val="22"/>
          <w:szCs w:val="22"/>
        </w:rPr>
        <w:t xml:space="preserve">Systematic research </w:t>
      </w:r>
      <w:r w:rsidR="00E97883" w:rsidRPr="00980BBE">
        <w:rPr>
          <w:rFonts w:ascii="Arial" w:hAnsi="Arial" w:cs="Arial"/>
          <w:sz w:val="22"/>
          <w:szCs w:val="22"/>
        </w:rPr>
        <w:t>commenced</w:t>
      </w:r>
      <w:r w:rsidR="00B03DAF" w:rsidRPr="00980BBE">
        <w:rPr>
          <w:rFonts w:ascii="Arial" w:hAnsi="Arial" w:cs="Arial"/>
          <w:sz w:val="22"/>
          <w:szCs w:val="22"/>
        </w:rPr>
        <w:t xml:space="preserve"> in the mid-20th century, </w:t>
      </w:r>
      <w:r w:rsidR="004667DC" w:rsidRPr="00980BBE">
        <w:rPr>
          <w:rFonts w:ascii="Arial" w:hAnsi="Arial" w:cs="Arial"/>
          <w:sz w:val="22"/>
          <w:szCs w:val="22"/>
        </w:rPr>
        <w:t>elucidating</w:t>
      </w:r>
      <w:r w:rsidR="00B03DAF" w:rsidRPr="00980BBE">
        <w:rPr>
          <w:rFonts w:ascii="Arial" w:hAnsi="Arial" w:cs="Arial"/>
          <w:sz w:val="22"/>
          <w:szCs w:val="22"/>
        </w:rPr>
        <w:t xml:space="preserve"> neurodegenerative mechanisms. The Wernicke</w:t>
      </w:r>
      <w:r w:rsidR="001B66A2" w:rsidRPr="00980BBE">
        <w:rPr>
          <w:rFonts w:ascii="Arial" w:hAnsi="Arial" w:cs="Arial"/>
          <w:sz w:val="22"/>
          <w:szCs w:val="22"/>
        </w:rPr>
        <w:t>-</w:t>
      </w:r>
      <w:r w:rsidR="00B03DAF" w:rsidRPr="00980BBE">
        <w:rPr>
          <w:rFonts w:ascii="Arial" w:hAnsi="Arial" w:cs="Arial"/>
          <w:sz w:val="22"/>
          <w:szCs w:val="22"/>
        </w:rPr>
        <w:t xml:space="preserve">Korsakoff syndrome exemplifies the </w:t>
      </w:r>
      <w:r w:rsidR="004667DC" w:rsidRPr="00980BBE">
        <w:rPr>
          <w:rFonts w:ascii="Arial" w:hAnsi="Arial" w:cs="Arial"/>
          <w:sz w:val="22"/>
          <w:szCs w:val="22"/>
        </w:rPr>
        <w:t xml:space="preserve"> consequences </w:t>
      </w:r>
      <w:r w:rsidR="005D7490" w:rsidRPr="00980BBE">
        <w:rPr>
          <w:rFonts w:ascii="Arial" w:hAnsi="Arial" w:cs="Arial"/>
          <w:sz w:val="22"/>
          <w:szCs w:val="22"/>
        </w:rPr>
        <w:t>of alcohol abuse</w:t>
      </w:r>
      <w:r w:rsidR="00B03DAF" w:rsidRPr="00980BBE">
        <w:rPr>
          <w:rFonts w:ascii="Arial" w:hAnsi="Arial" w:cs="Arial"/>
          <w:sz w:val="22"/>
          <w:szCs w:val="22"/>
        </w:rPr>
        <w:t xml:space="preserve">, </w:t>
      </w:r>
      <w:r w:rsidR="005D7490" w:rsidRPr="00980BBE">
        <w:rPr>
          <w:rFonts w:ascii="Arial" w:hAnsi="Arial" w:cs="Arial"/>
          <w:sz w:val="22"/>
          <w:szCs w:val="22"/>
        </w:rPr>
        <w:t xml:space="preserve">resulting </w:t>
      </w:r>
      <w:r w:rsidR="00AD6839" w:rsidRPr="00980BBE">
        <w:rPr>
          <w:rFonts w:ascii="Arial" w:hAnsi="Arial" w:cs="Arial"/>
          <w:sz w:val="22"/>
          <w:szCs w:val="22"/>
        </w:rPr>
        <w:t xml:space="preserve">in </w:t>
      </w:r>
      <w:r w:rsidR="00B03DAF" w:rsidRPr="00980BBE">
        <w:rPr>
          <w:rFonts w:ascii="Arial" w:hAnsi="Arial" w:cs="Arial"/>
          <w:sz w:val="22"/>
          <w:szCs w:val="22"/>
        </w:rPr>
        <w:t>thiamine deficiency, neuronal damage, and severe memory impairment, th</w:t>
      </w:r>
      <w:r w:rsidR="00AD6839" w:rsidRPr="00980BBE">
        <w:rPr>
          <w:rFonts w:ascii="Arial" w:hAnsi="Arial" w:cs="Arial"/>
          <w:sz w:val="22"/>
          <w:szCs w:val="22"/>
        </w:rPr>
        <w:t>ereby</w:t>
      </w:r>
      <w:r w:rsidR="00B03DAF" w:rsidRPr="00980BBE">
        <w:rPr>
          <w:rFonts w:ascii="Arial" w:hAnsi="Arial" w:cs="Arial"/>
          <w:sz w:val="22"/>
          <w:szCs w:val="22"/>
        </w:rPr>
        <w:t xml:space="preserve"> reinforcing the </w:t>
      </w:r>
      <w:r w:rsidR="008757C7" w:rsidRPr="00980BBE">
        <w:rPr>
          <w:rFonts w:ascii="Arial" w:hAnsi="Arial" w:cs="Arial"/>
          <w:sz w:val="22"/>
          <w:szCs w:val="22"/>
        </w:rPr>
        <w:t>association</w:t>
      </w:r>
      <w:r w:rsidR="00B03DAF" w:rsidRPr="00980BBE">
        <w:rPr>
          <w:rFonts w:ascii="Arial" w:hAnsi="Arial" w:cs="Arial"/>
          <w:sz w:val="22"/>
          <w:szCs w:val="22"/>
        </w:rPr>
        <w:t xml:space="preserve"> between alcohol </w:t>
      </w:r>
      <w:r w:rsidR="008757C7" w:rsidRPr="00980BBE">
        <w:rPr>
          <w:rFonts w:ascii="Arial" w:hAnsi="Arial" w:cs="Arial"/>
          <w:sz w:val="22"/>
          <w:szCs w:val="22"/>
        </w:rPr>
        <w:t>c</w:t>
      </w:r>
      <w:r w:rsidR="006C3998" w:rsidRPr="00980BBE">
        <w:rPr>
          <w:rFonts w:ascii="Arial" w:hAnsi="Arial" w:cs="Arial"/>
          <w:sz w:val="22"/>
          <w:szCs w:val="22"/>
        </w:rPr>
        <w:t xml:space="preserve">onsumption </w:t>
      </w:r>
      <w:r w:rsidR="00B03DAF" w:rsidRPr="00980BBE">
        <w:rPr>
          <w:rFonts w:ascii="Arial" w:hAnsi="Arial" w:cs="Arial"/>
          <w:sz w:val="22"/>
          <w:szCs w:val="22"/>
        </w:rPr>
        <w:t>and cognitive decline.</w:t>
      </w:r>
    </w:p>
    <w:p w14:paraId="1BC44245" w14:textId="3074BB56" w:rsidR="00A1062F" w:rsidRPr="00980BBE" w:rsidRDefault="00A1062F" w:rsidP="001D2D05">
      <w:pPr>
        <w:spacing w:line="360" w:lineRule="auto"/>
        <w:rPr>
          <w:rFonts w:ascii="Arial" w:hAnsi="Arial" w:cs="Arial"/>
          <w:sz w:val="22"/>
          <w:szCs w:val="22"/>
        </w:rPr>
      </w:pPr>
      <w:r w:rsidRPr="00980BBE">
        <w:rPr>
          <w:rFonts w:ascii="Arial" w:hAnsi="Arial" w:cs="Arial"/>
          <w:sz w:val="22"/>
          <w:szCs w:val="22"/>
        </w:rPr>
        <w:t xml:space="preserve">The identification of "alcohol-related dementia" (ARD) in the 1970s and 1980s </w:t>
      </w:r>
      <w:r w:rsidR="00CB2146" w:rsidRPr="00980BBE">
        <w:rPr>
          <w:rFonts w:ascii="Arial" w:hAnsi="Arial" w:cs="Arial"/>
          <w:sz w:val="22"/>
          <w:szCs w:val="22"/>
        </w:rPr>
        <w:t xml:space="preserve">highlighted </w:t>
      </w:r>
      <w:r w:rsidRPr="00980BBE">
        <w:rPr>
          <w:rFonts w:ascii="Arial" w:hAnsi="Arial" w:cs="Arial"/>
          <w:sz w:val="22"/>
          <w:szCs w:val="22"/>
        </w:rPr>
        <w:t xml:space="preserve"> long-term structural damage </w:t>
      </w:r>
      <w:r w:rsidR="00CB2146" w:rsidRPr="00980BBE">
        <w:rPr>
          <w:rFonts w:ascii="Arial" w:hAnsi="Arial" w:cs="Arial"/>
          <w:sz w:val="22"/>
          <w:szCs w:val="22"/>
        </w:rPr>
        <w:t xml:space="preserve">resulting </w:t>
      </w:r>
      <w:r w:rsidRPr="00980BBE">
        <w:rPr>
          <w:rFonts w:ascii="Arial" w:hAnsi="Arial" w:cs="Arial"/>
          <w:sz w:val="22"/>
          <w:szCs w:val="22"/>
        </w:rPr>
        <w:t>from chronic heavy alcohol consumption, ex</w:t>
      </w:r>
      <w:r w:rsidR="006B475E" w:rsidRPr="00980BBE">
        <w:rPr>
          <w:rFonts w:ascii="Arial" w:hAnsi="Arial" w:cs="Arial"/>
          <w:sz w:val="22"/>
          <w:szCs w:val="22"/>
        </w:rPr>
        <w:t>panding</w:t>
      </w:r>
      <w:r w:rsidRPr="00980BBE">
        <w:rPr>
          <w:rFonts w:ascii="Arial" w:hAnsi="Arial" w:cs="Arial"/>
          <w:sz w:val="22"/>
          <w:szCs w:val="22"/>
        </w:rPr>
        <w:t xml:space="preserve"> </w:t>
      </w:r>
      <w:r w:rsidR="00CB2146" w:rsidRPr="00980BBE">
        <w:rPr>
          <w:rFonts w:ascii="Arial" w:hAnsi="Arial" w:cs="Arial"/>
          <w:sz w:val="22"/>
          <w:szCs w:val="22"/>
        </w:rPr>
        <w:t xml:space="preserve">understanding </w:t>
      </w:r>
      <w:r w:rsidRPr="00980BBE">
        <w:rPr>
          <w:rFonts w:ascii="Arial" w:hAnsi="Arial" w:cs="Arial"/>
          <w:sz w:val="22"/>
          <w:szCs w:val="22"/>
        </w:rPr>
        <w:t xml:space="preserve">beyond acute deficient symptoms (Rehm et al., 2019). </w:t>
      </w:r>
      <w:r w:rsidR="006B475E" w:rsidRPr="00980BBE">
        <w:rPr>
          <w:rFonts w:ascii="Arial" w:hAnsi="Arial" w:cs="Arial"/>
          <w:sz w:val="22"/>
          <w:szCs w:val="22"/>
        </w:rPr>
        <w:t xml:space="preserve">By the </w:t>
      </w:r>
      <w:r w:rsidRPr="00980BBE">
        <w:rPr>
          <w:rFonts w:ascii="Arial" w:hAnsi="Arial" w:cs="Arial"/>
          <w:sz w:val="22"/>
          <w:szCs w:val="22"/>
        </w:rPr>
        <w:t xml:space="preserve">early 2000s, </w:t>
      </w:r>
      <w:r w:rsidR="0060061B" w:rsidRPr="00980BBE">
        <w:rPr>
          <w:rFonts w:ascii="Arial" w:hAnsi="Arial" w:cs="Arial"/>
          <w:sz w:val="22"/>
          <w:szCs w:val="22"/>
        </w:rPr>
        <w:t>alcohol use was reco</w:t>
      </w:r>
      <w:r w:rsidR="00382689" w:rsidRPr="00980BBE">
        <w:rPr>
          <w:rFonts w:ascii="Arial" w:hAnsi="Arial" w:cs="Arial"/>
          <w:sz w:val="22"/>
          <w:szCs w:val="22"/>
        </w:rPr>
        <w:t>gnised as a major modifiable risk factor</w:t>
      </w:r>
      <w:r w:rsidR="00585169" w:rsidRPr="00980BBE">
        <w:rPr>
          <w:rFonts w:ascii="Arial" w:hAnsi="Arial" w:cs="Arial"/>
          <w:sz w:val="22"/>
          <w:szCs w:val="22"/>
        </w:rPr>
        <w:t xml:space="preserve"> for dementia, particularly among </w:t>
      </w:r>
      <w:r w:rsidR="00B06E29" w:rsidRPr="00980BBE">
        <w:rPr>
          <w:rFonts w:ascii="Arial" w:hAnsi="Arial" w:cs="Arial"/>
          <w:sz w:val="22"/>
          <w:szCs w:val="22"/>
        </w:rPr>
        <w:t xml:space="preserve">working-age adults. </w:t>
      </w:r>
      <w:r w:rsidRPr="00980BBE">
        <w:rPr>
          <w:rFonts w:ascii="Arial" w:hAnsi="Arial" w:cs="Arial"/>
          <w:sz w:val="22"/>
          <w:szCs w:val="22"/>
        </w:rPr>
        <w:t xml:space="preserve">especially in working-age adults. </w:t>
      </w:r>
      <w:r w:rsidR="00B06E29" w:rsidRPr="00980BBE">
        <w:rPr>
          <w:rFonts w:ascii="Arial" w:hAnsi="Arial" w:cs="Arial"/>
          <w:sz w:val="22"/>
          <w:szCs w:val="22"/>
        </w:rPr>
        <w:t xml:space="preserve">According  to the </w:t>
      </w:r>
      <w:r w:rsidR="00172C74" w:rsidRPr="00980BBE">
        <w:rPr>
          <w:rFonts w:ascii="Arial" w:hAnsi="Arial" w:cs="Arial"/>
          <w:sz w:val="22"/>
          <w:szCs w:val="22"/>
        </w:rPr>
        <w:t>Whitehall</w:t>
      </w:r>
      <w:r w:rsidR="00955EA4" w:rsidRPr="00980BBE">
        <w:rPr>
          <w:rFonts w:ascii="Arial" w:hAnsi="Arial" w:cs="Arial"/>
          <w:sz w:val="22"/>
          <w:szCs w:val="22"/>
        </w:rPr>
        <w:t xml:space="preserve"> II study </w:t>
      </w:r>
      <w:r w:rsidRPr="00980BBE">
        <w:rPr>
          <w:rFonts w:ascii="Arial" w:hAnsi="Arial" w:cs="Arial"/>
          <w:sz w:val="22"/>
          <w:szCs w:val="22"/>
        </w:rPr>
        <w:t xml:space="preserve">Both abstinence and excessive drinking during midlife are </w:t>
      </w:r>
      <w:r w:rsidR="00955EA4" w:rsidRPr="00980BBE">
        <w:rPr>
          <w:rFonts w:ascii="Arial" w:hAnsi="Arial" w:cs="Arial"/>
          <w:sz w:val="22"/>
          <w:szCs w:val="22"/>
        </w:rPr>
        <w:t>linked</w:t>
      </w:r>
      <w:r w:rsidRPr="00980BBE">
        <w:rPr>
          <w:rFonts w:ascii="Arial" w:hAnsi="Arial" w:cs="Arial"/>
          <w:sz w:val="22"/>
          <w:szCs w:val="22"/>
        </w:rPr>
        <w:t xml:space="preserve"> </w:t>
      </w:r>
      <w:r w:rsidR="00955EA4" w:rsidRPr="00980BBE">
        <w:rPr>
          <w:rFonts w:ascii="Arial" w:hAnsi="Arial" w:cs="Arial"/>
          <w:sz w:val="22"/>
          <w:szCs w:val="22"/>
        </w:rPr>
        <w:t>to</w:t>
      </w:r>
      <w:r w:rsidR="00A60C4B" w:rsidRPr="00980BBE">
        <w:rPr>
          <w:rFonts w:ascii="Arial" w:hAnsi="Arial" w:cs="Arial"/>
          <w:sz w:val="22"/>
          <w:szCs w:val="22"/>
        </w:rPr>
        <w:t xml:space="preserve"> an</w:t>
      </w:r>
      <w:r w:rsidRPr="00980BBE">
        <w:rPr>
          <w:rFonts w:ascii="Arial" w:hAnsi="Arial" w:cs="Arial"/>
          <w:sz w:val="22"/>
          <w:szCs w:val="22"/>
        </w:rPr>
        <w:t xml:space="preserve"> elevated risk of dementia, </w:t>
      </w:r>
      <w:r w:rsidR="00A60C4B" w:rsidRPr="00980BBE">
        <w:rPr>
          <w:rFonts w:ascii="Arial" w:hAnsi="Arial" w:cs="Arial"/>
          <w:sz w:val="22"/>
          <w:szCs w:val="22"/>
        </w:rPr>
        <w:t xml:space="preserve">indicating a more complex </w:t>
      </w:r>
      <w:r w:rsidR="00172C74" w:rsidRPr="00980BBE">
        <w:rPr>
          <w:rFonts w:ascii="Arial" w:hAnsi="Arial" w:cs="Arial"/>
          <w:sz w:val="22"/>
          <w:szCs w:val="22"/>
        </w:rPr>
        <w:t xml:space="preserve">association than previously understood </w:t>
      </w:r>
      <w:r w:rsidRPr="00980BBE">
        <w:rPr>
          <w:rFonts w:ascii="Arial" w:hAnsi="Arial" w:cs="Arial"/>
          <w:sz w:val="22"/>
          <w:szCs w:val="22"/>
        </w:rPr>
        <w:t>(Sabia et al., 2018).</w:t>
      </w:r>
    </w:p>
    <w:p w14:paraId="424A3799" w14:textId="1018E972" w:rsidR="00597AE1" w:rsidRPr="00EB54BB" w:rsidRDefault="00597AE1" w:rsidP="000E2C7A">
      <w:pPr>
        <w:pStyle w:val="Heading1"/>
        <w:rPr>
          <w:rFonts w:ascii="Arial" w:hAnsi="Arial" w:cs="Arial"/>
          <w:b/>
          <w:bCs/>
          <w:color w:val="auto"/>
          <w:sz w:val="28"/>
          <w:szCs w:val="28"/>
          <w:u w:val="single"/>
        </w:rPr>
      </w:pPr>
      <w:bookmarkStart w:id="11" w:name="_Toc225966603"/>
      <w:r w:rsidRPr="00EB54BB">
        <w:rPr>
          <w:rFonts w:ascii="Arial" w:hAnsi="Arial" w:cs="Arial"/>
          <w:b/>
          <w:bCs/>
          <w:color w:val="auto"/>
          <w:sz w:val="28"/>
          <w:szCs w:val="28"/>
          <w:u w:val="single"/>
        </w:rPr>
        <w:t>Significant Historical Figures and Contributions</w:t>
      </w:r>
      <w:bookmarkEnd w:id="11"/>
      <w:r w:rsidRPr="00EB54BB">
        <w:rPr>
          <w:rFonts w:ascii="Arial" w:hAnsi="Arial" w:cs="Arial"/>
          <w:b/>
          <w:bCs/>
          <w:color w:val="auto"/>
          <w:sz w:val="28"/>
          <w:szCs w:val="28"/>
          <w:u w:val="single"/>
        </w:rPr>
        <w:t> </w:t>
      </w:r>
    </w:p>
    <w:p w14:paraId="68157499" w14:textId="6B9AD589" w:rsidR="000932C2" w:rsidRPr="00980BBE" w:rsidRDefault="002C10BA" w:rsidP="001D2D05">
      <w:pPr>
        <w:spacing w:line="360" w:lineRule="auto"/>
        <w:rPr>
          <w:rFonts w:ascii="Arial" w:hAnsi="Arial" w:cs="Arial"/>
          <w:sz w:val="22"/>
          <w:szCs w:val="22"/>
        </w:rPr>
      </w:pPr>
      <w:r w:rsidRPr="00980BBE">
        <w:rPr>
          <w:rFonts w:ascii="Arial" w:hAnsi="Arial" w:cs="Arial"/>
          <w:sz w:val="22"/>
          <w:szCs w:val="22"/>
        </w:rPr>
        <w:t>Eminent organizations and researchers have shaped the current understanding of alcohol-induced cognitive impairment</w:t>
      </w:r>
      <w:r w:rsidR="000932C2" w:rsidRPr="00980BBE">
        <w:rPr>
          <w:rFonts w:ascii="Arial" w:hAnsi="Arial" w:cs="Arial"/>
          <w:sz w:val="22"/>
          <w:szCs w:val="22"/>
        </w:rPr>
        <w:t xml:space="preserve">. With credible evidence linking alcohol consumption to over 200 illnesses, including dementia, the World Health Organization (2021) made a substantial contribution </w:t>
      </w:r>
      <w:r w:rsidR="00B24194" w:rsidRPr="00980BBE">
        <w:rPr>
          <w:rFonts w:ascii="Arial" w:hAnsi="Arial" w:cs="Arial"/>
          <w:sz w:val="22"/>
          <w:szCs w:val="22"/>
        </w:rPr>
        <w:t>by framing alcohol misuse</w:t>
      </w:r>
      <w:r w:rsidR="007D4598" w:rsidRPr="00980BBE">
        <w:rPr>
          <w:rFonts w:ascii="Arial" w:hAnsi="Arial" w:cs="Arial"/>
          <w:sz w:val="22"/>
          <w:szCs w:val="22"/>
        </w:rPr>
        <w:t xml:space="preserve"> as a global public health concern. </w:t>
      </w:r>
      <w:r w:rsidR="000932C2" w:rsidRPr="00980BBE">
        <w:rPr>
          <w:rFonts w:ascii="Arial" w:hAnsi="Arial" w:cs="Arial"/>
          <w:sz w:val="22"/>
          <w:szCs w:val="22"/>
        </w:rPr>
        <w:t xml:space="preserve">The Alzheimer's Society (2025) and Alzheimer's Disease International have </w:t>
      </w:r>
      <w:r w:rsidR="00020FC6" w:rsidRPr="00980BBE">
        <w:rPr>
          <w:rFonts w:ascii="Arial" w:hAnsi="Arial" w:cs="Arial"/>
          <w:sz w:val="22"/>
          <w:szCs w:val="22"/>
        </w:rPr>
        <w:t xml:space="preserve">highlighted the preventable aspect of </w:t>
      </w:r>
      <w:r w:rsidR="00DE10F3" w:rsidRPr="00980BBE">
        <w:rPr>
          <w:rFonts w:ascii="Arial" w:hAnsi="Arial" w:cs="Arial"/>
          <w:sz w:val="22"/>
          <w:szCs w:val="22"/>
        </w:rPr>
        <w:t xml:space="preserve">alcohol-related </w:t>
      </w:r>
      <w:r w:rsidR="000932C2" w:rsidRPr="00980BBE">
        <w:rPr>
          <w:rFonts w:ascii="Arial" w:hAnsi="Arial" w:cs="Arial"/>
          <w:sz w:val="22"/>
          <w:szCs w:val="22"/>
        </w:rPr>
        <w:t>dementia (Kilian et al., 2023).</w:t>
      </w:r>
    </w:p>
    <w:p w14:paraId="27A5EDFA" w14:textId="77777777" w:rsidR="00597AE1" w:rsidRPr="00266F7A" w:rsidRDefault="00597AE1" w:rsidP="000E2C7A">
      <w:pPr>
        <w:pStyle w:val="Heading1"/>
        <w:rPr>
          <w:rFonts w:ascii="Arial" w:hAnsi="Arial" w:cs="Arial"/>
          <w:b/>
          <w:bCs/>
          <w:color w:val="auto"/>
          <w:sz w:val="28"/>
          <w:szCs w:val="28"/>
          <w:u w:val="single"/>
        </w:rPr>
      </w:pPr>
      <w:bookmarkStart w:id="12" w:name="_Toc225966604"/>
      <w:r w:rsidRPr="00266F7A">
        <w:rPr>
          <w:rFonts w:ascii="Arial" w:hAnsi="Arial" w:cs="Arial"/>
          <w:b/>
          <w:bCs/>
          <w:color w:val="auto"/>
          <w:sz w:val="28"/>
          <w:szCs w:val="28"/>
          <w:u w:val="single"/>
        </w:rPr>
        <w:lastRenderedPageBreak/>
        <w:t>Conceptual Framework Linking Alcohol, Deprivation and YOD</w:t>
      </w:r>
      <w:bookmarkEnd w:id="12"/>
      <w:r w:rsidRPr="00266F7A">
        <w:rPr>
          <w:rFonts w:ascii="Arial" w:hAnsi="Arial" w:cs="Arial"/>
          <w:b/>
          <w:bCs/>
          <w:color w:val="auto"/>
          <w:sz w:val="28"/>
          <w:szCs w:val="28"/>
          <w:u w:val="single"/>
        </w:rPr>
        <w:t> </w:t>
      </w:r>
    </w:p>
    <w:p w14:paraId="23A74CBD" w14:textId="4DACA54B" w:rsidR="00597AE1" w:rsidRPr="00980BBE" w:rsidRDefault="00597AE1" w:rsidP="001D2D05">
      <w:pPr>
        <w:spacing w:line="360" w:lineRule="auto"/>
        <w:rPr>
          <w:rFonts w:ascii="Arial" w:hAnsi="Arial" w:cs="Arial"/>
          <w:sz w:val="22"/>
          <w:szCs w:val="22"/>
        </w:rPr>
      </w:pPr>
      <w:r w:rsidRPr="00980BBE">
        <w:rPr>
          <w:rFonts w:ascii="Arial" w:hAnsi="Arial" w:cs="Arial"/>
          <w:sz w:val="22"/>
          <w:szCs w:val="22"/>
        </w:rPr>
        <w:t> </w:t>
      </w:r>
      <w:r w:rsidR="00E46676" w:rsidRPr="00980BBE">
        <w:rPr>
          <w:rFonts w:ascii="Arial" w:hAnsi="Arial" w:cs="Arial"/>
          <w:noProof/>
          <w:sz w:val="22"/>
          <w:szCs w:val="22"/>
        </w:rPr>
        <w:drawing>
          <wp:inline distT="0" distB="0" distL="0" distR="0" wp14:anchorId="1C79E59C" wp14:editId="731ABCFE">
            <wp:extent cx="4180114" cy="2343383"/>
            <wp:effectExtent l="0" t="0" r="0" b="0"/>
            <wp:docPr id="1980213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0213172" name=""/>
                    <pic:cNvPicPr/>
                  </pic:nvPicPr>
                  <pic:blipFill>
                    <a:blip r:embed="rId8"/>
                    <a:stretch>
                      <a:fillRect/>
                    </a:stretch>
                  </pic:blipFill>
                  <pic:spPr>
                    <a:xfrm>
                      <a:off x="0" y="0"/>
                      <a:ext cx="4186684" cy="2347066"/>
                    </a:xfrm>
                    <a:prstGeom prst="rect">
                      <a:avLst/>
                    </a:prstGeom>
                  </pic:spPr>
                </pic:pic>
              </a:graphicData>
            </a:graphic>
          </wp:inline>
        </w:drawing>
      </w:r>
      <w:r w:rsidR="002B4A44" w:rsidRPr="00980BBE">
        <w:rPr>
          <w:rFonts w:ascii="Arial" w:hAnsi="Arial" w:cs="Arial"/>
          <w:sz w:val="22"/>
          <w:szCs w:val="22"/>
        </w:rPr>
        <w:t xml:space="preserve">  Fig 2</w:t>
      </w:r>
      <w:r w:rsidR="00D152F8" w:rsidRPr="00980BBE">
        <w:rPr>
          <w:rFonts w:ascii="Arial" w:hAnsi="Arial" w:cs="Arial"/>
          <w:sz w:val="22"/>
          <w:szCs w:val="22"/>
        </w:rPr>
        <w:t xml:space="preserve"> (made by author)</w:t>
      </w:r>
    </w:p>
    <w:p w14:paraId="0D61FAB5" w14:textId="4A9C4B90" w:rsidR="00141AC6" w:rsidRPr="00980BBE" w:rsidRDefault="00141AC6" w:rsidP="00AE1E76">
      <w:pPr>
        <w:spacing w:line="360" w:lineRule="auto"/>
        <w:rPr>
          <w:rFonts w:ascii="Arial" w:hAnsi="Arial" w:cs="Arial"/>
          <w:sz w:val="22"/>
          <w:szCs w:val="22"/>
        </w:rPr>
      </w:pPr>
      <w:r w:rsidRPr="00980BBE">
        <w:rPr>
          <w:rFonts w:ascii="Arial" w:hAnsi="Arial" w:cs="Arial"/>
          <w:sz w:val="22"/>
          <w:szCs w:val="22"/>
        </w:rPr>
        <w:t xml:space="preserve">The </w:t>
      </w:r>
      <w:r w:rsidR="00D3278D">
        <w:rPr>
          <w:rFonts w:ascii="Arial" w:hAnsi="Arial" w:cs="Arial"/>
          <w:sz w:val="22"/>
          <w:szCs w:val="22"/>
        </w:rPr>
        <w:t xml:space="preserve">historical </w:t>
      </w:r>
      <w:r w:rsidR="009727D5" w:rsidRPr="00980BBE">
        <w:rPr>
          <w:rFonts w:ascii="Arial" w:hAnsi="Arial" w:cs="Arial"/>
          <w:sz w:val="22"/>
          <w:szCs w:val="22"/>
        </w:rPr>
        <w:t xml:space="preserve">framework above </w:t>
      </w:r>
      <w:r w:rsidR="007E10E1" w:rsidRPr="00980BBE">
        <w:rPr>
          <w:rFonts w:ascii="Arial" w:hAnsi="Arial" w:cs="Arial"/>
          <w:sz w:val="22"/>
          <w:szCs w:val="22"/>
        </w:rPr>
        <w:t>illustrates</w:t>
      </w:r>
      <w:r w:rsidR="00EA68A4" w:rsidRPr="00980BBE">
        <w:rPr>
          <w:rFonts w:ascii="Arial" w:hAnsi="Arial" w:cs="Arial"/>
          <w:sz w:val="22"/>
          <w:szCs w:val="22"/>
        </w:rPr>
        <w:t xml:space="preserve"> that</w:t>
      </w:r>
      <w:r w:rsidRPr="00980BBE">
        <w:rPr>
          <w:rFonts w:ascii="Arial" w:hAnsi="Arial" w:cs="Arial"/>
          <w:sz w:val="22"/>
          <w:szCs w:val="22"/>
        </w:rPr>
        <w:t xml:space="preserve"> </w:t>
      </w:r>
      <w:r w:rsidR="00B169FE" w:rsidRPr="00980BBE">
        <w:rPr>
          <w:rFonts w:ascii="Arial" w:hAnsi="Arial" w:cs="Arial"/>
          <w:sz w:val="22"/>
          <w:szCs w:val="22"/>
        </w:rPr>
        <w:t xml:space="preserve">Socioeconomic deprivation can lead to chronic stress and harmful alcohol use, which may cause neurotoxicity and brain atrophy, </w:t>
      </w:r>
      <w:r w:rsidR="00EA68A4" w:rsidRPr="00980BBE">
        <w:rPr>
          <w:rFonts w:ascii="Arial" w:hAnsi="Arial" w:cs="Arial"/>
          <w:sz w:val="22"/>
          <w:szCs w:val="22"/>
        </w:rPr>
        <w:t xml:space="preserve"> thereby </w:t>
      </w:r>
      <w:r w:rsidR="00B169FE" w:rsidRPr="00980BBE">
        <w:rPr>
          <w:rFonts w:ascii="Arial" w:hAnsi="Arial" w:cs="Arial"/>
          <w:sz w:val="22"/>
          <w:szCs w:val="22"/>
        </w:rPr>
        <w:t xml:space="preserve">increasing the risk of young-onset dementia. Additionally, cognitive reserve, genetics, and social support can moderate the impact of these risks </w:t>
      </w:r>
      <w:r w:rsidR="00EA68A4" w:rsidRPr="00980BBE">
        <w:rPr>
          <w:rFonts w:ascii="Arial" w:hAnsi="Arial" w:cs="Arial"/>
          <w:sz w:val="22"/>
          <w:szCs w:val="22"/>
        </w:rPr>
        <w:t xml:space="preserve">factors </w:t>
      </w:r>
      <w:r w:rsidR="00B169FE" w:rsidRPr="00980BBE">
        <w:rPr>
          <w:rFonts w:ascii="Arial" w:hAnsi="Arial" w:cs="Arial"/>
          <w:sz w:val="22"/>
          <w:szCs w:val="22"/>
        </w:rPr>
        <w:t>on individuals.</w:t>
      </w:r>
    </w:p>
    <w:p w14:paraId="6CD4F6A2" w14:textId="02CA4038" w:rsidR="00785AB0" w:rsidRPr="00980BBE" w:rsidRDefault="00785AB0" w:rsidP="00AE1E76">
      <w:pPr>
        <w:spacing w:line="360" w:lineRule="auto"/>
        <w:rPr>
          <w:rFonts w:ascii="Arial" w:hAnsi="Arial" w:cs="Arial"/>
          <w:sz w:val="22"/>
          <w:szCs w:val="22"/>
        </w:rPr>
      </w:pPr>
      <w:r w:rsidRPr="00980BBE">
        <w:rPr>
          <w:rFonts w:ascii="Arial" w:hAnsi="Arial" w:cs="Arial"/>
          <w:sz w:val="22"/>
          <w:szCs w:val="22"/>
        </w:rPr>
        <w:t>By integrating epidemiology, clinical evidence, and socioeconomic factors, the Lancet Commission on Dementia Prevention, Intervention, and Care identifies harmful alcohol consumption as a modifiable risk factor for dementia, promoting a shift from individual pathology to broader public health responsibility (Livingston et al., 2017; Livingston et al., 2020c).</w:t>
      </w:r>
    </w:p>
    <w:p w14:paraId="5C3865A2" w14:textId="29050F17" w:rsidR="00597AE1" w:rsidRPr="00980BBE" w:rsidRDefault="00597AE1" w:rsidP="001D2D05">
      <w:pPr>
        <w:spacing w:line="360" w:lineRule="auto"/>
        <w:rPr>
          <w:rFonts w:ascii="Arial" w:hAnsi="Arial" w:cs="Arial"/>
          <w:sz w:val="22"/>
          <w:szCs w:val="22"/>
        </w:rPr>
      </w:pPr>
      <w:r w:rsidRPr="00980BBE">
        <w:rPr>
          <w:rFonts w:ascii="Arial" w:hAnsi="Arial" w:cs="Arial"/>
          <w:sz w:val="22"/>
          <w:szCs w:val="22"/>
        </w:rPr>
        <w:t xml:space="preserve">Historically, socioeconomic factors have been </w:t>
      </w:r>
      <w:r w:rsidR="009E63F0" w:rsidRPr="00980BBE">
        <w:rPr>
          <w:rFonts w:ascii="Arial" w:hAnsi="Arial" w:cs="Arial"/>
          <w:sz w:val="22"/>
          <w:szCs w:val="22"/>
        </w:rPr>
        <w:t>salient</w:t>
      </w:r>
      <w:r w:rsidRPr="00980BBE">
        <w:rPr>
          <w:rFonts w:ascii="Arial" w:hAnsi="Arial" w:cs="Arial"/>
          <w:sz w:val="22"/>
          <w:szCs w:val="22"/>
        </w:rPr>
        <w:t>. Urbani</w:t>
      </w:r>
      <w:r w:rsidR="00B34C63">
        <w:rPr>
          <w:rFonts w:ascii="Arial" w:hAnsi="Arial" w:cs="Arial"/>
          <w:sz w:val="22"/>
          <w:szCs w:val="22"/>
        </w:rPr>
        <w:t>s</w:t>
      </w:r>
      <w:r w:rsidRPr="00980BBE">
        <w:rPr>
          <w:rFonts w:ascii="Arial" w:hAnsi="Arial" w:cs="Arial"/>
          <w:sz w:val="22"/>
          <w:szCs w:val="22"/>
        </w:rPr>
        <w:t xml:space="preserve">ation and industrialization in the UK created conditions that </w:t>
      </w:r>
      <w:r w:rsidR="009E63F0" w:rsidRPr="00980BBE">
        <w:rPr>
          <w:rFonts w:ascii="Arial" w:hAnsi="Arial" w:cs="Arial"/>
          <w:sz w:val="22"/>
          <w:szCs w:val="22"/>
        </w:rPr>
        <w:t>fac</w:t>
      </w:r>
      <w:r w:rsidR="000B60B3" w:rsidRPr="00980BBE">
        <w:rPr>
          <w:rFonts w:ascii="Arial" w:hAnsi="Arial" w:cs="Arial"/>
          <w:sz w:val="22"/>
          <w:szCs w:val="22"/>
        </w:rPr>
        <w:t>ilitated</w:t>
      </w:r>
      <w:r w:rsidRPr="00980BBE">
        <w:rPr>
          <w:rFonts w:ascii="Arial" w:hAnsi="Arial" w:cs="Arial"/>
          <w:sz w:val="22"/>
          <w:szCs w:val="22"/>
        </w:rPr>
        <w:t xml:space="preserve"> excessive alcohol use, </w:t>
      </w:r>
      <w:r w:rsidR="000B60B3" w:rsidRPr="00980BBE">
        <w:rPr>
          <w:rFonts w:ascii="Arial" w:hAnsi="Arial" w:cs="Arial"/>
          <w:sz w:val="22"/>
          <w:szCs w:val="22"/>
        </w:rPr>
        <w:t>particular within</w:t>
      </w:r>
      <w:r w:rsidR="00B5703A" w:rsidRPr="00980BBE">
        <w:rPr>
          <w:rFonts w:ascii="Arial" w:hAnsi="Arial" w:cs="Arial"/>
          <w:sz w:val="22"/>
          <w:szCs w:val="22"/>
        </w:rPr>
        <w:t xml:space="preserve"> disadvantaged populations.</w:t>
      </w:r>
      <w:r w:rsidR="00127CBC" w:rsidRPr="00980BBE">
        <w:rPr>
          <w:rFonts w:ascii="Arial" w:hAnsi="Arial" w:cs="Arial"/>
          <w:sz w:val="22"/>
          <w:szCs w:val="22"/>
        </w:rPr>
        <w:t xml:space="preserve"> </w:t>
      </w:r>
      <w:r w:rsidRPr="00980BBE">
        <w:rPr>
          <w:rFonts w:ascii="Arial" w:hAnsi="Arial" w:cs="Arial"/>
          <w:sz w:val="22"/>
          <w:szCs w:val="22"/>
        </w:rPr>
        <w:t xml:space="preserve">These </w:t>
      </w:r>
      <w:r w:rsidR="003174A1" w:rsidRPr="00980BBE">
        <w:rPr>
          <w:rFonts w:ascii="Arial" w:hAnsi="Arial" w:cs="Arial"/>
          <w:sz w:val="22"/>
          <w:szCs w:val="22"/>
        </w:rPr>
        <w:t>disparities</w:t>
      </w:r>
      <w:r w:rsidRPr="00980BBE">
        <w:rPr>
          <w:rFonts w:ascii="Arial" w:hAnsi="Arial" w:cs="Arial"/>
          <w:sz w:val="22"/>
          <w:szCs w:val="22"/>
        </w:rPr>
        <w:t xml:space="preserve"> have </w:t>
      </w:r>
      <w:r w:rsidR="003174A1" w:rsidRPr="00980BBE">
        <w:rPr>
          <w:rFonts w:ascii="Arial" w:hAnsi="Arial" w:cs="Arial"/>
          <w:sz w:val="22"/>
          <w:szCs w:val="22"/>
        </w:rPr>
        <w:t>persisted</w:t>
      </w:r>
      <w:r w:rsidRPr="00980BBE">
        <w:rPr>
          <w:rFonts w:ascii="Arial" w:hAnsi="Arial" w:cs="Arial"/>
          <w:sz w:val="22"/>
          <w:szCs w:val="22"/>
        </w:rPr>
        <w:t xml:space="preserve">, with recent studies </w:t>
      </w:r>
      <w:r w:rsidR="003174A1" w:rsidRPr="00980BBE">
        <w:rPr>
          <w:rFonts w:ascii="Arial" w:hAnsi="Arial" w:cs="Arial"/>
          <w:sz w:val="22"/>
          <w:szCs w:val="22"/>
        </w:rPr>
        <w:t>co</w:t>
      </w:r>
      <w:r w:rsidR="004219E0" w:rsidRPr="00980BBE">
        <w:rPr>
          <w:rFonts w:ascii="Arial" w:hAnsi="Arial" w:cs="Arial"/>
          <w:sz w:val="22"/>
          <w:szCs w:val="22"/>
        </w:rPr>
        <w:t>nsistently demonstrating</w:t>
      </w:r>
      <w:r w:rsidRPr="00980BBE">
        <w:rPr>
          <w:rFonts w:ascii="Arial" w:hAnsi="Arial" w:cs="Arial"/>
          <w:sz w:val="22"/>
          <w:szCs w:val="22"/>
        </w:rPr>
        <w:t xml:space="preserve"> that alcohol-related </w:t>
      </w:r>
      <w:r w:rsidR="00F7117C" w:rsidRPr="00980BBE">
        <w:rPr>
          <w:rFonts w:ascii="Arial" w:hAnsi="Arial" w:cs="Arial"/>
          <w:sz w:val="22"/>
          <w:szCs w:val="22"/>
        </w:rPr>
        <w:t>harm</w:t>
      </w:r>
      <w:r w:rsidRPr="00980BBE">
        <w:rPr>
          <w:rFonts w:ascii="Arial" w:hAnsi="Arial" w:cs="Arial"/>
          <w:sz w:val="22"/>
          <w:szCs w:val="22"/>
        </w:rPr>
        <w:t xml:space="preserve"> is more prevalent among lower socioeconomic groups (Wang, 2025). </w:t>
      </w:r>
    </w:p>
    <w:p w14:paraId="609E0093" w14:textId="52AD3698" w:rsidR="00597AE1" w:rsidRDefault="00597AE1" w:rsidP="001D2D05">
      <w:pPr>
        <w:spacing w:line="360" w:lineRule="auto"/>
        <w:rPr>
          <w:rFonts w:ascii="Arial" w:hAnsi="Arial" w:cs="Arial"/>
          <w:sz w:val="22"/>
          <w:szCs w:val="22"/>
        </w:rPr>
      </w:pPr>
      <w:r w:rsidRPr="00980BBE">
        <w:rPr>
          <w:rFonts w:ascii="Arial" w:hAnsi="Arial" w:cs="Arial"/>
          <w:sz w:val="22"/>
          <w:szCs w:val="22"/>
        </w:rPr>
        <w:t>These historical developments indicate a significant leap from initial clinical observations of alcohol-related brain injury to a comprehensive public health strategy that recognizes the socioeconomic factors contributing to alcohol consumption and early cognitive decline. </w:t>
      </w:r>
    </w:p>
    <w:p w14:paraId="0E31E7A4" w14:textId="77777777" w:rsidR="00CB4C29" w:rsidRPr="00CB4C29" w:rsidRDefault="00CB4C29" w:rsidP="00CB4C29">
      <w:pPr>
        <w:spacing w:line="360" w:lineRule="auto"/>
        <w:rPr>
          <w:rFonts w:ascii="Arial" w:hAnsi="Arial" w:cs="Arial"/>
          <w:b/>
          <w:bCs/>
          <w:sz w:val="28"/>
          <w:szCs w:val="28"/>
          <w:u w:val="single"/>
        </w:rPr>
      </w:pPr>
      <w:r w:rsidRPr="00CB4C29">
        <w:rPr>
          <w:rFonts w:ascii="Arial" w:hAnsi="Arial" w:cs="Arial"/>
          <w:b/>
          <w:bCs/>
          <w:sz w:val="28"/>
          <w:szCs w:val="28"/>
          <w:u w:val="single"/>
        </w:rPr>
        <w:t>Theoretical Background</w:t>
      </w:r>
    </w:p>
    <w:p w14:paraId="2B9026F7" w14:textId="77777777" w:rsidR="00CB4C29" w:rsidRPr="00CB4C29" w:rsidRDefault="00CB4C29" w:rsidP="00CB4C29">
      <w:pPr>
        <w:spacing w:line="360" w:lineRule="auto"/>
        <w:rPr>
          <w:rFonts w:ascii="Arial" w:hAnsi="Arial" w:cs="Arial"/>
          <w:b/>
          <w:bCs/>
          <w:sz w:val="28"/>
          <w:szCs w:val="28"/>
          <w:u w:val="single"/>
        </w:rPr>
      </w:pPr>
      <w:r w:rsidRPr="00CB4C29">
        <w:rPr>
          <w:rFonts w:ascii="Arial" w:hAnsi="Arial" w:cs="Arial"/>
          <w:b/>
          <w:bCs/>
          <w:sz w:val="28"/>
          <w:szCs w:val="28"/>
          <w:u w:val="single"/>
        </w:rPr>
        <w:t>Key Theories and Concepts</w:t>
      </w:r>
    </w:p>
    <w:p w14:paraId="3A152DE5" w14:textId="05042585" w:rsidR="002A15DC" w:rsidRDefault="00521621" w:rsidP="00CB4C29">
      <w:pPr>
        <w:spacing w:line="360" w:lineRule="auto"/>
        <w:rPr>
          <w:rFonts w:ascii="Arial" w:hAnsi="Arial" w:cs="Arial"/>
          <w:sz w:val="22"/>
          <w:szCs w:val="22"/>
        </w:rPr>
      </w:pPr>
      <w:r w:rsidRPr="00521621">
        <w:rPr>
          <w:rFonts w:ascii="Arial" w:hAnsi="Arial" w:cs="Arial"/>
          <w:sz w:val="22"/>
          <w:szCs w:val="22"/>
        </w:rPr>
        <w:t xml:space="preserve">A multi-theoretical approach is </w:t>
      </w:r>
      <w:r w:rsidR="00BF423F">
        <w:rPr>
          <w:rFonts w:ascii="Arial" w:hAnsi="Arial" w:cs="Arial"/>
          <w:sz w:val="22"/>
          <w:szCs w:val="22"/>
        </w:rPr>
        <w:t xml:space="preserve">essential for understanding the relationship </w:t>
      </w:r>
      <w:r w:rsidRPr="00521621">
        <w:rPr>
          <w:rFonts w:ascii="Arial" w:hAnsi="Arial" w:cs="Arial"/>
          <w:sz w:val="22"/>
          <w:szCs w:val="22"/>
        </w:rPr>
        <w:t xml:space="preserve">between alcohol consumption, socioeconomic deprivation, and young-onset dementia (YOD). </w:t>
      </w:r>
      <w:r w:rsidR="00BF423F">
        <w:rPr>
          <w:rFonts w:ascii="Arial" w:hAnsi="Arial" w:cs="Arial"/>
          <w:sz w:val="22"/>
          <w:szCs w:val="22"/>
        </w:rPr>
        <w:t>The Bio</w:t>
      </w:r>
      <w:r w:rsidR="007D1D4A">
        <w:rPr>
          <w:rFonts w:ascii="Arial" w:hAnsi="Arial" w:cs="Arial"/>
          <w:sz w:val="22"/>
          <w:szCs w:val="22"/>
        </w:rPr>
        <w:t xml:space="preserve">psychosocial Model provides a comprehensive framework by integrating </w:t>
      </w:r>
      <w:r w:rsidRPr="00521621">
        <w:rPr>
          <w:rFonts w:ascii="Arial" w:hAnsi="Arial" w:cs="Arial"/>
          <w:sz w:val="22"/>
          <w:szCs w:val="22"/>
        </w:rPr>
        <w:t xml:space="preserve">biological </w:t>
      </w:r>
      <w:r w:rsidRPr="00521621">
        <w:rPr>
          <w:rFonts w:ascii="Arial" w:hAnsi="Arial" w:cs="Arial"/>
          <w:sz w:val="22"/>
          <w:szCs w:val="22"/>
        </w:rPr>
        <w:lastRenderedPageBreak/>
        <w:t xml:space="preserve">mechanisms (such as neurotoxicity, inflammation, and thiamine deficiency), psychological elements (such as stress and trauma), and social variables (such as education, unemployment, and </w:t>
      </w:r>
      <w:r w:rsidR="007D1D4A">
        <w:rPr>
          <w:rFonts w:ascii="Arial" w:hAnsi="Arial" w:cs="Arial"/>
          <w:sz w:val="22"/>
          <w:szCs w:val="22"/>
        </w:rPr>
        <w:t>a</w:t>
      </w:r>
      <w:r w:rsidR="00ED1E7C">
        <w:rPr>
          <w:rFonts w:ascii="Arial" w:hAnsi="Arial" w:cs="Arial"/>
          <w:sz w:val="22"/>
          <w:szCs w:val="22"/>
        </w:rPr>
        <w:t xml:space="preserve">ccess </w:t>
      </w:r>
      <w:r w:rsidRPr="00521621">
        <w:rPr>
          <w:rFonts w:ascii="Arial" w:hAnsi="Arial" w:cs="Arial"/>
          <w:sz w:val="22"/>
          <w:szCs w:val="22"/>
        </w:rPr>
        <w:t>healthcare)</w:t>
      </w:r>
      <w:r w:rsidR="00ED1E7C">
        <w:rPr>
          <w:rFonts w:ascii="Arial" w:hAnsi="Arial" w:cs="Arial"/>
          <w:sz w:val="22"/>
          <w:szCs w:val="22"/>
        </w:rPr>
        <w:t>.</w:t>
      </w:r>
      <w:r w:rsidRPr="00521621">
        <w:rPr>
          <w:rFonts w:ascii="Arial" w:hAnsi="Arial" w:cs="Arial"/>
          <w:sz w:val="22"/>
          <w:szCs w:val="22"/>
        </w:rPr>
        <w:t xml:space="preserve"> </w:t>
      </w:r>
    </w:p>
    <w:p w14:paraId="5462CFF7" w14:textId="1D36C553" w:rsidR="00521621" w:rsidRDefault="002A15DC" w:rsidP="00CB4C29">
      <w:pPr>
        <w:spacing w:line="360" w:lineRule="auto"/>
        <w:rPr>
          <w:rFonts w:ascii="Arial" w:hAnsi="Arial" w:cs="Arial"/>
          <w:sz w:val="22"/>
          <w:szCs w:val="22"/>
        </w:rPr>
      </w:pPr>
      <w:r>
        <w:rPr>
          <w:rFonts w:ascii="Arial" w:hAnsi="Arial" w:cs="Arial"/>
          <w:sz w:val="22"/>
          <w:szCs w:val="22"/>
        </w:rPr>
        <w:t>Rather than attri</w:t>
      </w:r>
      <w:r w:rsidR="006675A2">
        <w:rPr>
          <w:rFonts w:ascii="Arial" w:hAnsi="Arial" w:cs="Arial"/>
          <w:sz w:val="22"/>
          <w:szCs w:val="22"/>
        </w:rPr>
        <w:t xml:space="preserve">buting to a single domain, this model foregrounds the dynamic </w:t>
      </w:r>
      <w:r w:rsidR="00521621" w:rsidRPr="00521621">
        <w:rPr>
          <w:rFonts w:ascii="Arial" w:hAnsi="Arial" w:cs="Arial"/>
          <w:sz w:val="22"/>
          <w:szCs w:val="22"/>
        </w:rPr>
        <w:t xml:space="preserve">between </w:t>
      </w:r>
      <w:r w:rsidR="00E024A8">
        <w:rPr>
          <w:rFonts w:ascii="Arial" w:hAnsi="Arial" w:cs="Arial"/>
          <w:sz w:val="22"/>
          <w:szCs w:val="22"/>
        </w:rPr>
        <w:t xml:space="preserve">biological, psychological, and social influence. </w:t>
      </w:r>
      <w:r w:rsidR="00647097">
        <w:rPr>
          <w:rFonts w:ascii="Arial" w:hAnsi="Arial" w:cs="Arial"/>
          <w:sz w:val="22"/>
          <w:szCs w:val="22"/>
        </w:rPr>
        <w:t xml:space="preserve">In contrast to reductionist </w:t>
      </w:r>
      <w:r w:rsidR="009C227C" w:rsidRPr="009C227C">
        <w:rPr>
          <w:rFonts w:ascii="Arial" w:hAnsi="Arial" w:cs="Arial"/>
          <w:sz w:val="22"/>
          <w:szCs w:val="22"/>
        </w:rPr>
        <w:t>frameworks, it does not privilege one level of explanation</w:t>
      </w:r>
      <w:r w:rsidR="00647097">
        <w:rPr>
          <w:rFonts w:ascii="Arial" w:hAnsi="Arial" w:cs="Arial"/>
          <w:sz w:val="22"/>
          <w:szCs w:val="22"/>
        </w:rPr>
        <w:t xml:space="preserve"> over another</w:t>
      </w:r>
      <w:r w:rsidR="009C227C" w:rsidRPr="009C227C">
        <w:rPr>
          <w:rFonts w:ascii="Arial" w:hAnsi="Arial" w:cs="Arial"/>
          <w:sz w:val="22"/>
          <w:szCs w:val="22"/>
        </w:rPr>
        <w:t xml:space="preserve">; </w:t>
      </w:r>
      <w:r w:rsidR="00647097">
        <w:rPr>
          <w:rFonts w:ascii="Arial" w:hAnsi="Arial" w:cs="Arial"/>
          <w:sz w:val="22"/>
          <w:szCs w:val="22"/>
        </w:rPr>
        <w:t>Instead</w:t>
      </w:r>
      <w:r w:rsidR="00A93BA4">
        <w:rPr>
          <w:rFonts w:ascii="Arial" w:hAnsi="Arial" w:cs="Arial"/>
          <w:sz w:val="22"/>
          <w:szCs w:val="22"/>
        </w:rPr>
        <w:t>, it conceptualises health outcomes as emergent properties of interacting</w:t>
      </w:r>
      <w:r w:rsidR="002E455D">
        <w:rPr>
          <w:rFonts w:ascii="Arial" w:hAnsi="Arial" w:cs="Arial"/>
          <w:sz w:val="22"/>
          <w:szCs w:val="22"/>
        </w:rPr>
        <w:t xml:space="preserve"> systems across multiple level </w:t>
      </w:r>
      <w:r w:rsidR="00521621" w:rsidRPr="00A33FAC">
        <w:rPr>
          <w:rFonts w:ascii="Arial" w:hAnsi="Arial" w:cs="Arial"/>
          <w:sz w:val="22"/>
          <w:szCs w:val="22"/>
        </w:rPr>
        <w:t>(Engel, 1977; Bolton, 2022</w:t>
      </w:r>
      <w:r w:rsidR="003D400F" w:rsidRPr="00A33FAC">
        <w:rPr>
          <w:rFonts w:ascii="Arial" w:hAnsi="Arial" w:cs="Arial"/>
          <w:sz w:val="22"/>
          <w:szCs w:val="22"/>
        </w:rPr>
        <w:t>;</w:t>
      </w:r>
      <w:r w:rsidR="007820AD" w:rsidRPr="00A33FAC">
        <w:rPr>
          <w:rFonts w:ascii="Arial" w:hAnsi="Arial" w:cs="Arial"/>
          <w:sz w:val="22"/>
          <w:szCs w:val="22"/>
        </w:rPr>
        <w:t xml:space="preserve"> Partelow, 2023).</w:t>
      </w:r>
    </w:p>
    <w:p w14:paraId="5CBCF80C" w14:textId="36BFD764" w:rsidR="00CB4C29" w:rsidRPr="00CB4C29" w:rsidRDefault="00CB4C29" w:rsidP="00CB4C29">
      <w:pPr>
        <w:spacing w:line="360" w:lineRule="auto"/>
        <w:rPr>
          <w:rFonts w:ascii="Arial" w:hAnsi="Arial" w:cs="Arial"/>
          <w:sz w:val="22"/>
          <w:szCs w:val="22"/>
        </w:rPr>
      </w:pPr>
      <w:r w:rsidRPr="00CB4C29">
        <w:rPr>
          <w:rFonts w:ascii="Arial" w:hAnsi="Arial" w:cs="Arial"/>
          <w:sz w:val="22"/>
          <w:szCs w:val="22"/>
        </w:rPr>
        <w:t xml:space="preserve">Complementing this, </w:t>
      </w:r>
      <w:r w:rsidRPr="00CB4C29">
        <w:rPr>
          <w:rFonts w:ascii="Arial" w:hAnsi="Arial" w:cs="Arial"/>
          <w:b/>
          <w:bCs/>
          <w:sz w:val="22"/>
          <w:szCs w:val="22"/>
        </w:rPr>
        <w:t>Status Syndrome Theory</w:t>
      </w:r>
      <w:r w:rsidR="000968CD">
        <w:rPr>
          <w:rFonts w:ascii="Arial" w:hAnsi="Arial" w:cs="Arial"/>
          <w:sz w:val="22"/>
          <w:szCs w:val="22"/>
        </w:rPr>
        <w:t xml:space="preserve"> </w:t>
      </w:r>
      <w:r w:rsidRPr="00CB4C29">
        <w:rPr>
          <w:rFonts w:ascii="Arial" w:hAnsi="Arial" w:cs="Arial"/>
          <w:sz w:val="22"/>
          <w:szCs w:val="22"/>
        </w:rPr>
        <w:t xml:space="preserve">Ma et al., </w:t>
      </w:r>
      <w:r w:rsidR="000968CD">
        <w:rPr>
          <w:rFonts w:ascii="Arial" w:hAnsi="Arial" w:cs="Arial"/>
          <w:sz w:val="22"/>
          <w:szCs w:val="22"/>
        </w:rPr>
        <w:t>(</w:t>
      </w:r>
      <w:r w:rsidRPr="00CB4C29">
        <w:rPr>
          <w:rFonts w:ascii="Arial" w:hAnsi="Arial" w:cs="Arial"/>
          <w:sz w:val="22"/>
          <w:szCs w:val="22"/>
        </w:rPr>
        <w:t>2023) foregrounds socioeconomic hierarchy and perceived control as central determinants of health</w:t>
      </w:r>
      <w:r w:rsidR="00930AF8">
        <w:rPr>
          <w:rFonts w:ascii="Arial" w:hAnsi="Arial" w:cs="Arial"/>
          <w:sz w:val="22"/>
          <w:szCs w:val="22"/>
        </w:rPr>
        <w:t xml:space="preserve"> outcomes</w:t>
      </w:r>
      <w:r w:rsidRPr="00CB4C29">
        <w:rPr>
          <w:rFonts w:ascii="Arial" w:hAnsi="Arial" w:cs="Arial"/>
          <w:sz w:val="22"/>
          <w:szCs w:val="22"/>
        </w:rPr>
        <w:t xml:space="preserve">. It </w:t>
      </w:r>
      <w:r w:rsidR="00930AF8">
        <w:rPr>
          <w:rFonts w:ascii="Arial" w:hAnsi="Arial" w:cs="Arial"/>
          <w:sz w:val="22"/>
          <w:szCs w:val="22"/>
        </w:rPr>
        <w:t>posit</w:t>
      </w:r>
      <w:r w:rsidR="00900B9B">
        <w:rPr>
          <w:rFonts w:ascii="Arial" w:hAnsi="Arial" w:cs="Arial"/>
          <w:sz w:val="22"/>
          <w:szCs w:val="22"/>
        </w:rPr>
        <w:t xml:space="preserve">s </w:t>
      </w:r>
      <w:r w:rsidRPr="00CB4C29">
        <w:rPr>
          <w:rFonts w:ascii="Arial" w:hAnsi="Arial" w:cs="Arial"/>
          <w:sz w:val="22"/>
          <w:szCs w:val="22"/>
        </w:rPr>
        <w:t xml:space="preserve">that chronic </w:t>
      </w:r>
      <w:r w:rsidR="00900B9B">
        <w:rPr>
          <w:rFonts w:ascii="Arial" w:hAnsi="Arial" w:cs="Arial"/>
          <w:sz w:val="22"/>
          <w:szCs w:val="22"/>
        </w:rPr>
        <w:t xml:space="preserve">psychosocial </w:t>
      </w:r>
      <w:r w:rsidRPr="00CB4C29">
        <w:rPr>
          <w:rFonts w:ascii="Arial" w:hAnsi="Arial" w:cs="Arial"/>
          <w:sz w:val="22"/>
          <w:szCs w:val="22"/>
        </w:rPr>
        <w:t>stress</w:t>
      </w:r>
      <w:r w:rsidR="00264029">
        <w:rPr>
          <w:rFonts w:ascii="Arial" w:hAnsi="Arial" w:cs="Arial"/>
          <w:sz w:val="22"/>
          <w:szCs w:val="22"/>
        </w:rPr>
        <w:t>ors</w:t>
      </w:r>
      <w:r w:rsidRPr="00CB4C29">
        <w:rPr>
          <w:rFonts w:ascii="Arial" w:hAnsi="Arial" w:cs="Arial"/>
          <w:sz w:val="22"/>
          <w:szCs w:val="22"/>
        </w:rPr>
        <w:t xml:space="preserve"> associated with low social status </w:t>
      </w:r>
      <w:r w:rsidR="00264029">
        <w:rPr>
          <w:rFonts w:ascii="Arial" w:hAnsi="Arial" w:cs="Arial"/>
          <w:sz w:val="22"/>
          <w:szCs w:val="22"/>
        </w:rPr>
        <w:t>can precipitate</w:t>
      </w:r>
      <w:r w:rsidR="00D15990">
        <w:rPr>
          <w:rFonts w:ascii="Arial" w:hAnsi="Arial" w:cs="Arial"/>
          <w:sz w:val="22"/>
          <w:szCs w:val="22"/>
        </w:rPr>
        <w:t xml:space="preserve"> </w:t>
      </w:r>
      <w:r w:rsidRPr="00CB4C29">
        <w:rPr>
          <w:rFonts w:ascii="Arial" w:hAnsi="Arial" w:cs="Arial"/>
          <w:sz w:val="22"/>
          <w:szCs w:val="22"/>
        </w:rPr>
        <w:t xml:space="preserve">maladaptive coping </w:t>
      </w:r>
      <w:r w:rsidR="00D15990">
        <w:rPr>
          <w:rFonts w:ascii="Arial" w:hAnsi="Arial" w:cs="Arial"/>
          <w:sz w:val="22"/>
          <w:szCs w:val="22"/>
        </w:rPr>
        <w:t>strategies</w:t>
      </w:r>
      <w:r w:rsidRPr="00CB4C29">
        <w:rPr>
          <w:rFonts w:ascii="Arial" w:hAnsi="Arial" w:cs="Arial"/>
          <w:sz w:val="22"/>
          <w:szCs w:val="22"/>
        </w:rPr>
        <w:t xml:space="preserve">, including harmful </w:t>
      </w:r>
      <w:r w:rsidR="00D15990">
        <w:rPr>
          <w:rFonts w:ascii="Arial" w:hAnsi="Arial" w:cs="Arial"/>
          <w:sz w:val="22"/>
          <w:szCs w:val="22"/>
        </w:rPr>
        <w:t xml:space="preserve">patterns of </w:t>
      </w:r>
      <w:r w:rsidRPr="00CB4C29">
        <w:rPr>
          <w:rFonts w:ascii="Arial" w:hAnsi="Arial" w:cs="Arial"/>
          <w:sz w:val="22"/>
          <w:szCs w:val="22"/>
        </w:rPr>
        <w:t>alcohol consumption.</w:t>
      </w:r>
    </w:p>
    <w:p w14:paraId="45B2B53D" w14:textId="0A4370D8" w:rsidR="0002088B" w:rsidRDefault="007B6DAA" w:rsidP="00CB4C29">
      <w:pPr>
        <w:spacing w:line="360" w:lineRule="auto"/>
        <w:rPr>
          <w:rFonts w:ascii="Arial" w:hAnsi="Arial" w:cs="Arial"/>
          <w:sz w:val="22"/>
          <w:szCs w:val="22"/>
        </w:rPr>
      </w:pPr>
      <w:r w:rsidRPr="007B6DAA">
        <w:rPr>
          <w:rFonts w:ascii="Arial" w:hAnsi="Arial" w:cs="Arial"/>
          <w:sz w:val="22"/>
          <w:szCs w:val="22"/>
        </w:rPr>
        <w:t xml:space="preserve">By emphasizing how education, vocational complexity, and cognitive engagement </w:t>
      </w:r>
      <w:r w:rsidR="00982310">
        <w:rPr>
          <w:rFonts w:ascii="Arial" w:hAnsi="Arial" w:cs="Arial"/>
          <w:sz w:val="22"/>
          <w:szCs w:val="22"/>
        </w:rPr>
        <w:t xml:space="preserve">enhances </w:t>
      </w:r>
      <w:r w:rsidRPr="007B6DAA">
        <w:rPr>
          <w:rFonts w:ascii="Arial" w:hAnsi="Arial" w:cs="Arial"/>
          <w:sz w:val="22"/>
          <w:szCs w:val="22"/>
        </w:rPr>
        <w:t xml:space="preserve"> resilience </w:t>
      </w:r>
      <w:r w:rsidR="00982310">
        <w:rPr>
          <w:rFonts w:ascii="Arial" w:hAnsi="Arial" w:cs="Arial"/>
          <w:sz w:val="22"/>
          <w:szCs w:val="22"/>
        </w:rPr>
        <w:t xml:space="preserve">to </w:t>
      </w:r>
      <w:r w:rsidR="00660018">
        <w:rPr>
          <w:rFonts w:ascii="Arial" w:hAnsi="Arial" w:cs="Arial"/>
          <w:sz w:val="22"/>
          <w:szCs w:val="22"/>
        </w:rPr>
        <w:t>neuropathological</w:t>
      </w:r>
      <w:r w:rsidRPr="007B6DAA">
        <w:rPr>
          <w:rFonts w:ascii="Arial" w:hAnsi="Arial" w:cs="Arial"/>
          <w:sz w:val="22"/>
          <w:szCs w:val="22"/>
        </w:rPr>
        <w:t xml:space="preserve"> damage, Cognitive Reserve Theory </w:t>
      </w:r>
      <w:r w:rsidR="00660018">
        <w:rPr>
          <w:rFonts w:ascii="Arial" w:hAnsi="Arial" w:cs="Arial"/>
          <w:sz w:val="22"/>
          <w:szCs w:val="22"/>
        </w:rPr>
        <w:t>accounts</w:t>
      </w:r>
      <w:r w:rsidR="00BB4438">
        <w:rPr>
          <w:rFonts w:ascii="Arial" w:hAnsi="Arial" w:cs="Arial"/>
          <w:sz w:val="22"/>
          <w:szCs w:val="22"/>
        </w:rPr>
        <w:t xml:space="preserve"> for inter-individuals variability in neurological </w:t>
      </w:r>
      <w:r w:rsidRPr="007B6DAA">
        <w:rPr>
          <w:rFonts w:ascii="Arial" w:hAnsi="Arial" w:cs="Arial"/>
          <w:sz w:val="22"/>
          <w:szCs w:val="22"/>
        </w:rPr>
        <w:t xml:space="preserve">outcomes. </w:t>
      </w:r>
      <w:r w:rsidR="001F42BB">
        <w:rPr>
          <w:rFonts w:ascii="Arial" w:hAnsi="Arial" w:cs="Arial"/>
          <w:sz w:val="22"/>
          <w:szCs w:val="22"/>
        </w:rPr>
        <w:t>Finally,</w:t>
      </w:r>
      <w:r w:rsidRPr="007B6DAA">
        <w:rPr>
          <w:rFonts w:ascii="Arial" w:hAnsi="Arial" w:cs="Arial"/>
          <w:sz w:val="22"/>
          <w:szCs w:val="22"/>
        </w:rPr>
        <w:t xml:space="preserve"> the Life-Course Theory </w:t>
      </w:r>
      <w:r w:rsidR="001F42BB">
        <w:rPr>
          <w:rFonts w:ascii="Arial" w:hAnsi="Arial" w:cs="Arial"/>
          <w:sz w:val="22"/>
          <w:szCs w:val="22"/>
        </w:rPr>
        <w:t xml:space="preserve">conceptualises </w:t>
      </w:r>
      <w:r w:rsidRPr="007B6DAA">
        <w:rPr>
          <w:rFonts w:ascii="Arial" w:hAnsi="Arial" w:cs="Arial"/>
          <w:sz w:val="22"/>
          <w:szCs w:val="22"/>
        </w:rPr>
        <w:t xml:space="preserve">alcohol-related </w:t>
      </w:r>
      <w:r w:rsidR="00B275FA">
        <w:rPr>
          <w:rFonts w:ascii="Arial" w:hAnsi="Arial" w:cs="Arial"/>
          <w:sz w:val="22"/>
          <w:szCs w:val="22"/>
        </w:rPr>
        <w:t>neurodegeneration</w:t>
      </w:r>
      <w:r w:rsidR="00B93301">
        <w:rPr>
          <w:rFonts w:ascii="Arial" w:hAnsi="Arial" w:cs="Arial"/>
          <w:sz w:val="22"/>
          <w:szCs w:val="22"/>
        </w:rPr>
        <w:t xml:space="preserve"> as a </w:t>
      </w:r>
      <w:r w:rsidRPr="007B6DAA">
        <w:rPr>
          <w:rFonts w:ascii="Arial" w:hAnsi="Arial" w:cs="Arial"/>
          <w:sz w:val="22"/>
          <w:szCs w:val="22"/>
        </w:rPr>
        <w:t xml:space="preserve">cumulative </w:t>
      </w:r>
      <w:r w:rsidR="00B93301">
        <w:rPr>
          <w:rFonts w:ascii="Arial" w:hAnsi="Arial" w:cs="Arial"/>
          <w:sz w:val="22"/>
          <w:szCs w:val="22"/>
        </w:rPr>
        <w:t xml:space="preserve">and temporally </w:t>
      </w:r>
      <w:r w:rsidR="00DB0FCF">
        <w:rPr>
          <w:rFonts w:ascii="Arial" w:hAnsi="Arial" w:cs="Arial"/>
          <w:sz w:val="22"/>
          <w:szCs w:val="22"/>
        </w:rPr>
        <w:t>embedded process,</w:t>
      </w:r>
      <w:r w:rsidRPr="007B6DAA">
        <w:rPr>
          <w:rFonts w:ascii="Arial" w:hAnsi="Arial" w:cs="Arial"/>
          <w:sz w:val="22"/>
          <w:szCs w:val="22"/>
        </w:rPr>
        <w:t xml:space="preserve"> </w:t>
      </w:r>
      <w:r w:rsidR="00DB0FCF">
        <w:rPr>
          <w:rFonts w:ascii="Arial" w:hAnsi="Arial" w:cs="Arial"/>
          <w:sz w:val="22"/>
          <w:szCs w:val="22"/>
        </w:rPr>
        <w:t>shaped</w:t>
      </w:r>
      <w:r w:rsidRPr="007B6DAA">
        <w:rPr>
          <w:rFonts w:ascii="Arial" w:hAnsi="Arial" w:cs="Arial"/>
          <w:sz w:val="22"/>
          <w:szCs w:val="22"/>
        </w:rPr>
        <w:t xml:space="preserve"> by </w:t>
      </w:r>
      <w:r w:rsidR="00DB0FCF">
        <w:rPr>
          <w:rFonts w:ascii="Arial" w:hAnsi="Arial" w:cs="Arial"/>
          <w:sz w:val="22"/>
          <w:szCs w:val="22"/>
        </w:rPr>
        <w:t xml:space="preserve">critical </w:t>
      </w:r>
      <w:r w:rsidRPr="007B6DAA">
        <w:rPr>
          <w:rFonts w:ascii="Arial" w:hAnsi="Arial" w:cs="Arial"/>
          <w:sz w:val="22"/>
          <w:szCs w:val="22"/>
        </w:rPr>
        <w:t xml:space="preserve">developmental </w:t>
      </w:r>
      <w:r w:rsidR="00DB0FCF">
        <w:rPr>
          <w:rFonts w:ascii="Arial" w:hAnsi="Arial" w:cs="Arial"/>
          <w:sz w:val="22"/>
          <w:szCs w:val="22"/>
        </w:rPr>
        <w:t>periods</w:t>
      </w:r>
      <w:r w:rsidRPr="007B6DAA">
        <w:rPr>
          <w:rFonts w:ascii="Arial" w:hAnsi="Arial" w:cs="Arial"/>
          <w:sz w:val="22"/>
          <w:szCs w:val="22"/>
        </w:rPr>
        <w:t xml:space="preserve">, prolonged exposure, and early-life </w:t>
      </w:r>
      <w:r w:rsidR="008955F6">
        <w:rPr>
          <w:rFonts w:ascii="Arial" w:hAnsi="Arial" w:cs="Arial"/>
          <w:sz w:val="22"/>
          <w:szCs w:val="22"/>
        </w:rPr>
        <w:t>adversity</w:t>
      </w:r>
      <w:r w:rsidR="00951166">
        <w:rPr>
          <w:rFonts w:ascii="Arial" w:hAnsi="Arial" w:cs="Arial"/>
          <w:sz w:val="22"/>
          <w:szCs w:val="22"/>
        </w:rPr>
        <w:t xml:space="preserve">. Taken together, these models </w:t>
      </w:r>
      <w:r w:rsidR="001F4A32">
        <w:rPr>
          <w:rFonts w:ascii="Arial" w:hAnsi="Arial" w:cs="Arial"/>
          <w:sz w:val="22"/>
          <w:szCs w:val="22"/>
        </w:rPr>
        <w:t>provide a multidimensional framework</w:t>
      </w:r>
      <w:r w:rsidR="00964614">
        <w:rPr>
          <w:rFonts w:ascii="Arial" w:hAnsi="Arial" w:cs="Arial"/>
          <w:sz w:val="22"/>
          <w:szCs w:val="22"/>
        </w:rPr>
        <w:t xml:space="preserve"> that integrates temporality, risk accumulation, and resilience, offering a more </w:t>
      </w:r>
      <w:r w:rsidR="009F02E5">
        <w:rPr>
          <w:rFonts w:ascii="Arial" w:hAnsi="Arial" w:cs="Arial"/>
          <w:sz w:val="22"/>
          <w:szCs w:val="22"/>
        </w:rPr>
        <w:t xml:space="preserve">comprehensive understanding of young-onset </w:t>
      </w:r>
      <w:r w:rsidR="004D4999">
        <w:rPr>
          <w:rFonts w:ascii="Arial" w:hAnsi="Arial" w:cs="Arial"/>
          <w:sz w:val="22"/>
          <w:szCs w:val="22"/>
        </w:rPr>
        <w:t>Dementia</w:t>
      </w:r>
      <w:r w:rsidR="008955F6">
        <w:rPr>
          <w:rFonts w:ascii="Arial" w:hAnsi="Arial" w:cs="Arial"/>
          <w:sz w:val="22"/>
          <w:szCs w:val="22"/>
        </w:rPr>
        <w:t xml:space="preserve"> </w:t>
      </w:r>
      <w:r w:rsidRPr="007B6DAA">
        <w:rPr>
          <w:rFonts w:ascii="Arial" w:hAnsi="Arial" w:cs="Arial"/>
          <w:sz w:val="22"/>
          <w:szCs w:val="22"/>
        </w:rPr>
        <w:t>(Schwartz and Glymour, 2023).</w:t>
      </w:r>
      <w:r w:rsidR="0002088B">
        <w:rPr>
          <w:rFonts w:ascii="Arial" w:hAnsi="Arial" w:cs="Arial"/>
          <w:sz w:val="22"/>
          <w:szCs w:val="22"/>
        </w:rPr>
        <w:t xml:space="preserve"> </w:t>
      </w:r>
    </w:p>
    <w:p w14:paraId="4F01E5D0" w14:textId="34AE4C97" w:rsidR="00CB4C29" w:rsidRPr="00CB4C29" w:rsidRDefault="00CB4C29" w:rsidP="00CB4C29">
      <w:pPr>
        <w:spacing w:line="360" w:lineRule="auto"/>
        <w:rPr>
          <w:rFonts w:ascii="Arial" w:hAnsi="Arial" w:cs="Arial"/>
          <w:b/>
          <w:bCs/>
          <w:sz w:val="28"/>
          <w:szCs w:val="28"/>
          <w:u w:val="single"/>
        </w:rPr>
      </w:pPr>
      <w:r w:rsidRPr="00CB4C29">
        <w:rPr>
          <w:rFonts w:ascii="Arial" w:hAnsi="Arial" w:cs="Arial"/>
          <w:b/>
          <w:bCs/>
          <w:sz w:val="28"/>
          <w:szCs w:val="28"/>
          <w:u w:val="single"/>
        </w:rPr>
        <w:t>Application of Theories</w:t>
      </w:r>
    </w:p>
    <w:p w14:paraId="236D6DFC" w14:textId="7C975A4E" w:rsidR="0094689E" w:rsidRDefault="0094689E" w:rsidP="00CB4C29">
      <w:pPr>
        <w:spacing w:line="360" w:lineRule="auto"/>
        <w:rPr>
          <w:rFonts w:ascii="Arial" w:hAnsi="Arial" w:cs="Arial"/>
          <w:sz w:val="22"/>
          <w:szCs w:val="22"/>
        </w:rPr>
      </w:pPr>
      <w:r w:rsidRPr="0094689E">
        <w:rPr>
          <w:rFonts w:ascii="Arial" w:hAnsi="Arial" w:cs="Arial"/>
          <w:sz w:val="22"/>
          <w:szCs w:val="22"/>
        </w:rPr>
        <w:t xml:space="preserve">Empirical </w:t>
      </w:r>
      <w:r w:rsidR="008D4560">
        <w:rPr>
          <w:rFonts w:ascii="Arial" w:hAnsi="Arial" w:cs="Arial"/>
          <w:sz w:val="22"/>
          <w:szCs w:val="22"/>
        </w:rPr>
        <w:t xml:space="preserve">research </w:t>
      </w:r>
      <w:r w:rsidRPr="0094689E">
        <w:rPr>
          <w:rFonts w:ascii="Arial" w:hAnsi="Arial" w:cs="Arial"/>
          <w:sz w:val="22"/>
          <w:szCs w:val="22"/>
        </w:rPr>
        <w:t xml:space="preserve">on alcohol-related cognitive decline have </w:t>
      </w:r>
      <w:r w:rsidR="008D4560">
        <w:rPr>
          <w:rFonts w:ascii="Arial" w:hAnsi="Arial" w:cs="Arial"/>
          <w:sz w:val="22"/>
          <w:szCs w:val="22"/>
        </w:rPr>
        <w:t>drawn</w:t>
      </w:r>
      <w:r w:rsidRPr="0094689E">
        <w:rPr>
          <w:rFonts w:ascii="Arial" w:hAnsi="Arial" w:cs="Arial"/>
          <w:sz w:val="22"/>
          <w:szCs w:val="22"/>
        </w:rPr>
        <w:t xml:space="preserve"> extensive</w:t>
      </w:r>
      <w:r w:rsidR="008F3587">
        <w:rPr>
          <w:rFonts w:ascii="Arial" w:hAnsi="Arial" w:cs="Arial"/>
          <w:sz w:val="22"/>
          <w:szCs w:val="22"/>
        </w:rPr>
        <w:t>ly on</w:t>
      </w:r>
      <w:r w:rsidRPr="0094689E">
        <w:rPr>
          <w:rFonts w:ascii="Arial" w:hAnsi="Arial" w:cs="Arial"/>
          <w:sz w:val="22"/>
          <w:szCs w:val="22"/>
        </w:rPr>
        <w:t xml:space="preserve"> these theoretical frameworks</w:t>
      </w:r>
      <w:r w:rsidR="008F3587">
        <w:rPr>
          <w:rFonts w:ascii="Arial" w:hAnsi="Arial" w:cs="Arial"/>
          <w:sz w:val="22"/>
          <w:szCs w:val="22"/>
        </w:rPr>
        <w:t xml:space="preserve"> to inform both </w:t>
      </w:r>
      <w:r w:rsidR="002D18A2">
        <w:rPr>
          <w:rFonts w:ascii="Arial" w:hAnsi="Arial" w:cs="Arial"/>
          <w:sz w:val="22"/>
          <w:szCs w:val="22"/>
        </w:rPr>
        <w:t>analysis and intervention</w:t>
      </w:r>
      <w:r w:rsidRPr="0094689E">
        <w:rPr>
          <w:rFonts w:ascii="Arial" w:hAnsi="Arial" w:cs="Arial"/>
          <w:sz w:val="22"/>
          <w:szCs w:val="22"/>
        </w:rPr>
        <w:t>. The biopsychosocial model</w:t>
      </w:r>
      <w:r w:rsidR="009B3BA1" w:rsidRPr="0094689E">
        <w:rPr>
          <w:rFonts w:ascii="Arial" w:hAnsi="Arial" w:cs="Arial"/>
          <w:sz w:val="22"/>
          <w:szCs w:val="22"/>
        </w:rPr>
        <w:t xml:space="preserve"> has</w:t>
      </w:r>
      <w:r w:rsidR="00AA0DED">
        <w:rPr>
          <w:rFonts w:ascii="Arial" w:hAnsi="Arial" w:cs="Arial"/>
          <w:sz w:val="22"/>
          <w:szCs w:val="22"/>
        </w:rPr>
        <w:t xml:space="preserve"> underpinned integrative public health approaches by </w:t>
      </w:r>
      <w:r w:rsidR="00E71160">
        <w:rPr>
          <w:rFonts w:ascii="Arial" w:hAnsi="Arial" w:cs="Arial"/>
          <w:sz w:val="22"/>
          <w:szCs w:val="22"/>
        </w:rPr>
        <w:t xml:space="preserve">demonstrating how alcohol-related biological </w:t>
      </w:r>
      <w:r w:rsidR="007E5C7B">
        <w:rPr>
          <w:rFonts w:ascii="Arial" w:hAnsi="Arial" w:cs="Arial"/>
          <w:sz w:val="22"/>
          <w:szCs w:val="22"/>
        </w:rPr>
        <w:t xml:space="preserve">damage interacts with psychological stressors </w:t>
      </w:r>
      <w:r w:rsidRPr="0094689E">
        <w:rPr>
          <w:rFonts w:ascii="Arial" w:hAnsi="Arial" w:cs="Arial"/>
          <w:sz w:val="22"/>
          <w:szCs w:val="22"/>
        </w:rPr>
        <w:t xml:space="preserve">and social deprivation to </w:t>
      </w:r>
      <w:r w:rsidR="0040744B">
        <w:rPr>
          <w:rFonts w:ascii="Arial" w:hAnsi="Arial" w:cs="Arial"/>
          <w:sz w:val="22"/>
          <w:szCs w:val="22"/>
        </w:rPr>
        <w:t xml:space="preserve">accelerate </w:t>
      </w:r>
      <w:r w:rsidR="00E51EB2">
        <w:rPr>
          <w:rFonts w:ascii="Arial" w:hAnsi="Arial" w:cs="Arial"/>
          <w:sz w:val="22"/>
          <w:szCs w:val="22"/>
        </w:rPr>
        <w:t xml:space="preserve">neurological deterioration. </w:t>
      </w:r>
    </w:p>
    <w:p w14:paraId="7D4965FF" w14:textId="194B1430" w:rsidR="00BF356C" w:rsidRDefault="00CB4C29" w:rsidP="00CB4C29">
      <w:pPr>
        <w:spacing w:line="360" w:lineRule="auto"/>
        <w:rPr>
          <w:rFonts w:ascii="Arial" w:hAnsi="Arial" w:cs="Arial"/>
          <w:sz w:val="22"/>
          <w:szCs w:val="22"/>
        </w:rPr>
      </w:pPr>
      <w:r w:rsidRPr="00CB4C29">
        <w:rPr>
          <w:rFonts w:ascii="Arial" w:hAnsi="Arial" w:cs="Arial"/>
          <w:sz w:val="22"/>
          <w:szCs w:val="22"/>
        </w:rPr>
        <w:t xml:space="preserve">Status syndrome theory has been applied to </w:t>
      </w:r>
      <w:r w:rsidR="00C61AFC">
        <w:rPr>
          <w:rFonts w:ascii="Arial" w:hAnsi="Arial" w:cs="Arial"/>
          <w:sz w:val="22"/>
          <w:szCs w:val="22"/>
        </w:rPr>
        <w:t>account for the social</w:t>
      </w:r>
      <w:r w:rsidR="002755FA">
        <w:rPr>
          <w:rFonts w:ascii="Arial" w:hAnsi="Arial" w:cs="Arial"/>
          <w:sz w:val="22"/>
          <w:szCs w:val="22"/>
        </w:rPr>
        <w:t xml:space="preserve"> </w:t>
      </w:r>
      <w:r w:rsidRPr="00CB4C29">
        <w:rPr>
          <w:rFonts w:ascii="Arial" w:hAnsi="Arial" w:cs="Arial"/>
          <w:sz w:val="22"/>
          <w:szCs w:val="22"/>
        </w:rPr>
        <w:t xml:space="preserve">gradient in alcohol-related harm, with </w:t>
      </w:r>
      <w:r w:rsidR="002755FA">
        <w:rPr>
          <w:rFonts w:ascii="Arial" w:hAnsi="Arial" w:cs="Arial"/>
          <w:sz w:val="22"/>
          <w:szCs w:val="22"/>
        </w:rPr>
        <w:t xml:space="preserve">empirical </w:t>
      </w:r>
      <w:r w:rsidRPr="00CB4C29">
        <w:rPr>
          <w:rFonts w:ascii="Arial" w:hAnsi="Arial" w:cs="Arial"/>
          <w:sz w:val="22"/>
          <w:szCs w:val="22"/>
        </w:rPr>
        <w:t xml:space="preserve">studies </w:t>
      </w:r>
      <w:r w:rsidR="002755FA">
        <w:rPr>
          <w:rFonts w:ascii="Arial" w:hAnsi="Arial" w:cs="Arial"/>
          <w:sz w:val="22"/>
          <w:szCs w:val="22"/>
        </w:rPr>
        <w:t>indicating</w:t>
      </w:r>
      <w:r w:rsidRPr="00CB4C29">
        <w:rPr>
          <w:rFonts w:ascii="Arial" w:hAnsi="Arial" w:cs="Arial"/>
          <w:sz w:val="22"/>
          <w:szCs w:val="22"/>
        </w:rPr>
        <w:t xml:space="preserve"> that individuals in lower socioeconomic positions are </w:t>
      </w:r>
      <w:r w:rsidR="002755FA">
        <w:rPr>
          <w:rFonts w:ascii="Arial" w:hAnsi="Arial" w:cs="Arial"/>
          <w:sz w:val="22"/>
          <w:szCs w:val="22"/>
        </w:rPr>
        <w:t>dis</w:t>
      </w:r>
      <w:r w:rsidR="00502FC6">
        <w:rPr>
          <w:rFonts w:ascii="Arial" w:hAnsi="Arial" w:cs="Arial"/>
          <w:sz w:val="22"/>
          <w:szCs w:val="22"/>
        </w:rPr>
        <w:t xml:space="preserve">proportionately more </w:t>
      </w:r>
      <w:r w:rsidRPr="00CB4C29">
        <w:rPr>
          <w:rFonts w:ascii="Arial" w:hAnsi="Arial" w:cs="Arial"/>
          <w:sz w:val="22"/>
          <w:szCs w:val="22"/>
        </w:rPr>
        <w:t xml:space="preserve">likely to engage in harmful </w:t>
      </w:r>
      <w:r w:rsidR="00502FC6">
        <w:rPr>
          <w:rFonts w:ascii="Arial" w:hAnsi="Arial" w:cs="Arial"/>
          <w:sz w:val="22"/>
          <w:szCs w:val="22"/>
        </w:rPr>
        <w:t>alcohol</w:t>
      </w:r>
      <w:r w:rsidR="00835F67">
        <w:rPr>
          <w:rFonts w:ascii="Arial" w:hAnsi="Arial" w:cs="Arial"/>
          <w:sz w:val="22"/>
          <w:szCs w:val="22"/>
        </w:rPr>
        <w:t xml:space="preserve"> consumption as a response to </w:t>
      </w:r>
      <w:r w:rsidRPr="00CB4C29">
        <w:rPr>
          <w:rFonts w:ascii="Arial" w:hAnsi="Arial" w:cs="Arial"/>
          <w:sz w:val="22"/>
          <w:szCs w:val="22"/>
        </w:rPr>
        <w:t xml:space="preserve">chronic stress and </w:t>
      </w:r>
      <w:r w:rsidR="00835F67">
        <w:rPr>
          <w:rFonts w:ascii="Arial" w:hAnsi="Arial" w:cs="Arial"/>
          <w:sz w:val="22"/>
          <w:szCs w:val="22"/>
        </w:rPr>
        <w:t>dimin</w:t>
      </w:r>
      <w:r w:rsidR="001B3F03">
        <w:rPr>
          <w:rFonts w:ascii="Arial" w:hAnsi="Arial" w:cs="Arial"/>
          <w:sz w:val="22"/>
          <w:szCs w:val="22"/>
        </w:rPr>
        <w:t>ished</w:t>
      </w:r>
      <w:r w:rsidRPr="00CB4C29">
        <w:rPr>
          <w:rFonts w:ascii="Arial" w:hAnsi="Arial" w:cs="Arial"/>
          <w:sz w:val="22"/>
          <w:szCs w:val="22"/>
        </w:rPr>
        <w:t xml:space="preserve"> </w:t>
      </w:r>
      <w:r w:rsidRPr="003961FD">
        <w:rPr>
          <w:rFonts w:ascii="Arial" w:hAnsi="Arial" w:cs="Arial"/>
          <w:sz w:val="22"/>
          <w:szCs w:val="22"/>
        </w:rPr>
        <w:t xml:space="preserve">autonomy (Shuai et al., 2022). This </w:t>
      </w:r>
      <w:r w:rsidR="00EC0D97">
        <w:rPr>
          <w:rFonts w:ascii="Arial" w:hAnsi="Arial" w:cs="Arial"/>
          <w:sz w:val="22"/>
          <w:szCs w:val="22"/>
        </w:rPr>
        <w:t xml:space="preserve"> perspective illuminates the clustering and co-occu</w:t>
      </w:r>
      <w:r w:rsidR="008A29A2">
        <w:rPr>
          <w:rFonts w:ascii="Arial" w:hAnsi="Arial" w:cs="Arial"/>
          <w:sz w:val="22"/>
          <w:szCs w:val="22"/>
        </w:rPr>
        <w:t xml:space="preserve">rrence of socioeconomic deprivation, alcohol </w:t>
      </w:r>
      <w:r w:rsidR="00A20638">
        <w:rPr>
          <w:rFonts w:ascii="Arial" w:hAnsi="Arial" w:cs="Arial"/>
          <w:sz w:val="22"/>
          <w:szCs w:val="22"/>
        </w:rPr>
        <w:t xml:space="preserve">misuse, and the earlier onset of cognitive impairment, highlighting the structural </w:t>
      </w:r>
      <w:r w:rsidR="0072355C">
        <w:rPr>
          <w:rFonts w:ascii="Arial" w:hAnsi="Arial" w:cs="Arial"/>
          <w:sz w:val="22"/>
          <w:szCs w:val="22"/>
        </w:rPr>
        <w:t xml:space="preserve">patterning of risk across social hierarchies </w:t>
      </w:r>
      <w:r w:rsidR="00BF356C" w:rsidRPr="003961FD">
        <w:rPr>
          <w:rFonts w:ascii="Arial" w:hAnsi="Arial" w:cs="Arial"/>
          <w:sz w:val="22"/>
          <w:szCs w:val="22"/>
        </w:rPr>
        <w:t xml:space="preserve">(Oosterhuis et al., 2022). </w:t>
      </w:r>
    </w:p>
    <w:p w14:paraId="382D5669" w14:textId="24462E98" w:rsidR="00CB4C29" w:rsidRDefault="00CB4C29" w:rsidP="00CB4C29">
      <w:pPr>
        <w:spacing w:line="360" w:lineRule="auto"/>
        <w:rPr>
          <w:rFonts w:ascii="Arial" w:hAnsi="Arial" w:cs="Arial"/>
          <w:b/>
          <w:bCs/>
          <w:sz w:val="28"/>
          <w:szCs w:val="28"/>
          <w:u w:val="single"/>
        </w:rPr>
      </w:pPr>
      <w:r w:rsidRPr="00CB4C29">
        <w:rPr>
          <w:rFonts w:ascii="Arial" w:hAnsi="Arial" w:cs="Arial"/>
          <w:b/>
          <w:bCs/>
          <w:sz w:val="28"/>
          <w:szCs w:val="28"/>
          <w:u w:val="single"/>
        </w:rPr>
        <w:lastRenderedPageBreak/>
        <w:t>Critical Evaluation</w:t>
      </w:r>
      <w:r w:rsidR="00A37594">
        <w:rPr>
          <w:rFonts w:ascii="Arial" w:hAnsi="Arial" w:cs="Arial"/>
          <w:b/>
          <w:bCs/>
          <w:sz w:val="28"/>
          <w:szCs w:val="28"/>
          <w:u w:val="single"/>
        </w:rPr>
        <w:t xml:space="preserve"> for the Theories</w:t>
      </w:r>
    </w:p>
    <w:p w14:paraId="36449EF7" w14:textId="59F08A73" w:rsidR="000378CE" w:rsidRDefault="0080272A" w:rsidP="00CB4C29">
      <w:pPr>
        <w:spacing w:line="360" w:lineRule="auto"/>
        <w:rPr>
          <w:rFonts w:ascii="Arial" w:hAnsi="Arial" w:cs="Arial"/>
          <w:sz w:val="22"/>
          <w:szCs w:val="22"/>
        </w:rPr>
      </w:pPr>
      <w:r>
        <w:rPr>
          <w:rFonts w:ascii="Arial" w:hAnsi="Arial" w:cs="Arial"/>
          <w:sz w:val="22"/>
          <w:szCs w:val="22"/>
        </w:rPr>
        <w:t>Despite</w:t>
      </w:r>
      <w:r w:rsidR="00263504">
        <w:rPr>
          <w:rFonts w:ascii="Arial" w:hAnsi="Arial" w:cs="Arial"/>
          <w:sz w:val="22"/>
          <w:szCs w:val="22"/>
        </w:rPr>
        <w:t xml:space="preserve"> their strengths, these </w:t>
      </w:r>
      <w:r w:rsidR="00A04936">
        <w:rPr>
          <w:rFonts w:ascii="Arial" w:hAnsi="Arial" w:cs="Arial"/>
          <w:sz w:val="22"/>
          <w:szCs w:val="22"/>
        </w:rPr>
        <w:t>theoretical frameworks are not without limitations. The Biopsy</w:t>
      </w:r>
      <w:r w:rsidR="009F4A8C">
        <w:rPr>
          <w:rFonts w:ascii="Arial" w:hAnsi="Arial" w:cs="Arial"/>
          <w:sz w:val="22"/>
          <w:szCs w:val="22"/>
        </w:rPr>
        <w:t>chosocial Model, while comprehensive, is freq</w:t>
      </w:r>
      <w:r w:rsidR="00C22A26">
        <w:rPr>
          <w:rFonts w:ascii="Arial" w:hAnsi="Arial" w:cs="Arial"/>
          <w:sz w:val="22"/>
          <w:szCs w:val="22"/>
        </w:rPr>
        <w:t>uently critiqued for its conceptual expansiveness and limited ca</w:t>
      </w:r>
      <w:r w:rsidR="00281050">
        <w:rPr>
          <w:rFonts w:ascii="Arial" w:hAnsi="Arial" w:cs="Arial"/>
          <w:sz w:val="22"/>
          <w:szCs w:val="22"/>
        </w:rPr>
        <w:t>usal specificity, which can constrain its capacity to generate tes</w:t>
      </w:r>
      <w:r w:rsidR="00921AF4">
        <w:rPr>
          <w:rFonts w:ascii="Arial" w:hAnsi="Arial" w:cs="Arial"/>
          <w:sz w:val="22"/>
          <w:szCs w:val="22"/>
        </w:rPr>
        <w:t>table mechanistic predictions. Similar</w:t>
      </w:r>
      <w:r w:rsidR="00657E63">
        <w:rPr>
          <w:rFonts w:ascii="Arial" w:hAnsi="Arial" w:cs="Arial"/>
          <w:sz w:val="22"/>
          <w:szCs w:val="22"/>
        </w:rPr>
        <w:t>ly, although Status Syndrome The</w:t>
      </w:r>
      <w:r w:rsidR="002E1922">
        <w:rPr>
          <w:rFonts w:ascii="Arial" w:hAnsi="Arial" w:cs="Arial"/>
          <w:sz w:val="22"/>
          <w:szCs w:val="22"/>
        </w:rPr>
        <w:t xml:space="preserve">ory offers a robust structural account of health inequalities, </w:t>
      </w:r>
      <w:r w:rsidR="008C6AF7">
        <w:rPr>
          <w:rFonts w:ascii="Arial" w:hAnsi="Arial" w:cs="Arial"/>
          <w:sz w:val="22"/>
          <w:szCs w:val="22"/>
        </w:rPr>
        <w:t xml:space="preserve">it may underestimate individual-level heterogeneity and provides </w:t>
      </w:r>
      <w:r w:rsidR="00DC71F9">
        <w:rPr>
          <w:rFonts w:ascii="Arial" w:hAnsi="Arial" w:cs="Arial"/>
          <w:sz w:val="22"/>
          <w:szCs w:val="22"/>
        </w:rPr>
        <w:t>limited insight into the underlaying molecular and neur</w:t>
      </w:r>
      <w:r w:rsidR="00DD569F">
        <w:rPr>
          <w:rFonts w:ascii="Arial" w:hAnsi="Arial" w:cs="Arial"/>
          <w:sz w:val="22"/>
          <w:szCs w:val="22"/>
        </w:rPr>
        <w:t xml:space="preserve">obiological mechanisms of alcohol-related </w:t>
      </w:r>
      <w:r w:rsidR="006F0BA4">
        <w:rPr>
          <w:rFonts w:ascii="Arial" w:hAnsi="Arial" w:cs="Arial"/>
          <w:sz w:val="22"/>
          <w:szCs w:val="22"/>
        </w:rPr>
        <w:t>neurodegeneration</w:t>
      </w:r>
      <w:r w:rsidR="00732FF8">
        <w:rPr>
          <w:rFonts w:ascii="Arial" w:hAnsi="Arial" w:cs="Arial"/>
          <w:sz w:val="22"/>
          <w:szCs w:val="22"/>
        </w:rPr>
        <w:t xml:space="preserve"> </w:t>
      </w:r>
      <w:r w:rsidR="00732FF8">
        <w:t>(</w:t>
      </w:r>
      <w:r w:rsidR="00732FF8" w:rsidRPr="00732FF8">
        <w:rPr>
          <w:rFonts w:ascii="Arial" w:hAnsi="Arial" w:cs="Arial"/>
          <w:sz w:val="22"/>
          <w:szCs w:val="22"/>
        </w:rPr>
        <w:t>Roberts, 2023)</w:t>
      </w:r>
      <w:r w:rsidR="00732FF8">
        <w:rPr>
          <w:rFonts w:ascii="Arial" w:hAnsi="Arial" w:cs="Arial"/>
          <w:sz w:val="22"/>
          <w:szCs w:val="22"/>
        </w:rPr>
        <w:t>.</w:t>
      </w:r>
    </w:p>
    <w:p w14:paraId="410F7645" w14:textId="1F43BEBF" w:rsidR="00E23DC5" w:rsidRDefault="00E23DC5" w:rsidP="00CB4C29">
      <w:pPr>
        <w:spacing w:line="360" w:lineRule="auto"/>
        <w:rPr>
          <w:rFonts w:ascii="Arial" w:hAnsi="Arial" w:cs="Arial"/>
          <w:sz w:val="22"/>
          <w:szCs w:val="22"/>
        </w:rPr>
      </w:pPr>
      <w:r w:rsidRPr="00E23DC5">
        <w:rPr>
          <w:rFonts w:ascii="Arial" w:hAnsi="Arial" w:cs="Arial"/>
          <w:sz w:val="22"/>
          <w:szCs w:val="22"/>
        </w:rPr>
        <w:t xml:space="preserve">Although cognitive reserve theory is </w:t>
      </w:r>
      <w:r w:rsidR="00DF0131">
        <w:rPr>
          <w:rFonts w:ascii="Arial" w:hAnsi="Arial" w:cs="Arial"/>
          <w:sz w:val="22"/>
          <w:szCs w:val="22"/>
        </w:rPr>
        <w:t xml:space="preserve">valuable </w:t>
      </w:r>
      <w:r w:rsidRPr="00E23DC5">
        <w:rPr>
          <w:rFonts w:ascii="Arial" w:hAnsi="Arial" w:cs="Arial"/>
          <w:sz w:val="22"/>
          <w:szCs w:val="22"/>
        </w:rPr>
        <w:t xml:space="preserve"> in explaining </w:t>
      </w:r>
      <w:r w:rsidR="00DF0131">
        <w:rPr>
          <w:rFonts w:ascii="Arial" w:hAnsi="Arial" w:cs="Arial"/>
          <w:sz w:val="22"/>
          <w:szCs w:val="22"/>
        </w:rPr>
        <w:t xml:space="preserve">differential </w:t>
      </w:r>
      <w:r w:rsidRPr="00E23DC5">
        <w:rPr>
          <w:rFonts w:ascii="Arial" w:hAnsi="Arial" w:cs="Arial"/>
          <w:sz w:val="22"/>
          <w:szCs w:val="22"/>
        </w:rPr>
        <w:t>resilience</w:t>
      </w:r>
      <w:r w:rsidR="00B930A3">
        <w:rPr>
          <w:rFonts w:ascii="Arial" w:hAnsi="Arial" w:cs="Arial"/>
          <w:sz w:val="22"/>
          <w:szCs w:val="22"/>
        </w:rPr>
        <w:t xml:space="preserve"> to neuropathology, </w:t>
      </w:r>
      <w:r w:rsidRPr="00E23DC5">
        <w:rPr>
          <w:rFonts w:ascii="Arial" w:hAnsi="Arial" w:cs="Arial"/>
          <w:sz w:val="22"/>
          <w:szCs w:val="22"/>
        </w:rPr>
        <w:t xml:space="preserve">it </w:t>
      </w:r>
      <w:r w:rsidR="00B930A3">
        <w:rPr>
          <w:rFonts w:ascii="Arial" w:hAnsi="Arial" w:cs="Arial"/>
          <w:sz w:val="22"/>
          <w:szCs w:val="22"/>
        </w:rPr>
        <w:t xml:space="preserve">tends </w:t>
      </w:r>
      <w:r w:rsidR="0070002A">
        <w:rPr>
          <w:rFonts w:ascii="Arial" w:hAnsi="Arial" w:cs="Arial"/>
          <w:sz w:val="22"/>
          <w:szCs w:val="22"/>
        </w:rPr>
        <w:t>to overlook</w:t>
      </w:r>
      <w:r w:rsidRPr="00E23DC5">
        <w:rPr>
          <w:rFonts w:ascii="Arial" w:hAnsi="Arial" w:cs="Arial"/>
          <w:sz w:val="22"/>
          <w:szCs w:val="22"/>
        </w:rPr>
        <w:t xml:space="preserve"> the </w:t>
      </w:r>
      <w:r w:rsidR="0070002A">
        <w:rPr>
          <w:rFonts w:ascii="Arial" w:hAnsi="Arial" w:cs="Arial"/>
          <w:sz w:val="22"/>
          <w:szCs w:val="22"/>
        </w:rPr>
        <w:t>aetiology</w:t>
      </w:r>
      <w:r w:rsidRPr="00E23DC5">
        <w:rPr>
          <w:rFonts w:ascii="Arial" w:hAnsi="Arial" w:cs="Arial"/>
          <w:sz w:val="22"/>
          <w:szCs w:val="22"/>
        </w:rPr>
        <w:t xml:space="preserve"> of problematic drinking behaviours and may oversimplify </w:t>
      </w:r>
      <w:r w:rsidR="0070002A">
        <w:rPr>
          <w:rFonts w:ascii="Arial" w:hAnsi="Arial" w:cs="Arial"/>
          <w:sz w:val="22"/>
          <w:szCs w:val="22"/>
        </w:rPr>
        <w:t>soci</w:t>
      </w:r>
      <w:r w:rsidR="00B212C9">
        <w:rPr>
          <w:rFonts w:ascii="Arial" w:hAnsi="Arial" w:cs="Arial"/>
          <w:sz w:val="22"/>
          <w:szCs w:val="22"/>
        </w:rPr>
        <w:t xml:space="preserve">oeconomic </w:t>
      </w:r>
      <w:r w:rsidRPr="00E23DC5">
        <w:rPr>
          <w:rFonts w:ascii="Arial" w:hAnsi="Arial" w:cs="Arial"/>
          <w:sz w:val="22"/>
          <w:szCs w:val="22"/>
        </w:rPr>
        <w:t xml:space="preserve">deprivation by </w:t>
      </w:r>
      <w:r w:rsidR="00B212C9">
        <w:rPr>
          <w:rFonts w:ascii="Arial" w:hAnsi="Arial" w:cs="Arial"/>
          <w:sz w:val="22"/>
          <w:szCs w:val="22"/>
        </w:rPr>
        <w:t xml:space="preserve">disproportionately </w:t>
      </w:r>
      <w:r w:rsidRPr="00E23DC5">
        <w:rPr>
          <w:rFonts w:ascii="Arial" w:hAnsi="Arial" w:cs="Arial"/>
          <w:sz w:val="22"/>
          <w:szCs w:val="22"/>
        </w:rPr>
        <w:t xml:space="preserve">emphasizing educational </w:t>
      </w:r>
      <w:r w:rsidR="00B212C9">
        <w:rPr>
          <w:rFonts w:ascii="Arial" w:hAnsi="Arial" w:cs="Arial"/>
          <w:sz w:val="22"/>
          <w:szCs w:val="22"/>
        </w:rPr>
        <w:t>attainment</w:t>
      </w:r>
      <w:r w:rsidRPr="00E23DC5">
        <w:rPr>
          <w:rFonts w:ascii="Arial" w:hAnsi="Arial" w:cs="Arial"/>
          <w:sz w:val="22"/>
          <w:szCs w:val="22"/>
        </w:rPr>
        <w:t xml:space="preserve">. </w:t>
      </w:r>
      <w:r w:rsidR="0080272A">
        <w:rPr>
          <w:rFonts w:ascii="Arial" w:hAnsi="Arial" w:cs="Arial"/>
          <w:sz w:val="22"/>
          <w:szCs w:val="22"/>
        </w:rPr>
        <w:t>Similarly,</w:t>
      </w:r>
      <w:r w:rsidR="00A8042D">
        <w:rPr>
          <w:rFonts w:ascii="Arial" w:hAnsi="Arial" w:cs="Arial"/>
          <w:sz w:val="22"/>
          <w:szCs w:val="22"/>
        </w:rPr>
        <w:t xml:space="preserve"> while</w:t>
      </w:r>
      <w:r w:rsidRPr="00E23DC5">
        <w:rPr>
          <w:rFonts w:ascii="Arial" w:hAnsi="Arial" w:cs="Arial"/>
          <w:sz w:val="22"/>
          <w:szCs w:val="22"/>
        </w:rPr>
        <w:t xml:space="preserve">, life-course </w:t>
      </w:r>
      <w:r w:rsidR="00A8042D">
        <w:rPr>
          <w:rFonts w:ascii="Arial" w:hAnsi="Arial" w:cs="Arial"/>
          <w:sz w:val="22"/>
          <w:szCs w:val="22"/>
        </w:rPr>
        <w:t>T</w:t>
      </w:r>
      <w:r w:rsidRPr="00E23DC5">
        <w:rPr>
          <w:rFonts w:ascii="Arial" w:hAnsi="Arial" w:cs="Arial"/>
          <w:sz w:val="22"/>
          <w:szCs w:val="22"/>
        </w:rPr>
        <w:t xml:space="preserve">heory </w:t>
      </w:r>
      <w:r w:rsidR="00A8042D">
        <w:rPr>
          <w:rFonts w:ascii="Arial" w:hAnsi="Arial" w:cs="Arial"/>
          <w:sz w:val="22"/>
          <w:szCs w:val="22"/>
        </w:rPr>
        <w:t xml:space="preserve">offers </w:t>
      </w:r>
      <w:r w:rsidR="00E13AF3">
        <w:rPr>
          <w:rFonts w:ascii="Arial" w:hAnsi="Arial" w:cs="Arial"/>
          <w:sz w:val="22"/>
          <w:szCs w:val="22"/>
        </w:rPr>
        <w:t xml:space="preserve">a broad, temporally oriented </w:t>
      </w:r>
      <w:r w:rsidRPr="00E23DC5">
        <w:rPr>
          <w:rFonts w:ascii="Arial" w:hAnsi="Arial" w:cs="Arial"/>
          <w:sz w:val="22"/>
          <w:szCs w:val="22"/>
        </w:rPr>
        <w:t>perspective</w:t>
      </w:r>
      <w:r w:rsidR="00E13AF3">
        <w:rPr>
          <w:rFonts w:ascii="Arial" w:hAnsi="Arial" w:cs="Arial"/>
          <w:sz w:val="22"/>
          <w:szCs w:val="22"/>
        </w:rPr>
        <w:t xml:space="preserve"> on </w:t>
      </w:r>
      <w:r w:rsidR="00F21F03">
        <w:rPr>
          <w:rFonts w:ascii="Arial" w:hAnsi="Arial" w:cs="Arial"/>
          <w:sz w:val="22"/>
          <w:szCs w:val="22"/>
        </w:rPr>
        <w:t>disease progression, it is heavily reliant on long</w:t>
      </w:r>
      <w:r w:rsidR="000349E5">
        <w:rPr>
          <w:rFonts w:ascii="Arial" w:hAnsi="Arial" w:cs="Arial"/>
          <w:sz w:val="22"/>
          <w:szCs w:val="22"/>
        </w:rPr>
        <w:t>itudinal data and can be limited in its precision</w:t>
      </w:r>
      <w:r w:rsidR="008E05B1">
        <w:rPr>
          <w:rFonts w:ascii="Arial" w:hAnsi="Arial" w:cs="Arial"/>
          <w:sz w:val="22"/>
          <w:szCs w:val="22"/>
        </w:rPr>
        <w:t xml:space="preserve"> when identifying the most critical or sensitive developmental periods</w:t>
      </w:r>
      <w:r w:rsidRPr="00E23DC5">
        <w:rPr>
          <w:rFonts w:ascii="Arial" w:hAnsi="Arial" w:cs="Arial"/>
          <w:sz w:val="22"/>
          <w:szCs w:val="22"/>
        </w:rPr>
        <w:t xml:space="preserve"> </w:t>
      </w:r>
      <w:r w:rsidR="00964E37">
        <w:t>(</w:t>
      </w:r>
      <w:r w:rsidR="00964E37" w:rsidRPr="00964E37">
        <w:rPr>
          <w:rFonts w:ascii="Arial" w:hAnsi="Arial" w:cs="Arial"/>
          <w:sz w:val="22"/>
          <w:szCs w:val="22"/>
        </w:rPr>
        <w:t>Paap,</w:t>
      </w:r>
      <w:r w:rsidR="00964E37">
        <w:rPr>
          <w:rFonts w:ascii="Arial" w:hAnsi="Arial" w:cs="Arial"/>
          <w:sz w:val="22"/>
          <w:szCs w:val="22"/>
        </w:rPr>
        <w:t xml:space="preserve"> </w:t>
      </w:r>
      <w:r w:rsidR="00964E37" w:rsidRPr="00964E37">
        <w:rPr>
          <w:rFonts w:ascii="Arial" w:hAnsi="Arial" w:cs="Arial"/>
          <w:sz w:val="22"/>
          <w:szCs w:val="22"/>
        </w:rPr>
        <w:t>2024)</w:t>
      </w:r>
      <w:r w:rsidR="00964E37">
        <w:rPr>
          <w:rFonts w:ascii="Arial" w:hAnsi="Arial" w:cs="Arial"/>
          <w:sz w:val="22"/>
          <w:szCs w:val="22"/>
        </w:rPr>
        <w:t>.</w:t>
      </w:r>
    </w:p>
    <w:p w14:paraId="757D1C91" w14:textId="77777777" w:rsidR="00C320D8" w:rsidRDefault="00461CCD" w:rsidP="001D2D05">
      <w:pPr>
        <w:spacing w:line="360" w:lineRule="auto"/>
        <w:rPr>
          <w:rFonts w:ascii="Arial" w:hAnsi="Arial" w:cs="Arial"/>
          <w:sz w:val="22"/>
          <w:szCs w:val="22"/>
        </w:rPr>
      </w:pPr>
      <w:r>
        <w:rPr>
          <w:rFonts w:ascii="Arial" w:hAnsi="Arial" w:cs="Arial"/>
          <w:sz w:val="22"/>
          <w:szCs w:val="22"/>
        </w:rPr>
        <w:t>A central debate within the literature concerns weather individual</w:t>
      </w:r>
      <w:r w:rsidR="00E473F5">
        <w:rPr>
          <w:rFonts w:ascii="Arial" w:hAnsi="Arial" w:cs="Arial"/>
          <w:sz w:val="22"/>
          <w:szCs w:val="22"/>
        </w:rPr>
        <w:t>-level factors or structural inequalities ex</w:t>
      </w:r>
      <w:r w:rsidR="00B82A61">
        <w:rPr>
          <w:rFonts w:ascii="Arial" w:hAnsi="Arial" w:cs="Arial"/>
          <w:sz w:val="22"/>
          <w:szCs w:val="22"/>
        </w:rPr>
        <w:t>ert a more significant influence on alcohol-related harm. The Biopsychosocial Model e</w:t>
      </w:r>
      <w:r w:rsidR="00F0454D">
        <w:rPr>
          <w:rFonts w:ascii="Arial" w:hAnsi="Arial" w:cs="Arial"/>
          <w:sz w:val="22"/>
          <w:szCs w:val="22"/>
        </w:rPr>
        <w:t>mphasises multidimensional interaction across domains, status Syndrome Theory</w:t>
      </w:r>
      <w:r w:rsidR="00FE75DE">
        <w:rPr>
          <w:rFonts w:ascii="Arial" w:hAnsi="Arial" w:cs="Arial"/>
          <w:sz w:val="22"/>
          <w:szCs w:val="22"/>
        </w:rPr>
        <w:t xml:space="preserve"> prioritises the role of social hierarchy and </w:t>
      </w:r>
      <w:r w:rsidR="00CA5885">
        <w:rPr>
          <w:rFonts w:ascii="Arial" w:hAnsi="Arial" w:cs="Arial"/>
          <w:sz w:val="22"/>
          <w:szCs w:val="22"/>
        </w:rPr>
        <w:t xml:space="preserve">structural disadvantages, while cognitive Reverse Theory </w:t>
      </w:r>
      <w:r w:rsidR="00907766">
        <w:rPr>
          <w:rFonts w:ascii="Arial" w:hAnsi="Arial" w:cs="Arial"/>
          <w:sz w:val="22"/>
          <w:szCs w:val="22"/>
        </w:rPr>
        <w:t>highlights the importance of individual resilience and adaptive capacity</w:t>
      </w:r>
      <w:r w:rsidR="00C320D8">
        <w:rPr>
          <w:rFonts w:ascii="Arial" w:hAnsi="Arial" w:cs="Arial"/>
          <w:sz w:val="22"/>
          <w:szCs w:val="22"/>
        </w:rPr>
        <w:t>.</w:t>
      </w:r>
    </w:p>
    <w:p w14:paraId="2D208D1B" w14:textId="77777777" w:rsidR="00886DCF" w:rsidRDefault="00C320D8" w:rsidP="001D2D05">
      <w:pPr>
        <w:spacing w:line="360" w:lineRule="auto"/>
        <w:rPr>
          <w:rFonts w:ascii="Arial" w:hAnsi="Arial" w:cs="Arial"/>
          <w:sz w:val="22"/>
          <w:szCs w:val="22"/>
        </w:rPr>
      </w:pPr>
      <w:r>
        <w:rPr>
          <w:rFonts w:ascii="Arial" w:hAnsi="Arial" w:cs="Arial"/>
          <w:sz w:val="22"/>
          <w:szCs w:val="22"/>
        </w:rPr>
        <w:t xml:space="preserve">Thia debate is further complicated by Life-course Theory, which </w:t>
      </w:r>
      <w:r w:rsidR="00CA5885">
        <w:rPr>
          <w:rFonts w:ascii="Arial" w:hAnsi="Arial" w:cs="Arial"/>
          <w:sz w:val="22"/>
          <w:szCs w:val="22"/>
        </w:rPr>
        <w:t xml:space="preserve"> </w:t>
      </w:r>
      <w:r w:rsidR="00886DCF">
        <w:rPr>
          <w:rFonts w:ascii="Arial" w:hAnsi="Arial" w:cs="Arial"/>
          <w:sz w:val="22"/>
          <w:szCs w:val="22"/>
        </w:rPr>
        <w:t xml:space="preserve">incorporates temporal dynamics, critical periods, and the cumulative accumulation of risk over time. </w:t>
      </w:r>
    </w:p>
    <w:p w14:paraId="5B4063EC" w14:textId="40D69C22" w:rsidR="0080272A" w:rsidRDefault="00886DCF" w:rsidP="001D2D05">
      <w:pPr>
        <w:spacing w:line="360" w:lineRule="auto"/>
        <w:rPr>
          <w:rFonts w:ascii="Arial" w:hAnsi="Arial" w:cs="Arial"/>
          <w:sz w:val="22"/>
          <w:szCs w:val="22"/>
        </w:rPr>
      </w:pPr>
      <w:r>
        <w:rPr>
          <w:rFonts w:ascii="Arial" w:hAnsi="Arial" w:cs="Arial"/>
          <w:sz w:val="22"/>
          <w:szCs w:val="22"/>
        </w:rPr>
        <w:t>Consequently, a comprehensive understanding of alcohol</w:t>
      </w:r>
      <w:r w:rsidR="003C70DE">
        <w:rPr>
          <w:rFonts w:ascii="Arial" w:hAnsi="Arial" w:cs="Arial"/>
          <w:sz w:val="22"/>
          <w:szCs w:val="22"/>
        </w:rPr>
        <w:t xml:space="preserve">-related young onset dementia necessitates an integrative </w:t>
      </w:r>
      <w:r w:rsidR="00D22E27">
        <w:rPr>
          <w:rFonts w:ascii="Arial" w:hAnsi="Arial" w:cs="Arial"/>
          <w:sz w:val="22"/>
          <w:szCs w:val="22"/>
        </w:rPr>
        <w:t>approach that synthesises insights from all four frameworks, thereby capturing the complex interplay between str</w:t>
      </w:r>
      <w:r w:rsidR="00C66B58">
        <w:rPr>
          <w:rFonts w:ascii="Arial" w:hAnsi="Arial" w:cs="Arial"/>
          <w:sz w:val="22"/>
          <w:szCs w:val="22"/>
        </w:rPr>
        <w:t xml:space="preserve">ucture, agency, timing, and </w:t>
      </w:r>
      <w:r w:rsidR="000B3CF4">
        <w:rPr>
          <w:rFonts w:ascii="Arial" w:hAnsi="Arial" w:cs="Arial"/>
          <w:sz w:val="22"/>
          <w:szCs w:val="22"/>
        </w:rPr>
        <w:t>resilience.</w:t>
      </w:r>
    </w:p>
    <w:p w14:paraId="69E8E25C" w14:textId="77777777" w:rsidR="00DA6314" w:rsidRDefault="0080272A" w:rsidP="00DA6314">
      <w:pPr>
        <w:spacing w:line="360" w:lineRule="auto"/>
        <w:rPr>
          <w:rFonts w:ascii="Arial" w:hAnsi="Arial" w:cs="Arial"/>
          <w:sz w:val="22"/>
          <w:szCs w:val="22"/>
        </w:rPr>
      </w:pPr>
      <w:r w:rsidRPr="0080272A">
        <w:rPr>
          <w:rFonts w:ascii="Arial" w:hAnsi="Arial" w:cs="Arial"/>
          <w:sz w:val="22"/>
          <w:szCs w:val="22"/>
        </w:rPr>
        <w:t>(Christophe Gernigon, Ruud, Vallacher,  and Geert, 2023).</w:t>
      </w:r>
    </w:p>
    <w:p w14:paraId="382408F7" w14:textId="61969BEE" w:rsidR="00597AE1" w:rsidRPr="00DA6314" w:rsidRDefault="00597AE1" w:rsidP="00DA6314">
      <w:pPr>
        <w:spacing w:line="360" w:lineRule="auto"/>
        <w:rPr>
          <w:rFonts w:ascii="Arial" w:hAnsi="Arial" w:cs="Arial"/>
          <w:sz w:val="22"/>
          <w:szCs w:val="22"/>
        </w:rPr>
      </w:pPr>
      <w:r w:rsidRPr="00980BBE">
        <w:rPr>
          <w:rFonts w:ascii="Arial" w:hAnsi="Arial" w:cs="Arial"/>
        </w:rPr>
        <w:t> </w:t>
      </w:r>
      <w:bookmarkStart w:id="13" w:name="_Toc225966606"/>
      <w:r w:rsidRPr="00EB54BB">
        <w:rPr>
          <w:rFonts w:ascii="Arial" w:hAnsi="Arial" w:cs="Arial"/>
          <w:b/>
          <w:bCs/>
          <w:u w:val="single"/>
        </w:rPr>
        <w:t>Key Differences in Explaining Alcohol-Related Neurological Decline</w:t>
      </w:r>
      <w:bookmarkEnd w:id="13"/>
      <w:r w:rsidRPr="00EB54BB">
        <w:rPr>
          <w:rFonts w:ascii="Arial" w:hAnsi="Arial" w:cs="Arial"/>
          <w:b/>
          <w:bCs/>
          <w:u w:val="single"/>
        </w:rPr>
        <w:t> </w:t>
      </w:r>
    </w:p>
    <w:p w14:paraId="7D203487" w14:textId="4AA2DC3E" w:rsidR="009C7116" w:rsidRPr="00980BBE" w:rsidRDefault="00AE0F78" w:rsidP="001D2D05">
      <w:pPr>
        <w:spacing w:line="360" w:lineRule="auto"/>
        <w:rPr>
          <w:rFonts w:ascii="Arial" w:hAnsi="Arial" w:cs="Arial"/>
          <w:b/>
          <w:bCs/>
          <w:sz w:val="22"/>
          <w:szCs w:val="22"/>
        </w:rPr>
      </w:pPr>
      <w:r w:rsidRPr="00980BBE">
        <w:rPr>
          <w:rFonts w:ascii="Arial" w:hAnsi="Arial" w:cs="Arial"/>
          <w:b/>
          <w:bCs/>
          <w:noProof/>
          <w:sz w:val="22"/>
          <w:szCs w:val="22"/>
        </w:rPr>
        <w:lastRenderedPageBreak/>
        <w:drawing>
          <wp:inline distT="0" distB="0" distL="0" distR="0" wp14:anchorId="48EB3465" wp14:editId="71B9DA10">
            <wp:extent cx="5731108" cy="3297180"/>
            <wp:effectExtent l="0" t="0" r="3175" b="0"/>
            <wp:docPr id="16170925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092516" name=""/>
                    <pic:cNvPicPr/>
                  </pic:nvPicPr>
                  <pic:blipFill>
                    <a:blip r:embed="rId9"/>
                    <a:stretch>
                      <a:fillRect/>
                    </a:stretch>
                  </pic:blipFill>
                  <pic:spPr>
                    <a:xfrm>
                      <a:off x="0" y="0"/>
                      <a:ext cx="5856768" cy="3369474"/>
                    </a:xfrm>
                    <a:prstGeom prst="rect">
                      <a:avLst/>
                    </a:prstGeom>
                  </pic:spPr>
                </pic:pic>
              </a:graphicData>
            </a:graphic>
          </wp:inline>
        </w:drawing>
      </w:r>
      <w:r w:rsidR="005614F5" w:rsidRPr="00980BBE">
        <w:rPr>
          <w:rFonts w:ascii="Arial" w:hAnsi="Arial" w:cs="Arial"/>
          <w:b/>
          <w:bCs/>
          <w:sz w:val="22"/>
          <w:szCs w:val="22"/>
        </w:rPr>
        <w:t>(made by author)</w:t>
      </w:r>
    </w:p>
    <w:p w14:paraId="1E207A92" w14:textId="6C062624" w:rsidR="00504055" w:rsidRPr="00C11214" w:rsidRDefault="00504055" w:rsidP="001D2D05">
      <w:pPr>
        <w:spacing w:line="360" w:lineRule="auto"/>
        <w:rPr>
          <w:rFonts w:ascii="Arial" w:hAnsi="Arial" w:cs="Arial"/>
          <w:b/>
          <w:bCs/>
          <w:sz w:val="22"/>
          <w:szCs w:val="22"/>
        </w:rPr>
      </w:pPr>
      <w:r w:rsidRPr="00C11214">
        <w:rPr>
          <w:rFonts w:ascii="Arial" w:hAnsi="Arial" w:cs="Arial"/>
          <w:b/>
          <w:bCs/>
          <w:sz w:val="22"/>
          <w:szCs w:val="22"/>
        </w:rPr>
        <w:t>The table above compares four frameworks</w:t>
      </w:r>
      <w:r w:rsidR="00146607" w:rsidRPr="00C11214">
        <w:rPr>
          <w:rFonts w:ascii="Arial" w:hAnsi="Arial" w:cs="Arial"/>
          <w:b/>
          <w:bCs/>
          <w:sz w:val="22"/>
          <w:szCs w:val="22"/>
        </w:rPr>
        <w:t>.</w:t>
      </w:r>
    </w:p>
    <w:p w14:paraId="760D3DB2" w14:textId="68075A4D" w:rsidR="00597AE1" w:rsidRPr="00EB54BB" w:rsidRDefault="00597AE1" w:rsidP="006A3180">
      <w:pPr>
        <w:pStyle w:val="Heading1"/>
        <w:rPr>
          <w:rFonts w:ascii="Arial" w:hAnsi="Arial" w:cs="Arial"/>
          <w:b/>
          <w:bCs/>
          <w:color w:val="auto"/>
          <w:sz w:val="28"/>
          <w:szCs w:val="28"/>
          <w:u w:val="single"/>
        </w:rPr>
      </w:pPr>
      <w:bookmarkStart w:id="14" w:name="_Toc225966607"/>
      <w:r w:rsidRPr="00EB54BB">
        <w:rPr>
          <w:rFonts w:ascii="Arial" w:hAnsi="Arial" w:cs="Arial"/>
          <w:b/>
          <w:bCs/>
          <w:color w:val="auto"/>
          <w:sz w:val="28"/>
          <w:szCs w:val="28"/>
          <w:u w:val="single"/>
        </w:rPr>
        <w:t>Critical Evaluation</w:t>
      </w:r>
      <w:bookmarkEnd w:id="14"/>
      <w:r w:rsidRPr="00EB54BB">
        <w:rPr>
          <w:rFonts w:ascii="Arial" w:hAnsi="Arial" w:cs="Arial"/>
          <w:b/>
          <w:bCs/>
          <w:color w:val="auto"/>
          <w:sz w:val="28"/>
          <w:szCs w:val="28"/>
          <w:u w:val="single"/>
        </w:rPr>
        <w:t> </w:t>
      </w:r>
    </w:p>
    <w:p w14:paraId="79395E58" w14:textId="32B436D1" w:rsidR="00C545A4" w:rsidRPr="00980BBE" w:rsidRDefault="00C545A4" w:rsidP="001D2D05">
      <w:pPr>
        <w:spacing w:line="360" w:lineRule="auto"/>
        <w:rPr>
          <w:rFonts w:ascii="Arial" w:hAnsi="Arial" w:cs="Arial"/>
          <w:sz w:val="22"/>
          <w:szCs w:val="22"/>
        </w:rPr>
      </w:pPr>
      <w:r w:rsidRPr="00980BBE">
        <w:rPr>
          <w:rFonts w:ascii="Arial" w:hAnsi="Arial" w:cs="Arial"/>
          <w:sz w:val="22"/>
          <w:szCs w:val="22"/>
        </w:rPr>
        <w:t xml:space="preserve">Despite their </w:t>
      </w:r>
      <w:r w:rsidR="00CF7F1F" w:rsidRPr="00980BBE">
        <w:rPr>
          <w:rFonts w:ascii="Arial" w:hAnsi="Arial" w:cs="Arial"/>
          <w:sz w:val="22"/>
          <w:szCs w:val="22"/>
        </w:rPr>
        <w:t>insightfulness</w:t>
      </w:r>
      <w:r w:rsidRPr="00980BBE">
        <w:rPr>
          <w:rFonts w:ascii="Arial" w:hAnsi="Arial" w:cs="Arial"/>
          <w:sz w:val="22"/>
          <w:szCs w:val="22"/>
        </w:rPr>
        <w:t xml:space="preserve">, these theories have </w:t>
      </w:r>
      <w:r w:rsidR="00CF7F1F" w:rsidRPr="00980BBE">
        <w:rPr>
          <w:rFonts w:ascii="Arial" w:hAnsi="Arial" w:cs="Arial"/>
          <w:sz w:val="22"/>
          <w:szCs w:val="22"/>
        </w:rPr>
        <w:t>limitations</w:t>
      </w:r>
      <w:r w:rsidRPr="00980BBE">
        <w:rPr>
          <w:rFonts w:ascii="Arial" w:hAnsi="Arial" w:cs="Arial"/>
          <w:sz w:val="22"/>
          <w:szCs w:val="22"/>
        </w:rPr>
        <w:t xml:space="preserve">. </w:t>
      </w:r>
      <w:r w:rsidR="00775EC5" w:rsidRPr="00980BBE">
        <w:rPr>
          <w:rFonts w:ascii="Arial" w:hAnsi="Arial" w:cs="Arial"/>
          <w:sz w:val="22"/>
          <w:szCs w:val="22"/>
        </w:rPr>
        <w:t xml:space="preserve">Although </w:t>
      </w:r>
      <w:r w:rsidRPr="00980BBE">
        <w:rPr>
          <w:rFonts w:ascii="Arial" w:hAnsi="Arial" w:cs="Arial"/>
          <w:sz w:val="22"/>
          <w:szCs w:val="22"/>
        </w:rPr>
        <w:t>comprehensive, the biopsychosocial model is cr</w:t>
      </w:r>
      <w:r w:rsidR="00775EC5" w:rsidRPr="00980BBE">
        <w:rPr>
          <w:rFonts w:ascii="Arial" w:hAnsi="Arial" w:cs="Arial"/>
          <w:sz w:val="22"/>
          <w:szCs w:val="22"/>
        </w:rPr>
        <w:t>iti</w:t>
      </w:r>
      <w:r w:rsidR="00EC6201" w:rsidRPr="00980BBE">
        <w:rPr>
          <w:rFonts w:ascii="Arial" w:hAnsi="Arial" w:cs="Arial"/>
          <w:sz w:val="22"/>
          <w:szCs w:val="22"/>
        </w:rPr>
        <w:t>cised</w:t>
      </w:r>
      <w:r w:rsidRPr="00980BBE">
        <w:rPr>
          <w:rFonts w:ascii="Arial" w:hAnsi="Arial" w:cs="Arial"/>
          <w:sz w:val="22"/>
          <w:szCs w:val="22"/>
        </w:rPr>
        <w:t xml:space="preserve"> for its </w:t>
      </w:r>
      <w:r w:rsidR="00EC6201" w:rsidRPr="00980BBE">
        <w:rPr>
          <w:rFonts w:ascii="Arial" w:hAnsi="Arial" w:cs="Arial"/>
          <w:sz w:val="22"/>
          <w:szCs w:val="22"/>
        </w:rPr>
        <w:t xml:space="preserve">broad </w:t>
      </w:r>
      <w:r w:rsidRPr="00980BBE">
        <w:rPr>
          <w:rFonts w:ascii="Arial" w:hAnsi="Arial" w:cs="Arial"/>
          <w:sz w:val="22"/>
          <w:szCs w:val="22"/>
        </w:rPr>
        <w:t xml:space="preserve">scope and empirical </w:t>
      </w:r>
      <w:r w:rsidR="00EC6201" w:rsidRPr="00980BBE">
        <w:rPr>
          <w:rFonts w:ascii="Arial" w:hAnsi="Arial" w:cs="Arial"/>
          <w:sz w:val="22"/>
          <w:szCs w:val="22"/>
        </w:rPr>
        <w:t>challenges</w:t>
      </w:r>
      <w:r w:rsidRPr="00980BBE">
        <w:rPr>
          <w:rFonts w:ascii="Arial" w:hAnsi="Arial" w:cs="Arial"/>
          <w:sz w:val="22"/>
          <w:szCs w:val="22"/>
        </w:rPr>
        <w:t xml:space="preserve">. </w:t>
      </w:r>
      <w:r w:rsidR="002E32E3" w:rsidRPr="00980BBE">
        <w:rPr>
          <w:rFonts w:ascii="Arial" w:hAnsi="Arial" w:cs="Arial"/>
          <w:sz w:val="22"/>
          <w:szCs w:val="22"/>
        </w:rPr>
        <w:t xml:space="preserve">The cognitive reserve theory occasionally overlooks </w:t>
      </w:r>
      <w:r w:rsidRPr="00980BBE">
        <w:rPr>
          <w:rFonts w:ascii="Arial" w:hAnsi="Arial" w:cs="Arial"/>
          <w:sz w:val="22"/>
          <w:szCs w:val="22"/>
        </w:rPr>
        <w:t xml:space="preserve">Systemic disparities affecting educational </w:t>
      </w:r>
      <w:r w:rsidR="000F70C8" w:rsidRPr="00980BBE">
        <w:rPr>
          <w:rFonts w:ascii="Arial" w:hAnsi="Arial" w:cs="Arial"/>
          <w:sz w:val="22"/>
          <w:szCs w:val="22"/>
        </w:rPr>
        <w:t xml:space="preserve">access </w:t>
      </w:r>
      <w:r w:rsidRPr="00980BBE">
        <w:rPr>
          <w:rFonts w:ascii="Arial" w:hAnsi="Arial" w:cs="Arial"/>
          <w:sz w:val="22"/>
          <w:szCs w:val="22"/>
        </w:rPr>
        <w:t xml:space="preserve">(Liu et al., 2024b). </w:t>
      </w:r>
      <w:r w:rsidRPr="00980BBE">
        <w:rPr>
          <w:rFonts w:ascii="Arial" w:hAnsi="Arial" w:cs="Arial"/>
          <w:sz w:val="22"/>
          <w:szCs w:val="22"/>
        </w:rPr>
        <w:br/>
      </w:r>
      <w:r w:rsidR="004B612A" w:rsidRPr="00980BBE">
        <w:rPr>
          <w:rFonts w:ascii="Arial" w:hAnsi="Arial" w:cs="Arial"/>
          <w:sz w:val="22"/>
          <w:szCs w:val="22"/>
        </w:rPr>
        <w:t>These limitations</w:t>
      </w:r>
      <w:r w:rsidR="000F70C8" w:rsidRPr="00980BBE">
        <w:rPr>
          <w:rFonts w:ascii="Arial" w:hAnsi="Arial" w:cs="Arial"/>
          <w:sz w:val="22"/>
          <w:szCs w:val="22"/>
        </w:rPr>
        <w:t xml:space="preserve"> are </w:t>
      </w:r>
      <w:r w:rsidR="00B664E3" w:rsidRPr="00980BBE">
        <w:rPr>
          <w:rFonts w:ascii="Arial" w:hAnsi="Arial" w:cs="Arial"/>
          <w:sz w:val="22"/>
          <w:szCs w:val="22"/>
        </w:rPr>
        <w:t>increasingly challenged by</w:t>
      </w:r>
      <w:r w:rsidRPr="00980BBE">
        <w:rPr>
          <w:rFonts w:ascii="Arial" w:hAnsi="Arial" w:cs="Arial"/>
          <w:sz w:val="22"/>
          <w:szCs w:val="22"/>
        </w:rPr>
        <w:t xml:space="preserve"> Ároks Üllý, (2025), </w:t>
      </w:r>
      <w:r w:rsidR="00A214A8" w:rsidRPr="00980BBE">
        <w:rPr>
          <w:rFonts w:ascii="Arial" w:hAnsi="Arial" w:cs="Arial"/>
          <w:sz w:val="22"/>
          <w:szCs w:val="22"/>
        </w:rPr>
        <w:t xml:space="preserve">and </w:t>
      </w:r>
      <w:r w:rsidR="002B1D3E" w:rsidRPr="00980BBE">
        <w:rPr>
          <w:rFonts w:ascii="Arial" w:hAnsi="Arial" w:cs="Arial"/>
          <w:sz w:val="22"/>
          <w:szCs w:val="22"/>
        </w:rPr>
        <w:t xml:space="preserve">World </w:t>
      </w:r>
      <w:r w:rsidR="00227045" w:rsidRPr="00980BBE">
        <w:rPr>
          <w:rFonts w:ascii="Arial" w:hAnsi="Arial" w:cs="Arial"/>
          <w:sz w:val="22"/>
          <w:szCs w:val="22"/>
        </w:rPr>
        <w:t>Health</w:t>
      </w:r>
      <w:r w:rsidR="002B1D3E" w:rsidRPr="00980BBE">
        <w:rPr>
          <w:rFonts w:ascii="Arial" w:hAnsi="Arial" w:cs="Arial"/>
          <w:sz w:val="22"/>
          <w:szCs w:val="22"/>
        </w:rPr>
        <w:t xml:space="preserve"> </w:t>
      </w:r>
      <w:r w:rsidR="00227045" w:rsidRPr="00980BBE">
        <w:rPr>
          <w:rFonts w:ascii="Arial" w:hAnsi="Arial" w:cs="Arial"/>
          <w:sz w:val="22"/>
          <w:szCs w:val="22"/>
        </w:rPr>
        <w:t>organisation</w:t>
      </w:r>
      <w:r w:rsidR="002B1D3E" w:rsidRPr="00980BBE">
        <w:rPr>
          <w:rFonts w:ascii="Arial" w:hAnsi="Arial" w:cs="Arial"/>
          <w:sz w:val="22"/>
          <w:szCs w:val="22"/>
        </w:rPr>
        <w:t xml:space="preserve"> </w:t>
      </w:r>
      <w:r w:rsidR="00A214A8" w:rsidRPr="00980BBE">
        <w:rPr>
          <w:rFonts w:ascii="Arial" w:hAnsi="Arial" w:cs="Arial"/>
          <w:sz w:val="22"/>
          <w:szCs w:val="22"/>
        </w:rPr>
        <w:t>demonstrate</w:t>
      </w:r>
      <w:r w:rsidRPr="00980BBE">
        <w:rPr>
          <w:rFonts w:ascii="Arial" w:hAnsi="Arial" w:cs="Arial"/>
          <w:sz w:val="22"/>
          <w:szCs w:val="22"/>
        </w:rPr>
        <w:t xml:space="preserve"> that even moderate alcohol use is </w:t>
      </w:r>
      <w:r w:rsidR="00A214A8" w:rsidRPr="00980BBE">
        <w:rPr>
          <w:rFonts w:ascii="Arial" w:hAnsi="Arial" w:cs="Arial"/>
          <w:sz w:val="22"/>
          <w:szCs w:val="22"/>
        </w:rPr>
        <w:t xml:space="preserve">linked </w:t>
      </w:r>
      <w:r w:rsidR="00CA7AF6" w:rsidRPr="00980BBE">
        <w:rPr>
          <w:rFonts w:ascii="Arial" w:hAnsi="Arial" w:cs="Arial"/>
          <w:sz w:val="22"/>
          <w:szCs w:val="22"/>
        </w:rPr>
        <w:t>to</w:t>
      </w:r>
      <w:r w:rsidRPr="00980BBE">
        <w:rPr>
          <w:rFonts w:ascii="Arial" w:hAnsi="Arial" w:cs="Arial"/>
          <w:sz w:val="22"/>
          <w:szCs w:val="22"/>
        </w:rPr>
        <w:t xml:space="preserve"> progressive structural changes in the brain. </w:t>
      </w:r>
      <w:r w:rsidR="009B3BA1" w:rsidRPr="00980BBE">
        <w:rPr>
          <w:rFonts w:ascii="Arial" w:hAnsi="Arial" w:cs="Arial"/>
          <w:sz w:val="22"/>
          <w:szCs w:val="22"/>
        </w:rPr>
        <w:t>These</w:t>
      </w:r>
      <w:r w:rsidR="00CF5C6D" w:rsidRPr="00980BBE">
        <w:rPr>
          <w:rFonts w:ascii="Arial" w:hAnsi="Arial" w:cs="Arial"/>
          <w:sz w:val="22"/>
          <w:szCs w:val="22"/>
        </w:rPr>
        <w:t xml:space="preserve"> frameworks underscore the complex interplay </w:t>
      </w:r>
      <w:r w:rsidR="003279D2" w:rsidRPr="00980BBE">
        <w:rPr>
          <w:rFonts w:ascii="Arial" w:hAnsi="Arial" w:cs="Arial"/>
          <w:sz w:val="22"/>
          <w:szCs w:val="22"/>
        </w:rPr>
        <w:t xml:space="preserve">between alcohol abuse, </w:t>
      </w:r>
      <w:r w:rsidRPr="00980BBE">
        <w:rPr>
          <w:rFonts w:ascii="Arial" w:hAnsi="Arial" w:cs="Arial"/>
          <w:sz w:val="22"/>
          <w:szCs w:val="22"/>
        </w:rPr>
        <w:t xml:space="preserve">socioeconomic </w:t>
      </w:r>
      <w:r w:rsidR="00D111C9" w:rsidRPr="00980BBE">
        <w:rPr>
          <w:rFonts w:ascii="Arial" w:hAnsi="Arial" w:cs="Arial"/>
          <w:sz w:val="22"/>
          <w:szCs w:val="22"/>
        </w:rPr>
        <w:t>disadvantages,</w:t>
      </w:r>
      <w:r w:rsidR="003279D2" w:rsidRPr="00980BBE">
        <w:rPr>
          <w:rFonts w:ascii="Arial" w:hAnsi="Arial" w:cs="Arial"/>
          <w:sz w:val="22"/>
          <w:szCs w:val="22"/>
        </w:rPr>
        <w:t xml:space="preserve"> and the risk of developing  </w:t>
      </w:r>
      <w:r w:rsidRPr="00980BBE">
        <w:rPr>
          <w:rFonts w:ascii="Arial" w:hAnsi="Arial" w:cs="Arial"/>
          <w:sz w:val="22"/>
          <w:szCs w:val="22"/>
        </w:rPr>
        <w:t>young-onset dementia (YOD).</w:t>
      </w:r>
    </w:p>
    <w:p w14:paraId="0069F6C3" w14:textId="79B7928C" w:rsidR="00597AE1" w:rsidRPr="00266F7A" w:rsidRDefault="00597AE1" w:rsidP="006A3180">
      <w:pPr>
        <w:pStyle w:val="Heading1"/>
        <w:rPr>
          <w:rFonts w:ascii="Arial" w:hAnsi="Arial" w:cs="Arial"/>
          <w:b/>
          <w:bCs/>
          <w:color w:val="auto"/>
          <w:sz w:val="28"/>
          <w:szCs w:val="28"/>
          <w:u w:val="single"/>
        </w:rPr>
      </w:pPr>
      <w:bookmarkStart w:id="15" w:name="_Toc225966608"/>
      <w:r w:rsidRPr="00266F7A">
        <w:rPr>
          <w:rFonts w:ascii="Arial" w:hAnsi="Arial" w:cs="Arial"/>
          <w:b/>
          <w:bCs/>
          <w:color w:val="auto"/>
          <w:sz w:val="28"/>
          <w:szCs w:val="28"/>
          <w:u w:val="single"/>
        </w:rPr>
        <w:t>International Context</w:t>
      </w:r>
      <w:bookmarkEnd w:id="15"/>
      <w:r w:rsidRPr="00266F7A">
        <w:rPr>
          <w:rFonts w:ascii="Arial" w:hAnsi="Arial" w:cs="Arial"/>
          <w:b/>
          <w:bCs/>
          <w:color w:val="auto"/>
          <w:sz w:val="28"/>
          <w:szCs w:val="28"/>
          <w:u w:val="single"/>
        </w:rPr>
        <w:t>  </w:t>
      </w:r>
    </w:p>
    <w:p w14:paraId="7C2C503B" w14:textId="77777777" w:rsidR="00597AE1" w:rsidRPr="00266F7A" w:rsidRDefault="00597AE1" w:rsidP="001D2D05">
      <w:pPr>
        <w:spacing w:line="360" w:lineRule="auto"/>
        <w:rPr>
          <w:rFonts w:ascii="Arial" w:hAnsi="Arial" w:cs="Arial"/>
          <w:b/>
          <w:bCs/>
          <w:sz w:val="28"/>
          <w:szCs w:val="28"/>
          <w:u w:val="single"/>
        </w:rPr>
      </w:pPr>
      <w:r w:rsidRPr="00266F7A">
        <w:rPr>
          <w:rFonts w:ascii="Arial" w:hAnsi="Arial" w:cs="Arial"/>
          <w:b/>
          <w:bCs/>
          <w:sz w:val="28"/>
          <w:szCs w:val="28"/>
          <w:u w:val="single"/>
        </w:rPr>
        <w:t>Global Perspective </w:t>
      </w:r>
    </w:p>
    <w:p w14:paraId="6D30CD90" w14:textId="367F792F" w:rsidR="00FC6C54" w:rsidRPr="00980BBE" w:rsidRDefault="00FC6C54" w:rsidP="001D2D05">
      <w:pPr>
        <w:spacing w:line="360" w:lineRule="auto"/>
        <w:rPr>
          <w:rFonts w:ascii="Arial" w:hAnsi="Arial" w:cs="Arial"/>
          <w:sz w:val="22"/>
          <w:szCs w:val="22"/>
        </w:rPr>
      </w:pPr>
      <w:r w:rsidRPr="00980BBE">
        <w:rPr>
          <w:rFonts w:ascii="Arial" w:hAnsi="Arial" w:cs="Arial"/>
          <w:sz w:val="22"/>
          <w:szCs w:val="22"/>
        </w:rPr>
        <w:t xml:space="preserve">According to the </w:t>
      </w:r>
      <w:r w:rsidR="002B1D3E" w:rsidRPr="00980BBE">
        <w:rPr>
          <w:rFonts w:ascii="Arial" w:hAnsi="Arial" w:cs="Arial"/>
          <w:sz w:val="22"/>
          <w:szCs w:val="22"/>
        </w:rPr>
        <w:t xml:space="preserve">World </w:t>
      </w:r>
      <w:r w:rsidR="00227045" w:rsidRPr="00980BBE">
        <w:rPr>
          <w:rFonts w:ascii="Arial" w:hAnsi="Arial" w:cs="Arial"/>
          <w:sz w:val="22"/>
          <w:szCs w:val="22"/>
        </w:rPr>
        <w:t>Health</w:t>
      </w:r>
      <w:r w:rsidR="002B1D3E" w:rsidRPr="00980BBE">
        <w:rPr>
          <w:rFonts w:ascii="Arial" w:hAnsi="Arial" w:cs="Arial"/>
          <w:sz w:val="22"/>
          <w:szCs w:val="22"/>
        </w:rPr>
        <w:t xml:space="preserve"> </w:t>
      </w:r>
      <w:r w:rsidR="00227045" w:rsidRPr="00980BBE">
        <w:rPr>
          <w:rFonts w:ascii="Arial" w:hAnsi="Arial" w:cs="Arial"/>
          <w:sz w:val="22"/>
          <w:szCs w:val="22"/>
        </w:rPr>
        <w:t>organisation</w:t>
      </w:r>
      <w:r w:rsidR="002B1D3E" w:rsidRPr="00980BBE">
        <w:rPr>
          <w:rFonts w:ascii="Arial" w:hAnsi="Arial" w:cs="Arial"/>
          <w:sz w:val="22"/>
          <w:szCs w:val="22"/>
        </w:rPr>
        <w:t xml:space="preserve"> </w:t>
      </w:r>
      <w:r w:rsidR="00FC6FA4" w:rsidRPr="00980BBE">
        <w:rPr>
          <w:rFonts w:ascii="Arial" w:hAnsi="Arial" w:cs="Arial"/>
          <w:sz w:val="22"/>
          <w:szCs w:val="22"/>
        </w:rPr>
        <w:t>,</w:t>
      </w:r>
      <w:r w:rsidR="00C74562" w:rsidRPr="00980BBE">
        <w:rPr>
          <w:rFonts w:ascii="Arial" w:hAnsi="Arial" w:cs="Arial"/>
          <w:sz w:val="22"/>
          <w:szCs w:val="22"/>
        </w:rPr>
        <w:t xml:space="preserve"> (</w:t>
      </w:r>
      <w:r w:rsidR="00FC6FA4" w:rsidRPr="00980BBE">
        <w:rPr>
          <w:rFonts w:ascii="Arial" w:hAnsi="Arial" w:cs="Arial"/>
          <w:sz w:val="22"/>
          <w:szCs w:val="22"/>
        </w:rPr>
        <w:t>20</w:t>
      </w:r>
      <w:r w:rsidR="00C74562" w:rsidRPr="00980BBE">
        <w:rPr>
          <w:rFonts w:ascii="Arial" w:hAnsi="Arial" w:cs="Arial"/>
          <w:sz w:val="22"/>
          <w:szCs w:val="22"/>
        </w:rPr>
        <w:t xml:space="preserve">17) </w:t>
      </w:r>
      <w:r w:rsidRPr="00980BBE">
        <w:rPr>
          <w:rFonts w:ascii="Arial" w:hAnsi="Arial" w:cs="Arial"/>
          <w:sz w:val="22"/>
          <w:szCs w:val="22"/>
        </w:rPr>
        <w:t xml:space="preserve">excessive alcohol use </w:t>
      </w:r>
      <w:r w:rsidR="007C5FD1" w:rsidRPr="00980BBE">
        <w:rPr>
          <w:rFonts w:ascii="Arial" w:hAnsi="Arial" w:cs="Arial"/>
          <w:sz w:val="22"/>
          <w:szCs w:val="22"/>
        </w:rPr>
        <w:t>contr</w:t>
      </w:r>
      <w:r w:rsidR="00DA1E5E" w:rsidRPr="00980BBE">
        <w:rPr>
          <w:rFonts w:ascii="Arial" w:hAnsi="Arial" w:cs="Arial"/>
          <w:sz w:val="22"/>
          <w:szCs w:val="22"/>
        </w:rPr>
        <w:t>ibutes to</w:t>
      </w:r>
      <w:r w:rsidRPr="00980BBE">
        <w:rPr>
          <w:rFonts w:ascii="Arial" w:hAnsi="Arial" w:cs="Arial"/>
          <w:sz w:val="22"/>
          <w:szCs w:val="22"/>
        </w:rPr>
        <w:t xml:space="preserve"> over 200 diseases, including dementia,</w:t>
      </w:r>
      <w:r w:rsidR="00A028AE" w:rsidRPr="00980BBE">
        <w:rPr>
          <w:rFonts w:ascii="Arial" w:hAnsi="Arial" w:cs="Arial"/>
          <w:sz w:val="22"/>
          <w:szCs w:val="22"/>
        </w:rPr>
        <w:t xml:space="preserve"> and </w:t>
      </w:r>
      <w:r w:rsidR="006137BA" w:rsidRPr="00980BBE">
        <w:rPr>
          <w:rFonts w:ascii="Arial" w:hAnsi="Arial" w:cs="Arial"/>
          <w:sz w:val="22"/>
          <w:szCs w:val="22"/>
        </w:rPr>
        <w:t>accounts for more than</w:t>
      </w:r>
      <w:r w:rsidRPr="00980BBE">
        <w:rPr>
          <w:rFonts w:ascii="Arial" w:hAnsi="Arial" w:cs="Arial"/>
          <w:sz w:val="22"/>
          <w:szCs w:val="22"/>
        </w:rPr>
        <w:t xml:space="preserve"> 3 million deaths </w:t>
      </w:r>
      <w:r w:rsidR="00DA1E5E" w:rsidRPr="00980BBE">
        <w:rPr>
          <w:rFonts w:ascii="Arial" w:hAnsi="Arial" w:cs="Arial"/>
          <w:sz w:val="22"/>
          <w:szCs w:val="22"/>
        </w:rPr>
        <w:t>annually</w:t>
      </w:r>
      <w:r w:rsidRPr="00980BBE">
        <w:rPr>
          <w:rFonts w:ascii="Arial" w:hAnsi="Arial" w:cs="Arial"/>
          <w:sz w:val="22"/>
          <w:szCs w:val="22"/>
        </w:rPr>
        <w:t>,</w:t>
      </w:r>
      <w:r w:rsidR="00DA1E5E" w:rsidRPr="00980BBE">
        <w:rPr>
          <w:rFonts w:ascii="Arial" w:hAnsi="Arial" w:cs="Arial"/>
          <w:sz w:val="22"/>
          <w:szCs w:val="22"/>
        </w:rPr>
        <w:t xml:space="preserve"> </w:t>
      </w:r>
      <w:r w:rsidR="00C3743A" w:rsidRPr="00980BBE">
        <w:rPr>
          <w:rFonts w:ascii="Arial" w:hAnsi="Arial" w:cs="Arial"/>
          <w:sz w:val="22"/>
          <w:szCs w:val="22"/>
        </w:rPr>
        <w:t>representing a significant</w:t>
      </w:r>
      <w:r w:rsidRPr="00980BBE">
        <w:rPr>
          <w:rFonts w:ascii="Arial" w:hAnsi="Arial" w:cs="Arial"/>
          <w:sz w:val="22"/>
          <w:szCs w:val="22"/>
        </w:rPr>
        <w:t xml:space="preserve"> public health </w:t>
      </w:r>
      <w:r w:rsidR="005C1105" w:rsidRPr="00980BBE">
        <w:rPr>
          <w:rFonts w:ascii="Arial" w:hAnsi="Arial" w:cs="Arial"/>
          <w:sz w:val="22"/>
          <w:szCs w:val="22"/>
        </w:rPr>
        <w:t>concern</w:t>
      </w:r>
      <w:r w:rsidRPr="00980BBE">
        <w:rPr>
          <w:rFonts w:ascii="Arial" w:hAnsi="Arial" w:cs="Arial"/>
          <w:sz w:val="22"/>
          <w:szCs w:val="22"/>
        </w:rPr>
        <w:t xml:space="preserve">. Global epidemiology </w:t>
      </w:r>
      <w:r w:rsidR="005C1105" w:rsidRPr="00980BBE">
        <w:rPr>
          <w:rFonts w:ascii="Arial" w:hAnsi="Arial" w:cs="Arial"/>
          <w:sz w:val="22"/>
          <w:szCs w:val="22"/>
        </w:rPr>
        <w:t>data indicates</w:t>
      </w:r>
      <w:r w:rsidRPr="00980BBE">
        <w:rPr>
          <w:rFonts w:ascii="Arial" w:hAnsi="Arial" w:cs="Arial"/>
          <w:sz w:val="22"/>
          <w:szCs w:val="22"/>
        </w:rPr>
        <w:t xml:space="preserve"> that cultural, socioeconomic, and regulatory factors </w:t>
      </w:r>
      <w:r w:rsidR="005C1105" w:rsidRPr="00980BBE">
        <w:rPr>
          <w:rFonts w:ascii="Arial" w:hAnsi="Arial" w:cs="Arial"/>
          <w:sz w:val="22"/>
          <w:szCs w:val="22"/>
        </w:rPr>
        <w:t>produce</w:t>
      </w:r>
      <w:r w:rsidR="007914FA" w:rsidRPr="00980BBE">
        <w:rPr>
          <w:rFonts w:ascii="Arial" w:hAnsi="Arial" w:cs="Arial"/>
          <w:sz w:val="22"/>
          <w:szCs w:val="22"/>
        </w:rPr>
        <w:t xml:space="preserve"> substantial variations in drinking </w:t>
      </w:r>
      <w:r w:rsidR="001A70CD" w:rsidRPr="00980BBE">
        <w:rPr>
          <w:rFonts w:ascii="Arial" w:hAnsi="Arial" w:cs="Arial"/>
          <w:sz w:val="22"/>
          <w:szCs w:val="22"/>
        </w:rPr>
        <w:t xml:space="preserve">behaviours. </w:t>
      </w:r>
      <w:r w:rsidR="009841C5" w:rsidRPr="00980BBE">
        <w:rPr>
          <w:rFonts w:ascii="Arial" w:hAnsi="Arial" w:cs="Arial"/>
          <w:sz w:val="22"/>
          <w:szCs w:val="22"/>
        </w:rPr>
        <w:t xml:space="preserve">Elevated rates of binge drinking are observed in </w:t>
      </w:r>
      <w:r w:rsidRPr="00980BBE">
        <w:rPr>
          <w:rFonts w:ascii="Arial" w:hAnsi="Arial" w:cs="Arial"/>
          <w:sz w:val="22"/>
          <w:szCs w:val="22"/>
        </w:rPr>
        <w:t xml:space="preserve">Northern and </w:t>
      </w:r>
      <w:r w:rsidRPr="00980BBE">
        <w:rPr>
          <w:rFonts w:ascii="Arial" w:hAnsi="Arial" w:cs="Arial"/>
          <w:sz w:val="22"/>
          <w:szCs w:val="22"/>
        </w:rPr>
        <w:lastRenderedPageBreak/>
        <w:t>Eastern European nations, which is associated with increase</w:t>
      </w:r>
      <w:r w:rsidR="003860F5" w:rsidRPr="00980BBE">
        <w:rPr>
          <w:rFonts w:ascii="Arial" w:hAnsi="Arial" w:cs="Arial"/>
          <w:sz w:val="22"/>
          <w:szCs w:val="22"/>
        </w:rPr>
        <w:t>d</w:t>
      </w:r>
      <w:r w:rsidRPr="00980BBE">
        <w:rPr>
          <w:rFonts w:ascii="Arial" w:hAnsi="Arial" w:cs="Arial"/>
          <w:sz w:val="22"/>
          <w:szCs w:val="22"/>
        </w:rPr>
        <w:t xml:space="preserve"> alcohol-related brain damage and early cognitive impairment.</w:t>
      </w:r>
    </w:p>
    <w:p w14:paraId="16A26F4C" w14:textId="10952DC0" w:rsidR="00597AE1" w:rsidRPr="00266F7A" w:rsidRDefault="00597AE1" w:rsidP="001D2D05">
      <w:pPr>
        <w:spacing w:line="360" w:lineRule="auto"/>
        <w:rPr>
          <w:rFonts w:ascii="Arial" w:hAnsi="Arial" w:cs="Arial"/>
          <w:sz w:val="28"/>
          <w:szCs w:val="28"/>
          <w:u w:val="single"/>
        </w:rPr>
      </w:pPr>
      <w:r w:rsidRPr="00266F7A">
        <w:rPr>
          <w:rFonts w:ascii="Arial" w:hAnsi="Arial" w:cs="Arial"/>
          <w:b/>
          <w:bCs/>
          <w:sz w:val="28"/>
          <w:szCs w:val="28"/>
          <w:u w:val="single"/>
        </w:rPr>
        <w:t>Comparative Analysis</w:t>
      </w:r>
      <w:r w:rsidRPr="00266F7A">
        <w:rPr>
          <w:rFonts w:ascii="Arial" w:hAnsi="Arial" w:cs="Arial"/>
          <w:sz w:val="28"/>
          <w:szCs w:val="28"/>
          <w:u w:val="single"/>
        </w:rPr>
        <w:t> </w:t>
      </w:r>
    </w:p>
    <w:p w14:paraId="5CE4F00C" w14:textId="15F2AF79" w:rsidR="00A323D1" w:rsidRPr="00980BBE" w:rsidRDefault="00A323D1" w:rsidP="001D2D05">
      <w:pPr>
        <w:spacing w:line="360" w:lineRule="auto"/>
        <w:rPr>
          <w:rFonts w:ascii="Arial" w:hAnsi="Arial" w:cs="Arial"/>
          <w:sz w:val="22"/>
          <w:szCs w:val="22"/>
        </w:rPr>
      </w:pPr>
      <w:r w:rsidRPr="00980BBE">
        <w:rPr>
          <w:rFonts w:ascii="Arial" w:hAnsi="Arial" w:cs="Arial"/>
          <w:sz w:val="22"/>
          <w:szCs w:val="22"/>
        </w:rPr>
        <w:t xml:space="preserve">Due to cultural norms that </w:t>
      </w:r>
      <w:r w:rsidR="0022118D" w:rsidRPr="00980BBE">
        <w:rPr>
          <w:rFonts w:ascii="Arial" w:hAnsi="Arial" w:cs="Arial"/>
          <w:sz w:val="22"/>
          <w:szCs w:val="22"/>
        </w:rPr>
        <w:t xml:space="preserve">foster </w:t>
      </w:r>
      <w:r w:rsidRPr="00980BBE">
        <w:rPr>
          <w:rFonts w:ascii="Arial" w:hAnsi="Arial" w:cs="Arial"/>
          <w:sz w:val="22"/>
          <w:szCs w:val="22"/>
        </w:rPr>
        <w:t>moderate</w:t>
      </w:r>
      <w:r w:rsidR="005F020B" w:rsidRPr="00980BBE">
        <w:rPr>
          <w:rFonts w:ascii="Arial" w:hAnsi="Arial" w:cs="Arial"/>
          <w:sz w:val="22"/>
          <w:szCs w:val="22"/>
        </w:rPr>
        <w:t xml:space="preserve"> and</w:t>
      </w:r>
      <w:r w:rsidRPr="00980BBE">
        <w:rPr>
          <w:rFonts w:ascii="Arial" w:hAnsi="Arial" w:cs="Arial"/>
          <w:sz w:val="22"/>
          <w:szCs w:val="22"/>
        </w:rPr>
        <w:t xml:space="preserve"> drinking and </w:t>
      </w:r>
      <w:r w:rsidR="00565DE1" w:rsidRPr="00980BBE">
        <w:rPr>
          <w:rFonts w:ascii="Arial" w:hAnsi="Arial" w:cs="Arial"/>
          <w:sz w:val="22"/>
          <w:szCs w:val="22"/>
        </w:rPr>
        <w:t>adherence to a nutrient-rich diet particular</w:t>
      </w:r>
      <w:r w:rsidR="00414720" w:rsidRPr="00980BBE">
        <w:rPr>
          <w:rFonts w:ascii="Arial" w:hAnsi="Arial" w:cs="Arial"/>
          <w:sz w:val="22"/>
          <w:szCs w:val="22"/>
        </w:rPr>
        <w:t xml:space="preserve"> </w:t>
      </w:r>
      <w:r w:rsidRPr="00980BBE">
        <w:rPr>
          <w:rFonts w:ascii="Arial" w:hAnsi="Arial" w:cs="Arial"/>
          <w:sz w:val="22"/>
          <w:szCs w:val="22"/>
        </w:rPr>
        <w:t xml:space="preserve">the Mediterranean diet, which </w:t>
      </w:r>
      <w:r w:rsidR="00414720" w:rsidRPr="00980BBE">
        <w:rPr>
          <w:rFonts w:ascii="Arial" w:hAnsi="Arial" w:cs="Arial"/>
          <w:sz w:val="22"/>
          <w:szCs w:val="22"/>
        </w:rPr>
        <w:t>supports</w:t>
      </w:r>
      <w:r w:rsidRPr="00980BBE">
        <w:rPr>
          <w:rFonts w:ascii="Arial" w:hAnsi="Arial" w:cs="Arial"/>
          <w:sz w:val="22"/>
          <w:szCs w:val="22"/>
        </w:rPr>
        <w:t xml:space="preserve"> cognitive health, Mediterranean </w:t>
      </w:r>
      <w:r w:rsidR="00414720" w:rsidRPr="00980BBE">
        <w:rPr>
          <w:rFonts w:ascii="Arial" w:hAnsi="Arial" w:cs="Arial"/>
          <w:sz w:val="22"/>
          <w:szCs w:val="22"/>
        </w:rPr>
        <w:t xml:space="preserve">countries </w:t>
      </w:r>
      <w:r w:rsidR="005D46C1" w:rsidRPr="00980BBE">
        <w:rPr>
          <w:rFonts w:ascii="Arial" w:hAnsi="Arial" w:cs="Arial"/>
          <w:sz w:val="22"/>
          <w:szCs w:val="22"/>
        </w:rPr>
        <w:t xml:space="preserve">such as Spain and Italy </w:t>
      </w:r>
      <w:r w:rsidR="0007053A" w:rsidRPr="00980BBE">
        <w:rPr>
          <w:rFonts w:ascii="Arial" w:hAnsi="Arial" w:cs="Arial"/>
          <w:sz w:val="22"/>
          <w:szCs w:val="22"/>
        </w:rPr>
        <w:t>exhibit</w:t>
      </w:r>
      <w:r w:rsidR="005D46C1" w:rsidRPr="00980BBE">
        <w:rPr>
          <w:rFonts w:ascii="Arial" w:hAnsi="Arial" w:cs="Arial"/>
          <w:sz w:val="22"/>
          <w:szCs w:val="22"/>
        </w:rPr>
        <w:t xml:space="preserve"> lower </w:t>
      </w:r>
      <w:r w:rsidR="0007053A" w:rsidRPr="00980BBE">
        <w:rPr>
          <w:rFonts w:ascii="Arial" w:hAnsi="Arial" w:cs="Arial"/>
          <w:sz w:val="22"/>
          <w:szCs w:val="22"/>
        </w:rPr>
        <w:t>rates o</w:t>
      </w:r>
      <w:r w:rsidR="00F5794E" w:rsidRPr="00980BBE">
        <w:rPr>
          <w:rFonts w:ascii="Arial" w:hAnsi="Arial" w:cs="Arial"/>
          <w:sz w:val="22"/>
          <w:szCs w:val="22"/>
        </w:rPr>
        <w:t>f</w:t>
      </w:r>
      <w:r w:rsidR="0007053A" w:rsidRPr="00980BBE">
        <w:rPr>
          <w:rFonts w:ascii="Arial" w:hAnsi="Arial" w:cs="Arial"/>
          <w:sz w:val="22"/>
          <w:szCs w:val="22"/>
        </w:rPr>
        <w:t xml:space="preserve"> alcohol-related </w:t>
      </w:r>
      <w:r w:rsidR="00793CE6" w:rsidRPr="00980BBE">
        <w:rPr>
          <w:rFonts w:ascii="Arial" w:hAnsi="Arial" w:cs="Arial"/>
          <w:sz w:val="22"/>
          <w:szCs w:val="22"/>
        </w:rPr>
        <w:t>dementia.</w:t>
      </w:r>
      <w:r w:rsidRPr="00980BBE">
        <w:rPr>
          <w:rFonts w:ascii="Arial" w:hAnsi="Arial" w:cs="Arial"/>
          <w:sz w:val="22"/>
          <w:szCs w:val="22"/>
        </w:rPr>
        <w:t xml:space="preserve"> </w:t>
      </w:r>
      <w:r w:rsidR="00793CE6" w:rsidRPr="00980BBE">
        <w:rPr>
          <w:rFonts w:ascii="Arial" w:hAnsi="Arial" w:cs="Arial"/>
          <w:sz w:val="22"/>
          <w:szCs w:val="22"/>
        </w:rPr>
        <w:t>In contrast</w:t>
      </w:r>
      <w:r w:rsidR="00301AF2" w:rsidRPr="00980BBE">
        <w:rPr>
          <w:rFonts w:ascii="Arial" w:hAnsi="Arial" w:cs="Arial"/>
          <w:sz w:val="22"/>
          <w:szCs w:val="22"/>
        </w:rPr>
        <w:t xml:space="preserve">, a historical pattern of excessive spirit consumption is linked to higher </w:t>
      </w:r>
      <w:r w:rsidR="005717A9" w:rsidRPr="00980BBE">
        <w:rPr>
          <w:rFonts w:ascii="Arial" w:hAnsi="Arial" w:cs="Arial"/>
          <w:sz w:val="22"/>
          <w:szCs w:val="22"/>
        </w:rPr>
        <w:t xml:space="preserve">rates of alcohol-related premature mortality and </w:t>
      </w:r>
      <w:r w:rsidRPr="00980BBE">
        <w:rPr>
          <w:rFonts w:ascii="Arial" w:hAnsi="Arial" w:cs="Arial"/>
          <w:sz w:val="22"/>
          <w:szCs w:val="22"/>
        </w:rPr>
        <w:t xml:space="preserve">neurocognitive </w:t>
      </w:r>
      <w:r w:rsidR="00F5794E" w:rsidRPr="00980BBE">
        <w:rPr>
          <w:rFonts w:ascii="Arial" w:hAnsi="Arial" w:cs="Arial"/>
          <w:sz w:val="22"/>
          <w:szCs w:val="22"/>
        </w:rPr>
        <w:t>decline</w:t>
      </w:r>
      <w:r w:rsidRPr="00980BBE">
        <w:rPr>
          <w:rFonts w:ascii="Arial" w:hAnsi="Arial" w:cs="Arial"/>
          <w:sz w:val="22"/>
          <w:szCs w:val="22"/>
        </w:rPr>
        <w:t xml:space="preserve"> in Russia and </w:t>
      </w:r>
      <w:r w:rsidR="00F5794E" w:rsidRPr="00980BBE">
        <w:rPr>
          <w:rFonts w:ascii="Arial" w:hAnsi="Arial" w:cs="Arial"/>
          <w:sz w:val="22"/>
          <w:szCs w:val="22"/>
        </w:rPr>
        <w:t>parts</w:t>
      </w:r>
      <w:r w:rsidRPr="00980BBE">
        <w:rPr>
          <w:rFonts w:ascii="Arial" w:hAnsi="Arial" w:cs="Arial"/>
          <w:sz w:val="22"/>
          <w:szCs w:val="22"/>
        </w:rPr>
        <w:t xml:space="preserve"> of Eastern Europe (Shannon et al., 2023).</w:t>
      </w:r>
    </w:p>
    <w:p w14:paraId="77BB29B7" w14:textId="2CCBC034" w:rsidR="00D40E62" w:rsidRPr="00980BBE" w:rsidRDefault="00EC456F" w:rsidP="001D2D05">
      <w:pPr>
        <w:spacing w:line="360" w:lineRule="auto"/>
        <w:rPr>
          <w:rFonts w:ascii="Arial" w:hAnsi="Arial" w:cs="Arial"/>
          <w:sz w:val="22"/>
          <w:szCs w:val="22"/>
        </w:rPr>
      </w:pPr>
      <w:r w:rsidRPr="00980BBE">
        <w:rPr>
          <w:rFonts w:ascii="Arial" w:hAnsi="Arial" w:cs="Arial"/>
          <w:sz w:val="22"/>
          <w:szCs w:val="22"/>
        </w:rPr>
        <w:t xml:space="preserve">Scandinavian countries </w:t>
      </w:r>
      <w:r w:rsidR="00D23191" w:rsidRPr="00980BBE">
        <w:rPr>
          <w:rFonts w:ascii="Arial" w:hAnsi="Arial" w:cs="Arial"/>
          <w:sz w:val="22"/>
          <w:szCs w:val="22"/>
        </w:rPr>
        <w:t>enforce st</w:t>
      </w:r>
      <w:r w:rsidR="00F64D07" w:rsidRPr="00980BBE">
        <w:rPr>
          <w:rFonts w:ascii="Arial" w:hAnsi="Arial" w:cs="Arial"/>
          <w:sz w:val="22"/>
          <w:szCs w:val="22"/>
        </w:rPr>
        <w:t xml:space="preserve">ringent alcohol control </w:t>
      </w:r>
      <w:r w:rsidR="00B50C03" w:rsidRPr="00980BBE">
        <w:rPr>
          <w:rFonts w:ascii="Arial" w:hAnsi="Arial" w:cs="Arial"/>
          <w:sz w:val="22"/>
          <w:szCs w:val="22"/>
        </w:rPr>
        <w:t>measures</w:t>
      </w:r>
      <w:r w:rsidR="007F3F80" w:rsidRPr="00980BBE">
        <w:rPr>
          <w:rFonts w:ascii="Arial" w:hAnsi="Arial" w:cs="Arial"/>
          <w:sz w:val="22"/>
          <w:szCs w:val="22"/>
        </w:rPr>
        <w:t xml:space="preserve">, including taxation and restricted </w:t>
      </w:r>
      <w:r w:rsidRPr="00980BBE">
        <w:rPr>
          <w:rFonts w:ascii="Arial" w:hAnsi="Arial" w:cs="Arial"/>
          <w:sz w:val="22"/>
          <w:szCs w:val="22"/>
        </w:rPr>
        <w:t xml:space="preserve">availability, </w:t>
      </w:r>
      <w:r w:rsidR="007F3F80" w:rsidRPr="00980BBE">
        <w:rPr>
          <w:rFonts w:ascii="Arial" w:hAnsi="Arial" w:cs="Arial"/>
          <w:sz w:val="22"/>
          <w:szCs w:val="22"/>
        </w:rPr>
        <w:t>which</w:t>
      </w:r>
      <w:r w:rsidR="00D9438D" w:rsidRPr="00980BBE">
        <w:rPr>
          <w:rFonts w:ascii="Arial" w:hAnsi="Arial" w:cs="Arial"/>
          <w:sz w:val="22"/>
          <w:szCs w:val="22"/>
        </w:rPr>
        <w:t xml:space="preserve"> effectively mitigate </w:t>
      </w:r>
      <w:r w:rsidRPr="00980BBE">
        <w:rPr>
          <w:rFonts w:ascii="Arial" w:hAnsi="Arial" w:cs="Arial"/>
          <w:sz w:val="22"/>
          <w:szCs w:val="22"/>
        </w:rPr>
        <w:t xml:space="preserve">alcohol-related harm </w:t>
      </w:r>
      <w:r w:rsidR="00D40E62" w:rsidRPr="00980BBE">
        <w:rPr>
          <w:rFonts w:ascii="Arial" w:hAnsi="Arial" w:cs="Arial"/>
          <w:sz w:val="22"/>
          <w:szCs w:val="22"/>
        </w:rPr>
        <w:t>(Anderson, Chisholm and Fuhr, 2009)</w:t>
      </w:r>
      <w:r w:rsidR="005B113D" w:rsidRPr="00980BBE">
        <w:rPr>
          <w:rFonts w:ascii="Arial" w:hAnsi="Arial" w:cs="Arial"/>
          <w:sz w:val="22"/>
          <w:szCs w:val="22"/>
        </w:rPr>
        <w:t>.</w:t>
      </w:r>
    </w:p>
    <w:p w14:paraId="41155AD0" w14:textId="250623C2" w:rsidR="00597AE1" w:rsidRPr="00980BBE" w:rsidRDefault="00EC456F" w:rsidP="001D2D05">
      <w:pPr>
        <w:spacing w:line="360" w:lineRule="auto"/>
        <w:rPr>
          <w:rFonts w:ascii="Arial" w:hAnsi="Arial" w:cs="Arial"/>
          <w:sz w:val="22"/>
          <w:szCs w:val="22"/>
        </w:rPr>
      </w:pPr>
      <w:r w:rsidRPr="00980BBE">
        <w:rPr>
          <w:rFonts w:ascii="Arial" w:hAnsi="Arial" w:cs="Arial"/>
          <w:sz w:val="22"/>
          <w:szCs w:val="22"/>
        </w:rPr>
        <w:t xml:space="preserve">Meanwhile, Australia and Canada have </w:t>
      </w:r>
      <w:r w:rsidR="008526ED" w:rsidRPr="00980BBE">
        <w:rPr>
          <w:rFonts w:ascii="Arial" w:hAnsi="Arial" w:cs="Arial"/>
          <w:sz w:val="22"/>
          <w:szCs w:val="22"/>
        </w:rPr>
        <w:t>implemented</w:t>
      </w:r>
      <w:r w:rsidRPr="00980BBE">
        <w:rPr>
          <w:rFonts w:ascii="Arial" w:hAnsi="Arial" w:cs="Arial"/>
          <w:sz w:val="22"/>
          <w:szCs w:val="22"/>
        </w:rPr>
        <w:t xml:space="preserve"> early-intervention programs </w:t>
      </w:r>
      <w:r w:rsidR="008526ED" w:rsidRPr="00980BBE">
        <w:rPr>
          <w:rFonts w:ascii="Arial" w:hAnsi="Arial" w:cs="Arial"/>
          <w:sz w:val="22"/>
          <w:szCs w:val="22"/>
        </w:rPr>
        <w:t xml:space="preserve">incorporating </w:t>
      </w:r>
      <w:r w:rsidRPr="00980BBE">
        <w:rPr>
          <w:rFonts w:ascii="Arial" w:hAnsi="Arial" w:cs="Arial"/>
          <w:sz w:val="22"/>
          <w:szCs w:val="22"/>
        </w:rPr>
        <w:t xml:space="preserve">cognitive screening </w:t>
      </w:r>
      <w:r w:rsidR="008B473C" w:rsidRPr="00980BBE">
        <w:rPr>
          <w:rFonts w:ascii="Arial" w:hAnsi="Arial" w:cs="Arial"/>
          <w:sz w:val="22"/>
          <w:szCs w:val="22"/>
        </w:rPr>
        <w:t>within alcohol</w:t>
      </w:r>
      <w:r w:rsidRPr="00980BBE">
        <w:rPr>
          <w:rFonts w:ascii="Arial" w:hAnsi="Arial" w:cs="Arial"/>
          <w:sz w:val="22"/>
          <w:szCs w:val="22"/>
        </w:rPr>
        <w:t xml:space="preserve"> services, resulting in a </w:t>
      </w:r>
      <w:r w:rsidR="008B473C" w:rsidRPr="00980BBE">
        <w:rPr>
          <w:rFonts w:ascii="Arial" w:hAnsi="Arial" w:cs="Arial"/>
          <w:sz w:val="22"/>
          <w:szCs w:val="22"/>
        </w:rPr>
        <w:t>reduced</w:t>
      </w:r>
      <w:r w:rsidRPr="00980BBE">
        <w:rPr>
          <w:rFonts w:ascii="Arial" w:hAnsi="Arial" w:cs="Arial"/>
          <w:sz w:val="22"/>
          <w:szCs w:val="22"/>
        </w:rPr>
        <w:t xml:space="preserve"> incidence of alcohol-related years of disability (YOD)</w:t>
      </w:r>
      <w:r w:rsidR="00597AE1" w:rsidRPr="00980BBE">
        <w:rPr>
          <w:rFonts w:ascii="Arial" w:hAnsi="Arial" w:cs="Arial"/>
          <w:sz w:val="22"/>
          <w:szCs w:val="22"/>
        </w:rPr>
        <w:t xml:space="preserve"> (</w:t>
      </w:r>
      <w:r w:rsidR="00BB608F" w:rsidRPr="00980BBE">
        <w:rPr>
          <w:rFonts w:ascii="Arial" w:hAnsi="Arial" w:cs="Arial"/>
          <w:sz w:val="22"/>
          <w:szCs w:val="22"/>
        </w:rPr>
        <w:t>Ridley, Draper</w:t>
      </w:r>
      <w:r w:rsidR="00A3261A" w:rsidRPr="00980BBE">
        <w:rPr>
          <w:rFonts w:ascii="Arial" w:hAnsi="Arial" w:cs="Arial"/>
          <w:sz w:val="22"/>
          <w:szCs w:val="22"/>
        </w:rPr>
        <w:t xml:space="preserve"> </w:t>
      </w:r>
      <w:r w:rsidR="00BB608F" w:rsidRPr="00980BBE">
        <w:rPr>
          <w:rFonts w:ascii="Arial" w:hAnsi="Arial" w:cs="Arial"/>
          <w:sz w:val="22"/>
          <w:szCs w:val="22"/>
        </w:rPr>
        <w:t>and Withall, 2013</w:t>
      </w:r>
      <w:r w:rsidR="006249AC" w:rsidRPr="00980BBE">
        <w:rPr>
          <w:rFonts w:ascii="Arial" w:hAnsi="Arial" w:cs="Arial"/>
          <w:sz w:val="22"/>
          <w:szCs w:val="22"/>
        </w:rPr>
        <w:t>b</w:t>
      </w:r>
      <w:r w:rsidR="00597AE1" w:rsidRPr="00980BBE">
        <w:rPr>
          <w:rFonts w:ascii="Arial" w:hAnsi="Arial" w:cs="Arial"/>
          <w:sz w:val="22"/>
          <w:szCs w:val="22"/>
        </w:rPr>
        <w:t>; Kovačić Petrović, Peraica, and Kozarić-Kovačić, 2025)</w:t>
      </w:r>
      <w:r w:rsidR="002C10BA" w:rsidRPr="00980BBE">
        <w:rPr>
          <w:rFonts w:ascii="Arial" w:hAnsi="Arial" w:cs="Arial"/>
          <w:sz w:val="22"/>
          <w:szCs w:val="22"/>
        </w:rPr>
        <w:t xml:space="preserve">. </w:t>
      </w:r>
    </w:p>
    <w:p w14:paraId="6B49A471" w14:textId="77777777" w:rsidR="00597AE1" w:rsidRPr="00AE1E76" w:rsidRDefault="00597AE1" w:rsidP="006A3180">
      <w:pPr>
        <w:pStyle w:val="Heading1"/>
        <w:rPr>
          <w:rFonts w:ascii="Arial" w:hAnsi="Arial" w:cs="Arial"/>
          <w:b/>
          <w:bCs/>
          <w:color w:val="auto"/>
          <w:sz w:val="28"/>
          <w:szCs w:val="28"/>
          <w:u w:val="single"/>
        </w:rPr>
      </w:pPr>
      <w:bookmarkStart w:id="16" w:name="_Toc225966609"/>
      <w:r w:rsidRPr="00AE1E76">
        <w:rPr>
          <w:rFonts w:ascii="Arial" w:hAnsi="Arial" w:cs="Arial"/>
          <w:b/>
          <w:bCs/>
          <w:color w:val="auto"/>
          <w:sz w:val="28"/>
          <w:szCs w:val="28"/>
          <w:u w:val="single"/>
        </w:rPr>
        <w:t>Case Studies</w:t>
      </w:r>
      <w:bookmarkEnd w:id="16"/>
      <w:r w:rsidRPr="00AE1E76">
        <w:rPr>
          <w:rFonts w:ascii="Arial" w:hAnsi="Arial" w:cs="Arial"/>
          <w:b/>
          <w:bCs/>
          <w:color w:val="auto"/>
          <w:sz w:val="28"/>
          <w:szCs w:val="28"/>
          <w:u w:val="single"/>
        </w:rPr>
        <w:t> </w:t>
      </w:r>
    </w:p>
    <w:p w14:paraId="4BE4FEDF" w14:textId="11B04A62" w:rsidR="0012129E" w:rsidRPr="00980BBE" w:rsidRDefault="0012129E" w:rsidP="001D2D05">
      <w:pPr>
        <w:spacing w:line="360" w:lineRule="auto"/>
        <w:rPr>
          <w:rFonts w:ascii="Arial" w:hAnsi="Arial" w:cs="Arial"/>
          <w:sz w:val="22"/>
          <w:szCs w:val="22"/>
        </w:rPr>
      </w:pPr>
      <w:r w:rsidRPr="00980BBE">
        <w:rPr>
          <w:rFonts w:ascii="Arial" w:hAnsi="Arial" w:cs="Arial"/>
          <w:sz w:val="22"/>
          <w:szCs w:val="22"/>
        </w:rPr>
        <w:t xml:space="preserve">In Australia, early-intervention health programs and the "DrinkWise" campaign have </w:t>
      </w:r>
      <w:r w:rsidR="00335385" w:rsidRPr="00980BBE">
        <w:rPr>
          <w:rFonts w:ascii="Arial" w:hAnsi="Arial" w:cs="Arial"/>
          <w:sz w:val="22"/>
          <w:szCs w:val="22"/>
        </w:rPr>
        <w:t>effectively targeted y</w:t>
      </w:r>
      <w:r w:rsidRPr="00980BBE">
        <w:rPr>
          <w:rFonts w:ascii="Arial" w:hAnsi="Arial" w:cs="Arial"/>
          <w:sz w:val="22"/>
          <w:szCs w:val="22"/>
        </w:rPr>
        <w:t xml:space="preserve">oung individuals </w:t>
      </w:r>
      <w:r w:rsidR="00F938A7" w:rsidRPr="00980BBE">
        <w:rPr>
          <w:rFonts w:ascii="Arial" w:hAnsi="Arial" w:cs="Arial"/>
          <w:sz w:val="22"/>
          <w:szCs w:val="22"/>
        </w:rPr>
        <w:t xml:space="preserve">identified by the </w:t>
      </w:r>
      <w:r w:rsidR="002B1D3E" w:rsidRPr="00980BBE">
        <w:rPr>
          <w:rFonts w:ascii="Arial" w:hAnsi="Arial" w:cs="Arial"/>
          <w:sz w:val="22"/>
          <w:szCs w:val="22"/>
        </w:rPr>
        <w:t xml:space="preserve">World </w:t>
      </w:r>
      <w:r w:rsidR="00227045" w:rsidRPr="00980BBE">
        <w:rPr>
          <w:rFonts w:ascii="Arial" w:hAnsi="Arial" w:cs="Arial"/>
          <w:sz w:val="22"/>
          <w:szCs w:val="22"/>
        </w:rPr>
        <w:t>Health</w:t>
      </w:r>
      <w:r w:rsidR="002B1D3E" w:rsidRPr="00980BBE">
        <w:rPr>
          <w:rFonts w:ascii="Arial" w:hAnsi="Arial" w:cs="Arial"/>
          <w:sz w:val="22"/>
          <w:szCs w:val="22"/>
        </w:rPr>
        <w:t xml:space="preserve"> </w:t>
      </w:r>
      <w:r w:rsidR="00227045" w:rsidRPr="00980BBE">
        <w:rPr>
          <w:rFonts w:ascii="Arial" w:hAnsi="Arial" w:cs="Arial"/>
          <w:sz w:val="22"/>
          <w:szCs w:val="22"/>
        </w:rPr>
        <w:t>organisation</w:t>
      </w:r>
      <w:r w:rsidR="002B1D3E" w:rsidRPr="00980BBE">
        <w:rPr>
          <w:rFonts w:ascii="Arial" w:hAnsi="Arial" w:cs="Arial"/>
          <w:sz w:val="22"/>
          <w:szCs w:val="22"/>
        </w:rPr>
        <w:t xml:space="preserve"> </w:t>
      </w:r>
      <w:r w:rsidRPr="00980BBE">
        <w:rPr>
          <w:rFonts w:ascii="Arial" w:hAnsi="Arial" w:cs="Arial"/>
          <w:sz w:val="22"/>
          <w:szCs w:val="22"/>
        </w:rPr>
        <w:t xml:space="preserve"> </w:t>
      </w:r>
      <w:r w:rsidR="00F938A7" w:rsidRPr="00980BBE">
        <w:rPr>
          <w:rFonts w:ascii="Arial" w:hAnsi="Arial" w:cs="Arial"/>
          <w:sz w:val="22"/>
          <w:szCs w:val="22"/>
        </w:rPr>
        <w:t xml:space="preserve">as being at </w:t>
      </w:r>
      <w:r w:rsidR="00B72C50" w:rsidRPr="00980BBE">
        <w:rPr>
          <w:rFonts w:ascii="Arial" w:hAnsi="Arial" w:cs="Arial"/>
          <w:sz w:val="22"/>
          <w:szCs w:val="22"/>
        </w:rPr>
        <w:t>r</w:t>
      </w:r>
      <w:r w:rsidRPr="00980BBE">
        <w:rPr>
          <w:rFonts w:ascii="Arial" w:hAnsi="Arial" w:cs="Arial"/>
          <w:sz w:val="22"/>
          <w:szCs w:val="22"/>
        </w:rPr>
        <w:t xml:space="preserve">isk of alcohol abuse. Alcohol harm reduction initiatives in New Zealand address </w:t>
      </w:r>
      <w:r w:rsidR="00B72C50" w:rsidRPr="00980BBE">
        <w:rPr>
          <w:rFonts w:ascii="Arial" w:hAnsi="Arial" w:cs="Arial"/>
          <w:sz w:val="22"/>
          <w:szCs w:val="22"/>
        </w:rPr>
        <w:t>persistent</w:t>
      </w:r>
      <w:r w:rsidRPr="00980BBE">
        <w:rPr>
          <w:rFonts w:ascii="Arial" w:hAnsi="Arial" w:cs="Arial"/>
          <w:sz w:val="22"/>
          <w:szCs w:val="22"/>
        </w:rPr>
        <w:t xml:space="preserve"> inequities by providing Māori populations with culturally </w:t>
      </w:r>
      <w:r w:rsidR="009D6A0A" w:rsidRPr="00980BBE">
        <w:rPr>
          <w:rFonts w:ascii="Arial" w:hAnsi="Arial" w:cs="Arial"/>
          <w:sz w:val="22"/>
          <w:szCs w:val="22"/>
        </w:rPr>
        <w:t>tailored</w:t>
      </w:r>
      <w:r w:rsidRPr="00980BBE">
        <w:rPr>
          <w:rFonts w:ascii="Arial" w:hAnsi="Arial" w:cs="Arial"/>
          <w:sz w:val="22"/>
          <w:szCs w:val="22"/>
        </w:rPr>
        <w:t xml:space="preserve"> care (Randerson et al., 2025). </w:t>
      </w:r>
      <w:r w:rsidRPr="00980BBE">
        <w:rPr>
          <w:rFonts w:ascii="Arial" w:hAnsi="Arial" w:cs="Arial"/>
          <w:sz w:val="22"/>
          <w:szCs w:val="22"/>
        </w:rPr>
        <w:br/>
        <w:t xml:space="preserve">Despite these successes, many low- and middle-income countries </w:t>
      </w:r>
      <w:r w:rsidR="009D6A0A" w:rsidRPr="00980BBE">
        <w:rPr>
          <w:rFonts w:ascii="Arial" w:hAnsi="Arial" w:cs="Arial"/>
          <w:sz w:val="22"/>
          <w:szCs w:val="22"/>
        </w:rPr>
        <w:t>face</w:t>
      </w:r>
      <w:r w:rsidRPr="00980BBE">
        <w:rPr>
          <w:rFonts w:ascii="Arial" w:hAnsi="Arial" w:cs="Arial"/>
          <w:sz w:val="22"/>
          <w:szCs w:val="22"/>
        </w:rPr>
        <w:t xml:space="preserve"> challenges such as </w:t>
      </w:r>
      <w:r w:rsidR="009D6A0A" w:rsidRPr="00980BBE">
        <w:rPr>
          <w:rFonts w:ascii="Arial" w:hAnsi="Arial" w:cs="Arial"/>
          <w:sz w:val="22"/>
          <w:szCs w:val="22"/>
        </w:rPr>
        <w:t>under-resources</w:t>
      </w:r>
      <w:r w:rsidR="00667F78" w:rsidRPr="00980BBE">
        <w:rPr>
          <w:rFonts w:ascii="Arial" w:hAnsi="Arial" w:cs="Arial"/>
          <w:sz w:val="22"/>
          <w:szCs w:val="22"/>
        </w:rPr>
        <w:t xml:space="preserve"> </w:t>
      </w:r>
      <w:r w:rsidRPr="00980BBE">
        <w:rPr>
          <w:rFonts w:ascii="Arial" w:hAnsi="Arial" w:cs="Arial"/>
          <w:sz w:val="22"/>
          <w:szCs w:val="22"/>
        </w:rPr>
        <w:t xml:space="preserve"> healthcare systems,</w:t>
      </w:r>
      <w:r w:rsidR="00667F78" w:rsidRPr="00980BBE">
        <w:rPr>
          <w:rFonts w:ascii="Arial" w:hAnsi="Arial" w:cs="Arial"/>
          <w:sz w:val="22"/>
          <w:szCs w:val="22"/>
        </w:rPr>
        <w:t xml:space="preserve"> limited awareness </w:t>
      </w:r>
      <w:r w:rsidRPr="00980BBE">
        <w:rPr>
          <w:rFonts w:ascii="Arial" w:hAnsi="Arial" w:cs="Arial"/>
          <w:sz w:val="22"/>
          <w:szCs w:val="22"/>
        </w:rPr>
        <w:t xml:space="preserve">of dementia symptoms, and financial </w:t>
      </w:r>
      <w:r w:rsidR="00393249" w:rsidRPr="00980BBE">
        <w:rPr>
          <w:rFonts w:ascii="Arial" w:hAnsi="Arial" w:cs="Arial"/>
          <w:sz w:val="22"/>
          <w:szCs w:val="22"/>
        </w:rPr>
        <w:t>const</w:t>
      </w:r>
      <w:r w:rsidR="003629AD" w:rsidRPr="00980BBE">
        <w:rPr>
          <w:rFonts w:ascii="Arial" w:hAnsi="Arial" w:cs="Arial"/>
          <w:sz w:val="22"/>
          <w:szCs w:val="22"/>
        </w:rPr>
        <w:t>rains</w:t>
      </w:r>
      <w:r w:rsidRPr="00980BBE">
        <w:rPr>
          <w:rFonts w:ascii="Arial" w:hAnsi="Arial" w:cs="Arial"/>
          <w:sz w:val="22"/>
          <w:szCs w:val="22"/>
        </w:rPr>
        <w:t xml:space="preserve"> that exacerbate binge drinking.</w:t>
      </w:r>
    </w:p>
    <w:p w14:paraId="4162E52F" w14:textId="51C49888" w:rsidR="00597AE1" w:rsidRPr="00980BBE" w:rsidRDefault="00597AE1" w:rsidP="001D2D05">
      <w:pPr>
        <w:spacing w:line="360" w:lineRule="auto"/>
        <w:rPr>
          <w:rFonts w:ascii="Arial" w:hAnsi="Arial" w:cs="Arial"/>
          <w:sz w:val="22"/>
          <w:szCs w:val="22"/>
        </w:rPr>
      </w:pPr>
      <w:r w:rsidRPr="00980BBE">
        <w:rPr>
          <w:rFonts w:ascii="Arial" w:hAnsi="Arial" w:cs="Arial"/>
          <w:sz w:val="22"/>
          <w:szCs w:val="22"/>
        </w:rPr>
        <w:t>Global data collectively </w:t>
      </w:r>
      <w:r w:rsidR="00433D74" w:rsidRPr="00980BBE">
        <w:rPr>
          <w:rFonts w:ascii="Arial" w:hAnsi="Arial" w:cs="Arial"/>
          <w:sz w:val="22"/>
          <w:szCs w:val="22"/>
        </w:rPr>
        <w:t>demonstrates</w:t>
      </w:r>
      <w:r w:rsidRPr="00980BBE">
        <w:rPr>
          <w:rFonts w:ascii="Arial" w:hAnsi="Arial" w:cs="Arial"/>
          <w:sz w:val="22"/>
          <w:szCs w:val="22"/>
        </w:rPr>
        <w:t xml:space="preserve"> that cultural norms, regulatory frameworks, and socioeconomic </w:t>
      </w:r>
      <w:r w:rsidR="00164922" w:rsidRPr="00980BBE">
        <w:rPr>
          <w:rFonts w:ascii="Arial" w:hAnsi="Arial" w:cs="Arial"/>
          <w:sz w:val="22"/>
          <w:szCs w:val="22"/>
        </w:rPr>
        <w:t>conditions</w:t>
      </w:r>
      <w:r w:rsidR="00D22DB1" w:rsidRPr="00980BBE">
        <w:rPr>
          <w:rFonts w:ascii="Arial" w:hAnsi="Arial" w:cs="Arial"/>
          <w:sz w:val="22"/>
          <w:szCs w:val="22"/>
        </w:rPr>
        <w:t xml:space="preserve"> influence </w:t>
      </w:r>
      <w:r w:rsidRPr="00980BBE">
        <w:rPr>
          <w:rFonts w:ascii="Arial" w:hAnsi="Arial" w:cs="Arial"/>
          <w:sz w:val="22"/>
          <w:szCs w:val="22"/>
        </w:rPr>
        <w:t xml:space="preserve">outcomes related to alcohol-induced dementia. </w:t>
      </w:r>
      <w:r w:rsidR="00EF3850" w:rsidRPr="00980BBE">
        <w:rPr>
          <w:rFonts w:ascii="Arial" w:hAnsi="Arial" w:cs="Arial"/>
          <w:sz w:val="22"/>
          <w:szCs w:val="22"/>
        </w:rPr>
        <w:t>I</w:t>
      </w:r>
      <w:r w:rsidR="00D22DB1" w:rsidRPr="00980BBE">
        <w:rPr>
          <w:rFonts w:ascii="Arial" w:hAnsi="Arial" w:cs="Arial"/>
          <w:sz w:val="22"/>
          <w:szCs w:val="22"/>
        </w:rPr>
        <w:t>m</w:t>
      </w:r>
      <w:r w:rsidR="00EF3850" w:rsidRPr="00980BBE">
        <w:rPr>
          <w:rFonts w:ascii="Arial" w:hAnsi="Arial" w:cs="Arial"/>
          <w:sz w:val="22"/>
          <w:szCs w:val="22"/>
        </w:rPr>
        <w:t>portantly</w:t>
      </w:r>
      <w:r w:rsidRPr="00980BBE">
        <w:rPr>
          <w:rFonts w:ascii="Arial" w:hAnsi="Arial" w:cs="Arial"/>
          <w:sz w:val="22"/>
          <w:szCs w:val="22"/>
        </w:rPr>
        <w:t xml:space="preserve">, international </w:t>
      </w:r>
      <w:r w:rsidR="00EF3850" w:rsidRPr="00980BBE">
        <w:rPr>
          <w:rFonts w:ascii="Arial" w:hAnsi="Arial" w:cs="Arial"/>
          <w:sz w:val="22"/>
          <w:szCs w:val="22"/>
        </w:rPr>
        <w:t>research</w:t>
      </w:r>
      <w:r w:rsidRPr="00980BBE">
        <w:rPr>
          <w:rFonts w:ascii="Arial" w:hAnsi="Arial" w:cs="Arial"/>
          <w:sz w:val="22"/>
          <w:szCs w:val="22"/>
        </w:rPr>
        <w:t> </w:t>
      </w:r>
      <w:r w:rsidR="00433D74" w:rsidRPr="00980BBE">
        <w:rPr>
          <w:rFonts w:ascii="Arial" w:hAnsi="Arial" w:cs="Arial"/>
          <w:sz w:val="22"/>
          <w:szCs w:val="22"/>
        </w:rPr>
        <w:t>indicates</w:t>
      </w:r>
      <w:r w:rsidRPr="00980BBE">
        <w:rPr>
          <w:rFonts w:ascii="Arial" w:hAnsi="Arial" w:cs="Arial"/>
          <w:sz w:val="22"/>
          <w:szCs w:val="22"/>
        </w:rPr>
        <w:t xml:space="preserve"> that although regulatory interventions might mitigate alcohol-related harm, structural inequities </w:t>
      </w:r>
      <w:r w:rsidR="00002A28" w:rsidRPr="00980BBE">
        <w:rPr>
          <w:rFonts w:ascii="Arial" w:hAnsi="Arial" w:cs="Arial"/>
          <w:sz w:val="22"/>
          <w:szCs w:val="22"/>
        </w:rPr>
        <w:t>remain</w:t>
      </w:r>
      <w:r w:rsidRPr="00980BBE">
        <w:rPr>
          <w:rFonts w:ascii="Arial" w:hAnsi="Arial" w:cs="Arial"/>
          <w:sz w:val="22"/>
          <w:szCs w:val="22"/>
        </w:rPr>
        <w:t xml:space="preserve">  primary </w:t>
      </w:r>
      <w:r w:rsidR="00002A28" w:rsidRPr="00980BBE">
        <w:rPr>
          <w:rFonts w:ascii="Arial" w:hAnsi="Arial" w:cs="Arial"/>
          <w:sz w:val="22"/>
          <w:szCs w:val="22"/>
        </w:rPr>
        <w:t>determinants</w:t>
      </w:r>
      <w:r w:rsidRPr="00980BBE">
        <w:rPr>
          <w:rFonts w:ascii="Arial" w:hAnsi="Arial" w:cs="Arial"/>
          <w:sz w:val="22"/>
          <w:szCs w:val="22"/>
        </w:rPr>
        <w:t xml:space="preserve"> of risk</w:t>
      </w:r>
      <w:r w:rsidR="00EA26CB" w:rsidRPr="00980BBE">
        <w:rPr>
          <w:rFonts w:ascii="Arial" w:hAnsi="Arial" w:cs="Arial"/>
          <w:sz w:val="22"/>
          <w:szCs w:val="22"/>
        </w:rPr>
        <w:t xml:space="preserve"> (</w:t>
      </w:r>
      <w:r w:rsidR="008F3FD5" w:rsidRPr="00980BBE">
        <w:rPr>
          <w:rFonts w:ascii="Arial" w:hAnsi="Arial" w:cs="Arial"/>
          <w:sz w:val="22"/>
          <w:szCs w:val="22"/>
        </w:rPr>
        <w:t>Hao</w:t>
      </w:r>
      <w:r w:rsidR="00EA26CB" w:rsidRPr="00980BBE">
        <w:rPr>
          <w:rFonts w:ascii="Arial" w:hAnsi="Arial" w:cs="Arial"/>
          <w:sz w:val="22"/>
          <w:szCs w:val="22"/>
        </w:rPr>
        <w:t>, 2026)</w:t>
      </w:r>
      <w:r w:rsidR="00216973" w:rsidRPr="00980BBE">
        <w:rPr>
          <w:rFonts w:ascii="Arial" w:hAnsi="Arial" w:cs="Arial"/>
          <w:sz w:val="22"/>
          <w:szCs w:val="22"/>
        </w:rPr>
        <w:t>.</w:t>
      </w:r>
    </w:p>
    <w:p w14:paraId="09FF2354" w14:textId="681BD061" w:rsidR="00597AE1" w:rsidRPr="00266F7A" w:rsidRDefault="00597AE1" w:rsidP="006A3180">
      <w:pPr>
        <w:pStyle w:val="Heading1"/>
        <w:rPr>
          <w:rFonts w:ascii="Arial" w:hAnsi="Arial" w:cs="Arial"/>
          <w:b/>
          <w:bCs/>
          <w:color w:val="auto"/>
          <w:sz w:val="28"/>
          <w:szCs w:val="28"/>
          <w:u w:val="single"/>
        </w:rPr>
      </w:pPr>
      <w:bookmarkStart w:id="17" w:name="_Toc225966610"/>
      <w:r w:rsidRPr="00266F7A">
        <w:rPr>
          <w:rFonts w:ascii="Arial" w:hAnsi="Arial" w:cs="Arial"/>
          <w:b/>
          <w:bCs/>
          <w:color w:val="auto"/>
          <w:sz w:val="28"/>
          <w:szCs w:val="28"/>
          <w:u w:val="single"/>
        </w:rPr>
        <w:t>National/Local UK Context</w:t>
      </w:r>
      <w:bookmarkEnd w:id="17"/>
      <w:r w:rsidRPr="00266F7A">
        <w:rPr>
          <w:rFonts w:ascii="Arial" w:hAnsi="Arial" w:cs="Arial"/>
          <w:b/>
          <w:bCs/>
          <w:color w:val="auto"/>
          <w:sz w:val="28"/>
          <w:szCs w:val="28"/>
          <w:u w:val="single"/>
        </w:rPr>
        <w:t>  </w:t>
      </w:r>
    </w:p>
    <w:p w14:paraId="1BFB0C88" w14:textId="77777777" w:rsidR="00597AE1" w:rsidRDefault="00597AE1" w:rsidP="001D2D05">
      <w:pPr>
        <w:spacing w:line="360" w:lineRule="auto"/>
        <w:rPr>
          <w:rFonts w:ascii="Arial" w:hAnsi="Arial" w:cs="Arial"/>
          <w:b/>
          <w:bCs/>
          <w:sz w:val="28"/>
          <w:szCs w:val="28"/>
          <w:u w:val="single"/>
        </w:rPr>
      </w:pPr>
      <w:r w:rsidRPr="00266F7A">
        <w:rPr>
          <w:rFonts w:ascii="Arial" w:hAnsi="Arial" w:cs="Arial"/>
          <w:b/>
          <w:bCs/>
          <w:sz w:val="28"/>
          <w:szCs w:val="28"/>
          <w:u w:val="single"/>
        </w:rPr>
        <w:t>UK Perspective </w:t>
      </w:r>
    </w:p>
    <w:p w14:paraId="55079E14" w14:textId="77777777" w:rsidR="00D17371" w:rsidRPr="00D17371" w:rsidRDefault="00D17371" w:rsidP="00D17371">
      <w:pPr>
        <w:spacing w:line="360" w:lineRule="auto"/>
        <w:rPr>
          <w:rFonts w:ascii="Arial" w:hAnsi="Arial" w:cs="Arial"/>
          <w:sz w:val="22"/>
          <w:szCs w:val="22"/>
        </w:rPr>
      </w:pPr>
      <w:r w:rsidRPr="00D17371">
        <w:rPr>
          <w:rFonts w:ascii="Arial" w:hAnsi="Arial" w:cs="Arial"/>
          <w:sz w:val="22"/>
          <w:szCs w:val="22"/>
        </w:rPr>
        <w:lastRenderedPageBreak/>
        <w:t>Alcohol misuse remains a major public health challenge in the UK, with pronounced socioeconomic disparities. Men in the lowest socioeconomic quintile face a four-fold higher risk of dying from alcohol-related causes than those in the wealthiest groups (Office for Health Improvement and Disparities, 2022). Marginalized populations often experience higher stress, poor living conditions, and limited healthcare access, linking hardship to harmful drinking and poor health outcomes.</w:t>
      </w:r>
    </w:p>
    <w:p w14:paraId="0DC3CAD4" w14:textId="3E4B6993" w:rsidR="00D17371" w:rsidRPr="00D17371" w:rsidRDefault="00D17371" w:rsidP="00D17371">
      <w:pPr>
        <w:spacing w:line="360" w:lineRule="auto"/>
        <w:rPr>
          <w:rFonts w:ascii="Arial" w:hAnsi="Arial" w:cs="Arial"/>
          <w:sz w:val="22"/>
          <w:szCs w:val="22"/>
        </w:rPr>
      </w:pPr>
      <w:r w:rsidRPr="00D17371">
        <w:rPr>
          <w:rFonts w:ascii="Arial" w:hAnsi="Arial" w:cs="Arial"/>
          <w:sz w:val="22"/>
          <w:szCs w:val="22"/>
        </w:rPr>
        <w:t xml:space="preserve">Countries with strong alcohol control policies, welfare systems, and healthcare services show lower alcohol-related harm. Measures such as minimum pricing, advertising restrictions, and cultural norms promoting moderate drinking reduce consumption and related mortality (El Zibaoui et al., 2025). However, </w:t>
      </w:r>
      <w:r w:rsidR="00D111C9" w:rsidRPr="00D17371">
        <w:rPr>
          <w:rFonts w:ascii="Arial" w:hAnsi="Arial" w:cs="Arial"/>
          <w:sz w:val="22"/>
          <w:szCs w:val="22"/>
        </w:rPr>
        <w:t>unreported,</w:t>
      </w:r>
      <w:r w:rsidRPr="00D17371">
        <w:rPr>
          <w:rFonts w:ascii="Arial" w:hAnsi="Arial" w:cs="Arial"/>
          <w:sz w:val="22"/>
          <w:szCs w:val="22"/>
        </w:rPr>
        <w:t xml:space="preserve"> and illicit alcohol use can undermine these interventions, and structural inequalities limit access to preventive services, perpetuating local disparities (van der Velde et al., 2024).</w:t>
      </w:r>
    </w:p>
    <w:p w14:paraId="41719B00" w14:textId="284B7EE8" w:rsidR="00D17371" w:rsidRPr="00DA02EC" w:rsidRDefault="00D17371" w:rsidP="00D17371">
      <w:pPr>
        <w:spacing w:line="360" w:lineRule="auto"/>
        <w:rPr>
          <w:rFonts w:ascii="Arial" w:hAnsi="Arial" w:cs="Arial"/>
          <w:sz w:val="22"/>
          <w:szCs w:val="22"/>
        </w:rPr>
      </w:pPr>
      <w:r w:rsidRPr="00DA02EC">
        <w:rPr>
          <w:rFonts w:ascii="Arial" w:hAnsi="Arial" w:cs="Arial"/>
          <w:sz w:val="22"/>
          <w:szCs w:val="22"/>
        </w:rPr>
        <w:t>In 2024, NHS South, Central, and West launched alcohol harm reduction programs, including youth interventions and community wellbeing hubs, though funding and staffing constraints limit their impact (Naaheed, 2024; Henderson et al., 2022).</w:t>
      </w:r>
    </w:p>
    <w:p w14:paraId="3C44A2D1" w14:textId="77777777" w:rsidR="001D29DD" w:rsidRPr="001D29DD" w:rsidRDefault="001D29DD" w:rsidP="001D29DD">
      <w:pPr>
        <w:spacing w:line="360" w:lineRule="auto"/>
        <w:rPr>
          <w:rFonts w:ascii="Arial" w:hAnsi="Arial" w:cs="Arial"/>
          <w:b/>
          <w:bCs/>
          <w:sz w:val="28"/>
          <w:szCs w:val="28"/>
          <w:u w:val="single"/>
        </w:rPr>
      </w:pPr>
      <w:r w:rsidRPr="001D29DD">
        <w:rPr>
          <w:rFonts w:ascii="Arial" w:hAnsi="Arial" w:cs="Arial"/>
          <w:b/>
          <w:bCs/>
          <w:sz w:val="28"/>
          <w:szCs w:val="28"/>
          <w:u w:val="single"/>
        </w:rPr>
        <w:t>Local UK Context</w:t>
      </w:r>
    </w:p>
    <w:p w14:paraId="30270AA3" w14:textId="04DC300B" w:rsidR="001D29DD" w:rsidRPr="001D29DD" w:rsidRDefault="001D29DD" w:rsidP="001D29DD">
      <w:pPr>
        <w:spacing w:line="360" w:lineRule="auto"/>
        <w:rPr>
          <w:rFonts w:ascii="Arial" w:hAnsi="Arial" w:cs="Arial"/>
          <w:sz w:val="22"/>
          <w:szCs w:val="22"/>
        </w:rPr>
      </w:pPr>
      <w:r w:rsidRPr="001D29DD">
        <w:rPr>
          <w:rFonts w:ascii="Arial" w:hAnsi="Arial" w:cs="Arial"/>
          <w:sz w:val="22"/>
          <w:szCs w:val="22"/>
        </w:rPr>
        <w:t>Alcohol-related harm varies regionally. Scotland and Northern England report high rates of alcohol-related deaths and hospital admissions, linked to deprivation and historical drinking patterns, whereas London and the Southeast show lower rates due to higher socioeconomic status and better healthcare access. Policies like Scotland’s minimum unit pricing have reduced consumption among heavy drinkers, highlighting the importance of tailored, region-specific interventions to address alcohol-related harm effectively (Robinson et al., 2022).</w:t>
      </w:r>
    </w:p>
    <w:p w14:paraId="6127DEE3" w14:textId="77777777" w:rsidR="00597AE1" w:rsidRPr="00266F7A" w:rsidRDefault="00597AE1" w:rsidP="006A3180">
      <w:pPr>
        <w:pStyle w:val="Heading1"/>
        <w:rPr>
          <w:rFonts w:ascii="Arial" w:hAnsi="Arial" w:cs="Arial"/>
          <w:b/>
          <w:bCs/>
          <w:color w:val="auto"/>
          <w:sz w:val="28"/>
          <w:szCs w:val="28"/>
          <w:u w:val="single"/>
        </w:rPr>
      </w:pPr>
      <w:bookmarkStart w:id="18" w:name="_Toc225966611"/>
      <w:r w:rsidRPr="00266F7A">
        <w:rPr>
          <w:rFonts w:ascii="Arial" w:hAnsi="Arial" w:cs="Arial"/>
          <w:b/>
          <w:bCs/>
          <w:color w:val="auto"/>
          <w:sz w:val="28"/>
          <w:szCs w:val="28"/>
          <w:u w:val="single"/>
        </w:rPr>
        <w:t>Policy and Regulation</w:t>
      </w:r>
      <w:bookmarkEnd w:id="18"/>
      <w:r w:rsidRPr="00266F7A">
        <w:rPr>
          <w:rFonts w:ascii="Arial" w:hAnsi="Arial" w:cs="Arial"/>
          <w:b/>
          <w:bCs/>
          <w:color w:val="auto"/>
          <w:sz w:val="28"/>
          <w:szCs w:val="28"/>
          <w:u w:val="single"/>
        </w:rPr>
        <w:t> </w:t>
      </w:r>
    </w:p>
    <w:p w14:paraId="7B2D9A6C" w14:textId="66BD7F2D" w:rsidR="000323E3" w:rsidRPr="00980BBE" w:rsidRDefault="000323E3" w:rsidP="001D2D05">
      <w:pPr>
        <w:spacing w:line="360" w:lineRule="auto"/>
        <w:rPr>
          <w:rFonts w:ascii="Arial" w:hAnsi="Arial" w:cs="Arial"/>
          <w:sz w:val="22"/>
          <w:szCs w:val="22"/>
        </w:rPr>
      </w:pPr>
      <w:r w:rsidRPr="00980BBE">
        <w:rPr>
          <w:rFonts w:ascii="Arial" w:hAnsi="Arial" w:cs="Arial"/>
          <w:sz w:val="22"/>
          <w:szCs w:val="22"/>
        </w:rPr>
        <w:t>Minimum Unit Pricing (MUP),</w:t>
      </w:r>
      <w:r w:rsidR="00485AA0" w:rsidRPr="00980BBE">
        <w:rPr>
          <w:rFonts w:ascii="Arial" w:hAnsi="Arial" w:cs="Arial"/>
          <w:sz w:val="22"/>
          <w:szCs w:val="22"/>
        </w:rPr>
        <w:t xml:space="preserve"> </w:t>
      </w:r>
      <w:r w:rsidRPr="00980BBE">
        <w:rPr>
          <w:rFonts w:ascii="Arial" w:hAnsi="Arial" w:cs="Arial"/>
          <w:sz w:val="22"/>
          <w:szCs w:val="22"/>
        </w:rPr>
        <w:t xml:space="preserve">implemented in Scotland in 2018, </w:t>
      </w:r>
      <w:r w:rsidR="00485AA0" w:rsidRPr="00980BBE">
        <w:rPr>
          <w:rFonts w:ascii="Arial" w:hAnsi="Arial" w:cs="Arial"/>
          <w:sz w:val="22"/>
          <w:szCs w:val="22"/>
        </w:rPr>
        <w:t xml:space="preserve"> </w:t>
      </w:r>
      <w:r w:rsidR="00763941" w:rsidRPr="00980BBE">
        <w:rPr>
          <w:rFonts w:ascii="Arial" w:hAnsi="Arial" w:cs="Arial"/>
          <w:sz w:val="22"/>
          <w:szCs w:val="22"/>
        </w:rPr>
        <w:t>represents</w:t>
      </w:r>
      <w:r w:rsidR="00485AA0" w:rsidRPr="00980BBE">
        <w:rPr>
          <w:rFonts w:ascii="Arial" w:hAnsi="Arial" w:cs="Arial"/>
          <w:sz w:val="22"/>
          <w:szCs w:val="22"/>
        </w:rPr>
        <w:t xml:space="preserve"> </w:t>
      </w:r>
      <w:r w:rsidR="00D061C0" w:rsidRPr="00980BBE">
        <w:rPr>
          <w:rFonts w:ascii="Arial" w:hAnsi="Arial" w:cs="Arial"/>
          <w:sz w:val="22"/>
          <w:szCs w:val="22"/>
        </w:rPr>
        <w:t>a pivotal measure</w:t>
      </w:r>
      <w:r w:rsidRPr="00980BBE">
        <w:rPr>
          <w:rFonts w:ascii="Arial" w:hAnsi="Arial" w:cs="Arial"/>
          <w:sz w:val="22"/>
          <w:szCs w:val="22"/>
        </w:rPr>
        <w:t xml:space="preserve"> in the UK's efforts to </w:t>
      </w:r>
      <w:r w:rsidR="00D061C0" w:rsidRPr="00980BBE">
        <w:rPr>
          <w:rFonts w:ascii="Arial" w:hAnsi="Arial" w:cs="Arial"/>
          <w:sz w:val="22"/>
          <w:szCs w:val="22"/>
        </w:rPr>
        <w:t>reduce alcohol</w:t>
      </w:r>
      <w:r w:rsidR="00F65056" w:rsidRPr="00980BBE">
        <w:rPr>
          <w:rFonts w:ascii="Arial" w:hAnsi="Arial" w:cs="Arial"/>
          <w:sz w:val="22"/>
          <w:szCs w:val="22"/>
        </w:rPr>
        <w:t>-related harm.</w:t>
      </w:r>
      <w:r w:rsidRPr="00980BBE">
        <w:rPr>
          <w:rFonts w:ascii="Arial" w:hAnsi="Arial" w:cs="Arial"/>
          <w:sz w:val="22"/>
          <w:szCs w:val="22"/>
        </w:rPr>
        <w:t xml:space="preserve"> </w:t>
      </w:r>
      <w:r w:rsidR="00763941" w:rsidRPr="00980BBE">
        <w:rPr>
          <w:rFonts w:ascii="Arial" w:hAnsi="Arial" w:cs="Arial"/>
          <w:sz w:val="22"/>
          <w:szCs w:val="22"/>
        </w:rPr>
        <w:t>Research</w:t>
      </w:r>
      <w:r w:rsidR="00B762FD" w:rsidRPr="00980BBE">
        <w:rPr>
          <w:rFonts w:ascii="Arial" w:hAnsi="Arial" w:cs="Arial"/>
          <w:sz w:val="22"/>
          <w:szCs w:val="22"/>
        </w:rPr>
        <w:t xml:space="preserve"> indicates that</w:t>
      </w:r>
      <w:r w:rsidRPr="00980BBE">
        <w:rPr>
          <w:rFonts w:ascii="Arial" w:hAnsi="Arial" w:cs="Arial"/>
          <w:sz w:val="22"/>
          <w:szCs w:val="22"/>
        </w:rPr>
        <w:t xml:space="preserve"> MUP has </w:t>
      </w:r>
      <w:r w:rsidR="00B762FD" w:rsidRPr="00980BBE">
        <w:rPr>
          <w:rFonts w:ascii="Arial" w:hAnsi="Arial" w:cs="Arial"/>
          <w:sz w:val="22"/>
          <w:szCs w:val="22"/>
        </w:rPr>
        <w:t>lowered</w:t>
      </w:r>
      <w:r w:rsidR="007F628C" w:rsidRPr="00980BBE">
        <w:rPr>
          <w:rFonts w:ascii="Arial" w:hAnsi="Arial" w:cs="Arial"/>
          <w:sz w:val="22"/>
          <w:szCs w:val="22"/>
        </w:rPr>
        <w:t xml:space="preserve"> </w:t>
      </w:r>
      <w:r w:rsidRPr="00980BBE">
        <w:rPr>
          <w:rFonts w:ascii="Arial" w:hAnsi="Arial" w:cs="Arial"/>
          <w:sz w:val="22"/>
          <w:szCs w:val="22"/>
        </w:rPr>
        <w:t xml:space="preserve"> alcohol-related hospitalizations and mortality, </w:t>
      </w:r>
      <w:r w:rsidR="007F628C" w:rsidRPr="00980BBE">
        <w:rPr>
          <w:rFonts w:ascii="Arial" w:hAnsi="Arial" w:cs="Arial"/>
          <w:sz w:val="22"/>
          <w:szCs w:val="22"/>
        </w:rPr>
        <w:t>particular</w:t>
      </w:r>
      <w:r w:rsidRPr="00980BBE">
        <w:rPr>
          <w:rFonts w:ascii="Arial" w:hAnsi="Arial" w:cs="Arial"/>
          <w:sz w:val="22"/>
          <w:szCs w:val="22"/>
        </w:rPr>
        <w:t xml:space="preserve"> among heavy drinkers in</w:t>
      </w:r>
      <w:r w:rsidR="00FE0A8B" w:rsidRPr="00980BBE">
        <w:rPr>
          <w:rFonts w:ascii="Arial" w:hAnsi="Arial" w:cs="Arial"/>
          <w:sz w:val="22"/>
          <w:szCs w:val="22"/>
        </w:rPr>
        <w:t xml:space="preserve"> socioeconomically </w:t>
      </w:r>
      <w:r w:rsidR="00D44ABD" w:rsidRPr="00980BBE">
        <w:rPr>
          <w:rFonts w:ascii="Arial" w:hAnsi="Arial" w:cs="Arial"/>
          <w:sz w:val="22"/>
          <w:szCs w:val="22"/>
        </w:rPr>
        <w:t>dis</w:t>
      </w:r>
      <w:r w:rsidR="0002669F" w:rsidRPr="00980BBE">
        <w:rPr>
          <w:rFonts w:ascii="Arial" w:hAnsi="Arial" w:cs="Arial"/>
          <w:sz w:val="22"/>
          <w:szCs w:val="22"/>
        </w:rPr>
        <w:t>advan</w:t>
      </w:r>
      <w:r w:rsidR="00FB0B9C" w:rsidRPr="00980BBE">
        <w:rPr>
          <w:rFonts w:ascii="Arial" w:hAnsi="Arial" w:cs="Arial"/>
          <w:sz w:val="22"/>
          <w:szCs w:val="22"/>
        </w:rPr>
        <w:t>taged communities</w:t>
      </w:r>
      <w:r w:rsidRPr="00980BBE">
        <w:rPr>
          <w:rFonts w:ascii="Arial" w:hAnsi="Arial" w:cs="Arial"/>
          <w:sz w:val="22"/>
          <w:szCs w:val="22"/>
        </w:rPr>
        <w:t xml:space="preserve"> (Robinson et al., 2021; O'Donnell et al., 2019; Guindon, 2025). </w:t>
      </w:r>
    </w:p>
    <w:p w14:paraId="6B4E9943" w14:textId="77777777" w:rsidR="004A3A28" w:rsidRDefault="000323E3" w:rsidP="001D2D05">
      <w:pPr>
        <w:spacing w:line="360" w:lineRule="auto"/>
        <w:rPr>
          <w:rFonts w:ascii="Arial" w:hAnsi="Arial" w:cs="Arial"/>
          <w:sz w:val="22"/>
          <w:szCs w:val="22"/>
        </w:rPr>
      </w:pPr>
      <w:r w:rsidRPr="00980BBE">
        <w:rPr>
          <w:rFonts w:ascii="Arial" w:hAnsi="Arial" w:cs="Arial"/>
          <w:sz w:val="22"/>
          <w:szCs w:val="22"/>
        </w:rPr>
        <w:t xml:space="preserve">The NHS Long Term Plan emphasizes the importance of coordinated care and early detection in </w:t>
      </w:r>
      <w:r w:rsidR="005033C1" w:rsidRPr="00980BBE">
        <w:rPr>
          <w:rFonts w:ascii="Arial" w:hAnsi="Arial" w:cs="Arial"/>
          <w:sz w:val="22"/>
          <w:szCs w:val="22"/>
        </w:rPr>
        <w:t xml:space="preserve">the </w:t>
      </w:r>
      <w:r w:rsidR="00B94C3B" w:rsidRPr="00980BBE">
        <w:rPr>
          <w:rFonts w:ascii="Arial" w:hAnsi="Arial" w:cs="Arial"/>
          <w:sz w:val="22"/>
          <w:szCs w:val="22"/>
        </w:rPr>
        <w:t>management of</w:t>
      </w:r>
      <w:r w:rsidRPr="00980BBE">
        <w:rPr>
          <w:rFonts w:ascii="Arial" w:hAnsi="Arial" w:cs="Arial"/>
          <w:sz w:val="22"/>
          <w:szCs w:val="22"/>
        </w:rPr>
        <w:t xml:space="preserve"> dementia, </w:t>
      </w:r>
      <w:r w:rsidR="00B94C3B" w:rsidRPr="00980BBE">
        <w:rPr>
          <w:rFonts w:ascii="Arial" w:hAnsi="Arial" w:cs="Arial"/>
          <w:sz w:val="22"/>
          <w:szCs w:val="22"/>
        </w:rPr>
        <w:t xml:space="preserve">particular </w:t>
      </w:r>
      <w:r w:rsidRPr="00980BBE">
        <w:rPr>
          <w:rFonts w:ascii="Arial" w:hAnsi="Arial" w:cs="Arial"/>
          <w:sz w:val="22"/>
          <w:szCs w:val="22"/>
        </w:rPr>
        <w:t xml:space="preserve">for </w:t>
      </w:r>
      <w:r w:rsidR="006A31E4" w:rsidRPr="00980BBE">
        <w:rPr>
          <w:rFonts w:ascii="Arial" w:hAnsi="Arial" w:cs="Arial"/>
          <w:sz w:val="22"/>
          <w:szCs w:val="22"/>
        </w:rPr>
        <w:t>individuals from</w:t>
      </w:r>
      <w:r w:rsidRPr="00980BBE">
        <w:rPr>
          <w:rFonts w:ascii="Arial" w:hAnsi="Arial" w:cs="Arial"/>
          <w:sz w:val="22"/>
          <w:szCs w:val="22"/>
        </w:rPr>
        <w:t xml:space="preserve"> underprivileged backgrounds. </w:t>
      </w:r>
      <w:r w:rsidR="006A31E4" w:rsidRPr="00980BBE">
        <w:rPr>
          <w:rFonts w:ascii="Arial" w:hAnsi="Arial" w:cs="Arial"/>
          <w:sz w:val="22"/>
          <w:szCs w:val="22"/>
        </w:rPr>
        <w:t xml:space="preserve">Evidence </w:t>
      </w:r>
      <w:r w:rsidR="0087573B" w:rsidRPr="00980BBE">
        <w:rPr>
          <w:rFonts w:ascii="Arial" w:hAnsi="Arial" w:cs="Arial"/>
          <w:sz w:val="22"/>
          <w:szCs w:val="22"/>
        </w:rPr>
        <w:t>suggest that these populations are more likely to devel</w:t>
      </w:r>
      <w:r w:rsidR="00CD39D3" w:rsidRPr="00980BBE">
        <w:rPr>
          <w:rFonts w:ascii="Arial" w:hAnsi="Arial" w:cs="Arial"/>
          <w:sz w:val="22"/>
          <w:szCs w:val="22"/>
        </w:rPr>
        <w:t xml:space="preserve">op dementia earlier in life and face barriers </w:t>
      </w:r>
      <w:r w:rsidR="00EC72DC" w:rsidRPr="00980BBE">
        <w:rPr>
          <w:rFonts w:ascii="Arial" w:hAnsi="Arial" w:cs="Arial"/>
          <w:sz w:val="22"/>
          <w:szCs w:val="22"/>
        </w:rPr>
        <w:t>to timely diagnosis and financial support,</w:t>
      </w:r>
      <w:r w:rsidR="00F1131A" w:rsidRPr="00980BBE">
        <w:rPr>
          <w:rFonts w:ascii="Arial" w:hAnsi="Arial" w:cs="Arial"/>
          <w:sz w:val="22"/>
          <w:szCs w:val="22"/>
        </w:rPr>
        <w:t xml:space="preserve"> thereby perpetuating a cycle of </w:t>
      </w:r>
      <w:r w:rsidR="005033C1" w:rsidRPr="00980BBE">
        <w:rPr>
          <w:rFonts w:ascii="Arial" w:hAnsi="Arial" w:cs="Arial"/>
          <w:sz w:val="22"/>
          <w:szCs w:val="22"/>
        </w:rPr>
        <w:t xml:space="preserve">elevated risk and limited access of care. </w:t>
      </w:r>
    </w:p>
    <w:p w14:paraId="7DC13738" w14:textId="0E0AF8A7" w:rsidR="00597AE1" w:rsidRPr="00266F7A" w:rsidRDefault="00597AE1" w:rsidP="006A3180">
      <w:pPr>
        <w:pStyle w:val="Heading1"/>
        <w:rPr>
          <w:rFonts w:ascii="Arial" w:hAnsi="Arial" w:cs="Arial"/>
          <w:b/>
          <w:bCs/>
          <w:color w:val="auto"/>
          <w:sz w:val="28"/>
          <w:szCs w:val="28"/>
          <w:u w:val="single"/>
        </w:rPr>
      </w:pPr>
      <w:bookmarkStart w:id="19" w:name="_Toc225966612"/>
      <w:r w:rsidRPr="00266F7A">
        <w:rPr>
          <w:rFonts w:ascii="Arial" w:hAnsi="Arial" w:cs="Arial"/>
          <w:b/>
          <w:bCs/>
          <w:color w:val="auto"/>
          <w:sz w:val="28"/>
          <w:szCs w:val="28"/>
          <w:u w:val="single"/>
        </w:rPr>
        <w:lastRenderedPageBreak/>
        <w:t>Conclusion</w:t>
      </w:r>
      <w:bookmarkEnd w:id="19"/>
      <w:r w:rsidRPr="00266F7A">
        <w:rPr>
          <w:rFonts w:ascii="Arial" w:hAnsi="Arial" w:cs="Arial"/>
          <w:b/>
          <w:bCs/>
          <w:color w:val="auto"/>
          <w:sz w:val="28"/>
          <w:szCs w:val="28"/>
          <w:u w:val="single"/>
        </w:rPr>
        <w:t>  </w:t>
      </w:r>
    </w:p>
    <w:p w14:paraId="6BF6123A" w14:textId="55D4D170" w:rsidR="00616F2C" w:rsidRPr="00980BBE" w:rsidRDefault="00616F2C" w:rsidP="001D2D05">
      <w:pPr>
        <w:spacing w:line="360" w:lineRule="auto"/>
        <w:rPr>
          <w:rFonts w:ascii="Arial" w:hAnsi="Arial" w:cs="Arial"/>
          <w:sz w:val="22"/>
          <w:szCs w:val="22"/>
        </w:rPr>
      </w:pPr>
      <w:r w:rsidRPr="00980BBE">
        <w:rPr>
          <w:rFonts w:ascii="Arial" w:hAnsi="Arial" w:cs="Arial"/>
          <w:sz w:val="22"/>
          <w:szCs w:val="22"/>
        </w:rPr>
        <w:t>Th</w:t>
      </w:r>
      <w:r w:rsidR="00EB01B8" w:rsidRPr="00980BBE">
        <w:rPr>
          <w:rFonts w:ascii="Arial" w:hAnsi="Arial" w:cs="Arial"/>
          <w:sz w:val="22"/>
          <w:szCs w:val="22"/>
        </w:rPr>
        <w:t xml:space="preserve">is chapter has examined </w:t>
      </w:r>
      <w:r w:rsidR="00956593" w:rsidRPr="00980BBE">
        <w:rPr>
          <w:rFonts w:ascii="Arial" w:hAnsi="Arial" w:cs="Arial"/>
          <w:sz w:val="22"/>
          <w:szCs w:val="22"/>
        </w:rPr>
        <w:t xml:space="preserve">the </w:t>
      </w:r>
      <w:r w:rsidRPr="00980BBE">
        <w:rPr>
          <w:rFonts w:ascii="Arial" w:hAnsi="Arial" w:cs="Arial"/>
          <w:sz w:val="22"/>
          <w:szCs w:val="22"/>
        </w:rPr>
        <w:t xml:space="preserve">historical development, theoretical foundations, and global and UK </w:t>
      </w:r>
      <w:r w:rsidR="005C6496" w:rsidRPr="00980BBE">
        <w:rPr>
          <w:rFonts w:ascii="Arial" w:hAnsi="Arial" w:cs="Arial"/>
          <w:sz w:val="22"/>
          <w:szCs w:val="22"/>
        </w:rPr>
        <w:t>contexts</w:t>
      </w:r>
      <w:r w:rsidRPr="00980BBE">
        <w:rPr>
          <w:rFonts w:ascii="Arial" w:hAnsi="Arial" w:cs="Arial"/>
          <w:sz w:val="22"/>
          <w:szCs w:val="22"/>
        </w:rPr>
        <w:t xml:space="preserve"> of alcohol consumption, socioeconomic deprivation, and young-onset dementia</w:t>
      </w:r>
      <w:r w:rsidR="005C6496" w:rsidRPr="00980BBE">
        <w:rPr>
          <w:rFonts w:ascii="Arial" w:hAnsi="Arial" w:cs="Arial"/>
          <w:sz w:val="22"/>
          <w:szCs w:val="22"/>
        </w:rPr>
        <w:t>.</w:t>
      </w:r>
      <w:r w:rsidRPr="00980BBE">
        <w:rPr>
          <w:rFonts w:ascii="Arial" w:hAnsi="Arial" w:cs="Arial"/>
          <w:sz w:val="22"/>
          <w:szCs w:val="22"/>
        </w:rPr>
        <w:t xml:space="preserve"> </w:t>
      </w:r>
      <w:r w:rsidR="00C2267C" w:rsidRPr="00980BBE">
        <w:rPr>
          <w:rFonts w:ascii="Arial" w:hAnsi="Arial" w:cs="Arial"/>
          <w:sz w:val="22"/>
          <w:szCs w:val="22"/>
        </w:rPr>
        <w:t>Research has evolved f</w:t>
      </w:r>
      <w:r w:rsidRPr="00980BBE">
        <w:rPr>
          <w:rFonts w:ascii="Arial" w:hAnsi="Arial" w:cs="Arial"/>
          <w:sz w:val="22"/>
          <w:szCs w:val="22"/>
        </w:rPr>
        <w:t xml:space="preserve">rom early clinical observations of alcohol-induced brain damage to contemporary population-based studies that </w:t>
      </w:r>
      <w:r w:rsidR="00C2267C" w:rsidRPr="00980BBE">
        <w:rPr>
          <w:rFonts w:ascii="Arial" w:hAnsi="Arial" w:cs="Arial"/>
          <w:sz w:val="22"/>
          <w:szCs w:val="22"/>
        </w:rPr>
        <w:t>recognise</w:t>
      </w:r>
      <w:r w:rsidRPr="00980BBE">
        <w:rPr>
          <w:rFonts w:ascii="Arial" w:hAnsi="Arial" w:cs="Arial"/>
          <w:sz w:val="22"/>
          <w:szCs w:val="22"/>
        </w:rPr>
        <w:t xml:space="preserve"> alcohol as a major modifiable risk factor</w:t>
      </w:r>
      <w:r w:rsidR="006F61C2" w:rsidRPr="00980BBE">
        <w:rPr>
          <w:rFonts w:ascii="Arial" w:hAnsi="Arial" w:cs="Arial"/>
          <w:sz w:val="22"/>
          <w:szCs w:val="22"/>
        </w:rPr>
        <w:t>.</w:t>
      </w:r>
      <w:r w:rsidRPr="00980BBE">
        <w:rPr>
          <w:rFonts w:ascii="Arial" w:hAnsi="Arial" w:cs="Arial"/>
          <w:sz w:val="22"/>
          <w:szCs w:val="22"/>
        </w:rPr>
        <w:t xml:space="preserve"> The biopsychosocial model, cognitive reserve, and life-course theory are examples of theoretical frameworks that</w:t>
      </w:r>
      <w:r w:rsidR="000A1BEF" w:rsidRPr="00980BBE">
        <w:rPr>
          <w:rFonts w:ascii="Arial" w:hAnsi="Arial" w:cs="Arial"/>
          <w:sz w:val="22"/>
          <w:szCs w:val="22"/>
        </w:rPr>
        <w:t xml:space="preserve"> provide critical insights</w:t>
      </w:r>
      <w:r w:rsidRPr="00980BBE">
        <w:rPr>
          <w:rFonts w:ascii="Arial" w:hAnsi="Arial" w:cs="Arial"/>
          <w:sz w:val="22"/>
          <w:szCs w:val="22"/>
        </w:rPr>
        <w:t xml:space="preserve"> into how biological, social, and environmental factors interact to </w:t>
      </w:r>
      <w:r w:rsidR="000A1BEF" w:rsidRPr="00980BBE">
        <w:rPr>
          <w:rFonts w:ascii="Arial" w:hAnsi="Arial" w:cs="Arial"/>
          <w:sz w:val="22"/>
          <w:szCs w:val="22"/>
        </w:rPr>
        <w:t>in</w:t>
      </w:r>
      <w:r w:rsidR="009C2338" w:rsidRPr="00980BBE">
        <w:rPr>
          <w:rFonts w:ascii="Arial" w:hAnsi="Arial" w:cs="Arial"/>
          <w:sz w:val="22"/>
          <w:szCs w:val="22"/>
        </w:rPr>
        <w:t>fluence</w:t>
      </w:r>
      <w:r w:rsidRPr="00980BBE">
        <w:rPr>
          <w:rFonts w:ascii="Arial" w:hAnsi="Arial" w:cs="Arial"/>
          <w:sz w:val="22"/>
          <w:szCs w:val="22"/>
        </w:rPr>
        <w:t xml:space="preserve"> dementia risk. </w:t>
      </w:r>
      <w:r w:rsidR="009C2338" w:rsidRPr="00980BBE">
        <w:rPr>
          <w:rFonts w:ascii="Arial" w:hAnsi="Arial" w:cs="Arial"/>
          <w:sz w:val="22"/>
          <w:szCs w:val="22"/>
        </w:rPr>
        <w:t>Global c</w:t>
      </w:r>
      <w:r w:rsidRPr="00980BBE">
        <w:rPr>
          <w:rFonts w:ascii="Arial" w:hAnsi="Arial" w:cs="Arial"/>
          <w:sz w:val="22"/>
          <w:szCs w:val="22"/>
        </w:rPr>
        <w:t xml:space="preserve">omparisons </w:t>
      </w:r>
      <w:r w:rsidR="002B48A0" w:rsidRPr="00980BBE">
        <w:rPr>
          <w:rFonts w:ascii="Arial" w:hAnsi="Arial" w:cs="Arial"/>
          <w:sz w:val="22"/>
          <w:szCs w:val="22"/>
        </w:rPr>
        <w:t xml:space="preserve">reveal diverse </w:t>
      </w:r>
      <w:r w:rsidRPr="00980BBE">
        <w:rPr>
          <w:rFonts w:ascii="Arial" w:hAnsi="Arial" w:cs="Arial"/>
          <w:sz w:val="22"/>
          <w:szCs w:val="22"/>
        </w:rPr>
        <w:t xml:space="preserve">legal </w:t>
      </w:r>
      <w:r w:rsidR="002B48A0" w:rsidRPr="00980BBE">
        <w:rPr>
          <w:rFonts w:ascii="Arial" w:hAnsi="Arial" w:cs="Arial"/>
          <w:sz w:val="22"/>
          <w:szCs w:val="22"/>
        </w:rPr>
        <w:t xml:space="preserve">and policy </w:t>
      </w:r>
      <w:r w:rsidRPr="00980BBE">
        <w:rPr>
          <w:rFonts w:ascii="Arial" w:hAnsi="Arial" w:cs="Arial"/>
          <w:sz w:val="22"/>
          <w:szCs w:val="22"/>
        </w:rPr>
        <w:t xml:space="preserve">approaches, </w:t>
      </w:r>
      <w:r w:rsidR="009B6720" w:rsidRPr="00980BBE">
        <w:rPr>
          <w:rFonts w:ascii="Arial" w:hAnsi="Arial" w:cs="Arial"/>
          <w:sz w:val="22"/>
          <w:szCs w:val="22"/>
        </w:rPr>
        <w:t xml:space="preserve">while the </w:t>
      </w:r>
      <w:r w:rsidRPr="00980BBE">
        <w:rPr>
          <w:rFonts w:ascii="Arial" w:hAnsi="Arial" w:cs="Arial"/>
          <w:sz w:val="22"/>
          <w:szCs w:val="22"/>
        </w:rPr>
        <w:t xml:space="preserve">UK </w:t>
      </w:r>
      <w:r w:rsidR="009B6720" w:rsidRPr="00980BBE">
        <w:rPr>
          <w:rFonts w:ascii="Arial" w:hAnsi="Arial" w:cs="Arial"/>
          <w:sz w:val="22"/>
          <w:szCs w:val="22"/>
        </w:rPr>
        <w:t xml:space="preserve">context underscores </w:t>
      </w:r>
      <w:r w:rsidRPr="00980BBE">
        <w:rPr>
          <w:rFonts w:ascii="Arial" w:hAnsi="Arial" w:cs="Arial"/>
          <w:sz w:val="22"/>
          <w:szCs w:val="22"/>
        </w:rPr>
        <w:t xml:space="preserve">persistent socioeconomic inequalities that </w:t>
      </w:r>
      <w:r w:rsidR="00E466EF" w:rsidRPr="00980BBE">
        <w:rPr>
          <w:rFonts w:ascii="Arial" w:hAnsi="Arial" w:cs="Arial"/>
          <w:sz w:val="22"/>
          <w:szCs w:val="22"/>
        </w:rPr>
        <w:t xml:space="preserve">contributes </w:t>
      </w:r>
      <w:r w:rsidRPr="00980BBE">
        <w:rPr>
          <w:rFonts w:ascii="Arial" w:hAnsi="Arial" w:cs="Arial"/>
          <w:sz w:val="22"/>
          <w:szCs w:val="22"/>
        </w:rPr>
        <w:t xml:space="preserve">to excessive alcohol-related harm and early </w:t>
      </w:r>
      <w:r w:rsidR="00E466EF" w:rsidRPr="00980BBE">
        <w:rPr>
          <w:rFonts w:ascii="Arial" w:hAnsi="Arial" w:cs="Arial"/>
          <w:sz w:val="22"/>
          <w:szCs w:val="22"/>
        </w:rPr>
        <w:t xml:space="preserve">on-set </w:t>
      </w:r>
      <w:r w:rsidRPr="00980BBE">
        <w:rPr>
          <w:rFonts w:ascii="Arial" w:hAnsi="Arial" w:cs="Arial"/>
          <w:sz w:val="22"/>
          <w:szCs w:val="22"/>
        </w:rPr>
        <w:t>dementia (Liu et al., 2024c).</w:t>
      </w:r>
    </w:p>
    <w:p w14:paraId="0190BD93" w14:textId="77777777" w:rsidR="005A6571" w:rsidRDefault="005A6571" w:rsidP="001F20EF">
      <w:pPr>
        <w:pStyle w:val="Heading2"/>
        <w:rPr>
          <w:rFonts w:ascii="Arial" w:hAnsi="Arial" w:cs="Arial"/>
          <w:color w:val="auto"/>
          <w:sz w:val="28"/>
          <w:szCs w:val="28"/>
          <w:u w:val="single"/>
        </w:rPr>
      </w:pPr>
    </w:p>
    <w:p w14:paraId="7F8EE80E" w14:textId="77777777" w:rsidR="00750DFE" w:rsidRDefault="00750DFE" w:rsidP="00F928EA">
      <w:pPr>
        <w:spacing w:line="360" w:lineRule="auto"/>
        <w:rPr>
          <w:rFonts w:ascii="Arial" w:hAnsi="Arial" w:cs="Arial"/>
          <w:sz w:val="22"/>
          <w:szCs w:val="22"/>
          <w:u w:val="single"/>
        </w:rPr>
      </w:pPr>
    </w:p>
    <w:p w14:paraId="6CAF523F" w14:textId="77777777" w:rsidR="00750DFE" w:rsidRDefault="00750DFE" w:rsidP="00F928EA">
      <w:pPr>
        <w:spacing w:line="360" w:lineRule="auto"/>
        <w:rPr>
          <w:rFonts w:ascii="Arial" w:hAnsi="Arial" w:cs="Arial"/>
          <w:sz w:val="22"/>
          <w:szCs w:val="22"/>
          <w:u w:val="single"/>
        </w:rPr>
      </w:pPr>
    </w:p>
    <w:p w14:paraId="38DE624F" w14:textId="77777777" w:rsidR="00750DFE" w:rsidRDefault="00750DFE" w:rsidP="00F928EA">
      <w:pPr>
        <w:spacing w:line="360" w:lineRule="auto"/>
        <w:rPr>
          <w:rFonts w:ascii="Arial" w:hAnsi="Arial" w:cs="Arial"/>
          <w:sz w:val="22"/>
          <w:szCs w:val="22"/>
          <w:u w:val="single"/>
        </w:rPr>
      </w:pPr>
    </w:p>
    <w:p w14:paraId="0FB8871C" w14:textId="77777777" w:rsidR="00750DFE" w:rsidRDefault="00750DFE" w:rsidP="00F928EA">
      <w:pPr>
        <w:spacing w:line="360" w:lineRule="auto"/>
        <w:rPr>
          <w:rFonts w:ascii="Arial" w:hAnsi="Arial" w:cs="Arial"/>
          <w:sz w:val="22"/>
          <w:szCs w:val="22"/>
          <w:u w:val="single"/>
        </w:rPr>
      </w:pPr>
    </w:p>
    <w:p w14:paraId="4115A7FB" w14:textId="77777777" w:rsidR="00750DFE" w:rsidRDefault="00750DFE" w:rsidP="00F928EA">
      <w:pPr>
        <w:spacing w:line="360" w:lineRule="auto"/>
        <w:rPr>
          <w:rFonts w:ascii="Arial" w:hAnsi="Arial" w:cs="Arial"/>
          <w:sz w:val="22"/>
          <w:szCs w:val="22"/>
          <w:u w:val="single"/>
        </w:rPr>
      </w:pPr>
    </w:p>
    <w:p w14:paraId="2B9F979A" w14:textId="77777777" w:rsidR="00750DFE" w:rsidRDefault="00750DFE" w:rsidP="00F928EA">
      <w:pPr>
        <w:spacing w:line="360" w:lineRule="auto"/>
        <w:rPr>
          <w:rFonts w:ascii="Arial" w:hAnsi="Arial" w:cs="Arial"/>
          <w:sz w:val="22"/>
          <w:szCs w:val="22"/>
          <w:u w:val="single"/>
        </w:rPr>
      </w:pPr>
    </w:p>
    <w:p w14:paraId="037D0EC1" w14:textId="77777777" w:rsidR="00750DFE" w:rsidRDefault="00750DFE" w:rsidP="00F928EA">
      <w:pPr>
        <w:spacing w:line="360" w:lineRule="auto"/>
        <w:rPr>
          <w:rFonts w:ascii="Arial" w:hAnsi="Arial" w:cs="Arial"/>
          <w:sz w:val="22"/>
          <w:szCs w:val="22"/>
          <w:u w:val="single"/>
        </w:rPr>
      </w:pPr>
    </w:p>
    <w:p w14:paraId="28C13AC5" w14:textId="77777777" w:rsidR="00750DFE" w:rsidRDefault="00750DFE" w:rsidP="00F928EA">
      <w:pPr>
        <w:spacing w:line="360" w:lineRule="auto"/>
        <w:rPr>
          <w:rFonts w:ascii="Arial" w:hAnsi="Arial" w:cs="Arial"/>
          <w:sz w:val="22"/>
          <w:szCs w:val="22"/>
          <w:u w:val="single"/>
        </w:rPr>
      </w:pPr>
    </w:p>
    <w:p w14:paraId="312EF3F0" w14:textId="77777777" w:rsidR="00750DFE" w:rsidRDefault="00750DFE" w:rsidP="00F928EA">
      <w:pPr>
        <w:spacing w:line="360" w:lineRule="auto"/>
        <w:rPr>
          <w:rFonts w:ascii="Arial" w:hAnsi="Arial" w:cs="Arial"/>
          <w:sz w:val="22"/>
          <w:szCs w:val="22"/>
          <w:u w:val="single"/>
        </w:rPr>
      </w:pPr>
    </w:p>
    <w:p w14:paraId="4C89F371" w14:textId="77777777" w:rsidR="00750DFE" w:rsidRDefault="00750DFE" w:rsidP="00F928EA">
      <w:pPr>
        <w:spacing w:line="360" w:lineRule="auto"/>
        <w:rPr>
          <w:rFonts w:ascii="Arial" w:hAnsi="Arial" w:cs="Arial"/>
          <w:sz w:val="22"/>
          <w:szCs w:val="22"/>
          <w:u w:val="single"/>
        </w:rPr>
      </w:pPr>
    </w:p>
    <w:p w14:paraId="1631619C" w14:textId="77777777" w:rsidR="00097AD7" w:rsidRDefault="00097AD7" w:rsidP="00F928EA">
      <w:pPr>
        <w:spacing w:line="360" w:lineRule="auto"/>
        <w:rPr>
          <w:rFonts w:ascii="Arial" w:hAnsi="Arial" w:cs="Arial"/>
          <w:b/>
          <w:bCs/>
          <w:sz w:val="28"/>
          <w:szCs w:val="28"/>
          <w:u w:val="single"/>
        </w:rPr>
      </w:pPr>
    </w:p>
    <w:p w14:paraId="5653BA0F" w14:textId="77777777" w:rsidR="000B17A4" w:rsidRDefault="000B17A4" w:rsidP="00F928EA">
      <w:pPr>
        <w:spacing w:line="360" w:lineRule="auto"/>
        <w:rPr>
          <w:rFonts w:ascii="Arial" w:hAnsi="Arial" w:cs="Arial"/>
          <w:b/>
          <w:bCs/>
          <w:sz w:val="28"/>
          <w:szCs w:val="28"/>
          <w:u w:val="single"/>
        </w:rPr>
      </w:pPr>
    </w:p>
    <w:p w14:paraId="0F8EF710" w14:textId="77777777" w:rsidR="000B17A4" w:rsidRDefault="000B17A4" w:rsidP="00F928EA">
      <w:pPr>
        <w:spacing w:line="360" w:lineRule="auto"/>
        <w:rPr>
          <w:rFonts w:ascii="Arial" w:hAnsi="Arial" w:cs="Arial"/>
          <w:b/>
          <w:bCs/>
          <w:sz w:val="28"/>
          <w:szCs w:val="28"/>
          <w:u w:val="single"/>
        </w:rPr>
      </w:pPr>
    </w:p>
    <w:p w14:paraId="5B1BF7B4" w14:textId="77777777" w:rsidR="00DA02EC" w:rsidRDefault="00DA02EC" w:rsidP="00F928EA">
      <w:pPr>
        <w:spacing w:line="360" w:lineRule="auto"/>
        <w:rPr>
          <w:rFonts w:ascii="Arial" w:hAnsi="Arial" w:cs="Arial"/>
          <w:b/>
          <w:bCs/>
          <w:sz w:val="28"/>
          <w:szCs w:val="28"/>
          <w:u w:val="single"/>
        </w:rPr>
      </w:pPr>
    </w:p>
    <w:p w14:paraId="5CF0C3CF" w14:textId="77777777" w:rsidR="00DA02EC" w:rsidRDefault="00DA02EC" w:rsidP="00F928EA">
      <w:pPr>
        <w:spacing w:line="360" w:lineRule="auto"/>
        <w:rPr>
          <w:rFonts w:ascii="Arial" w:hAnsi="Arial" w:cs="Arial"/>
          <w:b/>
          <w:bCs/>
          <w:sz w:val="28"/>
          <w:szCs w:val="28"/>
          <w:u w:val="single"/>
        </w:rPr>
      </w:pPr>
    </w:p>
    <w:p w14:paraId="32E4B1A2" w14:textId="77777777" w:rsidR="00DA02EC" w:rsidRDefault="00DA02EC" w:rsidP="00F928EA">
      <w:pPr>
        <w:spacing w:line="360" w:lineRule="auto"/>
        <w:rPr>
          <w:rFonts w:ascii="Arial" w:hAnsi="Arial" w:cs="Arial"/>
          <w:b/>
          <w:bCs/>
          <w:sz w:val="28"/>
          <w:szCs w:val="28"/>
          <w:u w:val="single"/>
        </w:rPr>
      </w:pPr>
    </w:p>
    <w:p w14:paraId="52E3F2CD" w14:textId="1B94B4B1" w:rsidR="00F928EA" w:rsidRPr="00266F7A" w:rsidRDefault="00F928EA" w:rsidP="00F928EA">
      <w:pPr>
        <w:spacing w:line="360" w:lineRule="auto"/>
        <w:rPr>
          <w:rFonts w:ascii="Arial" w:hAnsi="Arial" w:cs="Arial"/>
          <w:b/>
          <w:bCs/>
          <w:sz w:val="28"/>
          <w:szCs w:val="28"/>
          <w:u w:val="single"/>
        </w:rPr>
      </w:pPr>
      <w:r w:rsidRPr="00266F7A">
        <w:rPr>
          <w:rFonts w:ascii="Arial" w:hAnsi="Arial" w:cs="Arial"/>
          <w:b/>
          <w:bCs/>
          <w:sz w:val="28"/>
          <w:szCs w:val="28"/>
          <w:u w:val="single"/>
        </w:rPr>
        <w:lastRenderedPageBreak/>
        <w:t>Chapter 3 - Methods and Search Strategy</w:t>
      </w:r>
    </w:p>
    <w:p w14:paraId="0DE68D19" w14:textId="77777777" w:rsidR="00F928EA" w:rsidRPr="00266F7A" w:rsidRDefault="00F928EA" w:rsidP="00F928EA">
      <w:pPr>
        <w:spacing w:line="360" w:lineRule="auto"/>
        <w:rPr>
          <w:rFonts w:ascii="Arial" w:hAnsi="Arial" w:cs="Arial"/>
          <w:b/>
          <w:bCs/>
          <w:sz w:val="28"/>
          <w:szCs w:val="28"/>
          <w:u w:val="single"/>
        </w:rPr>
      </w:pPr>
      <w:r w:rsidRPr="00266F7A">
        <w:rPr>
          <w:rFonts w:ascii="Arial" w:hAnsi="Arial" w:cs="Arial"/>
          <w:b/>
          <w:bCs/>
          <w:sz w:val="28"/>
          <w:szCs w:val="28"/>
          <w:u w:val="single"/>
        </w:rPr>
        <w:t>Introduction</w:t>
      </w:r>
    </w:p>
    <w:p w14:paraId="0AA72DCF" w14:textId="6E5F3CA6" w:rsidR="00CD4E1C" w:rsidRPr="00980BBE" w:rsidRDefault="00F928EA" w:rsidP="00F928EA">
      <w:pPr>
        <w:spacing w:line="360" w:lineRule="auto"/>
        <w:rPr>
          <w:rFonts w:ascii="Arial" w:hAnsi="Arial" w:cs="Arial"/>
          <w:sz w:val="22"/>
          <w:szCs w:val="22"/>
        </w:rPr>
      </w:pPr>
      <w:r w:rsidRPr="00F928EA">
        <w:rPr>
          <w:rFonts w:ascii="Arial" w:hAnsi="Arial" w:cs="Arial"/>
          <w:sz w:val="22"/>
          <w:szCs w:val="22"/>
        </w:rPr>
        <w:t xml:space="preserve">The </w:t>
      </w:r>
      <w:r w:rsidR="00A20466">
        <w:rPr>
          <w:rFonts w:ascii="Arial" w:hAnsi="Arial" w:cs="Arial"/>
          <w:sz w:val="22"/>
          <w:szCs w:val="22"/>
        </w:rPr>
        <w:t xml:space="preserve">chapter outlines </w:t>
      </w:r>
      <w:r w:rsidRPr="00F928EA">
        <w:rPr>
          <w:rFonts w:ascii="Arial" w:hAnsi="Arial" w:cs="Arial"/>
          <w:sz w:val="22"/>
          <w:szCs w:val="22"/>
        </w:rPr>
        <w:t xml:space="preserve">methodological strategy </w:t>
      </w:r>
      <w:r w:rsidR="00A20466">
        <w:rPr>
          <w:rFonts w:ascii="Arial" w:hAnsi="Arial" w:cs="Arial"/>
          <w:sz w:val="22"/>
          <w:szCs w:val="22"/>
        </w:rPr>
        <w:t>adapted for this dissertation, which is based on a</w:t>
      </w:r>
      <w:r w:rsidRPr="00F928EA">
        <w:rPr>
          <w:rFonts w:ascii="Arial" w:hAnsi="Arial" w:cs="Arial"/>
          <w:sz w:val="22"/>
          <w:szCs w:val="22"/>
        </w:rPr>
        <w:t xml:space="preserve"> desk-based, literature-</w:t>
      </w:r>
      <w:r w:rsidR="0089776D">
        <w:rPr>
          <w:rFonts w:ascii="Arial" w:hAnsi="Arial" w:cs="Arial"/>
          <w:sz w:val="22"/>
          <w:szCs w:val="22"/>
        </w:rPr>
        <w:t>driven</w:t>
      </w:r>
      <w:r w:rsidRPr="00F928EA">
        <w:rPr>
          <w:rFonts w:ascii="Arial" w:hAnsi="Arial" w:cs="Arial"/>
          <w:sz w:val="22"/>
          <w:szCs w:val="22"/>
        </w:rPr>
        <w:t xml:space="preserve"> research design. This chapter provides a detailed account of </w:t>
      </w:r>
      <w:r w:rsidR="00CD4E1C" w:rsidRPr="00980BBE">
        <w:rPr>
          <w:rFonts w:ascii="Arial" w:hAnsi="Arial" w:cs="Arial"/>
          <w:sz w:val="22"/>
          <w:szCs w:val="22"/>
        </w:rPr>
        <w:t xml:space="preserve">each </w:t>
      </w:r>
      <w:r w:rsidR="00F62724" w:rsidRPr="00980BBE">
        <w:rPr>
          <w:rFonts w:ascii="Arial" w:hAnsi="Arial" w:cs="Arial"/>
          <w:sz w:val="22"/>
          <w:szCs w:val="22"/>
        </w:rPr>
        <w:t xml:space="preserve">stage, explaining </w:t>
      </w:r>
      <w:r w:rsidR="00CD4E1C" w:rsidRPr="00980BBE">
        <w:rPr>
          <w:rFonts w:ascii="Arial" w:hAnsi="Arial" w:cs="Arial"/>
          <w:sz w:val="22"/>
          <w:szCs w:val="22"/>
        </w:rPr>
        <w:t xml:space="preserve">how literature was </w:t>
      </w:r>
      <w:r w:rsidR="00196AB1" w:rsidRPr="00980BBE">
        <w:rPr>
          <w:rFonts w:ascii="Arial" w:hAnsi="Arial" w:cs="Arial"/>
          <w:sz w:val="22"/>
          <w:szCs w:val="22"/>
        </w:rPr>
        <w:t>identified</w:t>
      </w:r>
      <w:r w:rsidR="00CD4E1C" w:rsidRPr="00980BBE">
        <w:rPr>
          <w:rFonts w:ascii="Arial" w:hAnsi="Arial" w:cs="Arial"/>
          <w:sz w:val="22"/>
          <w:szCs w:val="22"/>
        </w:rPr>
        <w:t>,</w:t>
      </w:r>
      <w:r w:rsidR="003C5E6E" w:rsidRPr="00980BBE">
        <w:rPr>
          <w:rFonts w:ascii="Arial" w:hAnsi="Arial" w:cs="Arial"/>
          <w:sz w:val="22"/>
          <w:szCs w:val="22"/>
        </w:rPr>
        <w:t xml:space="preserve"> selected, evaluated, and analysed</w:t>
      </w:r>
      <w:r w:rsidR="00335558" w:rsidRPr="00980BBE">
        <w:rPr>
          <w:rFonts w:ascii="Arial" w:hAnsi="Arial" w:cs="Arial"/>
          <w:sz w:val="22"/>
          <w:szCs w:val="22"/>
        </w:rPr>
        <w:t xml:space="preserve">, while the </w:t>
      </w:r>
      <w:r w:rsidR="00CD4E1C" w:rsidRPr="00980BBE">
        <w:rPr>
          <w:rFonts w:ascii="Arial" w:hAnsi="Arial" w:cs="Arial"/>
          <w:sz w:val="22"/>
          <w:szCs w:val="22"/>
        </w:rPr>
        <w:t xml:space="preserve">Academic Methodology Poster </w:t>
      </w:r>
      <w:r w:rsidR="003D02D4" w:rsidRPr="00980BBE">
        <w:rPr>
          <w:rFonts w:ascii="Arial" w:hAnsi="Arial" w:cs="Arial"/>
          <w:sz w:val="22"/>
          <w:szCs w:val="22"/>
        </w:rPr>
        <w:t>offer</w:t>
      </w:r>
      <w:r w:rsidR="00ED6E79" w:rsidRPr="00980BBE">
        <w:rPr>
          <w:rFonts w:ascii="Arial" w:hAnsi="Arial" w:cs="Arial"/>
          <w:sz w:val="22"/>
          <w:szCs w:val="22"/>
        </w:rPr>
        <w:t xml:space="preserve">s a concise visual summary of the </w:t>
      </w:r>
      <w:r w:rsidR="004241A0" w:rsidRPr="00980BBE">
        <w:rPr>
          <w:rFonts w:ascii="Arial" w:hAnsi="Arial" w:cs="Arial"/>
          <w:sz w:val="22"/>
          <w:szCs w:val="22"/>
        </w:rPr>
        <w:t>procedures undertaken.</w:t>
      </w:r>
      <w:r w:rsidR="00CD4E1C" w:rsidRPr="00980BBE">
        <w:rPr>
          <w:rFonts w:ascii="Arial" w:hAnsi="Arial" w:cs="Arial"/>
          <w:sz w:val="22"/>
          <w:szCs w:val="22"/>
        </w:rPr>
        <w:t xml:space="preserve"> The methodological decisions </w:t>
      </w:r>
      <w:r w:rsidR="00254687" w:rsidRPr="00980BBE">
        <w:rPr>
          <w:rFonts w:ascii="Arial" w:hAnsi="Arial" w:cs="Arial"/>
          <w:sz w:val="22"/>
          <w:szCs w:val="22"/>
        </w:rPr>
        <w:t xml:space="preserve">presented </w:t>
      </w:r>
      <w:r w:rsidR="00CD4E1C" w:rsidRPr="00980BBE">
        <w:rPr>
          <w:rFonts w:ascii="Arial" w:hAnsi="Arial" w:cs="Arial"/>
          <w:sz w:val="22"/>
          <w:szCs w:val="22"/>
        </w:rPr>
        <w:t xml:space="preserve"> here </w:t>
      </w:r>
      <w:r w:rsidR="00254687" w:rsidRPr="00980BBE">
        <w:rPr>
          <w:rFonts w:ascii="Arial" w:hAnsi="Arial" w:cs="Arial"/>
          <w:sz w:val="22"/>
          <w:szCs w:val="22"/>
        </w:rPr>
        <w:t>established</w:t>
      </w:r>
      <w:r w:rsidR="00CD4E1C" w:rsidRPr="00980BBE">
        <w:rPr>
          <w:rFonts w:ascii="Arial" w:hAnsi="Arial" w:cs="Arial"/>
          <w:sz w:val="22"/>
          <w:szCs w:val="22"/>
        </w:rPr>
        <w:t xml:space="preserve"> the framework for the </w:t>
      </w:r>
      <w:r w:rsidR="007C5070" w:rsidRPr="00980BBE">
        <w:rPr>
          <w:rFonts w:ascii="Arial" w:hAnsi="Arial" w:cs="Arial"/>
          <w:sz w:val="22"/>
          <w:szCs w:val="22"/>
        </w:rPr>
        <w:t>thematic</w:t>
      </w:r>
      <w:r w:rsidR="00CD4E1C" w:rsidRPr="00980BBE">
        <w:rPr>
          <w:rFonts w:ascii="Arial" w:hAnsi="Arial" w:cs="Arial"/>
          <w:sz w:val="22"/>
          <w:szCs w:val="22"/>
        </w:rPr>
        <w:t xml:space="preserve"> analysis in Chapter 4, </w:t>
      </w:r>
      <w:r w:rsidR="007C5070" w:rsidRPr="00980BBE">
        <w:rPr>
          <w:rFonts w:ascii="Arial" w:hAnsi="Arial" w:cs="Arial"/>
          <w:sz w:val="22"/>
          <w:szCs w:val="22"/>
        </w:rPr>
        <w:t>ensuring</w:t>
      </w:r>
      <w:r w:rsidR="0080130D" w:rsidRPr="00980BBE">
        <w:rPr>
          <w:rFonts w:ascii="Arial" w:hAnsi="Arial" w:cs="Arial"/>
          <w:sz w:val="22"/>
          <w:szCs w:val="22"/>
        </w:rPr>
        <w:t xml:space="preserve"> </w:t>
      </w:r>
      <w:r w:rsidR="007C5070" w:rsidRPr="00980BBE">
        <w:rPr>
          <w:rFonts w:ascii="Arial" w:hAnsi="Arial" w:cs="Arial"/>
          <w:sz w:val="22"/>
          <w:szCs w:val="22"/>
        </w:rPr>
        <w:t>that the findings</w:t>
      </w:r>
      <w:r w:rsidR="0080130D" w:rsidRPr="00980BBE">
        <w:rPr>
          <w:rFonts w:ascii="Arial" w:hAnsi="Arial" w:cs="Arial"/>
          <w:sz w:val="22"/>
          <w:szCs w:val="22"/>
        </w:rPr>
        <w:t xml:space="preserve"> are supported by robust, relevant, and critically apprised sc</w:t>
      </w:r>
      <w:r w:rsidR="0046505A" w:rsidRPr="00980BBE">
        <w:rPr>
          <w:rFonts w:ascii="Arial" w:hAnsi="Arial" w:cs="Arial"/>
          <w:sz w:val="22"/>
          <w:szCs w:val="22"/>
        </w:rPr>
        <w:t>holarly literature.</w:t>
      </w:r>
      <w:r w:rsidR="0080130D" w:rsidRPr="00980BBE">
        <w:rPr>
          <w:rFonts w:ascii="Arial" w:hAnsi="Arial" w:cs="Arial"/>
          <w:sz w:val="22"/>
          <w:szCs w:val="22"/>
        </w:rPr>
        <w:t xml:space="preserve"> </w:t>
      </w:r>
      <w:r w:rsidR="00CD4E1C" w:rsidRPr="00980BBE">
        <w:rPr>
          <w:rFonts w:ascii="Arial" w:hAnsi="Arial" w:cs="Arial"/>
          <w:sz w:val="22"/>
          <w:szCs w:val="22"/>
        </w:rPr>
        <w:t xml:space="preserve">According to Brignardello-Petersen, Santesso, and Guyatt (2024), this chapter therefore </w:t>
      </w:r>
      <w:r w:rsidR="009473F7" w:rsidRPr="00980BBE">
        <w:rPr>
          <w:rFonts w:ascii="Arial" w:hAnsi="Arial" w:cs="Arial"/>
          <w:sz w:val="22"/>
          <w:szCs w:val="22"/>
        </w:rPr>
        <w:t>demonstrates</w:t>
      </w:r>
      <w:r w:rsidR="00CD4E1C" w:rsidRPr="00980BBE">
        <w:rPr>
          <w:rFonts w:ascii="Arial" w:hAnsi="Arial" w:cs="Arial"/>
          <w:sz w:val="22"/>
          <w:szCs w:val="22"/>
        </w:rPr>
        <w:t xml:space="preserve"> the transparency and rigor of the </w:t>
      </w:r>
      <w:r w:rsidR="009473F7" w:rsidRPr="00980BBE">
        <w:rPr>
          <w:rFonts w:ascii="Arial" w:hAnsi="Arial" w:cs="Arial"/>
          <w:sz w:val="22"/>
          <w:szCs w:val="22"/>
        </w:rPr>
        <w:t xml:space="preserve">research employed to </w:t>
      </w:r>
      <w:r w:rsidR="007014CD" w:rsidRPr="00980BBE">
        <w:rPr>
          <w:rFonts w:ascii="Arial" w:hAnsi="Arial" w:cs="Arial"/>
          <w:sz w:val="22"/>
          <w:szCs w:val="22"/>
        </w:rPr>
        <w:t xml:space="preserve">examine </w:t>
      </w:r>
      <w:r w:rsidR="00CD4E1C" w:rsidRPr="00980BBE">
        <w:rPr>
          <w:rFonts w:ascii="Arial" w:hAnsi="Arial" w:cs="Arial"/>
          <w:sz w:val="22"/>
          <w:szCs w:val="22"/>
        </w:rPr>
        <w:t>relationships between alcohol use, socioeconomic deprivation, and young-onset dementia (YOD).</w:t>
      </w:r>
    </w:p>
    <w:p w14:paraId="5857B4B7" w14:textId="3B7BE56A" w:rsidR="00D57668" w:rsidRPr="00266F7A" w:rsidRDefault="00D57668" w:rsidP="006A3180">
      <w:pPr>
        <w:pStyle w:val="Heading1"/>
        <w:rPr>
          <w:rFonts w:ascii="Arial" w:hAnsi="Arial" w:cs="Arial"/>
          <w:b/>
          <w:bCs/>
          <w:color w:val="auto"/>
          <w:sz w:val="28"/>
          <w:szCs w:val="28"/>
          <w:u w:val="single"/>
        </w:rPr>
      </w:pPr>
      <w:bookmarkStart w:id="20" w:name="_Toc225966613"/>
      <w:r w:rsidRPr="00266F7A">
        <w:rPr>
          <w:rFonts w:ascii="Arial" w:hAnsi="Arial" w:cs="Arial"/>
          <w:b/>
          <w:bCs/>
          <w:color w:val="auto"/>
          <w:sz w:val="28"/>
          <w:szCs w:val="28"/>
          <w:u w:val="single"/>
        </w:rPr>
        <w:t>Search Strategy</w:t>
      </w:r>
      <w:bookmarkEnd w:id="20"/>
    </w:p>
    <w:p w14:paraId="30D0FAC2" w14:textId="7C819231" w:rsidR="007A2ED7" w:rsidRPr="00980BBE" w:rsidRDefault="007A2ED7" w:rsidP="001D2D05">
      <w:pPr>
        <w:spacing w:line="360" w:lineRule="auto"/>
        <w:rPr>
          <w:rFonts w:ascii="Arial" w:hAnsi="Arial" w:cs="Arial"/>
          <w:sz w:val="22"/>
          <w:szCs w:val="22"/>
        </w:rPr>
      </w:pPr>
      <w:r w:rsidRPr="00980BBE">
        <w:rPr>
          <w:rFonts w:ascii="Arial" w:hAnsi="Arial" w:cs="Arial"/>
          <w:sz w:val="22"/>
          <w:szCs w:val="22"/>
        </w:rPr>
        <w:t xml:space="preserve">The search strategy was </w:t>
      </w:r>
      <w:r w:rsidR="006B3178" w:rsidRPr="00980BBE">
        <w:rPr>
          <w:rFonts w:ascii="Arial" w:hAnsi="Arial" w:cs="Arial"/>
          <w:sz w:val="22"/>
          <w:szCs w:val="22"/>
        </w:rPr>
        <w:t xml:space="preserve">developed </w:t>
      </w:r>
      <w:r w:rsidR="00AA399B" w:rsidRPr="00980BBE">
        <w:rPr>
          <w:rFonts w:ascii="Arial" w:hAnsi="Arial" w:cs="Arial"/>
          <w:sz w:val="22"/>
          <w:szCs w:val="22"/>
        </w:rPr>
        <w:t xml:space="preserve">by identifying keywords that were aligned with the core </w:t>
      </w:r>
      <w:r w:rsidR="00E025EC" w:rsidRPr="00980BBE">
        <w:rPr>
          <w:rFonts w:ascii="Arial" w:hAnsi="Arial" w:cs="Arial"/>
          <w:sz w:val="22"/>
          <w:szCs w:val="22"/>
        </w:rPr>
        <w:t>concept and research title</w:t>
      </w:r>
      <w:r w:rsidR="00684969" w:rsidRPr="00980BBE">
        <w:rPr>
          <w:rFonts w:ascii="Arial" w:hAnsi="Arial" w:cs="Arial"/>
          <w:sz w:val="22"/>
          <w:szCs w:val="22"/>
        </w:rPr>
        <w:t>. Key terms include</w:t>
      </w:r>
      <w:r w:rsidRPr="00980BBE">
        <w:rPr>
          <w:rFonts w:ascii="Arial" w:hAnsi="Arial" w:cs="Arial"/>
          <w:sz w:val="22"/>
          <w:szCs w:val="22"/>
        </w:rPr>
        <w:t xml:space="preserve"> "Young-onset dementia," "early-onset dementia," "alcohol use," "alcohol-related harm," "socioeconomic deprivation," "poverty," and "health inequalities" were among the key phrases. To </w:t>
      </w:r>
      <w:r w:rsidR="00684969" w:rsidRPr="00980BBE">
        <w:rPr>
          <w:rFonts w:ascii="Arial" w:hAnsi="Arial" w:cs="Arial"/>
          <w:sz w:val="22"/>
          <w:szCs w:val="22"/>
        </w:rPr>
        <w:t>enhance</w:t>
      </w:r>
      <w:r w:rsidRPr="00980BBE">
        <w:rPr>
          <w:rFonts w:ascii="Arial" w:hAnsi="Arial" w:cs="Arial"/>
          <w:sz w:val="22"/>
          <w:szCs w:val="22"/>
        </w:rPr>
        <w:t xml:space="preserve"> the search, professional and medical  such</w:t>
      </w:r>
      <w:r w:rsidR="00684969" w:rsidRPr="00980BBE">
        <w:rPr>
          <w:rFonts w:ascii="Arial" w:hAnsi="Arial" w:cs="Arial"/>
          <w:sz w:val="22"/>
          <w:szCs w:val="22"/>
        </w:rPr>
        <w:t xml:space="preserve"> as</w:t>
      </w:r>
      <w:r w:rsidRPr="00980BBE">
        <w:rPr>
          <w:rFonts w:ascii="Arial" w:hAnsi="Arial" w:cs="Arial"/>
          <w:sz w:val="22"/>
          <w:szCs w:val="22"/>
        </w:rPr>
        <w:t xml:space="preserve"> "AUD" (Alcohol Use Disorder), "social gradient," and "neurocognitive decline" were also </w:t>
      </w:r>
      <w:r w:rsidR="00684969" w:rsidRPr="00980BBE">
        <w:rPr>
          <w:rFonts w:ascii="Arial" w:hAnsi="Arial" w:cs="Arial"/>
          <w:sz w:val="22"/>
          <w:szCs w:val="22"/>
        </w:rPr>
        <w:t xml:space="preserve">incorporated </w:t>
      </w:r>
      <w:r w:rsidRPr="00980BBE">
        <w:rPr>
          <w:rFonts w:ascii="Arial" w:hAnsi="Arial" w:cs="Arial"/>
          <w:sz w:val="22"/>
          <w:szCs w:val="22"/>
        </w:rPr>
        <w:t>(Rethlefsen et al., 2023).</w:t>
      </w:r>
    </w:p>
    <w:p w14:paraId="66E4D15F" w14:textId="335AB42D" w:rsidR="00C5311E" w:rsidRPr="00980BBE" w:rsidRDefault="00C5311E" w:rsidP="001D2D05">
      <w:pPr>
        <w:spacing w:line="360" w:lineRule="auto"/>
        <w:rPr>
          <w:rFonts w:ascii="Arial" w:hAnsi="Arial" w:cs="Arial"/>
          <w:sz w:val="22"/>
          <w:szCs w:val="22"/>
        </w:rPr>
      </w:pPr>
      <w:r w:rsidRPr="00980BBE">
        <w:rPr>
          <w:rFonts w:ascii="Arial" w:hAnsi="Arial" w:cs="Arial"/>
          <w:sz w:val="22"/>
          <w:szCs w:val="22"/>
        </w:rPr>
        <w:t xml:space="preserve">Boolean operators were </w:t>
      </w:r>
      <w:r w:rsidR="00B00154" w:rsidRPr="00980BBE">
        <w:rPr>
          <w:rFonts w:ascii="Arial" w:hAnsi="Arial" w:cs="Arial"/>
          <w:sz w:val="22"/>
          <w:szCs w:val="22"/>
        </w:rPr>
        <w:t xml:space="preserve">integral in structuring </w:t>
      </w:r>
      <w:r w:rsidRPr="00980BBE">
        <w:rPr>
          <w:rFonts w:ascii="Arial" w:hAnsi="Arial" w:cs="Arial"/>
          <w:sz w:val="22"/>
          <w:szCs w:val="22"/>
        </w:rPr>
        <w:t xml:space="preserve">these searches; for </w:t>
      </w:r>
      <w:r w:rsidR="00B00154" w:rsidRPr="00980BBE">
        <w:rPr>
          <w:rFonts w:ascii="Arial" w:hAnsi="Arial" w:cs="Arial"/>
          <w:sz w:val="22"/>
          <w:szCs w:val="22"/>
        </w:rPr>
        <w:t>example</w:t>
      </w:r>
      <w:r w:rsidRPr="00980BBE">
        <w:rPr>
          <w:rFonts w:ascii="Arial" w:hAnsi="Arial" w:cs="Arial"/>
          <w:sz w:val="22"/>
          <w:szCs w:val="22"/>
        </w:rPr>
        <w:t xml:space="preserve">, "young-onset dementia and alcohol use" </w:t>
      </w:r>
      <w:r w:rsidR="00AF0043" w:rsidRPr="00980BBE">
        <w:rPr>
          <w:rFonts w:ascii="Arial" w:hAnsi="Arial" w:cs="Arial"/>
          <w:sz w:val="22"/>
          <w:szCs w:val="22"/>
        </w:rPr>
        <w:t>ensured</w:t>
      </w:r>
      <w:r w:rsidRPr="00980BBE">
        <w:rPr>
          <w:rFonts w:ascii="Arial" w:hAnsi="Arial" w:cs="Arial"/>
          <w:sz w:val="22"/>
          <w:szCs w:val="22"/>
        </w:rPr>
        <w:t xml:space="preserve"> joint relevance, while "socioeconomic deprivation or poverty" </w:t>
      </w:r>
      <w:r w:rsidR="00AF0043" w:rsidRPr="00980BBE">
        <w:rPr>
          <w:rFonts w:ascii="Arial" w:hAnsi="Arial" w:cs="Arial"/>
          <w:sz w:val="22"/>
          <w:szCs w:val="22"/>
        </w:rPr>
        <w:t>expanded</w:t>
      </w:r>
      <w:r w:rsidRPr="00980BBE">
        <w:rPr>
          <w:rFonts w:ascii="Arial" w:hAnsi="Arial" w:cs="Arial"/>
          <w:sz w:val="22"/>
          <w:szCs w:val="22"/>
        </w:rPr>
        <w:t xml:space="preserve"> the</w:t>
      </w:r>
      <w:r w:rsidR="00AF0043" w:rsidRPr="00980BBE">
        <w:rPr>
          <w:rFonts w:ascii="Arial" w:hAnsi="Arial" w:cs="Arial"/>
          <w:sz w:val="22"/>
          <w:szCs w:val="22"/>
        </w:rPr>
        <w:t xml:space="preserve"> scope</w:t>
      </w:r>
      <w:r w:rsidR="00FD0F82" w:rsidRPr="00980BBE">
        <w:rPr>
          <w:rFonts w:ascii="Arial" w:hAnsi="Arial" w:cs="Arial"/>
          <w:sz w:val="22"/>
          <w:szCs w:val="22"/>
        </w:rPr>
        <w:t xml:space="preserve"> of the</w:t>
      </w:r>
      <w:r w:rsidRPr="00980BBE">
        <w:rPr>
          <w:rFonts w:ascii="Arial" w:hAnsi="Arial" w:cs="Arial"/>
          <w:sz w:val="22"/>
          <w:szCs w:val="22"/>
        </w:rPr>
        <w:t xml:space="preserve"> search. To systematically </w:t>
      </w:r>
      <w:r w:rsidR="00FD0F82" w:rsidRPr="00980BBE">
        <w:rPr>
          <w:rFonts w:ascii="Arial" w:hAnsi="Arial" w:cs="Arial"/>
          <w:sz w:val="22"/>
          <w:szCs w:val="22"/>
        </w:rPr>
        <w:t xml:space="preserve">refine </w:t>
      </w:r>
      <w:r w:rsidRPr="00980BBE">
        <w:rPr>
          <w:rFonts w:ascii="Arial" w:hAnsi="Arial" w:cs="Arial"/>
          <w:sz w:val="22"/>
          <w:szCs w:val="22"/>
        </w:rPr>
        <w:t xml:space="preserve">search </w:t>
      </w:r>
      <w:r w:rsidR="00FD0F82" w:rsidRPr="00980BBE">
        <w:rPr>
          <w:rFonts w:ascii="Arial" w:hAnsi="Arial" w:cs="Arial"/>
          <w:sz w:val="22"/>
          <w:szCs w:val="22"/>
        </w:rPr>
        <w:t>terms</w:t>
      </w:r>
      <w:r w:rsidR="00EA178A" w:rsidRPr="00980BBE">
        <w:rPr>
          <w:rFonts w:ascii="Arial" w:hAnsi="Arial" w:cs="Arial"/>
          <w:sz w:val="22"/>
          <w:szCs w:val="22"/>
        </w:rPr>
        <w:t xml:space="preserve"> throughout the</w:t>
      </w:r>
      <w:r w:rsidR="002434F0" w:rsidRPr="00980BBE">
        <w:rPr>
          <w:rFonts w:ascii="Arial" w:hAnsi="Arial" w:cs="Arial"/>
          <w:sz w:val="22"/>
          <w:szCs w:val="22"/>
        </w:rPr>
        <w:t xml:space="preserve"> </w:t>
      </w:r>
      <w:r w:rsidRPr="00980BBE">
        <w:rPr>
          <w:rFonts w:ascii="Arial" w:hAnsi="Arial" w:cs="Arial"/>
          <w:sz w:val="22"/>
          <w:szCs w:val="22"/>
        </w:rPr>
        <w:t>progres</w:t>
      </w:r>
      <w:r w:rsidR="00EA178A" w:rsidRPr="00980BBE">
        <w:rPr>
          <w:rFonts w:ascii="Arial" w:hAnsi="Arial" w:cs="Arial"/>
          <w:sz w:val="22"/>
          <w:szCs w:val="22"/>
        </w:rPr>
        <w:t xml:space="preserve">s </w:t>
      </w:r>
      <w:r w:rsidRPr="00980BBE">
        <w:rPr>
          <w:rFonts w:ascii="Arial" w:hAnsi="Arial" w:cs="Arial"/>
          <w:sz w:val="22"/>
          <w:szCs w:val="22"/>
        </w:rPr>
        <w:t xml:space="preserve">, a structured search </w:t>
      </w:r>
      <w:r w:rsidR="002434F0" w:rsidRPr="00980BBE">
        <w:rPr>
          <w:rFonts w:ascii="Arial" w:hAnsi="Arial" w:cs="Arial"/>
          <w:sz w:val="22"/>
          <w:szCs w:val="22"/>
        </w:rPr>
        <w:t xml:space="preserve">strategy was implemented </w:t>
      </w:r>
      <w:r w:rsidR="00E93B6A" w:rsidRPr="00980BBE">
        <w:rPr>
          <w:rFonts w:ascii="Arial" w:hAnsi="Arial" w:cs="Arial"/>
          <w:sz w:val="22"/>
          <w:szCs w:val="22"/>
        </w:rPr>
        <w:t xml:space="preserve">to record key words, </w:t>
      </w:r>
      <w:r w:rsidRPr="00980BBE">
        <w:rPr>
          <w:rFonts w:ascii="Arial" w:hAnsi="Arial" w:cs="Arial"/>
          <w:sz w:val="22"/>
          <w:szCs w:val="22"/>
        </w:rPr>
        <w:t xml:space="preserve">combinations used, and the number of results </w:t>
      </w:r>
      <w:r w:rsidR="00E93B6A" w:rsidRPr="00980BBE">
        <w:rPr>
          <w:rFonts w:ascii="Arial" w:hAnsi="Arial" w:cs="Arial"/>
          <w:sz w:val="22"/>
          <w:szCs w:val="22"/>
        </w:rPr>
        <w:t>re</w:t>
      </w:r>
      <w:r w:rsidR="00997DA2" w:rsidRPr="00980BBE">
        <w:rPr>
          <w:rFonts w:ascii="Arial" w:hAnsi="Arial" w:cs="Arial"/>
          <w:sz w:val="22"/>
          <w:szCs w:val="22"/>
        </w:rPr>
        <w:t>trieved</w:t>
      </w:r>
      <w:r w:rsidRPr="00980BBE">
        <w:rPr>
          <w:rFonts w:ascii="Arial" w:hAnsi="Arial" w:cs="Arial"/>
          <w:sz w:val="22"/>
          <w:szCs w:val="22"/>
        </w:rPr>
        <w:t xml:space="preserve"> (Bramer et al., 2022).</w:t>
      </w:r>
    </w:p>
    <w:p w14:paraId="491B95ED" w14:textId="227D83D4" w:rsidR="00D57668" w:rsidRPr="00266F7A" w:rsidRDefault="00D57668" w:rsidP="006A3180">
      <w:pPr>
        <w:pStyle w:val="Heading1"/>
        <w:rPr>
          <w:rFonts w:ascii="Arial" w:hAnsi="Arial" w:cs="Arial"/>
          <w:b/>
          <w:bCs/>
          <w:color w:val="auto"/>
          <w:sz w:val="28"/>
          <w:szCs w:val="28"/>
          <w:u w:val="single"/>
        </w:rPr>
      </w:pPr>
      <w:bookmarkStart w:id="21" w:name="_Toc225966614"/>
      <w:r w:rsidRPr="00266F7A">
        <w:rPr>
          <w:rFonts w:ascii="Arial" w:hAnsi="Arial" w:cs="Arial"/>
          <w:b/>
          <w:bCs/>
          <w:color w:val="auto"/>
          <w:sz w:val="28"/>
          <w:szCs w:val="28"/>
          <w:u w:val="single"/>
        </w:rPr>
        <w:lastRenderedPageBreak/>
        <w:t>Boolean Search Strategies</w:t>
      </w:r>
      <w:bookmarkEnd w:id="21"/>
      <w:r w:rsidRPr="00266F7A">
        <w:rPr>
          <w:rFonts w:ascii="Arial" w:hAnsi="Arial" w:cs="Arial"/>
          <w:b/>
          <w:bCs/>
          <w:color w:val="auto"/>
          <w:sz w:val="28"/>
          <w:szCs w:val="28"/>
          <w:u w:val="single"/>
        </w:rPr>
        <w:t xml:space="preserve"> </w:t>
      </w:r>
    </w:p>
    <w:p w14:paraId="27B6627D" w14:textId="35E036E1" w:rsidR="008A7E71" w:rsidRPr="00980BBE" w:rsidRDefault="008A7E71" w:rsidP="001D2D05">
      <w:pPr>
        <w:spacing w:line="360" w:lineRule="auto"/>
        <w:rPr>
          <w:rFonts w:ascii="Arial" w:hAnsi="Arial" w:cs="Arial"/>
          <w:b/>
          <w:bCs/>
          <w:sz w:val="22"/>
          <w:szCs w:val="22"/>
          <w:u w:val="single"/>
        </w:rPr>
      </w:pPr>
      <w:r w:rsidRPr="00980BBE">
        <w:rPr>
          <w:rFonts w:ascii="Arial" w:hAnsi="Arial" w:cs="Arial"/>
          <w:b/>
          <w:bCs/>
          <w:noProof/>
          <w:sz w:val="22"/>
          <w:szCs w:val="22"/>
          <w:u w:val="single"/>
        </w:rPr>
        <w:drawing>
          <wp:anchor distT="0" distB="0" distL="114300" distR="114300" simplePos="0" relativeHeight="251647488" behindDoc="0" locked="0" layoutInCell="1" allowOverlap="1" wp14:anchorId="75A62995" wp14:editId="3157CD2D">
            <wp:simplePos x="0" y="0"/>
            <wp:positionH relativeFrom="column">
              <wp:posOffset>0</wp:posOffset>
            </wp:positionH>
            <wp:positionV relativeFrom="paragraph">
              <wp:posOffset>0</wp:posOffset>
            </wp:positionV>
            <wp:extent cx="5985933" cy="5501640"/>
            <wp:effectExtent l="0" t="0" r="0" b="3810"/>
            <wp:wrapSquare wrapText="bothSides"/>
            <wp:docPr id="256434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434642" name=""/>
                    <pic:cNvPicPr/>
                  </pic:nvPicPr>
                  <pic:blipFill>
                    <a:blip r:embed="rId10">
                      <a:extLst>
                        <a:ext uri="{28A0092B-C50C-407E-A947-70E740481C1C}">
                          <a14:useLocalDpi xmlns:a14="http://schemas.microsoft.com/office/drawing/2010/main" val="0"/>
                        </a:ext>
                      </a:extLst>
                    </a:blip>
                    <a:stretch>
                      <a:fillRect/>
                    </a:stretch>
                  </pic:blipFill>
                  <pic:spPr>
                    <a:xfrm>
                      <a:off x="0" y="0"/>
                      <a:ext cx="5985933" cy="5501640"/>
                    </a:xfrm>
                    <a:prstGeom prst="rect">
                      <a:avLst/>
                    </a:prstGeom>
                  </pic:spPr>
                </pic:pic>
              </a:graphicData>
            </a:graphic>
            <wp14:sizeRelH relativeFrom="page">
              <wp14:pctWidth>0</wp14:pctWidth>
            </wp14:sizeRelH>
            <wp14:sizeRelV relativeFrom="page">
              <wp14:pctHeight>0</wp14:pctHeight>
            </wp14:sizeRelV>
          </wp:anchor>
        </w:drawing>
      </w:r>
    </w:p>
    <w:p w14:paraId="03DD5851" w14:textId="7F1D0C47" w:rsidR="00005128" w:rsidRPr="00980BBE" w:rsidRDefault="006B76F9" w:rsidP="001D2D05">
      <w:pPr>
        <w:spacing w:line="360" w:lineRule="auto"/>
        <w:rPr>
          <w:rFonts w:ascii="Arial" w:hAnsi="Arial" w:cs="Arial"/>
          <w:sz w:val="22"/>
          <w:szCs w:val="22"/>
        </w:rPr>
      </w:pPr>
      <w:r w:rsidRPr="00980BBE">
        <w:rPr>
          <w:rFonts w:ascii="Arial" w:hAnsi="Arial" w:cs="Arial"/>
          <w:sz w:val="22"/>
          <w:szCs w:val="22"/>
        </w:rPr>
        <w:t xml:space="preserve">Fig </w:t>
      </w:r>
      <w:r w:rsidR="000D3333" w:rsidRPr="00980BBE">
        <w:rPr>
          <w:rFonts w:ascii="Arial" w:hAnsi="Arial" w:cs="Arial"/>
          <w:sz w:val="22"/>
          <w:szCs w:val="22"/>
        </w:rPr>
        <w:t>(</w:t>
      </w:r>
      <w:r w:rsidR="000D3333" w:rsidRPr="00980BBE">
        <w:rPr>
          <w:rFonts w:ascii="Arial" w:hAnsi="Arial" w:cs="Arial"/>
          <w:b/>
          <w:bCs/>
          <w:sz w:val="22"/>
          <w:szCs w:val="22"/>
        </w:rPr>
        <w:t>Fig 1</w:t>
      </w:r>
      <w:r w:rsidR="00A62574" w:rsidRPr="00980BBE">
        <w:rPr>
          <w:rFonts w:ascii="Arial" w:hAnsi="Arial" w:cs="Arial"/>
          <w:sz w:val="22"/>
          <w:szCs w:val="22"/>
        </w:rPr>
        <w:t>made by author)</w:t>
      </w:r>
    </w:p>
    <w:p w14:paraId="18CF0823" w14:textId="657CE801" w:rsidR="00D57668" w:rsidRPr="00266F7A" w:rsidRDefault="00D57668" w:rsidP="006A3180">
      <w:pPr>
        <w:pStyle w:val="Heading1"/>
        <w:rPr>
          <w:rFonts w:ascii="Arial" w:hAnsi="Arial" w:cs="Arial"/>
          <w:b/>
          <w:bCs/>
          <w:color w:val="auto"/>
          <w:sz w:val="28"/>
          <w:szCs w:val="28"/>
          <w:u w:val="single"/>
        </w:rPr>
      </w:pPr>
      <w:bookmarkStart w:id="22" w:name="_Toc225966615"/>
      <w:r w:rsidRPr="00266F7A">
        <w:rPr>
          <w:rFonts w:ascii="Arial" w:hAnsi="Arial" w:cs="Arial"/>
          <w:b/>
          <w:bCs/>
          <w:color w:val="auto"/>
          <w:sz w:val="28"/>
          <w:szCs w:val="28"/>
          <w:u w:val="single"/>
        </w:rPr>
        <w:t>Searching for Information</w:t>
      </w:r>
      <w:bookmarkEnd w:id="22"/>
    </w:p>
    <w:p w14:paraId="63A44D27" w14:textId="27DB965E" w:rsidR="0050684D" w:rsidRPr="00980BBE" w:rsidRDefault="0050684D" w:rsidP="001D2D05">
      <w:pPr>
        <w:spacing w:line="360" w:lineRule="auto"/>
        <w:rPr>
          <w:rFonts w:ascii="Arial" w:hAnsi="Arial" w:cs="Arial"/>
          <w:sz w:val="22"/>
          <w:szCs w:val="22"/>
        </w:rPr>
      </w:pPr>
      <w:r w:rsidRPr="00980BBE">
        <w:rPr>
          <w:rFonts w:ascii="Arial" w:hAnsi="Arial" w:cs="Arial"/>
          <w:sz w:val="22"/>
          <w:szCs w:val="22"/>
        </w:rPr>
        <w:t>High-quality research was sourced using Google Scholar, PubMed, and the UWTSD Library database, chosen for their credible, interdisciplinary coverage of medical, psychological, and social aspects of dementia research (Hebatullah Abdulazeem et al., 2025).</w:t>
      </w:r>
    </w:p>
    <w:p w14:paraId="6F871892" w14:textId="6EEF23D4" w:rsidR="00E2583B" w:rsidRPr="00980BBE" w:rsidRDefault="00E2583B" w:rsidP="001D2D05">
      <w:pPr>
        <w:spacing w:line="360" w:lineRule="auto"/>
        <w:rPr>
          <w:rFonts w:ascii="Arial" w:hAnsi="Arial" w:cs="Arial"/>
          <w:sz w:val="22"/>
          <w:szCs w:val="22"/>
        </w:rPr>
      </w:pPr>
      <w:r w:rsidRPr="00980BBE">
        <w:rPr>
          <w:rFonts w:ascii="Arial" w:hAnsi="Arial" w:cs="Arial"/>
          <w:sz w:val="22"/>
          <w:szCs w:val="22"/>
        </w:rPr>
        <w:t xml:space="preserve">Filters for the previous 20 years, peer-reviewed publications, English language, and studies </w:t>
      </w:r>
      <w:r w:rsidR="00AB7244" w:rsidRPr="00980BBE">
        <w:rPr>
          <w:rFonts w:ascii="Arial" w:hAnsi="Arial" w:cs="Arial"/>
          <w:sz w:val="22"/>
          <w:szCs w:val="22"/>
        </w:rPr>
        <w:t>conducted in high-income</w:t>
      </w:r>
      <w:r w:rsidR="009C5EE8" w:rsidRPr="00980BBE">
        <w:rPr>
          <w:rFonts w:ascii="Arial" w:hAnsi="Arial" w:cs="Arial"/>
          <w:sz w:val="22"/>
          <w:szCs w:val="22"/>
        </w:rPr>
        <w:t xml:space="preserve"> countries were applied to refine the research results. </w:t>
      </w:r>
      <w:r w:rsidRPr="00980BBE">
        <w:rPr>
          <w:rFonts w:ascii="Arial" w:hAnsi="Arial" w:cs="Arial"/>
          <w:sz w:val="22"/>
          <w:szCs w:val="22"/>
        </w:rPr>
        <w:t xml:space="preserve">This </w:t>
      </w:r>
      <w:r w:rsidR="00D43D48" w:rsidRPr="00980BBE">
        <w:rPr>
          <w:rFonts w:ascii="Arial" w:hAnsi="Arial" w:cs="Arial"/>
          <w:sz w:val="22"/>
          <w:szCs w:val="22"/>
        </w:rPr>
        <w:t xml:space="preserve">ensured </w:t>
      </w:r>
      <w:r w:rsidRPr="00980BBE">
        <w:rPr>
          <w:rFonts w:ascii="Arial" w:hAnsi="Arial" w:cs="Arial"/>
          <w:sz w:val="22"/>
          <w:szCs w:val="22"/>
        </w:rPr>
        <w:t xml:space="preserve">that the </w:t>
      </w:r>
      <w:r w:rsidR="00D43D48" w:rsidRPr="00980BBE">
        <w:rPr>
          <w:rFonts w:ascii="Arial" w:hAnsi="Arial" w:cs="Arial"/>
          <w:sz w:val="22"/>
          <w:szCs w:val="22"/>
        </w:rPr>
        <w:t>findings reflected</w:t>
      </w:r>
      <w:r w:rsidR="00CF5186" w:rsidRPr="00980BBE">
        <w:rPr>
          <w:rFonts w:ascii="Arial" w:hAnsi="Arial" w:cs="Arial"/>
          <w:sz w:val="22"/>
          <w:szCs w:val="22"/>
        </w:rPr>
        <w:t xml:space="preserve"> contemporary evidence on alcohol-related </w:t>
      </w:r>
      <w:r w:rsidRPr="00980BBE">
        <w:rPr>
          <w:rFonts w:ascii="Arial" w:hAnsi="Arial" w:cs="Arial"/>
          <w:sz w:val="22"/>
          <w:szCs w:val="22"/>
        </w:rPr>
        <w:t xml:space="preserve"> neurocognitive </w:t>
      </w:r>
      <w:r w:rsidR="000A2D3C" w:rsidRPr="00980BBE">
        <w:rPr>
          <w:rFonts w:ascii="Arial" w:hAnsi="Arial" w:cs="Arial"/>
          <w:sz w:val="22"/>
          <w:szCs w:val="22"/>
        </w:rPr>
        <w:t>disorders</w:t>
      </w:r>
      <w:r w:rsidRPr="00980BBE">
        <w:rPr>
          <w:rFonts w:ascii="Arial" w:hAnsi="Arial" w:cs="Arial"/>
          <w:sz w:val="22"/>
          <w:szCs w:val="22"/>
        </w:rPr>
        <w:t xml:space="preserve">, YOD, and socioeconomic health </w:t>
      </w:r>
      <w:r w:rsidR="000A2D3C" w:rsidRPr="00980BBE">
        <w:rPr>
          <w:rFonts w:ascii="Arial" w:hAnsi="Arial" w:cs="Arial"/>
          <w:sz w:val="22"/>
          <w:szCs w:val="22"/>
        </w:rPr>
        <w:t>inequalities</w:t>
      </w:r>
      <w:r w:rsidRPr="00980BBE">
        <w:rPr>
          <w:rFonts w:ascii="Arial" w:hAnsi="Arial" w:cs="Arial"/>
          <w:sz w:val="22"/>
          <w:szCs w:val="22"/>
        </w:rPr>
        <w:t xml:space="preserve">. According to Page, McKenzie, and </w:t>
      </w:r>
      <w:r w:rsidRPr="00980BBE">
        <w:rPr>
          <w:rFonts w:ascii="Arial" w:hAnsi="Arial" w:cs="Arial"/>
          <w:sz w:val="22"/>
          <w:szCs w:val="22"/>
        </w:rPr>
        <w:lastRenderedPageBreak/>
        <w:t xml:space="preserve">Bossuyt (2021a), </w:t>
      </w:r>
      <w:r w:rsidR="000A2D3C" w:rsidRPr="00980BBE">
        <w:rPr>
          <w:rFonts w:ascii="Arial" w:hAnsi="Arial" w:cs="Arial"/>
          <w:sz w:val="22"/>
          <w:szCs w:val="22"/>
        </w:rPr>
        <w:t xml:space="preserve">such </w:t>
      </w:r>
      <w:r w:rsidRPr="00980BBE">
        <w:rPr>
          <w:rFonts w:ascii="Arial" w:hAnsi="Arial" w:cs="Arial"/>
          <w:sz w:val="22"/>
          <w:szCs w:val="22"/>
        </w:rPr>
        <w:t xml:space="preserve">filters </w:t>
      </w:r>
      <w:r w:rsidR="000A2D3C" w:rsidRPr="00980BBE">
        <w:rPr>
          <w:rFonts w:ascii="Arial" w:hAnsi="Arial" w:cs="Arial"/>
          <w:sz w:val="22"/>
          <w:szCs w:val="22"/>
        </w:rPr>
        <w:t>focus</w:t>
      </w:r>
      <w:r w:rsidR="00AE456E" w:rsidRPr="00980BBE">
        <w:rPr>
          <w:rFonts w:ascii="Arial" w:hAnsi="Arial" w:cs="Arial"/>
          <w:sz w:val="22"/>
          <w:szCs w:val="22"/>
        </w:rPr>
        <w:t xml:space="preserve"> the </w:t>
      </w:r>
      <w:r w:rsidRPr="00980BBE">
        <w:rPr>
          <w:rFonts w:ascii="Arial" w:hAnsi="Arial" w:cs="Arial"/>
          <w:sz w:val="22"/>
          <w:szCs w:val="22"/>
        </w:rPr>
        <w:t xml:space="preserve">review on studies that </w:t>
      </w:r>
      <w:r w:rsidR="00AE456E" w:rsidRPr="00980BBE">
        <w:rPr>
          <w:rFonts w:ascii="Arial" w:hAnsi="Arial" w:cs="Arial"/>
          <w:sz w:val="22"/>
          <w:szCs w:val="22"/>
        </w:rPr>
        <w:t xml:space="preserve">are comparable to the research context. </w:t>
      </w:r>
    </w:p>
    <w:p w14:paraId="0D3D3FD4" w14:textId="361DDE75" w:rsidR="00D57668" w:rsidRPr="00980BBE" w:rsidRDefault="00D57668" w:rsidP="001D2D05">
      <w:pPr>
        <w:spacing w:line="360" w:lineRule="auto"/>
        <w:rPr>
          <w:rFonts w:ascii="Arial" w:hAnsi="Arial" w:cs="Arial"/>
          <w:sz w:val="22"/>
          <w:szCs w:val="22"/>
        </w:rPr>
      </w:pPr>
      <w:r w:rsidRPr="00980BBE">
        <w:rPr>
          <w:rFonts w:ascii="Arial" w:hAnsi="Arial" w:cs="Arial"/>
          <w:sz w:val="22"/>
          <w:szCs w:val="22"/>
        </w:rPr>
        <w:t xml:space="preserve">Search terms were </w:t>
      </w:r>
      <w:r w:rsidR="008F3F77" w:rsidRPr="00980BBE">
        <w:rPr>
          <w:rFonts w:ascii="Arial" w:hAnsi="Arial" w:cs="Arial"/>
          <w:sz w:val="22"/>
          <w:szCs w:val="22"/>
        </w:rPr>
        <w:t xml:space="preserve">iteratively refined </w:t>
      </w:r>
      <w:r w:rsidRPr="00980BBE">
        <w:rPr>
          <w:rFonts w:ascii="Arial" w:hAnsi="Arial" w:cs="Arial"/>
          <w:sz w:val="22"/>
          <w:szCs w:val="22"/>
        </w:rPr>
        <w:t xml:space="preserve"> to improve </w:t>
      </w:r>
      <w:r w:rsidR="008F3F77" w:rsidRPr="00980BBE">
        <w:rPr>
          <w:rFonts w:ascii="Arial" w:hAnsi="Arial" w:cs="Arial"/>
          <w:sz w:val="22"/>
          <w:szCs w:val="22"/>
        </w:rPr>
        <w:t xml:space="preserve">relevance, </w:t>
      </w:r>
      <w:r w:rsidRPr="00980BBE">
        <w:rPr>
          <w:rFonts w:ascii="Arial" w:hAnsi="Arial" w:cs="Arial"/>
          <w:sz w:val="22"/>
          <w:szCs w:val="22"/>
        </w:rPr>
        <w:t>shifting from clinical case studies to population-</w:t>
      </w:r>
      <w:r w:rsidR="00C45538" w:rsidRPr="00980BBE">
        <w:rPr>
          <w:rFonts w:ascii="Arial" w:hAnsi="Arial" w:cs="Arial"/>
          <w:sz w:val="22"/>
          <w:szCs w:val="22"/>
        </w:rPr>
        <w:t>based</w:t>
      </w:r>
      <w:r w:rsidRPr="00980BBE">
        <w:rPr>
          <w:rFonts w:ascii="Arial" w:hAnsi="Arial" w:cs="Arial"/>
          <w:sz w:val="22"/>
          <w:szCs w:val="22"/>
        </w:rPr>
        <w:t xml:space="preserve"> phrases </w:t>
      </w:r>
      <w:r w:rsidR="00A3049F" w:rsidRPr="00980BBE">
        <w:rPr>
          <w:rFonts w:ascii="Arial" w:hAnsi="Arial" w:cs="Arial"/>
          <w:sz w:val="22"/>
          <w:szCs w:val="22"/>
        </w:rPr>
        <w:t>such as</w:t>
      </w:r>
      <w:r w:rsidRPr="00980BBE">
        <w:rPr>
          <w:rFonts w:ascii="Arial" w:hAnsi="Arial" w:cs="Arial"/>
          <w:sz w:val="22"/>
          <w:szCs w:val="22"/>
        </w:rPr>
        <w:t xml:space="preserve"> “alcohol-related dementia prevalence” and “risk factors young-onset dementia,” and </w:t>
      </w:r>
      <w:r w:rsidR="00A3049F" w:rsidRPr="00980BBE">
        <w:rPr>
          <w:rFonts w:ascii="Arial" w:hAnsi="Arial" w:cs="Arial"/>
          <w:sz w:val="22"/>
          <w:szCs w:val="22"/>
        </w:rPr>
        <w:t>incorpo</w:t>
      </w:r>
      <w:r w:rsidR="003D483A" w:rsidRPr="00980BBE">
        <w:rPr>
          <w:rFonts w:ascii="Arial" w:hAnsi="Arial" w:cs="Arial"/>
          <w:sz w:val="22"/>
          <w:szCs w:val="22"/>
        </w:rPr>
        <w:t xml:space="preserve">rating terms like </w:t>
      </w:r>
      <w:r w:rsidRPr="00980BBE">
        <w:rPr>
          <w:rFonts w:ascii="Arial" w:hAnsi="Arial" w:cs="Arial"/>
          <w:sz w:val="22"/>
          <w:szCs w:val="22"/>
        </w:rPr>
        <w:t xml:space="preserve">“Index of Multiple Deprivation” </w:t>
      </w:r>
      <w:r w:rsidR="003D483A" w:rsidRPr="00980BBE">
        <w:rPr>
          <w:rFonts w:ascii="Arial" w:hAnsi="Arial" w:cs="Arial"/>
          <w:sz w:val="22"/>
          <w:szCs w:val="22"/>
        </w:rPr>
        <w:t xml:space="preserve">to capture </w:t>
      </w:r>
      <w:r w:rsidRPr="00980BBE">
        <w:rPr>
          <w:rFonts w:ascii="Arial" w:hAnsi="Arial" w:cs="Arial"/>
          <w:sz w:val="22"/>
          <w:szCs w:val="22"/>
        </w:rPr>
        <w:t xml:space="preserve"> socioeconomic </w:t>
      </w:r>
      <w:r w:rsidR="003D483A" w:rsidRPr="00980BBE">
        <w:rPr>
          <w:rFonts w:ascii="Arial" w:hAnsi="Arial" w:cs="Arial"/>
          <w:sz w:val="22"/>
          <w:szCs w:val="22"/>
        </w:rPr>
        <w:t>variables</w:t>
      </w:r>
      <w:r w:rsidRPr="00980BBE">
        <w:rPr>
          <w:rFonts w:ascii="Arial" w:hAnsi="Arial" w:cs="Arial"/>
          <w:sz w:val="22"/>
          <w:szCs w:val="22"/>
        </w:rPr>
        <w:t xml:space="preserve"> (Hendriks et al., 2024).</w:t>
      </w:r>
    </w:p>
    <w:p w14:paraId="7F188959" w14:textId="77777777" w:rsidR="00266F7A" w:rsidRDefault="00D57668" w:rsidP="00266F7A">
      <w:pPr>
        <w:spacing w:line="360" w:lineRule="auto"/>
        <w:rPr>
          <w:rFonts w:ascii="Arial" w:hAnsi="Arial" w:cs="Arial"/>
          <w:sz w:val="22"/>
          <w:szCs w:val="22"/>
        </w:rPr>
      </w:pPr>
      <w:r w:rsidRPr="00980BBE">
        <w:rPr>
          <w:rFonts w:ascii="Arial" w:hAnsi="Arial" w:cs="Arial"/>
          <w:sz w:val="22"/>
          <w:szCs w:val="22"/>
        </w:rPr>
        <w:t>A source-tracking table was created to record search dates, database names, keywords used, and brief notes on the relevance of each source. This table is referenced throughout the research process and is included in the appendix.</w:t>
      </w:r>
      <w:bookmarkStart w:id="23" w:name="_Toc225966616"/>
    </w:p>
    <w:p w14:paraId="300475B7" w14:textId="08855B9F" w:rsidR="00D57668" w:rsidRPr="00266F7A" w:rsidRDefault="00D57668" w:rsidP="00266F7A">
      <w:pPr>
        <w:spacing w:line="360" w:lineRule="auto"/>
        <w:rPr>
          <w:rFonts w:ascii="Arial" w:hAnsi="Arial" w:cs="Arial"/>
          <w:sz w:val="22"/>
          <w:szCs w:val="22"/>
        </w:rPr>
      </w:pPr>
      <w:r w:rsidRPr="00266F7A">
        <w:rPr>
          <w:rFonts w:ascii="Arial" w:hAnsi="Arial" w:cs="Arial"/>
          <w:b/>
          <w:bCs/>
          <w:sz w:val="28"/>
          <w:szCs w:val="28"/>
          <w:u w:val="single"/>
        </w:rPr>
        <w:t>Research Validation</w:t>
      </w:r>
      <w:bookmarkEnd w:id="23"/>
    </w:p>
    <w:p w14:paraId="2C884E2F" w14:textId="3D7680EB" w:rsidR="008B06D6" w:rsidRPr="00980BBE" w:rsidRDefault="008B06D6" w:rsidP="001D2D05">
      <w:pPr>
        <w:spacing w:line="360" w:lineRule="auto"/>
        <w:rPr>
          <w:rFonts w:ascii="Arial" w:hAnsi="Arial" w:cs="Arial"/>
          <w:sz w:val="22"/>
          <w:szCs w:val="22"/>
        </w:rPr>
      </w:pPr>
      <w:r w:rsidRPr="00980BBE">
        <w:rPr>
          <w:rFonts w:ascii="Arial" w:hAnsi="Arial" w:cs="Arial"/>
          <w:sz w:val="22"/>
          <w:szCs w:val="22"/>
        </w:rPr>
        <w:t xml:space="preserve">Skimming strategies were </w:t>
      </w:r>
      <w:r w:rsidR="004B245E" w:rsidRPr="00980BBE">
        <w:rPr>
          <w:rFonts w:ascii="Arial" w:hAnsi="Arial" w:cs="Arial"/>
          <w:sz w:val="22"/>
          <w:szCs w:val="22"/>
        </w:rPr>
        <w:t xml:space="preserve">employed </w:t>
      </w:r>
      <w:r w:rsidRPr="00980BBE">
        <w:rPr>
          <w:rFonts w:ascii="Arial" w:hAnsi="Arial" w:cs="Arial"/>
          <w:sz w:val="22"/>
          <w:szCs w:val="22"/>
        </w:rPr>
        <w:t xml:space="preserve">prior to in-depth reading </w:t>
      </w:r>
      <w:r w:rsidR="00A44F3F" w:rsidRPr="00980BBE">
        <w:rPr>
          <w:rFonts w:ascii="Arial" w:hAnsi="Arial" w:cs="Arial"/>
          <w:sz w:val="22"/>
          <w:szCs w:val="22"/>
        </w:rPr>
        <w:t>to</w:t>
      </w:r>
      <w:r w:rsidRPr="00980BBE">
        <w:rPr>
          <w:rFonts w:ascii="Arial" w:hAnsi="Arial" w:cs="Arial"/>
          <w:sz w:val="22"/>
          <w:szCs w:val="22"/>
        </w:rPr>
        <w:t xml:space="preserve"> eff</w:t>
      </w:r>
      <w:r w:rsidR="00D51D3F" w:rsidRPr="00980BBE">
        <w:rPr>
          <w:rFonts w:ascii="Arial" w:hAnsi="Arial" w:cs="Arial"/>
          <w:sz w:val="22"/>
          <w:szCs w:val="22"/>
        </w:rPr>
        <w:t xml:space="preserve">iciently </w:t>
      </w:r>
      <w:r w:rsidR="00EF367C" w:rsidRPr="00980BBE">
        <w:rPr>
          <w:rFonts w:ascii="Arial" w:hAnsi="Arial" w:cs="Arial"/>
          <w:sz w:val="22"/>
          <w:szCs w:val="22"/>
        </w:rPr>
        <w:t xml:space="preserve">evaluate large </w:t>
      </w:r>
      <w:r w:rsidRPr="00980BBE">
        <w:rPr>
          <w:rFonts w:ascii="Arial" w:hAnsi="Arial" w:cs="Arial"/>
          <w:sz w:val="22"/>
          <w:szCs w:val="22"/>
        </w:rPr>
        <w:t xml:space="preserve"> </w:t>
      </w:r>
      <w:r w:rsidR="005B42C1" w:rsidRPr="00980BBE">
        <w:rPr>
          <w:rFonts w:ascii="Arial" w:hAnsi="Arial" w:cs="Arial"/>
          <w:sz w:val="22"/>
          <w:szCs w:val="22"/>
        </w:rPr>
        <w:t>volumes</w:t>
      </w:r>
      <w:r w:rsidRPr="00980BBE">
        <w:rPr>
          <w:rFonts w:ascii="Arial" w:hAnsi="Arial" w:cs="Arial"/>
          <w:sz w:val="22"/>
          <w:szCs w:val="22"/>
        </w:rPr>
        <w:t xml:space="preserve"> of literature. The title, abstract, introduction, and conclusion of each source were</w:t>
      </w:r>
      <w:r w:rsidR="005B42C1" w:rsidRPr="00980BBE">
        <w:rPr>
          <w:rFonts w:ascii="Arial" w:hAnsi="Arial" w:cs="Arial"/>
          <w:sz w:val="22"/>
          <w:szCs w:val="22"/>
        </w:rPr>
        <w:t xml:space="preserve"> </w:t>
      </w:r>
      <w:r w:rsidR="008A6FAD" w:rsidRPr="00980BBE">
        <w:rPr>
          <w:rFonts w:ascii="Arial" w:hAnsi="Arial" w:cs="Arial"/>
          <w:sz w:val="22"/>
          <w:szCs w:val="22"/>
        </w:rPr>
        <w:t>systematically examined to faci</w:t>
      </w:r>
      <w:r w:rsidR="005B42C1" w:rsidRPr="00980BBE">
        <w:rPr>
          <w:rFonts w:ascii="Arial" w:hAnsi="Arial" w:cs="Arial"/>
          <w:sz w:val="22"/>
          <w:szCs w:val="22"/>
        </w:rPr>
        <w:t xml:space="preserve">litate prompt judgments </w:t>
      </w:r>
      <w:r w:rsidRPr="00980BBE">
        <w:rPr>
          <w:rFonts w:ascii="Arial" w:hAnsi="Arial" w:cs="Arial"/>
          <w:sz w:val="22"/>
          <w:szCs w:val="22"/>
        </w:rPr>
        <w:t xml:space="preserve"> </w:t>
      </w:r>
      <w:r w:rsidR="00764AA7" w:rsidRPr="00980BBE">
        <w:rPr>
          <w:rFonts w:ascii="Arial" w:hAnsi="Arial" w:cs="Arial"/>
          <w:sz w:val="22"/>
          <w:szCs w:val="22"/>
        </w:rPr>
        <w:t>regarding its relevance</w:t>
      </w:r>
      <w:r w:rsidR="00E26854" w:rsidRPr="00980BBE">
        <w:rPr>
          <w:rFonts w:ascii="Arial" w:hAnsi="Arial" w:cs="Arial"/>
          <w:sz w:val="22"/>
          <w:szCs w:val="22"/>
        </w:rPr>
        <w:t xml:space="preserve"> to </w:t>
      </w:r>
      <w:r w:rsidRPr="00980BBE">
        <w:rPr>
          <w:rFonts w:ascii="Arial" w:hAnsi="Arial" w:cs="Arial"/>
          <w:sz w:val="22"/>
          <w:szCs w:val="22"/>
        </w:rPr>
        <w:t xml:space="preserve">YOD, alcohol consumption, or socioeconomic deprivation. At this </w:t>
      </w:r>
      <w:r w:rsidR="00E26854" w:rsidRPr="00980BBE">
        <w:rPr>
          <w:rFonts w:ascii="Arial" w:hAnsi="Arial" w:cs="Arial"/>
          <w:sz w:val="22"/>
          <w:szCs w:val="22"/>
        </w:rPr>
        <w:t>stage</w:t>
      </w:r>
      <w:r w:rsidRPr="00980BBE">
        <w:rPr>
          <w:rFonts w:ascii="Arial" w:hAnsi="Arial" w:cs="Arial"/>
          <w:sz w:val="22"/>
          <w:szCs w:val="22"/>
        </w:rPr>
        <w:t xml:space="preserve">, articles that did not </w:t>
      </w:r>
      <w:r w:rsidR="00127257" w:rsidRPr="00980BBE">
        <w:rPr>
          <w:rFonts w:ascii="Arial" w:hAnsi="Arial" w:cs="Arial"/>
          <w:sz w:val="22"/>
          <w:szCs w:val="22"/>
        </w:rPr>
        <w:t xml:space="preserve">explicitly address </w:t>
      </w:r>
      <w:r w:rsidRPr="00980BBE">
        <w:rPr>
          <w:rFonts w:ascii="Arial" w:hAnsi="Arial" w:cs="Arial"/>
          <w:sz w:val="22"/>
          <w:szCs w:val="22"/>
        </w:rPr>
        <w:t xml:space="preserve">the target population or </w:t>
      </w:r>
      <w:r w:rsidR="0092547B" w:rsidRPr="00980BBE">
        <w:rPr>
          <w:rFonts w:ascii="Arial" w:hAnsi="Arial" w:cs="Arial"/>
          <w:sz w:val="22"/>
          <w:szCs w:val="22"/>
        </w:rPr>
        <w:t>key</w:t>
      </w:r>
      <w:r w:rsidRPr="00980BBE">
        <w:rPr>
          <w:rFonts w:ascii="Arial" w:hAnsi="Arial" w:cs="Arial"/>
          <w:sz w:val="22"/>
          <w:szCs w:val="22"/>
        </w:rPr>
        <w:t xml:space="preserve"> variables were </w:t>
      </w:r>
      <w:r w:rsidR="0092547B" w:rsidRPr="00980BBE">
        <w:rPr>
          <w:rFonts w:ascii="Arial" w:hAnsi="Arial" w:cs="Arial"/>
          <w:sz w:val="22"/>
          <w:szCs w:val="22"/>
        </w:rPr>
        <w:t>excluded</w:t>
      </w:r>
      <w:r w:rsidRPr="00980BBE">
        <w:rPr>
          <w:rFonts w:ascii="Arial" w:hAnsi="Arial" w:cs="Arial"/>
          <w:sz w:val="22"/>
          <w:szCs w:val="22"/>
        </w:rPr>
        <w:t xml:space="preserve"> (Bramer et al., 2023).</w:t>
      </w:r>
    </w:p>
    <w:p w14:paraId="3BF6DDDA" w14:textId="54947D91" w:rsidR="00D57668" w:rsidRPr="00980BBE" w:rsidRDefault="00D57668" w:rsidP="001D2D05">
      <w:pPr>
        <w:spacing w:line="360" w:lineRule="auto"/>
        <w:rPr>
          <w:rFonts w:ascii="Arial" w:hAnsi="Arial" w:cs="Arial"/>
          <w:sz w:val="22"/>
          <w:szCs w:val="22"/>
        </w:rPr>
      </w:pPr>
      <w:r w:rsidRPr="00980BBE">
        <w:rPr>
          <w:rFonts w:ascii="Arial" w:hAnsi="Arial" w:cs="Arial"/>
          <w:sz w:val="22"/>
          <w:szCs w:val="22"/>
        </w:rPr>
        <w:t xml:space="preserve">The CRAAP test (Currency, Relevance, Authority, Accuracy, Purpose) was applied to </w:t>
      </w:r>
      <w:r w:rsidR="00573FB0" w:rsidRPr="00980BBE">
        <w:rPr>
          <w:rFonts w:ascii="Arial" w:hAnsi="Arial" w:cs="Arial"/>
          <w:sz w:val="22"/>
          <w:szCs w:val="22"/>
        </w:rPr>
        <w:t>sys</w:t>
      </w:r>
      <w:r w:rsidR="00053F1E" w:rsidRPr="00980BBE">
        <w:rPr>
          <w:rFonts w:ascii="Arial" w:hAnsi="Arial" w:cs="Arial"/>
          <w:sz w:val="22"/>
          <w:szCs w:val="22"/>
        </w:rPr>
        <w:t xml:space="preserve">tematically </w:t>
      </w:r>
      <w:r w:rsidRPr="00980BBE">
        <w:rPr>
          <w:rFonts w:ascii="Arial" w:hAnsi="Arial" w:cs="Arial"/>
          <w:sz w:val="22"/>
          <w:szCs w:val="22"/>
        </w:rPr>
        <w:t>assess each source’s quality and reliability. Priority was given to recent, relevant publications from reputable institutions with transparent methodology. Sources meeting these key criteria were prioriti</w:t>
      </w:r>
      <w:r w:rsidR="00053F1E" w:rsidRPr="00980BBE">
        <w:rPr>
          <w:rFonts w:ascii="Arial" w:hAnsi="Arial" w:cs="Arial"/>
          <w:sz w:val="22"/>
          <w:szCs w:val="22"/>
        </w:rPr>
        <w:t>s</w:t>
      </w:r>
      <w:r w:rsidRPr="00980BBE">
        <w:rPr>
          <w:rFonts w:ascii="Arial" w:hAnsi="Arial" w:cs="Arial"/>
          <w:sz w:val="22"/>
          <w:szCs w:val="22"/>
        </w:rPr>
        <w:t>ed, even if not perfect in all areas (Blakeslee, 2024).</w:t>
      </w:r>
    </w:p>
    <w:p w14:paraId="4AEDF7A1" w14:textId="787B463E" w:rsidR="00080E88" w:rsidRPr="00980BBE" w:rsidRDefault="00080E88" w:rsidP="001D2D05">
      <w:pPr>
        <w:spacing w:line="360" w:lineRule="auto"/>
        <w:rPr>
          <w:rFonts w:ascii="Arial" w:hAnsi="Arial" w:cs="Arial"/>
          <w:sz w:val="22"/>
          <w:szCs w:val="22"/>
        </w:rPr>
      </w:pPr>
      <w:r w:rsidRPr="00980BBE">
        <w:rPr>
          <w:rFonts w:ascii="Arial" w:hAnsi="Arial" w:cs="Arial"/>
          <w:sz w:val="22"/>
          <w:szCs w:val="22"/>
        </w:rPr>
        <w:t xml:space="preserve">Transparency, dependability, and referencing were </w:t>
      </w:r>
      <w:r w:rsidR="001A28B6" w:rsidRPr="00980BBE">
        <w:rPr>
          <w:rFonts w:ascii="Arial" w:hAnsi="Arial" w:cs="Arial"/>
          <w:sz w:val="22"/>
          <w:szCs w:val="22"/>
        </w:rPr>
        <w:t>critically evaluated</w:t>
      </w:r>
      <w:r w:rsidRPr="00980BBE">
        <w:rPr>
          <w:rFonts w:ascii="Arial" w:hAnsi="Arial" w:cs="Arial"/>
          <w:sz w:val="22"/>
          <w:szCs w:val="22"/>
        </w:rPr>
        <w:t xml:space="preserve">, and only credible, objective sources were </w:t>
      </w:r>
      <w:r w:rsidR="001A28B6" w:rsidRPr="00980BBE">
        <w:rPr>
          <w:rFonts w:ascii="Arial" w:hAnsi="Arial" w:cs="Arial"/>
          <w:sz w:val="22"/>
          <w:szCs w:val="22"/>
        </w:rPr>
        <w:t>u</w:t>
      </w:r>
      <w:r w:rsidR="0074039C" w:rsidRPr="00980BBE">
        <w:rPr>
          <w:rFonts w:ascii="Arial" w:hAnsi="Arial" w:cs="Arial"/>
          <w:sz w:val="22"/>
          <w:szCs w:val="22"/>
        </w:rPr>
        <w:t>tilized</w:t>
      </w:r>
      <w:r w:rsidRPr="00980BBE">
        <w:rPr>
          <w:rFonts w:ascii="Arial" w:hAnsi="Arial" w:cs="Arial"/>
          <w:sz w:val="22"/>
          <w:szCs w:val="22"/>
        </w:rPr>
        <w:t xml:space="preserve">. Recent systematic reviews were included because of their </w:t>
      </w:r>
      <w:r w:rsidR="0074039C" w:rsidRPr="00980BBE">
        <w:rPr>
          <w:rFonts w:ascii="Arial" w:hAnsi="Arial" w:cs="Arial"/>
          <w:sz w:val="22"/>
          <w:szCs w:val="22"/>
        </w:rPr>
        <w:t>method</w:t>
      </w:r>
      <w:r w:rsidR="00BA390B" w:rsidRPr="00980BBE">
        <w:rPr>
          <w:rFonts w:ascii="Arial" w:hAnsi="Arial" w:cs="Arial"/>
          <w:sz w:val="22"/>
          <w:szCs w:val="22"/>
        </w:rPr>
        <w:t xml:space="preserve">ological </w:t>
      </w:r>
      <w:r w:rsidRPr="00980BBE">
        <w:rPr>
          <w:rFonts w:ascii="Arial" w:hAnsi="Arial" w:cs="Arial"/>
          <w:sz w:val="22"/>
          <w:szCs w:val="22"/>
        </w:rPr>
        <w:t>rigor, relevance, and large sample sizes; outdated studies older than 20 years were e</w:t>
      </w:r>
      <w:r w:rsidR="00BA390B" w:rsidRPr="00980BBE">
        <w:rPr>
          <w:rFonts w:ascii="Arial" w:hAnsi="Arial" w:cs="Arial"/>
          <w:sz w:val="22"/>
          <w:szCs w:val="22"/>
        </w:rPr>
        <w:t>xcluded</w:t>
      </w:r>
      <w:r w:rsidRPr="00980BBE">
        <w:rPr>
          <w:rFonts w:ascii="Arial" w:hAnsi="Arial" w:cs="Arial"/>
          <w:sz w:val="22"/>
          <w:szCs w:val="22"/>
        </w:rPr>
        <w:t xml:space="preserve"> because they did not align with DSM-5 and ICD-11 (Braun and Clarke, 2023; Livingston et al., 2020).</w:t>
      </w:r>
    </w:p>
    <w:p w14:paraId="446EAEC9" w14:textId="1F46F5C9" w:rsidR="00D57668" w:rsidRPr="00980BBE" w:rsidRDefault="00D57668" w:rsidP="001D2D05">
      <w:pPr>
        <w:spacing w:line="360" w:lineRule="auto"/>
        <w:rPr>
          <w:rFonts w:ascii="Arial" w:hAnsi="Arial" w:cs="Arial"/>
          <w:b/>
          <w:bCs/>
          <w:sz w:val="22"/>
          <w:szCs w:val="22"/>
          <w:u w:val="single"/>
        </w:rPr>
      </w:pPr>
      <w:bookmarkStart w:id="24" w:name="_Toc225966617"/>
      <w:r w:rsidRPr="00266F7A">
        <w:rPr>
          <w:rStyle w:val="Heading1Char"/>
          <w:rFonts w:ascii="Arial" w:hAnsi="Arial" w:cs="Arial"/>
          <w:b/>
          <w:bCs/>
          <w:color w:val="auto"/>
          <w:sz w:val="28"/>
          <w:szCs w:val="28"/>
          <w:u w:val="single"/>
        </w:rPr>
        <w:lastRenderedPageBreak/>
        <w:t>CRAAP Test Example</w:t>
      </w:r>
      <w:bookmarkEnd w:id="24"/>
      <w:r w:rsidR="008541A7" w:rsidRPr="00980BBE">
        <w:rPr>
          <w:rFonts w:ascii="Arial" w:hAnsi="Arial" w:cs="Arial"/>
          <w:noProof/>
          <w:sz w:val="22"/>
          <w:szCs w:val="22"/>
        </w:rPr>
        <w:drawing>
          <wp:inline distT="0" distB="0" distL="0" distR="0" wp14:anchorId="004FEFAC" wp14:editId="15AA502F">
            <wp:extent cx="4656415" cy="4091517"/>
            <wp:effectExtent l="0" t="0" r="0" b="4445"/>
            <wp:docPr id="1798672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672592" name=""/>
                    <pic:cNvPicPr/>
                  </pic:nvPicPr>
                  <pic:blipFill>
                    <a:blip r:embed="rId11"/>
                    <a:stretch>
                      <a:fillRect/>
                    </a:stretch>
                  </pic:blipFill>
                  <pic:spPr>
                    <a:xfrm>
                      <a:off x="0" y="0"/>
                      <a:ext cx="4690964" cy="4121875"/>
                    </a:xfrm>
                    <a:prstGeom prst="rect">
                      <a:avLst/>
                    </a:prstGeom>
                  </pic:spPr>
                </pic:pic>
              </a:graphicData>
            </a:graphic>
          </wp:inline>
        </w:drawing>
      </w:r>
    </w:p>
    <w:p w14:paraId="6534318E" w14:textId="30F6D6FD" w:rsidR="00D57668" w:rsidRPr="00980BBE" w:rsidRDefault="000D3333" w:rsidP="001D2D05">
      <w:pPr>
        <w:spacing w:line="360" w:lineRule="auto"/>
        <w:rPr>
          <w:rFonts w:ascii="Arial" w:hAnsi="Arial" w:cs="Arial"/>
          <w:sz w:val="22"/>
          <w:szCs w:val="22"/>
        </w:rPr>
      </w:pPr>
      <w:r w:rsidRPr="00980BBE">
        <w:rPr>
          <w:rFonts w:ascii="Arial" w:hAnsi="Arial" w:cs="Arial"/>
          <w:sz w:val="22"/>
          <w:szCs w:val="22"/>
        </w:rPr>
        <w:t>(</w:t>
      </w:r>
      <w:r w:rsidR="006B76F9" w:rsidRPr="00980BBE">
        <w:rPr>
          <w:rFonts w:ascii="Arial" w:hAnsi="Arial" w:cs="Arial"/>
          <w:b/>
          <w:bCs/>
          <w:sz w:val="22"/>
          <w:szCs w:val="22"/>
        </w:rPr>
        <w:t>Fig 2</w:t>
      </w:r>
      <w:r w:rsidR="006B76F9" w:rsidRPr="00980BBE">
        <w:rPr>
          <w:rFonts w:ascii="Arial" w:hAnsi="Arial" w:cs="Arial"/>
          <w:sz w:val="22"/>
          <w:szCs w:val="22"/>
        </w:rPr>
        <w:t xml:space="preserve"> </w:t>
      </w:r>
      <w:r w:rsidR="00A62574" w:rsidRPr="00980BBE">
        <w:rPr>
          <w:rFonts w:ascii="Arial" w:hAnsi="Arial" w:cs="Arial"/>
          <w:sz w:val="22"/>
          <w:szCs w:val="22"/>
        </w:rPr>
        <w:t>made by author)</w:t>
      </w:r>
    </w:p>
    <w:p w14:paraId="1670A7AD" w14:textId="2BA11351" w:rsidR="00D57668" w:rsidRPr="00266F7A" w:rsidRDefault="00D57668" w:rsidP="006235A7">
      <w:pPr>
        <w:pStyle w:val="Heading1"/>
        <w:rPr>
          <w:rFonts w:ascii="Arial" w:hAnsi="Arial" w:cs="Arial"/>
          <w:b/>
          <w:bCs/>
          <w:color w:val="auto"/>
          <w:sz w:val="28"/>
          <w:szCs w:val="28"/>
          <w:u w:val="single"/>
        </w:rPr>
      </w:pPr>
      <w:bookmarkStart w:id="25" w:name="_Toc225966618"/>
      <w:r w:rsidRPr="00266F7A">
        <w:rPr>
          <w:rFonts w:ascii="Arial" w:hAnsi="Arial" w:cs="Arial"/>
          <w:b/>
          <w:bCs/>
          <w:color w:val="auto"/>
          <w:sz w:val="28"/>
          <w:szCs w:val="28"/>
          <w:u w:val="single"/>
        </w:rPr>
        <w:t>Inclusion and Exclusion Criteria</w:t>
      </w:r>
      <w:bookmarkEnd w:id="25"/>
    </w:p>
    <w:p w14:paraId="16E75D98" w14:textId="1B4AAF2D" w:rsidR="00D57668" w:rsidRPr="00980BBE" w:rsidRDefault="000E75C8" w:rsidP="001D2D05">
      <w:pPr>
        <w:spacing w:line="360" w:lineRule="auto"/>
        <w:rPr>
          <w:rFonts w:ascii="Arial" w:hAnsi="Arial" w:cs="Arial"/>
          <w:sz w:val="22"/>
          <w:szCs w:val="22"/>
        </w:rPr>
      </w:pPr>
      <w:r w:rsidRPr="00980BBE">
        <w:rPr>
          <w:rFonts w:ascii="Arial" w:hAnsi="Arial" w:cs="Arial"/>
          <w:sz w:val="22"/>
          <w:szCs w:val="22"/>
        </w:rPr>
        <w:t>Inclusion criteria prioritised recent peer-reviewed studies on adults under 65, especially from the UK or Europe, ensuring</w:t>
      </w:r>
      <w:r w:rsidR="000723C1" w:rsidRPr="00980BBE">
        <w:rPr>
          <w:rFonts w:ascii="Arial" w:hAnsi="Arial" w:cs="Arial"/>
          <w:sz w:val="22"/>
          <w:szCs w:val="22"/>
        </w:rPr>
        <w:t xml:space="preserve"> contextual </w:t>
      </w:r>
      <w:r w:rsidRPr="00980BBE">
        <w:rPr>
          <w:rFonts w:ascii="Arial" w:hAnsi="Arial" w:cs="Arial"/>
          <w:sz w:val="22"/>
          <w:szCs w:val="22"/>
        </w:rPr>
        <w:t xml:space="preserve"> relevance. Exclusion criteria </w:t>
      </w:r>
      <w:r w:rsidR="000723C1" w:rsidRPr="00980BBE">
        <w:rPr>
          <w:rFonts w:ascii="Arial" w:hAnsi="Arial" w:cs="Arial"/>
          <w:sz w:val="22"/>
          <w:szCs w:val="22"/>
        </w:rPr>
        <w:t>eliminated</w:t>
      </w:r>
      <w:r w:rsidR="00B75F29" w:rsidRPr="00980BBE">
        <w:rPr>
          <w:rFonts w:ascii="Arial" w:hAnsi="Arial" w:cs="Arial"/>
          <w:sz w:val="22"/>
          <w:szCs w:val="22"/>
        </w:rPr>
        <w:t xml:space="preserve"> </w:t>
      </w:r>
      <w:r w:rsidRPr="00980BBE">
        <w:rPr>
          <w:rFonts w:ascii="Arial" w:hAnsi="Arial" w:cs="Arial"/>
          <w:sz w:val="22"/>
          <w:szCs w:val="22"/>
        </w:rPr>
        <w:t>non-academic sources, non-English studies, and those lacking</w:t>
      </w:r>
      <w:r w:rsidR="00B75F29" w:rsidRPr="00980BBE">
        <w:rPr>
          <w:rFonts w:ascii="Arial" w:hAnsi="Arial" w:cs="Arial"/>
          <w:sz w:val="22"/>
          <w:szCs w:val="22"/>
        </w:rPr>
        <w:t xml:space="preserve"> methodological </w:t>
      </w:r>
      <w:r w:rsidRPr="00980BBE">
        <w:rPr>
          <w:rFonts w:ascii="Arial" w:hAnsi="Arial" w:cs="Arial"/>
          <w:sz w:val="22"/>
          <w:szCs w:val="22"/>
        </w:rPr>
        <w:t xml:space="preserve"> transparency, while limiting older sources, </w:t>
      </w:r>
      <w:r w:rsidR="00B75F29" w:rsidRPr="00980BBE">
        <w:rPr>
          <w:rFonts w:ascii="Arial" w:hAnsi="Arial" w:cs="Arial"/>
          <w:sz w:val="22"/>
          <w:szCs w:val="22"/>
        </w:rPr>
        <w:t xml:space="preserve">thereby </w:t>
      </w:r>
      <w:r w:rsidRPr="00980BBE">
        <w:rPr>
          <w:rFonts w:ascii="Arial" w:hAnsi="Arial" w:cs="Arial"/>
          <w:sz w:val="22"/>
          <w:szCs w:val="22"/>
        </w:rPr>
        <w:t>maintaining a contemporary, credible, and evidence-based literature aligned with the dissertation aims</w:t>
      </w:r>
      <w:r w:rsidR="00D57668" w:rsidRPr="00980BBE">
        <w:rPr>
          <w:rFonts w:ascii="Arial" w:hAnsi="Arial" w:cs="Arial"/>
          <w:sz w:val="22"/>
          <w:szCs w:val="22"/>
        </w:rPr>
        <w:t xml:space="preserve"> (Tricco et al., 2021</w:t>
      </w:r>
      <w:r w:rsidR="00F33347" w:rsidRPr="00980BBE">
        <w:rPr>
          <w:rFonts w:ascii="Arial" w:hAnsi="Arial" w:cs="Arial"/>
          <w:sz w:val="22"/>
          <w:szCs w:val="22"/>
        </w:rPr>
        <w:t xml:space="preserve">; </w:t>
      </w:r>
      <w:r w:rsidR="00D57668" w:rsidRPr="00980BBE">
        <w:rPr>
          <w:rFonts w:ascii="Arial" w:hAnsi="Arial" w:cs="Arial"/>
          <w:sz w:val="22"/>
          <w:szCs w:val="22"/>
        </w:rPr>
        <w:t xml:space="preserve">Jensen, </w:t>
      </w:r>
      <w:r w:rsidR="00D111C9" w:rsidRPr="00980BBE">
        <w:rPr>
          <w:rFonts w:ascii="Arial" w:hAnsi="Arial" w:cs="Arial"/>
          <w:sz w:val="22"/>
          <w:szCs w:val="22"/>
        </w:rPr>
        <w:t>Wong,</w:t>
      </w:r>
      <w:r w:rsidR="00D57668" w:rsidRPr="00980BBE">
        <w:rPr>
          <w:rFonts w:ascii="Arial" w:hAnsi="Arial" w:cs="Arial"/>
          <w:sz w:val="22"/>
          <w:szCs w:val="22"/>
        </w:rPr>
        <w:t xml:space="preserve"> and Reed, 2022).</w:t>
      </w:r>
    </w:p>
    <w:p w14:paraId="44FE4F62" w14:textId="00F4C7F4" w:rsidR="00D57668" w:rsidRPr="00266F7A" w:rsidRDefault="00D57668" w:rsidP="006235A7">
      <w:pPr>
        <w:pStyle w:val="Heading1"/>
        <w:rPr>
          <w:rFonts w:ascii="Arial" w:hAnsi="Arial" w:cs="Arial"/>
          <w:b/>
          <w:bCs/>
          <w:color w:val="auto"/>
          <w:sz w:val="28"/>
          <w:szCs w:val="28"/>
          <w:u w:val="single"/>
        </w:rPr>
      </w:pPr>
      <w:bookmarkStart w:id="26" w:name="_Toc225966619"/>
      <w:r w:rsidRPr="00266F7A">
        <w:rPr>
          <w:rFonts w:ascii="Arial" w:hAnsi="Arial" w:cs="Arial"/>
          <w:b/>
          <w:bCs/>
          <w:color w:val="auto"/>
          <w:sz w:val="28"/>
          <w:szCs w:val="28"/>
          <w:u w:val="single"/>
        </w:rPr>
        <w:t>Analysing Research</w:t>
      </w:r>
      <w:bookmarkEnd w:id="26"/>
    </w:p>
    <w:p w14:paraId="7E151711" w14:textId="41C3B871" w:rsidR="00520589" w:rsidRPr="00980BBE" w:rsidRDefault="00520589" w:rsidP="001D2D05">
      <w:pPr>
        <w:spacing w:line="360" w:lineRule="auto"/>
        <w:rPr>
          <w:rFonts w:ascii="Arial" w:hAnsi="Arial" w:cs="Arial"/>
          <w:sz w:val="22"/>
          <w:szCs w:val="22"/>
        </w:rPr>
      </w:pPr>
      <w:r w:rsidRPr="00980BBE">
        <w:rPr>
          <w:rFonts w:ascii="Arial" w:hAnsi="Arial" w:cs="Arial"/>
          <w:sz w:val="22"/>
          <w:szCs w:val="22"/>
        </w:rPr>
        <w:t xml:space="preserve">A thematic coding approach was </w:t>
      </w:r>
      <w:r w:rsidR="0024395B" w:rsidRPr="00980BBE">
        <w:rPr>
          <w:rFonts w:ascii="Arial" w:hAnsi="Arial" w:cs="Arial"/>
          <w:sz w:val="22"/>
          <w:szCs w:val="22"/>
        </w:rPr>
        <w:t>used</w:t>
      </w:r>
      <w:r w:rsidRPr="00980BBE">
        <w:rPr>
          <w:rFonts w:ascii="Arial" w:hAnsi="Arial" w:cs="Arial"/>
          <w:sz w:val="22"/>
          <w:szCs w:val="22"/>
        </w:rPr>
        <w:t xml:space="preserve"> to </w:t>
      </w:r>
      <w:r w:rsidR="00AA7552" w:rsidRPr="00980BBE">
        <w:rPr>
          <w:rFonts w:ascii="Arial" w:hAnsi="Arial" w:cs="Arial"/>
          <w:sz w:val="22"/>
          <w:szCs w:val="22"/>
        </w:rPr>
        <w:t>s</w:t>
      </w:r>
      <w:r w:rsidR="000A60BC" w:rsidRPr="00980BBE">
        <w:rPr>
          <w:rFonts w:ascii="Arial" w:hAnsi="Arial" w:cs="Arial"/>
          <w:sz w:val="22"/>
          <w:szCs w:val="22"/>
        </w:rPr>
        <w:t xml:space="preserve">ystematically </w:t>
      </w:r>
      <w:r w:rsidRPr="00980BBE">
        <w:rPr>
          <w:rFonts w:ascii="Arial" w:hAnsi="Arial" w:cs="Arial"/>
          <w:sz w:val="22"/>
          <w:szCs w:val="22"/>
        </w:rPr>
        <w:t xml:space="preserve">synthesise findings, with each article </w:t>
      </w:r>
      <w:r w:rsidR="000A60BC" w:rsidRPr="00980BBE">
        <w:rPr>
          <w:rFonts w:ascii="Arial" w:hAnsi="Arial" w:cs="Arial"/>
          <w:sz w:val="22"/>
          <w:szCs w:val="22"/>
        </w:rPr>
        <w:t>comprehensiv</w:t>
      </w:r>
      <w:r w:rsidR="002E4E94" w:rsidRPr="00980BBE">
        <w:rPr>
          <w:rFonts w:ascii="Arial" w:hAnsi="Arial" w:cs="Arial"/>
          <w:sz w:val="22"/>
          <w:szCs w:val="22"/>
        </w:rPr>
        <w:t>ely reviewed</w:t>
      </w:r>
      <w:r w:rsidRPr="00980BBE">
        <w:rPr>
          <w:rFonts w:ascii="Arial" w:hAnsi="Arial" w:cs="Arial"/>
          <w:sz w:val="22"/>
          <w:szCs w:val="22"/>
        </w:rPr>
        <w:t xml:space="preserve"> to identify recurring </w:t>
      </w:r>
      <w:r w:rsidR="002E4E94" w:rsidRPr="00980BBE">
        <w:rPr>
          <w:rFonts w:ascii="Arial" w:hAnsi="Arial" w:cs="Arial"/>
          <w:sz w:val="22"/>
          <w:szCs w:val="22"/>
        </w:rPr>
        <w:t xml:space="preserve">patterns </w:t>
      </w:r>
      <w:r w:rsidR="00840E2D" w:rsidRPr="00980BBE">
        <w:rPr>
          <w:rFonts w:ascii="Arial" w:hAnsi="Arial" w:cs="Arial"/>
          <w:sz w:val="22"/>
          <w:szCs w:val="22"/>
        </w:rPr>
        <w:t>and concepts.</w:t>
      </w:r>
      <w:r w:rsidRPr="00980BBE">
        <w:rPr>
          <w:rFonts w:ascii="Arial" w:hAnsi="Arial" w:cs="Arial"/>
          <w:sz w:val="22"/>
          <w:szCs w:val="22"/>
        </w:rPr>
        <w:t xml:space="preserve"> Initial codes included alcohol-related neurotoxicity, health inequality, early-age risk factors, diagnostic challenges, and social determinants of disease (Naeem, 2023).</w:t>
      </w:r>
    </w:p>
    <w:p w14:paraId="25F4899F" w14:textId="329D52CE" w:rsidR="00440DF5" w:rsidRPr="00980BBE" w:rsidRDefault="00440DF5" w:rsidP="001D2D05">
      <w:pPr>
        <w:spacing w:line="360" w:lineRule="auto"/>
        <w:rPr>
          <w:rFonts w:ascii="Arial" w:hAnsi="Arial" w:cs="Arial"/>
          <w:sz w:val="22"/>
          <w:szCs w:val="22"/>
        </w:rPr>
      </w:pPr>
      <w:r w:rsidRPr="00980BBE">
        <w:rPr>
          <w:rFonts w:ascii="Arial" w:hAnsi="Arial" w:cs="Arial"/>
          <w:sz w:val="22"/>
          <w:szCs w:val="22"/>
        </w:rPr>
        <w:t>Initial codes were</w:t>
      </w:r>
      <w:r w:rsidR="00840E2D" w:rsidRPr="00980BBE">
        <w:rPr>
          <w:rFonts w:ascii="Arial" w:hAnsi="Arial" w:cs="Arial"/>
          <w:sz w:val="22"/>
          <w:szCs w:val="22"/>
        </w:rPr>
        <w:t xml:space="preserve"> </w:t>
      </w:r>
      <w:r w:rsidR="00151E87" w:rsidRPr="00980BBE">
        <w:rPr>
          <w:rFonts w:ascii="Arial" w:hAnsi="Arial" w:cs="Arial"/>
          <w:sz w:val="22"/>
          <w:szCs w:val="22"/>
        </w:rPr>
        <w:t>categorised</w:t>
      </w:r>
      <w:r w:rsidRPr="00980BBE">
        <w:rPr>
          <w:rFonts w:ascii="Arial" w:hAnsi="Arial" w:cs="Arial"/>
          <w:sz w:val="22"/>
          <w:szCs w:val="22"/>
        </w:rPr>
        <w:t xml:space="preserve"> into broader themes aligned with the research question: alcohol-related risks (cognitive decline and alcohol use), socioeconomic deprivation (poverty, </w:t>
      </w:r>
      <w:r w:rsidRPr="00980BBE">
        <w:rPr>
          <w:rFonts w:ascii="Arial" w:hAnsi="Arial" w:cs="Arial"/>
          <w:sz w:val="22"/>
          <w:szCs w:val="22"/>
        </w:rPr>
        <w:lastRenderedPageBreak/>
        <w:t xml:space="preserve">unemployment, neighbourhood disadvantage), and interactions between lifestyle factors and dementia risk, reflecting </w:t>
      </w:r>
      <w:r w:rsidR="00AF3C1F" w:rsidRPr="00980BBE">
        <w:rPr>
          <w:rFonts w:ascii="Arial" w:hAnsi="Arial" w:cs="Arial"/>
          <w:sz w:val="22"/>
          <w:szCs w:val="22"/>
        </w:rPr>
        <w:t>mu</w:t>
      </w:r>
      <w:r w:rsidR="00151E87" w:rsidRPr="00980BBE">
        <w:rPr>
          <w:rFonts w:ascii="Arial" w:hAnsi="Arial" w:cs="Arial"/>
          <w:sz w:val="22"/>
          <w:szCs w:val="22"/>
        </w:rPr>
        <w:t xml:space="preserve">ltifactorial </w:t>
      </w:r>
      <w:r w:rsidRPr="00980BBE">
        <w:rPr>
          <w:rFonts w:ascii="Arial" w:hAnsi="Arial" w:cs="Arial"/>
          <w:sz w:val="22"/>
          <w:szCs w:val="22"/>
        </w:rPr>
        <w:t>influences identified in recent research (Crawford et al., 2025).</w:t>
      </w:r>
    </w:p>
    <w:p w14:paraId="4CF873C3" w14:textId="26227CEE" w:rsidR="00A80F1E" w:rsidRPr="00980BBE" w:rsidRDefault="00A80F1E" w:rsidP="001D2D05">
      <w:pPr>
        <w:spacing w:line="360" w:lineRule="auto"/>
        <w:rPr>
          <w:rFonts w:ascii="Arial" w:hAnsi="Arial" w:cs="Arial"/>
          <w:sz w:val="22"/>
          <w:szCs w:val="22"/>
        </w:rPr>
      </w:pPr>
      <w:r w:rsidRPr="00980BBE">
        <w:rPr>
          <w:rFonts w:ascii="Arial" w:hAnsi="Arial" w:cs="Arial"/>
          <w:sz w:val="22"/>
          <w:szCs w:val="22"/>
        </w:rPr>
        <w:t xml:space="preserve">To </w:t>
      </w:r>
      <w:r w:rsidR="00151E87" w:rsidRPr="00980BBE">
        <w:rPr>
          <w:rFonts w:ascii="Arial" w:hAnsi="Arial" w:cs="Arial"/>
          <w:sz w:val="22"/>
          <w:szCs w:val="22"/>
        </w:rPr>
        <w:t>enhance</w:t>
      </w:r>
      <w:r w:rsidRPr="00980BBE">
        <w:rPr>
          <w:rFonts w:ascii="Arial" w:hAnsi="Arial" w:cs="Arial"/>
          <w:sz w:val="22"/>
          <w:szCs w:val="22"/>
        </w:rPr>
        <w:t xml:space="preserve"> transparency and traceability, themes, codes, and summaries were </w:t>
      </w:r>
      <w:r w:rsidR="00500049" w:rsidRPr="00980BBE">
        <w:rPr>
          <w:rFonts w:ascii="Arial" w:hAnsi="Arial" w:cs="Arial"/>
          <w:sz w:val="22"/>
          <w:szCs w:val="22"/>
        </w:rPr>
        <w:t xml:space="preserve">systematically organised </w:t>
      </w:r>
      <w:r w:rsidRPr="00980BBE">
        <w:rPr>
          <w:rFonts w:ascii="Arial" w:hAnsi="Arial" w:cs="Arial"/>
          <w:sz w:val="22"/>
          <w:szCs w:val="22"/>
        </w:rPr>
        <w:t xml:space="preserve">using color-coding and spreadsheets. The interlocking cyclical model's Chapter 4 analysis was </w:t>
      </w:r>
      <w:r w:rsidR="00C4538B" w:rsidRPr="00980BBE">
        <w:rPr>
          <w:rFonts w:ascii="Arial" w:hAnsi="Arial" w:cs="Arial"/>
          <w:sz w:val="22"/>
          <w:szCs w:val="22"/>
        </w:rPr>
        <w:t xml:space="preserve">underpinned by </w:t>
      </w:r>
      <w:r w:rsidRPr="00980BBE">
        <w:rPr>
          <w:rFonts w:ascii="Arial" w:hAnsi="Arial" w:cs="Arial"/>
          <w:sz w:val="22"/>
          <w:szCs w:val="22"/>
        </w:rPr>
        <w:t>systematic cross-comparison</w:t>
      </w:r>
      <w:r w:rsidR="00C4538B" w:rsidRPr="00980BBE">
        <w:rPr>
          <w:rFonts w:ascii="Arial" w:hAnsi="Arial" w:cs="Arial"/>
          <w:sz w:val="22"/>
          <w:szCs w:val="22"/>
        </w:rPr>
        <w:t xml:space="preserve"> identification of</w:t>
      </w:r>
      <w:r w:rsidRPr="00980BBE">
        <w:rPr>
          <w:rFonts w:ascii="Arial" w:hAnsi="Arial" w:cs="Arial"/>
          <w:sz w:val="22"/>
          <w:szCs w:val="22"/>
        </w:rPr>
        <w:t xml:space="preserve"> overlapping mechanisms, and refin</w:t>
      </w:r>
      <w:r w:rsidR="003D5188" w:rsidRPr="00980BBE">
        <w:rPr>
          <w:rFonts w:ascii="Arial" w:hAnsi="Arial" w:cs="Arial"/>
          <w:sz w:val="22"/>
          <w:szCs w:val="22"/>
        </w:rPr>
        <w:t>ement</w:t>
      </w:r>
      <w:r w:rsidRPr="00980BBE">
        <w:rPr>
          <w:rFonts w:ascii="Arial" w:hAnsi="Arial" w:cs="Arial"/>
          <w:sz w:val="22"/>
          <w:szCs w:val="22"/>
        </w:rPr>
        <w:t xml:space="preserve"> of higher-order themes </w:t>
      </w:r>
      <w:r w:rsidR="007D6D17" w:rsidRPr="00980BBE">
        <w:rPr>
          <w:rFonts w:ascii="Arial" w:hAnsi="Arial" w:cs="Arial"/>
          <w:sz w:val="22"/>
          <w:szCs w:val="22"/>
        </w:rPr>
        <w:t xml:space="preserve">facilitated </w:t>
      </w:r>
      <w:r w:rsidRPr="00980BBE">
        <w:rPr>
          <w:rFonts w:ascii="Arial" w:hAnsi="Arial" w:cs="Arial"/>
          <w:sz w:val="22"/>
          <w:szCs w:val="22"/>
        </w:rPr>
        <w:t>by this visual system (Andrzejewska, Stolińska, and Baran, 2025).</w:t>
      </w:r>
    </w:p>
    <w:p w14:paraId="380A8817" w14:textId="579D8C0F" w:rsidR="00D57668" w:rsidRPr="00266F7A" w:rsidRDefault="00D57668" w:rsidP="006235A7">
      <w:pPr>
        <w:pStyle w:val="Heading1"/>
        <w:rPr>
          <w:rFonts w:ascii="Arial" w:hAnsi="Arial" w:cs="Arial"/>
          <w:b/>
          <w:bCs/>
          <w:color w:val="auto"/>
          <w:sz w:val="24"/>
          <w:szCs w:val="24"/>
          <w:u w:val="single"/>
        </w:rPr>
      </w:pPr>
      <w:bookmarkStart w:id="27" w:name="_Toc225966620"/>
      <w:r w:rsidRPr="00266F7A">
        <w:rPr>
          <w:rFonts w:ascii="Arial" w:hAnsi="Arial" w:cs="Arial"/>
          <w:b/>
          <w:bCs/>
          <w:color w:val="auto"/>
          <w:sz w:val="24"/>
          <w:szCs w:val="24"/>
          <w:u w:val="single"/>
        </w:rPr>
        <w:t xml:space="preserve">Thematic Development </w:t>
      </w:r>
      <w:r w:rsidR="001B66A2" w:rsidRPr="00266F7A">
        <w:rPr>
          <w:rFonts w:ascii="Arial" w:hAnsi="Arial" w:cs="Arial"/>
          <w:b/>
          <w:bCs/>
          <w:color w:val="auto"/>
          <w:sz w:val="24"/>
          <w:szCs w:val="24"/>
          <w:u w:val="single"/>
        </w:rPr>
        <w:t>-</w:t>
      </w:r>
      <w:r w:rsidRPr="00266F7A">
        <w:rPr>
          <w:rFonts w:ascii="Arial" w:hAnsi="Arial" w:cs="Arial"/>
          <w:b/>
          <w:bCs/>
          <w:color w:val="auto"/>
          <w:sz w:val="24"/>
          <w:szCs w:val="24"/>
          <w:u w:val="single"/>
        </w:rPr>
        <w:t xml:space="preserve"> Interlocking Cyclical Model of Alcohol, </w:t>
      </w:r>
      <w:r w:rsidR="00D111C9" w:rsidRPr="00266F7A">
        <w:rPr>
          <w:rFonts w:ascii="Arial" w:hAnsi="Arial" w:cs="Arial"/>
          <w:b/>
          <w:bCs/>
          <w:color w:val="auto"/>
          <w:sz w:val="24"/>
          <w:szCs w:val="24"/>
          <w:u w:val="single"/>
        </w:rPr>
        <w:t>Deprivation,</w:t>
      </w:r>
      <w:r w:rsidRPr="00266F7A">
        <w:rPr>
          <w:rFonts w:ascii="Arial" w:hAnsi="Arial" w:cs="Arial"/>
          <w:b/>
          <w:bCs/>
          <w:color w:val="auto"/>
          <w:sz w:val="24"/>
          <w:szCs w:val="24"/>
          <w:u w:val="single"/>
        </w:rPr>
        <w:t xml:space="preserve"> and  onset Dementia Risk</w:t>
      </w:r>
      <w:bookmarkEnd w:id="27"/>
    </w:p>
    <w:p w14:paraId="0713ACEE" w14:textId="12E68926" w:rsidR="00D57668" w:rsidRPr="00980BBE" w:rsidRDefault="00D57668" w:rsidP="001D2D05">
      <w:pPr>
        <w:spacing w:line="360" w:lineRule="auto"/>
        <w:rPr>
          <w:rFonts w:ascii="Arial" w:hAnsi="Arial" w:cs="Arial"/>
          <w:sz w:val="22"/>
          <w:szCs w:val="22"/>
        </w:rPr>
      </w:pPr>
      <w:r w:rsidRPr="00980BBE">
        <w:rPr>
          <w:rFonts w:ascii="Arial" w:hAnsi="Arial" w:cs="Arial"/>
          <w:sz w:val="22"/>
          <w:szCs w:val="22"/>
        </w:rPr>
        <w:t>These table outlines the thematic development showing how heavy and moderate alcohol use contribute to brain atrophy, reduced brain volume, and accelerated shrinkage, which interlock to increase the risk of younger-onset dementia, forming the theme of alcohol-related pre-clinical brain harm.</w:t>
      </w:r>
    </w:p>
    <w:p w14:paraId="18DDE062" w14:textId="2989795D" w:rsidR="00D57668" w:rsidRPr="00980BBE" w:rsidRDefault="00DA099A" w:rsidP="001D2D05">
      <w:pPr>
        <w:spacing w:line="360" w:lineRule="auto"/>
        <w:rPr>
          <w:rFonts w:ascii="Arial" w:hAnsi="Arial" w:cs="Arial"/>
          <w:b/>
          <w:bCs/>
          <w:sz w:val="22"/>
          <w:szCs w:val="22"/>
          <w:u w:val="single"/>
        </w:rPr>
      </w:pPr>
      <w:r w:rsidRPr="00980BBE">
        <w:rPr>
          <w:rFonts w:ascii="Arial" w:hAnsi="Arial" w:cs="Arial"/>
          <w:b/>
          <w:bCs/>
          <w:noProof/>
          <w:sz w:val="22"/>
          <w:szCs w:val="22"/>
          <w:u w:val="single"/>
        </w:rPr>
        <w:drawing>
          <wp:inline distT="0" distB="0" distL="0" distR="0" wp14:anchorId="63292C76" wp14:editId="1BD7B32B">
            <wp:extent cx="5249279" cy="4414666"/>
            <wp:effectExtent l="0" t="0" r="8890" b="5080"/>
            <wp:docPr id="14814109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0663" cy="4432650"/>
                    </a:xfrm>
                    <a:prstGeom prst="rect">
                      <a:avLst/>
                    </a:prstGeom>
                    <a:noFill/>
                  </pic:spPr>
                </pic:pic>
              </a:graphicData>
            </a:graphic>
          </wp:inline>
        </w:drawing>
      </w:r>
    </w:p>
    <w:p w14:paraId="12F5D2BE" w14:textId="6636AD0A" w:rsidR="00D57668" w:rsidRPr="00980BBE" w:rsidRDefault="008423C2" w:rsidP="001D2D05">
      <w:pPr>
        <w:spacing w:line="360" w:lineRule="auto"/>
        <w:rPr>
          <w:rFonts w:ascii="Arial" w:hAnsi="Arial" w:cs="Arial"/>
          <w:b/>
          <w:bCs/>
          <w:sz w:val="22"/>
          <w:szCs w:val="22"/>
          <w:u w:val="single"/>
        </w:rPr>
      </w:pPr>
      <w:r w:rsidRPr="00980BBE">
        <w:rPr>
          <w:rFonts w:ascii="Arial" w:hAnsi="Arial" w:cs="Arial"/>
          <w:b/>
          <w:bCs/>
          <w:noProof/>
          <w:sz w:val="22"/>
          <w:szCs w:val="22"/>
          <w:u w:val="single"/>
        </w:rPr>
        <w:lastRenderedPageBreak/>
        <w:drawing>
          <wp:anchor distT="0" distB="0" distL="114300" distR="114300" simplePos="0" relativeHeight="251663872" behindDoc="0" locked="0" layoutInCell="1" allowOverlap="1" wp14:anchorId="48C9893C" wp14:editId="009837B8">
            <wp:simplePos x="0" y="0"/>
            <wp:positionH relativeFrom="margin">
              <wp:align>left</wp:align>
            </wp:positionH>
            <wp:positionV relativeFrom="paragraph">
              <wp:posOffset>0</wp:posOffset>
            </wp:positionV>
            <wp:extent cx="6189345" cy="3835400"/>
            <wp:effectExtent l="0" t="0" r="1905" b="0"/>
            <wp:wrapSquare wrapText="bothSides"/>
            <wp:docPr id="974131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131500" name=""/>
                    <pic:cNvPicPr/>
                  </pic:nvPicPr>
                  <pic:blipFill>
                    <a:blip r:embed="rId13">
                      <a:extLst>
                        <a:ext uri="{28A0092B-C50C-407E-A947-70E740481C1C}">
                          <a14:useLocalDpi xmlns:a14="http://schemas.microsoft.com/office/drawing/2010/main" val="0"/>
                        </a:ext>
                      </a:extLst>
                    </a:blip>
                    <a:stretch>
                      <a:fillRect/>
                    </a:stretch>
                  </pic:blipFill>
                  <pic:spPr>
                    <a:xfrm>
                      <a:off x="0" y="0"/>
                      <a:ext cx="6265340" cy="3882223"/>
                    </a:xfrm>
                    <a:prstGeom prst="rect">
                      <a:avLst/>
                    </a:prstGeom>
                  </pic:spPr>
                </pic:pic>
              </a:graphicData>
            </a:graphic>
            <wp14:sizeRelH relativeFrom="page">
              <wp14:pctWidth>0</wp14:pctWidth>
            </wp14:sizeRelH>
            <wp14:sizeRelV relativeFrom="page">
              <wp14:pctHeight>0</wp14:pctHeight>
            </wp14:sizeRelV>
          </wp:anchor>
        </w:drawing>
      </w:r>
    </w:p>
    <w:p w14:paraId="7BA26CE8" w14:textId="0F5ED043" w:rsidR="00D57668" w:rsidRPr="00980BBE" w:rsidRDefault="00AB356F" w:rsidP="001D2D05">
      <w:pPr>
        <w:spacing w:line="360" w:lineRule="auto"/>
        <w:rPr>
          <w:rFonts w:ascii="Arial" w:hAnsi="Arial" w:cs="Arial"/>
          <w:sz w:val="22"/>
          <w:szCs w:val="22"/>
        </w:rPr>
      </w:pPr>
      <w:r w:rsidRPr="00980BBE">
        <w:rPr>
          <w:rFonts w:ascii="Arial" w:hAnsi="Arial" w:cs="Arial"/>
          <w:noProof/>
          <w:sz w:val="22"/>
          <w:szCs w:val="22"/>
          <w:u w:val="single"/>
        </w:rPr>
        <w:drawing>
          <wp:anchor distT="0" distB="0" distL="114300" distR="114300" simplePos="0" relativeHeight="251679232" behindDoc="0" locked="0" layoutInCell="1" allowOverlap="1" wp14:anchorId="57B906E0" wp14:editId="65AF4109">
            <wp:simplePos x="0" y="0"/>
            <wp:positionH relativeFrom="column">
              <wp:posOffset>0</wp:posOffset>
            </wp:positionH>
            <wp:positionV relativeFrom="paragraph">
              <wp:posOffset>-212</wp:posOffset>
            </wp:positionV>
            <wp:extent cx="6223000" cy="4361815"/>
            <wp:effectExtent l="0" t="0" r="6350" b="635"/>
            <wp:wrapSquare wrapText="bothSides"/>
            <wp:docPr id="20898034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23000" cy="4361815"/>
                    </a:xfrm>
                    <a:prstGeom prst="rect">
                      <a:avLst/>
                    </a:prstGeom>
                    <a:noFill/>
                  </pic:spPr>
                </pic:pic>
              </a:graphicData>
            </a:graphic>
            <wp14:sizeRelH relativeFrom="page">
              <wp14:pctWidth>0</wp14:pctWidth>
            </wp14:sizeRelH>
            <wp14:sizeRelV relativeFrom="page">
              <wp14:pctHeight>0</wp14:pctHeight>
            </wp14:sizeRelV>
          </wp:anchor>
        </w:drawing>
      </w:r>
      <w:r w:rsidR="00565CAC" w:rsidRPr="00980BBE">
        <w:rPr>
          <w:rFonts w:ascii="Arial" w:hAnsi="Arial" w:cs="Arial"/>
          <w:sz w:val="22"/>
          <w:szCs w:val="22"/>
        </w:rPr>
        <w:t>(</w:t>
      </w:r>
      <w:r w:rsidR="00D57668" w:rsidRPr="00980BBE">
        <w:rPr>
          <w:rFonts w:ascii="Arial" w:hAnsi="Arial" w:cs="Arial"/>
          <w:b/>
          <w:bCs/>
          <w:sz w:val="22"/>
          <w:szCs w:val="22"/>
        </w:rPr>
        <w:t xml:space="preserve">Fig </w:t>
      </w:r>
      <w:r w:rsidR="006B76F9" w:rsidRPr="00980BBE">
        <w:rPr>
          <w:rFonts w:ascii="Arial" w:hAnsi="Arial" w:cs="Arial"/>
          <w:b/>
          <w:bCs/>
          <w:sz w:val="22"/>
          <w:szCs w:val="22"/>
        </w:rPr>
        <w:t>3</w:t>
      </w:r>
      <w:r w:rsidR="00565CAC" w:rsidRPr="00980BBE">
        <w:rPr>
          <w:rFonts w:ascii="Arial" w:hAnsi="Arial" w:cs="Arial"/>
          <w:sz w:val="22"/>
          <w:szCs w:val="22"/>
        </w:rPr>
        <w:t xml:space="preserve"> made by author)</w:t>
      </w:r>
    </w:p>
    <w:p w14:paraId="2138EEBA" w14:textId="2E6C63C4" w:rsidR="00D57668" w:rsidRPr="00266F7A" w:rsidRDefault="00D57668" w:rsidP="006235A7">
      <w:pPr>
        <w:pStyle w:val="Heading1"/>
        <w:rPr>
          <w:rFonts w:ascii="Arial" w:hAnsi="Arial" w:cs="Arial"/>
          <w:b/>
          <w:bCs/>
          <w:color w:val="auto"/>
          <w:sz w:val="28"/>
          <w:szCs w:val="28"/>
          <w:u w:val="single"/>
        </w:rPr>
      </w:pPr>
      <w:bookmarkStart w:id="28" w:name="_Toc225966621"/>
      <w:r w:rsidRPr="00266F7A">
        <w:rPr>
          <w:rFonts w:ascii="Arial" w:hAnsi="Arial" w:cs="Arial"/>
          <w:b/>
          <w:bCs/>
          <w:color w:val="auto"/>
          <w:sz w:val="28"/>
          <w:szCs w:val="28"/>
          <w:u w:val="single"/>
        </w:rPr>
        <w:lastRenderedPageBreak/>
        <w:t>Cyclical Relationship Explanation</w:t>
      </w:r>
      <w:bookmarkEnd w:id="28"/>
    </w:p>
    <w:p w14:paraId="202B2585" w14:textId="05D2B947" w:rsidR="00D57668" w:rsidRPr="00980BBE" w:rsidRDefault="0024714F" w:rsidP="001D2D05">
      <w:pPr>
        <w:spacing w:line="360" w:lineRule="auto"/>
        <w:rPr>
          <w:rFonts w:ascii="Arial" w:hAnsi="Arial" w:cs="Arial"/>
          <w:sz w:val="22"/>
          <w:szCs w:val="22"/>
        </w:rPr>
      </w:pPr>
      <w:r w:rsidRPr="00980BBE">
        <w:rPr>
          <w:rFonts w:ascii="Arial" w:hAnsi="Arial" w:cs="Arial"/>
          <w:noProof/>
          <w:sz w:val="22"/>
          <w:szCs w:val="22"/>
          <w:u w:val="single"/>
        </w:rPr>
        <mc:AlternateContent>
          <mc:Choice Requires="wps">
            <w:drawing>
              <wp:anchor distT="0" distB="0" distL="114300" distR="114300" simplePos="0" relativeHeight="251640320" behindDoc="0" locked="0" layoutInCell="1" allowOverlap="1" wp14:anchorId="565338F0" wp14:editId="38BCE4B2">
                <wp:simplePos x="0" y="0"/>
                <wp:positionH relativeFrom="column">
                  <wp:posOffset>5127625</wp:posOffset>
                </wp:positionH>
                <wp:positionV relativeFrom="paragraph">
                  <wp:posOffset>501015</wp:posOffset>
                </wp:positionV>
                <wp:extent cx="160244" cy="1573567"/>
                <wp:effectExtent l="381000" t="0" r="335280" b="0"/>
                <wp:wrapNone/>
                <wp:docPr id="173499105" name="Arrow: Down 2"/>
                <wp:cNvGraphicFramePr/>
                <a:graphic xmlns:a="http://schemas.openxmlformats.org/drawingml/2006/main">
                  <a:graphicData uri="http://schemas.microsoft.com/office/word/2010/wordprocessingShape">
                    <wps:wsp>
                      <wps:cNvSpPr/>
                      <wps:spPr>
                        <a:xfrm rot="1893427">
                          <a:off x="0" y="0"/>
                          <a:ext cx="160244" cy="1573567"/>
                        </a:xfrm>
                        <a:prstGeom prst="downArrow">
                          <a:avLst>
                            <a:gd name="adj1" fmla="val 100000"/>
                            <a:gd name="adj2" fmla="val 50000"/>
                          </a:avLst>
                        </a:prstGeom>
                        <a:solidFill>
                          <a:srgbClr val="FFC000"/>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E4BCB4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 o:spid="_x0000_s1026" type="#_x0000_t67" style="position:absolute;margin-left:403.75pt;margin-top:39.45pt;width:12.6pt;height:123.9pt;rotation:2068127fd;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LuHogIAAKwFAAAOAAAAZHJzL2Uyb0RvYy54bWysVE1v2zAMvQ/YfxB0X/3RpGmDOkWQIsOA&#10;oivWDj0rshR7kEVNUuJkv36U7DjGWuwwzAeDEslH8onk7d2hUWQvrKtBFzS7SCkRmkNZ621Bv7+s&#10;P11T4jzTJVOgRUGPwtG7xccPt62ZixwqUKWwBEG0m7emoJX3Zp4kjleiYe4CjNColGAb5vFot0lp&#10;WYvojUryNL1KWrClscCFc3h73ynpIuJLKbj/KqUTnqiCYm4+/m38b8I/Wdyy+dYyU9W8T4P9QxYN&#10;qzUGHaDumWdkZ+s3UE3NLTiQ/oJDk4CUNRexBqwmS/+o5rliRsRakBxnBprc/4Plj/tn82SRhta4&#10;uUMxVHGQtiEWkK3s+uZyks9ibZgtOUTqjgN14uAJx8vsKs0nE0o4qrLp7HJ6NQvcJh1WwDTW+c8C&#10;GhKEgpbQ6qW10EZotn9wPvJXEs0abBRW/sgokY3C59gzRbI0fP17jYzysdH0ZINxe0iUTpEDvgNV&#10;l+taqXiw281KWYL4BV2vV30AdBmZJWdiouSPSgRnpb8JSeoSi89jDbFnxYDHOBfaZ52qYqXowmQh&#10;x56awSMSFQEDssT0BuweIMzDW+yO4d4+uIrY8oNz+rfEOufBI0YG7QfnptZg3wNQWFUfubPH9EfU&#10;BHED5fHJdi2EY+cMX9f47A/M+Sdm8UnxEreG/4o/qaAtKPQSJRXYX+/dB3tsfNRS0uLEFtT93DEr&#10;KFFfNI7ETTaZhBGPh8l0luPBjjWbsUbvmhXgs2OTYXZRDPZenURpoXnF5bIMUVHFNMfYBeXeng4r&#10;320SXE9cLJfRDMfaMP+gnw0P4IHV0H8vh1dmTd/7HqfmEU7T3bdqx+jZNnhqWO48yNoH5ZnX/oAr&#10;ITZOv77Czhmfo9V5yS5+AwAA//8DAFBLAwQUAAYACAAAACEA5vJ1Nt8AAAAKAQAADwAAAGRycy9k&#10;b3ducmV2LnhtbEyPQU+EMBCF7yb+h2ZMvBi3CLIgUjbGRA7eXE28ztIRiHSKbXeX9ddbT3qcvC/v&#10;fVNvFjOJAzk/WlZws0pAEHdWj9wreHt9ui5B+ICscbJMCk7kYdOcn9VYaXvkFzpsQy9iCfsKFQwh&#10;zJWUvhvIoF/ZmThmH9YZDPF0vdQOj7HcTDJNkrU0OHJcGHCmx4G6z+3eKDBf+ru9yow5veOzv21d&#10;3naUK3V5sTzcgwi0hD8YfvWjOjTRaWf3rL2YFJRJkUdUQVHegYhAmaUFiJ2CLF0XIJta/n+h+QEA&#10;AP//AwBQSwECLQAUAAYACAAAACEAtoM4kv4AAADhAQAAEwAAAAAAAAAAAAAAAAAAAAAAW0NvbnRl&#10;bnRfVHlwZXNdLnhtbFBLAQItABQABgAIAAAAIQA4/SH/1gAAAJQBAAALAAAAAAAAAAAAAAAAAC8B&#10;AABfcmVscy8ucmVsc1BLAQItABQABgAIAAAAIQBuLLuHogIAAKwFAAAOAAAAAAAAAAAAAAAAAC4C&#10;AABkcnMvZTJvRG9jLnhtbFBLAQItABQABgAIAAAAIQDm8nU23wAAAAoBAAAPAAAAAAAAAAAAAAAA&#10;APwEAABkcnMvZG93bnJldi54bWxQSwUGAAAAAAQABADzAAAACAYAAAAA&#10;" adj="20500,0" fillcolor="#ffc000" strokecolor="#030e13 [484]" strokeweight="1.5pt"/>
            </w:pict>
          </mc:Fallback>
        </mc:AlternateContent>
      </w:r>
      <w:r w:rsidR="00A963C3" w:rsidRPr="00980BBE">
        <w:rPr>
          <w:rFonts w:ascii="Arial" w:hAnsi="Arial" w:cs="Arial"/>
          <w:sz w:val="22"/>
          <w:szCs w:val="22"/>
        </w:rPr>
        <w:t>The model shows a reinforcing cycle: deprivation increases alcohol use, accelerating dementia risk; resulting job loss and financial instability deepen deprivation, while policy gaps perpetuate the cycle.</w:t>
      </w:r>
      <w:r w:rsidR="00D57668" w:rsidRPr="00980BBE">
        <w:rPr>
          <w:rFonts w:ascii="Arial" w:hAnsi="Arial" w:cs="Arial"/>
          <w:sz w:val="22"/>
          <w:szCs w:val="22"/>
        </w:rPr>
        <w:t xml:space="preserve"> </w:t>
      </w:r>
    </w:p>
    <w:p w14:paraId="324B31E3" w14:textId="091352CF" w:rsidR="00D57668" w:rsidRPr="00980BBE" w:rsidRDefault="00D57668" w:rsidP="001D2D05">
      <w:pPr>
        <w:spacing w:line="360" w:lineRule="auto"/>
        <w:rPr>
          <w:rFonts w:ascii="Arial" w:hAnsi="Arial" w:cs="Arial"/>
          <w:sz w:val="22"/>
          <w:szCs w:val="22"/>
          <w:u w:val="single"/>
        </w:rPr>
      </w:pPr>
    </w:p>
    <w:p w14:paraId="09C5B1C0" w14:textId="30D2F96D" w:rsidR="00D57668" w:rsidRPr="00980BBE" w:rsidRDefault="00D57668" w:rsidP="001D2D05">
      <w:pPr>
        <w:spacing w:line="360" w:lineRule="auto"/>
        <w:rPr>
          <w:rFonts w:ascii="Arial" w:hAnsi="Arial" w:cs="Arial"/>
          <w:sz w:val="22"/>
          <w:szCs w:val="22"/>
          <w:u w:val="single"/>
        </w:rPr>
      </w:pPr>
      <w:r w:rsidRPr="00980BBE">
        <w:rPr>
          <w:rFonts w:ascii="Arial" w:hAnsi="Arial" w:cs="Arial"/>
          <w:noProof/>
          <w:sz w:val="22"/>
          <w:szCs w:val="22"/>
        </w:rPr>
        <w:drawing>
          <wp:inline distT="0" distB="0" distL="0" distR="0" wp14:anchorId="3E671636" wp14:editId="5B3FAD9F">
            <wp:extent cx="5687694" cy="2125980"/>
            <wp:effectExtent l="0" t="0" r="8890" b="7620"/>
            <wp:docPr id="19165320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532096" name=""/>
                    <pic:cNvPicPr/>
                  </pic:nvPicPr>
                  <pic:blipFill>
                    <a:blip r:embed="rId15"/>
                    <a:stretch>
                      <a:fillRect/>
                    </a:stretch>
                  </pic:blipFill>
                  <pic:spPr>
                    <a:xfrm>
                      <a:off x="0" y="0"/>
                      <a:ext cx="5848202" cy="2185976"/>
                    </a:xfrm>
                    <a:prstGeom prst="rect">
                      <a:avLst/>
                    </a:prstGeom>
                  </pic:spPr>
                </pic:pic>
              </a:graphicData>
            </a:graphic>
          </wp:inline>
        </w:drawing>
      </w:r>
      <w:r w:rsidRPr="00980BBE">
        <w:rPr>
          <w:rFonts w:ascii="Arial" w:hAnsi="Arial" w:cs="Arial"/>
          <w:sz w:val="22"/>
          <w:szCs w:val="22"/>
        </w:rPr>
        <w:t xml:space="preserve">  </w:t>
      </w:r>
      <w:r w:rsidR="000D3333" w:rsidRPr="00980BBE">
        <w:rPr>
          <w:rFonts w:ascii="Arial" w:hAnsi="Arial" w:cs="Arial"/>
          <w:sz w:val="22"/>
          <w:szCs w:val="22"/>
        </w:rPr>
        <w:t>(</w:t>
      </w:r>
      <w:r w:rsidRPr="00980BBE">
        <w:rPr>
          <w:rFonts w:ascii="Arial" w:hAnsi="Arial" w:cs="Arial"/>
          <w:b/>
          <w:bCs/>
          <w:sz w:val="22"/>
          <w:szCs w:val="22"/>
        </w:rPr>
        <w:t xml:space="preserve">Fig </w:t>
      </w:r>
      <w:r w:rsidR="006B76F9" w:rsidRPr="00980BBE">
        <w:rPr>
          <w:rFonts w:ascii="Arial" w:hAnsi="Arial" w:cs="Arial"/>
          <w:b/>
          <w:bCs/>
          <w:sz w:val="22"/>
          <w:szCs w:val="22"/>
        </w:rPr>
        <w:t>4</w:t>
      </w:r>
      <w:r w:rsidRPr="00980BBE">
        <w:rPr>
          <w:rFonts w:ascii="Arial" w:hAnsi="Arial" w:cs="Arial"/>
          <w:b/>
          <w:bCs/>
          <w:sz w:val="22"/>
          <w:szCs w:val="22"/>
        </w:rPr>
        <w:t xml:space="preserve"> </w:t>
      </w:r>
      <w:r w:rsidR="002D3F84" w:rsidRPr="00980BBE">
        <w:rPr>
          <w:rFonts w:ascii="Arial" w:hAnsi="Arial" w:cs="Arial"/>
          <w:sz w:val="22"/>
          <w:szCs w:val="22"/>
        </w:rPr>
        <w:t>made by author</w:t>
      </w:r>
      <w:r w:rsidR="000D3333" w:rsidRPr="00980BBE">
        <w:rPr>
          <w:rFonts w:ascii="Arial" w:hAnsi="Arial" w:cs="Arial"/>
          <w:sz w:val="22"/>
          <w:szCs w:val="22"/>
        </w:rPr>
        <w:t>)</w:t>
      </w:r>
    </w:p>
    <w:p w14:paraId="0040D5E4" w14:textId="5FFCDFCE" w:rsidR="00D57668" w:rsidRPr="00266F7A" w:rsidRDefault="00D57668" w:rsidP="006235A7">
      <w:pPr>
        <w:pStyle w:val="Heading1"/>
        <w:rPr>
          <w:rFonts w:ascii="Arial" w:hAnsi="Arial" w:cs="Arial"/>
          <w:b/>
          <w:bCs/>
          <w:color w:val="auto"/>
          <w:sz w:val="28"/>
          <w:szCs w:val="28"/>
          <w:u w:val="single"/>
        </w:rPr>
      </w:pPr>
      <w:bookmarkStart w:id="29" w:name="_Toc225966622"/>
      <w:r w:rsidRPr="00266F7A">
        <w:rPr>
          <w:rFonts w:ascii="Arial" w:hAnsi="Arial" w:cs="Arial"/>
          <w:b/>
          <w:bCs/>
          <w:color w:val="auto"/>
          <w:sz w:val="28"/>
          <w:szCs w:val="28"/>
          <w:u w:val="single"/>
        </w:rPr>
        <w:t>Ethical Considerations</w:t>
      </w:r>
      <w:bookmarkEnd w:id="29"/>
    </w:p>
    <w:p w14:paraId="1C308348" w14:textId="1C2D7DB2" w:rsidR="00D320C9" w:rsidRPr="00980BBE" w:rsidRDefault="00D320C9" w:rsidP="001D2D05">
      <w:pPr>
        <w:spacing w:line="360" w:lineRule="auto"/>
        <w:rPr>
          <w:rFonts w:ascii="Arial" w:hAnsi="Arial" w:cs="Arial"/>
          <w:sz w:val="22"/>
          <w:szCs w:val="22"/>
        </w:rPr>
      </w:pPr>
      <w:r w:rsidRPr="00980BBE">
        <w:rPr>
          <w:rFonts w:ascii="Arial" w:hAnsi="Arial" w:cs="Arial"/>
          <w:sz w:val="22"/>
          <w:szCs w:val="22"/>
        </w:rPr>
        <w:t xml:space="preserve">Since this was secondary research, no new data was </w:t>
      </w:r>
      <w:r w:rsidR="00A63D2C" w:rsidRPr="00980BBE">
        <w:rPr>
          <w:rFonts w:ascii="Arial" w:hAnsi="Arial" w:cs="Arial"/>
          <w:sz w:val="22"/>
          <w:szCs w:val="22"/>
        </w:rPr>
        <w:t>collected</w:t>
      </w:r>
      <w:r w:rsidRPr="00980BBE">
        <w:rPr>
          <w:rFonts w:ascii="Arial" w:hAnsi="Arial" w:cs="Arial"/>
          <w:sz w:val="22"/>
          <w:szCs w:val="22"/>
        </w:rPr>
        <w:t xml:space="preserve">; instead, the ethical focus was on </w:t>
      </w:r>
      <w:r w:rsidR="00A63D2C" w:rsidRPr="00980BBE">
        <w:rPr>
          <w:rFonts w:ascii="Arial" w:hAnsi="Arial" w:cs="Arial"/>
          <w:sz w:val="22"/>
          <w:szCs w:val="22"/>
        </w:rPr>
        <w:t xml:space="preserve">the </w:t>
      </w:r>
      <w:r w:rsidRPr="00980BBE">
        <w:rPr>
          <w:rFonts w:ascii="Arial" w:hAnsi="Arial" w:cs="Arial"/>
          <w:sz w:val="22"/>
          <w:szCs w:val="22"/>
        </w:rPr>
        <w:t>responsible u</w:t>
      </w:r>
      <w:r w:rsidR="00F531E5" w:rsidRPr="00980BBE">
        <w:rPr>
          <w:rFonts w:ascii="Arial" w:hAnsi="Arial" w:cs="Arial"/>
          <w:sz w:val="22"/>
          <w:szCs w:val="22"/>
        </w:rPr>
        <w:t xml:space="preserve">tilisation of </w:t>
      </w:r>
      <w:r w:rsidRPr="00980BBE">
        <w:rPr>
          <w:rFonts w:ascii="Arial" w:hAnsi="Arial" w:cs="Arial"/>
          <w:sz w:val="22"/>
          <w:szCs w:val="22"/>
        </w:rPr>
        <w:t xml:space="preserve"> exis</w:t>
      </w:r>
      <w:r w:rsidR="00B27BB0" w:rsidRPr="00980BBE">
        <w:rPr>
          <w:rFonts w:ascii="Arial" w:hAnsi="Arial" w:cs="Arial"/>
          <w:sz w:val="22"/>
          <w:szCs w:val="22"/>
        </w:rPr>
        <w:t>ting material</w:t>
      </w:r>
      <w:r w:rsidRPr="00980BBE">
        <w:rPr>
          <w:rFonts w:ascii="Arial" w:hAnsi="Arial" w:cs="Arial"/>
          <w:sz w:val="22"/>
          <w:szCs w:val="22"/>
        </w:rPr>
        <w:t xml:space="preserve">. Harvard referencing and objective reporting upheld academic integrity. Credibility was enhanced and the study's ethical </w:t>
      </w:r>
      <w:r w:rsidR="00B27BB0" w:rsidRPr="00980BBE">
        <w:rPr>
          <w:rFonts w:ascii="Arial" w:hAnsi="Arial" w:cs="Arial"/>
          <w:sz w:val="22"/>
          <w:szCs w:val="22"/>
        </w:rPr>
        <w:t>ri</w:t>
      </w:r>
      <w:r w:rsidR="00145B20" w:rsidRPr="00980BBE">
        <w:rPr>
          <w:rFonts w:ascii="Arial" w:hAnsi="Arial" w:cs="Arial"/>
          <w:sz w:val="22"/>
          <w:szCs w:val="22"/>
        </w:rPr>
        <w:t xml:space="preserve">gor was ensured through </w:t>
      </w:r>
      <w:r w:rsidRPr="00980BBE">
        <w:rPr>
          <w:rFonts w:ascii="Arial" w:hAnsi="Arial" w:cs="Arial"/>
          <w:sz w:val="22"/>
          <w:szCs w:val="22"/>
        </w:rPr>
        <w:t xml:space="preserve">transparency in search procedures, inclusion </w:t>
      </w:r>
      <w:r w:rsidR="00A17BB8" w:rsidRPr="00980BBE">
        <w:rPr>
          <w:rFonts w:ascii="Arial" w:hAnsi="Arial" w:cs="Arial"/>
          <w:sz w:val="22"/>
          <w:szCs w:val="22"/>
        </w:rPr>
        <w:t>criteria</w:t>
      </w:r>
      <w:r w:rsidRPr="00980BBE">
        <w:rPr>
          <w:rFonts w:ascii="Arial" w:hAnsi="Arial" w:cs="Arial"/>
          <w:sz w:val="22"/>
          <w:szCs w:val="22"/>
        </w:rPr>
        <w:t>, and analysis (Baracho Dittrich and Reichenbach, 2025; Page, McKenzie, and Bossuyt, 2021b).</w:t>
      </w:r>
    </w:p>
    <w:p w14:paraId="3D69F37F" w14:textId="57276D8F" w:rsidR="00D57668" w:rsidRPr="00266F7A" w:rsidRDefault="00D57668" w:rsidP="00856ACC">
      <w:pPr>
        <w:pStyle w:val="Heading1"/>
        <w:rPr>
          <w:rFonts w:ascii="Arial" w:hAnsi="Arial" w:cs="Arial"/>
          <w:b/>
          <w:bCs/>
          <w:color w:val="auto"/>
          <w:sz w:val="28"/>
          <w:szCs w:val="28"/>
          <w:u w:val="single"/>
        </w:rPr>
      </w:pPr>
      <w:bookmarkStart w:id="30" w:name="_Toc225966623"/>
      <w:r w:rsidRPr="00266F7A">
        <w:rPr>
          <w:rFonts w:ascii="Arial" w:hAnsi="Arial" w:cs="Arial"/>
          <w:b/>
          <w:bCs/>
          <w:color w:val="auto"/>
          <w:sz w:val="28"/>
          <w:szCs w:val="28"/>
          <w:u w:val="single"/>
        </w:rPr>
        <w:t>Conclusion</w:t>
      </w:r>
      <w:bookmarkEnd w:id="30"/>
    </w:p>
    <w:p w14:paraId="0D52ED19" w14:textId="113A11EC" w:rsidR="002B0A6D" w:rsidRPr="00980BBE" w:rsidRDefault="002B0A6D" w:rsidP="001D2D05">
      <w:pPr>
        <w:spacing w:line="360" w:lineRule="auto"/>
        <w:rPr>
          <w:rFonts w:ascii="Arial" w:hAnsi="Arial" w:cs="Arial"/>
          <w:sz w:val="22"/>
          <w:szCs w:val="22"/>
        </w:rPr>
      </w:pPr>
      <w:r w:rsidRPr="00980BBE">
        <w:rPr>
          <w:rFonts w:ascii="Arial" w:hAnsi="Arial" w:cs="Arial"/>
          <w:sz w:val="22"/>
          <w:szCs w:val="22"/>
        </w:rPr>
        <w:t xml:space="preserve">In conclusion, this chapter has </w:t>
      </w:r>
      <w:r w:rsidR="007026B6" w:rsidRPr="00980BBE">
        <w:rPr>
          <w:rFonts w:ascii="Arial" w:hAnsi="Arial" w:cs="Arial"/>
          <w:sz w:val="22"/>
          <w:szCs w:val="22"/>
        </w:rPr>
        <w:t xml:space="preserve">systematically outlined </w:t>
      </w:r>
      <w:r w:rsidRPr="00980BBE">
        <w:rPr>
          <w:rFonts w:ascii="Arial" w:hAnsi="Arial" w:cs="Arial"/>
          <w:sz w:val="22"/>
          <w:szCs w:val="22"/>
        </w:rPr>
        <w:t>the method</w:t>
      </w:r>
      <w:r w:rsidR="007026B6" w:rsidRPr="00980BBE">
        <w:rPr>
          <w:rFonts w:ascii="Arial" w:hAnsi="Arial" w:cs="Arial"/>
          <w:sz w:val="22"/>
          <w:szCs w:val="22"/>
        </w:rPr>
        <w:t>o</w:t>
      </w:r>
      <w:r w:rsidR="00754547" w:rsidRPr="00980BBE">
        <w:rPr>
          <w:rFonts w:ascii="Arial" w:hAnsi="Arial" w:cs="Arial"/>
          <w:sz w:val="22"/>
          <w:szCs w:val="22"/>
        </w:rPr>
        <w:t>logical</w:t>
      </w:r>
      <w:r w:rsidRPr="00980BBE">
        <w:rPr>
          <w:rFonts w:ascii="Arial" w:hAnsi="Arial" w:cs="Arial"/>
          <w:sz w:val="22"/>
          <w:szCs w:val="22"/>
        </w:rPr>
        <w:t xml:space="preserve"> procedures used to find, assess, and analyse scholarly works on young-onset dementia, alcohol consumption, and socioeconomic hardship. Only </w:t>
      </w:r>
      <w:r w:rsidR="00754547" w:rsidRPr="00980BBE">
        <w:rPr>
          <w:rFonts w:ascii="Arial" w:hAnsi="Arial" w:cs="Arial"/>
          <w:sz w:val="22"/>
          <w:szCs w:val="22"/>
        </w:rPr>
        <w:t>high</w:t>
      </w:r>
      <w:r w:rsidR="00326EFA" w:rsidRPr="00980BBE">
        <w:rPr>
          <w:rFonts w:ascii="Arial" w:hAnsi="Arial" w:cs="Arial"/>
          <w:sz w:val="22"/>
          <w:szCs w:val="22"/>
        </w:rPr>
        <w:t>-</w:t>
      </w:r>
      <w:r w:rsidR="00754547" w:rsidRPr="00980BBE">
        <w:rPr>
          <w:rFonts w:ascii="Arial" w:hAnsi="Arial" w:cs="Arial"/>
          <w:sz w:val="22"/>
          <w:szCs w:val="22"/>
        </w:rPr>
        <w:t>quality</w:t>
      </w:r>
      <w:r w:rsidR="00326EFA" w:rsidRPr="00980BBE">
        <w:rPr>
          <w:rFonts w:ascii="Arial" w:hAnsi="Arial" w:cs="Arial"/>
          <w:sz w:val="22"/>
          <w:szCs w:val="22"/>
        </w:rPr>
        <w:t xml:space="preserve"> relevant sources were </w:t>
      </w:r>
      <w:r w:rsidRPr="00980BBE">
        <w:rPr>
          <w:rFonts w:ascii="Arial" w:hAnsi="Arial" w:cs="Arial"/>
          <w:sz w:val="22"/>
          <w:szCs w:val="22"/>
        </w:rPr>
        <w:t xml:space="preserve">included </w:t>
      </w:r>
      <w:r w:rsidR="00326EFA" w:rsidRPr="00980BBE">
        <w:rPr>
          <w:rFonts w:ascii="Arial" w:hAnsi="Arial" w:cs="Arial"/>
          <w:sz w:val="22"/>
          <w:szCs w:val="22"/>
        </w:rPr>
        <w:t xml:space="preserve">due to a structured </w:t>
      </w:r>
      <w:r w:rsidR="00E2500E" w:rsidRPr="00980BBE">
        <w:rPr>
          <w:rFonts w:ascii="Arial" w:hAnsi="Arial" w:cs="Arial"/>
          <w:sz w:val="22"/>
          <w:szCs w:val="22"/>
        </w:rPr>
        <w:t>search strategy and rigorous filtering and va</w:t>
      </w:r>
      <w:r w:rsidR="008A3033" w:rsidRPr="00980BBE">
        <w:rPr>
          <w:rFonts w:ascii="Arial" w:hAnsi="Arial" w:cs="Arial"/>
          <w:sz w:val="22"/>
          <w:szCs w:val="22"/>
        </w:rPr>
        <w:t>lidation processes.</w:t>
      </w:r>
      <w:r w:rsidRPr="00980BBE">
        <w:rPr>
          <w:rFonts w:ascii="Arial" w:hAnsi="Arial" w:cs="Arial"/>
          <w:sz w:val="22"/>
          <w:szCs w:val="22"/>
        </w:rPr>
        <w:t xml:space="preserve"> Clear and logical identification of patterns and relationships throughout the literature was </w:t>
      </w:r>
      <w:r w:rsidR="008A3033" w:rsidRPr="00980BBE">
        <w:rPr>
          <w:rFonts w:ascii="Arial" w:hAnsi="Arial" w:cs="Arial"/>
          <w:sz w:val="22"/>
          <w:szCs w:val="22"/>
        </w:rPr>
        <w:t>facilitated</w:t>
      </w:r>
      <w:r w:rsidR="0057471B" w:rsidRPr="00980BBE">
        <w:rPr>
          <w:rFonts w:ascii="Arial" w:hAnsi="Arial" w:cs="Arial"/>
          <w:sz w:val="22"/>
          <w:szCs w:val="22"/>
        </w:rPr>
        <w:t xml:space="preserve"> </w:t>
      </w:r>
      <w:r w:rsidRPr="00980BBE">
        <w:rPr>
          <w:rFonts w:ascii="Arial" w:hAnsi="Arial" w:cs="Arial"/>
          <w:sz w:val="22"/>
          <w:szCs w:val="22"/>
        </w:rPr>
        <w:t>by the them</w:t>
      </w:r>
      <w:r w:rsidR="0057471B" w:rsidRPr="00980BBE">
        <w:rPr>
          <w:rFonts w:ascii="Arial" w:hAnsi="Arial" w:cs="Arial"/>
          <w:sz w:val="22"/>
          <w:szCs w:val="22"/>
        </w:rPr>
        <w:t>atic</w:t>
      </w:r>
      <w:r w:rsidRPr="00980BBE">
        <w:rPr>
          <w:rFonts w:ascii="Arial" w:hAnsi="Arial" w:cs="Arial"/>
          <w:sz w:val="22"/>
          <w:szCs w:val="22"/>
        </w:rPr>
        <w:t xml:space="preserve"> coding approach (Naeem et al., 2023b).</w:t>
      </w:r>
    </w:p>
    <w:p w14:paraId="709E1B27" w14:textId="17C487AE" w:rsidR="00D57668" w:rsidRPr="00980BBE" w:rsidRDefault="00D57668" w:rsidP="001D2D05">
      <w:pPr>
        <w:spacing w:line="360" w:lineRule="auto"/>
        <w:rPr>
          <w:rFonts w:ascii="Arial" w:hAnsi="Arial" w:cs="Arial"/>
          <w:sz w:val="22"/>
          <w:szCs w:val="22"/>
        </w:rPr>
      </w:pPr>
      <w:r w:rsidRPr="00980BBE">
        <w:rPr>
          <w:rFonts w:ascii="Arial" w:hAnsi="Arial" w:cs="Arial"/>
          <w:sz w:val="22"/>
          <w:szCs w:val="22"/>
        </w:rPr>
        <w:t xml:space="preserve">The following chapter presents the thematic findings generated through this analytical process, </w:t>
      </w:r>
      <w:r w:rsidR="0057471B" w:rsidRPr="00980BBE">
        <w:rPr>
          <w:rFonts w:ascii="Arial" w:hAnsi="Arial" w:cs="Arial"/>
          <w:sz w:val="22"/>
          <w:szCs w:val="22"/>
        </w:rPr>
        <w:t>sys</w:t>
      </w:r>
      <w:r w:rsidR="005A0464" w:rsidRPr="00980BBE">
        <w:rPr>
          <w:rFonts w:ascii="Arial" w:hAnsi="Arial" w:cs="Arial"/>
          <w:sz w:val="22"/>
          <w:szCs w:val="22"/>
        </w:rPr>
        <w:t xml:space="preserve">tematically </w:t>
      </w:r>
      <w:r w:rsidRPr="00980BBE">
        <w:rPr>
          <w:rFonts w:ascii="Arial" w:hAnsi="Arial" w:cs="Arial"/>
          <w:sz w:val="22"/>
          <w:szCs w:val="22"/>
        </w:rPr>
        <w:t xml:space="preserve">organising them into coherent themes that address the research question and contribute to understanding the complex </w:t>
      </w:r>
      <w:r w:rsidR="00D24588" w:rsidRPr="00980BBE">
        <w:rPr>
          <w:rFonts w:ascii="Arial" w:hAnsi="Arial" w:cs="Arial"/>
          <w:sz w:val="22"/>
          <w:szCs w:val="22"/>
        </w:rPr>
        <w:t xml:space="preserve">interrelationship </w:t>
      </w:r>
      <w:r w:rsidRPr="00980BBE">
        <w:rPr>
          <w:rFonts w:ascii="Arial" w:hAnsi="Arial" w:cs="Arial"/>
          <w:sz w:val="22"/>
          <w:szCs w:val="22"/>
        </w:rPr>
        <w:t>explored in this study.</w:t>
      </w:r>
    </w:p>
    <w:p w14:paraId="0E72F7D5" w14:textId="20FA8579" w:rsidR="00735909" w:rsidRPr="00266F7A" w:rsidRDefault="00735909" w:rsidP="001F20EF">
      <w:pPr>
        <w:pStyle w:val="Heading2"/>
        <w:rPr>
          <w:rFonts w:ascii="Arial" w:hAnsi="Arial" w:cs="Arial"/>
          <w:b/>
          <w:bCs/>
          <w:color w:val="auto"/>
          <w:sz w:val="28"/>
          <w:szCs w:val="28"/>
          <w:u w:val="single"/>
        </w:rPr>
      </w:pPr>
      <w:bookmarkStart w:id="31" w:name="_Toc225966624"/>
      <w:r w:rsidRPr="00266F7A">
        <w:rPr>
          <w:rFonts w:ascii="Arial" w:hAnsi="Arial" w:cs="Arial"/>
          <w:b/>
          <w:bCs/>
          <w:color w:val="auto"/>
          <w:sz w:val="28"/>
          <w:szCs w:val="28"/>
          <w:u w:val="single"/>
        </w:rPr>
        <w:lastRenderedPageBreak/>
        <w:t xml:space="preserve">Chapter 4 </w:t>
      </w:r>
      <w:r w:rsidR="001B66A2" w:rsidRPr="00266F7A">
        <w:rPr>
          <w:rFonts w:ascii="Arial" w:hAnsi="Arial" w:cs="Arial"/>
          <w:b/>
          <w:bCs/>
          <w:color w:val="auto"/>
          <w:sz w:val="28"/>
          <w:szCs w:val="28"/>
          <w:u w:val="single"/>
        </w:rPr>
        <w:t>-</w:t>
      </w:r>
      <w:r w:rsidRPr="00266F7A">
        <w:rPr>
          <w:rFonts w:ascii="Arial" w:hAnsi="Arial" w:cs="Arial"/>
          <w:b/>
          <w:bCs/>
          <w:color w:val="auto"/>
          <w:sz w:val="28"/>
          <w:szCs w:val="28"/>
          <w:u w:val="single"/>
        </w:rPr>
        <w:t xml:space="preserve"> Findings and Discussion</w:t>
      </w:r>
      <w:bookmarkEnd w:id="31"/>
    </w:p>
    <w:p w14:paraId="6B9A5595" w14:textId="10587555" w:rsidR="00735909" w:rsidRPr="00E6705A" w:rsidRDefault="00735909" w:rsidP="00856ACC">
      <w:pPr>
        <w:pStyle w:val="Heading1"/>
        <w:rPr>
          <w:rFonts w:ascii="Arial" w:hAnsi="Arial" w:cs="Arial"/>
          <w:color w:val="auto"/>
          <w:sz w:val="28"/>
          <w:szCs w:val="28"/>
          <w:u w:val="single"/>
        </w:rPr>
      </w:pPr>
      <w:bookmarkStart w:id="32" w:name="_Toc225966625"/>
      <w:r w:rsidRPr="00266F7A">
        <w:rPr>
          <w:rFonts w:ascii="Arial" w:hAnsi="Arial" w:cs="Arial"/>
          <w:b/>
          <w:bCs/>
          <w:color w:val="auto"/>
          <w:sz w:val="28"/>
          <w:szCs w:val="28"/>
          <w:u w:val="single"/>
        </w:rPr>
        <w:t>Introduction</w:t>
      </w:r>
      <w:bookmarkEnd w:id="32"/>
    </w:p>
    <w:p w14:paraId="1AD21F9B" w14:textId="558D6327"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 xml:space="preserve">This chapter </w:t>
      </w:r>
      <w:r w:rsidR="00907E6E" w:rsidRPr="00980BBE">
        <w:rPr>
          <w:rFonts w:ascii="Arial" w:hAnsi="Arial" w:cs="Arial"/>
          <w:sz w:val="22"/>
          <w:szCs w:val="22"/>
        </w:rPr>
        <w:t>critically examines</w:t>
      </w:r>
      <w:r w:rsidRPr="00980BBE">
        <w:rPr>
          <w:rFonts w:ascii="Arial" w:hAnsi="Arial" w:cs="Arial"/>
          <w:sz w:val="22"/>
          <w:szCs w:val="22"/>
        </w:rPr>
        <w:t xml:space="preserve"> the relationship between alcohol consumption, socioeconomic deprivation, and young-onset dementia (YOD), focusing on how behavioural, social, and policy</w:t>
      </w:r>
      <w:r w:rsidR="00907E6E" w:rsidRPr="00980BBE">
        <w:rPr>
          <w:rFonts w:ascii="Arial" w:hAnsi="Arial" w:cs="Arial"/>
          <w:sz w:val="22"/>
          <w:szCs w:val="22"/>
        </w:rPr>
        <w:t>-related</w:t>
      </w:r>
      <w:r w:rsidRPr="00980BBE">
        <w:rPr>
          <w:rFonts w:ascii="Arial" w:hAnsi="Arial" w:cs="Arial"/>
          <w:sz w:val="22"/>
          <w:szCs w:val="22"/>
        </w:rPr>
        <w:t xml:space="preserve"> factors influence early cognitive decline. Three key themes </w:t>
      </w:r>
      <w:r w:rsidR="006F3AD5" w:rsidRPr="00980BBE">
        <w:rPr>
          <w:rFonts w:ascii="Arial" w:hAnsi="Arial" w:cs="Arial"/>
          <w:sz w:val="22"/>
          <w:szCs w:val="22"/>
        </w:rPr>
        <w:t>are identified</w:t>
      </w:r>
      <w:r w:rsidRPr="00980BBE">
        <w:rPr>
          <w:rFonts w:ascii="Arial" w:hAnsi="Arial" w:cs="Arial"/>
          <w:sz w:val="22"/>
          <w:szCs w:val="22"/>
        </w:rPr>
        <w:t>: (1) Alcohol-Related Brain Damage (ARBD), (2) socioeconomic deprivation, and (3) public health policy and prevention strategies. While dementia is often associated with older adults, YOD affects those under 65, causing s</w:t>
      </w:r>
      <w:r w:rsidR="00E46655" w:rsidRPr="00980BBE">
        <w:rPr>
          <w:rFonts w:ascii="Arial" w:hAnsi="Arial" w:cs="Arial"/>
          <w:sz w:val="22"/>
          <w:szCs w:val="22"/>
        </w:rPr>
        <w:t>ubstantial</w:t>
      </w:r>
      <w:r w:rsidRPr="00980BBE">
        <w:rPr>
          <w:rFonts w:ascii="Arial" w:hAnsi="Arial" w:cs="Arial"/>
          <w:sz w:val="22"/>
          <w:szCs w:val="22"/>
        </w:rPr>
        <w:t xml:space="preserve"> social, economic, and psychological consequences. Evidence </w:t>
      </w:r>
      <w:r w:rsidR="007B25EB" w:rsidRPr="00980BBE">
        <w:rPr>
          <w:rFonts w:ascii="Arial" w:hAnsi="Arial" w:cs="Arial"/>
          <w:sz w:val="22"/>
          <w:szCs w:val="22"/>
        </w:rPr>
        <w:t xml:space="preserve">suggests </w:t>
      </w:r>
      <w:r w:rsidRPr="00980BBE">
        <w:rPr>
          <w:rFonts w:ascii="Arial" w:hAnsi="Arial" w:cs="Arial"/>
          <w:sz w:val="22"/>
          <w:szCs w:val="22"/>
        </w:rPr>
        <w:t xml:space="preserve">that both lifestyle behaviours </w:t>
      </w:r>
      <w:r w:rsidR="007B25EB" w:rsidRPr="00980BBE">
        <w:rPr>
          <w:rFonts w:ascii="Arial" w:hAnsi="Arial" w:cs="Arial"/>
          <w:sz w:val="22"/>
          <w:szCs w:val="22"/>
        </w:rPr>
        <w:t>(</w:t>
      </w:r>
      <w:r w:rsidRPr="00980BBE">
        <w:rPr>
          <w:rFonts w:ascii="Arial" w:hAnsi="Arial" w:cs="Arial"/>
          <w:sz w:val="22"/>
          <w:szCs w:val="22"/>
        </w:rPr>
        <w:t>such as alcohol use</w:t>
      </w:r>
      <w:r w:rsidR="007B25EB" w:rsidRPr="00980BBE">
        <w:rPr>
          <w:rFonts w:ascii="Arial" w:hAnsi="Arial" w:cs="Arial"/>
          <w:sz w:val="22"/>
          <w:szCs w:val="22"/>
        </w:rPr>
        <w:t>)</w:t>
      </w:r>
      <w:r w:rsidRPr="00980BBE">
        <w:rPr>
          <w:rFonts w:ascii="Arial" w:hAnsi="Arial" w:cs="Arial"/>
          <w:sz w:val="22"/>
          <w:szCs w:val="22"/>
        </w:rPr>
        <w:t xml:space="preserve"> and structural determinants </w:t>
      </w:r>
      <w:r w:rsidR="007B25EB" w:rsidRPr="00980BBE">
        <w:rPr>
          <w:rFonts w:ascii="Arial" w:hAnsi="Arial" w:cs="Arial"/>
          <w:sz w:val="22"/>
          <w:szCs w:val="22"/>
        </w:rPr>
        <w:t>(</w:t>
      </w:r>
      <w:r w:rsidRPr="00980BBE">
        <w:rPr>
          <w:rFonts w:ascii="Arial" w:hAnsi="Arial" w:cs="Arial"/>
          <w:sz w:val="22"/>
          <w:szCs w:val="22"/>
        </w:rPr>
        <w:t>including education and healthcare access</w:t>
      </w:r>
      <w:r w:rsidR="007B25EB" w:rsidRPr="00980BBE">
        <w:rPr>
          <w:rFonts w:ascii="Arial" w:hAnsi="Arial" w:cs="Arial"/>
          <w:sz w:val="22"/>
          <w:szCs w:val="22"/>
        </w:rPr>
        <w:t>)</w:t>
      </w:r>
      <w:r w:rsidRPr="00980BBE">
        <w:rPr>
          <w:rFonts w:ascii="Arial" w:hAnsi="Arial" w:cs="Arial"/>
          <w:sz w:val="22"/>
          <w:szCs w:val="22"/>
        </w:rPr>
        <w:t xml:space="preserve"> </w:t>
      </w:r>
      <w:r w:rsidR="007B25EB" w:rsidRPr="00980BBE">
        <w:rPr>
          <w:rFonts w:ascii="Arial" w:hAnsi="Arial" w:cs="Arial"/>
          <w:sz w:val="22"/>
          <w:szCs w:val="22"/>
        </w:rPr>
        <w:t>cont</w:t>
      </w:r>
      <w:r w:rsidR="004210FF" w:rsidRPr="00980BBE">
        <w:rPr>
          <w:rFonts w:ascii="Arial" w:hAnsi="Arial" w:cs="Arial"/>
          <w:sz w:val="22"/>
          <w:szCs w:val="22"/>
        </w:rPr>
        <w:t xml:space="preserve">ribute to </w:t>
      </w:r>
      <w:r w:rsidRPr="00980BBE">
        <w:rPr>
          <w:rFonts w:ascii="Arial" w:hAnsi="Arial" w:cs="Arial"/>
          <w:sz w:val="22"/>
          <w:szCs w:val="22"/>
        </w:rPr>
        <w:t>shap</w:t>
      </w:r>
      <w:r w:rsidR="004210FF" w:rsidRPr="00980BBE">
        <w:rPr>
          <w:rFonts w:ascii="Arial" w:hAnsi="Arial" w:cs="Arial"/>
          <w:sz w:val="22"/>
          <w:szCs w:val="22"/>
        </w:rPr>
        <w:t>ing</w:t>
      </w:r>
      <w:r w:rsidRPr="00980BBE">
        <w:rPr>
          <w:rFonts w:ascii="Arial" w:hAnsi="Arial" w:cs="Arial"/>
          <w:sz w:val="22"/>
          <w:szCs w:val="22"/>
        </w:rPr>
        <w:t xml:space="preserve"> dementia risk. The chapter highlights </w:t>
      </w:r>
      <w:r w:rsidR="004210FF" w:rsidRPr="00980BBE">
        <w:rPr>
          <w:rFonts w:ascii="Arial" w:hAnsi="Arial" w:cs="Arial"/>
          <w:sz w:val="22"/>
          <w:szCs w:val="22"/>
        </w:rPr>
        <w:t xml:space="preserve">key </w:t>
      </w:r>
      <w:r w:rsidRPr="00980BBE">
        <w:rPr>
          <w:rFonts w:ascii="Arial" w:hAnsi="Arial" w:cs="Arial"/>
          <w:sz w:val="22"/>
          <w:szCs w:val="22"/>
        </w:rPr>
        <w:t xml:space="preserve">patterns, </w:t>
      </w:r>
      <w:r w:rsidR="004210FF" w:rsidRPr="00980BBE">
        <w:rPr>
          <w:rFonts w:ascii="Arial" w:hAnsi="Arial" w:cs="Arial"/>
          <w:sz w:val="22"/>
          <w:szCs w:val="22"/>
        </w:rPr>
        <w:t xml:space="preserve">identifies </w:t>
      </w:r>
      <w:r w:rsidRPr="00980BBE">
        <w:rPr>
          <w:rFonts w:ascii="Arial" w:hAnsi="Arial" w:cs="Arial"/>
          <w:sz w:val="22"/>
          <w:szCs w:val="22"/>
        </w:rPr>
        <w:t>research gaps, and</w:t>
      </w:r>
      <w:r w:rsidR="0011329F" w:rsidRPr="00980BBE">
        <w:rPr>
          <w:rFonts w:ascii="Arial" w:hAnsi="Arial" w:cs="Arial"/>
          <w:sz w:val="22"/>
          <w:szCs w:val="22"/>
        </w:rPr>
        <w:t xml:space="preserve"> proposes</w:t>
      </w:r>
      <w:r w:rsidRPr="00980BBE">
        <w:rPr>
          <w:rFonts w:ascii="Arial" w:hAnsi="Arial" w:cs="Arial"/>
          <w:sz w:val="22"/>
          <w:szCs w:val="22"/>
        </w:rPr>
        <w:t xml:space="preserve"> potential </w:t>
      </w:r>
      <w:r w:rsidR="0011329F" w:rsidRPr="00980BBE">
        <w:rPr>
          <w:rFonts w:ascii="Arial" w:hAnsi="Arial" w:cs="Arial"/>
          <w:sz w:val="22"/>
          <w:szCs w:val="22"/>
        </w:rPr>
        <w:t xml:space="preserve">preventive </w:t>
      </w:r>
      <w:r w:rsidRPr="00980BBE">
        <w:rPr>
          <w:rFonts w:ascii="Arial" w:hAnsi="Arial" w:cs="Arial"/>
          <w:sz w:val="22"/>
          <w:szCs w:val="22"/>
        </w:rPr>
        <w:t>interventions.</w:t>
      </w:r>
    </w:p>
    <w:p w14:paraId="0A133522" w14:textId="0DA2E91B" w:rsidR="00735909" w:rsidRPr="00266F7A" w:rsidRDefault="00735909" w:rsidP="00856ACC">
      <w:pPr>
        <w:pStyle w:val="Heading1"/>
        <w:rPr>
          <w:rFonts w:ascii="Arial" w:hAnsi="Arial" w:cs="Arial"/>
          <w:b/>
          <w:bCs/>
          <w:color w:val="auto"/>
          <w:sz w:val="28"/>
          <w:szCs w:val="28"/>
          <w:u w:val="single"/>
        </w:rPr>
      </w:pPr>
      <w:bookmarkStart w:id="33" w:name="_Toc225966626"/>
      <w:r w:rsidRPr="00266F7A">
        <w:rPr>
          <w:rFonts w:ascii="Arial" w:hAnsi="Arial" w:cs="Arial"/>
          <w:b/>
          <w:bCs/>
          <w:color w:val="auto"/>
          <w:sz w:val="28"/>
          <w:szCs w:val="28"/>
          <w:u w:val="single"/>
        </w:rPr>
        <w:t>Thematic Analysis</w:t>
      </w:r>
      <w:bookmarkEnd w:id="33"/>
    </w:p>
    <w:p w14:paraId="5193A9F9" w14:textId="36173170" w:rsidR="00B071E8" w:rsidRPr="00980BBE" w:rsidRDefault="00B071E8" w:rsidP="001D2D05">
      <w:pPr>
        <w:spacing w:line="360" w:lineRule="auto"/>
        <w:rPr>
          <w:rFonts w:ascii="Arial" w:hAnsi="Arial" w:cs="Arial"/>
          <w:sz w:val="22"/>
          <w:szCs w:val="22"/>
        </w:rPr>
      </w:pPr>
      <w:r w:rsidRPr="00980BBE">
        <w:rPr>
          <w:rFonts w:ascii="Arial" w:hAnsi="Arial" w:cs="Arial"/>
          <w:sz w:val="22"/>
          <w:szCs w:val="22"/>
        </w:rPr>
        <w:t xml:space="preserve">A qualitative method for finding, analysing, and reporting patterns (themes) in data is called thematic analysis. It </w:t>
      </w:r>
      <w:r w:rsidR="001149BE" w:rsidRPr="00980BBE">
        <w:rPr>
          <w:rFonts w:ascii="Arial" w:hAnsi="Arial" w:cs="Arial"/>
          <w:sz w:val="22"/>
          <w:szCs w:val="22"/>
        </w:rPr>
        <w:t>provides a systematic and structured</w:t>
      </w:r>
      <w:r w:rsidRPr="00980BBE">
        <w:rPr>
          <w:rFonts w:ascii="Arial" w:hAnsi="Arial" w:cs="Arial"/>
          <w:sz w:val="22"/>
          <w:szCs w:val="22"/>
        </w:rPr>
        <w:t xml:space="preserve"> framework for </w:t>
      </w:r>
      <w:r w:rsidR="00A82B72" w:rsidRPr="00980BBE">
        <w:rPr>
          <w:rFonts w:ascii="Arial" w:hAnsi="Arial" w:cs="Arial"/>
          <w:sz w:val="22"/>
          <w:szCs w:val="22"/>
        </w:rPr>
        <w:t xml:space="preserve">synthesising </w:t>
      </w:r>
      <w:r w:rsidRPr="00980BBE">
        <w:rPr>
          <w:rFonts w:ascii="Arial" w:hAnsi="Arial" w:cs="Arial"/>
          <w:sz w:val="22"/>
          <w:szCs w:val="22"/>
        </w:rPr>
        <w:t xml:space="preserve">findings from </w:t>
      </w:r>
      <w:r w:rsidR="00876A52" w:rsidRPr="00980BBE">
        <w:rPr>
          <w:rFonts w:ascii="Arial" w:hAnsi="Arial" w:cs="Arial"/>
          <w:sz w:val="22"/>
          <w:szCs w:val="22"/>
        </w:rPr>
        <w:t xml:space="preserve">multiple </w:t>
      </w:r>
      <w:r w:rsidRPr="00980BBE">
        <w:rPr>
          <w:rFonts w:ascii="Arial" w:hAnsi="Arial" w:cs="Arial"/>
          <w:sz w:val="22"/>
          <w:szCs w:val="22"/>
        </w:rPr>
        <w:t xml:space="preserve">studies and </w:t>
      </w:r>
      <w:r w:rsidR="00876A52" w:rsidRPr="00980BBE">
        <w:rPr>
          <w:rFonts w:ascii="Arial" w:hAnsi="Arial" w:cs="Arial"/>
          <w:sz w:val="22"/>
          <w:szCs w:val="22"/>
        </w:rPr>
        <w:t xml:space="preserve">generating </w:t>
      </w:r>
      <w:r w:rsidRPr="00980BBE">
        <w:rPr>
          <w:rFonts w:ascii="Arial" w:hAnsi="Arial" w:cs="Arial"/>
          <w:sz w:val="22"/>
          <w:szCs w:val="22"/>
        </w:rPr>
        <w:t>higher-</w:t>
      </w:r>
      <w:r w:rsidR="00876A52" w:rsidRPr="00980BBE">
        <w:rPr>
          <w:rFonts w:ascii="Arial" w:hAnsi="Arial" w:cs="Arial"/>
          <w:sz w:val="22"/>
          <w:szCs w:val="22"/>
        </w:rPr>
        <w:t>order</w:t>
      </w:r>
      <w:r w:rsidRPr="00980BBE">
        <w:rPr>
          <w:rFonts w:ascii="Arial" w:hAnsi="Arial" w:cs="Arial"/>
          <w:sz w:val="22"/>
          <w:szCs w:val="22"/>
        </w:rPr>
        <w:t xml:space="preserve"> insights beyond individual datasets when used in secondary research, such as thematic synthesis (Thomas and Harden, 2008; Castleberry and Nolen, 2018; Saunders et al., 2023). For comp</w:t>
      </w:r>
      <w:r w:rsidR="00723EC6" w:rsidRPr="00980BBE">
        <w:rPr>
          <w:rFonts w:ascii="Arial" w:hAnsi="Arial" w:cs="Arial"/>
          <w:sz w:val="22"/>
          <w:szCs w:val="22"/>
        </w:rPr>
        <w:t>lex multi</w:t>
      </w:r>
      <w:r w:rsidR="007358E9" w:rsidRPr="00980BBE">
        <w:rPr>
          <w:rFonts w:ascii="Arial" w:hAnsi="Arial" w:cs="Arial"/>
          <w:sz w:val="22"/>
          <w:szCs w:val="22"/>
        </w:rPr>
        <w:t>factorial conditions</w:t>
      </w:r>
      <w:r w:rsidRPr="00980BBE">
        <w:rPr>
          <w:rFonts w:ascii="Arial" w:hAnsi="Arial" w:cs="Arial"/>
          <w:sz w:val="22"/>
          <w:szCs w:val="22"/>
        </w:rPr>
        <w:t xml:space="preserve"> like dementia, when biological, behavioural, and social factors </w:t>
      </w:r>
      <w:r w:rsidR="007358E9" w:rsidRPr="00980BBE">
        <w:rPr>
          <w:rFonts w:ascii="Arial" w:hAnsi="Arial" w:cs="Arial"/>
          <w:sz w:val="22"/>
          <w:szCs w:val="22"/>
        </w:rPr>
        <w:t>interact</w:t>
      </w:r>
      <w:r w:rsidR="009D7445" w:rsidRPr="00980BBE">
        <w:rPr>
          <w:rFonts w:ascii="Arial" w:hAnsi="Arial" w:cs="Arial"/>
          <w:sz w:val="22"/>
          <w:szCs w:val="22"/>
        </w:rPr>
        <w:t>, this method is</w:t>
      </w:r>
      <w:r w:rsidRPr="00980BBE">
        <w:rPr>
          <w:rFonts w:ascii="Arial" w:hAnsi="Arial" w:cs="Arial"/>
          <w:sz w:val="22"/>
          <w:szCs w:val="22"/>
        </w:rPr>
        <w:t xml:space="preserve"> particularly </w:t>
      </w:r>
      <w:r w:rsidR="009D7445" w:rsidRPr="00980BBE">
        <w:rPr>
          <w:rFonts w:ascii="Arial" w:hAnsi="Arial" w:cs="Arial"/>
          <w:sz w:val="22"/>
          <w:szCs w:val="22"/>
        </w:rPr>
        <w:t>advan</w:t>
      </w:r>
      <w:r w:rsidR="00331980" w:rsidRPr="00980BBE">
        <w:rPr>
          <w:rFonts w:ascii="Arial" w:hAnsi="Arial" w:cs="Arial"/>
          <w:sz w:val="22"/>
          <w:szCs w:val="22"/>
        </w:rPr>
        <w:t>tageous</w:t>
      </w:r>
      <w:r w:rsidRPr="00980BBE">
        <w:rPr>
          <w:rFonts w:ascii="Arial" w:hAnsi="Arial" w:cs="Arial"/>
          <w:sz w:val="22"/>
          <w:szCs w:val="22"/>
        </w:rPr>
        <w:t xml:space="preserve"> (Rehm et al., 2019; Schwarzinger et al., 2018a).</w:t>
      </w:r>
    </w:p>
    <w:p w14:paraId="38D53D59" w14:textId="4A6D99EA"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 xml:space="preserve">This study </w:t>
      </w:r>
      <w:r w:rsidR="0024395B" w:rsidRPr="00980BBE">
        <w:rPr>
          <w:rFonts w:ascii="Arial" w:hAnsi="Arial" w:cs="Arial"/>
          <w:sz w:val="22"/>
          <w:szCs w:val="22"/>
        </w:rPr>
        <w:t>used</w:t>
      </w:r>
      <w:r w:rsidRPr="00980BBE">
        <w:rPr>
          <w:rFonts w:ascii="Arial" w:hAnsi="Arial" w:cs="Arial"/>
          <w:sz w:val="22"/>
          <w:szCs w:val="22"/>
        </w:rPr>
        <w:t xml:space="preserve"> thematic analysis on a</w:t>
      </w:r>
      <w:r w:rsidR="00331980" w:rsidRPr="00980BBE">
        <w:rPr>
          <w:rFonts w:ascii="Arial" w:hAnsi="Arial" w:cs="Arial"/>
          <w:sz w:val="22"/>
          <w:szCs w:val="22"/>
        </w:rPr>
        <w:t xml:space="preserve"> curated</w:t>
      </w:r>
      <w:r w:rsidRPr="00980BBE">
        <w:rPr>
          <w:rFonts w:ascii="Arial" w:hAnsi="Arial" w:cs="Arial"/>
          <w:sz w:val="22"/>
          <w:szCs w:val="22"/>
        </w:rPr>
        <w:t xml:space="preserve"> select</w:t>
      </w:r>
      <w:r w:rsidR="00BA0DB4" w:rsidRPr="00980BBE">
        <w:rPr>
          <w:rFonts w:ascii="Arial" w:hAnsi="Arial" w:cs="Arial"/>
          <w:sz w:val="22"/>
          <w:szCs w:val="22"/>
        </w:rPr>
        <w:t>ion</w:t>
      </w:r>
      <w:r w:rsidRPr="00980BBE">
        <w:rPr>
          <w:rFonts w:ascii="Arial" w:hAnsi="Arial" w:cs="Arial"/>
          <w:sz w:val="22"/>
          <w:szCs w:val="22"/>
        </w:rPr>
        <w:t xml:space="preserve"> of peer-reviewed publications, policy documents, and epidemiological reports. The coding method </w:t>
      </w:r>
      <w:r w:rsidR="00BA0DB4" w:rsidRPr="00980BBE">
        <w:rPr>
          <w:rFonts w:ascii="Arial" w:hAnsi="Arial" w:cs="Arial"/>
          <w:sz w:val="22"/>
          <w:szCs w:val="22"/>
        </w:rPr>
        <w:t>invo</w:t>
      </w:r>
      <w:r w:rsidR="00215F49" w:rsidRPr="00980BBE">
        <w:rPr>
          <w:rFonts w:ascii="Arial" w:hAnsi="Arial" w:cs="Arial"/>
          <w:sz w:val="22"/>
          <w:szCs w:val="22"/>
        </w:rPr>
        <w:t xml:space="preserve">lved systematically identifying recurring concepts </w:t>
      </w:r>
      <w:r w:rsidRPr="00980BBE">
        <w:rPr>
          <w:rFonts w:ascii="Arial" w:hAnsi="Arial" w:cs="Arial"/>
          <w:sz w:val="22"/>
          <w:szCs w:val="22"/>
        </w:rPr>
        <w:t xml:space="preserve">associated with alcohol consumption, deprivation, and dementia onset (Cipriani et al., 2020; Collins, 2016). Codes were </w:t>
      </w:r>
      <w:r w:rsidR="00D00816" w:rsidRPr="00980BBE">
        <w:rPr>
          <w:rFonts w:ascii="Arial" w:hAnsi="Arial" w:cs="Arial"/>
          <w:sz w:val="22"/>
          <w:szCs w:val="22"/>
        </w:rPr>
        <w:t xml:space="preserve">categorised into broader themes and </w:t>
      </w:r>
      <w:r w:rsidR="00A04307" w:rsidRPr="00980BBE">
        <w:rPr>
          <w:rFonts w:ascii="Arial" w:hAnsi="Arial" w:cs="Arial"/>
          <w:sz w:val="22"/>
          <w:szCs w:val="22"/>
        </w:rPr>
        <w:t>iteratively refined</w:t>
      </w:r>
      <w:r w:rsidRPr="00980BBE">
        <w:rPr>
          <w:rFonts w:ascii="Arial" w:hAnsi="Arial" w:cs="Arial"/>
          <w:sz w:val="22"/>
          <w:szCs w:val="22"/>
        </w:rPr>
        <w:t xml:space="preserve">. Chapter 3's results summary table </w:t>
      </w:r>
      <w:r w:rsidR="00A04307" w:rsidRPr="00980BBE">
        <w:rPr>
          <w:rFonts w:ascii="Arial" w:hAnsi="Arial" w:cs="Arial"/>
          <w:sz w:val="22"/>
          <w:szCs w:val="22"/>
        </w:rPr>
        <w:t>illus</w:t>
      </w:r>
      <w:r w:rsidR="008F10DB" w:rsidRPr="00980BBE">
        <w:rPr>
          <w:rFonts w:ascii="Arial" w:hAnsi="Arial" w:cs="Arial"/>
          <w:sz w:val="22"/>
          <w:szCs w:val="22"/>
        </w:rPr>
        <w:t>trates</w:t>
      </w:r>
      <w:r w:rsidR="0057257D" w:rsidRPr="00980BBE">
        <w:rPr>
          <w:rFonts w:ascii="Arial" w:hAnsi="Arial" w:cs="Arial"/>
          <w:sz w:val="22"/>
          <w:szCs w:val="22"/>
        </w:rPr>
        <w:t xml:space="preserve"> how key findings were systematically or</w:t>
      </w:r>
      <w:r w:rsidR="007316E0" w:rsidRPr="00980BBE">
        <w:rPr>
          <w:rFonts w:ascii="Arial" w:hAnsi="Arial" w:cs="Arial"/>
          <w:sz w:val="22"/>
          <w:szCs w:val="22"/>
        </w:rPr>
        <w:t>ganised and synthesised into coherent themes.</w:t>
      </w:r>
    </w:p>
    <w:p w14:paraId="679F6349" w14:textId="7B587883"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 xml:space="preserve">Three primary themes </w:t>
      </w:r>
      <w:r w:rsidR="00C0390A" w:rsidRPr="00980BBE">
        <w:rPr>
          <w:rFonts w:ascii="Arial" w:hAnsi="Arial" w:cs="Arial"/>
          <w:sz w:val="22"/>
          <w:szCs w:val="22"/>
        </w:rPr>
        <w:t>were identified</w:t>
      </w:r>
      <w:r w:rsidRPr="00980BBE">
        <w:rPr>
          <w:rFonts w:ascii="Arial" w:hAnsi="Arial" w:cs="Arial"/>
          <w:sz w:val="22"/>
          <w:szCs w:val="22"/>
        </w:rPr>
        <w:t>: (1) Alcohol-Related Brain Damage and YOD (Zahr, 2024a), (2) Socioeconomic Inequality and Dementia Risk (Marmot, 2020a</w:t>
      </w:r>
      <w:r w:rsidR="003F6527" w:rsidRPr="00980BBE">
        <w:rPr>
          <w:rFonts w:ascii="Arial" w:hAnsi="Arial" w:cs="Arial"/>
          <w:sz w:val="22"/>
          <w:szCs w:val="22"/>
        </w:rPr>
        <w:t xml:space="preserve">) </w:t>
      </w:r>
      <w:r w:rsidRPr="00980BBE">
        <w:rPr>
          <w:rFonts w:ascii="Arial" w:hAnsi="Arial" w:cs="Arial"/>
          <w:sz w:val="22"/>
          <w:szCs w:val="22"/>
        </w:rPr>
        <w:t>and (3) Public Health Policy and Prevention</w:t>
      </w:r>
      <w:r w:rsidR="00FF52AD" w:rsidRPr="00980BBE">
        <w:rPr>
          <w:rFonts w:ascii="Arial" w:hAnsi="Arial" w:cs="Arial"/>
          <w:sz w:val="22"/>
          <w:szCs w:val="22"/>
        </w:rPr>
        <w:t xml:space="preserve"> (World Health Organization 2017 </w:t>
      </w:r>
      <w:r w:rsidRPr="00980BBE">
        <w:rPr>
          <w:rFonts w:ascii="Arial" w:hAnsi="Arial" w:cs="Arial"/>
          <w:sz w:val="22"/>
          <w:szCs w:val="22"/>
        </w:rPr>
        <w:t xml:space="preserve">; Livingston et al., 2020a). The subsequent sections </w:t>
      </w:r>
      <w:r w:rsidR="00C0390A" w:rsidRPr="00980BBE">
        <w:rPr>
          <w:rFonts w:ascii="Arial" w:hAnsi="Arial" w:cs="Arial"/>
          <w:sz w:val="22"/>
          <w:szCs w:val="22"/>
        </w:rPr>
        <w:t xml:space="preserve">critically </w:t>
      </w:r>
      <w:r w:rsidRPr="00980BBE">
        <w:rPr>
          <w:rFonts w:ascii="Arial" w:hAnsi="Arial" w:cs="Arial"/>
          <w:sz w:val="22"/>
          <w:szCs w:val="22"/>
        </w:rPr>
        <w:t xml:space="preserve">examine each, providing a nuanced </w:t>
      </w:r>
      <w:r w:rsidR="00C0390A" w:rsidRPr="00980BBE">
        <w:rPr>
          <w:rFonts w:ascii="Arial" w:hAnsi="Arial" w:cs="Arial"/>
          <w:sz w:val="22"/>
          <w:szCs w:val="22"/>
        </w:rPr>
        <w:t xml:space="preserve">and integrated </w:t>
      </w:r>
      <w:r w:rsidRPr="00980BBE">
        <w:rPr>
          <w:rFonts w:ascii="Arial" w:hAnsi="Arial" w:cs="Arial"/>
          <w:sz w:val="22"/>
          <w:szCs w:val="22"/>
        </w:rPr>
        <w:t>understanding of the interplay between lifestyle, structural disadvantage, and cognitive decline.</w:t>
      </w:r>
    </w:p>
    <w:p w14:paraId="70225BC5" w14:textId="18D99CDC" w:rsidR="009C417A" w:rsidRPr="00980BBE" w:rsidRDefault="009C417A" w:rsidP="001D2D05">
      <w:pPr>
        <w:spacing w:line="360" w:lineRule="auto"/>
        <w:rPr>
          <w:rFonts w:ascii="Arial" w:hAnsi="Arial" w:cs="Arial"/>
          <w:sz w:val="22"/>
          <w:szCs w:val="22"/>
        </w:rPr>
      </w:pPr>
      <w:r w:rsidRPr="00980BBE">
        <w:rPr>
          <w:rFonts w:ascii="Arial" w:hAnsi="Arial" w:cs="Arial"/>
          <w:sz w:val="22"/>
          <w:szCs w:val="22"/>
        </w:rPr>
        <w:lastRenderedPageBreak/>
        <w:t xml:space="preserve">The integration of data from other academic fields, such as social epidemiology, public health, and neuroscience, is also </w:t>
      </w:r>
      <w:r w:rsidR="00C0390A" w:rsidRPr="00980BBE">
        <w:rPr>
          <w:rFonts w:ascii="Arial" w:hAnsi="Arial" w:cs="Arial"/>
          <w:sz w:val="22"/>
          <w:szCs w:val="22"/>
        </w:rPr>
        <w:t>facilitated</w:t>
      </w:r>
      <w:r w:rsidRPr="00980BBE">
        <w:rPr>
          <w:rFonts w:ascii="Arial" w:hAnsi="Arial" w:cs="Arial"/>
          <w:sz w:val="22"/>
          <w:szCs w:val="22"/>
        </w:rPr>
        <w:t xml:space="preserve"> by thematic analysis. When </w:t>
      </w:r>
      <w:r w:rsidR="00311658" w:rsidRPr="00980BBE">
        <w:rPr>
          <w:rFonts w:ascii="Arial" w:hAnsi="Arial" w:cs="Arial"/>
          <w:sz w:val="22"/>
          <w:szCs w:val="22"/>
        </w:rPr>
        <w:t>analysing</w:t>
      </w:r>
      <w:r w:rsidRPr="00980BBE">
        <w:rPr>
          <w:rFonts w:ascii="Arial" w:hAnsi="Arial" w:cs="Arial"/>
          <w:sz w:val="22"/>
          <w:szCs w:val="22"/>
        </w:rPr>
        <w:t xml:space="preserve"> dementia risk, this multidisciplinary approach is especially crucial</w:t>
      </w:r>
      <w:r w:rsidR="00B17C63" w:rsidRPr="00980BBE">
        <w:rPr>
          <w:rFonts w:ascii="Arial" w:hAnsi="Arial" w:cs="Arial"/>
          <w:sz w:val="22"/>
          <w:szCs w:val="22"/>
        </w:rPr>
        <w:t>,</w:t>
      </w:r>
      <w:r w:rsidRPr="00980BBE">
        <w:rPr>
          <w:rFonts w:ascii="Arial" w:hAnsi="Arial" w:cs="Arial"/>
          <w:sz w:val="22"/>
          <w:szCs w:val="22"/>
        </w:rPr>
        <w:t xml:space="preserve"> </w:t>
      </w:r>
      <w:r w:rsidR="00B17C63" w:rsidRPr="00980BBE">
        <w:rPr>
          <w:rFonts w:ascii="Arial" w:hAnsi="Arial" w:cs="Arial"/>
          <w:sz w:val="22"/>
          <w:szCs w:val="22"/>
        </w:rPr>
        <w:t xml:space="preserve">as </w:t>
      </w:r>
      <w:r w:rsidR="00E006AB" w:rsidRPr="00980BBE">
        <w:rPr>
          <w:rFonts w:ascii="Arial" w:hAnsi="Arial" w:cs="Arial"/>
          <w:sz w:val="22"/>
          <w:szCs w:val="22"/>
        </w:rPr>
        <w:t xml:space="preserve">the condition is influenced by multiple interrelated </w:t>
      </w:r>
      <w:r w:rsidR="004C3EEC" w:rsidRPr="00980BBE">
        <w:rPr>
          <w:rFonts w:ascii="Arial" w:hAnsi="Arial" w:cs="Arial"/>
          <w:sz w:val="22"/>
          <w:szCs w:val="22"/>
        </w:rPr>
        <w:t xml:space="preserve">determinants across the life course. </w:t>
      </w:r>
      <w:r w:rsidRPr="00980BBE">
        <w:rPr>
          <w:rFonts w:ascii="Arial" w:hAnsi="Arial" w:cs="Arial"/>
          <w:sz w:val="22"/>
          <w:szCs w:val="22"/>
        </w:rPr>
        <w:t>Thematic analysis</w:t>
      </w:r>
      <w:r w:rsidR="004C3EEC" w:rsidRPr="00980BBE">
        <w:rPr>
          <w:rFonts w:ascii="Arial" w:hAnsi="Arial" w:cs="Arial"/>
          <w:sz w:val="22"/>
          <w:szCs w:val="22"/>
        </w:rPr>
        <w:t xml:space="preserve"> enables a more </w:t>
      </w:r>
      <w:r w:rsidR="002476D2" w:rsidRPr="00980BBE">
        <w:rPr>
          <w:rFonts w:ascii="Arial" w:hAnsi="Arial" w:cs="Arial"/>
          <w:sz w:val="22"/>
          <w:szCs w:val="22"/>
        </w:rPr>
        <w:t xml:space="preserve">comprehensive understanding </w:t>
      </w:r>
      <w:r w:rsidRPr="00980BBE">
        <w:rPr>
          <w:rFonts w:ascii="Arial" w:hAnsi="Arial" w:cs="Arial"/>
          <w:sz w:val="22"/>
          <w:szCs w:val="22"/>
        </w:rPr>
        <w:t xml:space="preserve">of how alcohol </w:t>
      </w:r>
      <w:r w:rsidR="00987DC2" w:rsidRPr="00980BBE">
        <w:rPr>
          <w:rFonts w:ascii="Arial" w:hAnsi="Arial" w:cs="Arial"/>
          <w:sz w:val="22"/>
          <w:szCs w:val="22"/>
        </w:rPr>
        <w:t>misuse</w:t>
      </w:r>
      <w:r w:rsidRPr="00980BBE">
        <w:rPr>
          <w:rFonts w:ascii="Arial" w:hAnsi="Arial" w:cs="Arial"/>
          <w:sz w:val="22"/>
          <w:szCs w:val="22"/>
        </w:rPr>
        <w:t>, social inequality, and policy in</w:t>
      </w:r>
      <w:r w:rsidR="009D4ACC" w:rsidRPr="00980BBE">
        <w:rPr>
          <w:rFonts w:ascii="Arial" w:hAnsi="Arial" w:cs="Arial"/>
          <w:sz w:val="22"/>
          <w:szCs w:val="22"/>
        </w:rPr>
        <w:t>terventions collectively</w:t>
      </w:r>
      <w:r w:rsidR="00E03045" w:rsidRPr="00980BBE">
        <w:rPr>
          <w:rFonts w:ascii="Arial" w:hAnsi="Arial" w:cs="Arial"/>
          <w:sz w:val="22"/>
          <w:szCs w:val="22"/>
        </w:rPr>
        <w:t xml:space="preserve"> shape the incidence and distribution </w:t>
      </w:r>
      <w:r w:rsidR="00987DC2" w:rsidRPr="00980BBE">
        <w:rPr>
          <w:rFonts w:ascii="Arial" w:hAnsi="Arial" w:cs="Arial"/>
          <w:sz w:val="22"/>
          <w:szCs w:val="22"/>
        </w:rPr>
        <w:t>of</w:t>
      </w:r>
      <w:r w:rsidRPr="00980BBE">
        <w:rPr>
          <w:rFonts w:ascii="Arial" w:hAnsi="Arial" w:cs="Arial"/>
          <w:sz w:val="22"/>
          <w:szCs w:val="22"/>
        </w:rPr>
        <w:t xml:space="preserve"> young-onset dementia by </w:t>
      </w:r>
      <w:r w:rsidR="00987DC2" w:rsidRPr="00980BBE">
        <w:rPr>
          <w:rFonts w:ascii="Arial" w:hAnsi="Arial" w:cs="Arial"/>
          <w:sz w:val="22"/>
          <w:szCs w:val="22"/>
        </w:rPr>
        <w:t>identifying recurring</w:t>
      </w:r>
      <w:r w:rsidR="00F028B6" w:rsidRPr="00980BBE">
        <w:rPr>
          <w:rFonts w:ascii="Arial" w:hAnsi="Arial" w:cs="Arial"/>
          <w:sz w:val="22"/>
          <w:szCs w:val="22"/>
        </w:rPr>
        <w:t xml:space="preserve"> patterns across the literature.</w:t>
      </w:r>
    </w:p>
    <w:p w14:paraId="61BCE3A9" w14:textId="3E6EEDB3" w:rsidR="00735909" w:rsidRPr="00266F7A" w:rsidRDefault="00735909" w:rsidP="00856ACC">
      <w:pPr>
        <w:pStyle w:val="Heading1"/>
        <w:rPr>
          <w:rFonts w:ascii="Arial" w:hAnsi="Arial" w:cs="Arial"/>
          <w:b/>
          <w:bCs/>
          <w:color w:val="auto"/>
          <w:sz w:val="28"/>
          <w:szCs w:val="28"/>
          <w:u w:val="single"/>
        </w:rPr>
      </w:pPr>
      <w:bookmarkStart w:id="34" w:name="_Toc225966627"/>
      <w:r w:rsidRPr="00266F7A">
        <w:rPr>
          <w:rFonts w:ascii="Arial" w:hAnsi="Arial" w:cs="Arial"/>
          <w:b/>
          <w:bCs/>
          <w:color w:val="auto"/>
          <w:sz w:val="28"/>
          <w:szCs w:val="28"/>
          <w:u w:val="single"/>
        </w:rPr>
        <w:t>Theme 1: Alcohol-Related Brain Damage and Young-Onset Dementia</w:t>
      </w:r>
      <w:bookmarkEnd w:id="34"/>
    </w:p>
    <w:p w14:paraId="2676A4D6" w14:textId="77777777" w:rsidR="00735909" w:rsidRPr="00266F7A" w:rsidRDefault="00735909" w:rsidP="00856ACC">
      <w:pPr>
        <w:pStyle w:val="Heading1"/>
        <w:rPr>
          <w:rFonts w:ascii="Arial" w:hAnsi="Arial" w:cs="Arial"/>
          <w:b/>
          <w:bCs/>
          <w:color w:val="auto"/>
          <w:sz w:val="28"/>
          <w:szCs w:val="28"/>
          <w:u w:val="single"/>
        </w:rPr>
      </w:pPr>
      <w:bookmarkStart w:id="35" w:name="_Toc225966628"/>
      <w:r w:rsidRPr="00266F7A">
        <w:rPr>
          <w:rFonts w:ascii="Arial" w:hAnsi="Arial" w:cs="Arial"/>
          <w:b/>
          <w:bCs/>
          <w:color w:val="auto"/>
          <w:sz w:val="28"/>
          <w:szCs w:val="28"/>
          <w:u w:val="single"/>
        </w:rPr>
        <w:t>Definition</w:t>
      </w:r>
      <w:bookmarkEnd w:id="35"/>
    </w:p>
    <w:p w14:paraId="55CC6AB0" w14:textId="1AF08091" w:rsidR="004F2091" w:rsidRPr="00980BBE" w:rsidRDefault="007E5D72" w:rsidP="001D2D05">
      <w:pPr>
        <w:spacing w:line="360" w:lineRule="auto"/>
        <w:rPr>
          <w:rFonts w:ascii="Arial" w:hAnsi="Arial" w:cs="Arial"/>
          <w:b/>
          <w:bCs/>
          <w:sz w:val="22"/>
          <w:szCs w:val="22"/>
          <w:u w:val="single"/>
        </w:rPr>
      </w:pPr>
      <w:r w:rsidRPr="00980BBE">
        <w:rPr>
          <w:rFonts w:ascii="Arial" w:hAnsi="Arial" w:cs="Arial"/>
          <w:sz w:val="22"/>
          <w:szCs w:val="22"/>
        </w:rPr>
        <w:t>A spectrum of cognitive deficits resulting from pro</w:t>
      </w:r>
      <w:r w:rsidR="00A02903" w:rsidRPr="00980BBE">
        <w:rPr>
          <w:rFonts w:ascii="Arial" w:hAnsi="Arial" w:cs="Arial"/>
          <w:sz w:val="22"/>
          <w:szCs w:val="22"/>
        </w:rPr>
        <w:t>longed, excessive alcohol con</w:t>
      </w:r>
      <w:r w:rsidR="001034A4" w:rsidRPr="00980BBE">
        <w:rPr>
          <w:rFonts w:ascii="Arial" w:hAnsi="Arial" w:cs="Arial"/>
          <w:sz w:val="22"/>
          <w:szCs w:val="22"/>
        </w:rPr>
        <w:t>sumption is collectively termed Alcohol</w:t>
      </w:r>
      <w:r w:rsidR="00D428AC" w:rsidRPr="00980BBE">
        <w:rPr>
          <w:rFonts w:ascii="Arial" w:hAnsi="Arial" w:cs="Arial"/>
          <w:sz w:val="22"/>
          <w:szCs w:val="22"/>
        </w:rPr>
        <w:t xml:space="preserve">-Related Brain Damage (ARBD). This </w:t>
      </w:r>
      <w:r w:rsidR="00F841A7" w:rsidRPr="00980BBE">
        <w:rPr>
          <w:rFonts w:ascii="Arial" w:hAnsi="Arial" w:cs="Arial"/>
          <w:sz w:val="22"/>
          <w:szCs w:val="22"/>
        </w:rPr>
        <w:t>encompasses alcohol -induced</w:t>
      </w:r>
      <w:r w:rsidR="00F841A7" w:rsidRPr="00980BBE">
        <w:rPr>
          <w:rFonts w:ascii="Arial" w:hAnsi="Arial" w:cs="Arial"/>
          <w:b/>
          <w:bCs/>
          <w:sz w:val="22"/>
          <w:szCs w:val="22"/>
          <w:u w:val="single"/>
        </w:rPr>
        <w:t xml:space="preserve"> </w:t>
      </w:r>
      <w:r w:rsidR="004F2091" w:rsidRPr="00980BBE">
        <w:rPr>
          <w:rFonts w:ascii="Arial" w:hAnsi="Arial" w:cs="Arial"/>
          <w:sz w:val="22"/>
          <w:szCs w:val="22"/>
        </w:rPr>
        <w:t xml:space="preserve">neurocognitive impairment, alcoholic dementia, and Wernicke-Korsakoff syndrome (Zahr, 2024a; Gupta and Warner, 2008a). While thiamine deficiency and alcohol's direct neurotoxic effects </w:t>
      </w:r>
      <w:r w:rsidR="00AC5906" w:rsidRPr="00980BBE">
        <w:rPr>
          <w:rFonts w:ascii="Arial" w:hAnsi="Arial" w:cs="Arial"/>
          <w:sz w:val="22"/>
          <w:szCs w:val="22"/>
        </w:rPr>
        <w:t xml:space="preserve">of ethanol </w:t>
      </w:r>
      <w:r w:rsidR="004F2091" w:rsidRPr="00980BBE">
        <w:rPr>
          <w:rFonts w:ascii="Arial" w:hAnsi="Arial" w:cs="Arial"/>
          <w:sz w:val="22"/>
          <w:szCs w:val="22"/>
        </w:rPr>
        <w:t xml:space="preserve">on </w:t>
      </w:r>
      <w:r w:rsidR="000305D3" w:rsidRPr="00980BBE">
        <w:rPr>
          <w:rFonts w:ascii="Arial" w:hAnsi="Arial" w:cs="Arial"/>
          <w:sz w:val="22"/>
          <w:szCs w:val="22"/>
        </w:rPr>
        <w:t xml:space="preserve">neuronal structures </w:t>
      </w:r>
      <w:r w:rsidR="004F2091" w:rsidRPr="00980BBE">
        <w:rPr>
          <w:rFonts w:ascii="Arial" w:hAnsi="Arial" w:cs="Arial"/>
          <w:sz w:val="22"/>
          <w:szCs w:val="22"/>
        </w:rPr>
        <w:t xml:space="preserve">are </w:t>
      </w:r>
      <w:r w:rsidR="000305D3" w:rsidRPr="00980BBE">
        <w:rPr>
          <w:rFonts w:ascii="Arial" w:hAnsi="Arial" w:cs="Arial"/>
          <w:sz w:val="22"/>
          <w:szCs w:val="22"/>
        </w:rPr>
        <w:t>well-established</w:t>
      </w:r>
      <w:r w:rsidR="00FE670A" w:rsidRPr="00980BBE">
        <w:rPr>
          <w:rFonts w:ascii="Arial" w:hAnsi="Arial" w:cs="Arial"/>
          <w:sz w:val="22"/>
          <w:szCs w:val="22"/>
        </w:rPr>
        <w:t xml:space="preserve"> mechanisms, ARBD is </w:t>
      </w:r>
      <w:r w:rsidR="00CF0593" w:rsidRPr="00980BBE">
        <w:rPr>
          <w:rFonts w:ascii="Arial" w:hAnsi="Arial" w:cs="Arial"/>
          <w:sz w:val="22"/>
          <w:szCs w:val="22"/>
        </w:rPr>
        <w:t xml:space="preserve">distinguished from other </w:t>
      </w:r>
      <w:r w:rsidR="009B4A8F" w:rsidRPr="00980BBE">
        <w:rPr>
          <w:rFonts w:ascii="Arial" w:hAnsi="Arial" w:cs="Arial"/>
          <w:sz w:val="22"/>
          <w:szCs w:val="22"/>
        </w:rPr>
        <w:t xml:space="preserve">neurodegenerative dementias in term of onset </w:t>
      </w:r>
      <w:r w:rsidR="00955DC4" w:rsidRPr="00980BBE">
        <w:rPr>
          <w:rFonts w:ascii="Arial" w:hAnsi="Arial" w:cs="Arial"/>
          <w:sz w:val="22"/>
          <w:szCs w:val="22"/>
        </w:rPr>
        <w:t>progression, and potential reversibil</w:t>
      </w:r>
      <w:r w:rsidR="000E33D6" w:rsidRPr="00980BBE">
        <w:rPr>
          <w:rFonts w:ascii="Arial" w:hAnsi="Arial" w:cs="Arial"/>
          <w:sz w:val="22"/>
          <w:szCs w:val="22"/>
        </w:rPr>
        <w:t xml:space="preserve">ity. </w:t>
      </w:r>
      <w:r w:rsidR="004F2091" w:rsidRPr="00980BBE">
        <w:rPr>
          <w:rFonts w:ascii="Arial" w:hAnsi="Arial" w:cs="Arial"/>
          <w:sz w:val="22"/>
          <w:szCs w:val="22"/>
        </w:rPr>
        <w:t xml:space="preserve">Unlike other dementias, which </w:t>
      </w:r>
      <w:r w:rsidR="00263C56" w:rsidRPr="00980BBE">
        <w:rPr>
          <w:rFonts w:ascii="Arial" w:hAnsi="Arial" w:cs="Arial"/>
          <w:sz w:val="22"/>
          <w:szCs w:val="22"/>
        </w:rPr>
        <w:t>typically demonstrate a progressive trajectory, A</w:t>
      </w:r>
      <w:r w:rsidR="002777A2" w:rsidRPr="00980BBE">
        <w:rPr>
          <w:rFonts w:ascii="Arial" w:hAnsi="Arial" w:cs="Arial"/>
          <w:sz w:val="22"/>
          <w:szCs w:val="22"/>
        </w:rPr>
        <w:t xml:space="preserve">RBD is a particular concern because certain deficits may be partially ameliorated with timely interventions. </w:t>
      </w:r>
    </w:p>
    <w:p w14:paraId="09EE9942" w14:textId="40CC541E" w:rsidR="009B0311" w:rsidRPr="00980BBE" w:rsidRDefault="002777A2" w:rsidP="001D2D05">
      <w:pPr>
        <w:spacing w:line="360" w:lineRule="auto"/>
        <w:rPr>
          <w:rFonts w:ascii="Arial" w:hAnsi="Arial" w:cs="Arial"/>
          <w:sz w:val="22"/>
          <w:szCs w:val="22"/>
        </w:rPr>
      </w:pPr>
      <w:r w:rsidRPr="00980BBE">
        <w:rPr>
          <w:rFonts w:ascii="Arial" w:hAnsi="Arial" w:cs="Arial"/>
          <w:sz w:val="22"/>
          <w:szCs w:val="22"/>
        </w:rPr>
        <w:t xml:space="preserve">Nevertheless, </w:t>
      </w:r>
      <w:r w:rsidR="006735D5" w:rsidRPr="00980BBE">
        <w:rPr>
          <w:rFonts w:ascii="Arial" w:hAnsi="Arial" w:cs="Arial"/>
          <w:sz w:val="22"/>
          <w:szCs w:val="22"/>
        </w:rPr>
        <w:t xml:space="preserve">heterogeneity in diagnostic criteria and variability in reporting methods across </w:t>
      </w:r>
      <w:r w:rsidR="00556C28" w:rsidRPr="00980BBE">
        <w:rPr>
          <w:rFonts w:ascii="Arial" w:hAnsi="Arial" w:cs="Arial"/>
          <w:sz w:val="22"/>
          <w:szCs w:val="22"/>
        </w:rPr>
        <w:t>epidemiological studies constrain in comparability of pre</w:t>
      </w:r>
      <w:r w:rsidR="00D11C9A" w:rsidRPr="00980BBE">
        <w:rPr>
          <w:rFonts w:ascii="Arial" w:hAnsi="Arial" w:cs="Arial"/>
          <w:sz w:val="22"/>
          <w:szCs w:val="22"/>
        </w:rPr>
        <w:t>valence estimates, indicating that the true impact of alcohol</w:t>
      </w:r>
      <w:r w:rsidR="00486846" w:rsidRPr="00980BBE">
        <w:rPr>
          <w:rFonts w:ascii="Arial" w:hAnsi="Arial" w:cs="Arial"/>
          <w:sz w:val="22"/>
          <w:szCs w:val="22"/>
        </w:rPr>
        <w:t>-related brain damage on young</w:t>
      </w:r>
      <w:r w:rsidR="00FE0CCE" w:rsidRPr="00980BBE">
        <w:rPr>
          <w:rFonts w:ascii="Arial" w:hAnsi="Arial" w:cs="Arial"/>
          <w:sz w:val="22"/>
          <w:szCs w:val="22"/>
        </w:rPr>
        <w:t>-</w:t>
      </w:r>
      <w:r w:rsidR="00486846" w:rsidRPr="00980BBE">
        <w:rPr>
          <w:rFonts w:ascii="Arial" w:hAnsi="Arial" w:cs="Arial"/>
          <w:sz w:val="22"/>
          <w:szCs w:val="22"/>
        </w:rPr>
        <w:t xml:space="preserve">onset </w:t>
      </w:r>
      <w:r w:rsidR="00FE0CCE" w:rsidRPr="00980BBE">
        <w:rPr>
          <w:rFonts w:ascii="Arial" w:hAnsi="Arial" w:cs="Arial"/>
          <w:sz w:val="22"/>
          <w:szCs w:val="22"/>
        </w:rPr>
        <w:t xml:space="preserve">dementia may be under-or overestimated in current literature. </w:t>
      </w:r>
    </w:p>
    <w:p w14:paraId="03B264C4" w14:textId="17479E49" w:rsidR="0096774F" w:rsidRPr="00980BBE" w:rsidRDefault="00373246" w:rsidP="001D2D05">
      <w:pPr>
        <w:spacing w:line="360" w:lineRule="auto"/>
        <w:rPr>
          <w:rFonts w:ascii="Arial" w:hAnsi="Arial" w:cs="Arial"/>
          <w:sz w:val="22"/>
          <w:szCs w:val="22"/>
        </w:rPr>
      </w:pPr>
      <w:r w:rsidRPr="00980BBE">
        <w:rPr>
          <w:rFonts w:ascii="Arial" w:hAnsi="Arial" w:cs="Arial"/>
          <w:sz w:val="22"/>
          <w:szCs w:val="22"/>
        </w:rPr>
        <w:t>Owing</w:t>
      </w:r>
      <w:r w:rsidR="0096774F" w:rsidRPr="00980BBE">
        <w:rPr>
          <w:rFonts w:ascii="Arial" w:hAnsi="Arial" w:cs="Arial"/>
          <w:sz w:val="22"/>
          <w:szCs w:val="22"/>
        </w:rPr>
        <w:t xml:space="preserve"> to atypical clinical presentations, delayed diagnosis, and social stigma, dementia </w:t>
      </w:r>
      <w:r w:rsidR="0040342C" w:rsidRPr="00980BBE">
        <w:rPr>
          <w:rFonts w:ascii="Arial" w:hAnsi="Arial" w:cs="Arial"/>
          <w:sz w:val="22"/>
          <w:szCs w:val="22"/>
        </w:rPr>
        <w:t>occurring</w:t>
      </w:r>
      <w:r w:rsidR="0096774F" w:rsidRPr="00980BBE">
        <w:rPr>
          <w:rFonts w:ascii="Arial" w:hAnsi="Arial" w:cs="Arial"/>
          <w:sz w:val="22"/>
          <w:szCs w:val="22"/>
        </w:rPr>
        <w:t xml:space="preserve"> before the age of 65 is </w:t>
      </w:r>
      <w:r w:rsidR="0020603F" w:rsidRPr="00980BBE">
        <w:rPr>
          <w:rFonts w:ascii="Arial" w:hAnsi="Arial" w:cs="Arial"/>
          <w:sz w:val="22"/>
          <w:szCs w:val="22"/>
        </w:rPr>
        <w:t>classified</w:t>
      </w:r>
      <w:r w:rsidR="0096774F" w:rsidRPr="00980BBE">
        <w:rPr>
          <w:rFonts w:ascii="Arial" w:hAnsi="Arial" w:cs="Arial"/>
          <w:sz w:val="22"/>
          <w:szCs w:val="22"/>
        </w:rPr>
        <w:t xml:space="preserve"> as young-onset dementia (YOD), which p</w:t>
      </w:r>
      <w:r w:rsidR="0020603F" w:rsidRPr="00980BBE">
        <w:rPr>
          <w:rFonts w:ascii="Arial" w:hAnsi="Arial" w:cs="Arial"/>
          <w:sz w:val="22"/>
          <w:szCs w:val="22"/>
        </w:rPr>
        <w:t>resents</w:t>
      </w:r>
      <w:r w:rsidR="0040342C" w:rsidRPr="00980BBE">
        <w:rPr>
          <w:rFonts w:ascii="Arial" w:hAnsi="Arial" w:cs="Arial"/>
          <w:sz w:val="22"/>
          <w:szCs w:val="22"/>
        </w:rPr>
        <w:t xml:space="preserve"> significant clinical and social challenges</w:t>
      </w:r>
      <w:r w:rsidR="0096774F" w:rsidRPr="00980BBE">
        <w:rPr>
          <w:rFonts w:ascii="Arial" w:hAnsi="Arial" w:cs="Arial"/>
          <w:sz w:val="22"/>
          <w:szCs w:val="22"/>
        </w:rPr>
        <w:t xml:space="preserve"> (Dementia UK, 2023a). Chronic alcohol </w:t>
      </w:r>
      <w:r w:rsidR="0040342C" w:rsidRPr="00980BBE">
        <w:rPr>
          <w:rFonts w:ascii="Arial" w:hAnsi="Arial" w:cs="Arial"/>
          <w:sz w:val="22"/>
          <w:szCs w:val="22"/>
        </w:rPr>
        <w:t>consum</w:t>
      </w:r>
      <w:r w:rsidR="00BD596E" w:rsidRPr="00980BBE">
        <w:rPr>
          <w:rFonts w:ascii="Arial" w:hAnsi="Arial" w:cs="Arial"/>
          <w:sz w:val="22"/>
          <w:szCs w:val="22"/>
        </w:rPr>
        <w:t>ption</w:t>
      </w:r>
      <w:r w:rsidR="0096774F" w:rsidRPr="00980BBE">
        <w:rPr>
          <w:rFonts w:ascii="Arial" w:hAnsi="Arial" w:cs="Arial"/>
          <w:sz w:val="22"/>
          <w:szCs w:val="22"/>
        </w:rPr>
        <w:t xml:space="preserve"> and other </w:t>
      </w:r>
      <w:r w:rsidR="00BD596E" w:rsidRPr="00980BBE">
        <w:rPr>
          <w:rFonts w:ascii="Arial" w:hAnsi="Arial" w:cs="Arial"/>
          <w:sz w:val="22"/>
          <w:szCs w:val="22"/>
        </w:rPr>
        <w:t xml:space="preserve">modifiable </w:t>
      </w:r>
      <w:r w:rsidR="0096774F" w:rsidRPr="00980BBE">
        <w:rPr>
          <w:rFonts w:ascii="Arial" w:hAnsi="Arial" w:cs="Arial"/>
          <w:sz w:val="22"/>
          <w:szCs w:val="22"/>
        </w:rPr>
        <w:t xml:space="preserve">lifestyle factors have been identified as </w:t>
      </w:r>
      <w:r w:rsidR="00BD596E" w:rsidRPr="00980BBE">
        <w:rPr>
          <w:rFonts w:ascii="Arial" w:hAnsi="Arial" w:cs="Arial"/>
          <w:sz w:val="22"/>
          <w:szCs w:val="22"/>
        </w:rPr>
        <w:t xml:space="preserve">prominent </w:t>
      </w:r>
      <w:r w:rsidR="0091286D" w:rsidRPr="00980BBE">
        <w:rPr>
          <w:rFonts w:ascii="Arial" w:hAnsi="Arial" w:cs="Arial"/>
          <w:sz w:val="22"/>
          <w:szCs w:val="22"/>
        </w:rPr>
        <w:t xml:space="preserve">risk factors for </w:t>
      </w:r>
      <w:r w:rsidR="0096774F" w:rsidRPr="00980BBE">
        <w:rPr>
          <w:rFonts w:ascii="Arial" w:hAnsi="Arial" w:cs="Arial"/>
          <w:sz w:val="22"/>
          <w:szCs w:val="22"/>
        </w:rPr>
        <w:t xml:space="preserve">YOD, particularly </w:t>
      </w:r>
      <w:r w:rsidR="0091286D" w:rsidRPr="00980BBE">
        <w:rPr>
          <w:rFonts w:ascii="Arial" w:hAnsi="Arial" w:cs="Arial"/>
          <w:sz w:val="22"/>
          <w:szCs w:val="22"/>
        </w:rPr>
        <w:t>among</w:t>
      </w:r>
      <w:r w:rsidR="0096774F" w:rsidRPr="00980BBE">
        <w:rPr>
          <w:rFonts w:ascii="Arial" w:hAnsi="Arial" w:cs="Arial"/>
          <w:sz w:val="22"/>
          <w:szCs w:val="22"/>
        </w:rPr>
        <w:t xml:space="preserve"> socioeconomically disadvantaged populations where heavy drinking is more </w:t>
      </w:r>
      <w:r w:rsidR="0091286D" w:rsidRPr="00980BBE">
        <w:rPr>
          <w:rFonts w:ascii="Arial" w:hAnsi="Arial" w:cs="Arial"/>
          <w:sz w:val="22"/>
          <w:szCs w:val="22"/>
        </w:rPr>
        <w:t>p</w:t>
      </w:r>
      <w:r w:rsidR="00D53684" w:rsidRPr="00980BBE">
        <w:rPr>
          <w:rFonts w:ascii="Arial" w:hAnsi="Arial" w:cs="Arial"/>
          <w:sz w:val="22"/>
          <w:szCs w:val="22"/>
        </w:rPr>
        <w:t>revalent and early interventions is less accessible</w:t>
      </w:r>
      <w:r w:rsidR="0096774F" w:rsidRPr="00980BBE">
        <w:rPr>
          <w:rFonts w:ascii="Arial" w:hAnsi="Arial" w:cs="Arial"/>
          <w:sz w:val="22"/>
          <w:szCs w:val="22"/>
        </w:rPr>
        <w:t xml:space="preserve"> (Collins, 2016b; Thompson and Pirmohamed, 2021a).</w:t>
      </w:r>
    </w:p>
    <w:p w14:paraId="0EA3D266" w14:textId="77777777" w:rsidR="00735909" w:rsidRPr="00266F7A" w:rsidRDefault="00735909" w:rsidP="00856ACC">
      <w:pPr>
        <w:pStyle w:val="Heading1"/>
        <w:rPr>
          <w:rFonts w:ascii="Arial" w:hAnsi="Arial" w:cs="Arial"/>
          <w:b/>
          <w:bCs/>
          <w:color w:val="auto"/>
          <w:sz w:val="28"/>
          <w:szCs w:val="28"/>
          <w:u w:val="single"/>
        </w:rPr>
      </w:pPr>
      <w:bookmarkStart w:id="36" w:name="_Toc225966629"/>
      <w:r w:rsidRPr="00266F7A">
        <w:rPr>
          <w:rFonts w:ascii="Arial" w:hAnsi="Arial" w:cs="Arial"/>
          <w:b/>
          <w:bCs/>
          <w:color w:val="auto"/>
          <w:sz w:val="28"/>
          <w:szCs w:val="28"/>
          <w:u w:val="single"/>
        </w:rPr>
        <w:t>Historical and Contextual Background</w:t>
      </w:r>
      <w:bookmarkEnd w:id="36"/>
    </w:p>
    <w:p w14:paraId="3DCB42A2" w14:textId="3073CDAD"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 xml:space="preserve">Historically, </w:t>
      </w:r>
      <w:r w:rsidR="006512E6" w:rsidRPr="00980BBE">
        <w:rPr>
          <w:rFonts w:ascii="Arial" w:hAnsi="Arial" w:cs="Arial"/>
          <w:sz w:val="22"/>
          <w:szCs w:val="22"/>
        </w:rPr>
        <w:t>Alcohol-Related Brain Damage</w:t>
      </w:r>
      <w:r w:rsidR="007B6635" w:rsidRPr="00980BBE">
        <w:rPr>
          <w:rFonts w:ascii="Arial" w:hAnsi="Arial" w:cs="Arial"/>
          <w:sz w:val="22"/>
          <w:szCs w:val="22"/>
        </w:rPr>
        <w:t xml:space="preserve"> (</w:t>
      </w:r>
      <w:r w:rsidRPr="00980BBE">
        <w:rPr>
          <w:rFonts w:ascii="Arial" w:hAnsi="Arial" w:cs="Arial"/>
          <w:sz w:val="22"/>
          <w:szCs w:val="22"/>
        </w:rPr>
        <w:t>ARBD</w:t>
      </w:r>
      <w:r w:rsidR="007B6635" w:rsidRPr="00980BBE">
        <w:rPr>
          <w:rFonts w:ascii="Arial" w:hAnsi="Arial" w:cs="Arial"/>
          <w:sz w:val="22"/>
          <w:szCs w:val="22"/>
        </w:rPr>
        <w:t>)</w:t>
      </w:r>
      <w:r w:rsidRPr="00980BBE">
        <w:rPr>
          <w:rFonts w:ascii="Arial" w:hAnsi="Arial" w:cs="Arial"/>
          <w:sz w:val="22"/>
          <w:szCs w:val="22"/>
        </w:rPr>
        <w:t xml:space="preserve"> was under-recognized and often misdiagnosed as depression or age-related cognitive decline, </w:t>
      </w:r>
      <w:r w:rsidR="007B6635" w:rsidRPr="00980BBE">
        <w:rPr>
          <w:rFonts w:ascii="Arial" w:hAnsi="Arial" w:cs="Arial"/>
          <w:sz w:val="22"/>
          <w:szCs w:val="22"/>
        </w:rPr>
        <w:t>resulting</w:t>
      </w:r>
      <w:r w:rsidRPr="00980BBE">
        <w:rPr>
          <w:rFonts w:ascii="Arial" w:hAnsi="Arial" w:cs="Arial"/>
          <w:sz w:val="22"/>
          <w:szCs w:val="22"/>
        </w:rPr>
        <w:t xml:space="preserve"> </w:t>
      </w:r>
      <w:r w:rsidR="008123B2" w:rsidRPr="00980BBE">
        <w:rPr>
          <w:rFonts w:ascii="Arial" w:hAnsi="Arial" w:cs="Arial"/>
          <w:sz w:val="22"/>
          <w:szCs w:val="22"/>
        </w:rPr>
        <w:t xml:space="preserve">in </w:t>
      </w:r>
      <w:r w:rsidRPr="00980BBE">
        <w:rPr>
          <w:rFonts w:ascii="Arial" w:hAnsi="Arial" w:cs="Arial"/>
          <w:sz w:val="22"/>
          <w:szCs w:val="22"/>
        </w:rPr>
        <w:t xml:space="preserve">missed treatment </w:t>
      </w:r>
      <w:r w:rsidRPr="00980BBE">
        <w:rPr>
          <w:rFonts w:ascii="Arial" w:hAnsi="Arial" w:cs="Arial"/>
          <w:sz w:val="22"/>
          <w:szCs w:val="22"/>
        </w:rPr>
        <w:lastRenderedPageBreak/>
        <w:t xml:space="preserve">opportunities and inappropriate </w:t>
      </w:r>
      <w:r w:rsidR="008123B2" w:rsidRPr="00980BBE">
        <w:rPr>
          <w:rFonts w:ascii="Arial" w:hAnsi="Arial" w:cs="Arial"/>
          <w:sz w:val="22"/>
          <w:szCs w:val="22"/>
        </w:rPr>
        <w:t xml:space="preserve">clinical </w:t>
      </w:r>
      <w:r w:rsidRPr="00980BBE">
        <w:rPr>
          <w:rFonts w:ascii="Arial" w:hAnsi="Arial" w:cs="Arial"/>
          <w:sz w:val="22"/>
          <w:szCs w:val="22"/>
        </w:rPr>
        <w:t xml:space="preserve">care (Macrae and Cox, 2003). </w:t>
      </w:r>
      <w:r w:rsidR="008123B2" w:rsidRPr="00980BBE">
        <w:rPr>
          <w:rFonts w:ascii="Arial" w:hAnsi="Arial" w:cs="Arial"/>
          <w:sz w:val="22"/>
          <w:szCs w:val="22"/>
        </w:rPr>
        <w:t>The s</w:t>
      </w:r>
      <w:r w:rsidRPr="00980BBE">
        <w:rPr>
          <w:rFonts w:ascii="Arial" w:hAnsi="Arial" w:cs="Arial"/>
          <w:sz w:val="22"/>
          <w:szCs w:val="22"/>
        </w:rPr>
        <w:t xml:space="preserve">tigma </w:t>
      </w:r>
      <w:r w:rsidR="00B96BA6" w:rsidRPr="00980BBE">
        <w:rPr>
          <w:rFonts w:ascii="Arial" w:hAnsi="Arial" w:cs="Arial"/>
          <w:sz w:val="22"/>
          <w:szCs w:val="22"/>
        </w:rPr>
        <w:t>associated with</w:t>
      </w:r>
      <w:r w:rsidRPr="00980BBE">
        <w:rPr>
          <w:rFonts w:ascii="Arial" w:hAnsi="Arial" w:cs="Arial"/>
          <w:sz w:val="22"/>
          <w:szCs w:val="22"/>
        </w:rPr>
        <w:t xml:space="preserve"> alcohol use </w:t>
      </w:r>
      <w:r w:rsidR="00B96BA6" w:rsidRPr="00980BBE">
        <w:rPr>
          <w:rFonts w:ascii="Arial" w:hAnsi="Arial" w:cs="Arial"/>
          <w:sz w:val="22"/>
          <w:szCs w:val="22"/>
        </w:rPr>
        <w:t>further</w:t>
      </w:r>
      <w:r w:rsidR="008806BB" w:rsidRPr="00980BBE">
        <w:rPr>
          <w:rFonts w:ascii="Arial" w:hAnsi="Arial" w:cs="Arial"/>
          <w:sz w:val="22"/>
          <w:szCs w:val="22"/>
        </w:rPr>
        <w:t xml:space="preserve"> </w:t>
      </w:r>
      <w:r w:rsidRPr="00980BBE">
        <w:rPr>
          <w:rFonts w:ascii="Arial" w:hAnsi="Arial" w:cs="Arial"/>
          <w:sz w:val="22"/>
          <w:szCs w:val="22"/>
        </w:rPr>
        <w:t xml:space="preserve">exacerbated diagnostic delays, as individuals often underreported </w:t>
      </w:r>
      <w:r w:rsidR="008B5EA5" w:rsidRPr="00980BBE">
        <w:rPr>
          <w:rFonts w:ascii="Arial" w:hAnsi="Arial" w:cs="Arial"/>
          <w:sz w:val="22"/>
          <w:szCs w:val="22"/>
        </w:rPr>
        <w:t xml:space="preserve">consumption patterns </w:t>
      </w:r>
      <w:r w:rsidRPr="00980BBE">
        <w:rPr>
          <w:rFonts w:ascii="Arial" w:hAnsi="Arial" w:cs="Arial"/>
          <w:sz w:val="22"/>
          <w:szCs w:val="22"/>
        </w:rPr>
        <w:t>(Gupta and Warner, 2008</w:t>
      </w:r>
      <w:r w:rsidR="007A5F76" w:rsidRPr="00980BBE">
        <w:rPr>
          <w:rFonts w:ascii="Arial" w:hAnsi="Arial" w:cs="Arial"/>
          <w:sz w:val="22"/>
          <w:szCs w:val="22"/>
        </w:rPr>
        <w:t>b</w:t>
      </w:r>
      <w:r w:rsidRPr="00980BBE">
        <w:rPr>
          <w:rFonts w:ascii="Arial" w:hAnsi="Arial" w:cs="Arial"/>
          <w:sz w:val="22"/>
          <w:szCs w:val="22"/>
        </w:rPr>
        <w:t xml:space="preserve">). Advances in neuroimaging, neuropsychological assessments, and updated diagnostic criteria have </w:t>
      </w:r>
      <w:r w:rsidR="00497D7E" w:rsidRPr="00980BBE">
        <w:rPr>
          <w:rFonts w:ascii="Arial" w:hAnsi="Arial" w:cs="Arial"/>
          <w:sz w:val="22"/>
          <w:szCs w:val="22"/>
        </w:rPr>
        <w:t>enhanced</w:t>
      </w:r>
      <w:r w:rsidRPr="00980BBE">
        <w:rPr>
          <w:rFonts w:ascii="Arial" w:hAnsi="Arial" w:cs="Arial"/>
          <w:sz w:val="22"/>
          <w:szCs w:val="22"/>
        </w:rPr>
        <w:t xml:space="preserve"> ARBD recognition, although </w:t>
      </w:r>
      <w:r w:rsidR="003A2816" w:rsidRPr="00980BBE">
        <w:rPr>
          <w:rFonts w:ascii="Arial" w:hAnsi="Arial" w:cs="Arial"/>
          <w:sz w:val="22"/>
          <w:szCs w:val="22"/>
        </w:rPr>
        <w:t xml:space="preserve">symptoms </w:t>
      </w:r>
      <w:r w:rsidRPr="00980BBE">
        <w:rPr>
          <w:rFonts w:ascii="Arial" w:hAnsi="Arial" w:cs="Arial"/>
          <w:sz w:val="22"/>
          <w:szCs w:val="22"/>
        </w:rPr>
        <w:t>overlap symptoms with other dementias continue</w:t>
      </w:r>
      <w:r w:rsidR="003A2816" w:rsidRPr="00980BBE">
        <w:rPr>
          <w:rFonts w:ascii="Arial" w:hAnsi="Arial" w:cs="Arial"/>
          <w:sz w:val="22"/>
          <w:szCs w:val="22"/>
        </w:rPr>
        <w:t>s</w:t>
      </w:r>
      <w:r w:rsidRPr="00980BBE">
        <w:rPr>
          <w:rFonts w:ascii="Arial" w:hAnsi="Arial" w:cs="Arial"/>
          <w:sz w:val="22"/>
          <w:szCs w:val="22"/>
        </w:rPr>
        <w:t xml:space="preserve"> to complicate differential diagnosis (Zahr, 2024b).</w:t>
      </w:r>
    </w:p>
    <w:p w14:paraId="50063026" w14:textId="671076E4" w:rsidR="0071159E" w:rsidRPr="00980BBE" w:rsidRDefault="00F866A7" w:rsidP="001D2D05">
      <w:pPr>
        <w:spacing w:line="360" w:lineRule="auto"/>
        <w:rPr>
          <w:rFonts w:ascii="Arial" w:hAnsi="Arial" w:cs="Arial"/>
          <w:sz w:val="22"/>
          <w:szCs w:val="22"/>
        </w:rPr>
      </w:pPr>
      <w:r w:rsidRPr="00980BBE">
        <w:rPr>
          <w:rFonts w:ascii="Arial" w:hAnsi="Arial" w:cs="Arial"/>
          <w:sz w:val="22"/>
          <w:szCs w:val="22"/>
        </w:rPr>
        <w:t>Evidence suggests that while manifest</w:t>
      </w:r>
      <w:r w:rsidR="004D44F9" w:rsidRPr="00980BBE">
        <w:rPr>
          <w:rFonts w:ascii="Arial" w:hAnsi="Arial" w:cs="Arial"/>
          <w:sz w:val="22"/>
          <w:szCs w:val="22"/>
        </w:rPr>
        <w:t>ations of ARBD may emerge in midlife</w:t>
      </w:r>
      <w:r w:rsidR="00B454C8" w:rsidRPr="00980BBE">
        <w:rPr>
          <w:rFonts w:ascii="Arial" w:hAnsi="Arial" w:cs="Arial"/>
          <w:sz w:val="22"/>
          <w:szCs w:val="22"/>
        </w:rPr>
        <w:t>, patterns of heavy alcohol consumption fr</w:t>
      </w:r>
      <w:r w:rsidR="00E23284" w:rsidRPr="00980BBE">
        <w:rPr>
          <w:rFonts w:ascii="Arial" w:hAnsi="Arial" w:cs="Arial"/>
          <w:sz w:val="22"/>
          <w:szCs w:val="22"/>
        </w:rPr>
        <w:t>equently initiate during adole</w:t>
      </w:r>
      <w:r w:rsidR="00BD24CB" w:rsidRPr="00980BBE">
        <w:rPr>
          <w:rFonts w:ascii="Arial" w:hAnsi="Arial" w:cs="Arial"/>
          <w:sz w:val="22"/>
          <w:szCs w:val="22"/>
        </w:rPr>
        <w:t xml:space="preserve">scence or early adulthood </w:t>
      </w:r>
      <w:r w:rsidR="0071159E" w:rsidRPr="00980BBE">
        <w:rPr>
          <w:rFonts w:ascii="Arial" w:hAnsi="Arial" w:cs="Arial"/>
          <w:sz w:val="22"/>
          <w:szCs w:val="22"/>
        </w:rPr>
        <w:t xml:space="preserve">(Thompson and Pirmohamed, 2021b). Interventions </w:t>
      </w:r>
      <w:r w:rsidR="00C60D2A" w:rsidRPr="00980BBE">
        <w:rPr>
          <w:rFonts w:ascii="Arial" w:hAnsi="Arial" w:cs="Arial"/>
          <w:sz w:val="22"/>
          <w:szCs w:val="22"/>
        </w:rPr>
        <w:t xml:space="preserve">including abstinence from alcohol and </w:t>
      </w:r>
      <w:r w:rsidR="0071159E" w:rsidRPr="00980BBE">
        <w:rPr>
          <w:rFonts w:ascii="Arial" w:hAnsi="Arial" w:cs="Arial"/>
          <w:sz w:val="22"/>
          <w:szCs w:val="22"/>
        </w:rPr>
        <w:t xml:space="preserve"> thiamine supplements can partially re</w:t>
      </w:r>
      <w:r w:rsidR="000613AD" w:rsidRPr="00980BBE">
        <w:rPr>
          <w:rFonts w:ascii="Arial" w:hAnsi="Arial" w:cs="Arial"/>
          <w:sz w:val="22"/>
          <w:szCs w:val="22"/>
        </w:rPr>
        <w:t>store</w:t>
      </w:r>
      <w:r w:rsidR="0071159E" w:rsidRPr="00980BBE">
        <w:rPr>
          <w:rFonts w:ascii="Arial" w:hAnsi="Arial" w:cs="Arial"/>
          <w:sz w:val="22"/>
          <w:szCs w:val="22"/>
        </w:rPr>
        <w:t xml:space="preserve"> cognitive </w:t>
      </w:r>
      <w:r w:rsidR="002255B7" w:rsidRPr="00980BBE">
        <w:rPr>
          <w:rFonts w:ascii="Arial" w:hAnsi="Arial" w:cs="Arial"/>
          <w:sz w:val="22"/>
          <w:szCs w:val="22"/>
        </w:rPr>
        <w:t>function</w:t>
      </w:r>
      <w:r w:rsidR="0071159E" w:rsidRPr="00980BBE">
        <w:rPr>
          <w:rFonts w:ascii="Arial" w:hAnsi="Arial" w:cs="Arial"/>
          <w:sz w:val="22"/>
          <w:szCs w:val="22"/>
        </w:rPr>
        <w:t xml:space="preserve">, </w:t>
      </w:r>
      <w:r w:rsidR="002255B7" w:rsidRPr="00980BBE">
        <w:rPr>
          <w:rFonts w:ascii="Arial" w:hAnsi="Arial" w:cs="Arial"/>
          <w:sz w:val="22"/>
          <w:szCs w:val="22"/>
        </w:rPr>
        <w:t>highli</w:t>
      </w:r>
      <w:r w:rsidR="00852D06" w:rsidRPr="00980BBE">
        <w:rPr>
          <w:rFonts w:ascii="Arial" w:hAnsi="Arial" w:cs="Arial"/>
          <w:sz w:val="22"/>
          <w:szCs w:val="22"/>
        </w:rPr>
        <w:t xml:space="preserve">ghting the importance of </w:t>
      </w:r>
      <w:r w:rsidR="0071159E" w:rsidRPr="00980BBE">
        <w:rPr>
          <w:rFonts w:ascii="Arial" w:hAnsi="Arial" w:cs="Arial"/>
          <w:sz w:val="22"/>
          <w:szCs w:val="22"/>
        </w:rPr>
        <w:t xml:space="preserve"> early detection (Ridley, Draper, </w:t>
      </w:r>
      <w:r w:rsidR="005F020B" w:rsidRPr="00980BBE">
        <w:rPr>
          <w:rFonts w:ascii="Arial" w:hAnsi="Arial" w:cs="Arial"/>
          <w:sz w:val="22"/>
          <w:szCs w:val="22"/>
        </w:rPr>
        <w:t>and</w:t>
      </w:r>
      <w:r w:rsidR="0071159E" w:rsidRPr="00980BBE">
        <w:rPr>
          <w:rFonts w:ascii="Arial" w:hAnsi="Arial" w:cs="Arial"/>
          <w:sz w:val="22"/>
          <w:szCs w:val="22"/>
        </w:rPr>
        <w:t xml:space="preserve"> Withall, 2013). </w:t>
      </w:r>
      <w:r w:rsidR="00852D06" w:rsidRPr="00980BBE">
        <w:rPr>
          <w:rFonts w:ascii="Arial" w:hAnsi="Arial" w:cs="Arial"/>
          <w:sz w:val="22"/>
          <w:szCs w:val="22"/>
        </w:rPr>
        <w:t>Longit</w:t>
      </w:r>
      <w:r w:rsidR="000C03C6" w:rsidRPr="00980BBE">
        <w:rPr>
          <w:rFonts w:ascii="Arial" w:hAnsi="Arial" w:cs="Arial"/>
          <w:sz w:val="22"/>
          <w:szCs w:val="22"/>
        </w:rPr>
        <w:t>udinal studies indicate that c</w:t>
      </w:r>
      <w:r w:rsidR="0071159E" w:rsidRPr="00980BBE">
        <w:rPr>
          <w:rFonts w:ascii="Arial" w:hAnsi="Arial" w:cs="Arial"/>
          <w:sz w:val="22"/>
          <w:szCs w:val="22"/>
        </w:rPr>
        <w:t>hronic heavy drinking</w:t>
      </w:r>
      <w:r w:rsidR="000C03C6" w:rsidRPr="00980BBE">
        <w:rPr>
          <w:rFonts w:ascii="Arial" w:hAnsi="Arial" w:cs="Arial"/>
          <w:sz w:val="22"/>
          <w:szCs w:val="22"/>
        </w:rPr>
        <w:t xml:space="preserve"> acceler</w:t>
      </w:r>
      <w:r w:rsidR="00FB1A14" w:rsidRPr="00980BBE">
        <w:rPr>
          <w:rFonts w:ascii="Arial" w:hAnsi="Arial" w:cs="Arial"/>
          <w:sz w:val="22"/>
          <w:szCs w:val="22"/>
        </w:rPr>
        <w:t>ates brain atrophy</w:t>
      </w:r>
      <w:r w:rsidR="0071159E" w:rsidRPr="00980BBE">
        <w:rPr>
          <w:rFonts w:ascii="Arial" w:hAnsi="Arial" w:cs="Arial"/>
          <w:sz w:val="22"/>
          <w:szCs w:val="22"/>
        </w:rPr>
        <w:t xml:space="preserve"> and </w:t>
      </w:r>
      <w:r w:rsidR="00FB1A14" w:rsidRPr="00980BBE">
        <w:rPr>
          <w:rFonts w:ascii="Arial" w:hAnsi="Arial" w:cs="Arial"/>
          <w:sz w:val="22"/>
          <w:szCs w:val="22"/>
        </w:rPr>
        <w:t>impairs</w:t>
      </w:r>
      <w:r w:rsidR="0071159E" w:rsidRPr="00980BBE">
        <w:rPr>
          <w:rFonts w:ascii="Arial" w:hAnsi="Arial" w:cs="Arial"/>
          <w:sz w:val="22"/>
          <w:szCs w:val="22"/>
        </w:rPr>
        <w:t xml:space="preserve"> executive function, </w:t>
      </w:r>
      <w:r w:rsidR="00FB1A14" w:rsidRPr="00980BBE">
        <w:rPr>
          <w:rFonts w:ascii="Arial" w:hAnsi="Arial" w:cs="Arial"/>
          <w:sz w:val="22"/>
          <w:szCs w:val="22"/>
        </w:rPr>
        <w:t>particular</w:t>
      </w:r>
      <w:r w:rsidR="00DB1D25" w:rsidRPr="00980BBE">
        <w:rPr>
          <w:rFonts w:ascii="Arial" w:hAnsi="Arial" w:cs="Arial"/>
          <w:sz w:val="22"/>
          <w:szCs w:val="22"/>
        </w:rPr>
        <w:t>ly</w:t>
      </w:r>
      <w:r w:rsidR="0071159E" w:rsidRPr="00980BBE">
        <w:rPr>
          <w:rFonts w:ascii="Arial" w:hAnsi="Arial" w:cs="Arial"/>
          <w:sz w:val="22"/>
          <w:szCs w:val="22"/>
        </w:rPr>
        <w:t xml:space="preserve"> </w:t>
      </w:r>
      <w:r w:rsidR="00DB1D25" w:rsidRPr="00980BBE">
        <w:rPr>
          <w:rFonts w:ascii="Arial" w:hAnsi="Arial" w:cs="Arial"/>
          <w:sz w:val="22"/>
          <w:szCs w:val="22"/>
        </w:rPr>
        <w:t xml:space="preserve">within </w:t>
      </w:r>
      <w:r w:rsidR="0071159E" w:rsidRPr="00980BBE">
        <w:rPr>
          <w:rFonts w:ascii="Arial" w:hAnsi="Arial" w:cs="Arial"/>
          <w:sz w:val="22"/>
          <w:szCs w:val="22"/>
        </w:rPr>
        <w:t>the frontal cortex and hippocampus</w:t>
      </w:r>
      <w:r w:rsidR="003E515D" w:rsidRPr="00980BBE">
        <w:rPr>
          <w:rFonts w:ascii="Arial" w:hAnsi="Arial" w:cs="Arial"/>
          <w:sz w:val="22"/>
          <w:szCs w:val="22"/>
        </w:rPr>
        <w:t xml:space="preserve"> </w:t>
      </w:r>
      <w:r w:rsidR="0071159E" w:rsidRPr="00980BBE">
        <w:rPr>
          <w:rFonts w:ascii="Arial" w:hAnsi="Arial" w:cs="Arial"/>
          <w:sz w:val="22"/>
          <w:szCs w:val="22"/>
        </w:rPr>
        <w:t>(Zahr, 2024a).</w:t>
      </w:r>
    </w:p>
    <w:p w14:paraId="39C827CE" w14:textId="487569C1" w:rsidR="00735909" w:rsidRPr="00980BBE" w:rsidRDefault="00CE5070" w:rsidP="001D2D05">
      <w:pPr>
        <w:spacing w:line="360" w:lineRule="auto"/>
        <w:rPr>
          <w:rFonts w:ascii="Arial" w:hAnsi="Arial" w:cs="Arial"/>
          <w:sz w:val="22"/>
          <w:szCs w:val="22"/>
        </w:rPr>
      </w:pPr>
      <w:r w:rsidRPr="00980BBE">
        <w:rPr>
          <w:rFonts w:ascii="Arial" w:hAnsi="Arial" w:cs="Arial"/>
          <w:sz w:val="22"/>
          <w:szCs w:val="22"/>
        </w:rPr>
        <w:t>Furthermore,</w:t>
      </w:r>
      <w:r w:rsidR="00735909" w:rsidRPr="00980BBE">
        <w:rPr>
          <w:rFonts w:ascii="Arial" w:hAnsi="Arial" w:cs="Arial"/>
          <w:sz w:val="22"/>
          <w:szCs w:val="22"/>
        </w:rPr>
        <w:t xml:space="preserve"> comorbidities</w:t>
      </w:r>
      <w:r w:rsidR="00C94A3A" w:rsidRPr="00980BBE">
        <w:rPr>
          <w:rFonts w:ascii="Arial" w:hAnsi="Arial" w:cs="Arial"/>
          <w:sz w:val="22"/>
          <w:szCs w:val="22"/>
        </w:rPr>
        <w:t xml:space="preserve"> </w:t>
      </w:r>
      <w:r w:rsidR="00735909" w:rsidRPr="00980BBE">
        <w:rPr>
          <w:rFonts w:ascii="Arial" w:hAnsi="Arial" w:cs="Arial"/>
          <w:sz w:val="22"/>
          <w:szCs w:val="22"/>
        </w:rPr>
        <w:t>including liver disease, cardiovascular conditions, and nutritional deficiencies</w:t>
      </w:r>
      <w:r w:rsidR="00F151B2" w:rsidRPr="00980BBE">
        <w:rPr>
          <w:rFonts w:ascii="Arial" w:hAnsi="Arial" w:cs="Arial"/>
          <w:sz w:val="22"/>
          <w:szCs w:val="22"/>
        </w:rPr>
        <w:t xml:space="preserve"> </w:t>
      </w:r>
      <w:r w:rsidR="00735909" w:rsidRPr="00980BBE">
        <w:rPr>
          <w:rFonts w:ascii="Arial" w:hAnsi="Arial" w:cs="Arial"/>
          <w:sz w:val="22"/>
          <w:szCs w:val="22"/>
        </w:rPr>
        <w:t xml:space="preserve">can exacerbate cognitive decline, </w:t>
      </w:r>
      <w:r w:rsidR="00B6598C" w:rsidRPr="00980BBE">
        <w:rPr>
          <w:rFonts w:ascii="Arial" w:hAnsi="Arial" w:cs="Arial"/>
          <w:sz w:val="22"/>
          <w:szCs w:val="22"/>
        </w:rPr>
        <w:t xml:space="preserve">underscoring the </w:t>
      </w:r>
      <w:r w:rsidR="00735909" w:rsidRPr="00980BBE">
        <w:rPr>
          <w:rFonts w:ascii="Arial" w:hAnsi="Arial" w:cs="Arial"/>
          <w:sz w:val="22"/>
          <w:szCs w:val="22"/>
        </w:rPr>
        <w:t>multifactorial nature</w:t>
      </w:r>
      <w:r w:rsidR="00B6598C" w:rsidRPr="00980BBE">
        <w:rPr>
          <w:rFonts w:ascii="Arial" w:hAnsi="Arial" w:cs="Arial"/>
          <w:sz w:val="22"/>
          <w:szCs w:val="22"/>
        </w:rPr>
        <w:t xml:space="preserve"> of </w:t>
      </w:r>
      <w:r w:rsidR="00D84E65" w:rsidRPr="00980BBE">
        <w:rPr>
          <w:rFonts w:ascii="Arial" w:hAnsi="Arial" w:cs="Arial"/>
          <w:sz w:val="22"/>
          <w:szCs w:val="22"/>
        </w:rPr>
        <w:t xml:space="preserve">Alcohol-Related Brain Damage (ARBD). </w:t>
      </w:r>
      <w:r w:rsidR="0027603B" w:rsidRPr="00980BBE">
        <w:rPr>
          <w:rFonts w:ascii="Arial" w:hAnsi="Arial" w:cs="Arial"/>
          <w:sz w:val="22"/>
          <w:szCs w:val="22"/>
        </w:rPr>
        <w:t xml:space="preserve">Consequently, early identification of </w:t>
      </w:r>
      <w:r w:rsidR="00735909" w:rsidRPr="00980BBE">
        <w:rPr>
          <w:rFonts w:ascii="Arial" w:hAnsi="Arial" w:cs="Arial"/>
          <w:sz w:val="22"/>
          <w:szCs w:val="22"/>
        </w:rPr>
        <w:t>risk indicators is</w:t>
      </w:r>
      <w:r w:rsidR="0027603B" w:rsidRPr="00980BBE">
        <w:rPr>
          <w:rFonts w:ascii="Arial" w:hAnsi="Arial" w:cs="Arial"/>
          <w:sz w:val="22"/>
          <w:szCs w:val="22"/>
        </w:rPr>
        <w:t xml:space="preserve"> crucial </w:t>
      </w:r>
      <w:r w:rsidR="00831AAD" w:rsidRPr="00980BBE">
        <w:rPr>
          <w:rFonts w:ascii="Arial" w:hAnsi="Arial" w:cs="Arial"/>
          <w:sz w:val="22"/>
          <w:szCs w:val="22"/>
        </w:rPr>
        <w:t xml:space="preserve">for </w:t>
      </w:r>
      <w:r w:rsidR="00735909" w:rsidRPr="00980BBE">
        <w:rPr>
          <w:rFonts w:ascii="Arial" w:hAnsi="Arial" w:cs="Arial"/>
          <w:sz w:val="22"/>
          <w:szCs w:val="22"/>
        </w:rPr>
        <w:t xml:space="preserve"> clinical management and</w:t>
      </w:r>
      <w:r w:rsidR="00831AAD" w:rsidRPr="00980BBE">
        <w:rPr>
          <w:rFonts w:ascii="Arial" w:hAnsi="Arial" w:cs="Arial"/>
          <w:sz w:val="22"/>
          <w:szCs w:val="22"/>
        </w:rPr>
        <w:t xml:space="preserve"> the development of</w:t>
      </w:r>
      <w:r w:rsidR="00735909" w:rsidRPr="00980BBE">
        <w:rPr>
          <w:rFonts w:ascii="Arial" w:hAnsi="Arial" w:cs="Arial"/>
          <w:sz w:val="22"/>
          <w:szCs w:val="22"/>
        </w:rPr>
        <w:t xml:space="preserve"> public health strategies aimed at mitigating YOD.</w:t>
      </w:r>
    </w:p>
    <w:p w14:paraId="4EABD357" w14:textId="77777777" w:rsidR="00735909" w:rsidRPr="00266F7A" w:rsidRDefault="00735909" w:rsidP="00856ACC">
      <w:pPr>
        <w:pStyle w:val="Heading1"/>
        <w:rPr>
          <w:rFonts w:ascii="Arial" w:hAnsi="Arial" w:cs="Arial"/>
          <w:b/>
          <w:bCs/>
          <w:color w:val="auto"/>
          <w:sz w:val="28"/>
          <w:szCs w:val="28"/>
          <w:u w:val="single"/>
        </w:rPr>
      </w:pPr>
      <w:bookmarkStart w:id="37" w:name="_Toc225966630"/>
      <w:r w:rsidRPr="00266F7A">
        <w:rPr>
          <w:rFonts w:ascii="Arial" w:hAnsi="Arial" w:cs="Arial"/>
          <w:b/>
          <w:bCs/>
          <w:color w:val="auto"/>
          <w:sz w:val="28"/>
          <w:szCs w:val="28"/>
          <w:u w:val="single"/>
        </w:rPr>
        <w:t>Impact on Research Question</w:t>
      </w:r>
      <w:bookmarkEnd w:id="37"/>
    </w:p>
    <w:p w14:paraId="30D791B7" w14:textId="41B176BD" w:rsidR="00735909" w:rsidRPr="00980BBE" w:rsidRDefault="00AF4B50" w:rsidP="001D2D05">
      <w:pPr>
        <w:spacing w:line="360" w:lineRule="auto"/>
        <w:rPr>
          <w:rFonts w:ascii="Arial" w:hAnsi="Arial" w:cs="Arial"/>
          <w:sz w:val="22"/>
          <w:szCs w:val="22"/>
        </w:rPr>
      </w:pPr>
      <w:r w:rsidRPr="00980BBE">
        <w:rPr>
          <w:rFonts w:ascii="Arial" w:hAnsi="Arial" w:cs="Arial"/>
          <w:sz w:val="22"/>
          <w:szCs w:val="22"/>
        </w:rPr>
        <w:t>Investing</w:t>
      </w:r>
      <w:r w:rsidR="00735909" w:rsidRPr="00980BBE">
        <w:rPr>
          <w:rFonts w:ascii="Arial" w:hAnsi="Arial" w:cs="Arial"/>
          <w:sz w:val="22"/>
          <w:szCs w:val="22"/>
        </w:rPr>
        <w:t xml:space="preserve"> ARBD is </w:t>
      </w:r>
      <w:r w:rsidRPr="00980BBE">
        <w:rPr>
          <w:rFonts w:ascii="Arial" w:hAnsi="Arial" w:cs="Arial"/>
          <w:sz w:val="22"/>
          <w:szCs w:val="22"/>
        </w:rPr>
        <w:t>essential</w:t>
      </w:r>
      <w:r w:rsidR="00735909" w:rsidRPr="00980BBE">
        <w:rPr>
          <w:rFonts w:ascii="Arial" w:hAnsi="Arial" w:cs="Arial"/>
          <w:sz w:val="22"/>
          <w:szCs w:val="22"/>
        </w:rPr>
        <w:t xml:space="preserve"> </w:t>
      </w:r>
      <w:r w:rsidR="00441C5D" w:rsidRPr="00980BBE">
        <w:rPr>
          <w:rFonts w:ascii="Arial" w:hAnsi="Arial" w:cs="Arial"/>
          <w:sz w:val="22"/>
          <w:szCs w:val="22"/>
        </w:rPr>
        <w:t>for</w:t>
      </w:r>
      <w:r w:rsidR="00735909" w:rsidRPr="00980BBE">
        <w:rPr>
          <w:rFonts w:ascii="Arial" w:hAnsi="Arial" w:cs="Arial"/>
          <w:sz w:val="22"/>
          <w:szCs w:val="22"/>
        </w:rPr>
        <w:t xml:space="preserve"> understanding the intersection </w:t>
      </w:r>
      <w:r w:rsidR="00441C5D" w:rsidRPr="00980BBE">
        <w:rPr>
          <w:rFonts w:ascii="Arial" w:hAnsi="Arial" w:cs="Arial"/>
          <w:sz w:val="22"/>
          <w:szCs w:val="22"/>
        </w:rPr>
        <w:t xml:space="preserve">of </w:t>
      </w:r>
      <w:r w:rsidR="00735909" w:rsidRPr="00980BBE">
        <w:rPr>
          <w:rFonts w:ascii="Arial" w:hAnsi="Arial" w:cs="Arial"/>
          <w:sz w:val="22"/>
          <w:szCs w:val="22"/>
        </w:rPr>
        <w:t>alcohol consumption, socioeconomic deprivation, and YOD</w:t>
      </w:r>
      <w:r w:rsidR="000D644B" w:rsidRPr="00980BBE">
        <w:rPr>
          <w:rFonts w:ascii="Arial" w:hAnsi="Arial" w:cs="Arial"/>
          <w:sz w:val="22"/>
          <w:szCs w:val="22"/>
        </w:rPr>
        <w:t xml:space="preserve">. </w:t>
      </w:r>
      <w:r w:rsidR="00441C5D" w:rsidRPr="00980BBE">
        <w:rPr>
          <w:rFonts w:ascii="Arial" w:hAnsi="Arial" w:cs="Arial"/>
          <w:sz w:val="22"/>
          <w:szCs w:val="22"/>
        </w:rPr>
        <w:t xml:space="preserve">Recognising </w:t>
      </w:r>
      <w:r w:rsidR="00735909" w:rsidRPr="00980BBE">
        <w:rPr>
          <w:rFonts w:ascii="Arial" w:hAnsi="Arial" w:cs="Arial"/>
          <w:sz w:val="22"/>
          <w:szCs w:val="22"/>
        </w:rPr>
        <w:t xml:space="preserve">alcohol as a modifiable lifestyle factor, ARBD </w:t>
      </w:r>
      <w:r w:rsidR="00441C5D" w:rsidRPr="00980BBE">
        <w:rPr>
          <w:rFonts w:ascii="Arial" w:hAnsi="Arial" w:cs="Arial"/>
          <w:sz w:val="22"/>
          <w:szCs w:val="22"/>
        </w:rPr>
        <w:t>e</w:t>
      </w:r>
      <w:r w:rsidR="008C6622" w:rsidRPr="00980BBE">
        <w:rPr>
          <w:rFonts w:ascii="Arial" w:hAnsi="Arial" w:cs="Arial"/>
          <w:sz w:val="22"/>
          <w:szCs w:val="22"/>
        </w:rPr>
        <w:t xml:space="preserve">mphasises </w:t>
      </w:r>
      <w:r w:rsidR="00735909" w:rsidRPr="00980BBE">
        <w:rPr>
          <w:rFonts w:ascii="Arial" w:hAnsi="Arial" w:cs="Arial"/>
          <w:sz w:val="22"/>
          <w:szCs w:val="22"/>
        </w:rPr>
        <w:t xml:space="preserve"> opportunities for early intervention, screening, and public health </w:t>
      </w:r>
      <w:r w:rsidR="00374DDE" w:rsidRPr="00980BBE">
        <w:rPr>
          <w:rFonts w:ascii="Arial" w:hAnsi="Arial" w:cs="Arial"/>
          <w:sz w:val="22"/>
          <w:szCs w:val="22"/>
        </w:rPr>
        <w:t>initiatives</w:t>
      </w:r>
      <w:r w:rsidR="00735909" w:rsidRPr="00980BBE">
        <w:rPr>
          <w:rFonts w:ascii="Arial" w:hAnsi="Arial" w:cs="Arial"/>
          <w:sz w:val="22"/>
          <w:szCs w:val="22"/>
        </w:rPr>
        <w:t>. Awareness of th</w:t>
      </w:r>
      <w:r w:rsidR="00374DDE" w:rsidRPr="00980BBE">
        <w:rPr>
          <w:rFonts w:ascii="Arial" w:hAnsi="Arial" w:cs="Arial"/>
          <w:sz w:val="22"/>
          <w:szCs w:val="22"/>
        </w:rPr>
        <w:t>ese</w:t>
      </w:r>
      <w:r w:rsidR="0084108C" w:rsidRPr="00980BBE">
        <w:rPr>
          <w:rFonts w:ascii="Arial" w:hAnsi="Arial" w:cs="Arial"/>
          <w:sz w:val="22"/>
          <w:szCs w:val="22"/>
        </w:rPr>
        <w:t xml:space="preserve"> dynamics</w:t>
      </w:r>
      <w:r w:rsidR="00735909" w:rsidRPr="00980BBE">
        <w:rPr>
          <w:rFonts w:ascii="Arial" w:hAnsi="Arial" w:cs="Arial"/>
          <w:sz w:val="22"/>
          <w:szCs w:val="22"/>
        </w:rPr>
        <w:t xml:space="preserve"> informs strategies to reduce YOD incidence and addresses broader societal inequalities </w:t>
      </w:r>
      <w:r w:rsidR="0084108C" w:rsidRPr="00980BBE">
        <w:rPr>
          <w:rFonts w:ascii="Arial" w:hAnsi="Arial" w:cs="Arial"/>
          <w:sz w:val="22"/>
          <w:szCs w:val="22"/>
        </w:rPr>
        <w:t>associ</w:t>
      </w:r>
      <w:r w:rsidR="00DA20DC" w:rsidRPr="00980BBE">
        <w:rPr>
          <w:rFonts w:ascii="Arial" w:hAnsi="Arial" w:cs="Arial"/>
          <w:sz w:val="22"/>
          <w:szCs w:val="22"/>
        </w:rPr>
        <w:t>ated with</w:t>
      </w:r>
      <w:r w:rsidR="00735909" w:rsidRPr="00980BBE">
        <w:rPr>
          <w:rFonts w:ascii="Arial" w:hAnsi="Arial" w:cs="Arial"/>
          <w:sz w:val="22"/>
          <w:szCs w:val="22"/>
        </w:rPr>
        <w:t xml:space="preserve"> health</w:t>
      </w:r>
      <w:r w:rsidR="00DA20DC" w:rsidRPr="00980BBE">
        <w:rPr>
          <w:rFonts w:ascii="Arial" w:hAnsi="Arial" w:cs="Arial"/>
          <w:sz w:val="22"/>
          <w:szCs w:val="22"/>
        </w:rPr>
        <w:t>-related</w:t>
      </w:r>
      <w:r w:rsidR="00735909" w:rsidRPr="00980BBE">
        <w:rPr>
          <w:rFonts w:ascii="Arial" w:hAnsi="Arial" w:cs="Arial"/>
          <w:sz w:val="22"/>
          <w:szCs w:val="22"/>
        </w:rPr>
        <w:t xml:space="preserve"> behaviou</w:t>
      </w:r>
      <w:r w:rsidR="00DA20DC" w:rsidRPr="00980BBE">
        <w:rPr>
          <w:rFonts w:ascii="Arial" w:hAnsi="Arial" w:cs="Arial"/>
          <w:sz w:val="22"/>
          <w:szCs w:val="22"/>
        </w:rPr>
        <w:t xml:space="preserve">r </w:t>
      </w:r>
      <w:r w:rsidR="00FF52AD" w:rsidRPr="00980BBE">
        <w:rPr>
          <w:rFonts w:ascii="Arial" w:hAnsi="Arial" w:cs="Arial"/>
          <w:sz w:val="22"/>
          <w:szCs w:val="22"/>
        </w:rPr>
        <w:t>(World Health Organization 2017</w:t>
      </w:r>
      <w:r w:rsidR="003A73C3" w:rsidRPr="00980BBE">
        <w:rPr>
          <w:rFonts w:ascii="Arial" w:hAnsi="Arial" w:cs="Arial"/>
          <w:sz w:val="22"/>
          <w:szCs w:val="22"/>
        </w:rPr>
        <w:t>a;  World Health Organization 2017b).</w:t>
      </w:r>
    </w:p>
    <w:p w14:paraId="58FDDC8A" w14:textId="77777777" w:rsidR="00735909" w:rsidRPr="00266F7A" w:rsidRDefault="00735909" w:rsidP="00856ACC">
      <w:pPr>
        <w:pStyle w:val="Heading1"/>
        <w:rPr>
          <w:rFonts w:ascii="Arial" w:hAnsi="Arial" w:cs="Arial"/>
          <w:b/>
          <w:bCs/>
          <w:color w:val="auto"/>
          <w:sz w:val="28"/>
          <w:szCs w:val="28"/>
          <w:u w:val="single"/>
        </w:rPr>
      </w:pPr>
      <w:bookmarkStart w:id="38" w:name="_Toc225966631"/>
      <w:r w:rsidRPr="00266F7A">
        <w:rPr>
          <w:rFonts w:ascii="Arial" w:hAnsi="Arial" w:cs="Arial"/>
          <w:b/>
          <w:bCs/>
          <w:color w:val="auto"/>
          <w:sz w:val="28"/>
          <w:szCs w:val="28"/>
          <w:u w:val="single"/>
        </w:rPr>
        <w:t>Statistical Information</w:t>
      </w:r>
      <w:bookmarkEnd w:id="38"/>
    </w:p>
    <w:p w14:paraId="1E0289C7" w14:textId="77777777"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Several studies underscore the significance of ARBD in contributing to YOD:</w:t>
      </w:r>
    </w:p>
    <w:p w14:paraId="626C637E" w14:textId="637D6A20" w:rsidR="00735909" w:rsidRPr="00980BBE" w:rsidRDefault="00735909" w:rsidP="001D2D05">
      <w:pPr>
        <w:numPr>
          <w:ilvl w:val="0"/>
          <w:numId w:val="32"/>
        </w:numPr>
        <w:spacing w:line="360" w:lineRule="auto"/>
        <w:rPr>
          <w:rFonts w:ascii="Arial" w:hAnsi="Arial" w:cs="Arial"/>
          <w:sz w:val="22"/>
          <w:szCs w:val="22"/>
        </w:rPr>
      </w:pPr>
      <w:r w:rsidRPr="00980BBE">
        <w:rPr>
          <w:rFonts w:ascii="Arial" w:hAnsi="Arial" w:cs="Arial"/>
          <w:sz w:val="22"/>
          <w:szCs w:val="22"/>
        </w:rPr>
        <w:t>Thompson and Pirmohamed (2021a) reported a 27% rise in alcohol-related fatalities in the UK between 2019</w:t>
      </w:r>
      <w:r w:rsidR="001B66A2" w:rsidRPr="00980BBE">
        <w:rPr>
          <w:rFonts w:ascii="Arial" w:hAnsi="Arial" w:cs="Arial"/>
          <w:sz w:val="22"/>
          <w:szCs w:val="22"/>
        </w:rPr>
        <w:t>-</w:t>
      </w:r>
      <w:r w:rsidRPr="00980BBE">
        <w:rPr>
          <w:rFonts w:ascii="Arial" w:hAnsi="Arial" w:cs="Arial"/>
          <w:sz w:val="22"/>
          <w:szCs w:val="22"/>
        </w:rPr>
        <w:t>2021, primarily affecting adults aged 45</w:t>
      </w:r>
      <w:r w:rsidR="001B66A2" w:rsidRPr="00980BBE">
        <w:rPr>
          <w:rFonts w:ascii="Arial" w:hAnsi="Arial" w:cs="Arial"/>
          <w:sz w:val="22"/>
          <w:szCs w:val="22"/>
        </w:rPr>
        <w:t>-</w:t>
      </w:r>
      <w:r w:rsidRPr="00980BBE">
        <w:rPr>
          <w:rFonts w:ascii="Arial" w:hAnsi="Arial" w:cs="Arial"/>
          <w:sz w:val="22"/>
          <w:szCs w:val="22"/>
        </w:rPr>
        <w:t>64.</w:t>
      </w:r>
    </w:p>
    <w:p w14:paraId="5C817BF2" w14:textId="32BB91C0" w:rsidR="0015005E" w:rsidRPr="00980BBE" w:rsidRDefault="0015005E" w:rsidP="001D2D05">
      <w:pPr>
        <w:numPr>
          <w:ilvl w:val="0"/>
          <w:numId w:val="32"/>
        </w:numPr>
        <w:spacing w:line="360" w:lineRule="auto"/>
        <w:rPr>
          <w:rFonts w:ascii="Arial" w:hAnsi="Arial" w:cs="Arial"/>
          <w:sz w:val="22"/>
          <w:szCs w:val="22"/>
        </w:rPr>
      </w:pPr>
      <w:r w:rsidRPr="00980BBE">
        <w:rPr>
          <w:rFonts w:ascii="Arial" w:hAnsi="Arial" w:cs="Arial"/>
          <w:sz w:val="22"/>
          <w:szCs w:val="22"/>
        </w:rPr>
        <w:t>Schwarzinger et al. (2018a) reported that alcohol use disorders were present in approximately 57% of individuals diagnosed with early-onset dementia within a large national cohort, highlighting the strong association between alcohol misuse and cognitive decline.</w:t>
      </w:r>
    </w:p>
    <w:p w14:paraId="58CE3278" w14:textId="325E08B9" w:rsidR="00735909" w:rsidRPr="00980BBE" w:rsidRDefault="00735909" w:rsidP="001D2D05">
      <w:pPr>
        <w:numPr>
          <w:ilvl w:val="0"/>
          <w:numId w:val="32"/>
        </w:numPr>
        <w:spacing w:line="360" w:lineRule="auto"/>
        <w:rPr>
          <w:rFonts w:ascii="Arial" w:hAnsi="Arial" w:cs="Arial"/>
          <w:sz w:val="22"/>
          <w:szCs w:val="22"/>
        </w:rPr>
      </w:pPr>
      <w:r w:rsidRPr="00980BBE">
        <w:rPr>
          <w:rFonts w:ascii="Arial" w:hAnsi="Arial" w:cs="Arial"/>
          <w:sz w:val="22"/>
          <w:szCs w:val="22"/>
        </w:rPr>
        <w:lastRenderedPageBreak/>
        <w:t>Carr et al. (2024) conducted a meta-analysis indicating that alcohol use disorders increase the risk of dementia by 3.6 times.</w:t>
      </w:r>
    </w:p>
    <w:p w14:paraId="7972FC6F" w14:textId="6EE041D1" w:rsidR="00735909" w:rsidRPr="00980BBE" w:rsidRDefault="00735909" w:rsidP="001D2D05">
      <w:pPr>
        <w:numPr>
          <w:ilvl w:val="0"/>
          <w:numId w:val="32"/>
        </w:numPr>
        <w:spacing w:line="360" w:lineRule="auto"/>
        <w:rPr>
          <w:rFonts w:ascii="Arial" w:hAnsi="Arial" w:cs="Arial"/>
          <w:sz w:val="22"/>
          <w:szCs w:val="22"/>
        </w:rPr>
      </w:pPr>
      <w:r w:rsidRPr="00980BBE">
        <w:rPr>
          <w:rFonts w:ascii="Arial" w:hAnsi="Arial" w:cs="Arial"/>
          <w:sz w:val="22"/>
          <w:szCs w:val="22"/>
        </w:rPr>
        <w:t xml:space="preserve">Sachdeva et al. (2016) estimated that alcohol-related dementia represents </w:t>
      </w:r>
      <w:r w:rsidR="009B3BA1" w:rsidRPr="00980BBE">
        <w:rPr>
          <w:rFonts w:ascii="Arial" w:hAnsi="Arial" w:cs="Arial"/>
          <w:sz w:val="22"/>
          <w:szCs w:val="22"/>
        </w:rPr>
        <w:t>10%</w:t>
      </w:r>
      <w:r w:rsidRPr="00980BBE">
        <w:rPr>
          <w:rFonts w:ascii="Arial" w:hAnsi="Arial" w:cs="Arial"/>
          <w:sz w:val="22"/>
          <w:szCs w:val="22"/>
        </w:rPr>
        <w:t xml:space="preserve"> of all dementia cases under age 65.</w:t>
      </w:r>
    </w:p>
    <w:p w14:paraId="7F254F21" w14:textId="57796425" w:rsidR="003E2589" w:rsidRPr="00980BBE" w:rsidRDefault="003E2589" w:rsidP="001D2D05">
      <w:pPr>
        <w:spacing w:line="360" w:lineRule="auto"/>
        <w:ind w:left="720"/>
        <w:rPr>
          <w:rFonts w:ascii="Arial" w:hAnsi="Arial" w:cs="Arial"/>
          <w:sz w:val="22"/>
          <w:szCs w:val="22"/>
        </w:rPr>
      </w:pPr>
      <w:r w:rsidRPr="00980BBE">
        <w:rPr>
          <w:rFonts w:ascii="Arial" w:hAnsi="Arial" w:cs="Arial"/>
          <w:sz w:val="22"/>
          <w:szCs w:val="22"/>
        </w:rPr>
        <w:t>These statistics highlight the substantial impact of alcohol on cognitive decline in younger adults and underscore the need for targeted interventions.</w:t>
      </w:r>
    </w:p>
    <w:p w14:paraId="1B14D9B4" w14:textId="53E699E7" w:rsidR="00FA1616" w:rsidRPr="00980BBE" w:rsidRDefault="00FA1616" w:rsidP="001D2D05">
      <w:pPr>
        <w:spacing w:line="360" w:lineRule="auto"/>
        <w:ind w:left="720"/>
        <w:rPr>
          <w:rFonts w:ascii="Arial" w:hAnsi="Arial" w:cs="Arial"/>
          <w:sz w:val="22"/>
          <w:szCs w:val="22"/>
        </w:rPr>
      </w:pPr>
      <w:r w:rsidRPr="00980BBE">
        <w:rPr>
          <w:rFonts w:ascii="Arial" w:hAnsi="Arial" w:cs="Arial"/>
          <w:noProof/>
          <w:sz w:val="22"/>
          <w:szCs w:val="22"/>
        </w:rPr>
        <w:drawing>
          <wp:inline distT="0" distB="0" distL="0" distR="0" wp14:anchorId="50AB160C" wp14:editId="2879A502">
            <wp:extent cx="5731510" cy="3058160"/>
            <wp:effectExtent l="0" t="0" r="2540" b="8890"/>
            <wp:docPr id="1171460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460110" name=""/>
                    <pic:cNvPicPr/>
                  </pic:nvPicPr>
                  <pic:blipFill>
                    <a:blip r:embed="rId16"/>
                    <a:stretch>
                      <a:fillRect/>
                    </a:stretch>
                  </pic:blipFill>
                  <pic:spPr>
                    <a:xfrm>
                      <a:off x="0" y="0"/>
                      <a:ext cx="5731510" cy="3058160"/>
                    </a:xfrm>
                    <a:prstGeom prst="rect">
                      <a:avLst/>
                    </a:prstGeom>
                  </pic:spPr>
                </pic:pic>
              </a:graphicData>
            </a:graphic>
          </wp:inline>
        </w:drawing>
      </w:r>
    </w:p>
    <w:p w14:paraId="4B4B1C2B" w14:textId="40598A6D" w:rsidR="00735909" w:rsidRPr="00980BBE" w:rsidRDefault="00D334F5" w:rsidP="001D2D05">
      <w:pPr>
        <w:spacing w:line="360" w:lineRule="auto"/>
        <w:rPr>
          <w:rFonts w:ascii="Arial" w:hAnsi="Arial" w:cs="Arial"/>
          <w:sz w:val="22"/>
          <w:szCs w:val="22"/>
        </w:rPr>
      </w:pPr>
      <w:r w:rsidRPr="00980BBE">
        <w:rPr>
          <w:rFonts w:ascii="Arial" w:hAnsi="Arial" w:cs="Arial"/>
          <w:sz w:val="22"/>
          <w:szCs w:val="22"/>
        </w:rPr>
        <w:t>Table summarises key epidemiological evidence linking alcohol use to young-onset dementia.”</w:t>
      </w:r>
    </w:p>
    <w:p w14:paraId="1B84828D" w14:textId="77777777" w:rsidR="00735909" w:rsidRPr="00266F7A" w:rsidRDefault="00735909" w:rsidP="00856ACC">
      <w:pPr>
        <w:pStyle w:val="Heading1"/>
        <w:rPr>
          <w:rFonts w:ascii="Arial" w:hAnsi="Arial" w:cs="Arial"/>
          <w:b/>
          <w:bCs/>
          <w:color w:val="auto"/>
          <w:sz w:val="28"/>
          <w:szCs w:val="28"/>
          <w:u w:val="single"/>
        </w:rPr>
      </w:pPr>
      <w:bookmarkStart w:id="39" w:name="_Toc225966632"/>
      <w:r w:rsidRPr="00266F7A">
        <w:rPr>
          <w:rFonts w:ascii="Arial" w:hAnsi="Arial" w:cs="Arial"/>
          <w:b/>
          <w:bCs/>
          <w:color w:val="auto"/>
          <w:sz w:val="28"/>
          <w:szCs w:val="28"/>
          <w:u w:val="single"/>
        </w:rPr>
        <w:t>Theoretical Framework</w:t>
      </w:r>
      <w:bookmarkEnd w:id="39"/>
    </w:p>
    <w:p w14:paraId="45912866" w14:textId="60ECF598"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 xml:space="preserve">The </w:t>
      </w:r>
      <w:r w:rsidRPr="00980BBE">
        <w:rPr>
          <w:rFonts w:ascii="Arial" w:hAnsi="Arial" w:cs="Arial"/>
          <w:b/>
          <w:bCs/>
          <w:sz w:val="22"/>
          <w:szCs w:val="22"/>
        </w:rPr>
        <w:t>biopsychosocial model</w:t>
      </w:r>
      <w:r w:rsidRPr="00980BBE">
        <w:rPr>
          <w:rFonts w:ascii="Arial" w:hAnsi="Arial" w:cs="Arial"/>
          <w:sz w:val="22"/>
          <w:szCs w:val="22"/>
        </w:rPr>
        <w:t xml:space="preserve"> offers a comprehensive framework for understanding ARBD </w:t>
      </w:r>
      <w:r w:rsidR="00535037" w:rsidRPr="00980BBE">
        <w:rPr>
          <w:rFonts w:ascii="Arial" w:hAnsi="Arial" w:cs="Arial"/>
          <w:sz w:val="22"/>
          <w:szCs w:val="22"/>
        </w:rPr>
        <w:t xml:space="preserve">(University et al., </w:t>
      </w:r>
      <w:r w:rsidR="004929A5" w:rsidRPr="00980BBE">
        <w:rPr>
          <w:rFonts w:ascii="Arial" w:hAnsi="Arial" w:cs="Arial"/>
          <w:sz w:val="22"/>
          <w:szCs w:val="22"/>
        </w:rPr>
        <w:t>(</w:t>
      </w:r>
      <w:r w:rsidR="00535037" w:rsidRPr="00980BBE">
        <w:rPr>
          <w:rFonts w:ascii="Arial" w:hAnsi="Arial" w:cs="Arial"/>
          <w:sz w:val="22"/>
          <w:szCs w:val="22"/>
        </w:rPr>
        <w:t>n.d.)</w:t>
      </w:r>
      <w:r w:rsidRPr="00980BBE">
        <w:rPr>
          <w:rFonts w:ascii="Arial" w:hAnsi="Arial" w:cs="Arial"/>
          <w:sz w:val="22"/>
          <w:szCs w:val="22"/>
        </w:rPr>
        <w:t>; Zahr, 2024a). This model recognises that cognitive impairment results from the interplay of biological, psychological, and social factors:</w:t>
      </w:r>
    </w:p>
    <w:p w14:paraId="6CC7AE57" w14:textId="77777777" w:rsidR="00735909" w:rsidRPr="00980BBE" w:rsidRDefault="00735909" w:rsidP="001D2D05">
      <w:pPr>
        <w:numPr>
          <w:ilvl w:val="0"/>
          <w:numId w:val="33"/>
        </w:numPr>
        <w:spacing w:line="360" w:lineRule="auto"/>
        <w:rPr>
          <w:rFonts w:ascii="Arial" w:hAnsi="Arial" w:cs="Arial"/>
          <w:sz w:val="22"/>
          <w:szCs w:val="22"/>
        </w:rPr>
      </w:pPr>
      <w:r w:rsidRPr="00980BBE">
        <w:rPr>
          <w:rFonts w:ascii="Arial" w:hAnsi="Arial" w:cs="Arial"/>
          <w:b/>
          <w:bCs/>
          <w:sz w:val="22"/>
          <w:szCs w:val="22"/>
        </w:rPr>
        <w:t>Biological:</w:t>
      </w:r>
      <w:r w:rsidRPr="00980BBE">
        <w:rPr>
          <w:rFonts w:ascii="Arial" w:hAnsi="Arial" w:cs="Arial"/>
          <w:sz w:val="22"/>
          <w:szCs w:val="22"/>
        </w:rPr>
        <w:t xml:space="preserve"> Chronic alcohol consumption induces neuronal loss, reduced grey matter volume, and neurotransmitter disruptions, impairing memory, attention, and executive function.</w:t>
      </w:r>
    </w:p>
    <w:p w14:paraId="43781EEA" w14:textId="77777777" w:rsidR="00735909" w:rsidRPr="00980BBE" w:rsidRDefault="00735909" w:rsidP="001D2D05">
      <w:pPr>
        <w:numPr>
          <w:ilvl w:val="0"/>
          <w:numId w:val="33"/>
        </w:numPr>
        <w:spacing w:line="360" w:lineRule="auto"/>
        <w:rPr>
          <w:rFonts w:ascii="Arial" w:hAnsi="Arial" w:cs="Arial"/>
          <w:sz w:val="22"/>
          <w:szCs w:val="22"/>
        </w:rPr>
      </w:pPr>
      <w:r w:rsidRPr="00980BBE">
        <w:rPr>
          <w:rFonts w:ascii="Arial" w:hAnsi="Arial" w:cs="Arial"/>
          <w:b/>
          <w:bCs/>
          <w:sz w:val="22"/>
          <w:szCs w:val="22"/>
        </w:rPr>
        <w:t>Psychological:</w:t>
      </w:r>
      <w:r w:rsidRPr="00980BBE">
        <w:rPr>
          <w:rFonts w:ascii="Arial" w:hAnsi="Arial" w:cs="Arial"/>
          <w:sz w:val="22"/>
          <w:szCs w:val="22"/>
        </w:rPr>
        <w:t xml:space="preserve"> Stress, trauma, and coexisting mental health conditions, such as depression and anxiety, exacerbate drinking behaviours, creating a feedback loop that accelerates cognitive decline.</w:t>
      </w:r>
    </w:p>
    <w:p w14:paraId="7246D2A4" w14:textId="77777777" w:rsidR="00735909" w:rsidRPr="00980BBE" w:rsidRDefault="00735909" w:rsidP="001D2D05">
      <w:pPr>
        <w:numPr>
          <w:ilvl w:val="0"/>
          <w:numId w:val="33"/>
        </w:numPr>
        <w:spacing w:line="360" w:lineRule="auto"/>
        <w:rPr>
          <w:rFonts w:ascii="Arial" w:hAnsi="Arial" w:cs="Arial"/>
          <w:sz w:val="22"/>
          <w:szCs w:val="22"/>
        </w:rPr>
      </w:pPr>
      <w:r w:rsidRPr="00980BBE">
        <w:rPr>
          <w:rFonts w:ascii="Arial" w:hAnsi="Arial" w:cs="Arial"/>
          <w:b/>
          <w:bCs/>
          <w:sz w:val="22"/>
          <w:szCs w:val="22"/>
        </w:rPr>
        <w:lastRenderedPageBreak/>
        <w:t>Social:</w:t>
      </w:r>
      <w:r w:rsidRPr="00980BBE">
        <w:rPr>
          <w:rFonts w:ascii="Arial" w:hAnsi="Arial" w:cs="Arial"/>
          <w:sz w:val="22"/>
          <w:szCs w:val="22"/>
        </w:rPr>
        <w:t xml:space="preserve"> Socioeconomic status, social networks, and cultural attitudes toward alcohol influence drinking patterns and access to healthcare interventions.</w:t>
      </w:r>
    </w:p>
    <w:p w14:paraId="42F35504" w14:textId="4C41D66B" w:rsidR="001B2CFB" w:rsidRPr="00980BBE" w:rsidRDefault="00CE49E3" w:rsidP="001D2D05">
      <w:pPr>
        <w:spacing w:line="360" w:lineRule="auto"/>
        <w:rPr>
          <w:rFonts w:ascii="Arial" w:hAnsi="Arial" w:cs="Arial"/>
          <w:sz w:val="22"/>
          <w:szCs w:val="22"/>
        </w:rPr>
      </w:pPr>
      <w:r w:rsidRPr="00980BBE">
        <w:rPr>
          <w:rFonts w:ascii="Arial" w:hAnsi="Arial" w:cs="Arial"/>
          <w:sz w:val="22"/>
          <w:szCs w:val="22"/>
        </w:rPr>
        <w:t xml:space="preserve">While the biopsychosocial model </w:t>
      </w:r>
      <w:r w:rsidR="00710938" w:rsidRPr="00980BBE">
        <w:rPr>
          <w:rFonts w:ascii="Arial" w:hAnsi="Arial" w:cs="Arial"/>
          <w:sz w:val="22"/>
          <w:szCs w:val="22"/>
        </w:rPr>
        <w:t>offers</w:t>
      </w:r>
      <w:r w:rsidRPr="00980BBE">
        <w:rPr>
          <w:rFonts w:ascii="Arial" w:hAnsi="Arial" w:cs="Arial"/>
          <w:sz w:val="22"/>
          <w:szCs w:val="22"/>
        </w:rPr>
        <w:t xml:space="preserve"> a comprehensive framework for understanding ARBD, some researchers </w:t>
      </w:r>
      <w:r w:rsidR="00E362AC" w:rsidRPr="00980BBE">
        <w:rPr>
          <w:rFonts w:ascii="Arial" w:hAnsi="Arial" w:cs="Arial"/>
          <w:sz w:val="22"/>
          <w:szCs w:val="22"/>
        </w:rPr>
        <w:t xml:space="preserve">contend that current </w:t>
      </w:r>
      <w:r w:rsidRPr="00980BBE">
        <w:rPr>
          <w:rFonts w:ascii="Arial" w:hAnsi="Arial" w:cs="Arial"/>
          <w:sz w:val="22"/>
          <w:szCs w:val="22"/>
        </w:rPr>
        <w:t xml:space="preserve">studies continue to </w:t>
      </w:r>
      <w:r w:rsidR="00E362AC" w:rsidRPr="00980BBE">
        <w:rPr>
          <w:rFonts w:ascii="Arial" w:hAnsi="Arial" w:cs="Arial"/>
          <w:sz w:val="22"/>
          <w:szCs w:val="22"/>
        </w:rPr>
        <w:t xml:space="preserve">emphasise </w:t>
      </w:r>
      <w:r w:rsidRPr="00980BBE">
        <w:rPr>
          <w:rFonts w:ascii="Arial" w:hAnsi="Arial" w:cs="Arial"/>
          <w:sz w:val="22"/>
          <w:szCs w:val="22"/>
        </w:rPr>
        <w:t xml:space="preserve"> biological mechanisms over social determinants, potentially underestimating the </w:t>
      </w:r>
      <w:r w:rsidR="000A50A7" w:rsidRPr="00980BBE">
        <w:rPr>
          <w:rFonts w:ascii="Arial" w:hAnsi="Arial" w:cs="Arial"/>
          <w:sz w:val="22"/>
          <w:szCs w:val="22"/>
        </w:rPr>
        <w:t>impact</w:t>
      </w:r>
      <w:r w:rsidRPr="00980BBE">
        <w:rPr>
          <w:rFonts w:ascii="Arial" w:hAnsi="Arial" w:cs="Arial"/>
          <w:sz w:val="22"/>
          <w:szCs w:val="22"/>
        </w:rPr>
        <w:t xml:space="preserve"> of structural inequalities on alcohol-related cognitive decline.</w:t>
      </w:r>
    </w:p>
    <w:p w14:paraId="795CA959" w14:textId="00141395" w:rsidR="00994573" w:rsidRPr="00980BBE" w:rsidRDefault="00994573" w:rsidP="001D2D05">
      <w:pPr>
        <w:spacing w:line="360" w:lineRule="auto"/>
        <w:rPr>
          <w:rFonts w:ascii="Arial" w:hAnsi="Arial" w:cs="Arial"/>
          <w:sz w:val="22"/>
          <w:szCs w:val="22"/>
        </w:rPr>
      </w:pPr>
      <w:r w:rsidRPr="00980BBE">
        <w:rPr>
          <w:rFonts w:ascii="Arial" w:hAnsi="Arial" w:cs="Arial"/>
          <w:sz w:val="22"/>
          <w:szCs w:val="22"/>
        </w:rPr>
        <w:t xml:space="preserve">This </w:t>
      </w:r>
      <w:r w:rsidR="00E07D73" w:rsidRPr="00980BBE">
        <w:rPr>
          <w:rFonts w:ascii="Arial" w:hAnsi="Arial" w:cs="Arial"/>
          <w:sz w:val="22"/>
          <w:szCs w:val="22"/>
        </w:rPr>
        <w:t>perspective</w:t>
      </w:r>
      <w:r w:rsidRPr="00980BBE">
        <w:rPr>
          <w:rFonts w:ascii="Arial" w:hAnsi="Arial" w:cs="Arial"/>
          <w:sz w:val="22"/>
          <w:szCs w:val="22"/>
        </w:rPr>
        <w:t xml:space="preserve"> is</w:t>
      </w:r>
      <w:r w:rsidR="00E07D73" w:rsidRPr="00980BBE">
        <w:rPr>
          <w:rFonts w:ascii="Arial" w:hAnsi="Arial" w:cs="Arial"/>
          <w:sz w:val="22"/>
          <w:szCs w:val="22"/>
        </w:rPr>
        <w:t xml:space="preserve"> further </w:t>
      </w:r>
      <w:r w:rsidRPr="00980BBE">
        <w:rPr>
          <w:rFonts w:ascii="Arial" w:hAnsi="Arial" w:cs="Arial"/>
          <w:sz w:val="22"/>
          <w:szCs w:val="22"/>
        </w:rPr>
        <w:t xml:space="preserve"> </w:t>
      </w:r>
      <w:r w:rsidR="00E07D73" w:rsidRPr="00980BBE">
        <w:rPr>
          <w:rFonts w:ascii="Arial" w:hAnsi="Arial" w:cs="Arial"/>
          <w:sz w:val="22"/>
          <w:szCs w:val="22"/>
        </w:rPr>
        <w:t>informed</w:t>
      </w:r>
      <w:r w:rsidRPr="00980BBE">
        <w:rPr>
          <w:rFonts w:ascii="Arial" w:hAnsi="Arial" w:cs="Arial"/>
          <w:sz w:val="22"/>
          <w:szCs w:val="22"/>
        </w:rPr>
        <w:t xml:space="preserve"> by cognitive reserve theory, which </w:t>
      </w:r>
      <w:r w:rsidR="00D3138B" w:rsidRPr="00980BBE">
        <w:rPr>
          <w:rFonts w:ascii="Arial" w:hAnsi="Arial" w:cs="Arial"/>
          <w:sz w:val="22"/>
          <w:szCs w:val="22"/>
        </w:rPr>
        <w:t>accounts for</w:t>
      </w:r>
      <w:r w:rsidRPr="00980BBE">
        <w:rPr>
          <w:rFonts w:ascii="Arial" w:hAnsi="Arial" w:cs="Arial"/>
          <w:sz w:val="22"/>
          <w:szCs w:val="22"/>
        </w:rPr>
        <w:t xml:space="preserve"> individual </w:t>
      </w:r>
      <w:r w:rsidR="00D3138B" w:rsidRPr="00980BBE">
        <w:rPr>
          <w:rFonts w:ascii="Arial" w:hAnsi="Arial" w:cs="Arial"/>
          <w:sz w:val="22"/>
          <w:szCs w:val="22"/>
        </w:rPr>
        <w:t xml:space="preserve">variability </w:t>
      </w:r>
      <w:r w:rsidRPr="00980BBE">
        <w:rPr>
          <w:rFonts w:ascii="Arial" w:hAnsi="Arial" w:cs="Arial"/>
          <w:sz w:val="22"/>
          <w:szCs w:val="22"/>
        </w:rPr>
        <w:t xml:space="preserve">in alcohol-related cognitive impairment. </w:t>
      </w:r>
      <w:r w:rsidR="00270E7F" w:rsidRPr="00980BBE">
        <w:rPr>
          <w:rFonts w:ascii="Arial" w:hAnsi="Arial" w:cs="Arial"/>
          <w:sz w:val="22"/>
          <w:szCs w:val="22"/>
        </w:rPr>
        <w:t>Individuals with h</w:t>
      </w:r>
      <w:r w:rsidRPr="00980BBE">
        <w:rPr>
          <w:rFonts w:ascii="Arial" w:hAnsi="Arial" w:cs="Arial"/>
          <w:sz w:val="22"/>
          <w:szCs w:val="22"/>
        </w:rPr>
        <w:t>igher edu</w:t>
      </w:r>
      <w:r w:rsidR="00672CA5" w:rsidRPr="00980BBE">
        <w:rPr>
          <w:rFonts w:ascii="Arial" w:hAnsi="Arial" w:cs="Arial"/>
          <w:sz w:val="22"/>
          <w:szCs w:val="22"/>
        </w:rPr>
        <w:t xml:space="preserve">cational attainment, cognitively </w:t>
      </w:r>
      <w:r w:rsidRPr="00980BBE">
        <w:rPr>
          <w:rFonts w:ascii="Arial" w:hAnsi="Arial" w:cs="Arial"/>
          <w:sz w:val="22"/>
          <w:szCs w:val="22"/>
        </w:rPr>
        <w:t xml:space="preserve">demanding </w:t>
      </w:r>
      <w:r w:rsidR="00672CA5" w:rsidRPr="00980BBE">
        <w:rPr>
          <w:rFonts w:ascii="Arial" w:hAnsi="Arial" w:cs="Arial"/>
          <w:sz w:val="22"/>
          <w:szCs w:val="22"/>
        </w:rPr>
        <w:t>occupations</w:t>
      </w:r>
      <w:r w:rsidRPr="00980BBE">
        <w:rPr>
          <w:rFonts w:ascii="Arial" w:hAnsi="Arial" w:cs="Arial"/>
          <w:sz w:val="22"/>
          <w:szCs w:val="22"/>
        </w:rPr>
        <w:t xml:space="preserve">, and </w:t>
      </w:r>
      <w:r w:rsidR="00FF4BC6" w:rsidRPr="00980BBE">
        <w:rPr>
          <w:rFonts w:ascii="Arial" w:hAnsi="Arial" w:cs="Arial"/>
          <w:sz w:val="22"/>
          <w:szCs w:val="22"/>
        </w:rPr>
        <w:t>active pa</w:t>
      </w:r>
      <w:r w:rsidR="00F15365" w:rsidRPr="00980BBE">
        <w:rPr>
          <w:rFonts w:ascii="Arial" w:hAnsi="Arial" w:cs="Arial"/>
          <w:sz w:val="22"/>
          <w:szCs w:val="22"/>
        </w:rPr>
        <w:t>rticipation</w:t>
      </w:r>
      <w:r w:rsidR="00862890" w:rsidRPr="00980BBE">
        <w:rPr>
          <w:rFonts w:ascii="Arial" w:hAnsi="Arial" w:cs="Arial"/>
          <w:sz w:val="22"/>
          <w:szCs w:val="22"/>
        </w:rPr>
        <w:t xml:space="preserve"> </w:t>
      </w:r>
      <w:r w:rsidR="00E34067" w:rsidRPr="00980BBE">
        <w:rPr>
          <w:rFonts w:ascii="Arial" w:hAnsi="Arial" w:cs="Arial"/>
          <w:sz w:val="22"/>
          <w:szCs w:val="22"/>
        </w:rPr>
        <w:t>i</w:t>
      </w:r>
      <w:r w:rsidR="00862890" w:rsidRPr="00980BBE">
        <w:rPr>
          <w:rFonts w:ascii="Arial" w:hAnsi="Arial" w:cs="Arial"/>
          <w:sz w:val="22"/>
          <w:szCs w:val="22"/>
        </w:rPr>
        <w:t xml:space="preserve">n </w:t>
      </w:r>
      <w:r w:rsidR="00E34067" w:rsidRPr="00980BBE">
        <w:rPr>
          <w:rFonts w:ascii="Arial" w:hAnsi="Arial" w:cs="Arial"/>
          <w:sz w:val="22"/>
          <w:szCs w:val="22"/>
        </w:rPr>
        <w:t xml:space="preserve">stimulating </w:t>
      </w:r>
      <w:r w:rsidRPr="00980BBE">
        <w:rPr>
          <w:rFonts w:ascii="Arial" w:hAnsi="Arial" w:cs="Arial"/>
          <w:sz w:val="22"/>
          <w:szCs w:val="22"/>
        </w:rPr>
        <w:t xml:space="preserve">social activities may </w:t>
      </w:r>
      <w:r w:rsidR="00856ACC" w:rsidRPr="00980BBE">
        <w:rPr>
          <w:rFonts w:ascii="Arial" w:hAnsi="Arial" w:cs="Arial"/>
          <w:sz w:val="22"/>
          <w:szCs w:val="22"/>
        </w:rPr>
        <w:t>exhibit</w:t>
      </w:r>
      <w:r w:rsidR="007938B0" w:rsidRPr="00980BBE">
        <w:rPr>
          <w:rFonts w:ascii="Arial" w:hAnsi="Arial" w:cs="Arial"/>
          <w:sz w:val="22"/>
          <w:szCs w:val="22"/>
        </w:rPr>
        <w:t xml:space="preserve"> greater resilience to ARBD compared to those</w:t>
      </w:r>
      <w:r w:rsidR="00662E8B" w:rsidRPr="00980BBE">
        <w:rPr>
          <w:rFonts w:ascii="Arial" w:hAnsi="Arial" w:cs="Arial"/>
          <w:sz w:val="22"/>
          <w:szCs w:val="22"/>
        </w:rPr>
        <w:t xml:space="preserve"> with lower </w:t>
      </w:r>
      <w:r w:rsidRPr="00980BBE">
        <w:rPr>
          <w:rFonts w:ascii="Arial" w:hAnsi="Arial" w:cs="Arial"/>
          <w:sz w:val="22"/>
          <w:szCs w:val="22"/>
        </w:rPr>
        <w:t xml:space="preserve">cognitive resources (Bittner et al., 2019). To </w:t>
      </w:r>
      <w:r w:rsidR="00662E8B" w:rsidRPr="00980BBE">
        <w:rPr>
          <w:rFonts w:ascii="Arial" w:hAnsi="Arial" w:cs="Arial"/>
          <w:sz w:val="22"/>
          <w:szCs w:val="22"/>
        </w:rPr>
        <w:t>mit</w:t>
      </w:r>
      <w:r w:rsidR="00860B8D" w:rsidRPr="00980BBE">
        <w:rPr>
          <w:rFonts w:ascii="Arial" w:hAnsi="Arial" w:cs="Arial"/>
          <w:sz w:val="22"/>
          <w:szCs w:val="22"/>
        </w:rPr>
        <w:t>igate</w:t>
      </w:r>
      <w:r w:rsidRPr="00980BBE">
        <w:rPr>
          <w:rFonts w:ascii="Arial" w:hAnsi="Arial" w:cs="Arial"/>
          <w:sz w:val="22"/>
          <w:szCs w:val="22"/>
        </w:rPr>
        <w:t xml:space="preserve"> the risk of </w:t>
      </w:r>
      <w:r w:rsidR="00860B8D" w:rsidRPr="00980BBE">
        <w:rPr>
          <w:rFonts w:ascii="Arial" w:hAnsi="Arial" w:cs="Arial"/>
          <w:sz w:val="22"/>
          <w:szCs w:val="22"/>
        </w:rPr>
        <w:t xml:space="preserve">young-onset </w:t>
      </w:r>
      <w:r w:rsidR="005D162E" w:rsidRPr="00980BBE">
        <w:rPr>
          <w:rFonts w:ascii="Arial" w:hAnsi="Arial" w:cs="Arial"/>
          <w:sz w:val="22"/>
          <w:szCs w:val="22"/>
        </w:rPr>
        <w:t xml:space="preserve"> dementia </w:t>
      </w:r>
      <w:r w:rsidR="00860B8D" w:rsidRPr="00980BBE">
        <w:rPr>
          <w:rFonts w:ascii="Arial" w:hAnsi="Arial" w:cs="Arial"/>
          <w:sz w:val="22"/>
          <w:szCs w:val="22"/>
        </w:rPr>
        <w:t>(Y</w:t>
      </w:r>
      <w:r w:rsidRPr="00980BBE">
        <w:rPr>
          <w:rFonts w:ascii="Arial" w:hAnsi="Arial" w:cs="Arial"/>
          <w:sz w:val="22"/>
          <w:szCs w:val="22"/>
        </w:rPr>
        <w:t>OD</w:t>
      </w:r>
      <w:r w:rsidR="005D162E" w:rsidRPr="00980BBE">
        <w:rPr>
          <w:rFonts w:ascii="Arial" w:hAnsi="Arial" w:cs="Arial"/>
          <w:sz w:val="22"/>
          <w:szCs w:val="22"/>
        </w:rPr>
        <w:t>)</w:t>
      </w:r>
      <w:r w:rsidRPr="00980BBE">
        <w:rPr>
          <w:rFonts w:ascii="Arial" w:hAnsi="Arial" w:cs="Arial"/>
          <w:sz w:val="22"/>
          <w:szCs w:val="22"/>
        </w:rPr>
        <w:t xml:space="preserve"> this </w:t>
      </w:r>
      <w:r w:rsidR="005D162E" w:rsidRPr="00980BBE">
        <w:rPr>
          <w:rFonts w:ascii="Arial" w:hAnsi="Arial" w:cs="Arial"/>
          <w:sz w:val="22"/>
          <w:szCs w:val="22"/>
        </w:rPr>
        <w:t xml:space="preserve">interplay underscores the </w:t>
      </w:r>
      <w:r w:rsidRPr="00980BBE">
        <w:rPr>
          <w:rFonts w:ascii="Arial" w:hAnsi="Arial" w:cs="Arial"/>
          <w:sz w:val="22"/>
          <w:szCs w:val="22"/>
        </w:rPr>
        <w:t xml:space="preserve">necessity </w:t>
      </w:r>
      <w:r w:rsidR="00BA3240" w:rsidRPr="00980BBE">
        <w:rPr>
          <w:rFonts w:ascii="Arial" w:hAnsi="Arial" w:cs="Arial"/>
          <w:sz w:val="22"/>
          <w:szCs w:val="22"/>
        </w:rPr>
        <w:t xml:space="preserve">of interventions that address </w:t>
      </w:r>
      <w:r w:rsidRPr="00980BBE">
        <w:rPr>
          <w:rFonts w:ascii="Arial" w:hAnsi="Arial" w:cs="Arial"/>
          <w:sz w:val="22"/>
          <w:szCs w:val="22"/>
        </w:rPr>
        <w:t>both alcohol reduction and social determinants of health</w:t>
      </w:r>
      <w:r w:rsidR="00862890" w:rsidRPr="00980BBE">
        <w:rPr>
          <w:rFonts w:ascii="Arial" w:hAnsi="Arial" w:cs="Arial"/>
          <w:sz w:val="22"/>
          <w:szCs w:val="22"/>
        </w:rPr>
        <w:t xml:space="preserve"> (World Health Organisation, 2017).</w:t>
      </w:r>
    </w:p>
    <w:p w14:paraId="3D1FA9C7" w14:textId="7D4484AD" w:rsidR="00735909" w:rsidRPr="00266F7A" w:rsidRDefault="00735909" w:rsidP="00856ACC">
      <w:pPr>
        <w:pStyle w:val="Heading1"/>
        <w:rPr>
          <w:rFonts w:ascii="Arial" w:hAnsi="Arial" w:cs="Arial"/>
          <w:b/>
          <w:bCs/>
          <w:color w:val="auto"/>
          <w:sz w:val="28"/>
          <w:szCs w:val="28"/>
          <w:u w:val="single"/>
        </w:rPr>
      </w:pPr>
      <w:bookmarkStart w:id="40" w:name="_Toc225966633"/>
      <w:r w:rsidRPr="00266F7A">
        <w:rPr>
          <w:rFonts w:ascii="Arial" w:hAnsi="Arial" w:cs="Arial"/>
          <w:b/>
          <w:bCs/>
          <w:color w:val="auto"/>
          <w:sz w:val="28"/>
          <w:szCs w:val="28"/>
          <w:u w:val="single"/>
        </w:rPr>
        <w:t>Policy and Legislation</w:t>
      </w:r>
      <w:bookmarkEnd w:id="40"/>
    </w:p>
    <w:p w14:paraId="74E7CA06" w14:textId="38650B8C" w:rsidR="0099799A" w:rsidRPr="00980BBE" w:rsidRDefault="0099799A" w:rsidP="001D2D05">
      <w:pPr>
        <w:spacing w:line="360" w:lineRule="auto"/>
        <w:rPr>
          <w:rFonts w:ascii="Arial" w:hAnsi="Arial" w:cs="Arial"/>
          <w:sz w:val="22"/>
          <w:szCs w:val="22"/>
        </w:rPr>
      </w:pPr>
      <w:r w:rsidRPr="00980BBE">
        <w:rPr>
          <w:rFonts w:ascii="Arial" w:hAnsi="Arial" w:cs="Arial"/>
          <w:sz w:val="22"/>
          <w:szCs w:val="22"/>
        </w:rPr>
        <w:t xml:space="preserve">Through initiatives like minimum unit price (MUP), advertising </w:t>
      </w:r>
      <w:r w:rsidR="001D47A4" w:rsidRPr="00980BBE">
        <w:rPr>
          <w:rFonts w:ascii="Arial" w:hAnsi="Arial" w:cs="Arial"/>
          <w:sz w:val="22"/>
          <w:szCs w:val="22"/>
        </w:rPr>
        <w:t>restriction</w:t>
      </w:r>
      <w:r w:rsidR="00DD4B29" w:rsidRPr="00980BBE">
        <w:rPr>
          <w:rFonts w:ascii="Arial" w:hAnsi="Arial" w:cs="Arial"/>
          <w:sz w:val="22"/>
          <w:szCs w:val="22"/>
        </w:rPr>
        <w:t>s</w:t>
      </w:r>
      <w:r w:rsidRPr="00980BBE">
        <w:rPr>
          <w:rFonts w:ascii="Arial" w:hAnsi="Arial" w:cs="Arial"/>
          <w:sz w:val="22"/>
          <w:szCs w:val="22"/>
        </w:rPr>
        <w:t>, and stricter licensing r</w:t>
      </w:r>
      <w:r w:rsidR="00DD4B29" w:rsidRPr="00980BBE">
        <w:rPr>
          <w:rFonts w:ascii="Arial" w:hAnsi="Arial" w:cs="Arial"/>
          <w:sz w:val="22"/>
          <w:szCs w:val="22"/>
        </w:rPr>
        <w:t>egulations</w:t>
      </w:r>
      <w:r w:rsidRPr="00980BBE">
        <w:rPr>
          <w:rFonts w:ascii="Arial" w:hAnsi="Arial" w:cs="Arial"/>
          <w:sz w:val="22"/>
          <w:szCs w:val="22"/>
        </w:rPr>
        <w:t xml:space="preserve">, UK alcohol policy increasingly </w:t>
      </w:r>
      <w:r w:rsidR="00DD4B29" w:rsidRPr="00980BBE">
        <w:rPr>
          <w:rFonts w:ascii="Arial" w:hAnsi="Arial" w:cs="Arial"/>
          <w:sz w:val="22"/>
          <w:szCs w:val="22"/>
        </w:rPr>
        <w:t xml:space="preserve">targeted </w:t>
      </w:r>
      <w:r w:rsidRPr="00980BBE">
        <w:rPr>
          <w:rFonts w:ascii="Arial" w:hAnsi="Arial" w:cs="Arial"/>
          <w:sz w:val="22"/>
          <w:szCs w:val="22"/>
        </w:rPr>
        <w:t xml:space="preserve">population-level consumption to </w:t>
      </w:r>
      <w:r w:rsidR="00E51D35" w:rsidRPr="00980BBE">
        <w:rPr>
          <w:rFonts w:ascii="Arial" w:hAnsi="Arial" w:cs="Arial"/>
          <w:sz w:val="22"/>
          <w:szCs w:val="22"/>
        </w:rPr>
        <w:t>mitigate</w:t>
      </w:r>
      <w:r w:rsidR="00440F3B" w:rsidRPr="00980BBE">
        <w:rPr>
          <w:rFonts w:ascii="Arial" w:hAnsi="Arial" w:cs="Arial"/>
          <w:sz w:val="22"/>
          <w:szCs w:val="22"/>
        </w:rPr>
        <w:t xml:space="preserve"> </w:t>
      </w:r>
      <w:r w:rsidR="00E51D35" w:rsidRPr="00980BBE">
        <w:rPr>
          <w:rFonts w:ascii="Arial" w:hAnsi="Arial" w:cs="Arial"/>
          <w:sz w:val="22"/>
          <w:szCs w:val="22"/>
        </w:rPr>
        <w:t xml:space="preserve">alcohol-related </w:t>
      </w:r>
      <w:r w:rsidRPr="00980BBE">
        <w:rPr>
          <w:rFonts w:ascii="Arial" w:hAnsi="Arial" w:cs="Arial"/>
          <w:sz w:val="22"/>
          <w:szCs w:val="22"/>
        </w:rPr>
        <w:t xml:space="preserve"> harm. MUP, which implemented in Scotland in 2018, establishes a floor price per unit of alcohol with the </w:t>
      </w:r>
      <w:r w:rsidR="00440F3B" w:rsidRPr="00980BBE">
        <w:rPr>
          <w:rFonts w:ascii="Arial" w:hAnsi="Arial" w:cs="Arial"/>
          <w:sz w:val="22"/>
          <w:szCs w:val="22"/>
        </w:rPr>
        <w:t>objective</w:t>
      </w:r>
      <w:r w:rsidRPr="00980BBE">
        <w:rPr>
          <w:rFonts w:ascii="Arial" w:hAnsi="Arial" w:cs="Arial"/>
          <w:sz w:val="22"/>
          <w:szCs w:val="22"/>
        </w:rPr>
        <w:t xml:space="preserve"> of reducing </w:t>
      </w:r>
      <w:r w:rsidR="003D1A6F" w:rsidRPr="00980BBE">
        <w:rPr>
          <w:rFonts w:ascii="Arial" w:hAnsi="Arial" w:cs="Arial"/>
          <w:sz w:val="22"/>
          <w:szCs w:val="22"/>
        </w:rPr>
        <w:t xml:space="preserve">consumption of cheap, high-strength </w:t>
      </w:r>
      <w:r w:rsidR="009470C1" w:rsidRPr="00980BBE">
        <w:rPr>
          <w:rFonts w:ascii="Arial" w:hAnsi="Arial" w:cs="Arial"/>
          <w:sz w:val="22"/>
          <w:szCs w:val="22"/>
        </w:rPr>
        <w:t>alcoho</w:t>
      </w:r>
      <w:r w:rsidR="007C6752" w:rsidRPr="00980BBE">
        <w:rPr>
          <w:rFonts w:ascii="Arial" w:hAnsi="Arial" w:cs="Arial"/>
          <w:sz w:val="22"/>
          <w:szCs w:val="22"/>
        </w:rPr>
        <w:t>lic</w:t>
      </w:r>
      <w:r w:rsidR="009470C1" w:rsidRPr="00980BBE">
        <w:rPr>
          <w:rFonts w:ascii="Arial" w:hAnsi="Arial" w:cs="Arial"/>
          <w:sz w:val="22"/>
          <w:szCs w:val="22"/>
        </w:rPr>
        <w:t xml:space="preserve"> beverages </w:t>
      </w:r>
      <w:r w:rsidR="007C6752" w:rsidRPr="00980BBE">
        <w:rPr>
          <w:rFonts w:ascii="Arial" w:hAnsi="Arial" w:cs="Arial"/>
          <w:sz w:val="22"/>
          <w:szCs w:val="22"/>
        </w:rPr>
        <w:t xml:space="preserve">among </w:t>
      </w:r>
      <w:r w:rsidRPr="00980BBE">
        <w:rPr>
          <w:rFonts w:ascii="Arial" w:hAnsi="Arial" w:cs="Arial"/>
          <w:sz w:val="22"/>
          <w:szCs w:val="22"/>
        </w:rPr>
        <w:t>heavy drinkers</w:t>
      </w:r>
      <w:r w:rsidR="007C6752" w:rsidRPr="00980BBE">
        <w:rPr>
          <w:rFonts w:ascii="Arial" w:hAnsi="Arial" w:cs="Arial"/>
          <w:sz w:val="22"/>
          <w:szCs w:val="22"/>
        </w:rPr>
        <w:t xml:space="preserve"> </w:t>
      </w:r>
      <w:r w:rsidRPr="00980BBE">
        <w:rPr>
          <w:rFonts w:ascii="Arial" w:hAnsi="Arial" w:cs="Arial"/>
          <w:sz w:val="22"/>
          <w:szCs w:val="22"/>
        </w:rPr>
        <w:t xml:space="preserve">(Beeston et al., 2020; Giles, Robinson, and Beeston, 2019). Although current regulations are not dementia-specific, evidence </w:t>
      </w:r>
      <w:r w:rsidR="007C6752" w:rsidRPr="00980BBE">
        <w:rPr>
          <w:rFonts w:ascii="Arial" w:hAnsi="Arial" w:cs="Arial"/>
          <w:sz w:val="22"/>
          <w:szCs w:val="22"/>
        </w:rPr>
        <w:t>indicates</w:t>
      </w:r>
      <w:r w:rsidRPr="00980BBE">
        <w:rPr>
          <w:rFonts w:ascii="Arial" w:hAnsi="Arial" w:cs="Arial"/>
          <w:sz w:val="22"/>
          <w:szCs w:val="22"/>
        </w:rPr>
        <w:t xml:space="preserve"> that MUP reduces purchases of high-strength alcohol, </w:t>
      </w:r>
      <w:r w:rsidR="00F47B14" w:rsidRPr="00980BBE">
        <w:rPr>
          <w:rFonts w:ascii="Arial" w:hAnsi="Arial" w:cs="Arial"/>
          <w:sz w:val="22"/>
          <w:szCs w:val="22"/>
        </w:rPr>
        <w:t xml:space="preserve">thereby </w:t>
      </w:r>
      <w:r w:rsidRPr="00980BBE">
        <w:rPr>
          <w:rFonts w:ascii="Arial" w:hAnsi="Arial" w:cs="Arial"/>
          <w:sz w:val="22"/>
          <w:szCs w:val="22"/>
        </w:rPr>
        <w:t>indirectly lowering dementia risk.</w:t>
      </w:r>
    </w:p>
    <w:p w14:paraId="3A8DAA18" w14:textId="68FDDA43" w:rsidR="00BC3FD5" w:rsidRPr="00980BBE" w:rsidRDefault="00BC3FD5" w:rsidP="001D2D05">
      <w:pPr>
        <w:spacing w:line="360" w:lineRule="auto"/>
        <w:rPr>
          <w:rFonts w:ascii="Arial" w:hAnsi="Arial" w:cs="Arial"/>
          <w:sz w:val="22"/>
          <w:szCs w:val="22"/>
        </w:rPr>
      </w:pPr>
      <w:r w:rsidRPr="00980BBE">
        <w:rPr>
          <w:rFonts w:ascii="Arial" w:hAnsi="Arial" w:cs="Arial"/>
          <w:sz w:val="22"/>
          <w:szCs w:val="22"/>
        </w:rPr>
        <w:t>To prevent cognitive decline, the World Health Organization</w:t>
      </w:r>
      <w:r w:rsidR="008F65E3" w:rsidRPr="00980BBE">
        <w:rPr>
          <w:rFonts w:ascii="Arial" w:hAnsi="Arial" w:cs="Arial"/>
          <w:sz w:val="22"/>
          <w:szCs w:val="22"/>
        </w:rPr>
        <w:t>,</w:t>
      </w:r>
      <w:r w:rsidRPr="00980BBE">
        <w:rPr>
          <w:rFonts w:ascii="Arial" w:hAnsi="Arial" w:cs="Arial"/>
          <w:sz w:val="22"/>
          <w:szCs w:val="22"/>
        </w:rPr>
        <w:t xml:space="preserve"> Global Action Plan on Dementia emphasizes </w:t>
      </w:r>
      <w:r w:rsidR="00F47B14" w:rsidRPr="00980BBE">
        <w:rPr>
          <w:rFonts w:ascii="Arial" w:hAnsi="Arial" w:cs="Arial"/>
          <w:sz w:val="22"/>
          <w:szCs w:val="22"/>
        </w:rPr>
        <w:t>the reduction</w:t>
      </w:r>
      <w:r w:rsidR="003D2A1B" w:rsidRPr="00980BBE">
        <w:rPr>
          <w:rFonts w:ascii="Arial" w:hAnsi="Arial" w:cs="Arial"/>
          <w:sz w:val="22"/>
          <w:szCs w:val="22"/>
        </w:rPr>
        <w:t xml:space="preserve"> of </w:t>
      </w:r>
      <w:r w:rsidRPr="00980BBE">
        <w:rPr>
          <w:rFonts w:ascii="Arial" w:hAnsi="Arial" w:cs="Arial"/>
          <w:sz w:val="22"/>
          <w:szCs w:val="22"/>
        </w:rPr>
        <w:t xml:space="preserve">modifiable risk factors, </w:t>
      </w:r>
      <w:r w:rsidR="003D2A1B" w:rsidRPr="00980BBE">
        <w:rPr>
          <w:rFonts w:ascii="Arial" w:hAnsi="Arial" w:cs="Arial"/>
          <w:sz w:val="22"/>
          <w:szCs w:val="22"/>
        </w:rPr>
        <w:t xml:space="preserve">including </w:t>
      </w:r>
      <w:r w:rsidRPr="00980BBE">
        <w:rPr>
          <w:rFonts w:ascii="Arial" w:hAnsi="Arial" w:cs="Arial"/>
          <w:sz w:val="22"/>
          <w:szCs w:val="22"/>
        </w:rPr>
        <w:t xml:space="preserve">alcohol </w:t>
      </w:r>
      <w:r w:rsidR="003D2A1B" w:rsidRPr="00980BBE">
        <w:rPr>
          <w:rFonts w:ascii="Arial" w:hAnsi="Arial" w:cs="Arial"/>
          <w:sz w:val="22"/>
          <w:szCs w:val="22"/>
        </w:rPr>
        <w:t>mi</w:t>
      </w:r>
      <w:r w:rsidR="00E17062" w:rsidRPr="00980BBE">
        <w:rPr>
          <w:rFonts w:ascii="Arial" w:hAnsi="Arial" w:cs="Arial"/>
          <w:sz w:val="22"/>
          <w:szCs w:val="22"/>
        </w:rPr>
        <w:t>suse</w:t>
      </w:r>
      <w:r w:rsidRPr="00980BBE">
        <w:rPr>
          <w:rFonts w:ascii="Arial" w:hAnsi="Arial" w:cs="Arial"/>
          <w:sz w:val="22"/>
          <w:szCs w:val="22"/>
        </w:rPr>
        <w:t xml:space="preserve">. The strategy </w:t>
      </w:r>
      <w:r w:rsidR="00E17062" w:rsidRPr="00980BBE">
        <w:rPr>
          <w:rFonts w:ascii="Arial" w:hAnsi="Arial" w:cs="Arial"/>
          <w:sz w:val="22"/>
          <w:szCs w:val="22"/>
        </w:rPr>
        <w:t>advocates</w:t>
      </w:r>
      <w:r w:rsidR="00F25FCF" w:rsidRPr="00980BBE">
        <w:rPr>
          <w:rFonts w:ascii="Arial" w:hAnsi="Arial" w:cs="Arial"/>
          <w:sz w:val="22"/>
          <w:szCs w:val="22"/>
        </w:rPr>
        <w:t xml:space="preserve"> for the</w:t>
      </w:r>
      <w:r w:rsidRPr="00980BBE">
        <w:rPr>
          <w:rFonts w:ascii="Arial" w:hAnsi="Arial" w:cs="Arial"/>
          <w:sz w:val="22"/>
          <w:szCs w:val="22"/>
        </w:rPr>
        <w:t xml:space="preserve"> integrating </w:t>
      </w:r>
      <w:r w:rsidR="00F25FCF" w:rsidRPr="00980BBE">
        <w:rPr>
          <w:rFonts w:ascii="Arial" w:hAnsi="Arial" w:cs="Arial"/>
          <w:sz w:val="22"/>
          <w:szCs w:val="22"/>
        </w:rPr>
        <w:t xml:space="preserve">of </w:t>
      </w:r>
      <w:r w:rsidRPr="00980BBE">
        <w:rPr>
          <w:rFonts w:ascii="Arial" w:hAnsi="Arial" w:cs="Arial"/>
          <w:sz w:val="22"/>
          <w:szCs w:val="22"/>
        </w:rPr>
        <w:t xml:space="preserve">community support, early detection, education, and population-level interventions. </w:t>
      </w:r>
      <w:r w:rsidR="00B336AD" w:rsidRPr="00980BBE">
        <w:rPr>
          <w:rFonts w:ascii="Arial" w:hAnsi="Arial" w:cs="Arial"/>
          <w:sz w:val="22"/>
          <w:szCs w:val="22"/>
        </w:rPr>
        <w:t>N</w:t>
      </w:r>
      <w:r w:rsidR="00F25FCF" w:rsidRPr="00980BBE">
        <w:rPr>
          <w:rFonts w:ascii="Arial" w:hAnsi="Arial" w:cs="Arial"/>
          <w:sz w:val="22"/>
          <w:szCs w:val="22"/>
        </w:rPr>
        <w:t>evertheless</w:t>
      </w:r>
      <w:r w:rsidR="00B336AD" w:rsidRPr="00980BBE">
        <w:rPr>
          <w:rFonts w:ascii="Arial" w:hAnsi="Arial" w:cs="Arial"/>
          <w:sz w:val="22"/>
          <w:szCs w:val="22"/>
        </w:rPr>
        <w:t>,</w:t>
      </w:r>
      <w:r w:rsidRPr="00980BBE">
        <w:rPr>
          <w:rFonts w:ascii="Arial" w:hAnsi="Arial" w:cs="Arial"/>
          <w:sz w:val="22"/>
          <w:szCs w:val="22"/>
        </w:rPr>
        <w:t xml:space="preserve"> </w:t>
      </w:r>
      <w:r w:rsidR="00B336AD" w:rsidRPr="00980BBE">
        <w:rPr>
          <w:rFonts w:ascii="Arial" w:hAnsi="Arial" w:cs="Arial"/>
          <w:sz w:val="22"/>
          <w:szCs w:val="22"/>
        </w:rPr>
        <w:t xml:space="preserve">significant </w:t>
      </w:r>
      <w:r w:rsidRPr="00980BBE">
        <w:rPr>
          <w:rFonts w:ascii="Arial" w:hAnsi="Arial" w:cs="Arial"/>
          <w:sz w:val="22"/>
          <w:szCs w:val="22"/>
        </w:rPr>
        <w:t xml:space="preserve">gaps </w:t>
      </w:r>
      <w:r w:rsidR="00B336AD" w:rsidRPr="00980BBE">
        <w:rPr>
          <w:rFonts w:ascii="Arial" w:hAnsi="Arial" w:cs="Arial"/>
          <w:sz w:val="22"/>
          <w:szCs w:val="22"/>
        </w:rPr>
        <w:t>remain in eluc</w:t>
      </w:r>
      <w:r w:rsidR="00D45C79" w:rsidRPr="00980BBE">
        <w:rPr>
          <w:rFonts w:ascii="Arial" w:hAnsi="Arial" w:cs="Arial"/>
          <w:sz w:val="22"/>
          <w:szCs w:val="22"/>
        </w:rPr>
        <w:t xml:space="preserve">idating </w:t>
      </w:r>
      <w:r w:rsidRPr="00980BBE">
        <w:rPr>
          <w:rFonts w:ascii="Arial" w:hAnsi="Arial" w:cs="Arial"/>
          <w:sz w:val="22"/>
          <w:szCs w:val="22"/>
        </w:rPr>
        <w:t xml:space="preserve">the direct relationship between alcohol policy and </w:t>
      </w:r>
      <w:r w:rsidR="00D45C79" w:rsidRPr="00980BBE">
        <w:rPr>
          <w:rFonts w:ascii="Arial" w:hAnsi="Arial" w:cs="Arial"/>
          <w:sz w:val="22"/>
          <w:szCs w:val="22"/>
        </w:rPr>
        <w:t>cognitive health outcomes</w:t>
      </w:r>
      <w:r w:rsidRPr="00980BBE">
        <w:rPr>
          <w:rFonts w:ascii="Arial" w:hAnsi="Arial" w:cs="Arial"/>
          <w:sz w:val="22"/>
          <w:szCs w:val="22"/>
        </w:rPr>
        <w:t xml:space="preserve">. Incorporating neurocognitive metrics into policy evaluation </w:t>
      </w:r>
      <w:r w:rsidR="00CC3202" w:rsidRPr="00980BBE">
        <w:rPr>
          <w:rFonts w:ascii="Arial" w:hAnsi="Arial" w:cs="Arial"/>
          <w:sz w:val="22"/>
          <w:szCs w:val="22"/>
        </w:rPr>
        <w:t xml:space="preserve">could </w:t>
      </w:r>
      <w:r w:rsidR="00423CDE" w:rsidRPr="00980BBE">
        <w:rPr>
          <w:rFonts w:ascii="Arial" w:hAnsi="Arial" w:cs="Arial"/>
          <w:sz w:val="22"/>
          <w:szCs w:val="22"/>
        </w:rPr>
        <w:t xml:space="preserve">enhance </w:t>
      </w:r>
      <w:r w:rsidRPr="00980BBE">
        <w:rPr>
          <w:rFonts w:ascii="Arial" w:hAnsi="Arial" w:cs="Arial"/>
          <w:sz w:val="22"/>
          <w:szCs w:val="22"/>
        </w:rPr>
        <w:t>intervention</w:t>
      </w:r>
      <w:r w:rsidR="00D302A0" w:rsidRPr="00980BBE">
        <w:rPr>
          <w:rFonts w:ascii="Arial" w:hAnsi="Arial" w:cs="Arial"/>
          <w:sz w:val="22"/>
          <w:szCs w:val="22"/>
        </w:rPr>
        <w:t xml:space="preserve"> efficacy </w:t>
      </w:r>
      <w:r w:rsidRPr="00980BBE">
        <w:rPr>
          <w:rFonts w:ascii="Arial" w:hAnsi="Arial" w:cs="Arial"/>
          <w:sz w:val="22"/>
          <w:szCs w:val="22"/>
        </w:rPr>
        <w:t xml:space="preserve">and </w:t>
      </w:r>
      <w:r w:rsidR="00D302A0" w:rsidRPr="00980BBE">
        <w:rPr>
          <w:rFonts w:ascii="Arial" w:hAnsi="Arial" w:cs="Arial"/>
          <w:sz w:val="22"/>
          <w:szCs w:val="22"/>
        </w:rPr>
        <w:t>enable</w:t>
      </w:r>
      <w:r w:rsidRPr="00980BBE">
        <w:rPr>
          <w:rFonts w:ascii="Arial" w:hAnsi="Arial" w:cs="Arial"/>
          <w:sz w:val="22"/>
          <w:szCs w:val="22"/>
        </w:rPr>
        <w:t xml:space="preserve"> quantifiable </w:t>
      </w:r>
      <w:r w:rsidR="00D302A0" w:rsidRPr="00980BBE">
        <w:rPr>
          <w:rFonts w:ascii="Arial" w:hAnsi="Arial" w:cs="Arial"/>
          <w:sz w:val="22"/>
          <w:szCs w:val="22"/>
        </w:rPr>
        <w:t>reduction</w:t>
      </w:r>
      <w:r w:rsidR="00A15902" w:rsidRPr="00980BBE">
        <w:rPr>
          <w:rFonts w:ascii="Arial" w:hAnsi="Arial" w:cs="Arial"/>
          <w:sz w:val="22"/>
          <w:szCs w:val="22"/>
        </w:rPr>
        <w:t xml:space="preserve"> </w:t>
      </w:r>
      <w:r w:rsidRPr="00980BBE">
        <w:rPr>
          <w:rFonts w:ascii="Arial" w:hAnsi="Arial" w:cs="Arial"/>
          <w:sz w:val="22"/>
          <w:szCs w:val="22"/>
        </w:rPr>
        <w:t>in the incidence of YOD.</w:t>
      </w:r>
    </w:p>
    <w:p w14:paraId="625E86E2" w14:textId="0CC8EC95" w:rsidR="00735909" w:rsidRPr="00266F7A" w:rsidRDefault="00735909" w:rsidP="001D2D05">
      <w:pPr>
        <w:spacing w:line="360" w:lineRule="auto"/>
        <w:rPr>
          <w:rFonts w:ascii="Arial" w:hAnsi="Arial" w:cs="Arial"/>
          <w:b/>
          <w:bCs/>
          <w:sz w:val="28"/>
          <w:szCs w:val="28"/>
          <w:u w:val="single"/>
        </w:rPr>
      </w:pPr>
      <w:bookmarkStart w:id="41" w:name="_Toc225966634"/>
      <w:r w:rsidRPr="00266F7A">
        <w:rPr>
          <w:rStyle w:val="Heading1Char"/>
          <w:rFonts w:ascii="Arial" w:hAnsi="Arial" w:cs="Arial"/>
          <w:b/>
          <w:bCs/>
          <w:color w:val="auto"/>
          <w:sz w:val="28"/>
          <w:szCs w:val="28"/>
          <w:u w:val="single"/>
        </w:rPr>
        <w:t>Positive Implications</w:t>
      </w:r>
      <w:bookmarkEnd w:id="41"/>
    </w:p>
    <w:p w14:paraId="2AB03A3D" w14:textId="77777777" w:rsidR="000A73EE" w:rsidRPr="00980BBE" w:rsidRDefault="000A73EE" w:rsidP="001D2D05">
      <w:pPr>
        <w:spacing w:line="360" w:lineRule="auto"/>
        <w:rPr>
          <w:rFonts w:ascii="Arial" w:hAnsi="Arial" w:cs="Arial"/>
          <w:sz w:val="22"/>
          <w:szCs w:val="22"/>
        </w:rPr>
      </w:pPr>
      <w:r w:rsidRPr="00980BBE">
        <w:rPr>
          <w:rFonts w:ascii="Arial" w:hAnsi="Arial" w:cs="Arial"/>
          <w:sz w:val="22"/>
          <w:szCs w:val="22"/>
        </w:rPr>
        <w:t xml:space="preserve">Early detection and treatment of ARBD can prevent or lessen cognitive decline, enhancing quality of life and preserving functional independence (Smith et al., 2025). Furthermore, </w:t>
      </w:r>
      <w:r w:rsidRPr="00980BBE">
        <w:rPr>
          <w:rFonts w:ascii="Arial" w:hAnsi="Arial" w:cs="Arial"/>
          <w:sz w:val="22"/>
          <w:szCs w:val="22"/>
        </w:rPr>
        <w:lastRenderedPageBreak/>
        <w:t>policies that target alcohol consumption, such Minimum Unit Pricing (MUP), have demonstrated the ability to lower population-level alcohol-related harm.</w:t>
      </w:r>
    </w:p>
    <w:p w14:paraId="5B04DA23" w14:textId="4B3D6142" w:rsidR="00735909" w:rsidRPr="00266F7A" w:rsidRDefault="00735909" w:rsidP="00E74CD6">
      <w:pPr>
        <w:pStyle w:val="Heading1"/>
        <w:rPr>
          <w:rFonts w:ascii="Arial" w:hAnsi="Arial" w:cs="Arial"/>
          <w:b/>
          <w:bCs/>
          <w:color w:val="auto"/>
          <w:sz w:val="28"/>
          <w:szCs w:val="28"/>
          <w:u w:val="single"/>
        </w:rPr>
      </w:pPr>
      <w:bookmarkStart w:id="42" w:name="_Toc225966635"/>
      <w:r w:rsidRPr="00266F7A">
        <w:rPr>
          <w:rFonts w:ascii="Arial" w:hAnsi="Arial" w:cs="Arial"/>
          <w:b/>
          <w:bCs/>
          <w:color w:val="auto"/>
          <w:sz w:val="28"/>
          <w:szCs w:val="28"/>
          <w:u w:val="single"/>
        </w:rPr>
        <w:t>Negative Implications</w:t>
      </w:r>
      <w:bookmarkEnd w:id="42"/>
    </w:p>
    <w:p w14:paraId="2B022108" w14:textId="77777777" w:rsidR="0058689F" w:rsidRPr="00980BBE" w:rsidRDefault="0058689F" w:rsidP="001D2D05">
      <w:pPr>
        <w:spacing w:line="360" w:lineRule="auto"/>
        <w:rPr>
          <w:rFonts w:ascii="Arial" w:hAnsi="Arial" w:cs="Arial"/>
          <w:sz w:val="22"/>
          <w:szCs w:val="22"/>
        </w:rPr>
      </w:pPr>
      <w:r w:rsidRPr="00980BBE">
        <w:rPr>
          <w:rFonts w:ascii="Arial" w:hAnsi="Arial" w:cs="Arial"/>
          <w:sz w:val="22"/>
          <w:szCs w:val="22"/>
        </w:rPr>
        <w:t>The efficacy of early ARBD detection and treatments may be hampered by stigma, disjointed healthcare systems, and socioeconomic disadvantage (Mellinger et al., 2018). Furthermore, wasted opportunities for prompt treatment and cognitive recovery may result from the delayed start of symptoms and frequent misdiagnosis.</w:t>
      </w:r>
    </w:p>
    <w:p w14:paraId="7F54575F" w14:textId="6488824C" w:rsidR="00735909" w:rsidRPr="00266F7A" w:rsidRDefault="00735909" w:rsidP="00E74CD6">
      <w:pPr>
        <w:pStyle w:val="Heading1"/>
        <w:rPr>
          <w:rFonts w:ascii="Arial" w:hAnsi="Arial" w:cs="Arial"/>
          <w:b/>
          <w:bCs/>
          <w:color w:val="auto"/>
          <w:sz w:val="28"/>
          <w:szCs w:val="28"/>
          <w:u w:val="single"/>
        </w:rPr>
      </w:pPr>
      <w:bookmarkStart w:id="43" w:name="_Toc225966636"/>
      <w:r w:rsidRPr="00266F7A">
        <w:rPr>
          <w:rFonts w:ascii="Arial" w:hAnsi="Arial" w:cs="Arial"/>
          <w:b/>
          <w:bCs/>
          <w:color w:val="auto"/>
          <w:sz w:val="28"/>
          <w:szCs w:val="28"/>
          <w:u w:val="single"/>
        </w:rPr>
        <w:t>Literature Examples</w:t>
      </w:r>
      <w:bookmarkEnd w:id="43"/>
    </w:p>
    <w:p w14:paraId="61A8C74E" w14:textId="77777777" w:rsidR="00735909" w:rsidRPr="00980BBE" w:rsidRDefault="00735909" w:rsidP="001D2D05">
      <w:pPr>
        <w:spacing w:line="360" w:lineRule="auto"/>
        <w:rPr>
          <w:rFonts w:ascii="Arial" w:hAnsi="Arial" w:cs="Arial"/>
          <w:sz w:val="22"/>
          <w:szCs w:val="22"/>
        </w:rPr>
      </w:pPr>
      <w:r w:rsidRPr="00980BBE">
        <w:rPr>
          <w:rFonts w:ascii="Arial" w:hAnsi="Arial" w:cs="Arial"/>
          <w:b/>
          <w:bCs/>
          <w:sz w:val="22"/>
          <w:szCs w:val="22"/>
        </w:rPr>
        <w:t>Several studies support this theme</w:t>
      </w:r>
      <w:r w:rsidRPr="00980BBE">
        <w:rPr>
          <w:rFonts w:ascii="Arial" w:hAnsi="Arial" w:cs="Arial"/>
          <w:sz w:val="22"/>
          <w:szCs w:val="22"/>
        </w:rPr>
        <w:t>:</w:t>
      </w:r>
    </w:p>
    <w:p w14:paraId="22F2D57A" w14:textId="2E0C9953" w:rsidR="00735909" w:rsidRPr="00980BBE" w:rsidRDefault="00735909" w:rsidP="001D2D05">
      <w:pPr>
        <w:numPr>
          <w:ilvl w:val="0"/>
          <w:numId w:val="36"/>
        </w:numPr>
        <w:spacing w:line="360" w:lineRule="auto"/>
        <w:rPr>
          <w:rFonts w:ascii="Arial" w:hAnsi="Arial" w:cs="Arial"/>
          <w:sz w:val="22"/>
          <w:szCs w:val="22"/>
        </w:rPr>
      </w:pPr>
      <w:r w:rsidRPr="00980BBE">
        <w:rPr>
          <w:rFonts w:ascii="Arial" w:hAnsi="Arial" w:cs="Arial"/>
          <w:sz w:val="22"/>
          <w:szCs w:val="22"/>
        </w:rPr>
        <w:t xml:space="preserve">Ridley, </w:t>
      </w:r>
      <w:r w:rsidR="00126804" w:rsidRPr="00980BBE">
        <w:rPr>
          <w:rFonts w:ascii="Arial" w:hAnsi="Arial" w:cs="Arial"/>
          <w:sz w:val="22"/>
          <w:szCs w:val="22"/>
        </w:rPr>
        <w:t>Draper,</w:t>
      </w:r>
      <w:r w:rsidRPr="00980BBE">
        <w:rPr>
          <w:rFonts w:ascii="Arial" w:hAnsi="Arial" w:cs="Arial"/>
          <w:sz w:val="22"/>
          <w:szCs w:val="22"/>
        </w:rPr>
        <w:t xml:space="preserve"> and Withall (2013</w:t>
      </w:r>
      <w:r w:rsidR="00D879B9" w:rsidRPr="00980BBE">
        <w:rPr>
          <w:rFonts w:ascii="Arial" w:hAnsi="Arial" w:cs="Arial"/>
          <w:sz w:val="22"/>
          <w:szCs w:val="22"/>
        </w:rPr>
        <w:t>b</w:t>
      </w:r>
      <w:r w:rsidRPr="00980BBE">
        <w:rPr>
          <w:rFonts w:ascii="Arial" w:hAnsi="Arial" w:cs="Arial"/>
          <w:sz w:val="22"/>
          <w:szCs w:val="22"/>
        </w:rPr>
        <w:t>) emphasised diagnostic challenges due to overlapping symptoms with other dementias, underlining the need for specialized assessment.</w:t>
      </w:r>
    </w:p>
    <w:p w14:paraId="58F47080" w14:textId="77777777" w:rsidR="00735909" w:rsidRPr="00980BBE" w:rsidRDefault="00735909" w:rsidP="001D2D05">
      <w:pPr>
        <w:numPr>
          <w:ilvl w:val="0"/>
          <w:numId w:val="36"/>
        </w:numPr>
        <w:spacing w:line="360" w:lineRule="auto"/>
        <w:rPr>
          <w:rFonts w:ascii="Arial" w:hAnsi="Arial" w:cs="Arial"/>
          <w:sz w:val="22"/>
          <w:szCs w:val="22"/>
        </w:rPr>
      </w:pPr>
      <w:r w:rsidRPr="00980BBE">
        <w:rPr>
          <w:rFonts w:ascii="Arial" w:hAnsi="Arial" w:cs="Arial"/>
          <w:sz w:val="22"/>
          <w:szCs w:val="22"/>
        </w:rPr>
        <w:t>Petrović, Peraica and Kozarić-Kovačić (2025) called for standardized diagnostic criteria to improve early recognition of ARBD.</w:t>
      </w:r>
    </w:p>
    <w:p w14:paraId="348CCDC5" w14:textId="7D61DFB5" w:rsidR="00735909" w:rsidRPr="00980BBE" w:rsidRDefault="00A07263" w:rsidP="001D2D05">
      <w:pPr>
        <w:numPr>
          <w:ilvl w:val="0"/>
          <w:numId w:val="36"/>
        </w:numPr>
        <w:spacing w:line="360" w:lineRule="auto"/>
        <w:rPr>
          <w:rFonts w:ascii="Arial" w:hAnsi="Arial" w:cs="Arial"/>
          <w:sz w:val="22"/>
          <w:szCs w:val="22"/>
        </w:rPr>
      </w:pPr>
      <w:r>
        <w:rPr>
          <w:rFonts w:ascii="Arial" w:hAnsi="Arial" w:cs="Arial"/>
          <w:sz w:val="22"/>
          <w:szCs w:val="22"/>
        </w:rPr>
        <w:t xml:space="preserve">According to </w:t>
      </w:r>
      <w:r w:rsidR="00735909" w:rsidRPr="00980BBE">
        <w:rPr>
          <w:rFonts w:ascii="Arial" w:hAnsi="Arial" w:cs="Arial"/>
          <w:sz w:val="22"/>
          <w:szCs w:val="22"/>
        </w:rPr>
        <w:t>Cipriani et al. (2020</w:t>
      </w:r>
      <w:r w:rsidR="002E6879" w:rsidRPr="00980BBE">
        <w:rPr>
          <w:rFonts w:ascii="Arial" w:hAnsi="Arial" w:cs="Arial"/>
          <w:sz w:val="22"/>
          <w:szCs w:val="22"/>
        </w:rPr>
        <w:t>b</w:t>
      </w:r>
      <w:r w:rsidR="00735909" w:rsidRPr="00980BBE">
        <w:rPr>
          <w:rFonts w:ascii="Arial" w:hAnsi="Arial" w:cs="Arial"/>
          <w:sz w:val="22"/>
          <w:szCs w:val="22"/>
        </w:rPr>
        <w:t xml:space="preserve">) </w:t>
      </w:r>
      <w:r>
        <w:rPr>
          <w:rFonts w:ascii="Arial" w:hAnsi="Arial" w:cs="Arial"/>
          <w:sz w:val="22"/>
          <w:szCs w:val="22"/>
        </w:rPr>
        <w:t xml:space="preserve">they </w:t>
      </w:r>
      <w:r w:rsidR="00735909" w:rsidRPr="00980BBE">
        <w:rPr>
          <w:rFonts w:ascii="Arial" w:hAnsi="Arial" w:cs="Arial"/>
          <w:sz w:val="22"/>
          <w:szCs w:val="22"/>
        </w:rPr>
        <w:t>provided epidemiological evidence linking alcohol use directly with YOD, reinforcing the theme’s relevance to modifiable risk factors.</w:t>
      </w:r>
    </w:p>
    <w:p w14:paraId="18BECE4B" w14:textId="77777777"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These studies collectively highlight the critical intersection of alcohol use and cognitive decline, supporting targeted interventions to mitigate YOD risk.</w:t>
      </w:r>
    </w:p>
    <w:p w14:paraId="6AFCD0E9" w14:textId="77777777" w:rsidR="00735909" w:rsidRPr="00266F7A" w:rsidRDefault="00735909" w:rsidP="00E74CD6">
      <w:pPr>
        <w:pStyle w:val="Heading1"/>
        <w:rPr>
          <w:rFonts w:ascii="Arial" w:hAnsi="Arial" w:cs="Arial"/>
          <w:b/>
          <w:bCs/>
          <w:color w:val="auto"/>
          <w:sz w:val="28"/>
          <w:szCs w:val="28"/>
          <w:u w:val="single"/>
        </w:rPr>
      </w:pPr>
      <w:bookmarkStart w:id="44" w:name="_Toc225966637"/>
      <w:r w:rsidRPr="00266F7A">
        <w:rPr>
          <w:rFonts w:ascii="Arial" w:hAnsi="Arial" w:cs="Arial"/>
          <w:b/>
          <w:bCs/>
          <w:color w:val="auto"/>
          <w:sz w:val="28"/>
          <w:szCs w:val="28"/>
          <w:u w:val="single"/>
        </w:rPr>
        <w:t>Connections to Other Themes</w:t>
      </w:r>
      <w:bookmarkEnd w:id="44"/>
    </w:p>
    <w:p w14:paraId="3C93556F" w14:textId="75519ED2" w:rsidR="00E7634D" w:rsidRPr="00980BBE" w:rsidRDefault="00E7634D" w:rsidP="000F50BE">
      <w:pPr>
        <w:spacing w:line="360" w:lineRule="auto"/>
        <w:rPr>
          <w:rFonts w:ascii="Arial" w:hAnsi="Arial" w:cs="Arial"/>
          <w:sz w:val="22"/>
          <w:szCs w:val="22"/>
        </w:rPr>
      </w:pPr>
      <w:r w:rsidRPr="00980BBE">
        <w:rPr>
          <w:rFonts w:ascii="Arial" w:hAnsi="Arial" w:cs="Arial"/>
          <w:sz w:val="22"/>
          <w:szCs w:val="22"/>
        </w:rPr>
        <w:t xml:space="preserve">ARBD is </w:t>
      </w:r>
      <w:r w:rsidR="004902BF" w:rsidRPr="00980BBE">
        <w:rPr>
          <w:rFonts w:ascii="Arial" w:hAnsi="Arial" w:cs="Arial"/>
          <w:sz w:val="22"/>
          <w:szCs w:val="22"/>
        </w:rPr>
        <w:t>intricately linked</w:t>
      </w:r>
      <w:r w:rsidR="00C70A3C" w:rsidRPr="00980BBE">
        <w:rPr>
          <w:rFonts w:ascii="Arial" w:hAnsi="Arial" w:cs="Arial"/>
          <w:sz w:val="22"/>
          <w:szCs w:val="22"/>
        </w:rPr>
        <w:t xml:space="preserve"> to gaps</w:t>
      </w:r>
      <w:r w:rsidR="008A55DC" w:rsidRPr="00980BBE">
        <w:rPr>
          <w:rFonts w:ascii="Arial" w:hAnsi="Arial" w:cs="Arial"/>
          <w:sz w:val="22"/>
          <w:szCs w:val="22"/>
        </w:rPr>
        <w:t xml:space="preserve"> </w:t>
      </w:r>
      <w:r w:rsidR="00C70A3C" w:rsidRPr="00980BBE">
        <w:rPr>
          <w:rFonts w:ascii="Arial" w:hAnsi="Arial" w:cs="Arial"/>
          <w:sz w:val="22"/>
          <w:szCs w:val="22"/>
        </w:rPr>
        <w:t xml:space="preserve"> </w:t>
      </w:r>
      <w:r w:rsidRPr="00980BBE">
        <w:rPr>
          <w:rFonts w:ascii="Arial" w:hAnsi="Arial" w:cs="Arial"/>
          <w:sz w:val="22"/>
          <w:szCs w:val="22"/>
        </w:rPr>
        <w:t xml:space="preserve">in public health policy (Theme 3) and socioeconomic deprivation (Theme 2), </w:t>
      </w:r>
      <w:r w:rsidR="008A55DC" w:rsidRPr="00980BBE">
        <w:rPr>
          <w:rFonts w:ascii="Arial" w:hAnsi="Arial" w:cs="Arial"/>
          <w:sz w:val="22"/>
          <w:szCs w:val="22"/>
        </w:rPr>
        <w:t>underscoring the i</w:t>
      </w:r>
      <w:r w:rsidR="00084AEF" w:rsidRPr="00980BBE">
        <w:rPr>
          <w:rFonts w:ascii="Arial" w:hAnsi="Arial" w:cs="Arial"/>
          <w:sz w:val="22"/>
          <w:szCs w:val="22"/>
        </w:rPr>
        <w:t xml:space="preserve">mportance of </w:t>
      </w:r>
      <w:r w:rsidRPr="00980BBE">
        <w:rPr>
          <w:rFonts w:ascii="Arial" w:hAnsi="Arial" w:cs="Arial"/>
          <w:sz w:val="22"/>
          <w:szCs w:val="22"/>
        </w:rPr>
        <w:t xml:space="preserve">integrated interventions (Collins, 2016b; World Health Organization 2017c; World Health Organization 2017d). </w:t>
      </w:r>
      <w:r w:rsidR="00CB0FA9" w:rsidRPr="00980BBE">
        <w:rPr>
          <w:rFonts w:ascii="Arial" w:hAnsi="Arial" w:cs="Arial"/>
          <w:sz w:val="22"/>
          <w:szCs w:val="22"/>
        </w:rPr>
        <w:t>socioeconomic dis</w:t>
      </w:r>
      <w:r w:rsidR="00153719" w:rsidRPr="00980BBE">
        <w:rPr>
          <w:rFonts w:ascii="Arial" w:hAnsi="Arial" w:cs="Arial"/>
          <w:sz w:val="22"/>
          <w:szCs w:val="22"/>
        </w:rPr>
        <w:t xml:space="preserve">advantages </w:t>
      </w:r>
      <w:r w:rsidR="00A8546F" w:rsidRPr="00980BBE">
        <w:rPr>
          <w:rFonts w:ascii="Arial" w:hAnsi="Arial" w:cs="Arial"/>
          <w:sz w:val="22"/>
          <w:szCs w:val="22"/>
        </w:rPr>
        <w:t>heighten</w:t>
      </w:r>
      <w:r w:rsidR="00153719" w:rsidRPr="00980BBE">
        <w:rPr>
          <w:rFonts w:ascii="Arial" w:hAnsi="Arial" w:cs="Arial"/>
          <w:sz w:val="22"/>
          <w:szCs w:val="22"/>
        </w:rPr>
        <w:t xml:space="preserve"> risk by limiting access to </w:t>
      </w:r>
      <w:r w:rsidR="007B7F31" w:rsidRPr="00980BBE">
        <w:rPr>
          <w:rFonts w:ascii="Arial" w:hAnsi="Arial" w:cs="Arial"/>
          <w:sz w:val="22"/>
          <w:szCs w:val="22"/>
        </w:rPr>
        <w:t>healthcare,</w:t>
      </w:r>
      <w:r w:rsidR="006D5E98" w:rsidRPr="00980BBE">
        <w:rPr>
          <w:rFonts w:ascii="Arial" w:hAnsi="Arial" w:cs="Arial"/>
          <w:sz w:val="22"/>
          <w:szCs w:val="22"/>
        </w:rPr>
        <w:t xml:space="preserve"> </w:t>
      </w:r>
      <w:r w:rsidR="007B7F31" w:rsidRPr="00980BBE">
        <w:rPr>
          <w:rFonts w:ascii="Arial" w:hAnsi="Arial" w:cs="Arial"/>
          <w:sz w:val="22"/>
          <w:szCs w:val="22"/>
        </w:rPr>
        <w:t>increasing exposure to hazardous drinking pattern</w:t>
      </w:r>
      <w:r w:rsidR="006D5E98" w:rsidRPr="00980BBE">
        <w:rPr>
          <w:rFonts w:ascii="Arial" w:hAnsi="Arial" w:cs="Arial"/>
          <w:sz w:val="22"/>
          <w:szCs w:val="22"/>
        </w:rPr>
        <w:t xml:space="preserve">s, and reducing engagement </w:t>
      </w:r>
      <w:r w:rsidR="00A8546F" w:rsidRPr="00980BBE">
        <w:rPr>
          <w:rFonts w:ascii="Arial" w:hAnsi="Arial" w:cs="Arial"/>
          <w:sz w:val="22"/>
          <w:szCs w:val="22"/>
        </w:rPr>
        <w:t xml:space="preserve">in preventative programs. </w:t>
      </w:r>
      <w:r w:rsidR="00EC2B3C" w:rsidRPr="00980BBE">
        <w:rPr>
          <w:rFonts w:ascii="Arial" w:hAnsi="Arial" w:cs="Arial"/>
          <w:sz w:val="22"/>
          <w:szCs w:val="22"/>
        </w:rPr>
        <w:t xml:space="preserve">Consequently, policies aimed </w:t>
      </w:r>
      <w:r w:rsidR="00023ED0" w:rsidRPr="00980BBE">
        <w:rPr>
          <w:rFonts w:ascii="Arial" w:hAnsi="Arial" w:cs="Arial"/>
          <w:sz w:val="22"/>
          <w:szCs w:val="22"/>
        </w:rPr>
        <w:t xml:space="preserve">at mitigating alcohol-related harm are most </w:t>
      </w:r>
      <w:r w:rsidR="005148CB" w:rsidRPr="00980BBE">
        <w:rPr>
          <w:rFonts w:ascii="Arial" w:hAnsi="Arial" w:cs="Arial"/>
          <w:sz w:val="22"/>
          <w:szCs w:val="22"/>
        </w:rPr>
        <w:t>effective when they intersect with broader social and economic sy</w:t>
      </w:r>
      <w:r w:rsidR="002F3B9F" w:rsidRPr="00980BBE">
        <w:rPr>
          <w:rFonts w:ascii="Arial" w:hAnsi="Arial" w:cs="Arial"/>
          <w:sz w:val="22"/>
          <w:szCs w:val="22"/>
        </w:rPr>
        <w:t xml:space="preserve">stem. </w:t>
      </w:r>
    </w:p>
    <w:p w14:paraId="0756C89E" w14:textId="4CECAC28" w:rsidR="006D0BB5" w:rsidRPr="00980BBE" w:rsidRDefault="000D21A8" w:rsidP="001D2D05">
      <w:pPr>
        <w:spacing w:line="360" w:lineRule="auto"/>
        <w:rPr>
          <w:rFonts w:ascii="Arial" w:hAnsi="Arial" w:cs="Arial"/>
          <w:sz w:val="22"/>
          <w:szCs w:val="22"/>
        </w:rPr>
      </w:pPr>
      <w:r w:rsidRPr="00980BBE">
        <w:rPr>
          <w:rFonts w:ascii="Arial" w:hAnsi="Arial" w:cs="Arial"/>
          <w:sz w:val="22"/>
          <w:szCs w:val="22"/>
        </w:rPr>
        <w:t xml:space="preserve">These findings </w:t>
      </w:r>
      <w:r w:rsidR="002F3B9F" w:rsidRPr="00980BBE">
        <w:rPr>
          <w:rFonts w:ascii="Arial" w:hAnsi="Arial" w:cs="Arial"/>
          <w:sz w:val="22"/>
          <w:szCs w:val="22"/>
        </w:rPr>
        <w:t xml:space="preserve">demonstrate </w:t>
      </w:r>
      <w:r w:rsidRPr="00980BBE">
        <w:rPr>
          <w:rFonts w:ascii="Arial" w:hAnsi="Arial" w:cs="Arial"/>
          <w:sz w:val="22"/>
          <w:szCs w:val="22"/>
        </w:rPr>
        <w:t xml:space="preserve">that alcohol-related brain damage cannot be fully </w:t>
      </w:r>
      <w:r w:rsidR="002F3B9F" w:rsidRPr="00980BBE">
        <w:rPr>
          <w:rFonts w:ascii="Arial" w:hAnsi="Arial" w:cs="Arial"/>
          <w:sz w:val="22"/>
          <w:szCs w:val="22"/>
        </w:rPr>
        <w:t>comp</w:t>
      </w:r>
      <w:r w:rsidR="008412B0" w:rsidRPr="00980BBE">
        <w:rPr>
          <w:rFonts w:ascii="Arial" w:hAnsi="Arial" w:cs="Arial"/>
          <w:sz w:val="22"/>
          <w:szCs w:val="22"/>
        </w:rPr>
        <w:t xml:space="preserve">rehended </w:t>
      </w:r>
      <w:r w:rsidRPr="00980BBE">
        <w:rPr>
          <w:rFonts w:ascii="Arial" w:hAnsi="Arial" w:cs="Arial"/>
          <w:sz w:val="22"/>
          <w:szCs w:val="22"/>
        </w:rPr>
        <w:t xml:space="preserve">without </w:t>
      </w:r>
      <w:r w:rsidR="008412B0" w:rsidRPr="00980BBE">
        <w:rPr>
          <w:rFonts w:ascii="Arial" w:hAnsi="Arial" w:cs="Arial"/>
          <w:sz w:val="22"/>
          <w:szCs w:val="22"/>
        </w:rPr>
        <w:t>accounting for the wider</w:t>
      </w:r>
      <w:r w:rsidRPr="00980BBE">
        <w:rPr>
          <w:rFonts w:ascii="Arial" w:hAnsi="Arial" w:cs="Arial"/>
          <w:sz w:val="22"/>
          <w:szCs w:val="22"/>
        </w:rPr>
        <w:t xml:space="preserve"> socioeconomic </w:t>
      </w:r>
      <w:r w:rsidR="008412B0" w:rsidRPr="00980BBE">
        <w:rPr>
          <w:rFonts w:ascii="Arial" w:hAnsi="Arial" w:cs="Arial"/>
          <w:sz w:val="22"/>
          <w:szCs w:val="22"/>
        </w:rPr>
        <w:t xml:space="preserve">context </w:t>
      </w:r>
      <w:r w:rsidRPr="00980BBE">
        <w:rPr>
          <w:rFonts w:ascii="Arial" w:hAnsi="Arial" w:cs="Arial"/>
          <w:sz w:val="22"/>
          <w:szCs w:val="22"/>
        </w:rPr>
        <w:t>that shape drinking behaviours and healthcare ac</w:t>
      </w:r>
      <w:r w:rsidR="008412B0" w:rsidRPr="00980BBE">
        <w:rPr>
          <w:rFonts w:ascii="Arial" w:hAnsi="Arial" w:cs="Arial"/>
          <w:sz w:val="22"/>
          <w:szCs w:val="22"/>
        </w:rPr>
        <w:t>cessibility</w:t>
      </w:r>
      <w:r w:rsidRPr="00980BBE">
        <w:rPr>
          <w:rFonts w:ascii="Arial" w:hAnsi="Arial" w:cs="Arial"/>
          <w:sz w:val="22"/>
          <w:szCs w:val="22"/>
        </w:rPr>
        <w:t>,</w:t>
      </w:r>
      <w:r w:rsidR="00B7053F" w:rsidRPr="00980BBE">
        <w:rPr>
          <w:rFonts w:ascii="Arial" w:hAnsi="Arial" w:cs="Arial"/>
          <w:sz w:val="22"/>
          <w:szCs w:val="22"/>
        </w:rPr>
        <w:t xml:space="preserve"> a theme explored further in the subsequent</w:t>
      </w:r>
      <w:r w:rsidR="000057AB" w:rsidRPr="00980BBE">
        <w:rPr>
          <w:rFonts w:ascii="Arial" w:hAnsi="Arial" w:cs="Arial"/>
          <w:sz w:val="22"/>
          <w:szCs w:val="22"/>
        </w:rPr>
        <w:t xml:space="preserve"> section</w:t>
      </w:r>
      <w:r w:rsidR="00126804" w:rsidRPr="00980BBE">
        <w:rPr>
          <w:rFonts w:ascii="Arial" w:hAnsi="Arial" w:cs="Arial"/>
          <w:sz w:val="22"/>
          <w:szCs w:val="22"/>
        </w:rPr>
        <w:t xml:space="preserve">. </w:t>
      </w:r>
    </w:p>
    <w:p w14:paraId="6B726A68" w14:textId="3E7A2B4C" w:rsidR="00735909" w:rsidRPr="00266F7A" w:rsidRDefault="00735909" w:rsidP="00E74CD6">
      <w:pPr>
        <w:pStyle w:val="Heading1"/>
        <w:rPr>
          <w:rFonts w:ascii="Arial" w:hAnsi="Arial" w:cs="Arial"/>
          <w:b/>
          <w:bCs/>
          <w:color w:val="auto"/>
          <w:sz w:val="28"/>
          <w:szCs w:val="28"/>
          <w:u w:val="single"/>
        </w:rPr>
      </w:pPr>
      <w:bookmarkStart w:id="45" w:name="_Toc225966638"/>
      <w:r w:rsidRPr="00266F7A">
        <w:rPr>
          <w:rFonts w:ascii="Arial" w:hAnsi="Arial" w:cs="Arial"/>
          <w:b/>
          <w:bCs/>
          <w:color w:val="auto"/>
          <w:sz w:val="28"/>
          <w:szCs w:val="28"/>
          <w:u w:val="single"/>
        </w:rPr>
        <w:lastRenderedPageBreak/>
        <w:t>Theme 2: Socioeconomic Deprivation and Dementia Risk</w:t>
      </w:r>
      <w:bookmarkEnd w:id="45"/>
    </w:p>
    <w:p w14:paraId="6FBB7363" w14:textId="32344DCA" w:rsidR="00E91463" w:rsidRPr="00980BBE" w:rsidRDefault="00E91463" w:rsidP="001D2D05">
      <w:pPr>
        <w:spacing w:line="360" w:lineRule="auto"/>
        <w:rPr>
          <w:rFonts w:ascii="Arial" w:hAnsi="Arial" w:cs="Arial"/>
          <w:sz w:val="22"/>
          <w:szCs w:val="22"/>
        </w:rPr>
      </w:pPr>
      <w:r w:rsidRPr="00980BBE">
        <w:rPr>
          <w:rFonts w:ascii="Arial" w:hAnsi="Arial" w:cs="Arial"/>
          <w:sz w:val="22"/>
          <w:szCs w:val="22"/>
        </w:rPr>
        <w:t xml:space="preserve">socioeconomic deprivation is </w:t>
      </w:r>
      <w:r w:rsidR="002C3A12" w:rsidRPr="00980BBE">
        <w:rPr>
          <w:rFonts w:ascii="Arial" w:hAnsi="Arial" w:cs="Arial"/>
          <w:sz w:val="22"/>
          <w:szCs w:val="22"/>
        </w:rPr>
        <w:t xml:space="preserve">defined </w:t>
      </w:r>
      <w:r w:rsidRPr="00980BBE">
        <w:rPr>
          <w:rFonts w:ascii="Arial" w:hAnsi="Arial" w:cs="Arial"/>
          <w:sz w:val="22"/>
          <w:szCs w:val="22"/>
        </w:rPr>
        <w:t>a</w:t>
      </w:r>
      <w:r w:rsidR="006E25C8" w:rsidRPr="00980BBE">
        <w:rPr>
          <w:rFonts w:ascii="Arial" w:hAnsi="Arial" w:cs="Arial"/>
          <w:sz w:val="22"/>
          <w:szCs w:val="22"/>
        </w:rPr>
        <w:t>s a condition</w:t>
      </w:r>
      <w:r w:rsidRPr="00980BBE">
        <w:rPr>
          <w:rFonts w:ascii="Arial" w:hAnsi="Arial" w:cs="Arial"/>
          <w:sz w:val="22"/>
          <w:szCs w:val="22"/>
        </w:rPr>
        <w:t xml:space="preserve"> in which </w:t>
      </w:r>
      <w:r w:rsidR="006E25C8" w:rsidRPr="00980BBE">
        <w:rPr>
          <w:rFonts w:ascii="Arial" w:hAnsi="Arial" w:cs="Arial"/>
          <w:sz w:val="22"/>
          <w:szCs w:val="22"/>
        </w:rPr>
        <w:t xml:space="preserve">individuals </w:t>
      </w:r>
      <w:r w:rsidRPr="00980BBE">
        <w:rPr>
          <w:rFonts w:ascii="Arial" w:hAnsi="Arial" w:cs="Arial"/>
          <w:sz w:val="22"/>
          <w:szCs w:val="22"/>
        </w:rPr>
        <w:t xml:space="preserve"> or communities </w:t>
      </w:r>
      <w:r w:rsidR="006E25C8" w:rsidRPr="00980BBE">
        <w:rPr>
          <w:rFonts w:ascii="Arial" w:hAnsi="Arial" w:cs="Arial"/>
          <w:sz w:val="22"/>
          <w:szCs w:val="22"/>
        </w:rPr>
        <w:t xml:space="preserve">experience a lack of </w:t>
      </w:r>
      <w:r w:rsidRPr="00980BBE">
        <w:rPr>
          <w:rFonts w:ascii="Arial" w:hAnsi="Arial" w:cs="Arial"/>
          <w:sz w:val="22"/>
          <w:szCs w:val="22"/>
        </w:rPr>
        <w:t xml:space="preserve">material and social resources, </w:t>
      </w:r>
      <w:r w:rsidR="00FE6AE3" w:rsidRPr="00980BBE">
        <w:rPr>
          <w:rFonts w:ascii="Arial" w:hAnsi="Arial" w:cs="Arial"/>
          <w:sz w:val="22"/>
          <w:szCs w:val="22"/>
        </w:rPr>
        <w:t>including</w:t>
      </w:r>
      <w:r w:rsidRPr="00980BBE">
        <w:rPr>
          <w:rFonts w:ascii="Arial" w:hAnsi="Arial" w:cs="Arial"/>
          <w:sz w:val="22"/>
          <w:szCs w:val="22"/>
        </w:rPr>
        <w:t xml:space="preserve">  low income, </w:t>
      </w:r>
      <w:r w:rsidR="00FE6AE3" w:rsidRPr="00980BBE">
        <w:rPr>
          <w:rFonts w:ascii="Arial" w:hAnsi="Arial" w:cs="Arial"/>
          <w:sz w:val="22"/>
          <w:szCs w:val="22"/>
        </w:rPr>
        <w:t>limited</w:t>
      </w:r>
      <w:r w:rsidRPr="00980BBE">
        <w:rPr>
          <w:rFonts w:ascii="Arial" w:hAnsi="Arial" w:cs="Arial"/>
          <w:sz w:val="22"/>
          <w:szCs w:val="22"/>
        </w:rPr>
        <w:t xml:space="preserve"> education, s</w:t>
      </w:r>
      <w:r w:rsidR="00C838CF" w:rsidRPr="00980BBE">
        <w:rPr>
          <w:rFonts w:ascii="Arial" w:hAnsi="Arial" w:cs="Arial"/>
          <w:sz w:val="22"/>
          <w:szCs w:val="22"/>
        </w:rPr>
        <w:t>ubstandard</w:t>
      </w:r>
      <w:r w:rsidRPr="00980BBE">
        <w:rPr>
          <w:rFonts w:ascii="Arial" w:hAnsi="Arial" w:cs="Arial"/>
          <w:sz w:val="22"/>
          <w:szCs w:val="22"/>
        </w:rPr>
        <w:t xml:space="preserve"> housing, and </w:t>
      </w:r>
      <w:r w:rsidR="00C838CF" w:rsidRPr="00980BBE">
        <w:rPr>
          <w:rFonts w:ascii="Arial" w:hAnsi="Arial" w:cs="Arial"/>
          <w:sz w:val="22"/>
          <w:szCs w:val="22"/>
        </w:rPr>
        <w:t>restricted</w:t>
      </w:r>
      <w:r w:rsidRPr="00980BBE">
        <w:rPr>
          <w:rFonts w:ascii="Arial" w:hAnsi="Arial" w:cs="Arial"/>
          <w:sz w:val="22"/>
          <w:szCs w:val="22"/>
        </w:rPr>
        <w:t xml:space="preserve"> access to social support and healthcare </w:t>
      </w:r>
      <w:r w:rsidR="00290342" w:rsidRPr="00980BBE">
        <w:rPr>
          <w:rFonts w:ascii="Arial" w:hAnsi="Arial" w:cs="Arial"/>
          <w:sz w:val="22"/>
          <w:szCs w:val="22"/>
        </w:rPr>
        <w:t xml:space="preserve">(Marmot, Bloomer, &amp; Goldblatt, 2013; Bowers et al., 2022). </w:t>
      </w:r>
      <w:r w:rsidR="00ED5B39" w:rsidRPr="00980BBE">
        <w:rPr>
          <w:rFonts w:ascii="Arial" w:hAnsi="Arial" w:cs="Arial"/>
          <w:sz w:val="22"/>
          <w:szCs w:val="22"/>
        </w:rPr>
        <w:t>Measur</w:t>
      </w:r>
      <w:r w:rsidR="00A85A55" w:rsidRPr="00980BBE">
        <w:rPr>
          <w:rFonts w:ascii="Arial" w:hAnsi="Arial" w:cs="Arial"/>
          <w:sz w:val="22"/>
          <w:szCs w:val="22"/>
        </w:rPr>
        <w:t xml:space="preserve">ement tools such as the </w:t>
      </w:r>
      <w:r w:rsidRPr="00980BBE">
        <w:rPr>
          <w:rFonts w:ascii="Arial" w:hAnsi="Arial" w:cs="Arial"/>
          <w:sz w:val="22"/>
          <w:szCs w:val="22"/>
        </w:rPr>
        <w:t xml:space="preserve">UK's Index of Multiple Deprivation (IMD), which </w:t>
      </w:r>
      <w:r w:rsidR="00967AD5" w:rsidRPr="00980BBE">
        <w:rPr>
          <w:rFonts w:ascii="Arial" w:hAnsi="Arial" w:cs="Arial"/>
          <w:sz w:val="22"/>
          <w:szCs w:val="22"/>
        </w:rPr>
        <w:t>incorporates</w:t>
      </w:r>
      <w:r w:rsidRPr="00980BBE">
        <w:rPr>
          <w:rFonts w:ascii="Arial" w:hAnsi="Arial" w:cs="Arial"/>
          <w:sz w:val="22"/>
          <w:szCs w:val="22"/>
        </w:rPr>
        <w:t xml:space="preserve"> factors </w:t>
      </w:r>
      <w:r w:rsidR="004C1D97" w:rsidRPr="00980BBE">
        <w:rPr>
          <w:rFonts w:ascii="Arial" w:hAnsi="Arial" w:cs="Arial"/>
          <w:sz w:val="22"/>
          <w:szCs w:val="22"/>
        </w:rPr>
        <w:t>such as</w:t>
      </w:r>
      <w:r w:rsidRPr="00980BBE">
        <w:rPr>
          <w:rFonts w:ascii="Arial" w:hAnsi="Arial" w:cs="Arial"/>
          <w:sz w:val="22"/>
          <w:szCs w:val="22"/>
        </w:rPr>
        <w:t xml:space="preserve"> income, </w:t>
      </w:r>
      <w:r w:rsidR="004C1D97" w:rsidRPr="00980BBE">
        <w:rPr>
          <w:rFonts w:ascii="Arial" w:hAnsi="Arial" w:cs="Arial"/>
          <w:sz w:val="22"/>
          <w:szCs w:val="22"/>
        </w:rPr>
        <w:t>employment,</w:t>
      </w:r>
      <w:r w:rsidRPr="00980BBE">
        <w:rPr>
          <w:rFonts w:ascii="Arial" w:hAnsi="Arial" w:cs="Arial"/>
          <w:sz w:val="22"/>
          <w:szCs w:val="22"/>
        </w:rPr>
        <w:t xml:space="preserve"> education, health, crime, housing, and living </w:t>
      </w:r>
      <w:r w:rsidR="004C1D97" w:rsidRPr="00980BBE">
        <w:rPr>
          <w:rFonts w:ascii="Arial" w:hAnsi="Arial" w:cs="Arial"/>
          <w:sz w:val="22"/>
          <w:szCs w:val="22"/>
        </w:rPr>
        <w:t>environment</w:t>
      </w:r>
      <w:r w:rsidRPr="00980BBE">
        <w:rPr>
          <w:rFonts w:ascii="Arial" w:hAnsi="Arial" w:cs="Arial"/>
          <w:sz w:val="22"/>
          <w:szCs w:val="22"/>
        </w:rPr>
        <w:t xml:space="preserve">, are </w:t>
      </w:r>
      <w:r w:rsidR="006127B7" w:rsidRPr="00980BBE">
        <w:rPr>
          <w:rFonts w:ascii="Arial" w:hAnsi="Arial" w:cs="Arial"/>
          <w:sz w:val="22"/>
          <w:szCs w:val="22"/>
        </w:rPr>
        <w:t>commonly employed to quan</w:t>
      </w:r>
      <w:r w:rsidR="00485AFE" w:rsidRPr="00980BBE">
        <w:rPr>
          <w:rFonts w:ascii="Arial" w:hAnsi="Arial" w:cs="Arial"/>
          <w:sz w:val="22"/>
          <w:szCs w:val="22"/>
        </w:rPr>
        <w:t>tify deprivation</w:t>
      </w:r>
      <w:r w:rsidR="00126804" w:rsidRPr="00980BBE">
        <w:rPr>
          <w:rFonts w:ascii="Arial" w:hAnsi="Arial" w:cs="Arial"/>
          <w:sz w:val="22"/>
          <w:szCs w:val="22"/>
        </w:rPr>
        <w:t xml:space="preserve">. </w:t>
      </w:r>
    </w:p>
    <w:p w14:paraId="1107230F" w14:textId="197CA779" w:rsidR="00C23D7F" w:rsidRPr="00980BBE" w:rsidRDefault="00C23D7F" w:rsidP="001D2D05">
      <w:pPr>
        <w:spacing w:line="360" w:lineRule="auto"/>
        <w:rPr>
          <w:rFonts w:ascii="Arial" w:hAnsi="Arial" w:cs="Arial"/>
          <w:sz w:val="22"/>
          <w:szCs w:val="22"/>
        </w:rPr>
      </w:pPr>
      <w:r w:rsidRPr="00980BBE">
        <w:rPr>
          <w:rFonts w:ascii="Arial" w:hAnsi="Arial" w:cs="Arial"/>
          <w:sz w:val="22"/>
          <w:szCs w:val="22"/>
        </w:rPr>
        <w:t xml:space="preserve">Young-Onset Dementia (YOD) </w:t>
      </w:r>
      <w:r w:rsidR="00A31AF6" w:rsidRPr="00980BBE">
        <w:rPr>
          <w:rFonts w:ascii="Arial" w:hAnsi="Arial" w:cs="Arial"/>
          <w:sz w:val="22"/>
          <w:szCs w:val="22"/>
        </w:rPr>
        <w:t xml:space="preserve">defined as </w:t>
      </w:r>
      <w:r w:rsidRPr="00980BBE">
        <w:rPr>
          <w:rFonts w:ascii="Arial" w:hAnsi="Arial" w:cs="Arial"/>
          <w:sz w:val="22"/>
          <w:szCs w:val="22"/>
        </w:rPr>
        <w:t xml:space="preserve">dementia </w:t>
      </w:r>
      <w:r w:rsidR="00A31AF6" w:rsidRPr="00980BBE">
        <w:rPr>
          <w:rFonts w:ascii="Arial" w:hAnsi="Arial" w:cs="Arial"/>
          <w:sz w:val="22"/>
          <w:szCs w:val="22"/>
        </w:rPr>
        <w:t>diagnos</w:t>
      </w:r>
      <w:r w:rsidR="00D24DD6" w:rsidRPr="00980BBE">
        <w:rPr>
          <w:rFonts w:ascii="Arial" w:hAnsi="Arial" w:cs="Arial"/>
          <w:sz w:val="22"/>
          <w:szCs w:val="22"/>
        </w:rPr>
        <w:t>ed</w:t>
      </w:r>
      <w:r w:rsidR="003B75C2" w:rsidRPr="00980BBE">
        <w:rPr>
          <w:rFonts w:ascii="Arial" w:hAnsi="Arial" w:cs="Arial"/>
          <w:sz w:val="22"/>
          <w:szCs w:val="22"/>
        </w:rPr>
        <w:t xml:space="preserve"> </w:t>
      </w:r>
      <w:r w:rsidRPr="00980BBE">
        <w:rPr>
          <w:rFonts w:ascii="Arial" w:hAnsi="Arial" w:cs="Arial"/>
          <w:sz w:val="22"/>
          <w:szCs w:val="22"/>
        </w:rPr>
        <w:t xml:space="preserve">before the age of 65. </w:t>
      </w:r>
      <w:r w:rsidR="003B75C2" w:rsidRPr="00980BBE">
        <w:rPr>
          <w:rFonts w:ascii="Arial" w:hAnsi="Arial" w:cs="Arial"/>
          <w:sz w:val="22"/>
          <w:szCs w:val="22"/>
        </w:rPr>
        <w:t>Presents unique c</w:t>
      </w:r>
      <w:r w:rsidR="00800297" w:rsidRPr="00980BBE">
        <w:rPr>
          <w:rFonts w:ascii="Arial" w:hAnsi="Arial" w:cs="Arial"/>
          <w:sz w:val="22"/>
          <w:szCs w:val="22"/>
        </w:rPr>
        <w:t>hallenges in early identification, di</w:t>
      </w:r>
      <w:r w:rsidR="00D24DD6" w:rsidRPr="00980BBE">
        <w:rPr>
          <w:rFonts w:ascii="Arial" w:hAnsi="Arial" w:cs="Arial"/>
          <w:sz w:val="22"/>
          <w:szCs w:val="22"/>
        </w:rPr>
        <w:t xml:space="preserve">agnosis, and treatment due to </w:t>
      </w:r>
      <w:r w:rsidR="002933E5" w:rsidRPr="00980BBE">
        <w:rPr>
          <w:rFonts w:ascii="Arial" w:hAnsi="Arial" w:cs="Arial"/>
          <w:sz w:val="22"/>
          <w:szCs w:val="22"/>
        </w:rPr>
        <w:t xml:space="preserve">atypical clinical manifestations and social stigma </w:t>
      </w:r>
      <w:r w:rsidRPr="00980BBE">
        <w:rPr>
          <w:rFonts w:ascii="Arial" w:hAnsi="Arial" w:cs="Arial"/>
          <w:sz w:val="22"/>
          <w:szCs w:val="22"/>
        </w:rPr>
        <w:t xml:space="preserve">(Dementia UK, 2023a; Abbey, Smith, and Scott, 2015b). </w:t>
      </w:r>
      <w:r w:rsidR="002933E5" w:rsidRPr="00980BBE">
        <w:rPr>
          <w:rFonts w:ascii="Arial" w:hAnsi="Arial" w:cs="Arial"/>
          <w:sz w:val="22"/>
          <w:szCs w:val="22"/>
        </w:rPr>
        <w:t>In</w:t>
      </w:r>
      <w:r w:rsidR="00897A7C" w:rsidRPr="00980BBE">
        <w:rPr>
          <w:rFonts w:ascii="Arial" w:hAnsi="Arial" w:cs="Arial"/>
          <w:sz w:val="22"/>
          <w:szCs w:val="22"/>
        </w:rPr>
        <w:t xml:space="preserve">creasingly, research acknowledges that </w:t>
      </w:r>
      <w:r w:rsidRPr="00980BBE">
        <w:rPr>
          <w:rFonts w:ascii="Arial" w:hAnsi="Arial" w:cs="Arial"/>
          <w:sz w:val="22"/>
          <w:szCs w:val="22"/>
        </w:rPr>
        <w:t xml:space="preserve">socioeconomic disadvantage </w:t>
      </w:r>
      <w:r w:rsidR="00897A7C" w:rsidRPr="00980BBE">
        <w:rPr>
          <w:rFonts w:ascii="Arial" w:hAnsi="Arial" w:cs="Arial"/>
          <w:sz w:val="22"/>
          <w:szCs w:val="22"/>
        </w:rPr>
        <w:t xml:space="preserve">is a </w:t>
      </w:r>
      <w:r w:rsidR="00463DDA" w:rsidRPr="00980BBE">
        <w:rPr>
          <w:rFonts w:ascii="Arial" w:hAnsi="Arial" w:cs="Arial"/>
          <w:sz w:val="22"/>
          <w:szCs w:val="22"/>
        </w:rPr>
        <w:t xml:space="preserve">significant determinant of </w:t>
      </w:r>
      <w:r w:rsidRPr="00980BBE">
        <w:rPr>
          <w:rFonts w:ascii="Arial" w:hAnsi="Arial" w:cs="Arial"/>
          <w:sz w:val="22"/>
          <w:szCs w:val="22"/>
        </w:rPr>
        <w:t>YOD</w:t>
      </w:r>
      <w:r w:rsidR="00463DDA" w:rsidRPr="00980BBE">
        <w:rPr>
          <w:rFonts w:ascii="Arial" w:hAnsi="Arial" w:cs="Arial"/>
          <w:sz w:val="22"/>
          <w:szCs w:val="22"/>
        </w:rPr>
        <w:t xml:space="preserve"> risk</w:t>
      </w:r>
      <w:r w:rsidR="007A0F6A" w:rsidRPr="00980BBE">
        <w:rPr>
          <w:rFonts w:ascii="Arial" w:hAnsi="Arial" w:cs="Arial"/>
          <w:sz w:val="22"/>
          <w:szCs w:val="22"/>
        </w:rPr>
        <w:t>,</w:t>
      </w:r>
      <w:r w:rsidRPr="00980BBE">
        <w:rPr>
          <w:rFonts w:ascii="Arial" w:hAnsi="Arial" w:cs="Arial"/>
          <w:sz w:val="22"/>
          <w:szCs w:val="22"/>
        </w:rPr>
        <w:t xml:space="preserve"> </w:t>
      </w:r>
      <w:r w:rsidR="007A0F6A" w:rsidRPr="00980BBE">
        <w:rPr>
          <w:rFonts w:ascii="Arial" w:hAnsi="Arial" w:cs="Arial"/>
          <w:sz w:val="22"/>
          <w:szCs w:val="22"/>
        </w:rPr>
        <w:t xml:space="preserve">influencing </w:t>
      </w:r>
      <w:r w:rsidRPr="00980BBE">
        <w:rPr>
          <w:rFonts w:ascii="Arial" w:hAnsi="Arial" w:cs="Arial"/>
          <w:sz w:val="22"/>
          <w:szCs w:val="22"/>
        </w:rPr>
        <w:t xml:space="preserve">lifestyle </w:t>
      </w:r>
      <w:r w:rsidR="007A0F6A" w:rsidRPr="00980BBE">
        <w:rPr>
          <w:rFonts w:ascii="Arial" w:hAnsi="Arial" w:cs="Arial"/>
          <w:sz w:val="22"/>
          <w:szCs w:val="22"/>
        </w:rPr>
        <w:t>behaviour</w:t>
      </w:r>
      <w:r w:rsidRPr="00980BBE">
        <w:rPr>
          <w:rFonts w:ascii="Arial" w:hAnsi="Arial" w:cs="Arial"/>
          <w:sz w:val="22"/>
          <w:szCs w:val="22"/>
        </w:rPr>
        <w:t>, healthcare a</w:t>
      </w:r>
      <w:r w:rsidR="001A0BEF" w:rsidRPr="00980BBE">
        <w:rPr>
          <w:rFonts w:ascii="Arial" w:hAnsi="Arial" w:cs="Arial"/>
          <w:sz w:val="22"/>
          <w:szCs w:val="22"/>
        </w:rPr>
        <w:t>ccess</w:t>
      </w:r>
      <w:r w:rsidRPr="00980BBE">
        <w:rPr>
          <w:rFonts w:ascii="Arial" w:hAnsi="Arial" w:cs="Arial"/>
          <w:sz w:val="22"/>
          <w:szCs w:val="22"/>
        </w:rPr>
        <w:t xml:space="preserve">, and exposure to </w:t>
      </w:r>
      <w:r w:rsidR="001A0BEF" w:rsidRPr="00980BBE">
        <w:rPr>
          <w:rFonts w:ascii="Arial" w:hAnsi="Arial" w:cs="Arial"/>
          <w:sz w:val="22"/>
          <w:szCs w:val="22"/>
        </w:rPr>
        <w:t>chronic stressors.</w:t>
      </w:r>
    </w:p>
    <w:p w14:paraId="4FFEE69F" w14:textId="6E97F1F3" w:rsidR="00623D4F" w:rsidRPr="00980BBE" w:rsidRDefault="00135957" w:rsidP="001D2D05">
      <w:pPr>
        <w:spacing w:line="360" w:lineRule="auto"/>
        <w:rPr>
          <w:rFonts w:ascii="Arial" w:hAnsi="Arial" w:cs="Arial"/>
          <w:sz w:val="22"/>
          <w:szCs w:val="22"/>
        </w:rPr>
      </w:pPr>
      <w:r w:rsidRPr="00980BBE">
        <w:rPr>
          <w:rFonts w:ascii="Arial" w:hAnsi="Arial" w:cs="Arial"/>
          <w:sz w:val="22"/>
          <w:szCs w:val="22"/>
        </w:rPr>
        <w:t xml:space="preserve">Despite </w:t>
      </w:r>
      <w:r w:rsidR="001A0BEF" w:rsidRPr="00980BBE">
        <w:rPr>
          <w:rFonts w:ascii="Arial" w:hAnsi="Arial" w:cs="Arial"/>
          <w:sz w:val="22"/>
          <w:szCs w:val="22"/>
        </w:rPr>
        <w:t>growing</w:t>
      </w:r>
      <w:r w:rsidRPr="00980BBE">
        <w:rPr>
          <w:rFonts w:ascii="Arial" w:hAnsi="Arial" w:cs="Arial"/>
          <w:sz w:val="22"/>
          <w:szCs w:val="22"/>
        </w:rPr>
        <w:t xml:space="preserve"> recognition of socioeconomic inequalities in dementia research, many studies </w:t>
      </w:r>
      <w:r w:rsidR="001A0BEF" w:rsidRPr="00980BBE">
        <w:rPr>
          <w:rFonts w:ascii="Arial" w:hAnsi="Arial" w:cs="Arial"/>
          <w:sz w:val="22"/>
          <w:szCs w:val="22"/>
        </w:rPr>
        <w:t>still</w:t>
      </w:r>
      <w:r w:rsidRPr="00980BBE">
        <w:rPr>
          <w:rFonts w:ascii="Arial" w:hAnsi="Arial" w:cs="Arial"/>
          <w:sz w:val="22"/>
          <w:szCs w:val="22"/>
        </w:rPr>
        <w:t xml:space="preserve"> rely on cross-sectional data, which </w:t>
      </w:r>
      <w:r w:rsidR="001A0BEF" w:rsidRPr="00980BBE">
        <w:rPr>
          <w:rFonts w:ascii="Arial" w:hAnsi="Arial" w:cs="Arial"/>
          <w:sz w:val="22"/>
          <w:szCs w:val="22"/>
        </w:rPr>
        <w:t>constrains</w:t>
      </w:r>
      <w:r w:rsidRPr="00980BBE">
        <w:rPr>
          <w:rFonts w:ascii="Arial" w:hAnsi="Arial" w:cs="Arial"/>
          <w:sz w:val="22"/>
          <w:szCs w:val="22"/>
        </w:rPr>
        <w:t xml:space="preserve"> the ability to establish causal relationships between deprivation and early-onset cognitive decline.</w:t>
      </w:r>
    </w:p>
    <w:p w14:paraId="01433FB9" w14:textId="77777777" w:rsidR="00735909" w:rsidRPr="00266F7A" w:rsidRDefault="00735909" w:rsidP="00E74CD6">
      <w:pPr>
        <w:pStyle w:val="Heading1"/>
        <w:rPr>
          <w:rFonts w:ascii="Arial" w:hAnsi="Arial" w:cs="Arial"/>
          <w:b/>
          <w:bCs/>
          <w:color w:val="auto"/>
          <w:sz w:val="28"/>
          <w:szCs w:val="28"/>
          <w:u w:val="single"/>
        </w:rPr>
      </w:pPr>
      <w:bookmarkStart w:id="46" w:name="_Toc225966639"/>
      <w:r w:rsidRPr="00266F7A">
        <w:rPr>
          <w:rFonts w:ascii="Arial" w:hAnsi="Arial" w:cs="Arial"/>
          <w:b/>
          <w:bCs/>
          <w:color w:val="auto"/>
          <w:sz w:val="28"/>
          <w:szCs w:val="28"/>
          <w:u w:val="single"/>
        </w:rPr>
        <w:t>Historical and Contextual Background</w:t>
      </w:r>
      <w:bookmarkEnd w:id="46"/>
    </w:p>
    <w:p w14:paraId="3F837913" w14:textId="2232F8E3" w:rsidR="00E61E93" w:rsidRPr="00980BBE" w:rsidRDefault="00127A9B" w:rsidP="001D2D05">
      <w:pPr>
        <w:spacing w:line="360" w:lineRule="auto"/>
        <w:rPr>
          <w:rFonts w:ascii="Arial" w:hAnsi="Arial" w:cs="Arial"/>
          <w:sz w:val="22"/>
          <w:szCs w:val="22"/>
        </w:rPr>
      </w:pPr>
      <w:r w:rsidRPr="00980BBE">
        <w:rPr>
          <w:rFonts w:ascii="Arial" w:hAnsi="Arial" w:cs="Arial"/>
          <w:sz w:val="22"/>
          <w:szCs w:val="22"/>
        </w:rPr>
        <w:t xml:space="preserve">Historically, </w:t>
      </w:r>
      <w:r w:rsidR="00E61E93" w:rsidRPr="00980BBE">
        <w:rPr>
          <w:rFonts w:ascii="Arial" w:hAnsi="Arial" w:cs="Arial"/>
          <w:sz w:val="22"/>
          <w:szCs w:val="22"/>
        </w:rPr>
        <w:t xml:space="preserve">dementia research has </w:t>
      </w:r>
      <w:r w:rsidR="009B3BA1" w:rsidRPr="00980BBE">
        <w:rPr>
          <w:rFonts w:ascii="Arial" w:hAnsi="Arial" w:cs="Arial"/>
          <w:sz w:val="22"/>
          <w:szCs w:val="22"/>
        </w:rPr>
        <w:t>focused</w:t>
      </w:r>
      <w:r w:rsidR="00955D9D" w:rsidRPr="00980BBE">
        <w:rPr>
          <w:rFonts w:ascii="Arial" w:hAnsi="Arial" w:cs="Arial"/>
          <w:sz w:val="22"/>
          <w:szCs w:val="22"/>
        </w:rPr>
        <w:t xml:space="preserve"> on older adults</w:t>
      </w:r>
      <w:r w:rsidR="00266A1B" w:rsidRPr="00980BBE">
        <w:rPr>
          <w:rFonts w:ascii="Arial" w:hAnsi="Arial" w:cs="Arial"/>
          <w:sz w:val="22"/>
          <w:szCs w:val="22"/>
        </w:rPr>
        <w:t xml:space="preserve">, often overlooking the influence of </w:t>
      </w:r>
      <w:r w:rsidR="00E61E93" w:rsidRPr="00980BBE">
        <w:rPr>
          <w:rFonts w:ascii="Arial" w:hAnsi="Arial" w:cs="Arial"/>
          <w:sz w:val="22"/>
          <w:szCs w:val="22"/>
        </w:rPr>
        <w:t xml:space="preserve">socioeconomic </w:t>
      </w:r>
      <w:r w:rsidR="00266A1B" w:rsidRPr="00980BBE">
        <w:rPr>
          <w:rFonts w:ascii="Arial" w:hAnsi="Arial" w:cs="Arial"/>
          <w:sz w:val="22"/>
          <w:szCs w:val="22"/>
        </w:rPr>
        <w:t>factors</w:t>
      </w:r>
      <w:r w:rsidR="00BD559F" w:rsidRPr="00980BBE">
        <w:rPr>
          <w:rFonts w:ascii="Arial" w:hAnsi="Arial" w:cs="Arial"/>
          <w:sz w:val="22"/>
          <w:szCs w:val="22"/>
        </w:rPr>
        <w:t xml:space="preserve"> </w:t>
      </w:r>
      <w:r w:rsidR="00E61E93" w:rsidRPr="00980BBE">
        <w:rPr>
          <w:rFonts w:ascii="Arial" w:hAnsi="Arial" w:cs="Arial"/>
          <w:sz w:val="22"/>
          <w:szCs w:val="22"/>
        </w:rPr>
        <w:t xml:space="preserve">in early-onset </w:t>
      </w:r>
      <w:r w:rsidR="00BD559F" w:rsidRPr="00980BBE">
        <w:rPr>
          <w:rFonts w:ascii="Arial" w:hAnsi="Arial" w:cs="Arial"/>
          <w:sz w:val="22"/>
          <w:szCs w:val="22"/>
        </w:rPr>
        <w:t>cases</w:t>
      </w:r>
      <w:r w:rsidR="00E61E93" w:rsidRPr="00980BBE">
        <w:rPr>
          <w:rFonts w:ascii="Arial" w:hAnsi="Arial" w:cs="Arial"/>
          <w:sz w:val="22"/>
          <w:szCs w:val="22"/>
        </w:rPr>
        <w:t xml:space="preserve">(Thompson and Pirmohamed, 2021b). Early </w:t>
      </w:r>
      <w:r w:rsidR="00BD559F" w:rsidRPr="00980BBE">
        <w:rPr>
          <w:rFonts w:ascii="Arial" w:hAnsi="Arial" w:cs="Arial"/>
          <w:sz w:val="22"/>
          <w:szCs w:val="22"/>
        </w:rPr>
        <w:t>in</w:t>
      </w:r>
      <w:r w:rsidR="007B6E36" w:rsidRPr="00980BBE">
        <w:rPr>
          <w:rFonts w:ascii="Arial" w:hAnsi="Arial" w:cs="Arial"/>
          <w:sz w:val="22"/>
          <w:szCs w:val="22"/>
        </w:rPr>
        <w:t xml:space="preserve">vestigations identified </w:t>
      </w:r>
      <w:r w:rsidR="006E0DF9" w:rsidRPr="00980BBE">
        <w:rPr>
          <w:rFonts w:ascii="Arial" w:hAnsi="Arial" w:cs="Arial"/>
          <w:sz w:val="22"/>
          <w:szCs w:val="22"/>
        </w:rPr>
        <w:t xml:space="preserve">associations </w:t>
      </w:r>
      <w:r w:rsidR="00E61E93" w:rsidRPr="00980BBE">
        <w:rPr>
          <w:rFonts w:ascii="Arial" w:hAnsi="Arial" w:cs="Arial"/>
          <w:sz w:val="22"/>
          <w:szCs w:val="22"/>
        </w:rPr>
        <w:t>between occupational status, low education</w:t>
      </w:r>
      <w:r w:rsidR="00807794" w:rsidRPr="00980BBE">
        <w:rPr>
          <w:rFonts w:ascii="Arial" w:hAnsi="Arial" w:cs="Arial"/>
          <w:sz w:val="22"/>
          <w:szCs w:val="22"/>
        </w:rPr>
        <w:t xml:space="preserve">al attainment, </w:t>
      </w:r>
      <w:r w:rsidR="00E61E93" w:rsidRPr="00980BBE">
        <w:rPr>
          <w:rFonts w:ascii="Arial" w:hAnsi="Arial" w:cs="Arial"/>
          <w:sz w:val="22"/>
          <w:szCs w:val="22"/>
        </w:rPr>
        <w:t>and later</w:t>
      </w:r>
      <w:r w:rsidR="00807794" w:rsidRPr="00980BBE">
        <w:rPr>
          <w:rFonts w:ascii="Arial" w:hAnsi="Arial" w:cs="Arial"/>
          <w:sz w:val="22"/>
          <w:szCs w:val="22"/>
        </w:rPr>
        <w:t>-life</w:t>
      </w:r>
      <w:r w:rsidR="00E61E93" w:rsidRPr="00980BBE">
        <w:rPr>
          <w:rFonts w:ascii="Arial" w:hAnsi="Arial" w:cs="Arial"/>
          <w:sz w:val="22"/>
          <w:szCs w:val="22"/>
        </w:rPr>
        <w:t xml:space="preserve"> cognitive decline, </w:t>
      </w:r>
      <w:r w:rsidR="00807794" w:rsidRPr="00980BBE">
        <w:rPr>
          <w:rFonts w:ascii="Arial" w:hAnsi="Arial" w:cs="Arial"/>
          <w:sz w:val="22"/>
          <w:szCs w:val="22"/>
        </w:rPr>
        <w:t>however</w:t>
      </w:r>
      <w:r w:rsidR="005327DC" w:rsidRPr="00980BBE">
        <w:rPr>
          <w:rFonts w:ascii="Arial" w:hAnsi="Arial" w:cs="Arial"/>
          <w:sz w:val="22"/>
          <w:szCs w:val="22"/>
        </w:rPr>
        <w:t xml:space="preserve">, the specific impact of these factors on </w:t>
      </w:r>
      <w:r w:rsidR="002F6886" w:rsidRPr="00980BBE">
        <w:rPr>
          <w:rFonts w:ascii="Arial" w:hAnsi="Arial" w:cs="Arial"/>
          <w:sz w:val="22"/>
          <w:szCs w:val="22"/>
        </w:rPr>
        <w:t xml:space="preserve">Young-Onset Dementia (YOD) remained </w:t>
      </w:r>
      <w:r w:rsidR="009B3BA1" w:rsidRPr="00980BBE">
        <w:rPr>
          <w:rFonts w:ascii="Arial" w:hAnsi="Arial" w:cs="Arial"/>
          <w:sz w:val="22"/>
          <w:szCs w:val="22"/>
        </w:rPr>
        <w:t>unexplored</w:t>
      </w:r>
      <w:r w:rsidR="006D2BCD" w:rsidRPr="00980BBE">
        <w:rPr>
          <w:rFonts w:ascii="Arial" w:hAnsi="Arial" w:cs="Arial"/>
          <w:sz w:val="22"/>
          <w:szCs w:val="22"/>
        </w:rPr>
        <w:t xml:space="preserve"> </w:t>
      </w:r>
      <w:r w:rsidR="00E61E93" w:rsidRPr="00980BBE">
        <w:rPr>
          <w:rFonts w:ascii="Arial" w:hAnsi="Arial" w:cs="Arial"/>
          <w:sz w:val="22"/>
          <w:szCs w:val="22"/>
        </w:rPr>
        <w:t>(Kokorelias et al., 2024).</w:t>
      </w:r>
    </w:p>
    <w:p w14:paraId="1A8D1C83" w14:textId="36F3EFA2"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Recent studies reveal that deprivation affects multiple pathways linked to cognitive decline. Individuals in socioeconomically disadvantaged communities often experience:</w:t>
      </w:r>
    </w:p>
    <w:p w14:paraId="328B915D" w14:textId="67D1F790" w:rsidR="00735909" w:rsidRPr="00980BBE" w:rsidRDefault="00735909" w:rsidP="001D2D05">
      <w:pPr>
        <w:numPr>
          <w:ilvl w:val="0"/>
          <w:numId w:val="37"/>
        </w:numPr>
        <w:spacing w:line="360" w:lineRule="auto"/>
        <w:rPr>
          <w:rFonts w:ascii="Arial" w:hAnsi="Arial" w:cs="Arial"/>
          <w:sz w:val="22"/>
          <w:szCs w:val="22"/>
        </w:rPr>
      </w:pPr>
      <w:r w:rsidRPr="00980BBE">
        <w:rPr>
          <w:rFonts w:ascii="Arial" w:hAnsi="Arial" w:cs="Arial"/>
          <w:sz w:val="22"/>
          <w:szCs w:val="22"/>
        </w:rPr>
        <w:t>Higher rates of modifiable risk factors such as heavy alcohol consumption, smoking, and poor diet (Collins, 2016;</w:t>
      </w:r>
      <w:r w:rsidR="00047607">
        <w:rPr>
          <w:rFonts w:ascii="Arial" w:hAnsi="Arial" w:cs="Arial"/>
          <w:smallCaps/>
          <w:sz w:val="22"/>
          <w:szCs w:val="22"/>
        </w:rPr>
        <w:t xml:space="preserve">World Health </w:t>
      </w:r>
      <w:r w:rsidR="00984E79">
        <w:rPr>
          <w:rFonts w:ascii="Arial" w:hAnsi="Arial" w:cs="Arial"/>
          <w:smallCaps/>
          <w:sz w:val="22"/>
          <w:szCs w:val="22"/>
        </w:rPr>
        <w:t>Organisation,</w:t>
      </w:r>
      <w:r w:rsidRPr="00980BBE">
        <w:rPr>
          <w:rFonts w:ascii="Arial" w:hAnsi="Arial" w:cs="Arial"/>
          <w:sz w:val="22"/>
          <w:szCs w:val="22"/>
        </w:rPr>
        <w:t xml:space="preserve"> 2017a).</w:t>
      </w:r>
    </w:p>
    <w:p w14:paraId="173E7F84" w14:textId="06079780" w:rsidR="004B4CC2" w:rsidRPr="00980BBE" w:rsidRDefault="004B4CC2" w:rsidP="001D2D05">
      <w:pPr>
        <w:numPr>
          <w:ilvl w:val="0"/>
          <w:numId w:val="37"/>
        </w:numPr>
        <w:spacing w:line="360" w:lineRule="auto"/>
        <w:rPr>
          <w:rFonts w:ascii="Arial" w:hAnsi="Arial" w:cs="Arial"/>
          <w:sz w:val="22"/>
          <w:szCs w:val="22"/>
        </w:rPr>
      </w:pPr>
      <w:r w:rsidRPr="00980BBE">
        <w:rPr>
          <w:rFonts w:ascii="Arial" w:hAnsi="Arial" w:cs="Arial"/>
          <w:sz w:val="22"/>
          <w:szCs w:val="22"/>
        </w:rPr>
        <w:t xml:space="preserve">Limited access to early healthcare interventions, screening, and preventive education is strongly associated with socioeconomic inequalities, which reduce engagement with preventive services and delay diagnosis (McMaughan </w:t>
      </w:r>
      <w:r w:rsidRPr="00980BBE">
        <w:rPr>
          <w:rFonts w:ascii="Arial" w:hAnsi="Arial" w:cs="Arial"/>
          <w:i/>
          <w:iCs/>
          <w:sz w:val="22"/>
          <w:szCs w:val="22"/>
        </w:rPr>
        <w:t>et al.</w:t>
      </w:r>
      <w:r w:rsidRPr="00980BBE">
        <w:rPr>
          <w:rFonts w:ascii="Arial" w:hAnsi="Arial" w:cs="Arial"/>
          <w:sz w:val="22"/>
          <w:szCs w:val="22"/>
        </w:rPr>
        <w:t xml:space="preserve">, 2020; Cabañero-García </w:t>
      </w:r>
      <w:r w:rsidRPr="00980BBE">
        <w:rPr>
          <w:rFonts w:ascii="Arial" w:hAnsi="Arial" w:cs="Arial"/>
          <w:i/>
          <w:iCs/>
          <w:sz w:val="22"/>
          <w:szCs w:val="22"/>
        </w:rPr>
        <w:t>et al.</w:t>
      </w:r>
      <w:r w:rsidRPr="00980BBE">
        <w:rPr>
          <w:rFonts w:ascii="Arial" w:hAnsi="Arial" w:cs="Arial"/>
          <w:sz w:val="22"/>
          <w:szCs w:val="22"/>
        </w:rPr>
        <w:t>, 2025).</w:t>
      </w:r>
    </w:p>
    <w:p w14:paraId="55286771" w14:textId="596BCA58" w:rsidR="00735909" w:rsidRPr="00980BBE" w:rsidRDefault="00735909" w:rsidP="001D2D05">
      <w:pPr>
        <w:numPr>
          <w:ilvl w:val="0"/>
          <w:numId w:val="37"/>
        </w:numPr>
        <w:spacing w:line="360" w:lineRule="auto"/>
        <w:rPr>
          <w:rFonts w:ascii="Arial" w:hAnsi="Arial" w:cs="Arial"/>
          <w:sz w:val="22"/>
          <w:szCs w:val="22"/>
        </w:rPr>
      </w:pPr>
      <w:r w:rsidRPr="00980BBE">
        <w:rPr>
          <w:rFonts w:ascii="Arial" w:hAnsi="Arial" w:cs="Arial"/>
          <w:sz w:val="22"/>
          <w:szCs w:val="22"/>
        </w:rPr>
        <w:lastRenderedPageBreak/>
        <w:t xml:space="preserve">Chronic psychosocial stressors, which contribute to neuroendocrine dysregulation and neuroinflammation, potentially accelerating cognitive decline </w:t>
      </w:r>
      <w:r w:rsidR="00FE74A9" w:rsidRPr="00980BBE">
        <w:rPr>
          <w:rFonts w:ascii="Arial" w:hAnsi="Arial" w:cs="Arial"/>
          <w:sz w:val="22"/>
          <w:szCs w:val="22"/>
        </w:rPr>
        <w:t>(Knezevic et al., 2023).</w:t>
      </w:r>
    </w:p>
    <w:p w14:paraId="233F3BB5" w14:textId="0187C99D" w:rsidR="00067376" w:rsidRPr="00980BBE" w:rsidRDefault="00240847" w:rsidP="001D2D05">
      <w:pPr>
        <w:spacing w:line="360" w:lineRule="auto"/>
        <w:rPr>
          <w:rFonts w:ascii="Arial" w:hAnsi="Arial" w:cs="Arial"/>
          <w:sz w:val="22"/>
          <w:szCs w:val="22"/>
        </w:rPr>
      </w:pPr>
      <w:r w:rsidRPr="00980BBE">
        <w:rPr>
          <w:rFonts w:ascii="Arial" w:hAnsi="Arial" w:cs="Arial"/>
          <w:sz w:val="22"/>
          <w:szCs w:val="22"/>
        </w:rPr>
        <w:t xml:space="preserve">Collectively, </w:t>
      </w:r>
      <w:r w:rsidR="00067376" w:rsidRPr="00980BBE">
        <w:rPr>
          <w:rFonts w:ascii="Arial" w:hAnsi="Arial" w:cs="Arial"/>
          <w:sz w:val="22"/>
          <w:szCs w:val="22"/>
        </w:rPr>
        <w:t xml:space="preserve">these </w:t>
      </w:r>
      <w:r w:rsidRPr="00980BBE">
        <w:rPr>
          <w:rFonts w:ascii="Arial" w:hAnsi="Arial" w:cs="Arial"/>
          <w:sz w:val="22"/>
          <w:szCs w:val="22"/>
        </w:rPr>
        <w:t xml:space="preserve">factors increase the </w:t>
      </w:r>
      <w:r w:rsidR="00067376" w:rsidRPr="00980BBE">
        <w:rPr>
          <w:rFonts w:ascii="Arial" w:hAnsi="Arial" w:cs="Arial"/>
          <w:sz w:val="22"/>
          <w:szCs w:val="22"/>
        </w:rPr>
        <w:t xml:space="preserve">risk of ARBD and other lifestyle-related </w:t>
      </w:r>
      <w:r w:rsidR="00200712" w:rsidRPr="00980BBE">
        <w:rPr>
          <w:rFonts w:ascii="Arial" w:hAnsi="Arial" w:cs="Arial"/>
          <w:sz w:val="22"/>
          <w:szCs w:val="22"/>
        </w:rPr>
        <w:t>contributors</w:t>
      </w:r>
      <w:r w:rsidR="00A35305" w:rsidRPr="00980BBE">
        <w:rPr>
          <w:rFonts w:ascii="Arial" w:hAnsi="Arial" w:cs="Arial"/>
          <w:sz w:val="22"/>
          <w:szCs w:val="22"/>
        </w:rPr>
        <w:t xml:space="preserve"> to</w:t>
      </w:r>
      <w:r w:rsidR="00067376" w:rsidRPr="00980BBE">
        <w:rPr>
          <w:rFonts w:ascii="Arial" w:hAnsi="Arial" w:cs="Arial"/>
          <w:sz w:val="22"/>
          <w:szCs w:val="22"/>
        </w:rPr>
        <w:t xml:space="preserve"> YOD. Diagnosis and care pa</w:t>
      </w:r>
      <w:r w:rsidR="00A35305" w:rsidRPr="00980BBE">
        <w:rPr>
          <w:rFonts w:ascii="Arial" w:hAnsi="Arial" w:cs="Arial"/>
          <w:sz w:val="22"/>
          <w:szCs w:val="22"/>
        </w:rPr>
        <w:t>thways</w:t>
      </w:r>
      <w:r w:rsidR="00067376" w:rsidRPr="00980BBE">
        <w:rPr>
          <w:rFonts w:ascii="Arial" w:hAnsi="Arial" w:cs="Arial"/>
          <w:sz w:val="22"/>
          <w:szCs w:val="22"/>
        </w:rPr>
        <w:t xml:space="preserve"> are </w:t>
      </w:r>
      <w:r w:rsidR="00A35305" w:rsidRPr="00980BBE">
        <w:rPr>
          <w:rFonts w:ascii="Arial" w:hAnsi="Arial" w:cs="Arial"/>
          <w:sz w:val="22"/>
          <w:szCs w:val="22"/>
        </w:rPr>
        <w:t>influenced</w:t>
      </w:r>
      <w:r w:rsidR="00067376" w:rsidRPr="00980BBE">
        <w:rPr>
          <w:rFonts w:ascii="Arial" w:hAnsi="Arial" w:cs="Arial"/>
          <w:sz w:val="22"/>
          <w:szCs w:val="22"/>
        </w:rPr>
        <w:t xml:space="preserve"> by the intersection of structural inequality and </w:t>
      </w:r>
      <w:r w:rsidR="00F618FD" w:rsidRPr="00980BBE">
        <w:rPr>
          <w:rFonts w:ascii="Arial" w:hAnsi="Arial" w:cs="Arial"/>
          <w:sz w:val="22"/>
          <w:szCs w:val="22"/>
        </w:rPr>
        <w:t>socioeconomic deprivation.</w:t>
      </w:r>
      <w:r w:rsidR="00067376" w:rsidRPr="00980BBE">
        <w:rPr>
          <w:rFonts w:ascii="Arial" w:hAnsi="Arial" w:cs="Arial"/>
          <w:sz w:val="22"/>
          <w:szCs w:val="22"/>
        </w:rPr>
        <w:t xml:space="preserve"> For </w:t>
      </w:r>
      <w:r w:rsidR="00F618FD" w:rsidRPr="00980BBE">
        <w:rPr>
          <w:rFonts w:ascii="Arial" w:hAnsi="Arial" w:cs="Arial"/>
          <w:sz w:val="22"/>
          <w:szCs w:val="22"/>
        </w:rPr>
        <w:t>example</w:t>
      </w:r>
      <w:r w:rsidR="00067376" w:rsidRPr="00980BBE">
        <w:rPr>
          <w:rFonts w:ascii="Arial" w:hAnsi="Arial" w:cs="Arial"/>
          <w:sz w:val="22"/>
          <w:szCs w:val="22"/>
        </w:rPr>
        <w:t xml:space="preserve">, gaps in </w:t>
      </w:r>
      <w:r w:rsidR="004D2BC6" w:rsidRPr="00980BBE">
        <w:rPr>
          <w:rFonts w:ascii="Arial" w:hAnsi="Arial" w:cs="Arial"/>
          <w:sz w:val="22"/>
          <w:szCs w:val="22"/>
        </w:rPr>
        <w:t xml:space="preserve">health </w:t>
      </w:r>
      <w:r w:rsidR="00067376" w:rsidRPr="00980BBE">
        <w:rPr>
          <w:rFonts w:ascii="Arial" w:hAnsi="Arial" w:cs="Arial"/>
          <w:sz w:val="22"/>
          <w:szCs w:val="22"/>
        </w:rPr>
        <w:t xml:space="preserve">information and the effectiveness of interventions </w:t>
      </w:r>
      <w:r w:rsidR="004D2BC6" w:rsidRPr="00980BBE">
        <w:rPr>
          <w:rFonts w:ascii="Arial" w:hAnsi="Arial" w:cs="Arial"/>
          <w:sz w:val="22"/>
          <w:szCs w:val="22"/>
        </w:rPr>
        <w:t>are evident, as individual</w:t>
      </w:r>
      <w:r w:rsidR="00D621D2" w:rsidRPr="00980BBE">
        <w:rPr>
          <w:rFonts w:ascii="Arial" w:hAnsi="Arial" w:cs="Arial"/>
          <w:sz w:val="22"/>
          <w:szCs w:val="22"/>
        </w:rPr>
        <w:t>s</w:t>
      </w:r>
      <w:r w:rsidR="004D2BC6" w:rsidRPr="00980BBE">
        <w:rPr>
          <w:rFonts w:ascii="Arial" w:hAnsi="Arial" w:cs="Arial"/>
          <w:sz w:val="22"/>
          <w:szCs w:val="22"/>
        </w:rPr>
        <w:t xml:space="preserve"> from </w:t>
      </w:r>
      <w:r w:rsidR="00067376" w:rsidRPr="00980BBE">
        <w:rPr>
          <w:rFonts w:ascii="Arial" w:hAnsi="Arial" w:cs="Arial"/>
          <w:sz w:val="22"/>
          <w:szCs w:val="22"/>
        </w:rPr>
        <w:t xml:space="preserve">lower-income </w:t>
      </w:r>
      <w:r w:rsidR="00D621D2" w:rsidRPr="00980BBE">
        <w:rPr>
          <w:rFonts w:ascii="Arial" w:hAnsi="Arial" w:cs="Arial"/>
          <w:sz w:val="22"/>
          <w:szCs w:val="22"/>
        </w:rPr>
        <w:t xml:space="preserve">households </w:t>
      </w:r>
      <w:r w:rsidR="00067376" w:rsidRPr="00980BBE">
        <w:rPr>
          <w:rFonts w:ascii="Arial" w:hAnsi="Arial" w:cs="Arial"/>
          <w:sz w:val="22"/>
          <w:szCs w:val="22"/>
        </w:rPr>
        <w:t xml:space="preserve">are less likely to </w:t>
      </w:r>
      <w:r w:rsidR="00D621D2" w:rsidRPr="00980BBE">
        <w:rPr>
          <w:rFonts w:ascii="Arial" w:hAnsi="Arial" w:cs="Arial"/>
          <w:sz w:val="22"/>
          <w:szCs w:val="22"/>
        </w:rPr>
        <w:t xml:space="preserve">participate in clinical research or </w:t>
      </w:r>
      <w:r w:rsidR="00997854" w:rsidRPr="00980BBE">
        <w:rPr>
          <w:rFonts w:ascii="Arial" w:hAnsi="Arial" w:cs="Arial"/>
          <w:sz w:val="22"/>
          <w:szCs w:val="22"/>
        </w:rPr>
        <w:t xml:space="preserve">receive timely dementia assessments. </w:t>
      </w:r>
    </w:p>
    <w:p w14:paraId="696D7F4B" w14:textId="421302A0" w:rsidR="00735909" w:rsidRPr="00266F7A" w:rsidRDefault="00735909" w:rsidP="00E74CD6">
      <w:pPr>
        <w:pStyle w:val="Heading1"/>
        <w:rPr>
          <w:rFonts w:ascii="Arial" w:hAnsi="Arial" w:cs="Arial"/>
          <w:b/>
          <w:bCs/>
          <w:color w:val="auto"/>
          <w:sz w:val="28"/>
          <w:szCs w:val="28"/>
          <w:u w:val="single"/>
        </w:rPr>
      </w:pPr>
      <w:bookmarkStart w:id="47" w:name="_Toc225966640"/>
      <w:r w:rsidRPr="00266F7A">
        <w:rPr>
          <w:rFonts w:ascii="Arial" w:hAnsi="Arial" w:cs="Arial"/>
          <w:b/>
          <w:bCs/>
          <w:color w:val="auto"/>
          <w:sz w:val="28"/>
          <w:szCs w:val="28"/>
          <w:u w:val="single"/>
        </w:rPr>
        <w:t>Impact on Research Question</w:t>
      </w:r>
      <w:bookmarkEnd w:id="47"/>
    </w:p>
    <w:p w14:paraId="63AEE82E" w14:textId="3CE76AA6" w:rsidR="00E049FA" w:rsidRPr="00980BBE" w:rsidRDefault="00E049FA" w:rsidP="001D2D05">
      <w:pPr>
        <w:spacing w:line="360" w:lineRule="auto"/>
        <w:rPr>
          <w:rFonts w:ascii="Arial" w:hAnsi="Arial" w:cs="Arial"/>
          <w:sz w:val="22"/>
          <w:szCs w:val="22"/>
        </w:rPr>
      </w:pPr>
      <w:r w:rsidRPr="00980BBE">
        <w:rPr>
          <w:rFonts w:ascii="Arial" w:hAnsi="Arial" w:cs="Arial"/>
          <w:sz w:val="22"/>
          <w:szCs w:val="22"/>
        </w:rPr>
        <w:t xml:space="preserve">Understanding </w:t>
      </w:r>
      <w:r w:rsidR="00C65FC6" w:rsidRPr="00980BBE">
        <w:rPr>
          <w:rFonts w:ascii="Arial" w:hAnsi="Arial" w:cs="Arial"/>
          <w:sz w:val="22"/>
          <w:szCs w:val="22"/>
        </w:rPr>
        <w:t>variations</w:t>
      </w:r>
      <w:r w:rsidR="00D5655C" w:rsidRPr="00980BBE">
        <w:rPr>
          <w:rFonts w:ascii="Arial" w:hAnsi="Arial" w:cs="Arial"/>
          <w:sz w:val="22"/>
          <w:szCs w:val="22"/>
        </w:rPr>
        <w:t xml:space="preserve"> in young-onset Dementia</w:t>
      </w:r>
      <w:r w:rsidRPr="00980BBE">
        <w:rPr>
          <w:rFonts w:ascii="Arial" w:hAnsi="Arial" w:cs="Arial"/>
          <w:sz w:val="22"/>
          <w:szCs w:val="22"/>
        </w:rPr>
        <w:t xml:space="preserve"> </w:t>
      </w:r>
      <w:r w:rsidR="00D5655C" w:rsidRPr="00980BBE">
        <w:rPr>
          <w:rFonts w:ascii="Arial" w:hAnsi="Arial" w:cs="Arial"/>
          <w:sz w:val="22"/>
          <w:szCs w:val="22"/>
        </w:rPr>
        <w:t>(</w:t>
      </w:r>
      <w:r w:rsidRPr="00980BBE">
        <w:rPr>
          <w:rFonts w:ascii="Arial" w:hAnsi="Arial" w:cs="Arial"/>
          <w:sz w:val="22"/>
          <w:szCs w:val="22"/>
        </w:rPr>
        <w:t>YOD</w:t>
      </w:r>
      <w:r w:rsidR="00D5655C" w:rsidRPr="00980BBE">
        <w:rPr>
          <w:rFonts w:ascii="Arial" w:hAnsi="Arial" w:cs="Arial"/>
          <w:sz w:val="22"/>
          <w:szCs w:val="22"/>
        </w:rPr>
        <w:t>)</w:t>
      </w:r>
      <w:r w:rsidRPr="00980BBE">
        <w:rPr>
          <w:rFonts w:ascii="Arial" w:hAnsi="Arial" w:cs="Arial"/>
          <w:sz w:val="22"/>
          <w:szCs w:val="22"/>
        </w:rPr>
        <w:t xml:space="preserve"> incidence and outcomes </w:t>
      </w:r>
      <w:r w:rsidR="00D5655C" w:rsidRPr="00980BBE">
        <w:rPr>
          <w:rFonts w:ascii="Arial" w:hAnsi="Arial" w:cs="Arial"/>
          <w:sz w:val="22"/>
          <w:szCs w:val="22"/>
        </w:rPr>
        <w:t>necessitates</w:t>
      </w:r>
      <w:r w:rsidR="00E50AAA" w:rsidRPr="00980BBE">
        <w:rPr>
          <w:rFonts w:ascii="Arial" w:hAnsi="Arial" w:cs="Arial"/>
          <w:sz w:val="22"/>
          <w:szCs w:val="22"/>
        </w:rPr>
        <w:t xml:space="preserve"> a focus on </w:t>
      </w:r>
      <w:r w:rsidRPr="00980BBE">
        <w:rPr>
          <w:rFonts w:ascii="Arial" w:hAnsi="Arial" w:cs="Arial"/>
          <w:sz w:val="22"/>
          <w:szCs w:val="22"/>
        </w:rPr>
        <w:t xml:space="preserve">socioeconomic disadvantage. It </w:t>
      </w:r>
      <w:r w:rsidR="00E50AAA" w:rsidRPr="00980BBE">
        <w:rPr>
          <w:rFonts w:ascii="Arial" w:hAnsi="Arial" w:cs="Arial"/>
          <w:sz w:val="22"/>
          <w:szCs w:val="22"/>
        </w:rPr>
        <w:t>highlight</w:t>
      </w:r>
      <w:r w:rsidR="00C620BB" w:rsidRPr="00980BBE">
        <w:rPr>
          <w:rFonts w:ascii="Arial" w:hAnsi="Arial" w:cs="Arial"/>
          <w:sz w:val="22"/>
          <w:szCs w:val="22"/>
        </w:rPr>
        <w:t xml:space="preserve">s </w:t>
      </w:r>
      <w:r w:rsidRPr="00980BBE">
        <w:rPr>
          <w:rFonts w:ascii="Arial" w:hAnsi="Arial" w:cs="Arial"/>
          <w:sz w:val="22"/>
          <w:szCs w:val="22"/>
        </w:rPr>
        <w:t xml:space="preserve"> the </w:t>
      </w:r>
      <w:r w:rsidR="00C620BB" w:rsidRPr="00980BBE">
        <w:rPr>
          <w:rFonts w:ascii="Arial" w:hAnsi="Arial" w:cs="Arial"/>
          <w:sz w:val="22"/>
          <w:szCs w:val="22"/>
        </w:rPr>
        <w:t>importance</w:t>
      </w:r>
      <w:r w:rsidRPr="00980BBE">
        <w:rPr>
          <w:rFonts w:ascii="Arial" w:hAnsi="Arial" w:cs="Arial"/>
          <w:sz w:val="22"/>
          <w:szCs w:val="22"/>
        </w:rPr>
        <w:t xml:space="preserve"> of equity-focused i</w:t>
      </w:r>
      <w:r w:rsidR="00C620BB" w:rsidRPr="00980BBE">
        <w:rPr>
          <w:rFonts w:ascii="Arial" w:hAnsi="Arial" w:cs="Arial"/>
          <w:sz w:val="22"/>
          <w:szCs w:val="22"/>
        </w:rPr>
        <w:t>nterventions</w:t>
      </w:r>
      <w:r w:rsidRPr="00980BBE">
        <w:rPr>
          <w:rFonts w:ascii="Arial" w:hAnsi="Arial" w:cs="Arial"/>
          <w:sz w:val="22"/>
          <w:szCs w:val="22"/>
        </w:rPr>
        <w:t xml:space="preserve"> and draws attention to non-biological risk factors. The theme</w:t>
      </w:r>
      <w:r w:rsidR="008A791B" w:rsidRPr="00980BBE">
        <w:rPr>
          <w:rFonts w:ascii="Arial" w:hAnsi="Arial" w:cs="Arial"/>
          <w:sz w:val="22"/>
          <w:szCs w:val="22"/>
        </w:rPr>
        <w:t xml:space="preserve"> demonstrates</w:t>
      </w:r>
      <w:r w:rsidRPr="00980BBE">
        <w:rPr>
          <w:rFonts w:ascii="Arial" w:hAnsi="Arial" w:cs="Arial"/>
          <w:sz w:val="22"/>
          <w:szCs w:val="22"/>
        </w:rPr>
        <w:t xml:space="preserve"> how lifestyle </w:t>
      </w:r>
      <w:r w:rsidR="008A791B" w:rsidRPr="00980BBE">
        <w:rPr>
          <w:rFonts w:ascii="Arial" w:hAnsi="Arial" w:cs="Arial"/>
          <w:sz w:val="22"/>
          <w:szCs w:val="22"/>
        </w:rPr>
        <w:t>behaviour</w:t>
      </w:r>
      <w:r w:rsidRPr="00980BBE">
        <w:rPr>
          <w:rFonts w:ascii="Arial" w:hAnsi="Arial" w:cs="Arial"/>
          <w:sz w:val="22"/>
          <w:szCs w:val="22"/>
        </w:rPr>
        <w:t xml:space="preserve">, including alcohol consumption, </w:t>
      </w:r>
      <w:r w:rsidR="008A791B" w:rsidRPr="00980BBE">
        <w:rPr>
          <w:rFonts w:ascii="Arial" w:hAnsi="Arial" w:cs="Arial"/>
          <w:sz w:val="22"/>
          <w:szCs w:val="22"/>
        </w:rPr>
        <w:t>interact</w:t>
      </w:r>
      <w:r w:rsidR="00E05ACA" w:rsidRPr="00980BBE">
        <w:rPr>
          <w:rFonts w:ascii="Arial" w:hAnsi="Arial" w:cs="Arial"/>
          <w:sz w:val="22"/>
          <w:szCs w:val="22"/>
        </w:rPr>
        <w:t xml:space="preserve"> </w:t>
      </w:r>
      <w:r w:rsidRPr="00980BBE">
        <w:rPr>
          <w:rFonts w:ascii="Arial" w:hAnsi="Arial" w:cs="Arial"/>
          <w:sz w:val="22"/>
          <w:szCs w:val="22"/>
        </w:rPr>
        <w:t xml:space="preserve">with institutional </w:t>
      </w:r>
      <w:r w:rsidR="00E05ACA" w:rsidRPr="00980BBE">
        <w:rPr>
          <w:rFonts w:ascii="Arial" w:hAnsi="Arial" w:cs="Arial"/>
          <w:sz w:val="22"/>
          <w:szCs w:val="22"/>
        </w:rPr>
        <w:t xml:space="preserve">inequalities </w:t>
      </w:r>
      <w:r w:rsidRPr="00980BBE">
        <w:rPr>
          <w:rFonts w:ascii="Arial" w:hAnsi="Arial" w:cs="Arial"/>
          <w:sz w:val="22"/>
          <w:szCs w:val="22"/>
        </w:rPr>
        <w:t xml:space="preserve">to </w:t>
      </w:r>
      <w:r w:rsidR="00E05ACA" w:rsidRPr="00980BBE">
        <w:rPr>
          <w:rFonts w:ascii="Arial" w:hAnsi="Arial" w:cs="Arial"/>
          <w:sz w:val="22"/>
          <w:szCs w:val="22"/>
        </w:rPr>
        <w:t>influence the onset and pr</w:t>
      </w:r>
      <w:r w:rsidR="00E777CB" w:rsidRPr="00980BBE">
        <w:rPr>
          <w:rFonts w:ascii="Arial" w:hAnsi="Arial" w:cs="Arial"/>
          <w:sz w:val="22"/>
          <w:szCs w:val="22"/>
        </w:rPr>
        <w:t xml:space="preserve">ogression of YOD </w:t>
      </w:r>
      <w:r w:rsidRPr="00980BBE">
        <w:rPr>
          <w:rFonts w:ascii="Arial" w:hAnsi="Arial" w:cs="Arial"/>
          <w:sz w:val="22"/>
          <w:szCs w:val="22"/>
        </w:rPr>
        <w:t xml:space="preserve">(Collins, 2016). When </w:t>
      </w:r>
      <w:r w:rsidR="00E777CB" w:rsidRPr="00980BBE">
        <w:rPr>
          <w:rFonts w:ascii="Arial" w:hAnsi="Arial" w:cs="Arial"/>
          <w:sz w:val="22"/>
          <w:szCs w:val="22"/>
        </w:rPr>
        <w:t xml:space="preserve">designing </w:t>
      </w:r>
      <w:r w:rsidRPr="00980BBE">
        <w:rPr>
          <w:rFonts w:ascii="Arial" w:hAnsi="Arial" w:cs="Arial"/>
          <w:sz w:val="22"/>
          <w:szCs w:val="22"/>
        </w:rPr>
        <w:t xml:space="preserve">public health policies, screening programs, and community-level </w:t>
      </w:r>
      <w:r w:rsidR="00E777CB" w:rsidRPr="00980BBE">
        <w:rPr>
          <w:rFonts w:ascii="Arial" w:hAnsi="Arial" w:cs="Arial"/>
          <w:sz w:val="22"/>
          <w:szCs w:val="22"/>
        </w:rPr>
        <w:t xml:space="preserve">interventions </w:t>
      </w:r>
      <w:r w:rsidRPr="00980BBE">
        <w:rPr>
          <w:rFonts w:ascii="Arial" w:hAnsi="Arial" w:cs="Arial"/>
          <w:sz w:val="22"/>
          <w:szCs w:val="22"/>
        </w:rPr>
        <w:t xml:space="preserve">that </w:t>
      </w:r>
      <w:r w:rsidR="00E777CB" w:rsidRPr="00980BBE">
        <w:rPr>
          <w:rFonts w:ascii="Arial" w:hAnsi="Arial" w:cs="Arial"/>
          <w:sz w:val="22"/>
          <w:szCs w:val="22"/>
        </w:rPr>
        <w:t>address</w:t>
      </w:r>
      <w:r w:rsidR="00695C39" w:rsidRPr="00980BBE">
        <w:rPr>
          <w:rFonts w:ascii="Arial" w:hAnsi="Arial" w:cs="Arial"/>
          <w:sz w:val="22"/>
          <w:szCs w:val="22"/>
        </w:rPr>
        <w:t xml:space="preserve"> </w:t>
      </w:r>
      <w:r w:rsidRPr="00980BBE">
        <w:rPr>
          <w:rFonts w:ascii="Arial" w:hAnsi="Arial" w:cs="Arial"/>
          <w:sz w:val="22"/>
          <w:szCs w:val="22"/>
        </w:rPr>
        <w:t xml:space="preserve"> the underlying </w:t>
      </w:r>
      <w:r w:rsidR="00695C39" w:rsidRPr="00980BBE">
        <w:rPr>
          <w:rFonts w:ascii="Arial" w:hAnsi="Arial" w:cs="Arial"/>
          <w:sz w:val="22"/>
          <w:szCs w:val="22"/>
        </w:rPr>
        <w:t xml:space="preserve">determinants of preventable </w:t>
      </w:r>
      <w:r w:rsidRPr="00980BBE">
        <w:rPr>
          <w:rFonts w:ascii="Arial" w:hAnsi="Arial" w:cs="Arial"/>
          <w:sz w:val="22"/>
          <w:szCs w:val="22"/>
        </w:rPr>
        <w:t xml:space="preserve">early-onset dementia, socioeconomic factors must be </w:t>
      </w:r>
      <w:r w:rsidR="00695C39" w:rsidRPr="00980BBE">
        <w:rPr>
          <w:rFonts w:ascii="Arial" w:hAnsi="Arial" w:cs="Arial"/>
          <w:sz w:val="22"/>
          <w:szCs w:val="22"/>
        </w:rPr>
        <w:t>incor</w:t>
      </w:r>
      <w:r w:rsidR="0029177F" w:rsidRPr="00980BBE">
        <w:rPr>
          <w:rFonts w:ascii="Arial" w:hAnsi="Arial" w:cs="Arial"/>
          <w:sz w:val="22"/>
          <w:szCs w:val="22"/>
        </w:rPr>
        <w:t>porated</w:t>
      </w:r>
      <w:r w:rsidRPr="00980BBE">
        <w:rPr>
          <w:rFonts w:ascii="Arial" w:hAnsi="Arial" w:cs="Arial"/>
          <w:sz w:val="22"/>
          <w:szCs w:val="22"/>
        </w:rPr>
        <w:t>.</w:t>
      </w:r>
    </w:p>
    <w:p w14:paraId="69237F8D" w14:textId="61E3F35C" w:rsidR="00735909" w:rsidRPr="00266F7A" w:rsidRDefault="00735909" w:rsidP="00E74CD6">
      <w:pPr>
        <w:pStyle w:val="Heading1"/>
        <w:rPr>
          <w:rFonts w:ascii="Arial" w:hAnsi="Arial" w:cs="Arial"/>
          <w:b/>
          <w:bCs/>
          <w:color w:val="auto"/>
          <w:sz w:val="28"/>
          <w:szCs w:val="28"/>
          <w:u w:val="single"/>
        </w:rPr>
      </w:pPr>
      <w:bookmarkStart w:id="48" w:name="_Toc225966641"/>
      <w:r w:rsidRPr="00266F7A">
        <w:rPr>
          <w:rFonts w:ascii="Arial" w:hAnsi="Arial" w:cs="Arial"/>
          <w:b/>
          <w:bCs/>
          <w:color w:val="auto"/>
          <w:sz w:val="28"/>
          <w:szCs w:val="28"/>
          <w:u w:val="single"/>
        </w:rPr>
        <w:t>Statistical Information</w:t>
      </w:r>
      <w:bookmarkEnd w:id="48"/>
    </w:p>
    <w:p w14:paraId="11E1457A" w14:textId="77777777"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Data underscore the strong association between deprivation and YOD risk:</w:t>
      </w:r>
    </w:p>
    <w:p w14:paraId="4B3548E2" w14:textId="4A504D79" w:rsidR="00262761" w:rsidRPr="00980BBE" w:rsidRDefault="008F1D44" w:rsidP="001D2D05">
      <w:pPr>
        <w:numPr>
          <w:ilvl w:val="0"/>
          <w:numId w:val="38"/>
        </w:numPr>
        <w:spacing w:line="360" w:lineRule="auto"/>
        <w:rPr>
          <w:rFonts w:ascii="Arial" w:hAnsi="Arial" w:cs="Arial"/>
          <w:sz w:val="22"/>
          <w:szCs w:val="22"/>
        </w:rPr>
      </w:pPr>
      <w:r w:rsidRPr="00980BBE">
        <w:rPr>
          <w:rFonts w:ascii="Arial" w:hAnsi="Arial" w:cs="Arial"/>
          <w:sz w:val="22"/>
          <w:szCs w:val="22"/>
        </w:rPr>
        <w:t>Kraftman, Hardelid, and Banks (2021) found that individuals in the most deprived quintile were 1.8 times more likely to develop young-onset dementia (YOD) compared with those in the least deprived quintile.</w:t>
      </w:r>
    </w:p>
    <w:p w14:paraId="656489EC" w14:textId="76AFA40C" w:rsidR="00735909" w:rsidRPr="00980BBE" w:rsidRDefault="00735909" w:rsidP="001D2D05">
      <w:pPr>
        <w:numPr>
          <w:ilvl w:val="0"/>
          <w:numId w:val="38"/>
        </w:numPr>
        <w:spacing w:line="360" w:lineRule="auto"/>
        <w:rPr>
          <w:rFonts w:ascii="Arial" w:hAnsi="Arial" w:cs="Arial"/>
          <w:sz w:val="22"/>
          <w:szCs w:val="22"/>
        </w:rPr>
      </w:pPr>
      <w:r w:rsidRPr="00980BBE">
        <w:rPr>
          <w:rFonts w:ascii="Arial" w:hAnsi="Arial" w:cs="Arial"/>
          <w:sz w:val="22"/>
          <w:szCs w:val="22"/>
        </w:rPr>
        <w:t>Thompson and Pirmohamed (2021a) reported that 65% of alcohol-related early-onset dementia cases occurred in socioeconomically disadvantaged communities, highlighting the intersection of lifestyle risk factors and deprivation.</w:t>
      </w:r>
    </w:p>
    <w:p w14:paraId="5D0C1C91" w14:textId="703BE205" w:rsidR="00735909" w:rsidRPr="00980BBE" w:rsidRDefault="00735909" w:rsidP="001D2D05">
      <w:pPr>
        <w:numPr>
          <w:ilvl w:val="0"/>
          <w:numId w:val="38"/>
        </w:numPr>
        <w:spacing w:line="360" w:lineRule="auto"/>
        <w:rPr>
          <w:rFonts w:ascii="Arial" w:hAnsi="Arial" w:cs="Arial"/>
          <w:sz w:val="22"/>
          <w:szCs w:val="22"/>
        </w:rPr>
      </w:pPr>
      <w:r w:rsidRPr="00980BBE">
        <w:rPr>
          <w:rFonts w:ascii="Arial" w:hAnsi="Arial" w:cs="Arial"/>
          <w:sz w:val="22"/>
          <w:szCs w:val="22"/>
        </w:rPr>
        <w:t xml:space="preserve">Collins (2016) estimated that </w:t>
      </w:r>
      <w:r w:rsidR="009B3BA1" w:rsidRPr="00980BBE">
        <w:rPr>
          <w:rFonts w:ascii="Arial" w:hAnsi="Arial" w:cs="Arial"/>
          <w:sz w:val="22"/>
          <w:szCs w:val="22"/>
        </w:rPr>
        <w:t>40%</w:t>
      </w:r>
      <w:r w:rsidRPr="00980BBE">
        <w:rPr>
          <w:rFonts w:ascii="Arial" w:hAnsi="Arial" w:cs="Arial"/>
          <w:sz w:val="22"/>
          <w:szCs w:val="22"/>
        </w:rPr>
        <w:t xml:space="preserve"> of early-onset dementia cases could be linked to modifiable social determinants, including poverty, low education, and limited access to preventive services.</w:t>
      </w:r>
    </w:p>
    <w:p w14:paraId="34B0CDDA" w14:textId="77777777" w:rsidR="00735909" w:rsidRPr="00980BBE" w:rsidRDefault="00735909" w:rsidP="001D2D05">
      <w:pPr>
        <w:numPr>
          <w:ilvl w:val="0"/>
          <w:numId w:val="38"/>
        </w:numPr>
        <w:spacing w:line="360" w:lineRule="auto"/>
        <w:rPr>
          <w:rFonts w:ascii="Arial" w:hAnsi="Arial" w:cs="Arial"/>
          <w:sz w:val="22"/>
          <w:szCs w:val="22"/>
        </w:rPr>
      </w:pPr>
      <w:r w:rsidRPr="00980BBE">
        <w:rPr>
          <w:rFonts w:ascii="Arial" w:hAnsi="Arial" w:cs="Arial"/>
          <w:sz w:val="22"/>
          <w:szCs w:val="22"/>
        </w:rPr>
        <w:t>Research by Mellinger et al. (2018) revealed that delayed diagnosis and fragmented care are disproportionately experienced by patients from deprived backgrounds, resulting in poorer clinical outcomes and lower quality of life.</w:t>
      </w:r>
    </w:p>
    <w:p w14:paraId="7DD6029A" w14:textId="50992143"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lastRenderedPageBreak/>
        <w:t>These statistics</w:t>
      </w:r>
      <w:r w:rsidR="0029134C" w:rsidRPr="00980BBE">
        <w:rPr>
          <w:rFonts w:ascii="Arial" w:hAnsi="Arial" w:cs="Arial"/>
          <w:sz w:val="22"/>
          <w:szCs w:val="22"/>
        </w:rPr>
        <w:t xml:space="preserve"> demonstrate</w:t>
      </w:r>
      <w:r w:rsidRPr="00980BBE">
        <w:rPr>
          <w:rFonts w:ascii="Arial" w:hAnsi="Arial" w:cs="Arial"/>
          <w:sz w:val="22"/>
          <w:szCs w:val="22"/>
        </w:rPr>
        <w:t xml:space="preserve"> that socioeconomic deprivation </w:t>
      </w:r>
      <w:r w:rsidR="0029134C" w:rsidRPr="00980BBE">
        <w:rPr>
          <w:rFonts w:ascii="Arial" w:hAnsi="Arial" w:cs="Arial"/>
          <w:sz w:val="22"/>
          <w:szCs w:val="22"/>
        </w:rPr>
        <w:t xml:space="preserve">functions </w:t>
      </w:r>
      <w:r w:rsidR="00E91665" w:rsidRPr="00980BBE">
        <w:rPr>
          <w:rFonts w:ascii="Arial" w:hAnsi="Arial" w:cs="Arial"/>
          <w:sz w:val="22"/>
          <w:szCs w:val="22"/>
        </w:rPr>
        <w:t xml:space="preserve">not merely as a </w:t>
      </w:r>
      <w:r w:rsidRPr="00980BBE">
        <w:rPr>
          <w:rFonts w:ascii="Arial" w:hAnsi="Arial" w:cs="Arial"/>
          <w:sz w:val="22"/>
          <w:szCs w:val="22"/>
        </w:rPr>
        <w:t>background</w:t>
      </w:r>
      <w:r w:rsidR="00E91665" w:rsidRPr="00980BBE">
        <w:rPr>
          <w:rFonts w:ascii="Arial" w:hAnsi="Arial" w:cs="Arial"/>
          <w:sz w:val="22"/>
          <w:szCs w:val="22"/>
        </w:rPr>
        <w:t xml:space="preserve"> variable</w:t>
      </w:r>
      <w:r w:rsidRPr="00980BBE">
        <w:rPr>
          <w:rFonts w:ascii="Arial" w:hAnsi="Arial" w:cs="Arial"/>
          <w:sz w:val="22"/>
          <w:szCs w:val="22"/>
        </w:rPr>
        <w:t xml:space="preserve"> but a primary </w:t>
      </w:r>
      <w:r w:rsidR="00E92413" w:rsidRPr="00980BBE">
        <w:rPr>
          <w:rFonts w:ascii="Arial" w:hAnsi="Arial" w:cs="Arial"/>
          <w:sz w:val="22"/>
          <w:szCs w:val="22"/>
        </w:rPr>
        <w:t xml:space="preserve">determinant </w:t>
      </w:r>
      <w:r w:rsidRPr="00980BBE">
        <w:rPr>
          <w:rFonts w:ascii="Arial" w:hAnsi="Arial" w:cs="Arial"/>
          <w:sz w:val="22"/>
          <w:szCs w:val="22"/>
        </w:rPr>
        <w:t>of risk and outcome disparities in YOD.</w:t>
      </w:r>
      <w:r w:rsidR="005F30FF" w:rsidRPr="00980BBE">
        <w:rPr>
          <w:rFonts w:ascii="Arial" w:hAnsi="Arial" w:cs="Arial"/>
          <w:sz w:val="22"/>
          <w:szCs w:val="22"/>
        </w:rPr>
        <w:t xml:space="preserve"> However, the </w:t>
      </w:r>
      <w:r w:rsidR="00E92413" w:rsidRPr="00980BBE">
        <w:rPr>
          <w:rFonts w:ascii="Arial" w:hAnsi="Arial" w:cs="Arial"/>
          <w:sz w:val="22"/>
          <w:szCs w:val="22"/>
        </w:rPr>
        <w:t>magni</w:t>
      </w:r>
      <w:r w:rsidR="003442C8" w:rsidRPr="00980BBE">
        <w:rPr>
          <w:rFonts w:ascii="Arial" w:hAnsi="Arial" w:cs="Arial"/>
          <w:sz w:val="22"/>
          <w:szCs w:val="22"/>
        </w:rPr>
        <w:t xml:space="preserve">tude of this association may differ across </w:t>
      </w:r>
      <w:r w:rsidR="005F30FF" w:rsidRPr="00980BBE">
        <w:rPr>
          <w:rFonts w:ascii="Arial" w:hAnsi="Arial" w:cs="Arial"/>
          <w:sz w:val="22"/>
          <w:szCs w:val="22"/>
        </w:rPr>
        <w:t>geographical regions and healthcare systems,</w:t>
      </w:r>
      <w:r w:rsidR="003442C8" w:rsidRPr="00980BBE">
        <w:rPr>
          <w:rFonts w:ascii="Arial" w:hAnsi="Arial" w:cs="Arial"/>
          <w:sz w:val="22"/>
          <w:szCs w:val="22"/>
        </w:rPr>
        <w:t xml:space="preserve"> suggest</w:t>
      </w:r>
      <w:r w:rsidR="008A7D65" w:rsidRPr="00980BBE">
        <w:rPr>
          <w:rFonts w:ascii="Arial" w:hAnsi="Arial" w:cs="Arial"/>
          <w:sz w:val="22"/>
          <w:szCs w:val="22"/>
        </w:rPr>
        <w:t>ing</w:t>
      </w:r>
      <w:r w:rsidR="005F30FF" w:rsidRPr="00980BBE">
        <w:rPr>
          <w:rFonts w:ascii="Arial" w:hAnsi="Arial" w:cs="Arial"/>
          <w:sz w:val="22"/>
          <w:szCs w:val="22"/>
        </w:rPr>
        <w:t xml:space="preserve"> that contextual policy environments also </w:t>
      </w:r>
      <w:r w:rsidR="008A7D65" w:rsidRPr="00980BBE">
        <w:rPr>
          <w:rFonts w:ascii="Arial" w:hAnsi="Arial" w:cs="Arial"/>
          <w:sz w:val="22"/>
          <w:szCs w:val="22"/>
        </w:rPr>
        <w:t xml:space="preserve">shape </w:t>
      </w:r>
      <w:r w:rsidR="005F30FF" w:rsidRPr="00980BBE">
        <w:rPr>
          <w:rFonts w:ascii="Arial" w:hAnsi="Arial" w:cs="Arial"/>
          <w:sz w:val="22"/>
          <w:szCs w:val="22"/>
        </w:rPr>
        <w:t>dementia risk patterns.</w:t>
      </w:r>
    </w:p>
    <w:p w14:paraId="162EC90E" w14:textId="77777777" w:rsidR="00735909" w:rsidRPr="00266F7A" w:rsidRDefault="00735909" w:rsidP="00E74CD6">
      <w:pPr>
        <w:pStyle w:val="Heading1"/>
        <w:rPr>
          <w:rFonts w:ascii="Arial" w:hAnsi="Arial" w:cs="Arial"/>
          <w:b/>
          <w:bCs/>
          <w:color w:val="auto"/>
          <w:sz w:val="28"/>
          <w:szCs w:val="28"/>
          <w:u w:val="single"/>
        </w:rPr>
      </w:pPr>
      <w:bookmarkStart w:id="49" w:name="_Toc225966642"/>
      <w:r w:rsidRPr="00266F7A">
        <w:rPr>
          <w:rFonts w:ascii="Arial" w:hAnsi="Arial" w:cs="Arial"/>
          <w:b/>
          <w:bCs/>
          <w:color w:val="auto"/>
          <w:sz w:val="28"/>
          <w:szCs w:val="28"/>
          <w:u w:val="single"/>
        </w:rPr>
        <w:t>Theoretical Framework</w:t>
      </w:r>
      <w:bookmarkEnd w:id="49"/>
    </w:p>
    <w:p w14:paraId="028F739C" w14:textId="32FACFC5" w:rsidR="0045039F" w:rsidRPr="00980BBE" w:rsidRDefault="00A63DF6" w:rsidP="001D2D05">
      <w:pPr>
        <w:spacing w:line="360" w:lineRule="auto"/>
        <w:rPr>
          <w:rFonts w:ascii="Arial" w:hAnsi="Arial" w:cs="Arial"/>
          <w:sz w:val="22"/>
          <w:szCs w:val="22"/>
        </w:rPr>
      </w:pPr>
      <w:r w:rsidRPr="00980BBE">
        <w:rPr>
          <w:rFonts w:ascii="Arial" w:hAnsi="Arial" w:cs="Arial"/>
          <w:sz w:val="22"/>
          <w:szCs w:val="22"/>
        </w:rPr>
        <w:t xml:space="preserve">The </w:t>
      </w:r>
      <w:r w:rsidR="0045039F" w:rsidRPr="00980BBE">
        <w:rPr>
          <w:rFonts w:ascii="Arial" w:hAnsi="Arial" w:cs="Arial"/>
          <w:sz w:val="22"/>
          <w:szCs w:val="22"/>
        </w:rPr>
        <w:t>socioeconomic determinants of health paradigm</w:t>
      </w:r>
      <w:r w:rsidR="00AE6BF7" w:rsidRPr="00980BBE">
        <w:rPr>
          <w:rFonts w:ascii="Arial" w:hAnsi="Arial" w:cs="Arial"/>
          <w:sz w:val="22"/>
          <w:szCs w:val="22"/>
        </w:rPr>
        <w:t xml:space="preserve"> offer</w:t>
      </w:r>
      <w:r w:rsidR="00CE56F0" w:rsidRPr="00980BBE">
        <w:rPr>
          <w:rFonts w:ascii="Arial" w:hAnsi="Arial" w:cs="Arial"/>
          <w:sz w:val="22"/>
          <w:szCs w:val="22"/>
        </w:rPr>
        <w:t xml:space="preserve"> a framework for understanding how deprivation influences Young</w:t>
      </w:r>
      <w:r w:rsidR="00AE6BF7" w:rsidRPr="00980BBE">
        <w:rPr>
          <w:rFonts w:ascii="Arial" w:hAnsi="Arial" w:cs="Arial"/>
          <w:sz w:val="22"/>
          <w:szCs w:val="22"/>
        </w:rPr>
        <w:t>-onset Dementia.</w:t>
      </w:r>
      <w:r w:rsidR="0045039F" w:rsidRPr="00980BBE">
        <w:rPr>
          <w:rFonts w:ascii="Arial" w:hAnsi="Arial" w:cs="Arial"/>
          <w:sz w:val="22"/>
          <w:szCs w:val="22"/>
        </w:rPr>
        <w:t xml:space="preserve">(Marmot, 2013; Beard, n.d). </w:t>
      </w:r>
      <w:r w:rsidR="0006513F" w:rsidRPr="00980BBE">
        <w:rPr>
          <w:rFonts w:ascii="Arial" w:hAnsi="Arial" w:cs="Arial"/>
          <w:sz w:val="22"/>
          <w:szCs w:val="22"/>
        </w:rPr>
        <w:t xml:space="preserve">This </w:t>
      </w:r>
      <w:r w:rsidR="00550E94" w:rsidRPr="00980BBE">
        <w:rPr>
          <w:rFonts w:ascii="Arial" w:hAnsi="Arial" w:cs="Arial"/>
          <w:sz w:val="22"/>
          <w:szCs w:val="22"/>
        </w:rPr>
        <w:t>perspective posits that health outcomes are shaped both direc</w:t>
      </w:r>
      <w:r w:rsidR="00F95D55" w:rsidRPr="00980BBE">
        <w:rPr>
          <w:rFonts w:ascii="Arial" w:hAnsi="Arial" w:cs="Arial"/>
          <w:sz w:val="22"/>
          <w:szCs w:val="22"/>
        </w:rPr>
        <w:t xml:space="preserve">tly and indirectly by </w:t>
      </w:r>
      <w:r w:rsidR="0045039F" w:rsidRPr="00980BBE">
        <w:rPr>
          <w:rFonts w:ascii="Arial" w:hAnsi="Arial" w:cs="Arial"/>
          <w:sz w:val="22"/>
          <w:szCs w:val="22"/>
        </w:rPr>
        <w:t>structural and social factors</w:t>
      </w:r>
      <w:r w:rsidR="00F95D55" w:rsidRPr="00980BBE">
        <w:rPr>
          <w:rFonts w:ascii="Arial" w:hAnsi="Arial" w:cs="Arial"/>
          <w:sz w:val="22"/>
          <w:szCs w:val="22"/>
        </w:rPr>
        <w:t xml:space="preserve">, including </w:t>
      </w:r>
      <w:r w:rsidR="0045039F" w:rsidRPr="00980BBE">
        <w:rPr>
          <w:rFonts w:ascii="Arial" w:hAnsi="Arial" w:cs="Arial"/>
          <w:sz w:val="22"/>
          <w:szCs w:val="22"/>
        </w:rPr>
        <w:t xml:space="preserve">poverty, education, and access to healthcare. </w:t>
      </w:r>
      <w:r w:rsidR="006D6345" w:rsidRPr="00980BBE">
        <w:rPr>
          <w:rFonts w:ascii="Arial" w:hAnsi="Arial" w:cs="Arial"/>
          <w:sz w:val="22"/>
          <w:szCs w:val="22"/>
        </w:rPr>
        <w:t>Within the context of YOD,</w:t>
      </w:r>
      <w:r w:rsidR="000C3A29" w:rsidRPr="00980BBE">
        <w:rPr>
          <w:rFonts w:ascii="Arial" w:hAnsi="Arial" w:cs="Arial"/>
          <w:sz w:val="22"/>
          <w:szCs w:val="22"/>
        </w:rPr>
        <w:t xml:space="preserve"> </w:t>
      </w:r>
      <w:r w:rsidR="006D6345" w:rsidRPr="00980BBE">
        <w:rPr>
          <w:rFonts w:ascii="Arial" w:hAnsi="Arial" w:cs="Arial"/>
          <w:sz w:val="22"/>
          <w:szCs w:val="22"/>
        </w:rPr>
        <w:t xml:space="preserve">deprivation can increase exposure of </w:t>
      </w:r>
      <w:r w:rsidR="008F1707" w:rsidRPr="00980BBE">
        <w:rPr>
          <w:rFonts w:ascii="Arial" w:hAnsi="Arial" w:cs="Arial"/>
          <w:sz w:val="22"/>
          <w:szCs w:val="22"/>
        </w:rPr>
        <w:t xml:space="preserve">lifestyle-related risk factors such as </w:t>
      </w:r>
      <w:r w:rsidR="0045039F" w:rsidRPr="00980BBE">
        <w:rPr>
          <w:rFonts w:ascii="Arial" w:hAnsi="Arial" w:cs="Arial"/>
          <w:sz w:val="22"/>
          <w:szCs w:val="22"/>
        </w:rPr>
        <w:t xml:space="preserve">chronic stress, alcohol consumption, and malnutrition, which </w:t>
      </w:r>
      <w:r w:rsidR="00EB6964" w:rsidRPr="00980BBE">
        <w:rPr>
          <w:rFonts w:ascii="Arial" w:hAnsi="Arial" w:cs="Arial"/>
          <w:sz w:val="22"/>
          <w:szCs w:val="22"/>
        </w:rPr>
        <w:t xml:space="preserve">interact </w:t>
      </w:r>
      <w:r w:rsidR="0045039F" w:rsidRPr="00980BBE">
        <w:rPr>
          <w:rFonts w:ascii="Arial" w:hAnsi="Arial" w:cs="Arial"/>
          <w:sz w:val="22"/>
          <w:szCs w:val="22"/>
        </w:rPr>
        <w:t xml:space="preserve">with biological vulnerabilities to </w:t>
      </w:r>
      <w:r w:rsidR="00EB6964" w:rsidRPr="00980BBE">
        <w:rPr>
          <w:rFonts w:ascii="Arial" w:hAnsi="Arial" w:cs="Arial"/>
          <w:sz w:val="22"/>
          <w:szCs w:val="22"/>
        </w:rPr>
        <w:t xml:space="preserve">accelerate </w:t>
      </w:r>
      <w:r w:rsidR="0045039F" w:rsidRPr="00980BBE">
        <w:rPr>
          <w:rFonts w:ascii="Arial" w:hAnsi="Arial" w:cs="Arial"/>
          <w:sz w:val="22"/>
          <w:szCs w:val="22"/>
        </w:rPr>
        <w:t xml:space="preserve">cognitive </w:t>
      </w:r>
      <w:r w:rsidR="00EB6964" w:rsidRPr="00980BBE">
        <w:rPr>
          <w:rFonts w:ascii="Arial" w:hAnsi="Arial" w:cs="Arial"/>
          <w:sz w:val="22"/>
          <w:szCs w:val="22"/>
        </w:rPr>
        <w:t>decline</w:t>
      </w:r>
      <w:r w:rsidR="0045039F" w:rsidRPr="00980BBE">
        <w:rPr>
          <w:rFonts w:ascii="Arial" w:hAnsi="Arial" w:cs="Arial"/>
          <w:sz w:val="22"/>
          <w:szCs w:val="22"/>
        </w:rPr>
        <w:t>.</w:t>
      </w:r>
    </w:p>
    <w:p w14:paraId="106F3605" w14:textId="1F332730"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 xml:space="preserve">Life course theory complements this </w:t>
      </w:r>
      <w:r w:rsidR="000C3A29" w:rsidRPr="00980BBE">
        <w:rPr>
          <w:rFonts w:ascii="Arial" w:hAnsi="Arial" w:cs="Arial"/>
          <w:sz w:val="22"/>
          <w:szCs w:val="22"/>
        </w:rPr>
        <w:t xml:space="preserve">framework </w:t>
      </w:r>
      <w:r w:rsidRPr="00980BBE">
        <w:rPr>
          <w:rFonts w:ascii="Arial" w:hAnsi="Arial" w:cs="Arial"/>
          <w:sz w:val="22"/>
          <w:szCs w:val="22"/>
        </w:rPr>
        <w:t xml:space="preserve">by emphasising how cumulative disadvantage </w:t>
      </w:r>
      <w:r w:rsidR="000C3A29" w:rsidRPr="00980BBE">
        <w:rPr>
          <w:rFonts w:ascii="Arial" w:hAnsi="Arial" w:cs="Arial"/>
          <w:sz w:val="22"/>
          <w:szCs w:val="22"/>
        </w:rPr>
        <w:t xml:space="preserve">effect </w:t>
      </w:r>
      <w:r w:rsidRPr="00980BBE">
        <w:rPr>
          <w:rFonts w:ascii="Arial" w:hAnsi="Arial" w:cs="Arial"/>
          <w:sz w:val="22"/>
          <w:szCs w:val="22"/>
        </w:rPr>
        <w:t>long-term health outcomes. Early-life deprivation limited educational opportunities, and occupational instability can reduce cognitive reserve,</w:t>
      </w:r>
      <w:r w:rsidR="000C3A29" w:rsidRPr="00980BBE">
        <w:rPr>
          <w:rFonts w:ascii="Arial" w:hAnsi="Arial" w:cs="Arial"/>
          <w:sz w:val="22"/>
          <w:szCs w:val="22"/>
        </w:rPr>
        <w:t xml:space="preserve"> rendering</w:t>
      </w:r>
      <w:r w:rsidRPr="00980BBE">
        <w:rPr>
          <w:rFonts w:ascii="Arial" w:hAnsi="Arial" w:cs="Arial"/>
          <w:sz w:val="22"/>
          <w:szCs w:val="22"/>
        </w:rPr>
        <w:t xml:space="preserve"> individuals more </w:t>
      </w:r>
      <w:r w:rsidR="005C0D2C" w:rsidRPr="00980BBE">
        <w:rPr>
          <w:rFonts w:ascii="Arial" w:hAnsi="Arial" w:cs="Arial"/>
          <w:sz w:val="22"/>
          <w:szCs w:val="22"/>
        </w:rPr>
        <w:t>susceptible to</w:t>
      </w:r>
      <w:r w:rsidRPr="00980BBE">
        <w:rPr>
          <w:rFonts w:ascii="Arial" w:hAnsi="Arial" w:cs="Arial"/>
          <w:sz w:val="22"/>
          <w:szCs w:val="22"/>
        </w:rPr>
        <w:t xml:space="preserve"> ARBD and other forms of dementia </w:t>
      </w:r>
      <w:r w:rsidR="005C0D2C" w:rsidRPr="00980BBE">
        <w:rPr>
          <w:rFonts w:ascii="Arial" w:hAnsi="Arial" w:cs="Arial"/>
          <w:sz w:val="22"/>
          <w:szCs w:val="22"/>
        </w:rPr>
        <w:t>during</w:t>
      </w:r>
      <w:r w:rsidRPr="00980BBE">
        <w:rPr>
          <w:rFonts w:ascii="Arial" w:hAnsi="Arial" w:cs="Arial"/>
          <w:sz w:val="22"/>
          <w:szCs w:val="22"/>
        </w:rPr>
        <w:t xml:space="preserve"> midlife (Stern, 2012).</w:t>
      </w:r>
    </w:p>
    <w:p w14:paraId="15780E73" w14:textId="1FF85C0C" w:rsidR="00735909" w:rsidRPr="00980BBE" w:rsidRDefault="00E4012F" w:rsidP="001D2D05">
      <w:pPr>
        <w:spacing w:line="360" w:lineRule="auto"/>
        <w:rPr>
          <w:rFonts w:ascii="Arial" w:hAnsi="Arial" w:cs="Arial"/>
          <w:sz w:val="22"/>
          <w:szCs w:val="22"/>
        </w:rPr>
      </w:pPr>
      <w:r w:rsidRPr="00980BBE">
        <w:rPr>
          <w:rFonts w:ascii="Arial" w:hAnsi="Arial" w:cs="Arial"/>
          <w:sz w:val="22"/>
          <w:szCs w:val="22"/>
        </w:rPr>
        <w:t xml:space="preserve">Collectively. </w:t>
      </w:r>
      <w:r w:rsidR="00735909" w:rsidRPr="00980BBE">
        <w:rPr>
          <w:rFonts w:ascii="Arial" w:hAnsi="Arial" w:cs="Arial"/>
          <w:sz w:val="22"/>
          <w:szCs w:val="22"/>
        </w:rPr>
        <w:t xml:space="preserve">these </w:t>
      </w:r>
      <w:r w:rsidRPr="00980BBE">
        <w:rPr>
          <w:rFonts w:ascii="Arial" w:hAnsi="Arial" w:cs="Arial"/>
          <w:sz w:val="22"/>
          <w:szCs w:val="22"/>
        </w:rPr>
        <w:t xml:space="preserve">frameworks </w:t>
      </w:r>
      <w:r w:rsidR="003A2F4A" w:rsidRPr="00980BBE">
        <w:rPr>
          <w:rFonts w:ascii="Arial" w:hAnsi="Arial" w:cs="Arial"/>
          <w:sz w:val="22"/>
          <w:szCs w:val="22"/>
        </w:rPr>
        <w:t xml:space="preserve">underscore the interplay </w:t>
      </w:r>
      <w:r w:rsidR="00735909" w:rsidRPr="00980BBE">
        <w:rPr>
          <w:rFonts w:ascii="Arial" w:hAnsi="Arial" w:cs="Arial"/>
          <w:sz w:val="22"/>
          <w:szCs w:val="22"/>
        </w:rPr>
        <w:t>between social, psychological, and biological determinants of cognitive</w:t>
      </w:r>
      <w:r w:rsidR="001364F5" w:rsidRPr="00980BBE">
        <w:rPr>
          <w:rFonts w:ascii="Arial" w:hAnsi="Arial" w:cs="Arial"/>
          <w:sz w:val="22"/>
          <w:szCs w:val="22"/>
        </w:rPr>
        <w:t xml:space="preserve"> </w:t>
      </w:r>
      <w:r w:rsidR="003A2F4A" w:rsidRPr="00980BBE">
        <w:rPr>
          <w:rFonts w:ascii="Arial" w:hAnsi="Arial" w:cs="Arial"/>
          <w:sz w:val="22"/>
          <w:szCs w:val="22"/>
        </w:rPr>
        <w:t>i</w:t>
      </w:r>
      <w:r w:rsidR="001364F5" w:rsidRPr="00980BBE">
        <w:rPr>
          <w:rFonts w:ascii="Arial" w:hAnsi="Arial" w:cs="Arial"/>
          <w:sz w:val="22"/>
          <w:szCs w:val="22"/>
        </w:rPr>
        <w:t>mpairment.</w:t>
      </w:r>
      <w:r w:rsidR="00735909" w:rsidRPr="00980BBE">
        <w:rPr>
          <w:rFonts w:ascii="Arial" w:hAnsi="Arial" w:cs="Arial"/>
          <w:sz w:val="22"/>
          <w:szCs w:val="22"/>
        </w:rPr>
        <w:t xml:space="preserve">, </w:t>
      </w:r>
      <w:r w:rsidR="001364F5" w:rsidRPr="00980BBE">
        <w:rPr>
          <w:rFonts w:ascii="Arial" w:hAnsi="Arial" w:cs="Arial"/>
          <w:sz w:val="22"/>
          <w:szCs w:val="22"/>
        </w:rPr>
        <w:t xml:space="preserve">highlighting </w:t>
      </w:r>
      <w:r w:rsidR="00735909" w:rsidRPr="00980BBE">
        <w:rPr>
          <w:rFonts w:ascii="Arial" w:hAnsi="Arial" w:cs="Arial"/>
          <w:sz w:val="22"/>
          <w:szCs w:val="22"/>
        </w:rPr>
        <w:t xml:space="preserve">the </w:t>
      </w:r>
      <w:r w:rsidR="001364F5" w:rsidRPr="00980BBE">
        <w:rPr>
          <w:rFonts w:ascii="Arial" w:hAnsi="Arial" w:cs="Arial"/>
          <w:sz w:val="22"/>
          <w:szCs w:val="22"/>
        </w:rPr>
        <w:t>necessity</w:t>
      </w:r>
      <w:r w:rsidR="00735909" w:rsidRPr="00980BBE">
        <w:rPr>
          <w:rFonts w:ascii="Arial" w:hAnsi="Arial" w:cs="Arial"/>
          <w:sz w:val="22"/>
          <w:szCs w:val="22"/>
        </w:rPr>
        <w:t xml:space="preserve"> for interventions that address both individual behaviour and broader structural inequalities.</w:t>
      </w:r>
    </w:p>
    <w:p w14:paraId="39CF00D5" w14:textId="77777777" w:rsidR="00735909" w:rsidRPr="00266F7A" w:rsidRDefault="00735909" w:rsidP="00E74CD6">
      <w:pPr>
        <w:pStyle w:val="Heading1"/>
        <w:rPr>
          <w:rFonts w:ascii="Arial" w:hAnsi="Arial" w:cs="Arial"/>
          <w:b/>
          <w:bCs/>
          <w:color w:val="auto"/>
          <w:sz w:val="28"/>
          <w:szCs w:val="28"/>
          <w:u w:val="single"/>
        </w:rPr>
      </w:pPr>
      <w:bookmarkStart w:id="50" w:name="_Toc225966643"/>
      <w:r w:rsidRPr="00266F7A">
        <w:rPr>
          <w:rFonts w:ascii="Arial" w:hAnsi="Arial" w:cs="Arial"/>
          <w:b/>
          <w:bCs/>
          <w:color w:val="auto"/>
          <w:sz w:val="28"/>
          <w:szCs w:val="28"/>
          <w:u w:val="single"/>
        </w:rPr>
        <w:t>Policy and Legislation</w:t>
      </w:r>
      <w:bookmarkEnd w:id="50"/>
    </w:p>
    <w:p w14:paraId="15B0CD21" w14:textId="05384BF2" w:rsidR="002A6D3D" w:rsidRPr="00980BBE" w:rsidRDefault="002A6D3D" w:rsidP="001D2D05">
      <w:pPr>
        <w:spacing w:line="360" w:lineRule="auto"/>
        <w:rPr>
          <w:rFonts w:ascii="Arial" w:hAnsi="Arial" w:cs="Arial"/>
          <w:sz w:val="22"/>
          <w:szCs w:val="22"/>
        </w:rPr>
      </w:pPr>
      <w:r w:rsidRPr="00980BBE">
        <w:rPr>
          <w:rFonts w:ascii="Arial" w:hAnsi="Arial" w:cs="Arial"/>
          <w:sz w:val="22"/>
          <w:szCs w:val="22"/>
        </w:rPr>
        <w:t xml:space="preserve">There </w:t>
      </w:r>
      <w:r w:rsidR="00C1193B" w:rsidRPr="00980BBE">
        <w:rPr>
          <w:rFonts w:ascii="Arial" w:hAnsi="Arial" w:cs="Arial"/>
          <w:sz w:val="22"/>
          <w:szCs w:val="22"/>
        </w:rPr>
        <w:t xml:space="preserve">remain limited policy </w:t>
      </w:r>
      <w:r w:rsidRPr="00980BBE">
        <w:rPr>
          <w:rFonts w:ascii="Arial" w:hAnsi="Arial" w:cs="Arial"/>
          <w:sz w:val="22"/>
          <w:szCs w:val="22"/>
        </w:rPr>
        <w:t xml:space="preserve">solutions </w:t>
      </w:r>
      <w:r w:rsidR="00D61896" w:rsidRPr="00980BBE">
        <w:rPr>
          <w:rFonts w:ascii="Arial" w:hAnsi="Arial" w:cs="Arial"/>
          <w:sz w:val="22"/>
          <w:szCs w:val="22"/>
        </w:rPr>
        <w:t xml:space="preserve">addressing the relationship  </w:t>
      </w:r>
      <w:r w:rsidR="00BD1DD5" w:rsidRPr="00980BBE">
        <w:rPr>
          <w:rFonts w:ascii="Arial" w:hAnsi="Arial" w:cs="Arial"/>
          <w:sz w:val="22"/>
          <w:szCs w:val="22"/>
        </w:rPr>
        <w:t>between</w:t>
      </w:r>
      <w:r w:rsidRPr="00980BBE">
        <w:rPr>
          <w:rFonts w:ascii="Arial" w:hAnsi="Arial" w:cs="Arial"/>
          <w:sz w:val="22"/>
          <w:szCs w:val="22"/>
        </w:rPr>
        <w:t xml:space="preserve"> dementia and socioeconomic </w:t>
      </w:r>
      <w:r w:rsidR="00820812" w:rsidRPr="00980BBE">
        <w:rPr>
          <w:rFonts w:ascii="Arial" w:hAnsi="Arial" w:cs="Arial"/>
          <w:sz w:val="22"/>
          <w:szCs w:val="22"/>
        </w:rPr>
        <w:t>disadvantages. In</w:t>
      </w:r>
      <w:r w:rsidR="00BD1DD5" w:rsidRPr="00980BBE">
        <w:rPr>
          <w:rFonts w:ascii="Arial" w:hAnsi="Arial" w:cs="Arial"/>
          <w:sz w:val="22"/>
          <w:szCs w:val="22"/>
        </w:rPr>
        <w:t xml:space="preserve"> the UK </w:t>
      </w:r>
      <w:r w:rsidRPr="00980BBE">
        <w:rPr>
          <w:rFonts w:ascii="Arial" w:hAnsi="Arial" w:cs="Arial"/>
          <w:sz w:val="22"/>
          <w:szCs w:val="22"/>
        </w:rPr>
        <w:t xml:space="preserve"> </w:t>
      </w:r>
      <w:r w:rsidR="00820812" w:rsidRPr="00980BBE">
        <w:rPr>
          <w:rFonts w:ascii="Arial" w:hAnsi="Arial" w:cs="Arial"/>
          <w:sz w:val="22"/>
          <w:szCs w:val="22"/>
        </w:rPr>
        <w:t>t</w:t>
      </w:r>
      <w:r w:rsidRPr="00980BBE">
        <w:rPr>
          <w:rFonts w:ascii="Arial" w:hAnsi="Arial" w:cs="Arial"/>
          <w:sz w:val="22"/>
          <w:szCs w:val="22"/>
        </w:rPr>
        <w:t>he Public Health Outcomes Framework and the NHS Long Term Plan</w:t>
      </w:r>
      <w:r w:rsidR="00820812" w:rsidRPr="00980BBE">
        <w:rPr>
          <w:rFonts w:ascii="Arial" w:hAnsi="Arial" w:cs="Arial"/>
          <w:sz w:val="22"/>
          <w:szCs w:val="22"/>
        </w:rPr>
        <w:t xml:space="preserve"> recognise the Importance </w:t>
      </w:r>
      <w:r w:rsidR="00D33336" w:rsidRPr="00980BBE">
        <w:rPr>
          <w:rFonts w:ascii="Arial" w:hAnsi="Arial" w:cs="Arial"/>
          <w:sz w:val="22"/>
          <w:szCs w:val="22"/>
        </w:rPr>
        <w:t xml:space="preserve">of </w:t>
      </w:r>
      <w:r w:rsidRPr="00980BBE">
        <w:rPr>
          <w:rFonts w:ascii="Arial" w:hAnsi="Arial" w:cs="Arial"/>
          <w:sz w:val="22"/>
          <w:szCs w:val="22"/>
        </w:rPr>
        <w:t xml:space="preserve">social determinants in health </w:t>
      </w:r>
      <w:r w:rsidR="00D33336" w:rsidRPr="00980BBE">
        <w:rPr>
          <w:rFonts w:ascii="Arial" w:hAnsi="Arial" w:cs="Arial"/>
          <w:sz w:val="22"/>
          <w:szCs w:val="22"/>
        </w:rPr>
        <w:t>shaping</w:t>
      </w:r>
      <w:r w:rsidR="00DF7A58" w:rsidRPr="00980BBE">
        <w:rPr>
          <w:rFonts w:ascii="Arial" w:hAnsi="Arial" w:cs="Arial"/>
          <w:sz w:val="22"/>
          <w:szCs w:val="22"/>
        </w:rPr>
        <w:t xml:space="preserve"> </w:t>
      </w:r>
      <w:r w:rsidRPr="00980BBE">
        <w:rPr>
          <w:rFonts w:ascii="Arial" w:hAnsi="Arial" w:cs="Arial"/>
          <w:sz w:val="22"/>
          <w:szCs w:val="22"/>
        </w:rPr>
        <w:t xml:space="preserve">outcomes, including dementia prevention (NHS England, 2019). </w:t>
      </w:r>
      <w:r w:rsidR="00DF7A58" w:rsidRPr="00980BBE">
        <w:rPr>
          <w:rFonts w:ascii="Arial" w:hAnsi="Arial" w:cs="Arial"/>
          <w:sz w:val="22"/>
          <w:szCs w:val="22"/>
        </w:rPr>
        <w:t>However</w:t>
      </w:r>
      <w:r w:rsidRPr="00980BBE">
        <w:rPr>
          <w:rFonts w:ascii="Arial" w:hAnsi="Arial" w:cs="Arial"/>
          <w:sz w:val="22"/>
          <w:szCs w:val="22"/>
        </w:rPr>
        <w:t xml:space="preserve">, deprivation-specific measures </w:t>
      </w:r>
      <w:r w:rsidR="00DF7A58" w:rsidRPr="00980BBE">
        <w:rPr>
          <w:rFonts w:ascii="Arial" w:hAnsi="Arial" w:cs="Arial"/>
          <w:sz w:val="22"/>
          <w:szCs w:val="22"/>
        </w:rPr>
        <w:t xml:space="preserve">for </w:t>
      </w:r>
      <w:r w:rsidR="0097644A" w:rsidRPr="00980BBE">
        <w:rPr>
          <w:rFonts w:ascii="Arial" w:hAnsi="Arial" w:cs="Arial"/>
          <w:sz w:val="22"/>
          <w:szCs w:val="22"/>
        </w:rPr>
        <w:t xml:space="preserve">young-onset Dementia (YOD) </w:t>
      </w:r>
      <w:r w:rsidRPr="00980BBE">
        <w:rPr>
          <w:rFonts w:ascii="Arial" w:hAnsi="Arial" w:cs="Arial"/>
          <w:sz w:val="22"/>
          <w:szCs w:val="22"/>
        </w:rPr>
        <w:t xml:space="preserve">are rarely incorporated into </w:t>
      </w:r>
      <w:r w:rsidR="00E61627" w:rsidRPr="00980BBE">
        <w:rPr>
          <w:rFonts w:ascii="Arial" w:hAnsi="Arial" w:cs="Arial"/>
          <w:sz w:val="22"/>
          <w:szCs w:val="22"/>
        </w:rPr>
        <w:t>the framework</w:t>
      </w:r>
      <w:r w:rsidRPr="00980BBE">
        <w:rPr>
          <w:rFonts w:ascii="Arial" w:hAnsi="Arial" w:cs="Arial"/>
          <w:sz w:val="22"/>
          <w:szCs w:val="22"/>
        </w:rPr>
        <w:t>.</w:t>
      </w:r>
    </w:p>
    <w:p w14:paraId="0E0FA499" w14:textId="79B6AB74" w:rsidR="001E7283" w:rsidRPr="00980BBE" w:rsidRDefault="00543D1A" w:rsidP="001D2D05">
      <w:pPr>
        <w:spacing w:line="360" w:lineRule="auto"/>
        <w:rPr>
          <w:rFonts w:ascii="Arial" w:hAnsi="Arial" w:cs="Arial"/>
          <w:sz w:val="22"/>
          <w:szCs w:val="22"/>
        </w:rPr>
      </w:pPr>
      <w:r w:rsidRPr="00980BBE">
        <w:rPr>
          <w:rFonts w:ascii="Arial" w:hAnsi="Arial" w:cs="Arial"/>
          <w:sz w:val="22"/>
          <w:szCs w:val="22"/>
        </w:rPr>
        <w:t xml:space="preserve">At the global level, the World Health </w:t>
      </w:r>
      <w:r w:rsidR="00E61627" w:rsidRPr="00980BBE">
        <w:rPr>
          <w:rFonts w:ascii="Arial" w:hAnsi="Arial" w:cs="Arial"/>
          <w:sz w:val="22"/>
          <w:szCs w:val="22"/>
        </w:rPr>
        <w:t>Organisation</w:t>
      </w:r>
      <w:r w:rsidR="00960919" w:rsidRPr="00980BBE">
        <w:rPr>
          <w:rFonts w:ascii="Arial" w:hAnsi="Arial" w:cs="Arial"/>
          <w:sz w:val="22"/>
          <w:szCs w:val="22"/>
        </w:rPr>
        <w:t xml:space="preserve"> action plan on public Health response to dementia advocates for</w:t>
      </w:r>
      <w:r w:rsidR="00E61627" w:rsidRPr="00980BBE">
        <w:rPr>
          <w:rFonts w:ascii="Arial" w:hAnsi="Arial" w:cs="Arial"/>
          <w:sz w:val="22"/>
          <w:szCs w:val="22"/>
        </w:rPr>
        <w:t xml:space="preserve"> reducing </w:t>
      </w:r>
      <w:r w:rsidR="001E7283" w:rsidRPr="00980BBE">
        <w:rPr>
          <w:rFonts w:ascii="Arial" w:hAnsi="Arial" w:cs="Arial"/>
          <w:sz w:val="22"/>
          <w:szCs w:val="22"/>
        </w:rPr>
        <w:t>disparities in healthcare access and risk exposure (</w:t>
      </w:r>
      <w:r w:rsidR="002B1D3E" w:rsidRPr="00980BBE">
        <w:rPr>
          <w:rFonts w:ascii="Arial" w:hAnsi="Arial" w:cs="Arial"/>
          <w:sz w:val="22"/>
          <w:szCs w:val="22"/>
        </w:rPr>
        <w:t xml:space="preserve">World </w:t>
      </w:r>
      <w:r w:rsidR="001769E7" w:rsidRPr="00980BBE">
        <w:rPr>
          <w:rFonts w:ascii="Arial" w:hAnsi="Arial" w:cs="Arial"/>
          <w:sz w:val="22"/>
          <w:szCs w:val="22"/>
        </w:rPr>
        <w:t>Health</w:t>
      </w:r>
      <w:r w:rsidR="002B1D3E" w:rsidRPr="00980BBE">
        <w:rPr>
          <w:rFonts w:ascii="Arial" w:hAnsi="Arial" w:cs="Arial"/>
          <w:sz w:val="22"/>
          <w:szCs w:val="22"/>
        </w:rPr>
        <w:t xml:space="preserve"> </w:t>
      </w:r>
      <w:r w:rsidR="001769E7" w:rsidRPr="00980BBE">
        <w:rPr>
          <w:rFonts w:ascii="Arial" w:hAnsi="Arial" w:cs="Arial"/>
          <w:sz w:val="22"/>
          <w:szCs w:val="22"/>
        </w:rPr>
        <w:t>organisation</w:t>
      </w:r>
      <w:r w:rsidR="002B1D3E" w:rsidRPr="00980BBE">
        <w:rPr>
          <w:rFonts w:ascii="Arial" w:hAnsi="Arial" w:cs="Arial"/>
          <w:sz w:val="22"/>
          <w:szCs w:val="22"/>
        </w:rPr>
        <w:t xml:space="preserve"> </w:t>
      </w:r>
      <w:r w:rsidR="001E7283" w:rsidRPr="00980BBE">
        <w:rPr>
          <w:rFonts w:ascii="Arial" w:hAnsi="Arial" w:cs="Arial"/>
          <w:sz w:val="22"/>
          <w:szCs w:val="22"/>
        </w:rPr>
        <w:t xml:space="preserve">, 2017a; </w:t>
      </w:r>
      <w:r w:rsidR="002B1D3E" w:rsidRPr="00980BBE">
        <w:rPr>
          <w:rFonts w:ascii="Arial" w:hAnsi="Arial" w:cs="Arial"/>
          <w:sz w:val="22"/>
          <w:szCs w:val="22"/>
        </w:rPr>
        <w:t xml:space="preserve">World </w:t>
      </w:r>
      <w:r w:rsidR="001769E7" w:rsidRPr="00980BBE">
        <w:rPr>
          <w:rFonts w:ascii="Arial" w:hAnsi="Arial" w:cs="Arial"/>
          <w:sz w:val="22"/>
          <w:szCs w:val="22"/>
        </w:rPr>
        <w:t>Health</w:t>
      </w:r>
      <w:r w:rsidR="002B1D3E" w:rsidRPr="00980BBE">
        <w:rPr>
          <w:rFonts w:ascii="Arial" w:hAnsi="Arial" w:cs="Arial"/>
          <w:sz w:val="22"/>
          <w:szCs w:val="22"/>
        </w:rPr>
        <w:t xml:space="preserve"> </w:t>
      </w:r>
      <w:r w:rsidR="001769E7" w:rsidRPr="00980BBE">
        <w:rPr>
          <w:rFonts w:ascii="Arial" w:hAnsi="Arial" w:cs="Arial"/>
          <w:sz w:val="22"/>
          <w:szCs w:val="22"/>
        </w:rPr>
        <w:t>organisation</w:t>
      </w:r>
      <w:r w:rsidR="002B1D3E" w:rsidRPr="00980BBE">
        <w:rPr>
          <w:rFonts w:ascii="Arial" w:hAnsi="Arial" w:cs="Arial"/>
          <w:sz w:val="22"/>
          <w:szCs w:val="22"/>
        </w:rPr>
        <w:t xml:space="preserve"> </w:t>
      </w:r>
      <w:r w:rsidR="001E7283" w:rsidRPr="00980BBE">
        <w:rPr>
          <w:rFonts w:ascii="Arial" w:hAnsi="Arial" w:cs="Arial"/>
          <w:sz w:val="22"/>
          <w:szCs w:val="22"/>
        </w:rPr>
        <w:t xml:space="preserve">, 2017c). The strategy emphasizes early screening, community-based interventions, education, and </w:t>
      </w:r>
      <w:r w:rsidR="00294462" w:rsidRPr="00980BBE">
        <w:rPr>
          <w:rFonts w:ascii="Arial" w:hAnsi="Arial" w:cs="Arial"/>
          <w:sz w:val="22"/>
          <w:szCs w:val="22"/>
        </w:rPr>
        <w:t xml:space="preserve">support for caregivers in underprivileged </w:t>
      </w:r>
      <w:r w:rsidR="004153DE" w:rsidRPr="00980BBE">
        <w:rPr>
          <w:rFonts w:ascii="Arial" w:hAnsi="Arial" w:cs="Arial"/>
          <w:sz w:val="22"/>
          <w:szCs w:val="22"/>
        </w:rPr>
        <w:t>populations.</w:t>
      </w:r>
      <w:r w:rsidR="00C16E63" w:rsidRPr="00980BBE">
        <w:rPr>
          <w:rFonts w:ascii="Arial" w:hAnsi="Arial" w:cs="Arial"/>
          <w:sz w:val="22"/>
          <w:szCs w:val="22"/>
        </w:rPr>
        <w:t xml:space="preserve"> </w:t>
      </w:r>
      <w:r w:rsidR="004153DE" w:rsidRPr="00980BBE">
        <w:rPr>
          <w:rFonts w:ascii="Arial" w:hAnsi="Arial" w:cs="Arial"/>
          <w:sz w:val="22"/>
          <w:szCs w:val="22"/>
        </w:rPr>
        <w:t>Nevertheless</w:t>
      </w:r>
      <w:r w:rsidR="00C16E63" w:rsidRPr="00980BBE">
        <w:rPr>
          <w:rFonts w:ascii="Arial" w:hAnsi="Arial" w:cs="Arial"/>
          <w:sz w:val="22"/>
          <w:szCs w:val="22"/>
        </w:rPr>
        <w:t xml:space="preserve">, significant implementation gaps </w:t>
      </w:r>
      <w:r w:rsidR="00F05455" w:rsidRPr="00980BBE">
        <w:rPr>
          <w:rFonts w:ascii="Arial" w:hAnsi="Arial" w:cs="Arial"/>
          <w:sz w:val="22"/>
          <w:szCs w:val="22"/>
        </w:rPr>
        <w:t>persist</w:t>
      </w:r>
      <w:r w:rsidR="00C16E63" w:rsidRPr="00980BBE">
        <w:rPr>
          <w:rFonts w:ascii="Arial" w:hAnsi="Arial" w:cs="Arial"/>
          <w:sz w:val="22"/>
          <w:szCs w:val="22"/>
        </w:rPr>
        <w:t xml:space="preserve">, and </w:t>
      </w:r>
      <w:r w:rsidR="00C16E63" w:rsidRPr="00980BBE">
        <w:rPr>
          <w:rFonts w:ascii="Arial" w:hAnsi="Arial" w:cs="Arial"/>
          <w:sz w:val="22"/>
          <w:szCs w:val="22"/>
        </w:rPr>
        <w:lastRenderedPageBreak/>
        <w:t xml:space="preserve">there remains limited evaluation of outcomes among </w:t>
      </w:r>
      <w:r w:rsidR="00F05455" w:rsidRPr="00980BBE">
        <w:rPr>
          <w:rFonts w:ascii="Arial" w:hAnsi="Arial" w:cs="Arial"/>
          <w:sz w:val="22"/>
          <w:szCs w:val="22"/>
        </w:rPr>
        <w:t xml:space="preserve">socioeconomically disadvantaged groups. </w:t>
      </w:r>
    </w:p>
    <w:p w14:paraId="514FA1E8" w14:textId="7122CDD5" w:rsidR="00735909" w:rsidRPr="00266F7A" w:rsidRDefault="00735909" w:rsidP="0043053F">
      <w:pPr>
        <w:pStyle w:val="Heading1"/>
        <w:rPr>
          <w:rFonts w:ascii="Arial" w:hAnsi="Arial" w:cs="Arial"/>
          <w:b/>
          <w:bCs/>
          <w:color w:val="auto"/>
          <w:sz w:val="28"/>
          <w:szCs w:val="28"/>
          <w:u w:val="single"/>
        </w:rPr>
      </w:pPr>
      <w:bookmarkStart w:id="51" w:name="_Toc225966644"/>
      <w:r w:rsidRPr="00266F7A">
        <w:rPr>
          <w:rFonts w:ascii="Arial" w:hAnsi="Arial" w:cs="Arial"/>
          <w:b/>
          <w:bCs/>
          <w:color w:val="auto"/>
          <w:sz w:val="28"/>
          <w:szCs w:val="28"/>
          <w:u w:val="single"/>
        </w:rPr>
        <w:t xml:space="preserve">Addressing deprivation effectively requires multi-level </w:t>
      </w:r>
      <w:bookmarkEnd w:id="51"/>
      <w:r w:rsidR="000B3CF4" w:rsidRPr="00266F7A">
        <w:rPr>
          <w:rFonts w:ascii="Arial" w:hAnsi="Arial" w:cs="Arial"/>
          <w:b/>
          <w:bCs/>
          <w:color w:val="auto"/>
          <w:sz w:val="28"/>
          <w:szCs w:val="28"/>
          <w:u w:val="single"/>
        </w:rPr>
        <w:t>interventions.</w:t>
      </w:r>
    </w:p>
    <w:p w14:paraId="77031CFE" w14:textId="77777777" w:rsidR="00735909" w:rsidRPr="00980BBE" w:rsidRDefault="00735909" w:rsidP="001D2D05">
      <w:pPr>
        <w:numPr>
          <w:ilvl w:val="0"/>
          <w:numId w:val="39"/>
        </w:numPr>
        <w:spacing w:line="360" w:lineRule="auto"/>
        <w:rPr>
          <w:rFonts w:ascii="Arial" w:hAnsi="Arial" w:cs="Arial"/>
          <w:sz w:val="22"/>
          <w:szCs w:val="22"/>
        </w:rPr>
      </w:pPr>
      <w:r w:rsidRPr="00980BBE">
        <w:rPr>
          <w:rFonts w:ascii="Arial" w:hAnsi="Arial" w:cs="Arial"/>
          <w:sz w:val="22"/>
          <w:szCs w:val="22"/>
        </w:rPr>
        <w:t>Structural policies improving education, housing, and income security.</w:t>
      </w:r>
    </w:p>
    <w:p w14:paraId="4D7C22B3" w14:textId="77777777" w:rsidR="00735909" w:rsidRPr="00980BBE" w:rsidRDefault="00735909" w:rsidP="001D2D05">
      <w:pPr>
        <w:numPr>
          <w:ilvl w:val="0"/>
          <w:numId w:val="39"/>
        </w:numPr>
        <w:spacing w:line="360" w:lineRule="auto"/>
        <w:rPr>
          <w:rFonts w:ascii="Arial" w:hAnsi="Arial" w:cs="Arial"/>
          <w:sz w:val="22"/>
          <w:szCs w:val="22"/>
        </w:rPr>
      </w:pPr>
      <w:r w:rsidRPr="00980BBE">
        <w:rPr>
          <w:rFonts w:ascii="Arial" w:hAnsi="Arial" w:cs="Arial"/>
          <w:sz w:val="22"/>
          <w:szCs w:val="22"/>
        </w:rPr>
        <w:t>Targeted healthcare initiatives, including outreach programmes, subsidised screenings, and culturally sensitive interventions.</w:t>
      </w:r>
    </w:p>
    <w:p w14:paraId="2E4C128E" w14:textId="3D6F53DC" w:rsidR="00735909" w:rsidRPr="00980BBE" w:rsidRDefault="00735909" w:rsidP="001D2D05">
      <w:pPr>
        <w:numPr>
          <w:ilvl w:val="0"/>
          <w:numId w:val="39"/>
        </w:numPr>
        <w:spacing w:line="360" w:lineRule="auto"/>
        <w:rPr>
          <w:rFonts w:ascii="Arial" w:hAnsi="Arial" w:cs="Arial"/>
          <w:sz w:val="22"/>
          <w:szCs w:val="22"/>
        </w:rPr>
      </w:pPr>
      <w:r w:rsidRPr="00980BBE">
        <w:rPr>
          <w:rFonts w:ascii="Arial" w:hAnsi="Arial" w:cs="Arial"/>
          <w:sz w:val="22"/>
          <w:szCs w:val="22"/>
        </w:rPr>
        <w:t>Public health campaigns tailored to communities at higher risk, integrating alcohol harm reduction, nutrition guidance, and stress management</w:t>
      </w:r>
      <w:r w:rsidR="00500307" w:rsidRPr="00980BBE">
        <w:rPr>
          <w:rFonts w:ascii="Arial" w:hAnsi="Arial" w:cs="Arial"/>
          <w:sz w:val="22"/>
          <w:szCs w:val="22"/>
        </w:rPr>
        <w:t xml:space="preserve"> (Rodgers et al., 2025)</w:t>
      </w:r>
      <w:r w:rsidR="00466714" w:rsidRPr="00980BBE">
        <w:rPr>
          <w:rFonts w:ascii="Arial" w:hAnsi="Arial" w:cs="Arial"/>
          <w:sz w:val="22"/>
          <w:szCs w:val="22"/>
        </w:rPr>
        <w:t>.</w:t>
      </w:r>
    </w:p>
    <w:p w14:paraId="79225E1E" w14:textId="76BBF2CB"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These policies can reduce the compounded risk of YOD arising from both deprivation and lifestyle factors.</w:t>
      </w:r>
      <w:r w:rsidR="0007449D" w:rsidRPr="00980BBE">
        <w:rPr>
          <w:rFonts w:ascii="Arial" w:hAnsi="Arial" w:cs="Arial"/>
          <w:sz w:val="22"/>
          <w:szCs w:val="22"/>
        </w:rPr>
        <w:t xml:space="preserve"> </w:t>
      </w:r>
    </w:p>
    <w:p w14:paraId="3681AD92" w14:textId="76D4EFEF" w:rsidR="00735909" w:rsidRPr="00266F7A" w:rsidRDefault="00735909" w:rsidP="0043053F">
      <w:pPr>
        <w:pStyle w:val="Heading1"/>
        <w:rPr>
          <w:rFonts w:ascii="Arial" w:hAnsi="Arial" w:cs="Arial"/>
          <w:b/>
          <w:bCs/>
          <w:color w:val="auto"/>
          <w:sz w:val="28"/>
          <w:szCs w:val="28"/>
          <w:u w:val="single"/>
        </w:rPr>
      </w:pPr>
      <w:bookmarkStart w:id="52" w:name="_Toc225966645"/>
      <w:r w:rsidRPr="00266F7A">
        <w:rPr>
          <w:rFonts w:ascii="Arial" w:hAnsi="Arial" w:cs="Arial"/>
          <w:b/>
          <w:bCs/>
          <w:color w:val="auto"/>
          <w:sz w:val="28"/>
          <w:szCs w:val="28"/>
          <w:u w:val="single"/>
        </w:rPr>
        <w:t>Positive Implications</w:t>
      </w:r>
      <w:bookmarkEnd w:id="52"/>
    </w:p>
    <w:p w14:paraId="6B2E97CC" w14:textId="738BB0CE" w:rsidR="00191DEE" w:rsidRPr="00980BBE" w:rsidRDefault="00191DEE" w:rsidP="001D2D05">
      <w:pPr>
        <w:spacing w:line="360" w:lineRule="auto"/>
        <w:rPr>
          <w:rFonts w:ascii="Arial" w:hAnsi="Arial" w:cs="Arial"/>
          <w:sz w:val="22"/>
          <w:szCs w:val="22"/>
        </w:rPr>
      </w:pPr>
      <w:r w:rsidRPr="00980BBE">
        <w:rPr>
          <w:rFonts w:ascii="Arial" w:hAnsi="Arial" w:cs="Arial"/>
          <w:sz w:val="22"/>
          <w:szCs w:val="22"/>
        </w:rPr>
        <w:t xml:space="preserve">In </w:t>
      </w:r>
      <w:r w:rsidR="00C02891" w:rsidRPr="00980BBE">
        <w:rPr>
          <w:rFonts w:ascii="Arial" w:hAnsi="Arial" w:cs="Arial"/>
          <w:sz w:val="22"/>
          <w:szCs w:val="22"/>
        </w:rPr>
        <w:t xml:space="preserve">socioeconomically disadvantages </w:t>
      </w:r>
      <w:r w:rsidRPr="00980BBE">
        <w:rPr>
          <w:rFonts w:ascii="Arial" w:hAnsi="Arial" w:cs="Arial"/>
          <w:sz w:val="22"/>
          <w:szCs w:val="22"/>
        </w:rPr>
        <w:t xml:space="preserve">areas, </w:t>
      </w:r>
      <w:r w:rsidR="00C02891" w:rsidRPr="00980BBE">
        <w:rPr>
          <w:rFonts w:ascii="Arial" w:hAnsi="Arial" w:cs="Arial"/>
          <w:sz w:val="22"/>
          <w:szCs w:val="22"/>
        </w:rPr>
        <w:t>targeted</w:t>
      </w:r>
      <w:r w:rsidRPr="00980BBE">
        <w:rPr>
          <w:rFonts w:ascii="Arial" w:hAnsi="Arial" w:cs="Arial"/>
          <w:sz w:val="22"/>
          <w:szCs w:val="22"/>
        </w:rPr>
        <w:t xml:space="preserve"> interventions can</w:t>
      </w:r>
      <w:r w:rsidR="00C02891" w:rsidRPr="00980BBE">
        <w:rPr>
          <w:rFonts w:ascii="Arial" w:hAnsi="Arial" w:cs="Arial"/>
          <w:sz w:val="22"/>
          <w:szCs w:val="22"/>
        </w:rPr>
        <w:t xml:space="preserve"> reduce</w:t>
      </w:r>
      <w:r w:rsidRPr="00980BBE">
        <w:rPr>
          <w:rFonts w:ascii="Arial" w:hAnsi="Arial" w:cs="Arial"/>
          <w:sz w:val="22"/>
          <w:szCs w:val="22"/>
        </w:rPr>
        <w:t xml:space="preserve"> modifiable risk factors, enhance early detection, and </w:t>
      </w:r>
      <w:r w:rsidR="004101AF" w:rsidRPr="00980BBE">
        <w:rPr>
          <w:rFonts w:ascii="Arial" w:hAnsi="Arial" w:cs="Arial"/>
          <w:sz w:val="22"/>
          <w:szCs w:val="22"/>
        </w:rPr>
        <w:t xml:space="preserve">potentially delay </w:t>
      </w:r>
      <w:r w:rsidR="000C27C1" w:rsidRPr="00980BBE">
        <w:rPr>
          <w:rFonts w:ascii="Arial" w:hAnsi="Arial" w:cs="Arial"/>
          <w:sz w:val="22"/>
          <w:szCs w:val="22"/>
        </w:rPr>
        <w:t>the onset of young-onset dementia</w:t>
      </w:r>
      <w:r w:rsidR="00687E73" w:rsidRPr="00980BBE">
        <w:rPr>
          <w:rFonts w:ascii="Arial" w:hAnsi="Arial" w:cs="Arial"/>
          <w:sz w:val="22"/>
          <w:szCs w:val="22"/>
        </w:rPr>
        <w:t xml:space="preserve"> </w:t>
      </w:r>
      <w:r w:rsidRPr="00980BBE">
        <w:rPr>
          <w:rFonts w:ascii="Arial" w:hAnsi="Arial" w:cs="Arial"/>
          <w:sz w:val="22"/>
          <w:szCs w:val="22"/>
        </w:rPr>
        <w:t xml:space="preserve">YOD (World Health organization, 2017b). </w:t>
      </w:r>
      <w:r w:rsidR="00687E73" w:rsidRPr="00980BBE">
        <w:rPr>
          <w:rFonts w:ascii="Arial" w:hAnsi="Arial" w:cs="Arial"/>
          <w:sz w:val="22"/>
          <w:szCs w:val="22"/>
        </w:rPr>
        <w:t xml:space="preserve">Beyond </w:t>
      </w:r>
      <w:r w:rsidRPr="00980BBE">
        <w:rPr>
          <w:rFonts w:ascii="Arial" w:hAnsi="Arial" w:cs="Arial"/>
          <w:sz w:val="22"/>
          <w:szCs w:val="22"/>
        </w:rPr>
        <w:t xml:space="preserve">improving health equality and outcomes for underprivileged </w:t>
      </w:r>
      <w:r w:rsidR="00687E73" w:rsidRPr="00980BBE">
        <w:rPr>
          <w:rFonts w:ascii="Arial" w:hAnsi="Arial" w:cs="Arial"/>
          <w:sz w:val="22"/>
          <w:szCs w:val="22"/>
        </w:rPr>
        <w:t>populations</w:t>
      </w:r>
      <w:r w:rsidRPr="00980BBE">
        <w:rPr>
          <w:rFonts w:ascii="Arial" w:hAnsi="Arial" w:cs="Arial"/>
          <w:sz w:val="22"/>
          <w:szCs w:val="22"/>
        </w:rPr>
        <w:t xml:space="preserve">, addressing socioeconomic determinants of health </w:t>
      </w:r>
      <w:r w:rsidR="00687E73" w:rsidRPr="00980BBE">
        <w:rPr>
          <w:rFonts w:ascii="Arial" w:hAnsi="Arial" w:cs="Arial"/>
          <w:sz w:val="22"/>
          <w:szCs w:val="22"/>
        </w:rPr>
        <w:t>may also promote</w:t>
      </w:r>
      <w:r w:rsidR="009C08A0" w:rsidRPr="00980BBE">
        <w:rPr>
          <w:rFonts w:ascii="Arial" w:hAnsi="Arial" w:cs="Arial"/>
          <w:sz w:val="22"/>
          <w:szCs w:val="22"/>
        </w:rPr>
        <w:t xml:space="preserve"> </w:t>
      </w:r>
      <w:r w:rsidRPr="00980BBE">
        <w:rPr>
          <w:rFonts w:ascii="Arial" w:hAnsi="Arial" w:cs="Arial"/>
          <w:sz w:val="22"/>
          <w:szCs w:val="22"/>
        </w:rPr>
        <w:t>long-term cognitive resilience.</w:t>
      </w:r>
    </w:p>
    <w:p w14:paraId="70CF2C05" w14:textId="331CE6F4" w:rsidR="00735909" w:rsidRPr="00266F7A" w:rsidRDefault="00735909" w:rsidP="0043053F">
      <w:pPr>
        <w:pStyle w:val="Heading1"/>
        <w:rPr>
          <w:rFonts w:ascii="Arial" w:hAnsi="Arial" w:cs="Arial"/>
          <w:b/>
          <w:bCs/>
          <w:color w:val="auto"/>
          <w:sz w:val="28"/>
          <w:szCs w:val="28"/>
          <w:u w:val="single"/>
        </w:rPr>
      </w:pPr>
      <w:bookmarkStart w:id="53" w:name="_Toc225966646"/>
      <w:r w:rsidRPr="00266F7A">
        <w:rPr>
          <w:rFonts w:ascii="Arial" w:hAnsi="Arial" w:cs="Arial"/>
          <w:b/>
          <w:bCs/>
          <w:color w:val="auto"/>
          <w:sz w:val="28"/>
          <w:szCs w:val="28"/>
          <w:u w:val="single"/>
        </w:rPr>
        <w:t>Negative Implications</w:t>
      </w:r>
      <w:bookmarkEnd w:id="53"/>
    </w:p>
    <w:p w14:paraId="263A0946" w14:textId="4BA7195B" w:rsidR="00F33B54" w:rsidRPr="00980BBE" w:rsidRDefault="00F33B54" w:rsidP="001D2D05">
      <w:pPr>
        <w:spacing w:line="360" w:lineRule="auto"/>
        <w:rPr>
          <w:rFonts w:ascii="Arial" w:hAnsi="Arial" w:cs="Arial"/>
          <w:sz w:val="22"/>
          <w:szCs w:val="22"/>
        </w:rPr>
      </w:pPr>
      <w:r w:rsidRPr="00980BBE">
        <w:rPr>
          <w:rFonts w:ascii="Arial" w:hAnsi="Arial" w:cs="Arial"/>
          <w:sz w:val="22"/>
          <w:szCs w:val="22"/>
        </w:rPr>
        <w:t xml:space="preserve">Effective prevention and </w:t>
      </w:r>
      <w:r w:rsidR="009C08A0" w:rsidRPr="00980BBE">
        <w:rPr>
          <w:rFonts w:ascii="Arial" w:hAnsi="Arial" w:cs="Arial"/>
          <w:sz w:val="22"/>
          <w:szCs w:val="22"/>
        </w:rPr>
        <w:t xml:space="preserve">timely </w:t>
      </w:r>
      <w:r w:rsidRPr="00980BBE">
        <w:rPr>
          <w:rFonts w:ascii="Arial" w:hAnsi="Arial" w:cs="Arial"/>
          <w:sz w:val="22"/>
          <w:szCs w:val="22"/>
        </w:rPr>
        <w:t xml:space="preserve">intervention may be </w:t>
      </w:r>
      <w:r w:rsidR="009C08A0" w:rsidRPr="00980BBE">
        <w:rPr>
          <w:rFonts w:ascii="Arial" w:hAnsi="Arial" w:cs="Arial"/>
          <w:sz w:val="22"/>
          <w:szCs w:val="22"/>
        </w:rPr>
        <w:t>con</w:t>
      </w:r>
      <w:r w:rsidR="00842237" w:rsidRPr="00980BBE">
        <w:rPr>
          <w:rFonts w:ascii="Arial" w:hAnsi="Arial" w:cs="Arial"/>
          <w:sz w:val="22"/>
          <w:szCs w:val="22"/>
        </w:rPr>
        <w:t>strained</w:t>
      </w:r>
      <w:r w:rsidRPr="00980BBE">
        <w:rPr>
          <w:rFonts w:ascii="Arial" w:hAnsi="Arial" w:cs="Arial"/>
          <w:sz w:val="22"/>
          <w:szCs w:val="22"/>
        </w:rPr>
        <w:t xml:space="preserve"> by </w:t>
      </w:r>
      <w:r w:rsidR="00842237" w:rsidRPr="00980BBE">
        <w:rPr>
          <w:rFonts w:ascii="Arial" w:hAnsi="Arial" w:cs="Arial"/>
          <w:sz w:val="22"/>
          <w:szCs w:val="22"/>
        </w:rPr>
        <w:t xml:space="preserve">persistent </w:t>
      </w:r>
      <w:r w:rsidRPr="00980BBE">
        <w:rPr>
          <w:rFonts w:ascii="Arial" w:hAnsi="Arial" w:cs="Arial"/>
          <w:sz w:val="22"/>
          <w:szCs w:val="22"/>
        </w:rPr>
        <w:t xml:space="preserve">socioeconomic </w:t>
      </w:r>
      <w:r w:rsidR="00842237" w:rsidRPr="00980BBE">
        <w:rPr>
          <w:rFonts w:ascii="Arial" w:hAnsi="Arial" w:cs="Arial"/>
          <w:sz w:val="22"/>
          <w:szCs w:val="22"/>
        </w:rPr>
        <w:t>in</w:t>
      </w:r>
      <w:r w:rsidR="00994F6D" w:rsidRPr="00980BBE">
        <w:rPr>
          <w:rFonts w:ascii="Arial" w:hAnsi="Arial" w:cs="Arial"/>
          <w:sz w:val="22"/>
          <w:szCs w:val="22"/>
        </w:rPr>
        <w:t>equalities</w:t>
      </w:r>
      <w:r w:rsidRPr="00980BBE">
        <w:rPr>
          <w:rFonts w:ascii="Arial" w:hAnsi="Arial" w:cs="Arial"/>
          <w:sz w:val="22"/>
          <w:szCs w:val="22"/>
        </w:rPr>
        <w:t xml:space="preserve">, </w:t>
      </w:r>
      <w:r w:rsidR="00994F6D" w:rsidRPr="00980BBE">
        <w:rPr>
          <w:rFonts w:ascii="Arial" w:hAnsi="Arial" w:cs="Arial"/>
          <w:sz w:val="22"/>
          <w:szCs w:val="22"/>
        </w:rPr>
        <w:t xml:space="preserve">limited </w:t>
      </w:r>
      <w:r w:rsidRPr="00980BBE">
        <w:rPr>
          <w:rFonts w:ascii="Arial" w:hAnsi="Arial" w:cs="Arial"/>
          <w:sz w:val="22"/>
          <w:szCs w:val="22"/>
        </w:rPr>
        <w:t xml:space="preserve">resources, and </w:t>
      </w:r>
      <w:r w:rsidR="00994F6D" w:rsidRPr="00980BBE">
        <w:rPr>
          <w:rFonts w:ascii="Arial" w:hAnsi="Arial" w:cs="Arial"/>
          <w:sz w:val="22"/>
          <w:szCs w:val="22"/>
        </w:rPr>
        <w:t xml:space="preserve">fragmented </w:t>
      </w:r>
      <w:r w:rsidRPr="00980BBE">
        <w:rPr>
          <w:rFonts w:ascii="Arial" w:hAnsi="Arial" w:cs="Arial"/>
          <w:sz w:val="22"/>
          <w:szCs w:val="22"/>
        </w:rPr>
        <w:t xml:space="preserve">care systems (Mellinger et al., 2018). </w:t>
      </w:r>
      <w:r w:rsidR="00994F6D" w:rsidRPr="00980BBE">
        <w:rPr>
          <w:rFonts w:ascii="Arial" w:hAnsi="Arial" w:cs="Arial"/>
          <w:sz w:val="22"/>
          <w:szCs w:val="22"/>
        </w:rPr>
        <w:t xml:space="preserve">Given </w:t>
      </w:r>
      <w:r w:rsidR="00192628" w:rsidRPr="00980BBE">
        <w:rPr>
          <w:rFonts w:ascii="Arial" w:hAnsi="Arial" w:cs="Arial"/>
          <w:sz w:val="22"/>
          <w:szCs w:val="22"/>
        </w:rPr>
        <w:t xml:space="preserve">that </w:t>
      </w:r>
      <w:r w:rsidRPr="00980BBE">
        <w:rPr>
          <w:rFonts w:ascii="Arial" w:hAnsi="Arial" w:cs="Arial"/>
          <w:sz w:val="22"/>
          <w:szCs w:val="22"/>
        </w:rPr>
        <w:t xml:space="preserve">socioeconomic </w:t>
      </w:r>
      <w:r w:rsidR="00192628" w:rsidRPr="00980BBE">
        <w:rPr>
          <w:rFonts w:ascii="Arial" w:hAnsi="Arial" w:cs="Arial"/>
          <w:sz w:val="22"/>
          <w:szCs w:val="22"/>
        </w:rPr>
        <w:t xml:space="preserve">disadvantage </w:t>
      </w:r>
      <w:r w:rsidRPr="00980BBE">
        <w:rPr>
          <w:rFonts w:ascii="Arial" w:hAnsi="Arial" w:cs="Arial"/>
          <w:sz w:val="22"/>
          <w:szCs w:val="22"/>
        </w:rPr>
        <w:t xml:space="preserve">continues to </w:t>
      </w:r>
      <w:r w:rsidR="00192628" w:rsidRPr="00980BBE">
        <w:rPr>
          <w:rFonts w:ascii="Arial" w:hAnsi="Arial" w:cs="Arial"/>
          <w:sz w:val="22"/>
          <w:szCs w:val="22"/>
        </w:rPr>
        <w:t xml:space="preserve">elevate </w:t>
      </w:r>
      <w:r w:rsidRPr="00980BBE">
        <w:rPr>
          <w:rFonts w:ascii="Arial" w:hAnsi="Arial" w:cs="Arial"/>
          <w:sz w:val="22"/>
          <w:szCs w:val="22"/>
        </w:rPr>
        <w:t xml:space="preserve">risk exposure, individual-level interventions </w:t>
      </w:r>
      <w:r w:rsidR="00192628" w:rsidRPr="00980BBE">
        <w:rPr>
          <w:rFonts w:ascii="Arial" w:hAnsi="Arial" w:cs="Arial"/>
          <w:sz w:val="22"/>
          <w:szCs w:val="22"/>
        </w:rPr>
        <w:t xml:space="preserve"> are likely </w:t>
      </w:r>
      <w:r w:rsidR="0087336C" w:rsidRPr="00980BBE">
        <w:rPr>
          <w:rFonts w:ascii="Arial" w:hAnsi="Arial" w:cs="Arial"/>
          <w:sz w:val="22"/>
          <w:szCs w:val="22"/>
        </w:rPr>
        <w:t>to have limited impact in the absence of broader</w:t>
      </w:r>
      <w:r w:rsidR="00857EE6" w:rsidRPr="00980BBE">
        <w:rPr>
          <w:rFonts w:ascii="Arial" w:hAnsi="Arial" w:cs="Arial"/>
          <w:sz w:val="22"/>
          <w:szCs w:val="22"/>
        </w:rPr>
        <w:t xml:space="preserve"> </w:t>
      </w:r>
      <w:r w:rsidRPr="00980BBE">
        <w:rPr>
          <w:rFonts w:ascii="Arial" w:hAnsi="Arial" w:cs="Arial"/>
          <w:sz w:val="22"/>
          <w:szCs w:val="22"/>
        </w:rPr>
        <w:t>systemic improvements.</w:t>
      </w:r>
    </w:p>
    <w:p w14:paraId="2D7112DA" w14:textId="5576A3CD" w:rsidR="00735909" w:rsidRPr="00266F7A" w:rsidRDefault="00735909" w:rsidP="0043053F">
      <w:pPr>
        <w:pStyle w:val="Heading1"/>
        <w:rPr>
          <w:rFonts w:ascii="Arial" w:hAnsi="Arial" w:cs="Arial"/>
          <w:b/>
          <w:bCs/>
          <w:color w:val="auto"/>
          <w:sz w:val="28"/>
          <w:szCs w:val="28"/>
          <w:u w:val="single"/>
        </w:rPr>
      </w:pPr>
      <w:bookmarkStart w:id="54" w:name="_Toc225966647"/>
      <w:r w:rsidRPr="00266F7A">
        <w:rPr>
          <w:rFonts w:ascii="Arial" w:hAnsi="Arial" w:cs="Arial"/>
          <w:b/>
          <w:bCs/>
          <w:color w:val="auto"/>
          <w:sz w:val="28"/>
          <w:szCs w:val="28"/>
          <w:u w:val="single"/>
        </w:rPr>
        <w:t>Literature Examples</w:t>
      </w:r>
      <w:bookmarkEnd w:id="54"/>
    </w:p>
    <w:p w14:paraId="65ECF8EE" w14:textId="77777777" w:rsidR="00735909" w:rsidRPr="00980BBE" w:rsidRDefault="00735909" w:rsidP="001D2D05">
      <w:pPr>
        <w:spacing w:line="360" w:lineRule="auto"/>
        <w:rPr>
          <w:rFonts w:ascii="Arial" w:hAnsi="Arial" w:cs="Arial"/>
          <w:b/>
          <w:bCs/>
          <w:sz w:val="22"/>
          <w:szCs w:val="22"/>
          <w:u w:val="single"/>
        </w:rPr>
      </w:pPr>
      <w:r w:rsidRPr="00980BBE">
        <w:rPr>
          <w:rFonts w:ascii="Arial" w:hAnsi="Arial" w:cs="Arial"/>
          <w:b/>
          <w:bCs/>
          <w:sz w:val="22"/>
          <w:szCs w:val="22"/>
          <w:u w:val="single"/>
        </w:rPr>
        <w:t>Key studies supporting this theme include:</w:t>
      </w:r>
    </w:p>
    <w:p w14:paraId="4F16A418" w14:textId="77777777" w:rsidR="00735909" w:rsidRPr="00980BBE" w:rsidRDefault="00735909" w:rsidP="001D2D05">
      <w:pPr>
        <w:numPr>
          <w:ilvl w:val="0"/>
          <w:numId w:val="42"/>
        </w:numPr>
        <w:spacing w:line="360" w:lineRule="auto"/>
        <w:rPr>
          <w:rFonts w:ascii="Arial" w:hAnsi="Arial" w:cs="Arial"/>
          <w:sz w:val="22"/>
          <w:szCs w:val="22"/>
        </w:rPr>
      </w:pPr>
      <w:r w:rsidRPr="00980BBE">
        <w:rPr>
          <w:rFonts w:ascii="Arial" w:hAnsi="Arial" w:cs="Arial"/>
          <w:sz w:val="22"/>
          <w:szCs w:val="22"/>
        </w:rPr>
        <w:t>Collins (2016) highlighted the intersection between deprivation, lifestyle behaviours, and early-onset cognitive decline, demonstrating that socioeconomic context amplifies alcohol-related risk.</w:t>
      </w:r>
    </w:p>
    <w:p w14:paraId="32A1FA32" w14:textId="77777777" w:rsidR="00735909" w:rsidRPr="00980BBE" w:rsidRDefault="00735909" w:rsidP="001D2D05">
      <w:pPr>
        <w:numPr>
          <w:ilvl w:val="0"/>
          <w:numId w:val="42"/>
        </w:numPr>
        <w:spacing w:line="360" w:lineRule="auto"/>
        <w:rPr>
          <w:rFonts w:ascii="Arial" w:hAnsi="Arial" w:cs="Arial"/>
          <w:sz w:val="22"/>
          <w:szCs w:val="22"/>
        </w:rPr>
      </w:pPr>
      <w:r w:rsidRPr="00980BBE">
        <w:rPr>
          <w:rFonts w:ascii="Arial" w:hAnsi="Arial" w:cs="Arial"/>
          <w:sz w:val="22"/>
          <w:szCs w:val="22"/>
        </w:rPr>
        <w:t>Thompson and Pirmohamed (2021a) provided statistical evidence linking deprivation to both increased alcohol-related mortality and early-onset dementia.</w:t>
      </w:r>
    </w:p>
    <w:p w14:paraId="0B0822F7" w14:textId="77777777" w:rsidR="00735909" w:rsidRPr="00980BBE" w:rsidRDefault="00735909" w:rsidP="001D2D05">
      <w:pPr>
        <w:numPr>
          <w:ilvl w:val="0"/>
          <w:numId w:val="42"/>
        </w:numPr>
        <w:spacing w:line="360" w:lineRule="auto"/>
        <w:rPr>
          <w:rFonts w:ascii="Arial" w:hAnsi="Arial" w:cs="Arial"/>
          <w:sz w:val="22"/>
          <w:szCs w:val="22"/>
        </w:rPr>
      </w:pPr>
      <w:r w:rsidRPr="00980BBE">
        <w:rPr>
          <w:rFonts w:ascii="Arial" w:hAnsi="Arial" w:cs="Arial"/>
          <w:sz w:val="22"/>
          <w:szCs w:val="22"/>
        </w:rPr>
        <w:lastRenderedPageBreak/>
        <w:t>Mellinger et al. (2018) examined the negative impact of delayed diagnosis and fragmented care in socioeconomically disadvantaged populations, emphasising systemic barriers to equitable dementia care.</w:t>
      </w:r>
    </w:p>
    <w:p w14:paraId="52320631" w14:textId="77777777"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These studies collectively reinforce that socioeconomic deprivation is both a direct and indirect contributor to YOD, shaping both exposure to risk factors and access to care.</w:t>
      </w:r>
    </w:p>
    <w:p w14:paraId="642462EF" w14:textId="77777777" w:rsidR="00735909" w:rsidRPr="00266F7A" w:rsidRDefault="00735909" w:rsidP="0043053F">
      <w:pPr>
        <w:pStyle w:val="Heading1"/>
        <w:rPr>
          <w:rFonts w:ascii="Arial" w:hAnsi="Arial" w:cs="Arial"/>
          <w:b/>
          <w:bCs/>
          <w:color w:val="auto"/>
          <w:sz w:val="28"/>
          <w:szCs w:val="28"/>
          <w:u w:val="single"/>
        </w:rPr>
      </w:pPr>
      <w:bookmarkStart w:id="55" w:name="_Toc225966648"/>
      <w:r w:rsidRPr="00266F7A">
        <w:rPr>
          <w:rFonts w:ascii="Arial" w:hAnsi="Arial" w:cs="Arial"/>
          <w:b/>
          <w:bCs/>
          <w:color w:val="auto"/>
          <w:sz w:val="28"/>
          <w:szCs w:val="28"/>
          <w:u w:val="single"/>
        </w:rPr>
        <w:t>Connections to Other Themes</w:t>
      </w:r>
      <w:bookmarkEnd w:id="55"/>
    </w:p>
    <w:p w14:paraId="308BA9B2" w14:textId="57FCA45C" w:rsidR="00FE5A4A" w:rsidRPr="00980BBE" w:rsidRDefault="00FE5A4A" w:rsidP="001D2D05">
      <w:pPr>
        <w:spacing w:line="360" w:lineRule="auto"/>
        <w:rPr>
          <w:rFonts w:ascii="Arial" w:hAnsi="Arial" w:cs="Arial"/>
          <w:sz w:val="22"/>
          <w:szCs w:val="22"/>
        </w:rPr>
      </w:pPr>
      <w:r w:rsidRPr="00980BBE">
        <w:rPr>
          <w:rFonts w:ascii="Arial" w:hAnsi="Arial" w:cs="Arial"/>
          <w:sz w:val="22"/>
          <w:szCs w:val="22"/>
        </w:rPr>
        <w:t>Alcohol-Related Brain Damage (Theme 1) and gaps in public health policy (Theme 3) are</w:t>
      </w:r>
      <w:r w:rsidR="00CD1C70" w:rsidRPr="00980BBE">
        <w:rPr>
          <w:rFonts w:ascii="Arial" w:hAnsi="Arial" w:cs="Arial"/>
          <w:sz w:val="22"/>
          <w:szCs w:val="22"/>
        </w:rPr>
        <w:t xml:space="preserve"> closely interconnected with </w:t>
      </w:r>
      <w:r w:rsidRPr="00980BBE">
        <w:rPr>
          <w:rFonts w:ascii="Arial" w:hAnsi="Arial" w:cs="Arial"/>
          <w:sz w:val="22"/>
          <w:szCs w:val="22"/>
        </w:rPr>
        <w:t>socioeconomic</w:t>
      </w:r>
      <w:r w:rsidR="00CD1C70" w:rsidRPr="00980BBE">
        <w:rPr>
          <w:rFonts w:ascii="Arial" w:hAnsi="Arial" w:cs="Arial"/>
          <w:sz w:val="22"/>
          <w:szCs w:val="22"/>
        </w:rPr>
        <w:t xml:space="preserve"> deprivation</w:t>
      </w:r>
      <w:r w:rsidRPr="00980BBE">
        <w:rPr>
          <w:rFonts w:ascii="Arial" w:hAnsi="Arial" w:cs="Arial"/>
          <w:sz w:val="22"/>
          <w:szCs w:val="22"/>
        </w:rPr>
        <w:t xml:space="preserve">. In addition to </w:t>
      </w:r>
      <w:r w:rsidR="00CD1C70" w:rsidRPr="00980BBE">
        <w:rPr>
          <w:rFonts w:ascii="Arial" w:hAnsi="Arial" w:cs="Arial"/>
          <w:sz w:val="22"/>
          <w:szCs w:val="22"/>
        </w:rPr>
        <w:t xml:space="preserve">limiting access to healthcare </w:t>
      </w:r>
      <w:r w:rsidR="001D37ED" w:rsidRPr="00980BBE">
        <w:rPr>
          <w:rFonts w:ascii="Arial" w:hAnsi="Arial" w:cs="Arial"/>
          <w:sz w:val="22"/>
          <w:szCs w:val="22"/>
        </w:rPr>
        <w:t xml:space="preserve">and preventative </w:t>
      </w:r>
      <w:r w:rsidRPr="00980BBE">
        <w:rPr>
          <w:rFonts w:ascii="Arial" w:hAnsi="Arial" w:cs="Arial"/>
          <w:sz w:val="22"/>
          <w:szCs w:val="22"/>
        </w:rPr>
        <w:t>services, deprivation increases exposure to</w:t>
      </w:r>
      <w:r w:rsidR="001D37ED" w:rsidRPr="00980BBE">
        <w:rPr>
          <w:rFonts w:ascii="Arial" w:hAnsi="Arial" w:cs="Arial"/>
          <w:sz w:val="22"/>
          <w:szCs w:val="22"/>
        </w:rPr>
        <w:t xml:space="preserve"> harmful lifestyle </w:t>
      </w:r>
      <w:r w:rsidRPr="00980BBE">
        <w:rPr>
          <w:rFonts w:ascii="Arial" w:hAnsi="Arial" w:cs="Arial"/>
          <w:sz w:val="22"/>
          <w:szCs w:val="22"/>
        </w:rPr>
        <w:t xml:space="preserve">factors </w:t>
      </w:r>
      <w:r w:rsidR="00130A98" w:rsidRPr="00980BBE">
        <w:rPr>
          <w:rFonts w:ascii="Arial" w:hAnsi="Arial" w:cs="Arial"/>
          <w:sz w:val="22"/>
          <w:szCs w:val="22"/>
        </w:rPr>
        <w:t>including</w:t>
      </w:r>
      <w:r w:rsidR="00B62BE3" w:rsidRPr="00980BBE">
        <w:rPr>
          <w:rFonts w:ascii="Arial" w:hAnsi="Arial" w:cs="Arial"/>
          <w:sz w:val="22"/>
          <w:szCs w:val="22"/>
        </w:rPr>
        <w:t xml:space="preserve"> excessive alcohol </w:t>
      </w:r>
      <w:r w:rsidRPr="00980BBE">
        <w:rPr>
          <w:rFonts w:ascii="Arial" w:hAnsi="Arial" w:cs="Arial"/>
          <w:sz w:val="22"/>
          <w:szCs w:val="22"/>
        </w:rPr>
        <w:t xml:space="preserve">consumption and poor </w:t>
      </w:r>
      <w:r w:rsidR="00B62BE3" w:rsidRPr="00980BBE">
        <w:rPr>
          <w:rFonts w:ascii="Arial" w:hAnsi="Arial" w:cs="Arial"/>
          <w:sz w:val="22"/>
          <w:szCs w:val="22"/>
        </w:rPr>
        <w:t>nutrition</w:t>
      </w:r>
      <w:r w:rsidRPr="00980BBE">
        <w:rPr>
          <w:rFonts w:ascii="Arial" w:hAnsi="Arial" w:cs="Arial"/>
          <w:sz w:val="22"/>
          <w:szCs w:val="22"/>
        </w:rPr>
        <w:t>. Th</w:t>
      </w:r>
      <w:r w:rsidR="00866FB9" w:rsidRPr="00980BBE">
        <w:rPr>
          <w:rFonts w:ascii="Arial" w:hAnsi="Arial" w:cs="Arial"/>
          <w:sz w:val="22"/>
          <w:szCs w:val="22"/>
        </w:rPr>
        <w:t>is</w:t>
      </w:r>
      <w:r w:rsidRPr="00980BBE">
        <w:rPr>
          <w:rFonts w:ascii="Arial" w:hAnsi="Arial" w:cs="Arial"/>
          <w:sz w:val="22"/>
          <w:szCs w:val="22"/>
        </w:rPr>
        <w:t xml:space="preserve"> </w:t>
      </w:r>
      <w:r w:rsidR="00B62BE3" w:rsidRPr="00980BBE">
        <w:rPr>
          <w:rFonts w:ascii="Arial" w:hAnsi="Arial" w:cs="Arial"/>
          <w:sz w:val="22"/>
          <w:szCs w:val="22"/>
        </w:rPr>
        <w:t>overlap</w:t>
      </w:r>
      <w:r w:rsidR="00931719" w:rsidRPr="00980BBE">
        <w:rPr>
          <w:rFonts w:ascii="Arial" w:hAnsi="Arial" w:cs="Arial"/>
          <w:sz w:val="22"/>
          <w:szCs w:val="22"/>
        </w:rPr>
        <w:t xml:space="preserve"> underscores the importance of integrated interventions that </w:t>
      </w:r>
      <w:r w:rsidR="00866FB9" w:rsidRPr="00980BBE">
        <w:rPr>
          <w:rFonts w:ascii="Arial" w:hAnsi="Arial" w:cs="Arial"/>
          <w:sz w:val="22"/>
          <w:szCs w:val="22"/>
        </w:rPr>
        <w:t xml:space="preserve">address both individual risk behaviour </w:t>
      </w:r>
      <w:r w:rsidR="004A0CC0" w:rsidRPr="00980BBE">
        <w:rPr>
          <w:rFonts w:ascii="Arial" w:hAnsi="Arial" w:cs="Arial"/>
          <w:sz w:val="22"/>
          <w:szCs w:val="22"/>
        </w:rPr>
        <w:t xml:space="preserve">and </w:t>
      </w:r>
      <w:r w:rsidRPr="00980BBE">
        <w:rPr>
          <w:rFonts w:ascii="Arial" w:hAnsi="Arial" w:cs="Arial"/>
          <w:sz w:val="22"/>
          <w:szCs w:val="22"/>
        </w:rPr>
        <w:t xml:space="preserve">structural </w:t>
      </w:r>
      <w:r w:rsidR="004A0CC0" w:rsidRPr="00980BBE">
        <w:rPr>
          <w:rFonts w:ascii="Arial" w:hAnsi="Arial" w:cs="Arial"/>
          <w:sz w:val="22"/>
          <w:szCs w:val="22"/>
        </w:rPr>
        <w:t xml:space="preserve">inequalities. </w:t>
      </w:r>
    </w:p>
    <w:p w14:paraId="5475EBD4" w14:textId="0BDBDAED"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 xml:space="preserve">Understanding the </w:t>
      </w:r>
      <w:r w:rsidR="002D4D5A" w:rsidRPr="00980BBE">
        <w:rPr>
          <w:rFonts w:ascii="Arial" w:hAnsi="Arial" w:cs="Arial"/>
          <w:sz w:val="22"/>
          <w:szCs w:val="22"/>
        </w:rPr>
        <w:t xml:space="preserve">interrelationship </w:t>
      </w:r>
      <w:r w:rsidRPr="00980BBE">
        <w:rPr>
          <w:rFonts w:ascii="Arial" w:hAnsi="Arial" w:cs="Arial"/>
          <w:sz w:val="22"/>
          <w:szCs w:val="22"/>
        </w:rPr>
        <w:t xml:space="preserve">between deprivation, ARBD, and YOD </w:t>
      </w:r>
      <w:r w:rsidR="002D4D5A" w:rsidRPr="00980BBE">
        <w:rPr>
          <w:rFonts w:ascii="Arial" w:hAnsi="Arial" w:cs="Arial"/>
          <w:sz w:val="22"/>
          <w:szCs w:val="22"/>
        </w:rPr>
        <w:t xml:space="preserve">enables the </w:t>
      </w:r>
      <w:r w:rsidR="003A7ABE" w:rsidRPr="00980BBE">
        <w:rPr>
          <w:rFonts w:ascii="Arial" w:hAnsi="Arial" w:cs="Arial"/>
          <w:sz w:val="22"/>
          <w:szCs w:val="22"/>
        </w:rPr>
        <w:t xml:space="preserve">development of more </w:t>
      </w:r>
      <w:r w:rsidRPr="00980BBE">
        <w:rPr>
          <w:rFonts w:ascii="Arial" w:hAnsi="Arial" w:cs="Arial"/>
          <w:sz w:val="22"/>
          <w:szCs w:val="22"/>
        </w:rPr>
        <w:t>holistic strategies that</w:t>
      </w:r>
      <w:r w:rsidR="003A7ABE" w:rsidRPr="00980BBE">
        <w:rPr>
          <w:rFonts w:ascii="Arial" w:hAnsi="Arial" w:cs="Arial"/>
          <w:sz w:val="22"/>
          <w:szCs w:val="22"/>
        </w:rPr>
        <w:t xml:space="preserve"> integrate </w:t>
      </w:r>
      <w:r w:rsidRPr="00980BBE">
        <w:rPr>
          <w:rFonts w:ascii="Arial" w:hAnsi="Arial" w:cs="Arial"/>
          <w:sz w:val="22"/>
          <w:szCs w:val="22"/>
        </w:rPr>
        <w:t>social policy, healthcare interventions, and community</w:t>
      </w:r>
      <w:r w:rsidR="003A7ABE" w:rsidRPr="00980BBE">
        <w:rPr>
          <w:rFonts w:ascii="Arial" w:hAnsi="Arial" w:cs="Arial"/>
          <w:sz w:val="22"/>
          <w:szCs w:val="22"/>
        </w:rPr>
        <w:t xml:space="preserve">-based </w:t>
      </w:r>
      <w:r w:rsidRPr="00980BBE">
        <w:rPr>
          <w:rFonts w:ascii="Arial" w:hAnsi="Arial" w:cs="Arial"/>
          <w:sz w:val="22"/>
          <w:szCs w:val="22"/>
        </w:rPr>
        <w:t>support</w:t>
      </w:r>
      <w:r w:rsidR="003A7ABE" w:rsidRPr="00980BBE">
        <w:rPr>
          <w:rFonts w:ascii="Arial" w:hAnsi="Arial" w:cs="Arial"/>
          <w:sz w:val="22"/>
          <w:szCs w:val="22"/>
        </w:rPr>
        <w:t>. Such approaches are essential for reducing the incidence of early-onset</w:t>
      </w:r>
      <w:r w:rsidR="000016B1" w:rsidRPr="00980BBE">
        <w:rPr>
          <w:rFonts w:ascii="Arial" w:hAnsi="Arial" w:cs="Arial"/>
          <w:sz w:val="22"/>
          <w:szCs w:val="22"/>
        </w:rPr>
        <w:t xml:space="preserve"> dementia and improving health outcomes across diverse populations</w:t>
      </w:r>
      <w:r w:rsidRPr="00980BBE">
        <w:rPr>
          <w:rFonts w:ascii="Arial" w:hAnsi="Arial" w:cs="Arial"/>
          <w:sz w:val="22"/>
          <w:szCs w:val="22"/>
        </w:rPr>
        <w:t>.</w:t>
      </w:r>
    </w:p>
    <w:p w14:paraId="4AE502BA" w14:textId="30B3FA6F" w:rsidR="00735909" w:rsidRPr="00266F7A" w:rsidRDefault="00735909" w:rsidP="005B349C">
      <w:pPr>
        <w:pStyle w:val="Heading1"/>
        <w:rPr>
          <w:rFonts w:ascii="Arial" w:hAnsi="Arial" w:cs="Arial"/>
          <w:b/>
          <w:bCs/>
          <w:color w:val="auto"/>
          <w:sz w:val="28"/>
          <w:szCs w:val="28"/>
          <w:u w:val="single"/>
        </w:rPr>
      </w:pPr>
      <w:bookmarkStart w:id="56" w:name="_Toc225966649"/>
      <w:r w:rsidRPr="00266F7A">
        <w:rPr>
          <w:rFonts w:ascii="Arial" w:hAnsi="Arial" w:cs="Arial"/>
          <w:b/>
          <w:bCs/>
          <w:color w:val="auto"/>
          <w:sz w:val="28"/>
          <w:szCs w:val="28"/>
          <w:u w:val="single"/>
        </w:rPr>
        <w:t>Theme 3: Public Health Policy and Prevention</w:t>
      </w:r>
      <w:bookmarkEnd w:id="56"/>
    </w:p>
    <w:p w14:paraId="4EA663D3" w14:textId="77777777" w:rsidR="00735909" w:rsidRPr="00266F7A" w:rsidRDefault="00735909" w:rsidP="001D2D05">
      <w:pPr>
        <w:spacing w:line="360" w:lineRule="auto"/>
        <w:rPr>
          <w:rFonts w:ascii="Arial" w:hAnsi="Arial" w:cs="Arial"/>
          <w:b/>
          <w:bCs/>
          <w:sz w:val="28"/>
          <w:szCs w:val="28"/>
          <w:u w:val="single"/>
        </w:rPr>
      </w:pPr>
      <w:r w:rsidRPr="00266F7A">
        <w:rPr>
          <w:rFonts w:ascii="Arial" w:hAnsi="Arial" w:cs="Arial"/>
          <w:b/>
          <w:bCs/>
          <w:sz w:val="28"/>
          <w:szCs w:val="28"/>
          <w:u w:val="single"/>
        </w:rPr>
        <w:t>Definition</w:t>
      </w:r>
    </w:p>
    <w:p w14:paraId="7B0A278D" w14:textId="757B9CAE" w:rsidR="000F6A5F" w:rsidRPr="00980BBE" w:rsidRDefault="00863712" w:rsidP="001D2D05">
      <w:pPr>
        <w:spacing w:line="360" w:lineRule="auto"/>
        <w:rPr>
          <w:rFonts w:ascii="Arial" w:hAnsi="Arial" w:cs="Arial"/>
          <w:sz w:val="22"/>
          <w:szCs w:val="22"/>
        </w:rPr>
      </w:pPr>
      <w:r w:rsidRPr="00980BBE">
        <w:rPr>
          <w:rFonts w:ascii="Arial" w:hAnsi="Arial" w:cs="Arial"/>
          <w:sz w:val="22"/>
          <w:szCs w:val="22"/>
        </w:rPr>
        <w:t xml:space="preserve">Health policy refers to government </w:t>
      </w:r>
      <w:r w:rsidR="00450D9A" w:rsidRPr="00980BBE">
        <w:rPr>
          <w:rFonts w:ascii="Arial" w:hAnsi="Arial" w:cs="Arial"/>
          <w:sz w:val="22"/>
          <w:szCs w:val="22"/>
        </w:rPr>
        <w:t xml:space="preserve">institutional strategies designed to protect and improve population health through legislation, </w:t>
      </w:r>
      <w:r w:rsidR="000F6A5F" w:rsidRPr="00980BBE">
        <w:rPr>
          <w:rFonts w:ascii="Arial" w:hAnsi="Arial" w:cs="Arial"/>
          <w:sz w:val="22"/>
          <w:szCs w:val="22"/>
        </w:rPr>
        <w:t xml:space="preserve">regulation, education, and preventive </w:t>
      </w:r>
      <w:r w:rsidR="00450D9A" w:rsidRPr="00980BBE">
        <w:rPr>
          <w:rFonts w:ascii="Arial" w:hAnsi="Arial" w:cs="Arial"/>
          <w:sz w:val="22"/>
          <w:szCs w:val="22"/>
        </w:rPr>
        <w:t>interventions</w:t>
      </w:r>
      <w:r w:rsidR="00576248" w:rsidRPr="00980BBE">
        <w:rPr>
          <w:rFonts w:ascii="Arial" w:hAnsi="Arial" w:cs="Arial"/>
          <w:sz w:val="22"/>
          <w:szCs w:val="22"/>
        </w:rPr>
        <w:t xml:space="preserve"> </w:t>
      </w:r>
      <w:r w:rsidR="000F6A5F" w:rsidRPr="00980BBE">
        <w:rPr>
          <w:rFonts w:ascii="Arial" w:hAnsi="Arial" w:cs="Arial"/>
          <w:sz w:val="22"/>
          <w:szCs w:val="22"/>
        </w:rPr>
        <w:t xml:space="preserve">(2012) These </w:t>
      </w:r>
      <w:r w:rsidR="00576248" w:rsidRPr="00980BBE">
        <w:rPr>
          <w:rFonts w:ascii="Arial" w:hAnsi="Arial" w:cs="Arial"/>
          <w:sz w:val="22"/>
          <w:szCs w:val="22"/>
        </w:rPr>
        <w:t xml:space="preserve">policies aim to reduce </w:t>
      </w:r>
      <w:r w:rsidR="000F6A5F" w:rsidRPr="00980BBE">
        <w:rPr>
          <w:rFonts w:ascii="Arial" w:hAnsi="Arial" w:cs="Arial"/>
          <w:sz w:val="22"/>
          <w:szCs w:val="22"/>
        </w:rPr>
        <w:t xml:space="preserve">modifiable risk factors for dementia, enhance early </w:t>
      </w:r>
      <w:r w:rsidR="00576248" w:rsidRPr="00980BBE">
        <w:rPr>
          <w:rFonts w:ascii="Arial" w:hAnsi="Arial" w:cs="Arial"/>
          <w:sz w:val="22"/>
          <w:szCs w:val="22"/>
        </w:rPr>
        <w:t>detection, and ensue eq</w:t>
      </w:r>
      <w:r w:rsidR="00916BA1" w:rsidRPr="00980BBE">
        <w:rPr>
          <w:rFonts w:ascii="Arial" w:hAnsi="Arial" w:cs="Arial"/>
          <w:sz w:val="22"/>
          <w:szCs w:val="22"/>
        </w:rPr>
        <w:t xml:space="preserve">uitable access to healthcare services and social support </w:t>
      </w:r>
      <w:r w:rsidR="00685DDA" w:rsidRPr="00980BBE">
        <w:rPr>
          <w:rFonts w:ascii="Arial" w:hAnsi="Arial" w:cs="Arial"/>
          <w:sz w:val="22"/>
          <w:szCs w:val="22"/>
        </w:rPr>
        <w:t xml:space="preserve">systems </w:t>
      </w:r>
      <w:r w:rsidR="00BA7B61" w:rsidRPr="00980BBE">
        <w:rPr>
          <w:rFonts w:ascii="Arial" w:hAnsi="Arial" w:cs="Arial"/>
          <w:sz w:val="22"/>
          <w:szCs w:val="22"/>
        </w:rPr>
        <w:t>(World Health Organization 2017a).</w:t>
      </w:r>
    </w:p>
    <w:p w14:paraId="46BDF2E1" w14:textId="6303CEF2" w:rsidR="00CA5BA0" w:rsidRPr="00980BBE" w:rsidRDefault="00CA5BA0" w:rsidP="001D2D05">
      <w:pPr>
        <w:spacing w:line="360" w:lineRule="auto"/>
        <w:rPr>
          <w:rFonts w:ascii="Arial" w:hAnsi="Arial" w:cs="Arial"/>
          <w:sz w:val="22"/>
          <w:szCs w:val="22"/>
        </w:rPr>
      </w:pPr>
      <w:r w:rsidRPr="00980BBE">
        <w:rPr>
          <w:rFonts w:ascii="Arial" w:hAnsi="Arial" w:cs="Arial"/>
          <w:sz w:val="22"/>
          <w:szCs w:val="22"/>
        </w:rPr>
        <w:t>Primary</w:t>
      </w:r>
      <w:r w:rsidR="008D1B70" w:rsidRPr="00980BBE">
        <w:rPr>
          <w:rFonts w:ascii="Arial" w:hAnsi="Arial" w:cs="Arial"/>
          <w:sz w:val="22"/>
          <w:szCs w:val="22"/>
        </w:rPr>
        <w:t xml:space="preserve"> </w:t>
      </w:r>
      <w:r w:rsidR="00685DDA" w:rsidRPr="00980BBE">
        <w:rPr>
          <w:rFonts w:ascii="Arial" w:hAnsi="Arial" w:cs="Arial"/>
          <w:sz w:val="22"/>
          <w:szCs w:val="22"/>
        </w:rPr>
        <w:t xml:space="preserve">approaches are </w:t>
      </w:r>
      <w:r w:rsidR="003324CB" w:rsidRPr="00980BBE">
        <w:rPr>
          <w:rFonts w:ascii="Arial" w:hAnsi="Arial" w:cs="Arial"/>
          <w:sz w:val="22"/>
          <w:szCs w:val="22"/>
        </w:rPr>
        <w:t xml:space="preserve">typically categorised into primary prevention </w:t>
      </w:r>
      <w:r w:rsidR="008D1B70" w:rsidRPr="00980BBE">
        <w:rPr>
          <w:rFonts w:ascii="Arial" w:hAnsi="Arial" w:cs="Arial"/>
          <w:sz w:val="22"/>
          <w:szCs w:val="22"/>
        </w:rPr>
        <w:t>(r</w:t>
      </w:r>
      <w:r w:rsidR="003324CB" w:rsidRPr="00980BBE">
        <w:rPr>
          <w:rFonts w:ascii="Arial" w:hAnsi="Arial" w:cs="Arial"/>
          <w:sz w:val="22"/>
          <w:szCs w:val="22"/>
        </w:rPr>
        <w:t>eduction of risk factors)</w:t>
      </w:r>
      <w:r w:rsidR="008D1B70" w:rsidRPr="00980BBE">
        <w:rPr>
          <w:rFonts w:ascii="Arial" w:hAnsi="Arial" w:cs="Arial"/>
          <w:sz w:val="22"/>
          <w:szCs w:val="22"/>
        </w:rPr>
        <w:t xml:space="preserve"> secondary prevention</w:t>
      </w:r>
      <w:r w:rsidR="00673A6F" w:rsidRPr="00980BBE">
        <w:rPr>
          <w:rFonts w:ascii="Arial" w:hAnsi="Arial" w:cs="Arial"/>
          <w:sz w:val="22"/>
          <w:szCs w:val="22"/>
        </w:rPr>
        <w:t xml:space="preserve"> </w:t>
      </w:r>
      <w:r w:rsidR="008651CB" w:rsidRPr="00980BBE">
        <w:rPr>
          <w:rFonts w:ascii="Arial" w:hAnsi="Arial" w:cs="Arial"/>
          <w:sz w:val="22"/>
          <w:szCs w:val="22"/>
        </w:rPr>
        <w:t>(</w:t>
      </w:r>
      <w:r w:rsidR="00673A6F" w:rsidRPr="00980BBE">
        <w:rPr>
          <w:rFonts w:ascii="Arial" w:hAnsi="Arial" w:cs="Arial"/>
          <w:sz w:val="22"/>
          <w:szCs w:val="22"/>
        </w:rPr>
        <w:t>early identification</w:t>
      </w:r>
      <w:r w:rsidR="008651CB" w:rsidRPr="00980BBE">
        <w:rPr>
          <w:rFonts w:ascii="Arial" w:hAnsi="Arial" w:cs="Arial"/>
          <w:sz w:val="22"/>
          <w:szCs w:val="22"/>
        </w:rPr>
        <w:t xml:space="preserve"> and diagnosis), and </w:t>
      </w:r>
      <w:r w:rsidR="00010C86" w:rsidRPr="00980BBE">
        <w:rPr>
          <w:rFonts w:ascii="Arial" w:hAnsi="Arial" w:cs="Arial"/>
          <w:sz w:val="22"/>
          <w:szCs w:val="22"/>
        </w:rPr>
        <w:t xml:space="preserve">tertiary prevention </w:t>
      </w:r>
      <w:r w:rsidR="00164005" w:rsidRPr="00980BBE">
        <w:rPr>
          <w:rFonts w:ascii="Arial" w:hAnsi="Arial" w:cs="Arial"/>
          <w:sz w:val="22"/>
          <w:szCs w:val="22"/>
        </w:rPr>
        <w:t>(</w:t>
      </w:r>
      <w:r w:rsidR="00010C86" w:rsidRPr="00980BBE">
        <w:rPr>
          <w:rFonts w:ascii="Arial" w:hAnsi="Arial" w:cs="Arial"/>
          <w:sz w:val="22"/>
          <w:szCs w:val="22"/>
        </w:rPr>
        <w:t>management of exis</w:t>
      </w:r>
      <w:r w:rsidR="001B25DD" w:rsidRPr="00980BBE">
        <w:rPr>
          <w:rFonts w:ascii="Arial" w:hAnsi="Arial" w:cs="Arial"/>
          <w:sz w:val="22"/>
          <w:szCs w:val="22"/>
        </w:rPr>
        <w:t>ting condition</w:t>
      </w:r>
      <w:r w:rsidR="00164005" w:rsidRPr="00980BBE">
        <w:rPr>
          <w:rFonts w:ascii="Arial" w:hAnsi="Arial" w:cs="Arial"/>
          <w:sz w:val="22"/>
          <w:szCs w:val="22"/>
        </w:rPr>
        <w:t xml:space="preserve"> </w:t>
      </w:r>
      <w:r w:rsidR="001B25DD" w:rsidRPr="00980BBE">
        <w:rPr>
          <w:rFonts w:ascii="Arial" w:hAnsi="Arial" w:cs="Arial"/>
          <w:sz w:val="22"/>
          <w:szCs w:val="22"/>
        </w:rPr>
        <w:t>to prevent further complication</w:t>
      </w:r>
      <w:r w:rsidR="00164005" w:rsidRPr="00980BBE">
        <w:rPr>
          <w:rFonts w:ascii="Arial" w:hAnsi="Arial" w:cs="Arial"/>
          <w:sz w:val="22"/>
          <w:szCs w:val="22"/>
        </w:rPr>
        <w:t>)</w:t>
      </w:r>
      <w:r w:rsidR="00673A6F" w:rsidRPr="00980BBE">
        <w:rPr>
          <w:rFonts w:ascii="Arial" w:hAnsi="Arial" w:cs="Arial"/>
          <w:sz w:val="22"/>
          <w:szCs w:val="22"/>
        </w:rPr>
        <w:t xml:space="preserve"> </w:t>
      </w:r>
      <w:r w:rsidR="003324CB" w:rsidRPr="00980BBE">
        <w:rPr>
          <w:rFonts w:ascii="Arial" w:hAnsi="Arial" w:cs="Arial"/>
          <w:sz w:val="22"/>
          <w:szCs w:val="22"/>
        </w:rPr>
        <w:t xml:space="preserve"> </w:t>
      </w:r>
      <w:r w:rsidRPr="00980BBE">
        <w:rPr>
          <w:rFonts w:ascii="Arial" w:hAnsi="Arial" w:cs="Arial"/>
          <w:sz w:val="22"/>
          <w:szCs w:val="22"/>
        </w:rPr>
        <w:t xml:space="preserve">(World Health Organization, 2017b). </w:t>
      </w:r>
      <w:r w:rsidR="00394AB4" w:rsidRPr="00980BBE">
        <w:rPr>
          <w:rFonts w:ascii="Arial" w:hAnsi="Arial" w:cs="Arial"/>
          <w:sz w:val="22"/>
          <w:szCs w:val="22"/>
        </w:rPr>
        <w:t xml:space="preserve">Collectively, these </w:t>
      </w:r>
      <w:r w:rsidRPr="00980BBE">
        <w:rPr>
          <w:rFonts w:ascii="Arial" w:hAnsi="Arial" w:cs="Arial"/>
          <w:sz w:val="22"/>
          <w:szCs w:val="22"/>
        </w:rPr>
        <w:t>strategies</w:t>
      </w:r>
      <w:r w:rsidR="00C049F3" w:rsidRPr="00980BBE">
        <w:rPr>
          <w:rFonts w:ascii="Arial" w:hAnsi="Arial" w:cs="Arial"/>
          <w:sz w:val="22"/>
          <w:szCs w:val="22"/>
        </w:rPr>
        <w:t xml:space="preserve"> </w:t>
      </w:r>
      <w:r w:rsidR="00394AB4" w:rsidRPr="00980BBE">
        <w:rPr>
          <w:rFonts w:ascii="Arial" w:hAnsi="Arial" w:cs="Arial"/>
          <w:sz w:val="22"/>
          <w:szCs w:val="22"/>
        </w:rPr>
        <w:t>have the potential to delay the onset of cognitive decline</w:t>
      </w:r>
      <w:r w:rsidR="00C049F3" w:rsidRPr="00980BBE">
        <w:rPr>
          <w:rFonts w:ascii="Arial" w:hAnsi="Arial" w:cs="Arial"/>
          <w:sz w:val="22"/>
          <w:szCs w:val="22"/>
        </w:rPr>
        <w:t xml:space="preserve"> and reduce the overall burden of dementia on individuals</w:t>
      </w:r>
      <w:r w:rsidRPr="00980BBE">
        <w:rPr>
          <w:rFonts w:ascii="Arial" w:hAnsi="Arial" w:cs="Arial"/>
          <w:sz w:val="22"/>
          <w:szCs w:val="22"/>
        </w:rPr>
        <w:t xml:space="preserve">, families, and healthcare systems by identifying </w:t>
      </w:r>
      <w:r w:rsidR="009E4ECB" w:rsidRPr="00980BBE">
        <w:rPr>
          <w:rFonts w:ascii="Arial" w:hAnsi="Arial" w:cs="Arial"/>
          <w:sz w:val="22"/>
          <w:szCs w:val="22"/>
        </w:rPr>
        <w:t xml:space="preserve"> at</w:t>
      </w:r>
      <w:r w:rsidR="00361C27" w:rsidRPr="00980BBE">
        <w:rPr>
          <w:rFonts w:ascii="Arial" w:hAnsi="Arial" w:cs="Arial"/>
          <w:sz w:val="22"/>
          <w:szCs w:val="22"/>
        </w:rPr>
        <w:t xml:space="preserve">-risk populations </w:t>
      </w:r>
      <w:r w:rsidR="0024455F" w:rsidRPr="00980BBE">
        <w:rPr>
          <w:rFonts w:ascii="Arial" w:hAnsi="Arial" w:cs="Arial"/>
          <w:sz w:val="22"/>
          <w:szCs w:val="22"/>
        </w:rPr>
        <w:t>a</w:t>
      </w:r>
      <w:r w:rsidR="00361C27" w:rsidRPr="00980BBE">
        <w:rPr>
          <w:rFonts w:ascii="Arial" w:hAnsi="Arial" w:cs="Arial"/>
          <w:sz w:val="22"/>
          <w:szCs w:val="22"/>
        </w:rPr>
        <w:t xml:space="preserve"> </w:t>
      </w:r>
      <w:r w:rsidR="001F20EF" w:rsidRPr="00980BBE">
        <w:rPr>
          <w:rFonts w:ascii="Arial" w:hAnsi="Arial" w:cs="Arial"/>
          <w:sz w:val="22"/>
          <w:szCs w:val="22"/>
        </w:rPr>
        <w:t>promoting early lifestyle modification</w:t>
      </w:r>
      <w:r w:rsidR="001B3BF6" w:rsidRPr="00980BBE">
        <w:rPr>
          <w:rFonts w:ascii="Arial" w:hAnsi="Arial" w:cs="Arial"/>
          <w:sz w:val="22"/>
          <w:szCs w:val="22"/>
        </w:rPr>
        <w:t xml:space="preserve"> or the treatment of underlying conditions. </w:t>
      </w:r>
    </w:p>
    <w:p w14:paraId="07C608EF" w14:textId="23FE4980" w:rsidR="000610C1" w:rsidRPr="00980BBE" w:rsidRDefault="000610C1" w:rsidP="001D2D05">
      <w:pPr>
        <w:spacing w:line="360" w:lineRule="auto"/>
        <w:rPr>
          <w:rFonts w:ascii="Arial" w:hAnsi="Arial" w:cs="Arial"/>
          <w:sz w:val="22"/>
          <w:szCs w:val="22"/>
        </w:rPr>
      </w:pPr>
      <w:r w:rsidRPr="00980BBE">
        <w:rPr>
          <w:rFonts w:ascii="Arial" w:hAnsi="Arial" w:cs="Arial"/>
          <w:sz w:val="22"/>
          <w:szCs w:val="22"/>
        </w:rPr>
        <w:t xml:space="preserve">In the context of young-onset dementia </w:t>
      </w:r>
      <w:r w:rsidR="001C77A8" w:rsidRPr="00980BBE">
        <w:rPr>
          <w:rFonts w:ascii="Arial" w:hAnsi="Arial" w:cs="Arial"/>
          <w:sz w:val="22"/>
          <w:szCs w:val="22"/>
        </w:rPr>
        <w:t>(Y</w:t>
      </w:r>
      <w:r w:rsidRPr="00980BBE">
        <w:rPr>
          <w:rFonts w:ascii="Arial" w:hAnsi="Arial" w:cs="Arial"/>
          <w:sz w:val="22"/>
          <w:szCs w:val="22"/>
        </w:rPr>
        <w:t>OD)</w:t>
      </w:r>
      <w:r w:rsidR="001C77A8" w:rsidRPr="00980BBE">
        <w:rPr>
          <w:rFonts w:ascii="Arial" w:hAnsi="Arial" w:cs="Arial"/>
          <w:sz w:val="22"/>
          <w:szCs w:val="22"/>
        </w:rPr>
        <w:t xml:space="preserve">, preventative strategies </w:t>
      </w:r>
      <w:r w:rsidR="007D42A1" w:rsidRPr="00980BBE">
        <w:rPr>
          <w:rFonts w:ascii="Arial" w:hAnsi="Arial" w:cs="Arial"/>
          <w:sz w:val="22"/>
          <w:szCs w:val="22"/>
        </w:rPr>
        <w:t>frequently</w:t>
      </w:r>
      <w:r w:rsidR="001C77A8" w:rsidRPr="00980BBE">
        <w:rPr>
          <w:rFonts w:ascii="Arial" w:hAnsi="Arial" w:cs="Arial"/>
          <w:sz w:val="22"/>
          <w:szCs w:val="22"/>
        </w:rPr>
        <w:t xml:space="preserve"> target lifestyle-related behaviour, including alcohol </w:t>
      </w:r>
      <w:r w:rsidR="007D42A1" w:rsidRPr="00980BBE">
        <w:rPr>
          <w:rFonts w:ascii="Arial" w:hAnsi="Arial" w:cs="Arial"/>
          <w:sz w:val="22"/>
          <w:szCs w:val="22"/>
        </w:rPr>
        <w:t xml:space="preserve">consumption, diet, physical activity. And </w:t>
      </w:r>
      <w:r w:rsidR="007D42A1" w:rsidRPr="00980BBE">
        <w:rPr>
          <w:rFonts w:ascii="Arial" w:hAnsi="Arial" w:cs="Arial"/>
          <w:sz w:val="22"/>
          <w:szCs w:val="22"/>
        </w:rPr>
        <w:lastRenderedPageBreak/>
        <w:t xml:space="preserve">cognitive </w:t>
      </w:r>
      <w:r w:rsidR="007D0694" w:rsidRPr="00980BBE">
        <w:rPr>
          <w:rFonts w:ascii="Arial" w:hAnsi="Arial" w:cs="Arial"/>
          <w:sz w:val="22"/>
          <w:szCs w:val="22"/>
        </w:rPr>
        <w:t>engagement, alongside structural interventions that address the social determinants</w:t>
      </w:r>
      <w:r w:rsidR="00614C96" w:rsidRPr="00980BBE">
        <w:rPr>
          <w:rFonts w:ascii="Arial" w:hAnsi="Arial" w:cs="Arial"/>
          <w:sz w:val="22"/>
          <w:szCs w:val="22"/>
        </w:rPr>
        <w:t xml:space="preserve"> of health. </w:t>
      </w:r>
    </w:p>
    <w:p w14:paraId="47215A7A" w14:textId="1521EE62" w:rsidR="00735909" w:rsidRPr="00266F7A" w:rsidRDefault="00735909" w:rsidP="005B349C">
      <w:pPr>
        <w:pStyle w:val="Heading1"/>
        <w:rPr>
          <w:rFonts w:ascii="Arial" w:hAnsi="Arial" w:cs="Arial"/>
          <w:b/>
          <w:bCs/>
          <w:color w:val="auto"/>
          <w:sz w:val="28"/>
          <w:szCs w:val="28"/>
          <w:u w:val="single"/>
        </w:rPr>
      </w:pPr>
      <w:bookmarkStart w:id="57" w:name="_Toc225966650"/>
      <w:r w:rsidRPr="00266F7A">
        <w:rPr>
          <w:rFonts w:ascii="Arial" w:hAnsi="Arial" w:cs="Arial"/>
          <w:b/>
          <w:bCs/>
          <w:color w:val="auto"/>
          <w:sz w:val="28"/>
          <w:szCs w:val="28"/>
          <w:u w:val="single"/>
        </w:rPr>
        <w:t>Historical and Contextual Background</w:t>
      </w:r>
      <w:bookmarkEnd w:id="57"/>
    </w:p>
    <w:p w14:paraId="7D1AACF8" w14:textId="4B8D933D" w:rsidR="001B49CE" w:rsidRPr="00980BBE" w:rsidRDefault="001B49CE" w:rsidP="001D2D05">
      <w:pPr>
        <w:spacing w:line="360" w:lineRule="auto"/>
        <w:rPr>
          <w:rFonts w:ascii="Arial" w:hAnsi="Arial" w:cs="Arial"/>
          <w:sz w:val="22"/>
          <w:szCs w:val="22"/>
        </w:rPr>
      </w:pPr>
      <w:r w:rsidRPr="00980BBE">
        <w:rPr>
          <w:rFonts w:ascii="Arial" w:hAnsi="Arial" w:cs="Arial"/>
          <w:sz w:val="22"/>
          <w:szCs w:val="22"/>
        </w:rPr>
        <w:t xml:space="preserve">Despite </w:t>
      </w:r>
      <w:r w:rsidR="00614C96" w:rsidRPr="00980BBE">
        <w:rPr>
          <w:rFonts w:ascii="Arial" w:hAnsi="Arial" w:cs="Arial"/>
          <w:sz w:val="22"/>
          <w:szCs w:val="22"/>
        </w:rPr>
        <w:t xml:space="preserve">the significant </w:t>
      </w:r>
      <w:r w:rsidRPr="00980BBE">
        <w:rPr>
          <w:rFonts w:ascii="Arial" w:hAnsi="Arial" w:cs="Arial"/>
          <w:sz w:val="22"/>
          <w:szCs w:val="22"/>
        </w:rPr>
        <w:t xml:space="preserve">social, economic, and clinical </w:t>
      </w:r>
      <w:r w:rsidR="00614C96" w:rsidRPr="00980BBE">
        <w:rPr>
          <w:rFonts w:ascii="Arial" w:hAnsi="Arial" w:cs="Arial"/>
          <w:sz w:val="22"/>
          <w:szCs w:val="22"/>
        </w:rPr>
        <w:t>impact</w:t>
      </w:r>
      <w:r w:rsidR="00DA545B" w:rsidRPr="00980BBE">
        <w:rPr>
          <w:rFonts w:ascii="Arial" w:hAnsi="Arial" w:cs="Arial"/>
          <w:sz w:val="22"/>
          <w:szCs w:val="22"/>
        </w:rPr>
        <w:t xml:space="preserve"> of young-onset dementia(YOD)</w:t>
      </w:r>
      <w:r w:rsidRPr="00980BBE">
        <w:rPr>
          <w:rFonts w:ascii="Arial" w:hAnsi="Arial" w:cs="Arial"/>
          <w:sz w:val="22"/>
          <w:szCs w:val="22"/>
        </w:rPr>
        <w:t xml:space="preserve"> public health </w:t>
      </w:r>
      <w:r w:rsidR="005602D6" w:rsidRPr="00980BBE">
        <w:rPr>
          <w:rFonts w:ascii="Arial" w:hAnsi="Arial" w:cs="Arial"/>
          <w:sz w:val="22"/>
          <w:szCs w:val="22"/>
        </w:rPr>
        <w:t>initiatives have historically focused on older population</w:t>
      </w:r>
      <w:r w:rsidRPr="00980BBE">
        <w:rPr>
          <w:rFonts w:ascii="Arial" w:hAnsi="Arial" w:cs="Arial"/>
          <w:sz w:val="22"/>
          <w:szCs w:val="22"/>
        </w:rPr>
        <w:t xml:space="preserve"> (Ritzen et al., 2025). </w:t>
      </w:r>
      <w:r w:rsidR="001B05DC" w:rsidRPr="00980BBE">
        <w:rPr>
          <w:rFonts w:ascii="Arial" w:hAnsi="Arial" w:cs="Arial"/>
          <w:sz w:val="22"/>
          <w:szCs w:val="22"/>
        </w:rPr>
        <w:t xml:space="preserve">Early </w:t>
      </w:r>
      <w:r w:rsidR="00D62B6A" w:rsidRPr="00980BBE">
        <w:rPr>
          <w:rFonts w:ascii="Arial" w:hAnsi="Arial" w:cs="Arial"/>
          <w:sz w:val="22"/>
          <w:szCs w:val="22"/>
        </w:rPr>
        <w:t xml:space="preserve">strategies, </w:t>
      </w:r>
      <w:r w:rsidR="00E10D3A" w:rsidRPr="00980BBE">
        <w:rPr>
          <w:rFonts w:ascii="Arial" w:hAnsi="Arial" w:cs="Arial"/>
          <w:sz w:val="22"/>
          <w:szCs w:val="22"/>
        </w:rPr>
        <w:t xml:space="preserve">which primarily emphasised </w:t>
      </w:r>
      <w:r w:rsidR="001C4204" w:rsidRPr="00980BBE">
        <w:rPr>
          <w:rFonts w:ascii="Arial" w:hAnsi="Arial" w:cs="Arial"/>
          <w:sz w:val="22"/>
          <w:szCs w:val="22"/>
        </w:rPr>
        <w:t xml:space="preserve">education and awareness campaigns </w:t>
      </w:r>
      <w:r w:rsidRPr="00980BBE">
        <w:rPr>
          <w:rFonts w:ascii="Arial" w:hAnsi="Arial" w:cs="Arial"/>
          <w:sz w:val="22"/>
          <w:szCs w:val="22"/>
        </w:rPr>
        <w:t xml:space="preserve">Alzheimer's disease and late-onset dementia </w:t>
      </w:r>
      <w:r w:rsidR="00284A12" w:rsidRPr="00980BBE">
        <w:rPr>
          <w:rFonts w:ascii="Arial" w:hAnsi="Arial" w:cs="Arial"/>
          <w:sz w:val="22"/>
          <w:szCs w:val="22"/>
        </w:rPr>
        <w:t xml:space="preserve">often overlooked </w:t>
      </w:r>
      <w:r w:rsidR="0024455F" w:rsidRPr="00980BBE">
        <w:rPr>
          <w:rFonts w:ascii="Arial" w:hAnsi="Arial" w:cs="Arial"/>
          <w:sz w:val="22"/>
          <w:szCs w:val="22"/>
        </w:rPr>
        <w:t>the</w:t>
      </w:r>
      <w:r w:rsidR="00284A12" w:rsidRPr="00980BBE">
        <w:rPr>
          <w:rFonts w:ascii="Arial" w:hAnsi="Arial" w:cs="Arial"/>
          <w:sz w:val="22"/>
          <w:szCs w:val="22"/>
        </w:rPr>
        <w:t xml:space="preserve"> role </w:t>
      </w:r>
      <w:r w:rsidR="00AE3929" w:rsidRPr="00980BBE">
        <w:rPr>
          <w:rFonts w:ascii="Arial" w:hAnsi="Arial" w:cs="Arial"/>
          <w:sz w:val="22"/>
          <w:szCs w:val="22"/>
        </w:rPr>
        <w:t>of modifiable risk factors, including alcohol cons</w:t>
      </w:r>
      <w:r w:rsidR="001A1140" w:rsidRPr="00980BBE">
        <w:rPr>
          <w:rFonts w:ascii="Arial" w:hAnsi="Arial" w:cs="Arial"/>
          <w:sz w:val="22"/>
          <w:szCs w:val="22"/>
        </w:rPr>
        <w:t>umption, socioeconomic deprivation, and chronic stress-</w:t>
      </w:r>
      <w:r w:rsidR="003008E2" w:rsidRPr="00980BBE">
        <w:rPr>
          <w:rFonts w:ascii="Arial" w:hAnsi="Arial" w:cs="Arial"/>
          <w:sz w:val="22"/>
          <w:szCs w:val="22"/>
        </w:rPr>
        <w:t xml:space="preserve">during midlife </w:t>
      </w:r>
      <w:r w:rsidRPr="00980BBE">
        <w:rPr>
          <w:rFonts w:ascii="Arial" w:hAnsi="Arial" w:cs="Arial"/>
          <w:sz w:val="22"/>
          <w:szCs w:val="22"/>
        </w:rPr>
        <w:t>(Thompson and Pirmohamed, 2021b).</w:t>
      </w:r>
    </w:p>
    <w:p w14:paraId="6B1A959D" w14:textId="6438FC10" w:rsidR="00027C2D" w:rsidRPr="00980BBE" w:rsidRDefault="003008E2" w:rsidP="001D2D05">
      <w:pPr>
        <w:spacing w:line="360" w:lineRule="auto"/>
        <w:rPr>
          <w:rFonts w:ascii="Arial" w:hAnsi="Arial" w:cs="Arial"/>
          <w:sz w:val="22"/>
          <w:szCs w:val="22"/>
        </w:rPr>
      </w:pPr>
      <w:r w:rsidRPr="00980BBE">
        <w:rPr>
          <w:rFonts w:ascii="Arial" w:hAnsi="Arial" w:cs="Arial"/>
          <w:sz w:val="22"/>
          <w:szCs w:val="22"/>
        </w:rPr>
        <w:t>More r</w:t>
      </w:r>
      <w:r w:rsidR="00027C2D" w:rsidRPr="00980BBE">
        <w:rPr>
          <w:rFonts w:ascii="Arial" w:hAnsi="Arial" w:cs="Arial"/>
          <w:sz w:val="22"/>
          <w:szCs w:val="22"/>
        </w:rPr>
        <w:t xml:space="preserve">ecent international initiatives, such as the </w:t>
      </w:r>
      <w:r w:rsidR="001769E7" w:rsidRPr="00980BBE">
        <w:rPr>
          <w:rFonts w:ascii="Arial" w:hAnsi="Arial" w:cs="Arial"/>
          <w:sz w:val="22"/>
          <w:szCs w:val="22"/>
        </w:rPr>
        <w:t xml:space="preserve">World Health Organisation </w:t>
      </w:r>
      <w:r w:rsidR="00027C2D" w:rsidRPr="00980BBE">
        <w:rPr>
          <w:rFonts w:ascii="Arial" w:hAnsi="Arial" w:cs="Arial"/>
          <w:sz w:val="22"/>
          <w:szCs w:val="22"/>
        </w:rPr>
        <w:t xml:space="preserve">Global Action Plan on Dementia 2017-2025, </w:t>
      </w:r>
      <w:r w:rsidRPr="00980BBE">
        <w:rPr>
          <w:rFonts w:ascii="Arial" w:hAnsi="Arial" w:cs="Arial"/>
          <w:sz w:val="22"/>
          <w:szCs w:val="22"/>
        </w:rPr>
        <w:t xml:space="preserve">highlighted </w:t>
      </w:r>
      <w:r w:rsidR="00027C2D" w:rsidRPr="00980BBE">
        <w:rPr>
          <w:rFonts w:ascii="Arial" w:hAnsi="Arial" w:cs="Arial"/>
          <w:sz w:val="22"/>
          <w:szCs w:val="22"/>
        </w:rPr>
        <w:t xml:space="preserve">the need for coordinated action across health systems to </w:t>
      </w:r>
      <w:r w:rsidR="00400763" w:rsidRPr="00980BBE">
        <w:rPr>
          <w:rFonts w:ascii="Arial" w:hAnsi="Arial" w:cs="Arial"/>
          <w:sz w:val="22"/>
          <w:szCs w:val="22"/>
        </w:rPr>
        <w:t>reduce</w:t>
      </w:r>
      <w:r w:rsidR="00027C2D" w:rsidRPr="00980BBE">
        <w:rPr>
          <w:rFonts w:ascii="Arial" w:hAnsi="Arial" w:cs="Arial"/>
          <w:sz w:val="22"/>
          <w:szCs w:val="22"/>
        </w:rPr>
        <w:t xml:space="preserve"> dementia risk through risk reduction</w:t>
      </w:r>
      <w:r w:rsidR="00F27E5F" w:rsidRPr="00980BBE">
        <w:rPr>
          <w:rFonts w:ascii="Arial" w:hAnsi="Arial" w:cs="Arial"/>
          <w:sz w:val="22"/>
          <w:szCs w:val="22"/>
        </w:rPr>
        <w:t xml:space="preserve"> </w:t>
      </w:r>
      <w:r w:rsidR="00400763" w:rsidRPr="00980BBE">
        <w:rPr>
          <w:rFonts w:ascii="Arial" w:hAnsi="Arial" w:cs="Arial"/>
          <w:sz w:val="22"/>
          <w:szCs w:val="22"/>
        </w:rPr>
        <w:t>strategie</w:t>
      </w:r>
      <w:r w:rsidR="00F27E5F" w:rsidRPr="00980BBE">
        <w:rPr>
          <w:rFonts w:ascii="Arial" w:hAnsi="Arial" w:cs="Arial"/>
          <w:sz w:val="22"/>
          <w:szCs w:val="22"/>
        </w:rPr>
        <w:t xml:space="preserve">s and care </w:t>
      </w:r>
      <w:r w:rsidR="00027C2D" w:rsidRPr="00980BBE">
        <w:rPr>
          <w:rFonts w:ascii="Arial" w:hAnsi="Arial" w:cs="Arial"/>
          <w:sz w:val="22"/>
          <w:szCs w:val="22"/>
        </w:rPr>
        <w:t>support</w:t>
      </w:r>
      <w:r w:rsidR="00F27E5F" w:rsidRPr="00980BBE">
        <w:rPr>
          <w:rFonts w:ascii="Arial" w:hAnsi="Arial" w:cs="Arial"/>
          <w:sz w:val="22"/>
          <w:szCs w:val="22"/>
        </w:rPr>
        <w:t xml:space="preserve"> framework</w:t>
      </w:r>
      <w:r w:rsidR="00027C2D" w:rsidRPr="00980BBE">
        <w:rPr>
          <w:rFonts w:ascii="Arial" w:hAnsi="Arial" w:cs="Arial"/>
          <w:sz w:val="22"/>
          <w:szCs w:val="22"/>
        </w:rPr>
        <w:t>. The</w:t>
      </w:r>
      <w:r w:rsidR="00F27E5F" w:rsidRPr="00980BBE">
        <w:rPr>
          <w:rFonts w:ascii="Arial" w:hAnsi="Arial" w:cs="Arial"/>
          <w:sz w:val="22"/>
          <w:szCs w:val="22"/>
        </w:rPr>
        <w:t>se</w:t>
      </w:r>
      <w:r w:rsidR="00027C2D" w:rsidRPr="00980BBE">
        <w:rPr>
          <w:rFonts w:ascii="Arial" w:hAnsi="Arial" w:cs="Arial"/>
          <w:sz w:val="22"/>
          <w:szCs w:val="22"/>
        </w:rPr>
        <w:t xml:space="preserve"> </w:t>
      </w:r>
      <w:r w:rsidR="00F26DAF" w:rsidRPr="00980BBE">
        <w:rPr>
          <w:rFonts w:ascii="Arial" w:hAnsi="Arial" w:cs="Arial"/>
          <w:sz w:val="22"/>
          <w:szCs w:val="22"/>
        </w:rPr>
        <w:t>initiatives also emphasise a life</w:t>
      </w:r>
      <w:r w:rsidR="00A9640F" w:rsidRPr="00980BBE">
        <w:rPr>
          <w:rFonts w:ascii="Arial" w:hAnsi="Arial" w:cs="Arial"/>
          <w:sz w:val="22"/>
          <w:szCs w:val="22"/>
        </w:rPr>
        <w:t xml:space="preserve">-course approach to </w:t>
      </w:r>
      <w:r w:rsidR="00027C2D" w:rsidRPr="00980BBE">
        <w:rPr>
          <w:rFonts w:ascii="Arial" w:hAnsi="Arial" w:cs="Arial"/>
          <w:sz w:val="22"/>
          <w:szCs w:val="22"/>
        </w:rPr>
        <w:t xml:space="preserve">prevention, </w:t>
      </w:r>
      <w:r w:rsidR="00A9640F" w:rsidRPr="00980BBE">
        <w:rPr>
          <w:rFonts w:ascii="Arial" w:hAnsi="Arial" w:cs="Arial"/>
          <w:sz w:val="22"/>
          <w:szCs w:val="22"/>
        </w:rPr>
        <w:t xml:space="preserve">recognising </w:t>
      </w:r>
      <w:r w:rsidR="00027C2D" w:rsidRPr="00980BBE">
        <w:rPr>
          <w:rFonts w:ascii="Arial" w:hAnsi="Arial" w:cs="Arial"/>
          <w:sz w:val="22"/>
          <w:szCs w:val="22"/>
        </w:rPr>
        <w:t xml:space="preserve">that early intervention and population-level strategies can </w:t>
      </w:r>
      <w:r w:rsidR="00A9640F" w:rsidRPr="00980BBE">
        <w:rPr>
          <w:rFonts w:ascii="Arial" w:hAnsi="Arial" w:cs="Arial"/>
          <w:sz w:val="22"/>
          <w:szCs w:val="22"/>
        </w:rPr>
        <w:t xml:space="preserve">contribute </w:t>
      </w:r>
      <w:r w:rsidR="00C910F6" w:rsidRPr="00980BBE">
        <w:rPr>
          <w:rFonts w:ascii="Arial" w:hAnsi="Arial" w:cs="Arial"/>
          <w:sz w:val="22"/>
          <w:szCs w:val="22"/>
        </w:rPr>
        <w:t xml:space="preserve">to lowering </w:t>
      </w:r>
      <w:r w:rsidR="00027C2D" w:rsidRPr="00980BBE">
        <w:rPr>
          <w:rFonts w:ascii="Arial" w:hAnsi="Arial" w:cs="Arial"/>
          <w:sz w:val="22"/>
          <w:szCs w:val="22"/>
        </w:rPr>
        <w:t>dementia incidence. Although YOD specifi</w:t>
      </w:r>
      <w:r w:rsidR="00C910F6" w:rsidRPr="00980BBE">
        <w:rPr>
          <w:rFonts w:ascii="Arial" w:hAnsi="Arial" w:cs="Arial"/>
          <w:sz w:val="22"/>
          <w:szCs w:val="22"/>
        </w:rPr>
        <w:t>c focus</w:t>
      </w:r>
      <w:r w:rsidR="00590619" w:rsidRPr="00980BBE">
        <w:rPr>
          <w:rFonts w:ascii="Arial" w:hAnsi="Arial" w:cs="Arial"/>
          <w:sz w:val="22"/>
          <w:szCs w:val="22"/>
        </w:rPr>
        <w:t xml:space="preserve"> remains limited policies such as the NHS</w:t>
      </w:r>
      <w:r w:rsidR="001B50D6" w:rsidRPr="00980BBE">
        <w:rPr>
          <w:rFonts w:ascii="Arial" w:hAnsi="Arial" w:cs="Arial"/>
          <w:sz w:val="22"/>
          <w:szCs w:val="22"/>
        </w:rPr>
        <w:t xml:space="preserve"> </w:t>
      </w:r>
      <w:r w:rsidR="00590619" w:rsidRPr="00980BBE">
        <w:rPr>
          <w:rFonts w:ascii="Arial" w:hAnsi="Arial" w:cs="Arial"/>
          <w:sz w:val="22"/>
          <w:szCs w:val="22"/>
        </w:rPr>
        <w:t xml:space="preserve">long term plan and various reginal health promotion </w:t>
      </w:r>
      <w:r w:rsidR="001B50D6" w:rsidRPr="00980BBE">
        <w:rPr>
          <w:rFonts w:ascii="Arial" w:hAnsi="Arial" w:cs="Arial"/>
          <w:sz w:val="22"/>
          <w:szCs w:val="22"/>
        </w:rPr>
        <w:t>initiative in the UK increasingly incorporate</w:t>
      </w:r>
      <w:r w:rsidR="00027C2D" w:rsidRPr="00980BBE">
        <w:rPr>
          <w:rFonts w:ascii="Arial" w:hAnsi="Arial" w:cs="Arial"/>
          <w:sz w:val="22"/>
          <w:szCs w:val="22"/>
        </w:rPr>
        <w:t xml:space="preserve"> lifestyle modification, early screening, and community </w:t>
      </w:r>
      <w:r w:rsidR="00265EF5" w:rsidRPr="00980BBE">
        <w:rPr>
          <w:rFonts w:ascii="Arial" w:hAnsi="Arial" w:cs="Arial"/>
          <w:sz w:val="22"/>
          <w:szCs w:val="22"/>
        </w:rPr>
        <w:t>support</w:t>
      </w:r>
      <w:r w:rsidR="00027C2D" w:rsidRPr="00980BBE">
        <w:rPr>
          <w:rFonts w:ascii="Arial" w:hAnsi="Arial" w:cs="Arial"/>
          <w:sz w:val="22"/>
          <w:szCs w:val="22"/>
        </w:rPr>
        <w:t>.</w:t>
      </w:r>
    </w:p>
    <w:p w14:paraId="1A04598D" w14:textId="33EC4101" w:rsidR="008478DC" w:rsidRPr="00980BBE" w:rsidRDefault="00731710" w:rsidP="001D2D05">
      <w:pPr>
        <w:spacing w:line="360" w:lineRule="auto"/>
        <w:rPr>
          <w:rFonts w:ascii="Arial" w:hAnsi="Arial" w:cs="Arial"/>
          <w:sz w:val="22"/>
          <w:szCs w:val="22"/>
        </w:rPr>
      </w:pPr>
      <w:r w:rsidRPr="00980BBE">
        <w:rPr>
          <w:rFonts w:ascii="Arial" w:hAnsi="Arial" w:cs="Arial"/>
          <w:sz w:val="22"/>
          <w:szCs w:val="22"/>
        </w:rPr>
        <w:t>A</w:t>
      </w:r>
      <w:r w:rsidR="00D6146C" w:rsidRPr="00980BBE">
        <w:rPr>
          <w:rFonts w:ascii="Arial" w:hAnsi="Arial" w:cs="Arial"/>
          <w:sz w:val="22"/>
          <w:szCs w:val="22"/>
        </w:rPr>
        <w:t>dvance</w:t>
      </w:r>
      <w:r w:rsidR="00B85011" w:rsidRPr="00980BBE">
        <w:rPr>
          <w:rFonts w:ascii="Arial" w:hAnsi="Arial" w:cs="Arial"/>
          <w:sz w:val="22"/>
          <w:szCs w:val="22"/>
        </w:rPr>
        <w:t>ment</w:t>
      </w:r>
      <w:r w:rsidR="00D6146C" w:rsidRPr="00980BBE">
        <w:rPr>
          <w:rFonts w:ascii="Arial" w:hAnsi="Arial" w:cs="Arial"/>
          <w:sz w:val="22"/>
          <w:szCs w:val="22"/>
        </w:rPr>
        <w:t xml:space="preserve"> in digital health, </w:t>
      </w:r>
      <w:r w:rsidR="00B85011" w:rsidRPr="00980BBE">
        <w:rPr>
          <w:rFonts w:ascii="Arial" w:hAnsi="Arial" w:cs="Arial"/>
          <w:sz w:val="22"/>
          <w:szCs w:val="22"/>
        </w:rPr>
        <w:t xml:space="preserve">technology, </w:t>
      </w:r>
      <w:r w:rsidR="00D6146C" w:rsidRPr="00980BBE">
        <w:rPr>
          <w:rFonts w:ascii="Arial" w:hAnsi="Arial" w:cs="Arial"/>
          <w:sz w:val="22"/>
          <w:szCs w:val="22"/>
        </w:rPr>
        <w:t xml:space="preserve">community-based interventions, and policy innovations </w:t>
      </w:r>
      <w:r w:rsidR="00B85011" w:rsidRPr="00980BBE">
        <w:rPr>
          <w:rFonts w:ascii="Arial" w:hAnsi="Arial" w:cs="Arial"/>
          <w:sz w:val="22"/>
          <w:szCs w:val="22"/>
        </w:rPr>
        <w:t xml:space="preserve">such as </w:t>
      </w:r>
      <w:r w:rsidR="00D6146C" w:rsidRPr="00980BBE">
        <w:rPr>
          <w:rFonts w:ascii="Arial" w:hAnsi="Arial" w:cs="Arial"/>
          <w:sz w:val="22"/>
          <w:szCs w:val="22"/>
        </w:rPr>
        <w:t xml:space="preserve"> minimum unit pricing (MUP) for alcohol; </w:t>
      </w:r>
      <w:r w:rsidR="00B85011" w:rsidRPr="00980BBE">
        <w:rPr>
          <w:rFonts w:ascii="Arial" w:hAnsi="Arial" w:cs="Arial"/>
          <w:sz w:val="22"/>
          <w:szCs w:val="22"/>
        </w:rPr>
        <w:t>have facilitated</w:t>
      </w:r>
      <w:r w:rsidR="00D749B1" w:rsidRPr="00980BBE">
        <w:rPr>
          <w:rFonts w:ascii="Arial" w:hAnsi="Arial" w:cs="Arial"/>
          <w:sz w:val="22"/>
          <w:szCs w:val="22"/>
        </w:rPr>
        <w:t xml:space="preserve"> the implementation of preventative strategies </w:t>
      </w:r>
      <w:r w:rsidR="008136A6" w:rsidRPr="00980BBE">
        <w:rPr>
          <w:rFonts w:ascii="Arial" w:hAnsi="Arial" w:cs="Arial"/>
          <w:sz w:val="22"/>
          <w:szCs w:val="22"/>
        </w:rPr>
        <w:t>targeting modifiable risk factors. E</w:t>
      </w:r>
      <w:r w:rsidR="00D6146C" w:rsidRPr="00980BBE">
        <w:rPr>
          <w:rFonts w:ascii="Arial" w:hAnsi="Arial" w:cs="Arial"/>
          <w:sz w:val="22"/>
          <w:szCs w:val="22"/>
        </w:rPr>
        <w:t xml:space="preserve">vidence from Scotland indicates that MUP has been </w:t>
      </w:r>
      <w:r w:rsidR="008136A6" w:rsidRPr="00980BBE">
        <w:rPr>
          <w:rFonts w:ascii="Arial" w:hAnsi="Arial" w:cs="Arial"/>
          <w:sz w:val="22"/>
          <w:szCs w:val="22"/>
        </w:rPr>
        <w:t>associ</w:t>
      </w:r>
      <w:r w:rsidR="00972A3D" w:rsidRPr="00980BBE">
        <w:rPr>
          <w:rFonts w:ascii="Arial" w:hAnsi="Arial" w:cs="Arial"/>
          <w:sz w:val="22"/>
          <w:szCs w:val="22"/>
        </w:rPr>
        <w:t>ated with</w:t>
      </w:r>
      <w:r w:rsidR="00D6146C" w:rsidRPr="00980BBE">
        <w:rPr>
          <w:rFonts w:ascii="Arial" w:hAnsi="Arial" w:cs="Arial"/>
          <w:sz w:val="22"/>
          <w:szCs w:val="22"/>
        </w:rPr>
        <w:t xml:space="preserve"> significant reductions in hospital admissions and alcohol-related </w:t>
      </w:r>
      <w:r w:rsidR="00972A3D" w:rsidRPr="00980BBE">
        <w:rPr>
          <w:rFonts w:ascii="Arial" w:hAnsi="Arial" w:cs="Arial"/>
          <w:sz w:val="22"/>
          <w:szCs w:val="22"/>
        </w:rPr>
        <w:t>mortality</w:t>
      </w:r>
      <w:r w:rsidR="00D6146C" w:rsidRPr="00980BBE">
        <w:rPr>
          <w:rFonts w:ascii="Arial" w:hAnsi="Arial" w:cs="Arial"/>
          <w:sz w:val="22"/>
          <w:szCs w:val="22"/>
        </w:rPr>
        <w:t xml:space="preserve">, </w:t>
      </w:r>
      <w:r w:rsidR="00972A3D" w:rsidRPr="00980BBE">
        <w:rPr>
          <w:rFonts w:ascii="Arial" w:hAnsi="Arial" w:cs="Arial"/>
          <w:sz w:val="22"/>
          <w:szCs w:val="22"/>
        </w:rPr>
        <w:t xml:space="preserve">highlighting </w:t>
      </w:r>
      <w:r w:rsidR="008478DC" w:rsidRPr="00980BBE">
        <w:rPr>
          <w:rFonts w:ascii="Arial" w:hAnsi="Arial" w:cs="Arial"/>
          <w:sz w:val="22"/>
          <w:szCs w:val="22"/>
        </w:rPr>
        <w:t>its</w:t>
      </w:r>
      <w:r w:rsidR="00D6146C" w:rsidRPr="00980BBE">
        <w:rPr>
          <w:rFonts w:ascii="Arial" w:hAnsi="Arial" w:cs="Arial"/>
          <w:sz w:val="22"/>
          <w:szCs w:val="22"/>
        </w:rPr>
        <w:t xml:space="preserve"> potential for </w:t>
      </w:r>
      <w:r w:rsidR="008478DC" w:rsidRPr="00980BBE">
        <w:rPr>
          <w:rFonts w:ascii="Arial" w:hAnsi="Arial" w:cs="Arial"/>
          <w:sz w:val="22"/>
          <w:szCs w:val="22"/>
        </w:rPr>
        <w:t>broader</w:t>
      </w:r>
      <w:r w:rsidR="00D6146C" w:rsidRPr="00980BBE">
        <w:rPr>
          <w:rFonts w:ascii="Arial" w:hAnsi="Arial" w:cs="Arial"/>
          <w:sz w:val="22"/>
          <w:szCs w:val="22"/>
        </w:rPr>
        <w:t xml:space="preserve"> public health impact (Public Health Scotland, 2023). </w:t>
      </w:r>
    </w:p>
    <w:p w14:paraId="33F88C04" w14:textId="5208D649" w:rsidR="00735909" w:rsidRPr="00266F7A" w:rsidRDefault="00735909" w:rsidP="005B349C">
      <w:pPr>
        <w:pStyle w:val="Heading1"/>
        <w:rPr>
          <w:rFonts w:ascii="Arial" w:hAnsi="Arial" w:cs="Arial"/>
          <w:b/>
          <w:bCs/>
          <w:color w:val="auto"/>
          <w:sz w:val="28"/>
          <w:szCs w:val="28"/>
          <w:u w:val="single"/>
        </w:rPr>
      </w:pPr>
      <w:bookmarkStart w:id="58" w:name="_Toc225966651"/>
      <w:r w:rsidRPr="00266F7A">
        <w:rPr>
          <w:rFonts w:ascii="Arial" w:hAnsi="Arial" w:cs="Arial"/>
          <w:b/>
          <w:bCs/>
          <w:color w:val="auto"/>
          <w:sz w:val="28"/>
          <w:szCs w:val="28"/>
          <w:u w:val="single"/>
        </w:rPr>
        <w:t>Impact on Research Question</w:t>
      </w:r>
      <w:bookmarkEnd w:id="58"/>
    </w:p>
    <w:p w14:paraId="5CF2F5A5" w14:textId="1E3A3D1D" w:rsidR="003D4E32" w:rsidRPr="00980BBE" w:rsidRDefault="000C3C80" w:rsidP="001D2D05">
      <w:pPr>
        <w:spacing w:line="360" w:lineRule="auto"/>
        <w:rPr>
          <w:rFonts w:ascii="Arial" w:hAnsi="Arial" w:cs="Arial"/>
          <w:sz w:val="22"/>
          <w:szCs w:val="22"/>
        </w:rPr>
      </w:pPr>
      <w:r w:rsidRPr="00980BBE">
        <w:rPr>
          <w:rFonts w:ascii="Arial" w:hAnsi="Arial" w:cs="Arial"/>
          <w:sz w:val="22"/>
          <w:szCs w:val="22"/>
        </w:rPr>
        <w:t>Public health policy plays a critical role in addressing the</w:t>
      </w:r>
      <w:r w:rsidR="001054E5" w:rsidRPr="00980BBE">
        <w:rPr>
          <w:rFonts w:ascii="Arial" w:hAnsi="Arial" w:cs="Arial"/>
          <w:sz w:val="22"/>
          <w:szCs w:val="22"/>
        </w:rPr>
        <w:t xml:space="preserve"> intersection</w:t>
      </w:r>
      <w:r w:rsidR="001C4810" w:rsidRPr="00980BBE">
        <w:rPr>
          <w:rFonts w:ascii="Arial" w:hAnsi="Arial" w:cs="Arial"/>
          <w:sz w:val="22"/>
          <w:szCs w:val="22"/>
        </w:rPr>
        <w:t xml:space="preserve"> of </w:t>
      </w:r>
      <w:r w:rsidR="003D4E32" w:rsidRPr="00980BBE">
        <w:rPr>
          <w:rFonts w:ascii="Arial" w:hAnsi="Arial" w:cs="Arial"/>
          <w:sz w:val="22"/>
          <w:szCs w:val="22"/>
        </w:rPr>
        <w:t xml:space="preserve"> alcohol-related brain </w:t>
      </w:r>
      <w:r w:rsidR="001C4810" w:rsidRPr="00980BBE">
        <w:rPr>
          <w:rFonts w:ascii="Arial" w:hAnsi="Arial" w:cs="Arial"/>
          <w:sz w:val="22"/>
          <w:szCs w:val="22"/>
        </w:rPr>
        <w:t>damage (ARBD)</w:t>
      </w:r>
      <w:r w:rsidR="003D4E32" w:rsidRPr="00980BBE">
        <w:rPr>
          <w:rFonts w:ascii="Arial" w:hAnsi="Arial" w:cs="Arial"/>
          <w:sz w:val="22"/>
          <w:szCs w:val="22"/>
        </w:rPr>
        <w:t xml:space="preserve">, socioeconomic deprivation, and </w:t>
      </w:r>
      <w:r w:rsidR="001C4810" w:rsidRPr="00980BBE">
        <w:rPr>
          <w:rFonts w:ascii="Arial" w:hAnsi="Arial" w:cs="Arial"/>
          <w:sz w:val="22"/>
          <w:szCs w:val="22"/>
        </w:rPr>
        <w:t>Young</w:t>
      </w:r>
      <w:r w:rsidR="0013507A" w:rsidRPr="00980BBE">
        <w:rPr>
          <w:rFonts w:ascii="Arial" w:hAnsi="Arial" w:cs="Arial"/>
          <w:sz w:val="22"/>
          <w:szCs w:val="22"/>
        </w:rPr>
        <w:t>-onset Dementia (</w:t>
      </w:r>
      <w:r w:rsidR="003D4E32" w:rsidRPr="00980BBE">
        <w:rPr>
          <w:rFonts w:ascii="Arial" w:hAnsi="Arial" w:cs="Arial"/>
          <w:sz w:val="22"/>
          <w:szCs w:val="22"/>
        </w:rPr>
        <w:t>YOD</w:t>
      </w:r>
      <w:r w:rsidR="0013507A" w:rsidRPr="00980BBE">
        <w:rPr>
          <w:rFonts w:ascii="Arial" w:hAnsi="Arial" w:cs="Arial"/>
          <w:sz w:val="22"/>
          <w:szCs w:val="22"/>
        </w:rPr>
        <w:t>)</w:t>
      </w:r>
      <w:r w:rsidR="003D4E32" w:rsidRPr="00980BBE">
        <w:rPr>
          <w:rFonts w:ascii="Arial" w:hAnsi="Arial" w:cs="Arial"/>
          <w:sz w:val="22"/>
          <w:szCs w:val="22"/>
        </w:rPr>
        <w:t xml:space="preserve"> risk, </w:t>
      </w:r>
      <w:r w:rsidR="0013507A" w:rsidRPr="00980BBE">
        <w:rPr>
          <w:rFonts w:ascii="Arial" w:hAnsi="Arial" w:cs="Arial"/>
          <w:sz w:val="22"/>
          <w:szCs w:val="22"/>
        </w:rPr>
        <w:t>Polic</w:t>
      </w:r>
      <w:r w:rsidR="00241470" w:rsidRPr="00980BBE">
        <w:rPr>
          <w:rFonts w:ascii="Arial" w:hAnsi="Arial" w:cs="Arial"/>
          <w:sz w:val="22"/>
          <w:szCs w:val="22"/>
        </w:rPr>
        <w:t>y framework provides mechanism to reduce exposure to mod</w:t>
      </w:r>
      <w:r w:rsidR="00290157" w:rsidRPr="00980BBE">
        <w:rPr>
          <w:rFonts w:ascii="Arial" w:hAnsi="Arial" w:cs="Arial"/>
          <w:sz w:val="22"/>
          <w:szCs w:val="22"/>
        </w:rPr>
        <w:t xml:space="preserve">ifiable risk factors, promote early detection, and </w:t>
      </w:r>
      <w:r w:rsidR="006619FC" w:rsidRPr="00980BBE">
        <w:rPr>
          <w:rFonts w:ascii="Arial" w:hAnsi="Arial" w:cs="Arial"/>
          <w:sz w:val="22"/>
          <w:szCs w:val="22"/>
        </w:rPr>
        <w:t xml:space="preserve">ensure equitable access to care </w:t>
      </w:r>
      <w:r w:rsidR="003D4E32" w:rsidRPr="00980BBE">
        <w:rPr>
          <w:rFonts w:ascii="Arial" w:hAnsi="Arial" w:cs="Arial"/>
          <w:sz w:val="22"/>
          <w:szCs w:val="22"/>
        </w:rPr>
        <w:t xml:space="preserve">(World Health Organization, 2017b). </w:t>
      </w:r>
      <w:r w:rsidR="006B6B93" w:rsidRPr="00980BBE">
        <w:rPr>
          <w:rFonts w:ascii="Arial" w:hAnsi="Arial" w:cs="Arial"/>
          <w:sz w:val="22"/>
          <w:szCs w:val="22"/>
        </w:rPr>
        <w:t xml:space="preserve">Understanding the effectiveness of these policies enables researchers to assess how </w:t>
      </w:r>
      <w:r w:rsidR="009C2C96" w:rsidRPr="00980BBE">
        <w:rPr>
          <w:rFonts w:ascii="Arial" w:hAnsi="Arial" w:cs="Arial"/>
          <w:sz w:val="22"/>
          <w:szCs w:val="22"/>
        </w:rPr>
        <w:t xml:space="preserve">population-level interventions interact with individual and community-level behaviour to  influence dementia outcomes. </w:t>
      </w:r>
    </w:p>
    <w:p w14:paraId="2C97E410" w14:textId="5771C059"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 xml:space="preserve">This theme contributes to the research question by </w:t>
      </w:r>
      <w:r w:rsidR="0003004B" w:rsidRPr="00980BBE">
        <w:rPr>
          <w:rFonts w:ascii="Arial" w:hAnsi="Arial" w:cs="Arial"/>
          <w:sz w:val="22"/>
          <w:szCs w:val="22"/>
        </w:rPr>
        <w:t xml:space="preserve">emphasising </w:t>
      </w:r>
      <w:r w:rsidRPr="00980BBE">
        <w:rPr>
          <w:rFonts w:ascii="Arial" w:hAnsi="Arial" w:cs="Arial"/>
          <w:sz w:val="22"/>
          <w:szCs w:val="22"/>
        </w:rPr>
        <w:t>the role of governance, legislation, and preventive strategies in mitigating YOD</w:t>
      </w:r>
      <w:r w:rsidR="0003004B" w:rsidRPr="00980BBE">
        <w:rPr>
          <w:rFonts w:ascii="Arial" w:hAnsi="Arial" w:cs="Arial"/>
          <w:sz w:val="22"/>
          <w:szCs w:val="22"/>
        </w:rPr>
        <w:t xml:space="preserve"> risk</w:t>
      </w:r>
      <w:r w:rsidR="00126804" w:rsidRPr="00980BBE">
        <w:rPr>
          <w:rFonts w:ascii="Arial" w:hAnsi="Arial" w:cs="Arial"/>
          <w:sz w:val="22"/>
          <w:szCs w:val="22"/>
        </w:rPr>
        <w:t xml:space="preserve">. </w:t>
      </w:r>
      <w:r w:rsidR="008037B1" w:rsidRPr="00980BBE">
        <w:rPr>
          <w:rFonts w:ascii="Arial" w:hAnsi="Arial" w:cs="Arial"/>
          <w:sz w:val="22"/>
          <w:szCs w:val="22"/>
        </w:rPr>
        <w:t xml:space="preserve">It underscores </w:t>
      </w:r>
      <w:r w:rsidRPr="00980BBE">
        <w:rPr>
          <w:rFonts w:ascii="Arial" w:hAnsi="Arial" w:cs="Arial"/>
          <w:sz w:val="22"/>
          <w:szCs w:val="22"/>
        </w:rPr>
        <w:t xml:space="preserve">the importance of </w:t>
      </w:r>
      <w:r w:rsidRPr="00980BBE">
        <w:rPr>
          <w:rFonts w:ascii="Arial" w:hAnsi="Arial" w:cs="Arial"/>
          <w:sz w:val="22"/>
          <w:szCs w:val="22"/>
        </w:rPr>
        <w:lastRenderedPageBreak/>
        <w:t xml:space="preserve">integrated approaches that combine healthcare, social, and economic interventions to reduce </w:t>
      </w:r>
      <w:r w:rsidR="008037B1" w:rsidRPr="00980BBE">
        <w:rPr>
          <w:rFonts w:ascii="Arial" w:hAnsi="Arial" w:cs="Arial"/>
          <w:sz w:val="22"/>
          <w:szCs w:val="22"/>
        </w:rPr>
        <w:t>the in</w:t>
      </w:r>
      <w:r w:rsidR="001A43C0" w:rsidRPr="00980BBE">
        <w:rPr>
          <w:rFonts w:ascii="Arial" w:hAnsi="Arial" w:cs="Arial"/>
          <w:sz w:val="22"/>
          <w:szCs w:val="22"/>
        </w:rPr>
        <w:t xml:space="preserve">cidence of </w:t>
      </w:r>
      <w:r w:rsidRPr="00980BBE">
        <w:rPr>
          <w:rFonts w:ascii="Arial" w:hAnsi="Arial" w:cs="Arial"/>
          <w:sz w:val="22"/>
          <w:szCs w:val="22"/>
        </w:rPr>
        <w:t xml:space="preserve">early-onset dementia </w:t>
      </w:r>
      <w:r w:rsidR="001A43C0" w:rsidRPr="00980BBE">
        <w:rPr>
          <w:rFonts w:ascii="Arial" w:hAnsi="Arial" w:cs="Arial"/>
          <w:sz w:val="22"/>
          <w:szCs w:val="22"/>
        </w:rPr>
        <w:t>and improve population health outcomes</w:t>
      </w:r>
      <w:r w:rsidRPr="00980BBE">
        <w:rPr>
          <w:rFonts w:ascii="Arial" w:hAnsi="Arial" w:cs="Arial"/>
          <w:sz w:val="22"/>
          <w:szCs w:val="22"/>
        </w:rPr>
        <w:t>.</w:t>
      </w:r>
    </w:p>
    <w:p w14:paraId="5A14FAA0" w14:textId="77777777" w:rsidR="00735909" w:rsidRPr="00266F7A" w:rsidRDefault="00735909" w:rsidP="005B349C">
      <w:pPr>
        <w:pStyle w:val="Heading1"/>
        <w:rPr>
          <w:rFonts w:ascii="Arial" w:hAnsi="Arial" w:cs="Arial"/>
          <w:b/>
          <w:bCs/>
          <w:color w:val="auto"/>
          <w:sz w:val="28"/>
          <w:szCs w:val="28"/>
          <w:u w:val="single"/>
        </w:rPr>
      </w:pPr>
      <w:bookmarkStart w:id="59" w:name="_Toc225966652"/>
      <w:r w:rsidRPr="00266F7A">
        <w:rPr>
          <w:rFonts w:ascii="Arial" w:hAnsi="Arial" w:cs="Arial"/>
          <w:b/>
          <w:bCs/>
          <w:color w:val="auto"/>
          <w:sz w:val="28"/>
          <w:szCs w:val="28"/>
          <w:u w:val="single"/>
        </w:rPr>
        <w:t>Statistical Information</w:t>
      </w:r>
      <w:bookmarkEnd w:id="59"/>
    </w:p>
    <w:p w14:paraId="71DFAA88" w14:textId="77777777" w:rsidR="00735909" w:rsidRPr="00980BBE" w:rsidRDefault="00735909" w:rsidP="001D2D05">
      <w:pPr>
        <w:spacing w:line="360" w:lineRule="auto"/>
        <w:rPr>
          <w:rFonts w:ascii="Arial" w:hAnsi="Arial" w:cs="Arial"/>
          <w:b/>
          <w:bCs/>
          <w:sz w:val="22"/>
          <w:szCs w:val="22"/>
        </w:rPr>
      </w:pPr>
      <w:r w:rsidRPr="00980BBE">
        <w:rPr>
          <w:rFonts w:ascii="Arial" w:hAnsi="Arial" w:cs="Arial"/>
          <w:b/>
          <w:bCs/>
          <w:sz w:val="22"/>
          <w:szCs w:val="22"/>
        </w:rPr>
        <w:t>Policy and prevention data illustrate both progress and gaps in addressing YOD:</w:t>
      </w:r>
    </w:p>
    <w:p w14:paraId="2C9E1E84" w14:textId="14BB3A4D" w:rsidR="00735909" w:rsidRPr="00980BBE" w:rsidRDefault="00735909" w:rsidP="001D2D05">
      <w:pPr>
        <w:numPr>
          <w:ilvl w:val="0"/>
          <w:numId w:val="43"/>
        </w:numPr>
        <w:spacing w:line="360" w:lineRule="auto"/>
        <w:rPr>
          <w:rFonts w:ascii="Arial" w:hAnsi="Arial" w:cs="Arial"/>
          <w:sz w:val="22"/>
          <w:szCs w:val="22"/>
        </w:rPr>
      </w:pPr>
      <w:r w:rsidRPr="00980BBE">
        <w:rPr>
          <w:rFonts w:ascii="Arial" w:hAnsi="Arial" w:cs="Arial"/>
          <w:b/>
          <w:bCs/>
          <w:sz w:val="22"/>
          <w:szCs w:val="22"/>
        </w:rPr>
        <w:t>Minimum unit pricing (MUP)</w:t>
      </w:r>
      <w:r w:rsidRPr="00980BBE">
        <w:rPr>
          <w:rFonts w:ascii="Arial" w:hAnsi="Arial" w:cs="Arial"/>
          <w:sz w:val="22"/>
          <w:szCs w:val="22"/>
        </w:rPr>
        <w:t xml:space="preserve"> in Scotland has reduced the purchase of high-strength, low-cost alcohol by 7.6% among heavy drinkers, indicating potential for indirect dementia prevention </w:t>
      </w:r>
      <w:r w:rsidR="00D73A95" w:rsidRPr="00980BBE">
        <w:rPr>
          <w:rFonts w:ascii="Arial" w:hAnsi="Arial" w:cs="Arial"/>
          <w:sz w:val="22"/>
          <w:szCs w:val="22"/>
        </w:rPr>
        <w:t>(Patterson et al., 2022)</w:t>
      </w:r>
      <w:r w:rsidR="00336F00" w:rsidRPr="00980BBE">
        <w:rPr>
          <w:rFonts w:ascii="Arial" w:hAnsi="Arial" w:cs="Arial"/>
          <w:sz w:val="22"/>
          <w:szCs w:val="22"/>
        </w:rPr>
        <w:t>.</w:t>
      </w:r>
    </w:p>
    <w:p w14:paraId="49057236" w14:textId="087798DE" w:rsidR="00735909" w:rsidRPr="00980BBE" w:rsidRDefault="002B1D3E" w:rsidP="001D2D05">
      <w:pPr>
        <w:numPr>
          <w:ilvl w:val="0"/>
          <w:numId w:val="43"/>
        </w:numPr>
        <w:spacing w:line="360" w:lineRule="auto"/>
        <w:rPr>
          <w:rFonts w:ascii="Arial" w:hAnsi="Arial" w:cs="Arial"/>
          <w:sz w:val="22"/>
          <w:szCs w:val="22"/>
        </w:rPr>
      </w:pPr>
      <w:r w:rsidRPr="00980BBE">
        <w:rPr>
          <w:rFonts w:ascii="Arial" w:hAnsi="Arial" w:cs="Arial"/>
          <w:sz w:val="22"/>
          <w:szCs w:val="22"/>
        </w:rPr>
        <w:t xml:space="preserve">World </w:t>
      </w:r>
      <w:r w:rsidR="001769E7" w:rsidRPr="00980BBE">
        <w:rPr>
          <w:rFonts w:ascii="Arial" w:hAnsi="Arial" w:cs="Arial"/>
          <w:sz w:val="22"/>
          <w:szCs w:val="22"/>
        </w:rPr>
        <w:t>Health</w:t>
      </w:r>
      <w:r w:rsidRPr="00980BBE">
        <w:rPr>
          <w:rFonts w:ascii="Arial" w:hAnsi="Arial" w:cs="Arial"/>
          <w:sz w:val="22"/>
          <w:szCs w:val="22"/>
        </w:rPr>
        <w:t xml:space="preserve"> </w:t>
      </w:r>
      <w:r w:rsidR="001769E7" w:rsidRPr="00980BBE">
        <w:rPr>
          <w:rFonts w:ascii="Arial" w:hAnsi="Arial" w:cs="Arial"/>
          <w:sz w:val="22"/>
          <w:szCs w:val="22"/>
        </w:rPr>
        <w:t>organisation</w:t>
      </w:r>
      <w:r w:rsidRPr="00980BBE">
        <w:rPr>
          <w:rFonts w:ascii="Arial" w:hAnsi="Arial" w:cs="Arial"/>
          <w:sz w:val="22"/>
          <w:szCs w:val="22"/>
        </w:rPr>
        <w:t xml:space="preserve"> </w:t>
      </w:r>
      <w:r w:rsidR="00735909" w:rsidRPr="00980BBE">
        <w:rPr>
          <w:rFonts w:ascii="Arial" w:hAnsi="Arial" w:cs="Arial"/>
          <w:sz w:val="22"/>
          <w:szCs w:val="22"/>
        </w:rPr>
        <w:t xml:space="preserve"> (2017a) estimates that up to 40% of dementia cases worldwide could be prevented or delayed through targeted lifestyle interventions, including reducing alcohol use, improving diet, and increasing physical and cognitive activity.</w:t>
      </w:r>
    </w:p>
    <w:p w14:paraId="70FB6DA9" w14:textId="3F63DDB2" w:rsidR="00735909" w:rsidRPr="00980BBE" w:rsidRDefault="002B2477" w:rsidP="001D2D05">
      <w:pPr>
        <w:numPr>
          <w:ilvl w:val="0"/>
          <w:numId w:val="43"/>
        </w:numPr>
        <w:spacing w:line="360" w:lineRule="auto"/>
        <w:rPr>
          <w:rFonts w:ascii="Arial" w:hAnsi="Arial" w:cs="Arial"/>
          <w:sz w:val="22"/>
          <w:szCs w:val="22"/>
        </w:rPr>
      </w:pPr>
      <w:r w:rsidRPr="00980BBE">
        <w:rPr>
          <w:rFonts w:ascii="Arial" w:hAnsi="Arial" w:cs="Arial"/>
          <w:sz w:val="22"/>
          <w:szCs w:val="22"/>
        </w:rPr>
        <w:t xml:space="preserve">NHS England, (2019) </w:t>
      </w:r>
      <w:r w:rsidR="000538D9" w:rsidRPr="00980BBE">
        <w:rPr>
          <w:rFonts w:ascii="Arial" w:hAnsi="Arial" w:cs="Arial"/>
          <w:sz w:val="22"/>
          <w:szCs w:val="22"/>
        </w:rPr>
        <w:t>data suggest that only 55% of individuals in high-risk populations</w:t>
      </w:r>
      <w:r w:rsidR="0056175E" w:rsidRPr="00980BBE">
        <w:rPr>
          <w:rFonts w:ascii="Arial" w:hAnsi="Arial" w:cs="Arial"/>
          <w:sz w:val="22"/>
          <w:szCs w:val="22"/>
        </w:rPr>
        <w:t xml:space="preserve"> </w:t>
      </w:r>
      <w:r w:rsidR="000538D9" w:rsidRPr="00980BBE">
        <w:rPr>
          <w:rFonts w:ascii="Arial" w:hAnsi="Arial" w:cs="Arial"/>
          <w:sz w:val="22"/>
          <w:szCs w:val="22"/>
        </w:rPr>
        <w:t>such as older adults, people with cardiovascular risk factors, and individuals living in socioeconomically deprived communities</w:t>
      </w:r>
      <w:r w:rsidR="0056175E" w:rsidRPr="00980BBE">
        <w:rPr>
          <w:rFonts w:ascii="Arial" w:hAnsi="Arial" w:cs="Arial"/>
          <w:sz w:val="22"/>
          <w:szCs w:val="22"/>
        </w:rPr>
        <w:t xml:space="preserve"> </w:t>
      </w:r>
      <w:r w:rsidR="000538D9" w:rsidRPr="00980BBE">
        <w:rPr>
          <w:rFonts w:ascii="Arial" w:hAnsi="Arial" w:cs="Arial"/>
          <w:sz w:val="22"/>
          <w:szCs w:val="22"/>
        </w:rPr>
        <w:t>receive early dementia screening, reflecting inequalities in policy implementation</w:t>
      </w:r>
      <w:r w:rsidR="00921E5E" w:rsidRPr="00980BBE">
        <w:rPr>
          <w:rFonts w:ascii="Arial" w:hAnsi="Arial" w:cs="Arial"/>
          <w:sz w:val="22"/>
          <w:szCs w:val="22"/>
        </w:rPr>
        <w:t>.</w:t>
      </w:r>
    </w:p>
    <w:p w14:paraId="78AAE9BF" w14:textId="52A6187E" w:rsidR="00735909" w:rsidRPr="00980BBE" w:rsidRDefault="00735909" w:rsidP="001D2D05">
      <w:pPr>
        <w:numPr>
          <w:ilvl w:val="0"/>
          <w:numId w:val="43"/>
        </w:numPr>
        <w:spacing w:line="360" w:lineRule="auto"/>
        <w:rPr>
          <w:rFonts w:ascii="Arial" w:hAnsi="Arial" w:cs="Arial"/>
          <w:sz w:val="22"/>
          <w:szCs w:val="22"/>
        </w:rPr>
      </w:pPr>
      <w:r w:rsidRPr="00980BBE">
        <w:rPr>
          <w:rFonts w:ascii="Arial" w:hAnsi="Arial" w:cs="Arial"/>
          <w:sz w:val="22"/>
          <w:szCs w:val="22"/>
        </w:rPr>
        <w:t xml:space="preserve">Policy evaluations often omit cognitive outcomes, limiting understanding of long-term impacts on YOD prevalence </w:t>
      </w:r>
      <w:r w:rsidR="00F82718" w:rsidRPr="00980BBE">
        <w:rPr>
          <w:rFonts w:ascii="Arial" w:hAnsi="Arial" w:cs="Arial"/>
          <w:sz w:val="22"/>
          <w:szCs w:val="22"/>
        </w:rPr>
        <w:t>(Loi, Cations and Velakoulis, 2023).</w:t>
      </w:r>
    </w:p>
    <w:p w14:paraId="39864798" w14:textId="3DFE438A" w:rsidR="00621705" w:rsidRPr="00980BBE" w:rsidRDefault="00621705" w:rsidP="001D2D05">
      <w:pPr>
        <w:spacing w:line="360" w:lineRule="auto"/>
        <w:rPr>
          <w:rFonts w:ascii="Arial" w:hAnsi="Arial" w:cs="Arial"/>
          <w:sz w:val="22"/>
          <w:szCs w:val="22"/>
        </w:rPr>
      </w:pPr>
      <w:r w:rsidRPr="00980BBE">
        <w:rPr>
          <w:rFonts w:ascii="Arial" w:hAnsi="Arial" w:cs="Arial"/>
          <w:sz w:val="22"/>
          <w:szCs w:val="22"/>
        </w:rPr>
        <w:t xml:space="preserve">Nevertheless, </w:t>
      </w:r>
      <w:r w:rsidR="00CE4A4A" w:rsidRPr="00980BBE">
        <w:rPr>
          <w:rFonts w:ascii="Arial" w:hAnsi="Arial" w:cs="Arial"/>
          <w:sz w:val="22"/>
          <w:szCs w:val="22"/>
        </w:rPr>
        <w:t xml:space="preserve">although </w:t>
      </w:r>
      <w:r w:rsidRPr="00980BBE">
        <w:rPr>
          <w:rFonts w:ascii="Arial" w:hAnsi="Arial" w:cs="Arial"/>
          <w:sz w:val="22"/>
          <w:szCs w:val="22"/>
        </w:rPr>
        <w:t xml:space="preserve"> reductions in alcohol consumption have been observed following </w:t>
      </w:r>
      <w:r w:rsidR="00CE4A4A" w:rsidRPr="00980BBE">
        <w:rPr>
          <w:rFonts w:ascii="Arial" w:hAnsi="Arial" w:cs="Arial"/>
          <w:sz w:val="22"/>
          <w:szCs w:val="22"/>
        </w:rPr>
        <w:t>the implementation</w:t>
      </w:r>
      <w:r w:rsidR="00823632" w:rsidRPr="00980BBE">
        <w:rPr>
          <w:rFonts w:ascii="Arial" w:hAnsi="Arial" w:cs="Arial"/>
          <w:sz w:val="22"/>
          <w:szCs w:val="22"/>
        </w:rPr>
        <w:t xml:space="preserve"> of </w:t>
      </w:r>
      <w:r w:rsidRPr="00980BBE">
        <w:rPr>
          <w:rFonts w:ascii="Arial" w:hAnsi="Arial" w:cs="Arial"/>
          <w:sz w:val="22"/>
          <w:szCs w:val="22"/>
        </w:rPr>
        <w:t xml:space="preserve">minimum unit pricing </w:t>
      </w:r>
      <w:r w:rsidR="00823632" w:rsidRPr="00980BBE">
        <w:rPr>
          <w:rFonts w:ascii="Arial" w:hAnsi="Arial" w:cs="Arial"/>
          <w:sz w:val="22"/>
          <w:szCs w:val="22"/>
        </w:rPr>
        <w:t xml:space="preserve">(MUP) </w:t>
      </w:r>
      <w:r w:rsidRPr="00980BBE">
        <w:rPr>
          <w:rFonts w:ascii="Arial" w:hAnsi="Arial" w:cs="Arial"/>
          <w:sz w:val="22"/>
          <w:szCs w:val="22"/>
        </w:rPr>
        <w:t xml:space="preserve">policies, the long-term impact of such interventions on cognitive health outcomes remains uncertain due to the </w:t>
      </w:r>
      <w:r w:rsidR="00823632" w:rsidRPr="00980BBE">
        <w:rPr>
          <w:rFonts w:ascii="Arial" w:hAnsi="Arial" w:cs="Arial"/>
          <w:sz w:val="22"/>
          <w:szCs w:val="22"/>
        </w:rPr>
        <w:t>lack</w:t>
      </w:r>
      <w:r w:rsidRPr="00980BBE">
        <w:rPr>
          <w:rFonts w:ascii="Arial" w:hAnsi="Arial" w:cs="Arial"/>
          <w:sz w:val="22"/>
          <w:szCs w:val="22"/>
        </w:rPr>
        <w:t xml:space="preserve"> of longitudinal dementia-specific evaluation</w:t>
      </w:r>
      <w:r w:rsidR="00D00EC1" w:rsidRPr="00980BBE">
        <w:rPr>
          <w:rFonts w:ascii="Arial" w:hAnsi="Arial" w:cs="Arial"/>
          <w:sz w:val="22"/>
          <w:szCs w:val="22"/>
        </w:rPr>
        <w:t>s</w:t>
      </w:r>
      <w:r w:rsidRPr="00980BBE">
        <w:rPr>
          <w:rFonts w:ascii="Arial" w:hAnsi="Arial" w:cs="Arial"/>
          <w:sz w:val="22"/>
          <w:szCs w:val="22"/>
        </w:rPr>
        <w:t>.</w:t>
      </w:r>
    </w:p>
    <w:p w14:paraId="696B6E1A" w14:textId="1159B520" w:rsidR="00735909" w:rsidRPr="00266F7A" w:rsidRDefault="00735909" w:rsidP="005B349C">
      <w:pPr>
        <w:pStyle w:val="Heading1"/>
        <w:rPr>
          <w:rFonts w:ascii="Arial" w:hAnsi="Arial" w:cs="Arial"/>
          <w:b/>
          <w:bCs/>
          <w:color w:val="auto"/>
          <w:sz w:val="28"/>
          <w:szCs w:val="28"/>
          <w:u w:val="single"/>
        </w:rPr>
      </w:pPr>
      <w:bookmarkStart w:id="60" w:name="_Toc225966653"/>
      <w:r w:rsidRPr="00266F7A">
        <w:rPr>
          <w:rFonts w:ascii="Arial" w:hAnsi="Arial" w:cs="Arial"/>
          <w:b/>
          <w:bCs/>
          <w:color w:val="auto"/>
          <w:sz w:val="28"/>
          <w:szCs w:val="28"/>
          <w:u w:val="single"/>
        </w:rPr>
        <w:t>Theoretical Framework</w:t>
      </w:r>
      <w:bookmarkEnd w:id="60"/>
    </w:p>
    <w:p w14:paraId="27F28861" w14:textId="1FC08FEC" w:rsidR="00141B54" w:rsidRPr="00980BBE" w:rsidRDefault="00735909" w:rsidP="001D2D05">
      <w:pPr>
        <w:spacing w:line="360" w:lineRule="auto"/>
        <w:rPr>
          <w:rFonts w:ascii="Arial" w:hAnsi="Arial" w:cs="Arial"/>
          <w:sz w:val="22"/>
          <w:szCs w:val="22"/>
        </w:rPr>
      </w:pPr>
      <w:r w:rsidRPr="00980BBE">
        <w:rPr>
          <w:rFonts w:ascii="Arial" w:hAnsi="Arial" w:cs="Arial"/>
          <w:sz w:val="22"/>
          <w:szCs w:val="22"/>
        </w:rPr>
        <w:t xml:space="preserve">The </w:t>
      </w:r>
      <w:r w:rsidRPr="00980BBE">
        <w:rPr>
          <w:rFonts w:ascii="Arial" w:hAnsi="Arial" w:cs="Arial"/>
          <w:b/>
          <w:bCs/>
          <w:sz w:val="22"/>
          <w:szCs w:val="22"/>
        </w:rPr>
        <w:t>ecological model of health</w:t>
      </w:r>
      <w:r w:rsidRPr="00980BBE">
        <w:rPr>
          <w:rFonts w:ascii="Arial" w:hAnsi="Arial" w:cs="Arial"/>
          <w:sz w:val="22"/>
          <w:szCs w:val="22"/>
        </w:rPr>
        <w:t xml:space="preserve"> provides a foundation for understanding public health policy in dementia prevention</w:t>
      </w:r>
      <w:r w:rsidR="00141B54" w:rsidRPr="00980BBE">
        <w:rPr>
          <w:rFonts w:ascii="Arial" w:hAnsi="Arial" w:cs="Arial"/>
          <w:sz w:val="22"/>
          <w:szCs w:val="22"/>
        </w:rPr>
        <w:t xml:space="preserve">. </w:t>
      </w:r>
      <w:r w:rsidRPr="00980BBE">
        <w:rPr>
          <w:rFonts w:ascii="Arial" w:hAnsi="Arial" w:cs="Arial"/>
          <w:sz w:val="22"/>
          <w:szCs w:val="22"/>
        </w:rPr>
        <w:t>This model conceptualises health determinants at multiple levels</w:t>
      </w:r>
      <w:r w:rsidR="00F65460" w:rsidRPr="00980BBE">
        <w:rPr>
          <w:rFonts w:ascii="Arial" w:hAnsi="Arial" w:cs="Arial"/>
          <w:sz w:val="22"/>
          <w:szCs w:val="22"/>
        </w:rPr>
        <w:t xml:space="preserve"> </w:t>
      </w:r>
      <w:r w:rsidR="00141B54" w:rsidRPr="00980BBE">
        <w:rPr>
          <w:rFonts w:ascii="Arial" w:hAnsi="Arial" w:cs="Arial"/>
          <w:sz w:val="22"/>
          <w:szCs w:val="22"/>
        </w:rPr>
        <w:t>(Podgorski, Anderson and Parmar, 2021).</w:t>
      </w:r>
    </w:p>
    <w:p w14:paraId="596BC4A5" w14:textId="1E66BC05" w:rsidR="00735909" w:rsidRPr="00980BBE" w:rsidRDefault="00735909" w:rsidP="001D2D05">
      <w:pPr>
        <w:spacing w:line="360" w:lineRule="auto"/>
        <w:rPr>
          <w:rFonts w:ascii="Arial" w:hAnsi="Arial" w:cs="Arial"/>
          <w:sz w:val="22"/>
          <w:szCs w:val="22"/>
        </w:rPr>
      </w:pPr>
    </w:p>
    <w:p w14:paraId="1663C8AF" w14:textId="77777777" w:rsidR="00735909" w:rsidRPr="00980BBE" w:rsidRDefault="00735909" w:rsidP="001D2D05">
      <w:pPr>
        <w:numPr>
          <w:ilvl w:val="0"/>
          <w:numId w:val="44"/>
        </w:numPr>
        <w:spacing w:line="360" w:lineRule="auto"/>
        <w:rPr>
          <w:rFonts w:ascii="Arial" w:hAnsi="Arial" w:cs="Arial"/>
          <w:sz w:val="22"/>
          <w:szCs w:val="22"/>
        </w:rPr>
      </w:pPr>
      <w:r w:rsidRPr="00980BBE">
        <w:rPr>
          <w:rFonts w:ascii="Arial" w:hAnsi="Arial" w:cs="Arial"/>
          <w:b/>
          <w:bCs/>
          <w:sz w:val="22"/>
          <w:szCs w:val="22"/>
        </w:rPr>
        <w:t>Individual:</w:t>
      </w:r>
      <w:r w:rsidRPr="00980BBE">
        <w:rPr>
          <w:rFonts w:ascii="Arial" w:hAnsi="Arial" w:cs="Arial"/>
          <w:sz w:val="22"/>
          <w:szCs w:val="22"/>
        </w:rPr>
        <w:t xml:space="preserve"> Knowledge, attitudes, and behaviours, such as alcohol consumption and engagement in cognitively stimulating activities.</w:t>
      </w:r>
    </w:p>
    <w:p w14:paraId="0D1693C8" w14:textId="77777777" w:rsidR="00735909" w:rsidRPr="00980BBE" w:rsidRDefault="00735909" w:rsidP="001D2D05">
      <w:pPr>
        <w:numPr>
          <w:ilvl w:val="0"/>
          <w:numId w:val="44"/>
        </w:numPr>
        <w:spacing w:line="360" w:lineRule="auto"/>
        <w:rPr>
          <w:rFonts w:ascii="Arial" w:hAnsi="Arial" w:cs="Arial"/>
          <w:sz w:val="22"/>
          <w:szCs w:val="22"/>
        </w:rPr>
      </w:pPr>
      <w:r w:rsidRPr="00980BBE">
        <w:rPr>
          <w:rFonts w:ascii="Arial" w:hAnsi="Arial" w:cs="Arial"/>
          <w:b/>
          <w:bCs/>
          <w:sz w:val="22"/>
          <w:szCs w:val="22"/>
        </w:rPr>
        <w:t>Interpersonal:</w:t>
      </w:r>
      <w:r w:rsidRPr="00980BBE">
        <w:rPr>
          <w:rFonts w:ascii="Arial" w:hAnsi="Arial" w:cs="Arial"/>
          <w:sz w:val="22"/>
          <w:szCs w:val="22"/>
        </w:rPr>
        <w:t xml:space="preserve"> Family, peer, and community support, which influence health behaviours and care-seeking.</w:t>
      </w:r>
    </w:p>
    <w:p w14:paraId="36300798" w14:textId="77777777" w:rsidR="00735909" w:rsidRPr="00980BBE" w:rsidRDefault="00735909" w:rsidP="001D2D05">
      <w:pPr>
        <w:numPr>
          <w:ilvl w:val="0"/>
          <w:numId w:val="44"/>
        </w:numPr>
        <w:spacing w:line="360" w:lineRule="auto"/>
        <w:rPr>
          <w:rFonts w:ascii="Arial" w:hAnsi="Arial" w:cs="Arial"/>
          <w:sz w:val="22"/>
          <w:szCs w:val="22"/>
        </w:rPr>
      </w:pPr>
      <w:r w:rsidRPr="00980BBE">
        <w:rPr>
          <w:rFonts w:ascii="Arial" w:hAnsi="Arial" w:cs="Arial"/>
          <w:b/>
          <w:bCs/>
          <w:sz w:val="22"/>
          <w:szCs w:val="22"/>
        </w:rPr>
        <w:lastRenderedPageBreak/>
        <w:t>Organisational:</w:t>
      </w:r>
      <w:r w:rsidRPr="00980BBE">
        <w:rPr>
          <w:rFonts w:ascii="Arial" w:hAnsi="Arial" w:cs="Arial"/>
          <w:sz w:val="22"/>
          <w:szCs w:val="22"/>
        </w:rPr>
        <w:t xml:space="preserve"> Healthcare systems, social services, and workplace policies that affect access to preventive care and screening.</w:t>
      </w:r>
    </w:p>
    <w:p w14:paraId="6BA024F0" w14:textId="77777777" w:rsidR="00735909" w:rsidRPr="00980BBE" w:rsidRDefault="00735909" w:rsidP="001D2D05">
      <w:pPr>
        <w:numPr>
          <w:ilvl w:val="0"/>
          <w:numId w:val="44"/>
        </w:numPr>
        <w:spacing w:line="360" w:lineRule="auto"/>
        <w:rPr>
          <w:rFonts w:ascii="Arial" w:hAnsi="Arial" w:cs="Arial"/>
          <w:sz w:val="22"/>
          <w:szCs w:val="22"/>
        </w:rPr>
      </w:pPr>
      <w:r w:rsidRPr="00980BBE">
        <w:rPr>
          <w:rFonts w:ascii="Arial" w:hAnsi="Arial" w:cs="Arial"/>
          <w:b/>
          <w:bCs/>
          <w:sz w:val="22"/>
          <w:szCs w:val="22"/>
        </w:rPr>
        <w:t>Community and societal:</w:t>
      </w:r>
      <w:r w:rsidRPr="00980BBE">
        <w:rPr>
          <w:rFonts w:ascii="Arial" w:hAnsi="Arial" w:cs="Arial"/>
          <w:sz w:val="22"/>
          <w:szCs w:val="22"/>
        </w:rPr>
        <w:t xml:space="preserve"> Cultural norms, economic conditions, and legislation shaping public health interventions.</w:t>
      </w:r>
    </w:p>
    <w:p w14:paraId="79B5F967" w14:textId="759D38AD"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 xml:space="preserve">Applying this </w:t>
      </w:r>
      <w:r w:rsidR="007242F9" w:rsidRPr="00980BBE">
        <w:rPr>
          <w:rFonts w:ascii="Arial" w:hAnsi="Arial" w:cs="Arial"/>
          <w:sz w:val="22"/>
          <w:szCs w:val="22"/>
        </w:rPr>
        <w:t>multilevel framework to</w:t>
      </w:r>
      <w:r w:rsidR="00486899" w:rsidRPr="00980BBE">
        <w:rPr>
          <w:rFonts w:ascii="Arial" w:hAnsi="Arial" w:cs="Arial"/>
          <w:sz w:val="22"/>
          <w:szCs w:val="22"/>
        </w:rPr>
        <w:t xml:space="preserve"> </w:t>
      </w:r>
      <w:r w:rsidRPr="00980BBE">
        <w:rPr>
          <w:rFonts w:ascii="Arial" w:hAnsi="Arial" w:cs="Arial"/>
          <w:sz w:val="22"/>
          <w:szCs w:val="22"/>
        </w:rPr>
        <w:t xml:space="preserve">YOD demonstrates that policy interventions must address determinants across </w:t>
      </w:r>
      <w:r w:rsidR="00486899" w:rsidRPr="00980BBE">
        <w:rPr>
          <w:rFonts w:ascii="Arial" w:hAnsi="Arial" w:cs="Arial"/>
          <w:sz w:val="22"/>
          <w:szCs w:val="22"/>
        </w:rPr>
        <w:t>multiple</w:t>
      </w:r>
      <w:r w:rsidRPr="00980BBE">
        <w:rPr>
          <w:rFonts w:ascii="Arial" w:hAnsi="Arial" w:cs="Arial"/>
          <w:sz w:val="22"/>
          <w:szCs w:val="22"/>
        </w:rPr>
        <w:t xml:space="preserve"> levels</w:t>
      </w:r>
      <w:r w:rsidR="00486899" w:rsidRPr="00980BBE">
        <w:rPr>
          <w:rFonts w:ascii="Arial" w:hAnsi="Arial" w:cs="Arial"/>
          <w:sz w:val="22"/>
          <w:szCs w:val="22"/>
        </w:rPr>
        <w:t>, ranging</w:t>
      </w:r>
      <w:r w:rsidR="0056175E" w:rsidRPr="00980BBE">
        <w:rPr>
          <w:rFonts w:ascii="Arial" w:hAnsi="Arial" w:cs="Arial"/>
          <w:sz w:val="22"/>
          <w:szCs w:val="22"/>
        </w:rPr>
        <w:t xml:space="preserve"> </w:t>
      </w:r>
      <w:r w:rsidRPr="00980BBE">
        <w:rPr>
          <w:rFonts w:ascii="Arial" w:hAnsi="Arial" w:cs="Arial"/>
          <w:sz w:val="22"/>
          <w:szCs w:val="22"/>
        </w:rPr>
        <w:t xml:space="preserve">from individual behaviour modification to </w:t>
      </w:r>
      <w:r w:rsidR="00A46BFC" w:rsidRPr="00980BBE">
        <w:rPr>
          <w:rFonts w:ascii="Arial" w:hAnsi="Arial" w:cs="Arial"/>
          <w:sz w:val="22"/>
          <w:szCs w:val="22"/>
        </w:rPr>
        <w:t xml:space="preserve">broader structural </w:t>
      </w:r>
      <w:r w:rsidR="00F528F5" w:rsidRPr="00980BBE">
        <w:rPr>
          <w:rFonts w:ascii="Arial" w:hAnsi="Arial" w:cs="Arial"/>
          <w:sz w:val="22"/>
          <w:szCs w:val="22"/>
        </w:rPr>
        <w:t>and</w:t>
      </w:r>
      <w:r w:rsidRPr="00980BBE">
        <w:rPr>
          <w:rFonts w:ascii="Arial" w:hAnsi="Arial" w:cs="Arial"/>
          <w:sz w:val="22"/>
          <w:szCs w:val="22"/>
        </w:rPr>
        <w:t xml:space="preserve"> societal changes.</w:t>
      </w:r>
    </w:p>
    <w:p w14:paraId="23456F87" w14:textId="2BFD350E" w:rsidR="00706E3B" w:rsidRPr="00980BBE" w:rsidRDefault="00706E3B" w:rsidP="001D2D05">
      <w:pPr>
        <w:spacing w:line="360" w:lineRule="auto"/>
        <w:rPr>
          <w:rFonts w:ascii="Arial" w:hAnsi="Arial" w:cs="Arial"/>
          <w:sz w:val="22"/>
          <w:szCs w:val="22"/>
        </w:rPr>
      </w:pPr>
      <w:r w:rsidRPr="00980BBE">
        <w:rPr>
          <w:rFonts w:ascii="Arial" w:hAnsi="Arial" w:cs="Arial"/>
          <w:sz w:val="22"/>
          <w:szCs w:val="22"/>
        </w:rPr>
        <w:t>This approach is</w:t>
      </w:r>
      <w:r w:rsidR="00F528F5" w:rsidRPr="00980BBE">
        <w:rPr>
          <w:rFonts w:ascii="Arial" w:hAnsi="Arial" w:cs="Arial"/>
          <w:sz w:val="22"/>
          <w:szCs w:val="22"/>
        </w:rPr>
        <w:t xml:space="preserve"> further</w:t>
      </w:r>
      <w:r w:rsidRPr="00980BBE">
        <w:rPr>
          <w:rFonts w:ascii="Arial" w:hAnsi="Arial" w:cs="Arial"/>
          <w:sz w:val="22"/>
          <w:szCs w:val="22"/>
        </w:rPr>
        <w:t xml:space="preserve"> </w:t>
      </w:r>
      <w:r w:rsidR="00F528F5" w:rsidRPr="00980BBE">
        <w:rPr>
          <w:rFonts w:ascii="Arial" w:hAnsi="Arial" w:cs="Arial"/>
          <w:sz w:val="22"/>
          <w:szCs w:val="22"/>
        </w:rPr>
        <w:t xml:space="preserve">supported </w:t>
      </w:r>
      <w:r w:rsidRPr="00980BBE">
        <w:rPr>
          <w:rFonts w:ascii="Arial" w:hAnsi="Arial" w:cs="Arial"/>
          <w:sz w:val="22"/>
          <w:szCs w:val="22"/>
        </w:rPr>
        <w:t>by health promotion theory,</w:t>
      </w:r>
      <w:r w:rsidR="00810154" w:rsidRPr="00980BBE">
        <w:rPr>
          <w:rFonts w:ascii="Arial" w:hAnsi="Arial" w:cs="Arial"/>
          <w:sz w:val="22"/>
          <w:szCs w:val="22"/>
        </w:rPr>
        <w:t xml:space="preserve"> </w:t>
      </w:r>
      <w:r w:rsidR="00F528F5" w:rsidRPr="00980BBE">
        <w:rPr>
          <w:rFonts w:ascii="Arial" w:hAnsi="Arial" w:cs="Arial"/>
          <w:sz w:val="22"/>
          <w:szCs w:val="22"/>
        </w:rPr>
        <w:t>particular</w:t>
      </w:r>
      <w:r w:rsidRPr="00980BBE">
        <w:rPr>
          <w:rFonts w:ascii="Arial" w:hAnsi="Arial" w:cs="Arial"/>
          <w:sz w:val="22"/>
          <w:szCs w:val="22"/>
        </w:rPr>
        <w:t xml:space="preserve"> the Health Belief Model (HBM), which explains how perceived </w:t>
      </w:r>
      <w:r w:rsidR="00810154" w:rsidRPr="00980BBE">
        <w:rPr>
          <w:rFonts w:ascii="Arial" w:hAnsi="Arial" w:cs="Arial"/>
          <w:sz w:val="22"/>
          <w:szCs w:val="22"/>
        </w:rPr>
        <w:t xml:space="preserve">susceptibility </w:t>
      </w:r>
      <w:r w:rsidR="00E76327" w:rsidRPr="00980BBE">
        <w:rPr>
          <w:rFonts w:ascii="Arial" w:hAnsi="Arial" w:cs="Arial"/>
          <w:sz w:val="22"/>
          <w:szCs w:val="22"/>
        </w:rPr>
        <w:t xml:space="preserve">perceived </w:t>
      </w:r>
      <w:r w:rsidRPr="00980BBE">
        <w:rPr>
          <w:rFonts w:ascii="Arial" w:hAnsi="Arial" w:cs="Arial"/>
          <w:sz w:val="22"/>
          <w:szCs w:val="22"/>
        </w:rPr>
        <w:t xml:space="preserve">severity, </w:t>
      </w:r>
      <w:r w:rsidR="00FD0697" w:rsidRPr="00980BBE">
        <w:rPr>
          <w:rFonts w:ascii="Arial" w:hAnsi="Arial" w:cs="Arial"/>
          <w:sz w:val="22"/>
          <w:szCs w:val="22"/>
        </w:rPr>
        <w:t>perceived</w:t>
      </w:r>
      <w:r w:rsidR="00070FDB" w:rsidRPr="00980BBE">
        <w:rPr>
          <w:rFonts w:ascii="Arial" w:hAnsi="Arial" w:cs="Arial"/>
          <w:sz w:val="22"/>
          <w:szCs w:val="22"/>
        </w:rPr>
        <w:t xml:space="preserve"> benefits and perceived barriers influence </w:t>
      </w:r>
      <w:r w:rsidR="00F811D1" w:rsidRPr="00980BBE">
        <w:rPr>
          <w:rFonts w:ascii="Arial" w:hAnsi="Arial" w:cs="Arial"/>
          <w:sz w:val="22"/>
          <w:szCs w:val="22"/>
        </w:rPr>
        <w:t>engagement with preventative behaviour</w:t>
      </w:r>
      <w:r w:rsidR="00102F89" w:rsidRPr="00980BBE">
        <w:rPr>
          <w:rFonts w:ascii="Arial" w:hAnsi="Arial" w:cs="Arial"/>
          <w:sz w:val="22"/>
          <w:szCs w:val="22"/>
        </w:rPr>
        <w:t xml:space="preserve">, </w:t>
      </w:r>
      <w:r w:rsidRPr="00980BBE">
        <w:rPr>
          <w:rFonts w:ascii="Arial" w:hAnsi="Arial" w:cs="Arial"/>
          <w:sz w:val="22"/>
          <w:szCs w:val="22"/>
        </w:rPr>
        <w:t xml:space="preserve">For </w:t>
      </w:r>
      <w:r w:rsidR="00F811D1" w:rsidRPr="00980BBE">
        <w:rPr>
          <w:rFonts w:ascii="Arial" w:hAnsi="Arial" w:cs="Arial"/>
          <w:sz w:val="22"/>
          <w:szCs w:val="22"/>
        </w:rPr>
        <w:t xml:space="preserve">example when </w:t>
      </w:r>
      <w:r w:rsidR="00475801" w:rsidRPr="00980BBE">
        <w:rPr>
          <w:rFonts w:ascii="Arial" w:hAnsi="Arial" w:cs="Arial"/>
          <w:sz w:val="22"/>
          <w:szCs w:val="22"/>
        </w:rPr>
        <w:t xml:space="preserve">policies enhance access to information resources, and support systems, individuals are aware of their risk of </w:t>
      </w:r>
      <w:r w:rsidR="008A0D00" w:rsidRPr="00980BBE">
        <w:rPr>
          <w:rFonts w:ascii="Arial" w:hAnsi="Arial" w:cs="Arial"/>
          <w:sz w:val="22"/>
          <w:szCs w:val="22"/>
        </w:rPr>
        <w:t>alcohol-related brain damage or YOD may be more</w:t>
      </w:r>
      <w:r w:rsidR="00CB0903" w:rsidRPr="00980BBE">
        <w:rPr>
          <w:rFonts w:ascii="Arial" w:hAnsi="Arial" w:cs="Arial"/>
          <w:sz w:val="22"/>
          <w:szCs w:val="22"/>
        </w:rPr>
        <w:t xml:space="preserve"> likely to adapt health-promoting behaviour</w:t>
      </w:r>
      <w:r w:rsidR="00DF716A" w:rsidRPr="00980BBE">
        <w:rPr>
          <w:rFonts w:ascii="Arial" w:hAnsi="Arial" w:cs="Arial"/>
          <w:sz w:val="22"/>
          <w:szCs w:val="22"/>
        </w:rPr>
        <w:t>s. Conversely, structural barriers</w:t>
      </w:r>
      <w:r w:rsidR="00A448A7" w:rsidRPr="00980BBE">
        <w:rPr>
          <w:rFonts w:ascii="Arial" w:hAnsi="Arial" w:cs="Arial"/>
          <w:sz w:val="22"/>
          <w:szCs w:val="22"/>
        </w:rPr>
        <w:t xml:space="preserve"> within socioeconomically disadvantaged </w:t>
      </w:r>
      <w:r w:rsidR="009542A4" w:rsidRPr="00980BBE">
        <w:rPr>
          <w:rFonts w:ascii="Arial" w:hAnsi="Arial" w:cs="Arial"/>
          <w:sz w:val="22"/>
          <w:szCs w:val="22"/>
        </w:rPr>
        <w:t>communities may limit adherence to prevent</w:t>
      </w:r>
      <w:r w:rsidR="00102F89" w:rsidRPr="00980BBE">
        <w:rPr>
          <w:rFonts w:ascii="Arial" w:hAnsi="Arial" w:cs="Arial"/>
          <w:sz w:val="22"/>
          <w:szCs w:val="22"/>
        </w:rPr>
        <w:t>ative strategies, highlighting the need for equity-focused interventions(Fang et al., 2025)</w:t>
      </w:r>
      <w:r w:rsidR="0024395B" w:rsidRPr="00980BBE">
        <w:rPr>
          <w:rFonts w:ascii="Arial" w:hAnsi="Arial" w:cs="Arial"/>
          <w:sz w:val="22"/>
          <w:szCs w:val="22"/>
        </w:rPr>
        <w:t xml:space="preserve">. </w:t>
      </w:r>
    </w:p>
    <w:p w14:paraId="5DC7EC93" w14:textId="25C830EC" w:rsidR="00735909" w:rsidRPr="00266F7A" w:rsidRDefault="00735909" w:rsidP="005B349C">
      <w:pPr>
        <w:pStyle w:val="Heading1"/>
        <w:rPr>
          <w:rFonts w:ascii="Arial" w:hAnsi="Arial" w:cs="Arial"/>
          <w:b/>
          <w:bCs/>
          <w:color w:val="auto"/>
          <w:sz w:val="28"/>
          <w:szCs w:val="28"/>
          <w:u w:val="single"/>
        </w:rPr>
      </w:pPr>
      <w:bookmarkStart w:id="61" w:name="_Toc225966654"/>
      <w:r w:rsidRPr="00266F7A">
        <w:rPr>
          <w:rFonts w:ascii="Arial" w:hAnsi="Arial" w:cs="Arial"/>
          <w:b/>
          <w:bCs/>
          <w:color w:val="auto"/>
          <w:sz w:val="28"/>
          <w:szCs w:val="28"/>
          <w:u w:val="single"/>
        </w:rPr>
        <w:t>Policy and Legislation</w:t>
      </w:r>
      <w:bookmarkEnd w:id="61"/>
    </w:p>
    <w:p w14:paraId="59CBADA6" w14:textId="77777777" w:rsidR="00735909" w:rsidRPr="00980BBE" w:rsidRDefault="00735909" w:rsidP="001D2D05">
      <w:pPr>
        <w:spacing w:line="360" w:lineRule="auto"/>
        <w:rPr>
          <w:rFonts w:ascii="Arial" w:hAnsi="Arial" w:cs="Arial"/>
          <w:b/>
          <w:bCs/>
          <w:sz w:val="22"/>
          <w:szCs w:val="22"/>
          <w:u w:val="single"/>
        </w:rPr>
      </w:pPr>
      <w:r w:rsidRPr="00980BBE">
        <w:rPr>
          <w:rFonts w:ascii="Arial" w:hAnsi="Arial" w:cs="Arial"/>
          <w:b/>
          <w:bCs/>
          <w:sz w:val="22"/>
          <w:szCs w:val="22"/>
          <w:u w:val="single"/>
        </w:rPr>
        <w:t>Key public health policies relevant to YOD prevention include:</w:t>
      </w:r>
    </w:p>
    <w:p w14:paraId="75D1A8DF" w14:textId="1CC4D941" w:rsidR="00735909" w:rsidRPr="00980BBE" w:rsidRDefault="00735909" w:rsidP="001D2D05">
      <w:pPr>
        <w:numPr>
          <w:ilvl w:val="0"/>
          <w:numId w:val="45"/>
        </w:numPr>
        <w:spacing w:line="360" w:lineRule="auto"/>
        <w:rPr>
          <w:rFonts w:ascii="Arial" w:hAnsi="Arial" w:cs="Arial"/>
          <w:sz w:val="22"/>
          <w:szCs w:val="22"/>
        </w:rPr>
      </w:pPr>
      <w:r w:rsidRPr="00980BBE">
        <w:rPr>
          <w:rFonts w:ascii="Arial" w:hAnsi="Arial" w:cs="Arial"/>
          <w:b/>
          <w:bCs/>
          <w:sz w:val="22"/>
          <w:szCs w:val="22"/>
        </w:rPr>
        <w:t>Minimum Unit Pricing (MUP):</w:t>
      </w:r>
      <w:r w:rsidRPr="00980BBE">
        <w:rPr>
          <w:rFonts w:ascii="Arial" w:hAnsi="Arial" w:cs="Arial"/>
          <w:sz w:val="22"/>
          <w:szCs w:val="22"/>
        </w:rPr>
        <w:t xml:space="preserve"> Established in Scotland in 2018, MUP targets harmful drinking by setting a floor price per unit of alcohol. Evidence indicates reductions in heavy alcohol purchases and potential indirect benefits for dementia prevention </w:t>
      </w:r>
      <w:r w:rsidR="00E41C2C" w:rsidRPr="00980BBE">
        <w:rPr>
          <w:rFonts w:ascii="Arial" w:hAnsi="Arial" w:cs="Arial"/>
          <w:sz w:val="22"/>
          <w:szCs w:val="22"/>
        </w:rPr>
        <w:t>(Beeston et al., 2020)</w:t>
      </w:r>
      <w:r w:rsidR="00AC0D9E" w:rsidRPr="00980BBE">
        <w:rPr>
          <w:rFonts w:ascii="Arial" w:hAnsi="Arial" w:cs="Arial"/>
          <w:sz w:val="22"/>
          <w:szCs w:val="22"/>
        </w:rPr>
        <w:t>.</w:t>
      </w:r>
    </w:p>
    <w:p w14:paraId="07485E9D" w14:textId="77777777" w:rsidR="00735909" w:rsidRPr="00980BBE" w:rsidRDefault="00735909" w:rsidP="001D2D05">
      <w:pPr>
        <w:numPr>
          <w:ilvl w:val="0"/>
          <w:numId w:val="45"/>
        </w:numPr>
        <w:spacing w:line="360" w:lineRule="auto"/>
        <w:rPr>
          <w:rFonts w:ascii="Arial" w:hAnsi="Arial" w:cs="Arial"/>
          <w:sz w:val="22"/>
          <w:szCs w:val="22"/>
        </w:rPr>
      </w:pPr>
      <w:r w:rsidRPr="00980BBE">
        <w:rPr>
          <w:rFonts w:ascii="Arial" w:hAnsi="Arial" w:cs="Arial"/>
          <w:b/>
          <w:bCs/>
          <w:sz w:val="22"/>
          <w:szCs w:val="22"/>
        </w:rPr>
        <w:t>UK Public Health Outcomes Framework:</w:t>
      </w:r>
      <w:r w:rsidRPr="00980BBE">
        <w:rPr>
          <w:rFonts w:ascii="Arial" w:hAnsi="Arial" w:cs="Arial"/>
          <w:sz w:val="22"/>
          <w:szCs w:val="22"/>
        </w:rPr>
        <w:t xml:space="preserve"> Includes objectives to reduce lifestyle-related risk factors, improve early detection, and support community-based interventions. However, evaluations rarely include cognitive health metrics specific to YOD (NHS England, 2019).</w:t>
      </w:r>
    </w:p>
    <w:p w14:paraId="130BF465" w14:textId="39E83A31" w:rsidR="00547CEE" w:rsidRPr="00980BBE" w:rsidRDefault="009E0D05" w:rsidP="001D2D05">
      <w:pPr>
        <w:numPr>
          <w:ilvl w:val="0"/>
          <w:numId w:val="45"/>
        </w:numPr>
        <w:spacing w:line="360" w:lineRule="auto"/>
        <w:rPr>
          <w:rFonts w:ascii="Arial" w:hAnsi="Arial" w:cs="Arial"/>
          <w:b/>
          <w:bCs/>
          <w:sz w:val="22"/>
          <w:szCs w:val="22"/>
          <w:u w:val="single"/>
        </w:rPr>
      </w:pPr>
      <w:r w:rsidRPr="00980BBE">
        <w:rPr>
          <w:rFonts w:ascii="Arial" w:hAnsi="Arial" w:cs="Arial"/>
          <w:b/>
          <w:bCs/>
          <w:sz w:val="22"/>
          <w:szCs w:val="22"/>
        </w:rPr>
        <w:t>According to the research</w:t>
      </w:r>
      <w:r w:rsidR="00B03442" w:rsidRPr="00980BBE">
        <w:rPr>
          <w:rFonts w:ascii="Arial" w:hAnsi="Arial" w:cs="Arial"/>
          <w:b/>
          <w:bCs/>
          <w:sz w:val="22"/>
          <w:szCs w:val="22"/>
        </w:rPr>
        <w:t xml:space="preserve">  (Chowdhary et al., 2022) </w:t>
      </w:r>
      <w:r w:rsidR="00735909" w:rsidRPr="00980BBE">
        <w:rPr>
          <w:rFonts w:ascii="Arial" w:hAnsi="Arial" w:cs="Arial"/>
          <w:sz w:val="22"/>
          <w:szCs w:val="22"/>
        </w:rPr>
        <w:t>Advocates a life-course approach to prevention, integrating population-level interventions, community support, education, and early detection, with recognition of social determinants of health</w:t>
      </w:r>
      <w:r w:rsidR="00B03442" w:rsidRPr="00980BBE">
        <w:rPr>
          <w:rFonts w:ascii="Arial" w:hAnsi="Arial" w:cs="Arial"/>
          <w:sz w:val="22"/>
          <w:szCs w:val="22"/>
        </w:rPr>
        <w:t>.</w:t>
      </w:r>
    </w:p>
    <w:p w14:paraId="1E2BDE21" w14:textId="51F7307C" w:rsidR="00735909" w:rsidRPr="00980BBE" w:rsidRDefault="00735909" w:rsidP="001D2D05">
      <w:pPr>
        <w:spacing w:line="360" w:lineRule="auto"/>
        <w:ind w:left="720"/>
        <w:rPr>
          <w:rFonts w:ascii="Arial" w:hAnsi="Arial" w:cs="Arial"/>
          <w:b/>
          <w:bCs/>
          <w:sz w:val="22"/>
          <w:szCs w:val="22"/>
          <w:u w:val="single"/>
        </w:rPr>
      </w:pPr>
      <w:r w:rsidRPr="00980BBE">
        <w:rPr>
          <w:rFonts w:ascii="Arial" w:hAnsi="Arial" w:cs="Arial"/>
          <w:b/>
          <w:bCs/>
          <w:sz w:val="22"/>
          <w:szCs w:val="22"/>
          <w:u w:val="single"/>
        </w:rPr>
        <w:t>Limitations of current policies include:</w:t>
      </w:r>
    </w:p>
    <w:p w14:paraId="13F54C11" w14:textId="77777777" w:rsidR="00735909" w:rsidRPr="00980BBE" w:rsidRDefault="00735909" w:rsidP="001D2D05">
      <w:pPr>
        <w:numPr>
          <w:ilvl w:val="0"/>
          <w:numId w:val="46"/>
        </w:numPr>
        <w:spacing w:line="360" w:lineRule="auto"/>
        <w:rPr>
          <w:rFonts w:ascii="Arial" w:hAnsi="Arial" w:cs="Arial"/>
          <w:sz w:val="22"/>
          <w:szCs w:val="22"/>
        </w:rPr>
      </w:pPr>
      <w:r w:rsidRPr="00980BBE">
        <w:rPr>
          <w:rFonts w:ascii="Arial" w:hAnsi="Arial" w:cs="Arial"/>
          <w:sz w:val="22"/>
          <w:szCs w:val="22"/>
        </w:rPr>
        <w:t>Focus on general alcohol-related harm rather than cognitive outcomes.</w:t>
      </w:r>
    </w:p>
    <w:p w14:paraId="4473E4DE" w14:textId="77777777" w:rsidR="00735909" w:rsidRPr="00980BBE" w:rsidRDefault="00735909" w:rsidP="001D2D05">
      <w:pPr>
        <w:numPr>
          <w:ilvl w:val="0"/>
          <w:numId w:val="46"/>
        </w:numPr>
        <w:spacing w:line="360" w:lineRule="auto"/>
        <w:rPr>
          <w:rFonts w:ascii="Arial" w:hAnsi="Arial" w:cs="Arial"/>
          <w:sz w:val="22"/>
          <w:szCs w:val="22"/>
        </w:rPr>
      </w:pPr>
      <w:r w:rsidRPr="00980BBE">
        <w:rPr>
          <w:rFonts w:ascii="Arial" w:hAnsi="Arial" w:cs="Arial"/>
          <w:sz w:val="22"/>
          <w:szCs w:val="22"/>
        </w:rPr>
        <w:lastRenderedPageBreak/>
        <w:t>Insufficient integration of socioeconomic factors and community-specific interventions.</w:t>
      </w:r>
    </w:p>
    <w:p w14:paraId="2D1FF76F" w14:textId="77777777" w:rsidR="00735909" w:rsidRPr="00980BBE" w:rsidRDefault="00735909" w:rsidP="001D2D05">
      <w:pPr>
        <w:numPr>
          <w:ilvl w:val="0"/>
          <w:numId w:val="46"/>
        </w:numPr>
        <w:spacing w:line="360" w:lineRule="auto"/>
        <w:rPr>
          <w:rFonts w:ascii="Arial" w:hAnsi="Arial" w:cs="Arial"/>
          <w:sz w:val="22"/>
          <w:szCs w:val="22"/>
        </w:rPr>
      </w:pPr>
      <w:r w:rsidRPr="00980BBE">
        <w:rPr>
          <w:rFonts w:ascii="Arial" w:hAnsi="Arial" w:cs="Arial"/>
          <w:sz w:val="22"/>
          <w:szCs w:val="22"/>
        </w:rPr>
        <w:t>Limited longitudinal evaluation linking policy measures to reductions in YOD incidence.</w:t>
      </w:r>
    </w:p>
    <w:p w14:paraId="3E642E8C" w14:textId="77777777"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Future policies should incorporate cognitive endpoints, target high-risk populations, and integrate lifestyle, social, and structural interventions to maximise preventive impact.</w:t>
      </w:r>
    </w:p>
    <w:p w14:paraId="3FF24D6D" w14:textId="6436AB63" w:rsidR="00735909" w:rsidRPr="00266F7A" w:rsidRDefault="00735909" w:rsidP="001D2D05">
      <w:pPr>
        <w:spacing w:line="360" w:lineRule="auto"/>
        <w:rPr>
          <w:rFonts w:ascii="Arial" w:hAnsi="Arial" w:cs="Arial"/>
          <w:b/>
          <w:bCs/>
          <w:sz w:val="28"/>
          <w:szCs w:val="28"/>
          <w:u w:val="single"/>
        </w:rPr>
      </w:pPr>
      <w:bookmarkStart w:id="62" w:name="_Toc225966655"/>
      <w:r w:rsidRPr="00266F7A">
        <w:rPr>
          <w:rStyle w:val="Heading1Char"/>
          <w:rFonts w:ascii="Arial" w:hAnsi="Arial" w:cs="Arial"/>
          <w:b/>
          <w:bCs/>
          <w:color w:val="auto"/>
          <w:sz w:val="28"/>
          <w:szCs w:val="28"/>
          <w:u w:val="single"/>
        </w:rPr>
        <w:t>Positive Implications</w:t>
      </w:r>
      <w:bookmarkEnd w:id="62"/>
    </w:p>
    <w:p w14:paraId="79E1282F" w14:textId="6A98EABD" w:rsidR="009F4403" w:rsidRPr="00980BBE" w:rsidRDefault="00E415D8" w:rsidP="001D2D05">
      <w:pPr>
        <w:spacing w:line="360" w:lineRule="auto"/>
        <w:rPr>
          <w:rFonts w:ascii="Arial" w:hAnsi="Arial" w:cs="Arial"/>
          <w:sz w:val="22"/>
          <w:szCs w:val="22"/>
        </w:rPr>
      </w:pPr>
      <w:r w:rsidRPr="00980BBE">
        <w:rPr>
          <w:rFonts w:ascii="Arial" w:hAnsi="Arial" w:cs="Arial"/>
          <w:sz w:val="22"/>
          <w:szCs w:val="22"/>
        </w:rPr>
        <w:t>Population-level interventions such as minimum unit pricing and educational campaigns</w:t>
      </w:r>
      <w:r w:rsidR="00113C79" w:rsidRPr="00980BBE">
        <w:rPr>
          <w:rFonts w:ascii="Arial" w:hAnsi="Arial" w:cs="Arial"/>
          <w:sz w:val="22"/>
          <w:szCs w:val="22"/>
        </w:rPr>
        <w:t xml:space="preserve"> can reduce exposure to </w:t>
      </w:r>
      <w:r w:rsidR="009F4403" w:rsidRPr="00980BBE">
        <w:rPr>
          <w:rFonts w:ascii="Arial" w:hAnsi="Arial" w:cs="Arial"/>
          <w:sz w:val="22"/>
          <w:szCs w:val="22"/>
        </w:rPr>
        <w:t xml:space="preserve">modifiable risk factors and </w:t>
      </w:r>
      <w:r w:rsidR="00113C79" w:rsidRPr="00980BBE">
        <w:rPr>
          <w:rFonts w:ascii="Arial" w:hAnsi="Arial" w:cs="Arial"/>
          <w:sz w:val="22"/>
          <w:szCs w:val="22"/>
        </w:rPr>
        <w:t>potentially delay</w:t>
      </w:r>
      <w:r w:rsidR="00536B3E" w:rsidRPr="00980BBE">
        <w:rPr>
          <w:rFonts w:ascii="Arial" w:hAnsi="Arial" w:cs="Arial"/>
          <w:sz w:val="22"/>
          <w:szCs w:val="22"/>
        </w:rPr>
        <w:t xml:space="preserve"> the onset of dementia </w:t>
      </w:r>
      <w:r w:rsidR="009F4403" w:rsidRPr="00980BBE">
        <w:rPr>
          <w:rFonts w:ascii="Arial" w:hAnsi="Arial" w:cs="Arial"/>
          <w:sz w:val="22"/>
          <w:szCs w:val="22"/>
        </w:rPr>
        <w:t>(Walsh et al., 2024). Furthermore, community</w:t>
      </w:r>
      <w:r w:rsidR="00536B3E" w:rsidRPr="00980BBE">
        <w:rPr>
          <w:rFonts w:ascii="Arial" w:hAnsi="Arial" w:cs="Arial"/>
          <w:sz w:val="22"/>
          <w:szCs w:val="22"/>
        </w:rPr>
        <w:t>-based</w:t>
      </w:r>
      <w:r w:rsidRPr="00980BBE">
        <w:rPr>
          <w:rFonts w:ascii="Arial" w:hAnsi="Arial" w:cs="Arial"/>
          <w:sz w:val="22"/>
          <w:szCs w:val="22"/>
        </w:rPr>
        <w:t xml:space="preserve"> </w:t>
      </w:r>
      <w:r w:rsidR="009F4403" w:rsidRPr="00980BBE">
        <w:rPr>
          <w:rFonts w:ascii="Arial" w:hAnsi="Arial" w:cs="Arial"/>
          <w:sz w:val="22"/>
          <w:szCs w:val="22"/>
        </w:rPr>
        <w:t xml:space="preserve"> support programs and early detection </w:t>
      </w:r>
      <w:r w:rsidRPr="00980BBE">
        <w:rPr>
          <w:rFonts w:ascii="Arial" w:hAnsi="Arial" w:cs="Arial"/>
          <w:sz w:val="22"/>
          <w:szCs w:val="22"/>
        </w:rPr>
        <w:t xml:space="preserve">initiatives </w:t>
      </w:r>
      <w:r w:rsidR="009F4403" w:rsidRPr="00980BBE">
        <w:rPr>
          <w:rFonts w:ascii="Arial" w:hAnsi="Arial" w:cs="Arial"/>
          <w:sz w:val="22"/>
          <w:szCs w:val="22"/>
        </w:rPr>
        <w:t xml:space="preserve">can </w:t>
      </w:r>
      <w:r w:rsidRPr="00980BBE">
        <w:rPr>
          <w:rFonts w:ascii="Arial" w:hAnsi="Arial" w:cs="Arial"/>
          <w:sz w:val="22"/>
          <w:szCs w:val="22"/>
        </w:rPr>
        <w:t xml:space="preserve">improve </w:t>
      </w:r>
      <w:r w:rsidR="009F4403" w:rsidRPr="00980BBE">
        <w:rPr>
          <w:rFonts w:ascii="Arial" w:hAnsi="Arial" w:cs="Arial"/>
          <w:sz w:val="22"/>
          <w:szCs w:val="22"/>
        </w:rPr>
        <w:t xml:space="preserve">patient outcomes, </w:t>
      </w:r>
      <w:r w:rsidRPr="00980BBE">
        <w:rPr>
          <w:rFonts w:ascii="Arial" w:hAnsi="Arial" w:cs="Arial"/>
          <w:sz w:val="22"/>
          <w:szCs w:val="22"/>
        </w:rPr>
        <w:t xml:space="preserve">alleviate caregiver </w:t>
      </w:r>
      <w:r w:rsidR="00067C2B" w:rsidRPr="00980BBE">
        <w:rPr>
          <w:rFonts w:ascii="Arial" w:hAnsi="Arial" w:cs="Arial"/>
          <w:sz w:val="22"/>
          <w:szCs w:val="22"/>
        </w:rPr>
        <w:t xml:space="preserve">burden, and promote greater </w:t>
      </w:r>
      <w:r w:rsidR="004B43A8" w:rsidRPr="00980BBE">
        <w:rPr>
          <w:rFonts w:ascii="Arial" w:hAnsi="Arial" w:cs="Arial"/>
          <w:sz w:val="22"/>
          <w:szCs w:val="22"/>
        </w:rPr>
        <w:t xml:space="preserve">health </w:t>
      </w:r>
      <w:r w:rsidR="009F4403" w:rsidRPr="00980BBE">
        <w:rPr>
          <w:rFonts w:ascii="Arial" w:hAnsi="Arial" w:cs="Arial"/>
          <w:sz w:val="22"/>
          <w:szCs w:val="22"/>
        </w:rPr>
        <w:t>equity (World Health Organization, 2017b).</w:t>
      </w:r>
    </w:p>
    <w:p w14:paraId="5B41D0A5" w14:textId="2059E117" w:rsidR="00735909" w:rsidRPr="00266F7A" w:rsidRDefault="00735909" w:rsidP="005B349C">
      <w:pPr>
        <w:pStyle w:val="Heading1"/>
        <w:rPr>
          <w:rFonts w:ascii="Arial" w:hAnsi="Arial" w:cs="Arial"/>
          <w:b/>
          <w:bCs/>
          <w:color w:val="auto"/>
          <w:sz w:val="28"/>
          <w:szCs w:val="28"/>
          <w:u w:val="single"/>
        </w:rPr>
      </w:pPr>
      <w:bookmarkStart w:id="63" w:name="_Toc225966656"/>
      <w:r w:rsidRPr="00266F7A">
        <w:rPr>
          <w:rFonts w:ascii="Arial" w:hAnsi="Arial" w:cs="Arial"/>
          <w:b/>
          <w:bCs/>
          <w:color w:val="auto"/>
          <w:sz w:val="28"/>
          <w:szCs w:val="28"/>
          <w:u w:val="single"/>
        </w:rPr>
        <w:t>Negative Implications</w:t>
      </w:r>
      <w:bookmarkEnd w:id="63"/>
    </w:p>
    <w:p w14:paraId="521C2B2A" w14:textId="3C2B0CD1" w:rsidR="00BB7A34" w:rsidRPr="00980BBE" w:rsidRDefault="00BB7A34" w:rsidP="001D2D05">
      <w:pPr>
        <w:spacing w:line="360" w:lineRule="auto"/>
        <w:rPr>
          <w:rFonts w:ascii="Arial" w:hAnsi="Arial" w:cs="Arial"/>
          <w:sz w:val="22"/>
          <w:szCs w:val="22"/>
        </w:rPr>
      </w:pPr>
      <w:r w:rsidRPr="00980BBE">
        <w:rPr>
          <w:rFonts w:ascii="Arial" w:hAnsi="Arial" w:cs="Arial"/>
          <w:sz w:val="22"/>
          <w:szCs w:val="22"/>
        </w:rPr>
        <w:t xml:space="preserve">The </w:t>
      </w:r>
      <w:r w:rsidR="004B43A8" w:rsidRPr="00980BBE">
        <w:rPr>
          <w:rFonts w:ascii="Arial" w:hAnsi="Arial" w:cs="Arial"/>
          <w:sz w:val="22"/>
          <w:szCs w:val="22"/>
        </w:rPr>
        <w:t>intersection</w:t>
      </w:r>
      <w:r w:rsidRPr="00980BBE">
        <w:rPr>
          <w:rFonts w:ascii="Arial" w:hAnsi="Arial" w:cs="Arial"/>
          <w:sz w:val="22"/>
          <w:szCs w:val="22"/>
        </w:rPr>
        <w:t xml:space="preserve"> of lifestyle </w:t>
      </w:r>
      <w:r w:rsidR="00857383" w:rsidRPr="00980BBE">
        <w:rPr>
          <w:rFonts w:ascii="Arial" w:hAnsi="Arial" w:cs="Arial"/>
          <w:sz w:val="22"/>
          <w:szCs w:val="22"/>
        </w:rPr>
        <w:t>factors</w:t>
      </w:r>
      <w:r w:rsidRPr="00980BBE">
        <w:rPr>
          <w:rFonts w:ascii="Arial" w:hAnsi="Arial" w:cs="Arial"/>
          <w:sz w:val="22"/>
          <w:szCs w:val="22"/>
        </w:rPr>
        <w:t xml:space="preserve">, cognitive decline, and socioeconomic deprivation is frequently </w:t>
      </w:r>
      <w:r w:rsidR="00857383" w:rsidRPr="00980BBE">
        <w:rPr>
          <w:rFonts w:ascii="Arial" w:hAnsi="Arial" w:cs="Arial"/>
          <w:sz w:val="22"/>
          <w:szCs w:val="22"/>
        </w:rPr>
        <w:t>overlooked in policy frameworks</w:t>
      </w:r>
      <w:r w:rsidR="002E2F32" w:rsidRPr="00980BBE">
        <w:rPr>
          <w:rFonts w:ascii="Arial" w:hAnsi="Arial" w:cs="Arial"/>
          <w:sz w:val="22"/>
          <w:szCs w:val="22"/>
        </w:rPr>
        <w:t xml:space="preserve">, potentially limiting their effectiveness for </w:t>
      </w:r>
      <w:r w:rsidR="0020390D" w:rsidRPr="00980BBE">
        <w:rPr>
          <w:rFonts w:ascii="Arial" w:hAnsi="Arial" w:cs="Arial"/>
          <w:sz w:val="22"/>
          <w:szCs w:val="22"/>
        </w:rPr>
        <w:t xml:space="preserve">high-risk </w:t>
      </w:r>
      <w:r w:rsidRPr="00980BBE">
        <w:rPr>
          <w:rFonts w:ascii="Arial" w:hAnsi="Arial" w:cs="Arial"/>
          <w:sz w:val="22"/>
          <w:szCs w:val="22"/>
        </w:rPr>
        <w:t xml:space="preserve">populations (Mellinger et al., 2018). Furthermore, </w:t>
      </w:r>
      <w:r w:rsidR="0020390D" w:rsidRPr="00980BBE">
        <w:rPr>
          <w:rFonts w:ascii="Arial" w:hAnsi="Arial" w:cs="Arial"/>
          <w:sz w:val="22"/>
          <w:szCs w:val="22"/>
        </w:rPr>
        <w:t xml:space="preserve">implementation gaps and the absence of targeted evaluation strategies make </w:t>
      </w:r>
      <w:r w:rsidRPr="00980BBE">
        <w:rPr>
          <w:rFonts w:ascii="Arial" w:hAnsi="Arial" w:cs="Arial"/>
          <w:sz w:val="22"/>
          <w:szCs w:val="22"/>
        </w:rPr>
        <w:t xml:space="preserve">it </w:t>
      </w:r>
      <w:r w:rsidR="00030D33" w:rsidRPr="00980BBE">
        <w:rPr>
          <w:rFonts w:ascii="Arial" w:hAnsi="Arial" w:cs="Arial"/>
          <w:sz w:val="22"/>
          <w:szCs w:val="22"/>
        </w:rPr>
        <w:t>difficult to quantify the long-term co</w:t>
      </w:r>
      <w:r w:rsidR="0034610A" w:rsidRPr="00980BBE">
        <w:rPr>
          <w:rFonts w:ascii="Arial" w:hAnsi="Arial" w:cs="Arial"/>
          <w:sz w:val="22"/>
          <w:szCs w:val="22"/>
        </w:rPr>
        <w:t xml:space="preserve">gnitive impacts of these interventions. </w:t>
      </w:r>
    </w:p>
    <w:p w14:paraId="0B7BAB17" w14:textId="478B20ED" w:rsidR="00735909" w:rsidRPr="00980BBE" w:rsidRDefault="0034610A" w:rsidP="001D2D05">
      <w:pPr>
        <w:spacing w:line="360" w:lineRule="auto"/>
        <w:rPr>
          <w:rFonts w:ascii="Arial" w:hAnsi="Arial" w:cs="Arial"/>
          <w:sz w:val="22"/>
          <w:szCs w:val="22"/>
        </w:rPr>
      </w:pPr>
      <w:r w:rsidRPr="00980BBE">
        <w:rPr>
          <w:rFonts w:ascii="Arial" w:hAnsi="Arial" w:cs="Arial"/>
          <w:sz w:val="22"/>
          <w:szCs w:val="22"/>
        </w:rPr>
        <w:t>Consequently, e</w:t>
      </w:r>
      <w:r w:rsidR="00735909" w:rsidRPr="00980BBE">
        <w:rPr>
          <w:rFonts w:ascii="Arial" w:hAnsi="Arial" w:cs="Arial"/>
          <w:sz w:val="22"/>
          <w:szCs w:val="22"/>
        </w:rPr>
        <w:t xml:space="preserve">ffective public health policy must </w:t>
      </w:r>
      <w:r w:rsidRPr="00980BBE">
        <w:rPr>
          <w:rFonts w:ascii="Arial" w:hAnsi="Arial" w:cs="Arial"/>
          <w:sz w:val="22"/>
          <w:szCs w:val="22"/>
        </w:rPr>
        <w:t xml:space="preserve">integrate </w:t>
      </w:r>
      <w:r w:rsidR="00735909" w:rsidRPr="00980BBE">
        <w:rPr>
          <w:rFonts w:ascii="Arial" w:hAnsi="Arial" w:cs="Arial"/>
          <w:sz w:val="22"/>
          <w:szCs w:val="22"/>
        </w:rPr>
        <w:t>regulatory measures, community</w:t>
      </w:r>
      <w:r w:rsidRPr="00980BBE">
        <w:rPr>
          <w:rFonts w:ascii="Arial" w:hAnsi="Arial" w:cs="Arial"/>
          <w:sz w:val="22"/>
          <w:szCs w:val="22"/>
        </w:rPr>
        <w:t>-based</w:t>
      </w:r>
      <w:r w:rsidR="00735909" w:rsidRPr="00980BBE">
        <w:rPr>
          <w:rFonts w:ascii="Arial" w:hAnsi="Arial" w:cs="Arial"/>
          <w:sz w:val="22"/>
          <w:szCs w:val="22"/>
        </w:rPr>
        <w:t xml:space="preserve"> interventions, and research-informed evaluation </w:t>
      </w:r>
      <w:r w:rsidRPr="00980BBE">
        <w:rPr>
          <w:rFonts w:ascii="Arial" w:hAnsi="Arial" w:cs="Arial"/>
          <w:sz w:val="22"/>
          <w:szCs w:val="22"/>
        </w:rPr>
        <w:t>frameworks</w:t>
      </w:r>
      <w:r w:rsidR="008A01C0" w:rsidRPr="00980BBE">
        <w:rPr>
          <w:rFonts w:ascii="Arial" w:hAnsi="Arial" w:cs="Arial"/>
          <w:sz w:val="22"/>
          <w:szCs w:val="22"/>
        </w:rPr>
        <w:t xml:space="preserve"> </w:t>
      </w:r>
      <w:r w:rsidR="00735909" w:rsidRPr="00980BBE">
        <w:rPr>
          <w:rFonts w:ascii="Arial" w:hAnsi="Arial" w:cs="Arial"/>
          <w:sz w:val="22"/>
          <w:szCs w:val="22"/>
        </w:rPr>
        <w:t>to achieve meaningful reductions in YOD.</w:t>
      </w:r>
    </w:p>
    <w:p w14:paraId="225F5983" w14:textId="77777777" w:rsidR="00735909" w:rsidRPr="00266F7A" w:rsidRDefault="00735909" w:rsidP="005B349C">
      <w:pPr>
        <w:pStyle w:val="Heading1"/>
        <w:rPr>
          <w:rFonts w:ascii="Arial" w:hAnsi="Arial" w:cs="Arial"/>
          <w:b/>
          <w:bCs/>
          <w:color w:val="auto"/>
          <w:sz w:val="28"/>
          <w:szCs w:val="28"/>
          <w:u w:val="single"/>
        </w:rPr>
      </w:pPr>
      <w:bookmarkStart w:id="64" w:name="_Toc225966657"/>
      <w:r w:rsidRPr="00266F7A">
        <w:rPr>
          <w:rFonts w:ascii="Arial" w:hAnsi="Arial" w:cs="Arial"/>
          <w:b/>
          <w:bCs/>
          <w:color w:val="auto"/>
          <w:sz w:val="28"/>
          <w:szCs w:val="28"/>
          <w:u w:val="single"/>
        </w:rPr>
        <w:t>Literature Examples</w:t>
      </w:r>
      <w:bookmarkEnd w:id="64"/>
    </w:p>
    <w:p w14:paraId="3EF9CD5B" w14:textId="77777777" w:rsidR="00735909" w:rsidRPr="00980BBE" w:rsidRDefault="00735909" w:rsidP="001D2D05">
      <w:pPr>
        <w:spacing w:line="360" w:lineRule="auto"/>
        <w:rPr>
          <w:rFonts w:ascii="Arial" w:hAnsi="Arial" w:cs="Arial"/>
          <w:b/>
          <w:bCs/>
          <w:sz w:val="22"/>
          <w:szCs w:val="22"/>
          <w:u w:val="single"/>
        </w:rPr>
      </w:pPr>
      <w:r w:rsidRPr="00980BBE">
        <w:rPr>
          <w:rFonts w:ascii="Arial" w:hAnsi="Arial" w:cs="Arial"/>
          <w:b/>
          <w:bCs/>
          <w:sz w:val="22"/>
          <w:szCs w:val="22"/>
          <w:u w:val="single"/>
        </w:rPr>
        <w:t>Studies supporting this theme include:</w:t>
      </w:r>
    </w:p>
    <w:p w14:paraId="104802F0" w14:textId="7759140E" w:rsidR="00735909" w:rsidRPr="00980BBE" w:rsidRDefault="006E6A33" w:rsidP="001D2D05">
      <w:pPr>
        <w:numPr>
          <w:ilvl w:val="0"/>
          <w:numId w:val="49"/>
        </w:numPr>
        <w:spacing w:line="360" w:lineRule="auto"/>
        <w:rPr>
          <w:rFonts w:ascii="Arial" w:hAnsi="Arial" w:cs="Arial"/>
          <w:sz w:val="22"/>
          <w:szCs w:val="22"/>
        </w:rPr>
      </w:pPr>
      <w:r w:rsidRPr="00980BBE">
        <w:rPr>
          <w:rFonts w:ascii="Arial" w:hAnsi="Arial" w:cs="Arial"/>
          <w:sz w:val="22"/>
          <w:szCs w:val="22"/>
        </w:rPr>
        <w:t xml:space="preserve">According to </w:t>
      </w:r>
      <w:r w:rsidR="00422664" w:rsidRPr="00980BBE">
        <w:rPr>
          <w:rFonts w:ascii="Arial" w:hAnsi="Arial" w:cs="Arial"/>
          <w:sz w:val="22"/>
          <w:szCs w:val="22"/>
        </w:rPr>
        <w:t>de la Monte and Tong (2025)</w:t>
      </w:r>
      <w:r w:rsidRPr="00980BBE">
        <w:rPr>
          <w:rFonts w:ascii="Arial" w:hAnsi="Arial" w:cs="Arial"/>
          <w:sz w:val="22"/>
          <w:szCs w:val="22"/>
        </w:rPr>
        <w:t xml:space="preserve"> </w:t>
      </w:r>
      <w:r w:rsidR="00473741" w:rsidRPr="00980BBE">
        <w:rPr>
          <w:rFonts w:ascii="Arial" w:hAnsi="Arial" w:cs="Arial"/>
          <w:sz w:val="22"/>
          <w:szCs w:val="22"/>
        </w:rPr>
        <w:t xml:space="preserve">it </w:t>
      </w:r>
      <w:r w:rsidR="00735909" w:rsidRPr="00980BBE">
        <w:rPr>
          <w:rFonts w:ascii="Arial" w:hAnsi="Arial" w:cs="Arial"/>
          <w:sz w:val="22"/>
          <w:szCs w:val="22"/>
        </w:rPr>
        <w:t>demonstrated the effectiveness of MUP in reducing harmful alcohol consumption, highlighting its potential to indirectly prevent ARBD-related YOD.</w:t>
      </w:r>
    </w:p>
    <w:p w14:paraId="35A573BA" w14:textId="5ED2BAC9" w:rsidR="00735909" w:rsidRPr="00980BBE" w:rsidRDefault="002B1D3E" w:rsidP="001D2D05">
      <w:pPr>
        <w:numPr>
          <w:ilvl w:val="0"/>
          <w:numId w:val="49"/>
        </w:numPr>
        <w:spacing w:line="360" w:lineRule="auto"/>
        <w:rPr>
          <w:rFonts w:ascii="Arial" w:hAnsi="Arial" w:cs="Arial"/>
          <w:sz w:val="22"/>
          <w:szCs w:val="22"/>
        </w:rPr>
      </w:pPr>
      <w:r w:rsidRPr="00980BBE">
        <w:rPr>
          <w:rFonts w:ascii="Arial" w:hAnsi="Arial" w:cs="Arial"/>
          <w:sz w:val="22"/>
          <w:szCs w:val="22"/>
        </w:rPr>
        <w:t>W</w:t>
      </w:r>
      <w:r w:rsidR="00B7133C" w:rsidRPr="00980BBE">
        <w:rPr>
          <w:rFonts w:ascii="Arial" w:hAnsi="Arial" w:cs="Arial"/>
          <w:sz w:val="22"/>
          <w:szCs w:val="22"/>
        </w:rPr>
        <w:t>orld Health Organisation</w:t>
      </w:r>
      <w:r w:rsidR="00735909" w:rsidRPr="00980BBE">
        <w:rPr>
          <w:rFonts w:ascii="Arial" w:hAnsi="Arial" w:cs="Arial"/>
          <w:sz w:val="22"/>
          <w:szCs w:val="22"/>
        </w:rPr>
        <w:t xml:space="preserve"> (2017a; 2017c) provided a comprehensive framework for dementia prevention through population-level interventions, emphasizing the role of early detection, lifestyle modification, and addressing social determinants.</w:t>
      </w:r>
    </w:p>
    <w:p w14:paraId="27556570" w14:textId="089B947E" w:rsidR="00735909" w:rsidRPr="00980BBE" w:rsidRDefault="00735909" w:rsidP="001D2D05">
      <w:pPr>
        <w:numPr>
          <w:ilvl w:val="0"/>
          <w:numId w:val="49"/>
        </w:numPr>
        <w:spacing w:line="360" w:lineRule="auto"/>
        <w:rPr>
          <w:rFonts w:ascii="Arial" w:hAnsi="Arial" w:cs="Arial"/>
          <w:sz w:val="22"/>
          <w:szCs w:val="22"/>
        </w:rPr>
      </w:pPr>
      <w:r w:rsidRPr="00980BBE">
        <w:rPr>
          <w:rFonts w:ascii="Arial" w:hAnsi="Arial" w:cs="Arial"/>
          <w:sz w:val="22"/>
          <w:szCs w:val="22"/>
        </w:rPr>
        <w:lastRenderedPageBreak/>
        <w:t xml:space="preserve"> </w:t>
      </w:r>
      <w:r w:rsidR="0005171E" w:rsidRPr="00980BBE">
        <w:rPr>
          <w:rFonts w:ascii="Arial" w:hAnsi="Arial" w:cs="Arial"/>
          <w:sz w:val="22"/>
          <w:szCs w:val="22"/>
        </w:rPr>
        <w:t xml:space="preserve">According to research </w:t>
      </w:r>
      <w:r w:rsidR="009F027A" w:rsidRPr="00980BBE">
        <w:rPr>
          <w:rFonts w:ascii="Arial" w:hAnsi="Arial" w:cs="Arial"/>
          <w:sz w:val="22"/>
          <w:szCs w:val="22"/>
        </w:rPr>
        <w:t xml:space="preserve">(Manca, 2024) </w:t>
      </w:r>
      <w:r w:rsidRPr="00980BBE">
        <w:rPr>
          <w:rFonts w:ascii="Arial" w:hAnsi="Arial" w:cs="Arial"/>
          <w:sz w:val="22"/>
          <w:szCs w:val="22"/>
        </w:rPr>
        <w:t>evaluated MUP policies, noting reductions in alcohol purchases among heavy drinkers and advocating for integration with cognitive health outcomes.</w:t>
      </w:r>
    </w:p>
    <w:p w14:paraId="12213C60" w14:textId="263F7727" w:rsidR="00735909" w:rsidRPr="00980BBE" w:rsidRDefault="00077332" w:rsidP="001D2D05">
      <w:pPr>
        <w:numPr>
          <w:ilvl w:val="0"/>
          <w:numId w:val="49"/>
        </w:numPr>
        <w:spacing w:line="360" w:lineRule="auto"/>
        <w:rPr>
          <w:rFonts w:ascii="Arial" w:hAnsi="Arial" w:cs="Arial"/>
          <w:sz w:val="22"/>
          <w:szCs w:val="22"/>
        </w:rPr>
      </w:pPr>
      <w:r w:rsidRPr="00980BBE">
        <w:rPr>
          <w:rFonts w:ascii="Arial" w:hAnsi="Arial" w:cs="Arial"/>
          <w:sz w:val="22"/>
          <w:szCs w:val="22"/>
        </w:rPr>
        <w:t xml:space="preserve">According to </w:t>
      </w:r>
      <w:r w:rsidR="00385C9A" w:rsidRPr="00980BBE">
        <w:rPr>
          <w:rFonts w:ascii="Arial" w:hAnsi="Arial" w:cs="Arial"/>
          <w:sz w:val="22"/>
          <w:szCs w:val="22"/>
        </w:rPr>
        <w:t xml:space="preserve">Hayre et al., </w:t>
      </w:r>
      <w:r w:rsidRPr="00980BBE">
        <w:rPr>
          <w:rFonts w:ascii="Arial" w:hAnsi="Arial" w:cs="Arial"/>
          <w:sz w:val="22"/>
          <w:szCs w:val="22"/>
        </w:rPr>
        <w:t>(</w:t>
      </w:r>
      <w:r w:rsidR="00385C9A" w:rsidRPr="00980BBE">
        <w:rPr>
          <w:rFonts w:ascii="Arial" w:hAnsi="Arial" w:cs="Arial"/>
          <w:sz w:val="22"/>
          <w:szCs w:val="22"/>
        </w:rPr>
        <w:t xml:space="preserve">2026) </w:t>
      </w:r>
      <w:r w:rsidR="00735909" w:rsidRPr="00980BBE">
        <w:rPr>
          <w:rFonts w:ascii="Arial" w:hAnsi="Arial" w:cs="Arial"/>
          <w:sz w:val="22"/>
          <w:szCs w:val="22"/>
        </w:rPr>
        <w:t>highlighted the need for targeted interventions in deprived communities to ensure equitable access and effectiveness of public health strategies.</w:t>
      </w:r>
    </w:p>
    <w:p w14:paraId="2015FBAE" w14:textId="77777777" w:rsidR="00735909" w:rsidRPr="00980BBE" w:rsidRDefault="00735909" w:rsidP="001D2D05">
      <w:pPr>
        <w:spacing w:line="360" w:lineRule="auto"/>
        <w:rPr>
          <w:rFonts w:ascii="Arial" w:hAnsi="Arial" w:cs="Arial"/>
          <w:sz w:val="22"/>
          <w:szCs w:val="22"/>
        </w:rPr>
      </w:pPr>
      <w:r w:rsidRPr="00980BBE">
        <w:rPr>
          <w:rFonts w:ascii="Arial" w:hAnsi="Arial" w:cs="Arial"/>
          <w:sz w:val="22"/>
          <w:szCs w:val="22"/>
        </w:rPr>
        <w:t>These studies underscore the critical role of policy in shaping population health behaviours and outcomes related to YOD.</w:t>
      </w:r>
    </w:p>
    <w:p w14:paraId="0664FCA9" w14:textId="77777777" w:rsidR="00735909" w:rsidRPr="00266F7A" w:rsidRDefault="00735909" w:rsidP="005B349C">
      <w:pPr>
        <w:pStyle w:val="Heading1"/>
        <w:rPr>
          <w:rFonts w:ascii="Arial" w:hAnsi="Arial" w:cs="Arial"/>
          <w:b/>
          <w:bCs/>
          <w:color w:val="auto"/>
          <w:sz w:val="28"/>
          <w:szCs w:val="28"/>
          <w:u w:val="single"/>
        </w:rPr>
      </w:pPr>
      <w:bookmarkStart w:id="65" w:name="_Toc225966658"/>
      <w:r w:rsidRPr="00266F7A">
        <w:rPr>
          <w:rFonts w:ascii="Arial" w:hAnsi="Arial" w:cs="Arial"/>
          <w:b/>
          <w:bCs/>
          <w:color w:val="auto"/>
          <w:sz w:val="28"/>
          <w:szCs w:val="28"/>
          <w:u w:val="single"/>
        </w:rPr>
        <w:t>Connections to Other Themes</w:t>
      </w:r>
      <w:bookmarkEnd w:id="65"/>
    </w:p>
    <w:p w14:paraId="4F7D499E" w14:textId="68ACD6F7" w:rsidR="00DC0299" w:rsidRPr="00980BBE" w:rsidRDefault="00E74021" w:rsidP="001D2D05">
      <w:pPr>
        <w:spacing w:line="360" w:lineRule="auto"/>
        <w:rPr>
          <w:rFonts w:ascii="Arial" w:hAnsi="Arial" w:cs="Arial"/>
          <w:sz w:val="22"/>
          <w:szCs w:val="22"/>
        </w:rPr>
      </w:pPr>
      <w:r w:rsidRPr="00980BBE">
        <w:rPr>
          <w:rFonts w:ascii="Arial" w:hAnsi="Arial" w:cs="Arial"/>
          <w:sz w:val="22"/>
          <w:szCs w:val="22"/>
        </w:rPr>
        <w:t xml:space="preserve">Public health policy interacts closely with </w:t>
      </w:r>
      <w:r w:rsidR="00DC0299" w:rsidRPr="00980BBE">
        <w:rPr>
          <w:rFonts w:ascii="Arial" w:hAnsi="Arial" w:cs="Arial"/>
          <w:sz w:val="22"/>
          <w:szCs w:val="22"/>
        </w:rPr>
        <w:t xml:space="preserve">Alcohol-Related Brain Damage (Theme 1) and Socioeconomic Deprivation (Theme 2). </w:t>
      </w:r>
      <w:r w:rsidR="00C95F0C" w:rsidRPr="00980BBE">
        <w:rPr>
          <w:rFonts w:ascii="Arial" w:hAnsi="Arial" w:cs="Arial"/>
          <w:sz w:val="22"/>
          <w:szCs w:val="22"/>
        </w:rPr>
        <w:t>B</w:t>
      </w:r>
      <w:r w:rsidRPr="00980BBE">
        <w:rPr>
          <w:rFonts w:ascii="Arial" w:hAnsi="Arial" w:cs="Arial"/>
          <w:sz w:val="22"/>
          <w:szCs w:val="22"/>
        </w:rPr>
        <w:t>y</w:t>
      </w:r>
      <w:r w:rsidR="00C95F0C" w:rsidRPr="00980BBE">
        <w:rPr>
          <w:rFonts w:ascii="Arial" w:hAnsi="Arial" w:cs="Arial"/>
          <w:sz w:val="22"/>
          <w:szCs w:val="22"/>
        </w:rPr>
        <w:t xml:space="preserve"> providing strategies to reduce modifiable risk factors, enhance early de</w:t>
      </w:r>
      <w:r w:rsidR="00A76CD7" w:rsidRPr="00980BBE">
        <w:rPr>
          <w:rFonts w:ascii="Arial" w:hAnsi="Arial" w:cs="Arial"/>
          <w:sz w:val="22"/>
          <w:szCs w:val="22"/>
        </w:rPr>
        <w:t>tection, and address structural inequalities</w:t>
      </w:r>
      <w:r w:rsidR="00126804" w:rsidRPr="00980BBE">
        <w:rPr>
          <w:rFonts w:ascii="Arial" w:hAnsi="Arial" w:cs="Arial"/>
          <w:sz w:val="22"/>
          <w:szCs w:val="22"/>
        </w:rPr>
        <w:t xml:space="preserve">. </w:t>
      </w:r>
      <w:r w:rsidR="00A76CD7" w:rsidRPr="00980BBE">
        <w:rPr>
          <w:rFonts w:ascii="Arial" w:hAnsi="Arial" w:cs="Arial"/>
          <w:sz w:val="22"/>
          <w:szCs w:val="22"/>
        </w:rPr>
        <w:t xml:space="preserve">Policies </w:t>
      </w:r>
      <w:r w:rsidR="00B72E1A" w:rsidRPr="00980BBE">
        <w:rPr>
          <w:rFonts w:ascii="Arial" w:hAnsi="Arial" w:cs="Arial"/>
          <w:sz w:val="22"/>
          <w:szCs w:val="22"/>
        </w:rPr>
        <w:t>targeting alcohol consumption, health</w:t>
      </w:r>
      <w:r w:rsidR="0066582C" w:rsidRPr="00980BBE">
        <w:rPr>
          <w:rFonts w:ascii="Arial" w:hAnsi="Arial" w:cs="Arial"/>
          <w:sz w:val="22"/>
          <w:szCs w:val="22"/>
        </w:rPr>
        <w:t xml:space="preserve"> literacy, and access to healthcare services have the potential</w:t>
      </w:r>
      <w:r w:rsidR="00F26E7C" w:rsidRPr="00980BBE">
        <w:rPr>
          <w:rFonts w:ascii="Arial" w:hAnsi="Arial" w:cs="Arial"/>
          <w:sz w:val="22"/>
          <w:szCs w:val="22"/>
        </w:rPr>
        <w:t xml:space="preserve"> to reduce the incidence of ARBD and </w:t>
      </w:r>
      <w:r w:rsidR="008D790E" w:rsidRPr="00980BBE">
        <w:rPr>
          <w:rFonts w:ascii="Arial" w:hAnsi="Arial" w:cs="Arial"/>
          <w:sz w:val="22"/>
          <w:szCs w:val="22"/>
        </w:rPr>
        <w:t>y</w:t>
      </w:r>
      <w:r w:rsidR="00F26E7C" w:rsidRPr="00980BBE">
        <w:rPr>
          <w:rFonts w:ascii="Arial" w:hAnsi="Arial" w:cs="Arial"/>
          <w:sz w:val="22"/>
          <w:szCs w:val="22"/>
        </w:rPr>
        <w:t xml:space="preserve">oung-onset </w:t>
      </w:r>
      <w:r w:rsidR="008D790E" w:rsidRPr="00980BBE">
        <w:rPr>
          <w:rFonts w:ascii="Arial" w:hAnsi="Arial" w:cs="Arial"/>
          <w:sz w:val="22"/>
          <w:szCs w:val="22"/>
        </w:rPr>
        <w:t>dementia particularly among s</w:t>
      </w:r>
      <w:r w:rsidR="0061718E" w:rsidRPr="00980BBE">
        <w:rPr>
          <w:rFonts w:ascii="Arial" w:hAnsi="Arial" w:cs="Arial"/>
          <w:sz w:val="22"/>
          <w:szCs w:val="22"/>
        </w:rPr>
        <w:t>ocioeconomically disadvantaged population</w:t>
      </w:r>
      <w:r w:rsidR="00126804" w:rsidRPr="00980BBE">
        <w:rPr>
          <w:rFonts w:ascii="Arial" w:hAnsi="Arial" w:cs="Arial"/>
          <w:sz w:val="22"/>
          <w:szCs w:val="22"/>
        </w:rPr>
        <w:t xml:space="preserve">. </w:t>
      </w:r>
    </w:p>
    <w:p w14:paraId="017FD1D0" w14:textId="0BCB9757" w:rsidR="00D5536E" w:rsidRPr="00980BBE" w:rsidRDefault="00D5536E" w:rsidP="001D2D05">
      <w:pPr>
        <w:spacing w:line="360" w:lineRule="auto"/>
        <w:rPr>
          <w:rFonts w:ascii="Arial" w:hAnsi="Arial" w:cs="Arial"/>
          <w:sz w:val="22"/>
          <w:szCs w:val="22"/>
        </w:rPr>
      </w:pPr>
      <w:r w:rsidRPr="00980BBE">
        <w:rPr>
          <w:rFonts w:ascii="Arial" w:hAnsi="Arial" w:cs="Arial"/>
          <w:sz w:val="22"/>
          <w:szCs w:val="22"/>
        </w:rPr>
        <w:t xml:space="preserve">Although substantial evidence links alcohol misuse and socioeconomic deprivation to increased dementia risk, current research </w:t>
      </w:r>
      <w:r w:rsidR="00F54EA4" w:rsidRPr="00980BBE">
        <w:rPr>
          <w:rFonts w:ascii="Arial" w:hAnsi="Arial" w:cs="Arial"/>
          <w:sz w:val="22"/>
          <w:szCs w:val="22"/>
        </w:rPr>
        <w:t>is</w:t>
      </w:r>
      <w:r w:rsidRPr="00980BBE">
        <w:rPr>
          <w:rFonts w:ascii="Arial" w:hAnsi="Arial" w:cs="Arial"/>
          <w:sz w:val="22"/>
          <w:szCs w:val="22"/>
        </w:rPr>
        <w:t xml:space="preserve"> limited by inconsistencies in ARBD </w:t>
      </w:r>
      <w:r w:rsidR="00F54EA4" w:rsidRPr="00980BBE">
        <w:rPr>
          <w:rFonts w:ascii="Arial" w:hAnsi="Arial" w:cs="Arial"/>
          <w:sz w:val="22"/>
          <w:szCs w:val="22"/>
        </w:rPr>
        <w:t xml:space="preserve">diagnostic </w:t>
      </w:r>
      <w:r w:rsidR="00AC6F43" w:rsidRPr="00980BBE">
        <w:rPr>
          <w:rFonts w:ascii="Arial" w:hAnsi="Arial" w:cs="Arial"/>
          <w:sz w:val="22"/>
          <w:szCs w:val="22"/>
        </w:rPr>
        <w:t xml:space="preserve">criteria </w:t>
      </w:r>
      <w:r w:rsidRPr="00980BBE">
        <w:rPr>
          <w:rFonts w:ascii="Arial" w:hAnsi="Arial" w:cs="Arial"/>
          <w:sz w:val="22"/>
          <w:szCs w:val="22"/>
        </w:rPr>
        <w:t xml:space="preserve">and </w:t>
      </w:r>
      <w:r w:rsidR="00AC6F43" w:rsidRPr="00980BBE">
        <w:rPr>
          <w:rFonts w:ascii="Arial" w:hAnsi="Arial" w:cs="Arial"/>
          <w:sz w:val="22"/>
          <w:szCs w:val="22"/>
        </w:rPr>
        <w:t>variability</w:t>
      </w:r>
      <w:r w:rsidRPr="00980BBE">
        <w:rPr>
          <w:rFonts w:ascii="Arial" w:hAnsi="Arial" w:cs="Arial"/>
          <w:sz w:val="22"/>
          <w:szCs w:val="22"/>
        </w:rPr>
        <w:t xml:space="preserve"> in policy evaluation method</w:t>
      </w:r>
      <w:r w:rsidR="00185666" w:rsidRPr="00980BBE">
        <w:rPr>
          <w:rFonts w:ascii="Arial" w:hAnsi="Arial" w:cs="Arial"/>
          <w:sz w:val="22"/>
          <w:szCs w:val="22"/>
        </w:rPr>
        <w:t>ologies</w:t>
      </w:r>
      <w:r w:rsidRPr="00980BBE">
        <w:rPr>
          <w:rFonts w:ascii="Arial" w:hAnsi="Arial" w:cs="Arial"/>
          <w:sz w:val="22"/>
          <w:szCs w:val="22"/>
        </w:rPr>
        <w:t xml:space="preserve">. Future research should prioritise longitudinal studies </w:t>
      </w:r>
      <w:r w:rsidR="00185666" w:rsidRPr="00980BBE">
        <w:rPr>
          <w:rFonts w:ascii="Arial" w:hAnsi="Arial" w:cs="Arial"/>
          <w:sz w:val="22"/>
          <w:szCs w:val="22"/>
        </w:rPr>
        <w:t xml:space="preserve">designs </w:t>
      </w:r>
      <w:r w:rsidRPr="00980BBE">
        <w:rPr>
          <w:rFonts w:ascii="Arial" w:hAnsi="Arial" w:cs="Arial"/>
          <w:sz w:val="22"/>
          <w:szCs w:val="22"/>
        </w:rPr>
        <w:t xml:space="preserve">and integrated public health evaluation frameworks to better understand how behavioural and structural interventions influence </w:t>
      </w:r>
      <w:r w:rsidR="008012C1" w:rsidRPr="00980BBE">
        <w:rPr>
          <w:rFonts w:ascii="Arial" w:hAnsi="Arial" w:cs="Arial"/>
          <w:sz w:val="22"/>
          <w:szCs w:val="22"/>
        </w:rPr>
        <w:t xml:space="preserve">YOD </w:t>
      </w:r>
      <w:r w:rsidRPr="00980BBE">
        <w:rPr>
          <w:rFonts w:ascii="Arial" w:hAnsi="Arial" w:cs="Arial"/>
          <w:sz w:val="22"/>
          <w:szCs w:val="22"/>
        </w:rPr>
        <w:t>outcomes.</w:t>
      </w:r>
    </w:p>
    <w:p w14:paraId="281CB6C8" w14:textId="7E5564D2" w:rsidR="000349E3" w:rsidRPr="00980BBE" w:rsidRDefault="000349E3" w:rsidP="001D2D05">
      <w:pPr>
        <w:spacing w:line="360" w:lineRule="auto"/>
        <w:rPr>
          <w:rFonts w:ascii="Arial" w:hAnsi="Arial" w:cs="Arial"/>
          <w:sz w:val="22"/>
          <w:szCs w:val="22"/>
        </w:rPr>
      </w:pPr>
      <w:r w:rsidRPr="00980BBE">
        <w:rPr>
          <w:rFonts w:ascii="Arial" w:hAnsi="Arial" w:cs="Arial"/>
          <w:sz w:val="22"/>
          <w:szCs w:val="22"/>
        </w:rPr>
        <w:t>The literature shows that the interrelated roles of alcohol abuse, socioeconomic inequality, and policy intervention in influencing dementia risk are becoming increasingly recognized; yet there are still large gaps in the integration of these elements into cohesive preventative measures.</w:t>
      </w:r>
    </w:p>
    <w:p w14:paraId="48E0AB0B" w14:textId="4AC36380" w:rsidR="00735909" w:rsidRPr="00266F7A" w:rsidRDefault="00735909" w:rsidP="005B349C">
      <w:pPr>
        <w:pStyle w:val="Heading1"/>
        <w:rPr>
          <w:rFonts w:ascii="Arial" w:hAnsi="Arial" w:cs="Arial"/>
          <w:b/>
          <w:bCs/>
          <w:color w:val="auto"/>
          <w:sz w:val="28"/>
          <w:szCs w:val="28"/>
          <w:u w:val="single"/>
        </w:rPr>
      </w:pPr>
      <w:bookmarkStart w:id="66" w:name="_Toc225966659"/>
      <w:r w:rsidRPr="00266F7A">
        <w:rPr>
          <w:rFonts w:ascii="Arial" w:hAnsi="Arial" w:cs="Arial"/>
          <w:b/>
          <w:bCs/>
          <w:color w:val="auto"/>
          <w:sz w:val="28"/>
          <w:szCs w:val="28"/>
          <w:u w:val="single"/>
        </w:rPr>
        <w:t>Conclusion</w:t>
      </w:r>
      <w:bookmarkEnd w:id="66"/>
    </w:p>
    <w:p w14:paraId="6E0EB071" w14:textId="2B4C9E80" w:rsidR="00735909" w:rsidRPr="00980BBE" w:rsidRDefault="000F30E9" w:rsidP="001D2D05">
      <w:pPr>
        <w:spacing w:line="360" w:lineRule="auto"/>
        <w:rPr>
          <w:rFonts w:ascii="Arial" w:hAnsi="Arial" w:cs="Arial"/>
          <w:sz w:val="22"/>
          <w:szCs w:val="22"/>
        </w:rPr>
      </w:pPr>
      <w:r w:rsidRPr="00980BBE">
        <w:rPr>
          <w:rFonts w:ascii="Arial" w:hAnsi="Arial" w:cs="Arial"/>
          <w:sz w:val="22"/>
          <w:szCs w:val="22"/>
        </w:rPr>
        <w:t>Overall</w:t>
      </w:r>
      <w:r w:rsidR="00DB2A52" w:rsidRPr="00980BBE">
        <w:rPr>
          <w:rFonts w:ascii="Arial" w:hAnsi="Arial" w:cs="Arial"/>
          <w:sz w:val="22"/>
          <w:szCs w:val="22"/>
        </w:rPr>
        <w:t>, the literature demonstrate</w:t>
      </w:r>
      <w:r w:rsidR="00526588" w:rsidRPr="00980BBE">
        <w:rPr>
          <w:rFonts w:ascii="Arial" w:hAnsi="Arial" w:cs="Arial"/>
          <w:sz w:val="22"/>
          <w:szCs w:val="22"/>
        </w:rPr>
        <w:t>s growing recognition of the interrelated roles of alcohol</w:t>
      </w:r>
      <w:r w:rsidR="003A1C90" w:rsidRPr="00980BBE">
        <w:rPr>
          <w:rFonts w:ascii="Arial" w:hAnsi="Arial" w:cs="Arial"/>
          <w:sz w:val="22"/>
          <w:szCs w:val="22"/>
        </w:rPr>
        <w:t xml:space="preserve"> consumption, socioeconomic inequality, and policy interventions in shaping dementia risk. However</w:t>
      </w:r>
      <w:r w:rsidR="00B96919" w:rsidRPr="00980BBE">
        <w:rPr>
          <w:rFonts w:ascii="Arial" w:hAnsi="Arial" w:cs="Arial"/>
          <w:sz w:val="22"/>
          <w:szCs w:val="22"/>
        </w:rPr>
        <w:t xml:space="preserve">, significant gaps remain translating these insights into cohesive, evidence-based preventive </w:t>
      </w:r>
      <w:r w:rsidRPr="00980BBE">
        <w:rPr>
          <w:rFonts w:ascii="Arial" w:hAnsi="Arial" w:cs="Arial"/>
          <w:sz w:val="22"/>
          <w:szCs w:val="22"/>
        </w:rPr>
        <w:t xml:space="preserve">strategies </w:t>
      </w:r>
      <w:r w:rsidR="00735909" w:rsidRPr="00980BBE">
        <w:rPr>
          <w:rFonts w:ascii="Arial" w:hAnsi="Arial" w:cs="Arial"/>
          <w:sz w:val="22"/>
          <w:szCs w:val="22"/>
        </w:rPr>
        <w:t>(Zahr, 2024a; Marmot, 2020b; Livingston et al., 2020b).</w:t>
      </w:r>
    </w:p>
    <w:p w14:paraId="4493CB06" w14:textId="257403EC" w:rsidR="00735909" w:rsidRPr="00980BBE" w:rsidRDefault="00735909" w:rsidP="001D2D05">
      <w:pPr>
        <w:numPr>
          <w:ilvl w:val="0"/>
          <w:numId w:val="31"/>
        </w:numPr>
        <w:spacing w:line="360" w:lineRule="auto"/>
        <w:rPr>
          <w:rFonts w:ascii="Arial" w:hAnsi="Arial" w:cs="Arial"/>
          <w:sz w:val="22"/>
          <w:szCs w:val="22"/>
        </w:rPr>
      </w:pPr>
      <w:r w:rsidRPr="00980BBE">
        <w:rPr>
          <w:rFonts w:ascii="Arial" w:hAnsi="Arial" w:cs="Arial"/>
          <w:b/>
          <w:bCs/>
          <w:sz w:val="22"/>
          <w:szCs w:val="22"/>
        </w:rPr>
        <w:t>Theme 1</w:t>
      </w:r>
      <w:r w:rsidRPr="00980BBE">
        <w:rPr>
          <w:rFonts w:ascii="Arial" w:hAnsi="Arial" w:cs="Arial"/>
          <w:sz w:val="22"/>
          <w:szCs w:val="22"/>
        </w:rPr>
        <w:t xml:space="preserve"> </w:t>
      </w:r>
      <w:r w:rsidR="00EC5952" w:rsidRPr="00980BBE">
        <w:rPr>
          <w:rFonts w:ascii="Arial" w:hAnsi="Arial" w:cs="Arial"/>
          <w:sz w:val="22"/>
          <w:szCs w:val="22"/>
        </w:rPr>
        <w:t xml:space="preserve">emphasises </w:t>
      </w:r>
      <w:r w:rsidR="00B07101" w:rsidRPr="00980BBE">
        <w:rPr>
          <w:rFonts w:ascii="Arial" w:hAnsi="Arial" w:cs="Arial"/>
          <w:sz w:val="22"/>
          <w:szCs w:val="22"/>
        </w:rPr>
        <w:t xml:space="preserve">the role of </w:t>
      </w:r>
      <w:r w:rsidRPr="00980BBE">
        <w:rPr>
          <w:rFonts w:ascii="Arial" w:hAnsi="Arial" w:cs="Arial"/>
          <w:sz w:val="22"/>
          <w:szCs w:val="22"/>
        </w:rPr>
        <w:t xml:space="preserve">ARBD’s role in early cognitive decline, </w:t>
      </w:r>
      <w:r w:rsidR="00B07101" w:rsidRPr="00980BBE">
        <w:rPr>
          <w:rFonts w:ascii="Arial" w:hAnsi="Arial" w:cs="Arial"/>
          <w:sz w:val="22"/>
          <w:szCs w:val="22"/>
        </w:rPr>
        <w:t xml:space="preserve">highlighting the importance of </w:t>
      </w:r>
      <w:r w:rsidRPr="00980BBE">
        <w:rPr>
          <w:rFonts w:ascii="Arial" w:hAnsi="Arial" w:cs="Arial"/>
          <w:sz w:val="22"/>
          <w:szCs w:val="22"/>
        </w:rPr>
        <w:t xml:space="preserve">early diagnosis, thiamine supplementation, lifestyle modification, and integrated care pathways. The </w:t>
      </w:r>
      <w:r w:rsidR="00B07101" w:rsidRPr="00980BBE">
        <w:rPr>
          <w:rFonts w:ascii="Arial" w:hAnsi="Arial" w:cs="Arial"/>
          <w:sz w:val="22"/>
          <w:szCs w:val="22"/>
        </w:rPr>
        <w:t xml:space="preserve">evidence </w:t>
      </w:r>
      <w:r w:rsidR="00A02B5B" w:rsidRPr="00980BBE">
        <w:rPr>
          <w:rFonts w:ascii="Arial" w:hAnsi="Arial" w:cs="Arial"/>
          <w:sz w:val="22"/>
          <w:szCs w:val="22"/>
        </w:rPr>
        <w:t>suggests</w:t>
      </w:r>
      <w:r w:rsidRPr="00980BBE">
        <w:rPr>
          <w:rFonts w:ascii="Arial" w:hAnsi="Arial" w:cs="Arial"/>
          <w:sz w:val="22"/>
          <w:szCs w:val="22"/>
        </w:rPr>
        <w:t xml:space="preserve"> that modifiable risk factors, </w:t>
      </w:r>
      <w:r w:rsidRPr="00980BBE">
        <w:rPr>
          <w:rFonts w:ascii="Arial" w:hAnsi="Arial" w:cs="Arial"/>
          <w:sz w:val="22"/>
          <w:szCs w:val="22"/>
        </w:rPr>
        <w:lastRenderedPageBreak/>
        <w:t>particularly alcohol</w:t>
      </w:r>
      <w:r w:rsidR="00B07101" w:rsidRPr="00980BBE">
        <w:rPr>
          <w:rFonts w:ascii="Arial" w:hAnsi="Arial" w:cs="Arial"/>
          <w:sz w:val="22"/>
          <w:szCs w:val="22"/>
        </w:rPr>
        <w:t xml:space="preserve"> cons</w:t>
      </w:r>
      <w:r w:rsidR="00E90E9A" w:rsidRPr="00980BBE">
        <w:rPr>
          <w:rFonts w:ascii="Arial" w:hAnsi="Arial" w:cs="Arial"/>
          <w:sz w:val="22"/>
          <w:szCs w:val="22"/>
        </w:rPr>
        <w:t>umption, represent</w:t>
      </w:r>
      <w:r w:rsidRPr="00980BBE">
        <w:rPr>
          <w:rFonts w:ascii="Arial" w:hAnsi="Arial" w:cs="Arial"/>
          <w:sz w:val="22"/>
          <w:szCs w:val="22"/>
        </w:rPr>
        <w:t xml:space="preserve"> critical intervention targets, especially </w:t>
      </w:r>
      <w:r w:rsidR="00E90E9A" w:rsidRPr="00980BBE">
        <w:rPr>
          <w:rFonts w:ascii="Arial" w:hAnsi="Arial" w:cs="Arial"/>
          <w:sz w:val="22"/>
          <w:szCs w:val="22"/>
        </w:rPr>
        <w:t xml:space="preserve">among </w:t>
      </w:r>
      <w:r w:rsidRPr="00980BBE">
        <w:rPr>
          <w:rFonts w:ascii="Arial" w:hAnsi="Arial" w:cs="Arial"/>
          <w:sz w:val="22"/>
          <w:szCs w:val="22"/>
        </w:rPr>
        <w:t xml:space="preserve">younger populations (Abbey, Smith and Scott, 2015b; </w:t>
      </w:r>
      <w:r w:rsidR="002B1D3E" w:rsidRPr="00980BBE">
        <w:rPr>
          <w:rFonts w:ascii="Arial" w:hAnsi="Arial" w:cs="Arial"/>
          <w:sz w:val="22"/>
          <w:szCs w:val="22"/>
        </w:rPr>
        <w:t>W</w:t>
      </w:r>
      <w:r w:rsidR="000F30E9" w:rsidRPr="00980BBE">
        <w:rPr>
          <w:rFonts w:ascii="Arial" w:hAnsi="Arial" w:cs="Arial"/>
          <w:sz w:val="22"/>
          <w:szCs w:val="22"/>
        </w:rPr>
        <w:t>orld</w:t>
      </w:r>
      <w:r w:rsidR="002B1D3E" w:rsidRPr="00980BBE">
        <w:rPr>
          <w:rFonts w:ascii="Arial" w:hAnsi="Arial" w:cs="Arial"/>
          <w:sz w:val="22"/>
          <w:szCs w:val="22"/>
        </w:rPr>
        <w:t xml:space="preserve"> H</w:t>
      </w:r>
      <w:r w:rsidR="000F30E9" w:rsidRPr="00980BBE">
        <w:rPr>
          <w:rFonts w:ascii="Arial" w:hAnsi="Arial" w:cs="Arial"/>
          <w:sz w:val="22"/>
          <w:szCs w:val="22"/>
        </w:rPr>
        <w:t>ealth</w:t>
      </w:r>
      <w:r w:rsidR="002B1D3E" w:rsidRPr="00980BBE">
        <w:rPr>
          <w:rFonts w:ascii="Arial" w:hAnsi="Arial" w:cs="Arial"/>
          <w:sz w:val="22"/>
          <w:szCs w:val="22"/>
        </w:rPr>
        <w:t xml:space="preserve"> </w:t>
      </w:r>
      <w:r w:rsidR="003A5E5A" w:rsidRPr="00980BBE">
        <w:rPr>
          <w:rFonts w:ascii="Arial" w:hAnsi="Arial" w:cs="Arial"/>
          <w:sz w:val="22"/>
          <w:szCs w:val="22"/>
        </w:rPr>
        <w:t>Organisation</w:t>
      </w:r>
      <w:r w:rsidR="002B1D3E" w:rsidRPr="00980BBE">
        <w:rPr>
          <w:rFonts w:ascii="Arial" w:hAnsi="Arial" w:cs="Arial"/>
          <w:sz w:val="22"/>
          <w:szCs w:val="22"/>
        </w:rPr>
        <w:t xml:space="preserve"> </w:t>
      </w:r>
      <w:r w:rsidRPr="00980BBE">
        <w:rPr>
          <w:rFonts w:ascii="Arial" w:hAnsi="Arial" w:cs="Arial"/>
          <w:sz w:val="22"/>
          <w:szCs w:val="22"/>
        </w:rPr>
        <w:t>, 2017a).</w:t>
      </w:r>
    </w:p>
    <w:p w14:paraId="74E07546" w14:textId="7D134ADE" w:rsidR="00735909" w:rsidRPr="00980BBE" w:rsidRDefault="00735909" w:rsidP="001D2D05">
      <w:pPr>
        <w:numPr>
          <w:ilvl w:val="0"/>
          <w:numId w:val="31"/>
        </w:numPr>
        <w:spacing w:line="360" w:lineRule="auto"/>
        <w:rPr>
          <w:rFonts w:ascii="Arial" w:hAnsi="Arial" w:cs="Arial"/>
          <w:sz w:val="22"/>
          <w:szCs w:val="22"/>
        </w:rPr>
      </w:pPr>
      <w:r w:rsidRPr="00980BBE">
        <w:rPr>
          <w:rFonts w:ascii="Arial" w:hAnsi="Arial" w:cs="Arial"/>
          <w:b/>
          <w:bCs/>
          <w:sz w:val="22"/>
          <w:szCs w:val="22"/>
        </w:rPr>
        <w:t>Theme 2</w:t>
      </w:r>
      <w:r w:rsidRPr="00980BBE">
        <w:rPr>
          <w:rFonts w:ascii="Arial" w:hAnsi="Arial" w:cs="Arial"/>
          <w:sz w:val="22"/>
          <w:szCs w:val="22"/>
        </w:rPr>
        <w:t xml:space="preserve"> </w:t>
      </w:r>
      <w:r w:rsidR="00A02B5B" w:rsidRPr="00980BBE">
        <w:rPr>
          <w:rFonts w:ascii="Arial" w:hAnsi="Arial" w:cs="Arial"/>
          <w:sz w:val="22"/>
          <w:szCs w:val="22"/>
        </w:rPr>
        <w:t>identifies</w:t>
      </w:r>
      <w:r w:rsidRPr="00980BBE">
        <w:rPr>
          <w:rFonts w:ascii="Arial" w:hAnsi="Arial" w:cs="Arial"/>
          <w:sz w:val="22"/>
          <w:szCs w:val="22"/>
        </w:rPr>
        <w:t xml:space="preserve"> socioeconomic deprivation as a structural determinant</w:t>
      </w:r>
      <w:r w:rsidR="006D4270" w:rsidRPr="00980BBE">
        <w:rPr>
          <w:rFonts w:ascii="Arial" w:hAnsi="Arial" w:cs="Arial"/>
          <w:sz w:val="22"/>
          <w:szCs w:val="22"/>
        </w:rPr>
        <w:t xml:space="preserve"> of dementia risks, showing </w:t>
      </w:r>
      <w:r w:rsidRPr="00980BBE">
        <w:rPr>
          <w:rFonts w:ascii="Arial" w:hAnsi="Arial" w:cs="Arial"/>
          <w:sz w:val="22"/>
          <w:szCs w:val="22"/>
        </w:rPr>
        <w:t>that low income, limited education</w:t>
      </w:r>
      <w:r w:rsidR="006D4270" w:rsidRPr="00980BBE">
        <w:rPr>
          <w:rFonts w:ascii="Arial" w:hAnsi="Arial" w:cs="Arial"/>
          <w:sz w:val="22"/>
          <w:szCs w:val="22"/>
        </w:rPr>
        <w:t xml:space="preserve"> attainment</w:t>
      </w:r>
      <w:r w:rsidRPr="00980BBE">
        <w:rPr>
          <w:rFonts w:ascii="Arial" w:hAnsi="Arial" w:cs="Arial"/>
          <w:sz w:val="22"/>
          <w:szCs w:val="22"/>
        </w:rPr>
        <w:t xml:space="preserve">, and </w:t>
      </w:r>
      <w:r w:rsidR="006D4270" w:rsidRPr="00980BBE">
        <w:rPr>
          <w:rFonts w:ascii="Arial" w:hAnsi="Arial" w:cs="Arial"/>
          <w:sz w:val="22"/>
          <w:szCs w:val="22"/>
        </w:rPr>
        <w:t xml:space="preserve">substandard </w:t>
      </w:r>
      <w:r w:rsidRPr="00980BBE">
        <w:rPr>
          <w:rFonts w:ascii="Arial" w:hAnsi="Arial" w:cs="Arial"/>
          <w:sz w:val="22"/>
          <w:szCs w:val="22"/>
        </w:rPr>
        <w:t xml:space="preserve">housing </w:t>
      </w:r>
      <w:r w:rsidR="006D4270" w:rsidRPr="00980BBE">
        <w:rPr>
          <w:rFonts w:ascii="Arial" w:hAnsi="Arial" w:cs="Arial"/>
          <w:sz w:val="22"/>
          <w:szCs w:val="22"/>
        </w:rPr>
        <w:t xml:space="preserve">contribute to </w:t>
      </w:r>
      <w:r w:rsidRPr="00980BBE">
        <w:rPr>
          <w:rFonts w:ascii="Arial" w:hAnsi="Arial" w:cs="Arial"/>
          <w:sz w:val="22"/>
          <w:szCs w:val="22"/>
        </w:rPr>
        <w:t xml:space="preserve">both </w:t>
      </w:r>
      <w:r w:rsidR="006D4270" w:rsidRPr="00980BBE">
        <w:rPr>
          <w:rFonts w:ascii="Arial" w:hAnsi="Arial" w:cs="Arial"/>
          <w:sz w:val="22"/>
          <w:szCs w:val="22"/>
        </w:rPr>
        <w:t xml:space="preserve">increased </w:t>
      </w:r>
      <w:r w:rsidRPr="00980BBE">
        <w:rPr>
          <w:rFonts w:ascii="Arial" w:hAnsi="Arial" w:cs="Arial"/>
          <w:sz w:val="22"/>
          <w:szCs w:val="22"/>
        </w:rPr>
        <w:t xml:space="preserve">alcohol misuse and </w:t>
      </w:r>
      <w:r w:rsidR="006D4270" w:rsidRPr="00980BBE">
        <w:rPr>
          <w:rFonts w:ascii="Arial" w:hAnsi="Arial" w:cs="Arial"/>
          <w:sz w:val="22"/>
          <w:szCs w:val="22"/>
        </w:rPr>
        <w:t>reduced</w:t>
      </w:r>
      <w:r w:rsidR="005004B5" w:rsidRPr="00980BBE">
        <w:rPr>
          <w:rFonts w:ascii="Arial" w:hAnsi="Arial" w:cs="Arial"/>
          <w:sz w:val="22"/>
          <w:szCs w:val="22"/>
        </w:rPr>
        <w:t xml:space="preserve"> access to healthcare services</w:t>
      </w:r>
      <w:r w:rsidRPr="00980BBE">
        <w:rPr>
          <w:rFonts w:ascii="Arial" w:hAnsi="Arial" w:cs="Arial"/>
          <w:sz w:val="22"/>
          <w:szCs w:val="22"/>
        </w:rPr>
        <w:t xml:space="preserve">. </w:t>
      </w:r>
      <w:r w:rsidR="005004B5" w:rsidRPr="00980BBE">
        <w:rPr>
          <w:rFonts w:ascii="Arial" w:hAnsi="Arial" w:cs="Arial"/>
          <w:sz w:val="22"/>
          <w:szCs w:val="22"/>
        </w:rPr>
        <w:t>These</w:t>
      </w:r>
      <w:r w:rsidR="009C3F91" w:rsidRPr="00980BBE">
        <w:rPr>
          <w:rFonts w:ascii="Arial" w:hAnsi="Arial" w:cs="Arial"/>
          <w:sz w:val="22"/>
          <w:szCs w:val="22"/>
        </w:rPr>
        <w:t xml:space="preserve"> s</w:t>
      </w:r>
      <w:r w:rsidRPr="00980BBE">
        <w:rPr>
          <w:rFonts w:ascii="Arial" w:hAnsi="Arial" w:cs="Arial"/>
          <w:sz w:val="22"/>
          <w:szCs w:val="22"/>
        </w:rPr>
        <w:t xml:space="preserve">tructural inequalities </w:t>
      </w:r>
      <w:r w:rsidR="009C3F91" w:rsidRPr="00980BBE">
        <w:rPr>
          <w:rFonts w:ascii="Arial" w:hAnsi="Arial" w:cs="Arial"/>
          <w:sz w:val="22"/>
          <w:szCs w:val="22"/>
        </w:rPr>
        <w:t xml:space="preserve">amplify </w:t>
      </w:r>
      <w:r w:rsidRPr="00980BBE">
        <w:rPr>
          <w:rFonts w:ascii="Arial" w:hAnsi="Arial" w:cs="Arial"/>
          <w:sz w:val="22"/>
          <w:szCs w:val="22"/>
        </w:rPr>
        <w:t xml:space="preserve">dementia risk, </w:t>
      </w:r>
      <w:r w:rsidR="009C3F91" w:rsidRPr="00980BBE">
        <w:rPr>
          <w:rFonts w:ascii="Arial" w:hAnsi="Arial" w:cs="Arial"/>
          <w:sz w:val="22"/>
          <w:szCs w:val="22"/>
        </w:rPr>
        <w:t xml:space="preserve">underscoring </w:t>
      </w:r>
      <w:r w:rsidRPr="00980BBE">
        <w:rPr>
          <w:rFonts w:ascii="Arial" w:hAnsi="Arial" w:cs="Arial"/>
          <w:sz w:val="22"/>
          <w:szCs w:val="22"/>
        </w:rPr>
        <w:t>the ne</w:t>
      </w:r>
      <w:r w:rsidR="009C3F91" w:rsidRPr="00980BBE">
        <w:rPr>
          <w:rFonts w:ascii="Arial" w:hAnsi="Arial" w:cs="Arial"/>
          <w:sz w:val="22"/>
          <w:szCs w:val="22"/>
        </w:rPr>
        <w:t>ed for</w:t>
      </w:r>
      <w:r w:rsidRPr="00980BBE">
        <w:rPr>
          <w:rFonts w:ascii="Arial" w:hAnsi="Arial" w:cs="Arial"/>
          <w:sz w:val="22"/>
          <w:szCs w:val="22"/>
        </w:rPr>
        <w:t xml:space="preserve"> </w:t>
      </w:r>
      <w:r w:rsidR="009C3F91" w:rsidRPr="00980BBE">
        <w:rPr>
          <w:rFonts w:ascii="Arial" w:hAnsi="Arial" w:cs="Arial"/>
          <w:sz w:val="22"/>
          <w:szCs w:val="22"/>
        </w:rPr>
        <w:t>upstream</w:t>
      </w:r>
      <w:r w:rsidRPr="00980BBE">
        <w:rPr>
          <w:rFonts w:ascii="Arial" w:hAnsi="Arial" w:cs="Arial"/>
          <w:sz w:val="22"/>
          <w:szCs w:val="22"/>
        </w:rPr>
        <w:t xml:space="preserve"> interventions and public health strategies</w:t>
      </w:r>
      <w:r w:rsidR="0045397A" w:rsidRPr="00980BBE">
        <w:rPr>
          <w:rFonts w:ascii="Arial" w:hAnsi="Arial" w:cs="Arial"/>
          <w:sz w:val="22"/>
          <w:szCs w:val="22"/>
        </w:rPr>
        <w:t xml:space="preserve"> specifically </w:t>
      </w:r>
      <w:r w:rsidR="008F7894" w:rsidRPr="00980BBE">
        <w:rPr>
          <w:rFonts w:ascii="Arial" w:hAnsi="Arial" w:cs="Arial"/>
          <w:sz w:val="22"/>
          <w:szCs w:val="22"/>
        </w:rPr>
        <w:t xml:space="preserve">targeting socioeconomically disadvantaged </w:t>
      </w:r>
      <w:r w:rsidRPr="00980BBE">
        <w:rPr>
          <w:rFonts w:ascii="Arial" w:hAnsi="Arial" w:cs="Arial"/>
          <w:sz w:val="22"/>
          <w:szCs w:val="22"/>
        </w:rPr>
        <w:t>communities (Collins, 2016; Marmot, 2020b).</w:t>
      </w:r>
    </w:p>
    <w:p w14:paraId="6200054D" w14:textId="5B210F46" w:rsidR="00735909" w:rsidRPr="00980BBE" w:rsidRDefault="00735909" w:rsidP="001D2D05">
      <w:pPr>
        <w:numPr>
          <w:ilvl w:val="0"/>
          <w:numId w:val="31"/>
        </w:numPr>
        <w:spacing w:line="360" w:lineRule="auto"/>
        <w:rPr>
          <w:rFonts w:ascii="Arial" w:hAnsi="Arial" w:cs="Arial"/>
          <w:sz w:val="22"/>
          <w:szCs w:val="22"/>
        </w:rPr>
      </w:pPr>
      <w:r w:rsidRPr="00980BBE">
        <w:rPr>
          <w:rFonts w:ascii="Arial" w:hAnsi="Arial" w:cs="Arial"/>
          <w:b/>
          <w:bCs/>
          <w:sz w:val="22"/>
          <w:szCs w:val="22"/>
        </w:rPr>
        <w:t>Theme 3</w:t>
      </w:r>
      <w:r w:rsidRPr="00980BBE">
        <w:rPr>
          <w:rFonts w:ascii="Arial" w:hAnsi="Arial" w:cs="Arial"/>
          <w:sz w:val="22"/>
          <w:szCs w:val="22"/>
        </w:rPr>
        <w:t xml:space="preserve"> </w:t>
      </w:r>
      <w:r w:rsidR="006B7442" w:rsidRPr="00980BBE">
        <w:rPr>
          <w:rFonts w:ascii="Arial" w:hAnsi="Arial" w:cs="Arial"/>
          <w:sz w:val="22"/>
          <w:szCs w:val="22"/>
        </w:rPr>
        <w:t>examines</w:t>
      </w:r>
      <w:r w:rsidRPr="00980BBE">
        <w:rPr>
          <w:rFonts w:ascii="Arial" w:hAnsi="Arial" w:cs="Arial"/>
          <w:sz w:val="22"/>
          <w:szCs w:val="22"/>
        </w:rPr>
        <w:t xml:space="preserve"> public health policy and prevention,</w:t>
      </w:r>
      <w:r w:rsidR="006B7442" w:rsidRPr="00980BBE">
        <w:rPr>
          <w:rFonts w:ascii="Arial" w:hAnsi="Arial" w:cs="Arial"/>
          <w:sz w:val="22"/>
          <w:szCs w:val="22"/>
        </w:rPr>
        <w:t xml:space="preserve"> strategies,</w:t>
      </w:r>
      <w:r w:rsidRPr="00980BBE">
        <w:rPr>
          <w:rFonts w:ascii="Arial" w:hAnsi="Arial" w:cs="Arial"/>
          <w:sz w:val="22"/>
          <w:szCs w:val="22"/>
        </w:rPr>
        <w:t xml:space="preserve"> identifying gaps in </w:t>
      </w:r>
      <w:r w:rsidR="006B7442" w:rsidRPr="00980BBE">
        <w:rPr>
          <w:rFonts w:ascii="Arial" w:hAnsi="Arial" w:cs="Arial"/>
          <w:sz w:val="22"/>
          <w:szCs w:val="22"/>
        </w:rPr>
        <w:t>ex</w:t>
      </w:r>
      <w:r w:rsidR="000B6060" w:rsidRPr="00980BBE">
        <w:rPr>
          <w:rFonts w:ascii="Arial" w:hAnsi="Arial" w:cs="Arial"/>
          <w:sz w:val="22"/>
          <w:szCs w:val="22"/>
        </w:rPr>
        <w:t xml:space="preserve">isting </w:t>
      </w:r>
      <w:r w:rsidRPr="00980BBE">
        <w:rPr>
          <w:rFonts w:ascii="Arial" w:hAnsi="Arial" w:cs="Arial"/>
          <w:sz w:val="22"/>
          <w:szCs w:val="22"/>
        </w:rPr>
        <w:t xml:space="preserve">frameworks addressing </w:t>
      </w:r>
      <w:r w:rsidR="000B6060" w:rsidRPr="00980BBE">
        <w:rPr>
          <w:rFonts w:ascii="Arial" w:hAnsi="Arial" w:cs="Arial"/>
          <w:sz w:val="22"/>
          <w:szCs w:val="22"/>
        </w:rPr>
        <w:t xml:space="preserve">both </w:t>
      </w:r>
      <w:r w:rsidRPr="00980BBE">
        <w:rPr>
          <w:rFonts w:ascii="Arial" w:hAnsi="Arial" w:cs="Arial"/>
          <w:sz w:val="22"/>
          <w:szCs w:val="22"/>
        </w:rPr>
        <w:t>alcohol harm and social determinants</w:t>
      </w:r>
      <w:r w:rsidR="000B6060" w:rsidRPr="00980BBE">
        <w:rPr>
          <w:rFonts w:ascii="Arial" w:hAnsi="Arial" w:cs="Arial"/>
          <w:sz w:val="22"/>
          <w:szCs w:val="22"/>
        </w:rPr>
        <w:t xml:space="preserve"> of health</w:t>
      </w:r>
      <w:r w:rsidR="00126804" w:rsidRPr="00980BBE">
        <w:rPr>
          <w:rFonts w:ascii="Arial" w:hAnsi="Arial" w:cs="Arial"/>
          <w:sz w:val="22"/>
          <w:szCs w:val="22"/>
        </w:rPr>
        <w:t xml:space="preserve">. </w:t>
      </w:r>
      <w:r w:rsidR="00B2519B" w:rsidRPr="00980BBE">
        <w:rPr>
          <w:rFonts w:ascii="Arial" w:hAnsi="Arial" w:cs="Arial"/>
          <w:sz w:val="22"/>
          <w:szCs w:val="22"/>
        </w:rPr>
        <w:t xml:space="preserve">The evidence emphasis that </w:t>
      </w:r>
      <w:r w:rsidRPr="00980BBE">
        <w:rPr>
          <w:rFonts w:ascii="Arial" w:hAnsi="Arial" w:cs="Arial"/>
          <w:sz w:val="22"/>
          <w:szCs w:val="22"/>
        </w:rPr>
        <w:t xml:space="preserve">Integrated, multi-level </w:t>
      </w:r>
      <w:r w:rsidR="004A3684" w:rsidRPr="00980BBE">
        <w:rPr>
          <w:rFonts w:ascii="Arial" w:hAnsi="Arial" w:cs="Arial"/>
          <w:sz w:val="22"/>
          <w:szCs w:val="22"/>
        </w:rPr>
        <w:t>approaches-</w:t>
      </w:r>
      <w:r w:rsidRPr="00980BBE">
        <w:rPr>
          <w:rFonts w:ascii="Arial" w:hAnsi="Arial" w:cs="Arial"/>
          <w:sz w:val="22"/>
          <w:szCs w:val="22"/>
        </w:rPr>
        <w:t xml:space="preserve">combining population-level </w:t>
      </w:r>
      <w:r w:rsidR="004A3684" w:rsidRPr="00980BBE">
        <w:rPr>
          <w:rFonts w:ascii="Arial" w:hAnsi="Arial" w:cs="Arial"/>
          <w:sz w:val="22"/>
          <w:szCs w:val="22"/>
        </w:rPr>
        <w:t>interventions</w:t>
      </w:r>
      <w:r w:rsidRPr="00980BBE">
        <w:rPr>
          <w:rFonts w:ascii="Arial" w:hAnsi="Arial" w:cs="Arial"/>
          <w:sz w:val="22"/>
          <w:szCs w:val="22"/>
        </w:rPr>
        <w:t xml:space="preserve">, clinical </w:t>
      </w:r>
      <w:r w:rsidR="004A3684" w:rsidRPr="00980BBE">
        <w:rPr>
          <w:rFonts w:ascii="Arial" w:hAnsi="Arial" w:cs="Arial"/>
          <w:sz w:val="22"/>
          <w:szCs w:val="22"/>
        </w:rPr>
        <w:t>programs</w:t>
      </w:r>
      <w:r w:rsidRPr="00980BBE">
        <w:rPr>
          <w:rFonts w:ascii="Arial" w:hAnsi="Arial" w:cs="Arial"/>
          <w:sz w:val="22"/>
          <w:szCs w:val="22"/>
        </w:rPr>
        <w:t xml:space="preserve">, and community-based </w:t>
      </w:r>
      <w:r w:rsidR="004A3684" w:rsidRPr="00980BBE">
        <w:rPr>
          <w:rFonts w:ascii="Arial" w:hAnsi="Arial" w:cs="Arial"/>
          <w:sz w:val="22"/>
          <w:szCs w:val="22"/>
        </w:rPr>
        <w:t>in</w:t>
      </w:r>
      <w:r w:rsidR="00BD1645" w:rsidRPr="00980BBE">
        <w:rPr>
          <w:rFonts w:ascii="Arial" w:hAnsi="Arial" w:cs="Arial"/>
          <w:sz w:val="22"/>
          <w:szCs w:val="22"/>
        </w:rPr>
        <w:t>itiatives</w:t>
      </w:r>
      <w:r w:rsidRPr="00980BBE">
        <w:rPr>
          <w:rFonts w:ascii="Arial" w:hAnsi="Arial" w:cs="Arial"/>
          <w:sz w:val="22"/>
          <w:szCs w:val="22"/>
        </w:rPr>
        <w:t xml:space="preserve"> are essential </w:t>
      </w:r>
      <w:r w:rsidR="00BD1645" w:rsidRPr="00980BBE">
        <w:rPr>
          <w:rFonts w:ascii="Arial" w:hAnsi="Arial" w:cs="Arial"/>
          <w:sz w:val="22"/>
          <w:szCs w:val="22"/>
        </w:rPr>
        <w:t>for</w:t>
      </w:r>
      <w:r w:rsidRPr="00980BBE">
        <w:rPr>
          <w:rFonts w:ascii="Arial" w:hAnsi="Arial" w:cs="Arial"/>
          <w:sz w:val="22"/>
          <w:szCs w:val="22"/>
        </w:rPr>
        <w:t xml:space="preserve"> reducing YOD risk and </w:t>
      </w:r>
      <w:r w:rsidR="00BD1645" w:rsidRPr="00980BBE">
        <w:rPr>
          <w:rFonts w:ascii="Arial" w:hAnsi="Arial" w:cs="Arial"/>
          <w:sz w:val="22"/>
          <w:szCs w:val="22"/>
        </w:rPr>
        <w:t>mi</w:t>
      </w:r>
      <w:r w:rsidR="00864A9F" w:rsidRPr="00980BBE">
        <w:rPr>
          <w:rFonts w:ascii="Arial" w:hAnsi="Arial" w:cs="Arial"/>
          <w:sz w:val="22"/>
          <w:szCs w:val="22"/>
        </w:rPr>
        <w:t xml:space="preserve">tigating </w:t>
      </w:r>
      <w:r w:rsidRPr="00980BBE">
        <w:rPr>
          <w:rFonts w:ascii="Arial" w:hAnsi="Arial" w:cs="Arial"/>
          <w:sz w:val="22"/>
          <w:szCs w:val="22"/>
        </w:rPr>
        <w:t xml:space="preserve">health inequities (Livingston et al., 2020a; </w:t>
      </w:r>
      <w:r w:rsidR="00864A9F" w:rsidRPr="00980BBE">
        <w:rPr>
          <w:rFonts w:ascii="Arial" w:hAnsi="Arial" w:cs="Arial"/>
          <w:sz w:val="22"/>
          <w:szCs w:val="22"/>
        </w:rPr>
        <w:t xml:space="preserve">World </w:t>
      </w:r>
      <w:r w:rsidR="002B1D3E" w:rsidRPr="00980BBE">
        <w:rPr>
          <w:rFonts w:ascii="Arial" w:hAnsi="Arial" w:cs="Arial"/>
          <w:sz w:val="22"/>
          <w:szCs w:val="22"/>
        </w:rPr>
        <w:t xml:space="preserve"> </w:t>
      </w:r>
      <w:r w:rsidR="004B63A9" w:rsidRPr="00980BBE">
        <w:rPr>
          <w:rFonts w:ascii="Arial" w:hAnsi="Arial" w:cs="Arial"/>
          <w:sz w:val="22"/>
          <w:szCs w:val="22"/>
        </w:rPr>
        <w:t>Health</w:t>
      </w:r>
      <w:r w:rsidR="002B1D3E" w:rsidRPr="00980BBE">
        <w:rPr>
          <w:rFonts w:ascii="Arial" w:hAnsi="Arial" w:cs="Arial"/>
          <w:sz w:val="22"/>
          <w:szCs w:val="22"/>
        </w:rPr>
        <w:t xml:space="preserve"> </w:t>
      </w:r>
      <w:r w:rsidR="004B63A9" w:rsidRPr="00980BBE">
        <w:rPr>
          <w:rFonts w:ascii="Arial" w:hAnsi="Arial" w:cs="Arial"/>
          <w:sz w:val="22"/>
          <w:szCs w:val="22"/>
        </w:rPr>
        <w:t>Organisation</w:t>
      </w:r>
      <w:r w:rsidRPr="00980BBE">
        <w:rPr>
          <w:rFonts w:ascii="Arial" w:hAnsi="Arial" w:cs="Arial"/>
          <w:sz w:val="22"/>
          <w:szCs w:val="22"/>
        </w:rPr>
        <w:t>, 2017b; Walsh et al., 2025).</w:t>
      </w:r>
    </w:p>
    <w:p w14:paraId="663BECD2" w14:textId="52E89ADB" w:rsidR="00486B1B" w:rsidRDefault="00882404" w:rsidP="001D2D05">
      <w:pPr>
        <w:spacing w:line="360" w:lineRule="auto"/>
        <w:rPr>
          <w:rFonts w:ascii="Arial" w:hAnsi="Arial" w:cs="Arial"/>
          <w:sz w:val="22"/>
          <w:szCs w:val="22"/>
        </w:rPr>
      </w:pPr>
      <w:r w:rsidRPr="00980BBE">
        <w:rPr>
          <w:rFonts w:ascii="Arial" w:hAnsi="Arial" w:cs="Arial"/>
          <w:sz w:val="22"/>
          <w:szCs w:val="22"/>
        </w:rPr>
        <w:t xml:space="preserve"> The findings indicate </w:t>
      </w:r>
      <w:r w:rsidR="00EA0404" w:rsidRPr="00980BBE">
        <w:rPr>
          <w:rFonts w:ascii="Arial" w:hAnsi="Arial" w:cs="Arial"/>
          <w:sz w:val="22"/>
          <w:szCs w:val="22"/>
        </w:rPr>
        <w:t>that YOD should be understood as a complex public health</w:t>
      </w:r>
      <w:r w:rsidR="00925FDD" w:rsidRPr="00980BBE">
        <w:rPr>
          <w:rFonts w:ascii="Arial" w:hAnsi="Arial" w:cs="Arial"/>
          <w:sz w:val="22"/>
          <w:szCs w:val="22"/>
        </w:rPr>
        <w:t xml:space="preserve"> challenge, shaped by behavioural risk factors</w:t>
      </w:r>
      <w:r w:rsidR="00B474F1" w:rsidRPr="00980BBE">
        <w:rPr>
          <w:rFonts w:ascii="Arial" w:hAnsi="Arial" w:cs="Arial"/>
          <w:sz w:val="22"/>
          <w:szCs w:val="22"/>
        </w:rPr>
        <w:t xml:space="preserve">, social inequalities, and structural determinants of health, rather </w:t>
      </w:r>
      <w:r w:rsidR="00CF0B1E" w:rsidRPr="00980BBE">
        <w:rPr>
          <w:rFonts w:ascii="Arial" w:hAnsi="Arial" w:cs="Arial"/>
          <w:sz w:val="22"/>
          <w:szCs w:val="22"/>
        </w:rPr>
        <w:t>than solely as a clinical condition. Addressing these interrelated determinants require inte</w:t>
      </w:r>
      <w:r w:rsidR="0061501B" w:rsidRPr="00980BBE">
        <w:rPr>
          <w:rFonts w:ascii="Arial" w:hAnsi="Arial" w:cs="Arial"/>
          <w:sz w:val="22"/>
          <w:szCs w:val="22"/>
        </w:rPr>
        <w:t>grated preventative strategies that combine clinical interventions with comprehe</w:t>
      </w:r>
      <w:r w:rsidR="00A526E6" w:rsidRPr="00980BBE">
        <w:rPr>
          <w:rFonts w:ascii="Arial" w:hAnsi="Arial" w:cs="Arial"/>
          <w:sz w:val="22"/>
          <w:szCs w:val="22"/>
        </w:rPr>
        <w:t xml:space="preserve">nsive public health policies aimed at reducing health disparities and mitigating harmful alcohol consumption. </w:t>
      </w:r>
    </w:p>
    <w:p w14:paraId="202C67F0" w14:textId="77777777" w:rsidR="00B821FA" w:rsidRDefault="00B821FA" w:rsidP="001D2D05">
      <w:pPr>
        <w:spacing w:line="360" w:lineRule="auto"/>
        <w:rPr>
          <w:rFonts w:ascii="Arial" w:hAnsi="Arial" w:cs="Arial"/>
          <w:sz w:val="22"/>
          <w:szCs w:val="22"/>
        </w:rPr>
      </w:pPr>
    </w:p>
    <w:p w14:paraId="1D8CB7AB" w14:textId="77777777" w:rsidR="00B821FA" w:rsidRDefault="00B821FA" w:rsidP="001D2D05">
      <w:pPr>
        <w:spacing w:line="360" w:lineRule="auto"/>
        <w:rPr>
          <w:rFonts w:ascii="Arial" w:hAnsi="Arial" w:cs="Arial"/>
          <w:sz w:val="22"/>
          <w:szCs w:val="22"/>
        </w:rPr>
      </w:pPr>
    </w:p>
    <w:p w14:paraId="35E66686" w14:textId="77777777" w:rsidR="00B821FA" w:rsidRDefault="00B821FA" w:rsidP="001D2D05">
      <w:pPr>
        <w:spacing w:line="360" w:lineRule="auto"/>
        <w:rPr>
          <w:rFonts w:ascii="Arial" w:hAnsi="Arial" w:cs="Arial"/>
          <w:sz w:val="22"/>
          <w:szCs w:val="22"/>
        </w:rPr>
      </w:pPr>
    </w:p>
    <w:p w14:paraId="44E455F1" w14:textId="77777777" w:rsidR="00B821FA" w:rsidRDefault="00B821FA" w:rsidP="001D2D05">
      <w:pPr>
        <w:spacing w:line="360" w:lineRule="auto"/>
        <w:rPr>
          <w:rFonts w:ascii="Arial" w:hAnsi="Arial" w:cs="Arial"/>
          <w:sz w:val="22"/>
          <w:szCs w:val="22"/>
        </w:rPr>
      </w:pPr>
    </w:p>
    <w:p w14:paraId="3C4F3688" w14:textId="77777777" w:rsidR="00B821FA" w:rsidRDefault="00B821FA" w:rsidP="001D2D05">
      <w:pPr>
        <w:spacing w:line="360" w:lineRule="auto"/>
        <w:rPr>
          <w:rFonts w:ascii="Arial" w:hAnsi="Arial" w:cs="Arial"/>
          <w:sz w:val="22"/>
          <w:szCs w:val="22"/>
        </w:rPr>
      </w:pPr>
    </w:p>
    <w:p w14:paraId="13E1CD22" w14:textId="77777777" w:rsidR="00B821FA" w:rsidRDefault="00B821FA" w:rsidP="001D2D05">
      <w:pPr>
        <w:spacing w:line="360" w:lineRule="auto"/>
        <w:rPr>
          <w:rFonts w:ascii="Arial" w:hAnsi="Arial" w:cs="Arial"/>
          <w:sz w:val="22"/>
          <w:szCs w:val="22"/>
        </w:rPr>
      </w:pPr>
    </w:p>
    <w:p w14:paraId="348A23B8" w14:textId="77777777" w:rsidR="00B821FA" w:rsidRPr="00980BBE" w:rsidRDefault="00B821FA" w:rsidP="001D2D05">
      <w:pPr>
        <w:spacing w:line="360" w:lineRule="auto"/>
        <w:rPr>
          <w:rFonts w:ascii="Arial" w:hAnsi="Arial" w:cs="Arial"/>
          <w:sz w:val="22"/>
          <w:szCs w:val="22"/>
        </w:rPr>
      </w:pPr>
    </w:p>
    <w:p w14:paraId="5E466C5F" w14:textId="267EB6EA" w:rsidR="0069640E" w:rsidRPr="00F96DBD" w:rsidRDefault="0069640E" w:rsidP="001F20EF">
      <w:pPr>
        <w:pStyle w:val="Heading2"/>
        <w:rPr>
          <w:rFonts w:ascii="Arial" w:hAnsi="Arial" w:cs="Arial"/>
          <w:b/>
          <w:bCs/>
          <w:color w:val="auto"/>
          <w:sz w:val="28"/>
          <w:szCs w:val="28"/>
          <w:u w:val="single"/>
        </w:rPr>
      </w:pPr>
      <w:bookmarkStart w:id="67" w:name="_Toc225966660"/>
      <w:r w:rsidRPr="00F96DBD">
        <w:rPr>
          <w:rFonts w:ascii="Arial" w:hAnsi="Arial" w:cs="Arial"/>
          <w:b/>
          <w:bCs/>
          <w:color w:val="auto"/>
          <w:sz w:val="28"/>
          <w:szCs w:val="28"/>
          <w:u w:val="single"/>
        </w:rPr>
        <w:lastRenderedPageBreak/>
        <w:t xml:space="preserve">Chapter 5 </w:t>
      </w:r>
      <w:r w:rsidR="001B66A2" w:rsidRPr="00F96DBD">
        <w:rPr>
          <w:rFonts w:ascii="Arial" w:hAnsi="Arial" w:cs="Arial"/>
          <w:b/>
          <w:bCs/>
          <w:color w:val="auto"/>
          <w:sz w:val="28"/>
          <w:szCs w:val="28"/>
          <w:u w:val="single"/>
        </w:rPr>
        <w:t>-</w:t>
      </w:r>
      <w:r w:rsidR="004833E9" w:rsidRPr="00F96DBD">
        <w:rPr>
          <w:rFonts w:ascii="Arial" w:hAnsi="Arial" w:cs="Arial"/>
          <w:b/>
          <w:bCs/>
          <w:color w:val="auto"/>
          <w:sz w:val="28"/>
          <w:szCs w:val="28"/>
          <w:u w:val="single"/>
        </w:rPr>
        <w:t xml:space="preserve">Conclusion and </w:t>
      </w:r>
      <w:r w:rsidRPr="00F96DBD">
        <w:rPr>
          <w:rFonts w:ascii="Arial" w:hAnsi="Arial" w:cs="Arial"/>
          <w:b/>
          <w:bCs/>
          <w:color w:val="auto"/>
          <w:sz w:val="28"/>
          <w:szCs w:val="28"/>
          <w:u w:val="single"/>
        </w:rPr>
        <w:t>Recommendations</w:t>
      </w:r>
      <w:r w:rsidR="004833E9" w:rsidRPr="00F96DBD">
        <w:rPr>
          <w:rFonts w:ascii="Arial" w:hAnsi="Arial" w:cs="Arial"/>
          <w:b/>
          <w:bCs/>
          <w:color w:val="auto"/>
          <w:sz w:val="28"/>
          <w:szCs w:val="28"/>
          <w:u w:val="single"/>
        </w:rPr>
        <w:t>.</w:t>
      </w:r>
      <w:bookmarkEnd w:id="67"/>
    </w:p>
    <w:p w14:paraId="4EB85D37" w14:textId="61302FB0" w:rsidR="0069640E" w:rsidRPr="00266F7A" w:rsidRDefault="0069640E" w:rsidP="005B349C">
      <w:pPr>
        <w:pStyle w:val="Heading1"/>
        <w:rPr>
          <w:rFonts w:ascii="Arial" w:hAnsi="Arial" w:cs="Arial"/>
          <w:b/>
          <w:bCs/>
          <w:color w:val="auto"/>
          <w:sz w:val="28"/>
          <w:szCs w:val="28"/>
          <w:u w:val="single"/>
        </w:rPr>
      </w:pPr>
      <w:bookmarkStart w:id="68" w:name="_Toc225966661"/>
      <w:r w:rsidRPr="00266F7A">
        <w:rPr>
          <w:rFonts w:ascii="Arial" w:hAnsi="Arial" w:cs="Arial"/>
          <w:b/>
          <w:bCs/>
          <w:color w:val="auto"/>
          <w:sz w:val="28"/>
          <w:szCs w:val="28"/>
          <w:u w:val="single"/>
        </w:rPr>
        <w:t>Conclusion</w:t>
      </w:r>
      <w:bookmarkEnd w:id="68"/>
    </w:p>
    <w:p w14:paraId="1FBF5B04" w14:textId="60374DC2" w:rsidR="001C1C82" w:rsidRPr="00980BBE" w:rsidRDefault="001C1C82" w:rsidP="001D2D05">
      <w:pPr>
        <w:spacing w:line="360" w:lineRule="auto"/>
        <w:rPr>
          <w:rFonts w:ascii="Arial" w:hAnsi="Arial" w:cs="Arial"/>
          <w:sz w:val="22"/>
          <w:szCs w:val="22"/>
        </w:rPr>
      </w:pPr>
      <w:r w:rsidRPr="00980BBE">
        <w:rPr>
          <w:rFonts w:ascii="Arial" w:hAnsi="Arial" w:cs="Arial"/>
          <w:sz w:val="22"/>
          <w:szCs w:val="22"/>
        </w:rPr>
        <w:t xml:space="preserve">The </w:t>
      </w:r>
      <w:r w:rsidR="00AB1615" w:rsidRPr="00980BBE">
        <w:rPr>
          <w:rFonts w:ascii="Arial" w:hAnsi="Arial" w:cs="Arial"/>
          <w:sz w:val="22"/>
          <w:szCs w:val="22"/>
        </w:rPr>
        <w:t>aim</w:t>
      </w:r>
      <w:r w:rsidRPr="00980BBE">
        <w:rPr>
          <w:rFonts w:ascii="Arial" w:hAnsi="Arial" w:cs="Arial"/>
          <w:sz w:val="22"/>
          <w:szCs w:val="22"/>
        </w:rPr>
        <w:t xml:space="preserve"> of this dissertation was to </w:t>
      </w:r>
      <w:r w:rsidR="00AB1615" w:rsidRPr="00980BBE">
        <w:rPr>
          <w:rFonts w:ascii="Arial" w:hAnsi="Arial" w:cs="Arial"/>
          <w:sz w:val="22"/>
          <w:szCs w:val="22"/>
        </w:rPr>
        <w:t>examine</w:t>
      </w:r>
      <w:r w:rsidRPr="00980BBE">
        <w:rPr>
          <w:rFonts w:ascii="Arial" w:hAnsi="Arial" w:cs="Arial"/>
          <w:sz w:val="22"/>
          <w:szCs w:val="22"/>
        </w:rPr>
        <w:t xml:space="preserve"> the </w:t>
      </w:r>
      <w:r w:rsidR="00AB1615" w:rsidRPr="00980BBE">
        <w:rPr>
          <w:rFonts w:ascii="Arial" w:hAnsi="Arial" w:cs="Arial"/>
          <w:sz w:val="22"/>
          <w:szCs w:val="22"/>
        </w:rPr>
        <w:t xml:space="preserve">relationship </w:t>
      </w:r>
      <w:r w:rsidRPr="00980BBE">
        <w:rPr>
          <w:rFonts w:ascii="Arial" w:hAnsi="Arial" w:cs="Arial"/>
          <w:sz w:val="22"/>
          <w:szCs w:val="22"/>
        </w:rPr>
        <w:t xml:space="preserve">between early-onset dementia risk, alcohol consumption, and socioeconomic disadvantage. </w:t>
      </w:r>
      <w:r w:rsidR="00A9277B" w:rsidRPr="00980BBE">
        <w:rPr>
          <w:rFonts w:ascii="Arial" w:hAnsi="Arial" w:cs="Arial"/>
          <w:sz w:val="22"/>
          <w:szCs w:val="22"/>
        </w:rPr>
        <w:t xml:space="preserve">Across the chapters, several key themes emerged, highlighting the complex and interconnected nature of these risk factors. </w:t>
      </w:r>
    </w:p>
    <w:p w14:paraId="5099C56B" w14:textId="4C9C9C6C" w:rsidR="003B6176" w:rsidRPr="00980BBE" w:rsidRDefault="00A9277B" w:rsidP="001D2D05">
      <w:pPr>
        <w:spacing w:line="360" w:lineRule="auto"/>
        <w:rPr>
          <w:rFonts w:ascii="Arial" w:hAnsi="Arial" w:cs="Arial"/>
          <w:sz w:val="22"/>
          <w:szCs w:val="22"/>
        </w:rPr>
      </w:pPr>
      <w:r w:rsidRPr="00980BBE">
        <w:rPr>
          <w:rFonts w:ascii="Arial" w:hAnsi="Arial" w:cs="Arial"/>
          <w:sz w:val="22"/>
          <w:szCs w:val="22"/>
        </w:rPr>
        <w:t xml:space="preserve">Evidence </w:t>
      </w:r>
      <w:r w:rsidR="003B6176" w:rsidRPr="00980BBE">
        <w:rPr>
          <w:rFonts w:ascii="Arial" w:hAnsi="Arial" w:cs="Arial"/>
          <w:sz w:val="22"/>
          <w:szCs w:val="22"/>
        </w:rPr>
        <w:t>indicates that alcohol</w:t>
      </w:r>
      <w:r w:rsidRPr="00980BBE">
        <w:rPr>
          <w:rFonts w:ascii="Arial" w:hAnsi="Arial" w:cs="Arial"/>
          <w:sz w:val="22"/>
          <w:szCs w:val="22"/>
        </w:rPr>
        <w:t xml:space="preserve"> consumption</w:t>
      </w:r>
      <w:r w:rsidR="003B6176" w:rsidRPr="00980BBE">
        <w:rPr>
          <w:rFonts w:ascii="Arial" w:hAnsi="Arial" w:cs="Arial"/>
          <w:sz w:val="22"/>
          <w:szCs w:val="22"/>
        </w:rPr>
        <w:t xml:space="preserve"> can damage brain </w:t>
      </w:r>
      <w:r w:rsidRPr="00980BBE">
        <w:rPr>
          <w:rFonts w:ascii="Arial" w:hAnsi="Arial" w:cs="Arial"/>
          <w:sz w:val="22"/>
          <w:szCs w:val="22"/>
        </w:rPr>
        <w:t>ne</w:t>
      </w:r>
      <w:r w:rsidR="00633924" w:rsidRPr="00980BBE">
        <w:rPr>
          <w:rFonts w:ascii="Arial" w:hAnsi="Arial" w:cs="Arial"/>
          <w:sz w:val="22"/>
          <w:szCs w:val="22"/>
        </w:rPr>
        <w:t>uronal structures</w:t>
      </w:r>
      <w:r w:rsidR="003B6176" w:rsidRPr="00980BBE">
        <w:rPr>
          <w:rFonts w:ascii="Arial" w:hAnsi="Arial" w:cs="Arial"/>
          <w:sz w:val="22"/>
          <w:szCs w:val="22"/>
        </w:rPr>
        <w:t>, disrupt neurotransmitter functioning, and contribute to vitamin deficiencies</w:t>
      </w:r>
      <w:r w:rsidR="00633924" w:rsidRPr="00980BBE">
        <w:rPr>
          <w:rFonts w:ascii="Arial" w:hAnsi="Arial" w:cs="Arial"/>
          <w:sz w:val="22"/>
          <w:szCs w:val="22"/>
        </w:rPr>
        <w:t xml:space="preserve">, such as </w:t>
      </w:r>
      <w:r w:rsidR="00033646" w:rsidRPr="00980BBE">
        <w:rPr>
          <w:rFonts w:ascii="Arial" w:hAnsi="Arial" w:cs="Arial"/>
          <w:sz w:val="22"/>
          <w:szCs w:val="22"/>
        </w:rPr>
        <w:t xml:space="preserve">thiamine deficiency, which collectively </w:t>
      </w:r>
      <w:r w:rsidR="003B6176" w:rsidRPr="00980BBE">
        <w:rPr>
          <w:rFonts w:ascii="Arial" w:hAnsi="Arial" w:cs="Arial"/>
          <w:sz w:val="22"/>
          <w:szCs w:val="22"/>
        </w:rPr>
        <w:t>impair cognitive processes (Alzheimer’s Society, 202</w:t>
      </w:r>
      <w:r w:rsidR="009B3C7E" w:rsidRPr="00980BBE">
        <w:rPr>
          <w:rFonts w:ascii="Arial" w:hAnsi="Arial" w:cs="Arial"/>
          <w:sz w:val="22"/>
          <w:szCs w:val="22"/>
        </w:rPr>
        <w:t>3</w:t>
      </w:r>
      <w:r w:rsidR="003B6176" w:rsidRPr="00980BBE">
        <w:rPr>
          <w:rFonts w:ascii="Arial" w:hAnsi="Arial" w:cs="Arial"/>
          <w:sz w:val="22"/>
          <w:szCs w:val="22"/>
        </w:rPr>
        <w:t>;</w:t>
      </w:r>
      <w:r w:rsidR="00AC6C94" w:rsidRPr="00980BBE">
        <w:rPr>
          <w:rFonts w:ascii="Arial" w:hAnsi="Arial" w:cs="Arial"/>
          <w:sz w:val="22"/>
          <w:szCs w:val="22"/>
        </w:rPr>
        <w:t xml:space="preserve"> Kilty et al., 2022).</w:t>
      </w:r>
    </w:p>
    <w:p w14:paraId="62572190" w14:textId="79066966" w:rsidR="00BF5EB5" w:rsidRPr="00980BBE" w:rsidRDefault="00D62DFE" w:rsidP="001D2D05">
      <w:pPr>
        <w:spacing w:line="360" w:lineRule="auto"/>
        <w:rPr>
          <w:rFonts w:ascii="Arial" w:hAnsi="Arial" w:cs="Arial"/>
          <w:sz w:val="22"/>
          <w:szCs w:val="22"/>
        </w:rPr>
      </w:pPr>
      <w:r w:rsidRPr="00980BBE">
        <w:rPr>
          <w:rFonts w:ascii="Arial" w:hAnsi="Arial" w:cs="Arial"/>
          <w:sz w:val="22"/>
          <w:szCs w:val="22"/>
        </w:rPr>
        <w:t>R</w:t>
      </w:r>
      <w:r w:rsidR="00BF5EB5" w:rsidRPr="00980BBE">
        <w:rPr>
          <w:rFonts w:ascii="Arial" w:hAnsi="Arial" w:cs="Arial"/>
          <w:sz w:val="22"/>
          <w:szCs w:val="22"/>
        </w:rPr>
        <w:t>esearch has demonstrated that alcohol us</w:t>
      </w:r>
      <w:r w:rsidRPr="00980BBE">
        <w:rPr>
          <w:rFonts w:ascii="Arial" w:hAnsi="Arial" w:cs="Arial"/>
          <w:sz w:val="22"/>
          <w:szCs w:val="22"/>
        </w:rPr>
        <w:t>e</w:t>
      </w:r>
      <w:r w:rsidR="00BF5EB5" w:rsidRPr="00980BBE">
        <w:rPr>
          <w:rFonts w:ascii="Arial" w:hAnsi="Arial" w:cs="Arial"/>
          <w:sz w:val="22"/>
          <w:szCs w:val="22"/>
        </w:rPr>
        <w:t xml:space="preserve"> disorders </w:t>
      </w:r>
      <w:r w:rsidR="00EF7445" w:rsidRPr="00980BBE">
        <w:rPr>
          <w:rFonts w:ascii="Arial" w:hAnsi="Arial" w:cs="Arial"/>
          <w:sz w:val="22"/>
          <w:szCs w:val="22"/>
        </w:rPr>
        <w:t>represent</w:t>
      </w:r>
      <w:r w:rsidR="00BF5EB5" w:rsidRPr="00980BBE">
        <w:rPr>
          <w:rFonts w:ascii="Arial" w:hAnsi="Arial" w:cs="Arial"/>
          <w:sz w:val="22"/>
          <w:szCs w:val="22"/>
        </w:rPr>
        <w:t xml:space="preserve"> one of the most </w:t>
      </w:r>
      <w:r w:rsidR="00FF3635" w:rsidRPr="00980BBE">
        <w:rPr>
          <w:rFonts w:ascii="Arial" w:hAnsi="Arial" w:cs="Arial"/>
          <w:sz w:val="22"/>
          <w:szCs w:val="22"/>
        </w:rPr>
        <w:t xml:space="preserve">significant </w:t>
      </w:r>
      <w:r w:rsidR="00BF5EB5" w:rsidRPr="00980BBE">
        <w:rPr>
          <w:rFonts w:ascii="Arial" w:hAnsi="Arial" w:cs="Arial"/>
          <w:sz w:val="22"/>
          <w:szCs w:val="22"/>
        </w:rPr>
        <w:t xml:space="preserve"> modifiable risk factors for cognitive decline</w:t>
      </w:r>
      <w:r w:rsidR="00FF3635" w:rsidRPr="00980BBE">
        <w:rPr>
          <w:rFonts w:ascii="Arial" w:hAnsi="Arial" w:cs="Arial"/>
          <w:sz w:val="22"/>
          <w:szCs w:val="22"/>
        </w:rPr>
        <w:t xml:space="preserve">, </w:t>
      </w:r>
      <w:r w:rsidR="00F96681" w:rsidRPr="00980BBE">
        <w:rPr>
          <w:rFonts w:ascii="Arial" w:hAnsi="Arial" w:cs="Arial"/>
          <w:sz w:val="22"/>
          <w:szCs w:val="22"/>
        </w:rPr>
        <w:t>increasing</w:t>
      </w:r>
      <w:r w:rsidR="00FF3635" w:rsidRPr="00980BBE">
        <w:rPr>
          <w:rFonts w:ascii="Arial" w:hAnsi="Arial" w:cs="Arial"/>
          <w:sz w:val="22"/>
          <w:szCs w:val="22"/>
        </w:rPr>
        <w:t xml:space="preserve"> the </w:t>
      </w:r>
      <w:r w:rsidR="00244663" w:rsidRPr="00980BBE">
        <w:rPr>
          <w:rFonts w:ascii="Arial" w:hAnsi="Arial" w:cs="Arial"/>
          <w:sz w:val="22"/>
          <w:szCs w:val="22"/>
        </w:rPr>
        <w:t xml:space="preserve">likelihood </w:t>
      </w:r>
      <w:r w:rsidR="00BF5EB5" w:rsidRPr="00980BBE">
        <w:rPr>
          <w:rFonts w:ascii="Arial" w:hAnsi="Arial" w:cs="Arial"/>
          <w:sz w:val="22"/>
          <w:szCs w:val="22"/>
        </w:rPr>
        <w:t xml:space="preserve">of early-onset dementia (Schwarzinger et al., 2018; JAMA Network Open, 2020). </w:t>
      </w:r>
      <w:r w:rsidR="00BF5EB5" w:rsidRPr="00980BBE">
        <w:rPr>
          <w:rFonts w:ascii="Arial" w:hAnsi="Arial" w:cs="Arial"/>
          <w:sz w:val="22"/>
          <w:szCs w:val="22"/>
        </w:rPr>
        <w:br/>
        <w:t xml:space="preserve">Overall, the </w:t>
      </w:r>
      <w:r w:rsidR="00244663" w:rsidRPr="00980BBE">
        <w:rPr>
          <w:rFonts w:ascii="Arial" w:hAnsi="Arial" w:cs="Arial"/>
          <w:sz w:val="22"/>
          <w:szCs w:val="22"/>
        </w:rPr>
        <w:t>aim</w:t>
      </w:r>
      <w:r w:rsidR="00BF5EB5" w:rsidRPr="00980BBE">
        <w:rPr>
          <w:rFonts w:ascii="Arial" w:hAnsi="Arial" w:cs="Arial"/>
          <w:sz w:val="22"/>
          <w:szCs w:val="22"/>
        </w:rPr>
        <w:t xml:space="preserve"> and objectives </w:t>
      </w:r>
      <w:r w:rsidR="00244663" w:rsidRPr="00980BBE">
        <w:rPr>
          <w:rFonts w:ascii="Arial" w:hAnsi="Arial" w:cs="Arial"/>
          <w:sz w:val="22"/>
          <w:szCs w:val="22"/>
        </w:rPr>
        <w:t xml:space="preserve">of this study were achieved </w:t>
      </w:r>
      <w:r w:rsidR="00BF5EB5" w:rsidRPr="00980BBE">
        <w:rPr>
          <w:rFonts w:ascii="Arial" w:hAnsi="Arial" w:cs="Arial"/>
          <w:sz w:val="22"/>
          <w:szCs w:val="22"/>
        </w:rPr>
        <w:t>since</w:t>
      </w:r>
      <w:r w:rsidR="00244663" w:rsidRPr="00980BBE">
        <w:rPr>
          <w:rFonts w:ascii="Arial" w:hAnsi="Arial" w:cs="Arial"/>
          <w:sz w:val="22"/>
          <w:szCs w:val="22"/>
        </w:rPr>
        <w:t>, as successfully identified and analys</w:t>
      </w:r>
      <w:r w:rsidR="00647E4E" w:rsidRPr="00980BBE">
        <w:rPr>
          <w:rFonts w:ascii="Arial" w:hAnsi="Arial" w:cs="Arial"/>
          <w:sz w:val="22"/>
          <w:szCs w:val="22"/>
        </w:rPr>
        <w:t xml:space="preserve">ed key relationships between </w:t>
      </w:r>
      <w:r w:rsidR="00BF5EB5" w:rsidRPr="00980BBE">
        <w:rPr>
          <w:rFonts w:ascii="Arial" w:hAnsi="Arial" w:cs="Arial"/>
          <w:sz w:val="22"/>
          <w:szCs w:val="22"/>
        </w:rPr>
        <w:t xml:space="preserve"> alcohol consumption, socioeconomic disadvantage, and </w:t>
      </w:r>
      <w:r w:rsidR="005A6B44">
        <w:rPr>
          <w:rFonts w:ascii="Arial" w:hAnsi="Arial" w:cs="Arial"/>
          <w:sz w:val="22"/>
          <w:szCs w:val="22"/>
        </w:rPr>
        <w:t>young-onset dementia</w:t>
      </w:r>
      <w:r w:rsidR="00BF5EB5" w:rsidRPr="00980BBE">
        <w:rPr>
          <w:rFonts w:ascii="Arial" w:hAnsi="Arial" w:cs="Arial"/>
          <w:sz w:val="22"/>
          <w:szCs w:val="22"/>
        </w:rPr>
        <w:t xml:space="preserve">. </w:t>
      </w:r>
      <w:r w:rsidR="000D69FF" w:rsidRPr="00980BBE">
        <w:rPr>
          <w:rFonts w:ascii="Arial" w:hAnsi="Arial" w:cs="Arial"/>
          <w:sz w:val="22"/>
          <w:szCs w:val="22"/>
        </w:rPr>
        <w:t>The findings</w:t>
      </w:r>
      <w:r w:rsidR="00964134" w:rsidRPr="00980BBE">
        <w:rPr>
          <w:rFonts w:ascii="Arial" w:hAnsi="Arial" w:cs="Arial"/>
          <w:sz w:val="22"/>
          <w:szCs w:val="22"/>
        </w:rPr>
        <w:t xml:space="preserve"> underscored the need for </w:t>
      </w:r>
      <w:r w:rsidR="00BF5EB5" w:rsidRPr="00980BBE">
        <w:rPr>
          <w:rFonts w:ascii="Arial" w:hAnsi="Arial" w:cs="Arial"/>
          <w:sz w:val="22"/>
          <w:szCs w:val="22"/>
        </w:rPr>
        <w:t xml:space="preserve">integrated interventions within health and social care </w:t>
      </w:r>
      <w:r w:rsidR="00964134" w:rsidRPr="00980BBE">
        <w:rPr>
          <w:rFonts w:ascii="Arial" w:hAnsi="Arial" w:cs="Arial"/>
          <w:sz w:val="22"/>
          <w:szCs w:val="22"/>
        </w:rPr>
        <w:t>sys</w:t>
      </w:r>
      <w:r w:rsidR="0005355F" w:rsidRPr="00980BBE">
        <w:rPr>
          <w:rFonts w:ascii="Arial" w:hAnsi="Arial" w:cs="Arial"/>
          <w:sz w:val="22"/>
          <w:szCs w:val="22"/>
        </w:rPr>
        <w:t xml:space="preserve">tems </w:t>
      </w:r>
      <w:r w:rsidR="00BF5EB5" w:rsidRPr="00980BBE">
        <w:rPr>
          <w:rFonts w:ascii="Arial" w:hAnsi="Arial" w:cs="Arial"/>
          <w:sz w:val="22"/>
          <w:szCs w:val="22"/>
        </w:rPr>
        <w:t xml:space="preserve">that address both </w:t>
      </w:r>
      <w:r w:rsidR="0005355F" w:rsidRPr="00980BBE">
        <w:rPr>
          <w:rFonts w:ascii="Arial" w:hAnsi="Arial" w:cs="Arial"/>
          <w:sz w:val="22"/>
          <w:szCs w:val="22"/>
        </w:rPr>
        <w:t xml:space="preserve">individual </w:t>
      </w:r>
      <w:r w:rsidR="00BF5EB5" w:rsidRPr="00980BBE">
        <w:rPr>
          <w:rFonts w:ascii="Arial" w:hAnsi="Arial" w:cs="Arial"/>
          <w:sz w:val="22"/>
          <w:szCs w:val="22"/>
        </w:rPr>
        <w:t xml:space="preserve">lifestyle behaviours and broader </w:t>
      </w:r>
      <w:r w:rsidR="0005355F" w:rsidRPr="00980BBE">
        <w:rPr>
          <w:rFonts w:ascii="Arial" w:hAnsi="Arial" w:cs="Arial"/>
          <w:sz w:val="22"/>
          <w:szCs w:val="22"/>
        </w:rPr>
        <w:t xml:space="preserve">structural </w:t>
      </w:r>
      <w:r w:rsidR="004E7740" w:rsidRPr="00980BBE">
        <w:rPr>
          <w:rFonts w:ascii="Arial" w:hAnsi="Arial" w:cs="Arial"/>
          <w:sz w:val="22"/>
          <w:szCs w:val="22"/>
        </w:rPr>
        <w:t xml:space="preserve">determinants, </w:t>
      </w:r>
      <w:r w:rsidR="009644E0" w:rsidRPr="00980BBE">
        <w:rPr>
          <w:rFonts w:ascii="Arial" w:hAnsi="Arial" w:cs="Arial"/>
          <w:sz w:val="22"/>
          <w:szCs w:val="22"/>
        </w:rPr>
        <w:t>to</w:t>
      </w:r>
      <w:r w:rsidR="004E7740" w:rsidRPr="00980BBE">
        <w:rPr>
          <w:rFonts w:ascii="Arial" w:hAnsi="Arial" w:cs="Arial"/>
          <w:sz w:val="22"/>
          <w:szCs w:val="22"/>
        </w:rPr>
        <w:t xml:space="preserve"> effectively </w:t>
      </w:r>
      <w:r w:rsidR="006E3E84" w:rsidRPr="00980BBE">
        <w:rPr>
          <w:rFonts w:ascii="Arial" w:hAnsi="Arial" w:cs="Arial"/>
          <w:sz w:val="22"/>
          <w:szCs w:val="22"/>
        </w:rPr>
        <w:t>reduce the incidence of early-onset dementia</w:t>
      </w:r>
      <w:r w:rsidR="00BF5EB5" w:rsidRPr="00980BBE">
        <w:rPr>
          <w:rFonts w:ascii="Arial" w:hAnsi="Arial" w:cs="Arial"/>
          <w:sz w:val="22"/>
          <w:szCs w:val="22"/>
        </w:rPr>
        <w:t xml:space="preserve"> (Public Health England, 2021; OECD, 2021).</w:t>
      </w:r>
    </w:p>
    <w:p w14:paraId="4B59A6CA" w14:textId="0947C0A1" w:rsidR="0069640E" w:rsidRPr="00F96DBD" w:rsidRDefault="0069640E" w:rsidP="005B349C">
      <w:pPr>
        <w:pStyle w:val="Heading1"/>
        <w:rPr>
          <w:rFonts w:ascii="Arial" w:hAnsi="Arial" w:cs="Arial"/>
          <w:b/>
          <w:bCs/>
          <w:color w:val="auto"/>
          <w:sz w:val="28"/>
          <w:szCs w:val="28"/>
          <w:u w:val="single"/>
        </w:rPr>
      </w:pPr>
      <w:bookmarkStart w:id="69" w:name="_Toc225966662"/>
      <w:r w:rsidRPr="00F96DBD">
        <w:rPr>
          <w:rFonts w:ascii="Arial" w:hAnsi="Arial" w:cs="Arial"/>
          <w:b/>
          <w:bCs/>
          <w:color w:val="auto"/>
          <w:sz w:val="28"/>
          <w:szCs w:val="28"/>
          <w:u w:val="single"/>
        </w:rPr>
        <w:t>Recommendations</w:t>
      </w:r>
      <w:bookmarkEnd w:id="69"/>
    </w:p>
    <w:p w14:paraId="49606774" w14:textId="7B632842" w:rsidR="0069640E" w:rsidRPr="00980BBE" w:rsidRDefault="0069640E" w:rsidP="001D2D05">
      <w:pPr>
        <w:spacing w:line="360" w:lineRule="auto"/>
        <w:rPr>
          <w:rFonts w:ascii="Arial" w:hAnsi="Arial" w:cs="Arial"/>
          <w:sz w:val="22"/>
          <w:szCs w:val="22"/>
        </w:rPr>
      </w:pPr>
      <w:r w:rsidRPr="00980BBE">
        <w:rPr>
          <w:rFonts w:ascii="Arial" w:hAnsi="Arial" w:cs="Arial"/>
          <w:sz w:val="22"/>
          <w:szCs w:val="22"/>
        </w:rPr>
        <w:t xml:space="preserve">The findings of this </w:t>
      </w:r>
      <w:r w:rsidR="00EF7445" w:rsidRPr="00980BBE">
        <w:rPr>
          <w:rFonts w:ascii="Arial" w:hAnsi="Arial" w:cs="Arial"/>
          <w:sz w:val="22"/>
          <w:szCs w:val="22"/>
        </w:rPr>
        <w:t>study</w:t>
      </w:r>
      <w:r w:rsidRPr="00980BBE">
        <w:rPr>
          <w:rFonts w:ascii="Arial" w:hAnsi="Arial" w:cs="Arial"/>
          <w:sz w:val="22"/>
          <w:szCs w:val="22"/>
        </w:rPr>
        <w:t xml:space="preserve"> </w:t>
      </w:r>
      <w:r w:rsidR="00EF7445" w:rsidRPr="00980BBE">
        <w:rPr>
          <w:rFonts w:ascii="Arial" w:hAnsi="Arial" w:cs="Arial"/>
          <w:sz w:val="22"/>
          <w:szCs w:val="22"/>
        </w:rPr>
        <w:t>underscore</w:t>
      </w:r>
      <w:r w:rsidRPr="00980BBE">
        <w:rPr>
          <w:rFonts w:ascii="Arial" w:hAnsi="Arial" w:cs="Arial"/>
          <w:sz w:val="22"/>
          <w:szCs w:val="22"/>
        </w:rPr>
        <w:t xml:space="preserve"> several </w:t>
      </w:r>
      <w:r w:rsidR="00EF7445" w:rsidRPr="00980BBE">
        <w:rPr>
          <w:rFonts w:ascii="Arial" w:hAnsi="Arial" w:cs="Arial"/>
          <w:sz w:val="22"/>
          <w:szCs w:val="22"/>
        </w:rPr>
        <w:t xml:space="preserve">critical </w:t>
      </w:r>
      <w:r w:rsidRPr="00980BBE">
        <w:rPr>
          <w:rFonts w:ascii="Arial" w:hAnsi="Arial" w:cs="Arial"/>
          <w:sz w:val="22"/>
          <w:szCs w:val="22"/>
        </w:rPr>
        <w:t xml:space="preserve">areas </w:t>
      </w:r>
      <w:r w:rsidR="00EF7445" w:rsidRPr="00980BBE">
        <w:rPr>
          <w:rFonts w:ascii="Arial" w:hAnsi="Arial" w:cs="Arial"/>
          <w:sz w:val="22"/>
          <w:szCs w:val="22"/>
        </w:rPr>
        <w:t xml:space="preserve">in </w:t>
      </w:r>
      <w:r w:rsidRPr="00980BBE">
        <w:rPr>
          <w:rFonts w:ascii="Arial" w:hAnsi="Arial" w:cs="Arial"/>
          <w:sz w:val="22"/>
          <w:szCs w:val="22"/>
        </w:rPr>
        <w:t xml:space="preserve">where changes in </w:t>
      </w:r>
      <w:r w:rsidR="00EF7445" w:rsidRPr="00980BBE">
        <w:rPr>
          <w:rFonts w:ascii="Arial" w:hAnsi="Arial" w:cs="Arial"/>
          <w:sz w:val="22"/>
          <w:szCs w:val="22"/>
        </w:rPr>
        <w:t>clinical practice</w:t>
      </w:r>
      <w:r w:rsidRPr="00980BBE">
        <w:rPr>
          <w:rFonts w:ascii="Arial" w:hAnsi="Arial" w:cs="Arial"/>
          <w:sz w:val="22"/>
          <w:szCs w:val="22"/>
        </w:rPr>
        <w:t>, policy</w:t>
      </w:r>
      <w:r w:rsidR="001A011B" w:rsidRPr="00980BBE">
        <w:rPr>
          <w:rFonts w:ascii="Arial" w:hAnsi="Arial" w:cs="Arial"/>
          <w:sz w:val="22"/>
          <w:szCs w:val="22"/>
        </w:rPr>
        <w:t xml:space="preserve"> framework</w:t>
      </w:r>
      <w:r w:rsidRPr="00980BBE">
        <w:rPr>
          <w:rFonts w:ascii="Arial" w:hAnsi="Arial" w:cs="Arial"/>
          <w:sz w:val="22"/>
          <w:szCs w:val="22"/>
        </w:rPr>
        <w:t xml:space="preserve">, and public health interventions could help reduce the risk of early-onset dementia associated with alcohol </w:t>
      </w:r>
      <w:r w:rsidR="00CF7211" w:rsidRPr="00980BBE">
        <w:rPr>
          <w:rFonts w:ascii="Arial" w:hAnsi="Arial" w:cs="Arial"/>
          <w:sz w:val="22"/>
          <w:szCs w:val="22"/>
        </w:rPr>
        <w:t xml:space="preserve">consumption and </w:t>
      </w:r>
      <w:r w:rsidRPr="00980BBE">
        <w:rPr>
          <w:rFonts w:ascii="Arial" w:hAnsi="Arial" w:cs="Arial"/>
          <w:sz w:val="22"/>
          <w:szCs w:val="22"/>
        </w:rPr>
        <w:t xml:space="preserve">socioeconomic disadvantage. The following recommendations </w:t>
      </w:r>
      <w:r w:rsidR="00CF7211" w:rsidRPr="00980BBE">
        <w:rPr>
          <w:rFonts w:ascii="Arial" w:hAnsi="Arial" w:cs="Arial"/>
          <w:sz w:val="22"/>
          <w:szCs w:val="22"/>
        </w:rPr>
        <w:t xml:space="preserve">are </w:t>
      </w:r>
      <w:r w:rsidR="00343736" w:rsidRPr="00980BBE">
        <w:rPr>
          <w:rFonts w:ascii="Arial" w:hAnsi="Arial" w:cs="Arial"/>
          <w:sz w:val="22"/>
          <w:szCs w:val="22"/>
        </w:rPr>
        <w:t xml:space="preserve">intended to enhance preventative </w:t>
      </w:r>
      <w:r w:rsidRPr="00980BBE">
        <w:rPr>
          <w:rFonts w:ascii="Arial" w:hAnsi="Arial" w:cs="Arial"/>
          <w:sz w:val="22"/>
          <w:szCs w:val="22"/>
        </w:rPr>
        <w:t xml:space="preserve">strategies, </w:t>
      </w:r>
      <w:r w:rsidR="00343736" w:rsidRPr="00980BBE">
        <w:rPr>
          <w:rFonts w:ascii="Arial" w:hAnsi="Arial" w:cs="Arial"/>
          <w:sz w:val="22"/>
          <w:szCs w:val="22"/>
        </w:rPr>
        <w:t>r</w:t>
      </w:r>
      <w:r w:rsidR="00A13520" w:rsidRPr="00980BBE">
        <w:rPr>
          <w:rFonts w:ascii="Arial" w:hAnsi="Arial" w:cs="Arial"/>
          <w:sz w:val="22"/>
          <w:szCs w:val="22"/>
        </w:rPr>
        <w:t>aise</w:t>
      </w:r>
      <w:r w:rsidRPr="00980BBE">
        <w:rPr>
          <w:rFonts w:ascii="Arial" w:hAnsi="Arial" w:cs="Arial"/>
          <w:sz w:val="22"/>
          <w:szCs w:val="22"/>
        </w:rPr>
        <w:t xml:space="preserve"> awareness, and address </w:t>
      </w:r>
      <w:r w:rsidR="00A13520" w:rsidRPr="00980BBE">
        <w:rPr>
          <w:rFonts w:ascii="Arial" w:hAnsi="Arial" w:cs="Arial"/>
          <w:sz w:val="22"/>
          <w:szCs w:val="22"/>
        </w:rPr>
        <w:t xml:space="preserve">structural </w:t>
      </w:r>
      <w:r w:rsidRPr="00980BBE">
        <w:rPr>
          <w:rFonts w:ascii="Arial" w:hAnsi="Arial" w:cs="Arial"/>
          <w:sz w:val="22"/>
          <w:szCs w:val="22"/>
        </w:rPr>
        <w:t xml:space="preserve">inequalities that contribute to this </w:t>
      </w:r>
      <w:r w:rsidR="00A13520" w:rsidRPr="00980BBE">
        <w:rPr>
          <w:rFonts w:ascii="Arial" w:hAnsi="Arial" w:cs="Arial"/>
          <w:sz w:val="22"/>
          <w:szCs w:val="22"/>
        </w:rPr>
        <w:t>emerging public</w:t>
      </w:r>
      <w:r w:rsidRPr="00980BBE">
        <w:rPr>
          <w:rFonts w:ascii="Arial" w:hAnsi="Arial" w:cs="Arial"/>
          <w:sz w:val="22"/>
          <w:szCs w:val="22"/>
        </w:rPr>
        <w:t xml:space="preserve"> health c</w:t>
      </w:r>
      <w:r w:rsidR="00A13520" w:rsidRPr="00980BBE">
        <w:rPr>
          <w:rFonts w:ascii="Arial" w:hAnsi="Arial" w:cs="Arial"/>
          <w:sz w:val="22"/>
          <w:szCs w:val="22"/>
        </w:rPr>
        <w:t>hallenge</w:t>
      </w:r>
      <w:r w:rsidRPr="00980BBE">
        <w:rPr>
          <w:rFonts w:ascii="Arial" w:hAnsi="Arial" w:cs="Arial"/>
          <w:sz w:val="22"/>
          <w:szCs w:val="22"/>
        </w:rPr>
        <w:t>.</w:t>
      </w:r>
    </w:p>
    <w:p w14:paraId="12868A0D" w14:textId="0E14E236" w:rsidR="0069640E" w:rsidRPr="00266F7A" w:rsidRDefault="0069640E" w:rsidP="001D2D05">
      <w:pPr>
        <w:spacing w:line="360" w:lineRule="auto"/>
        <w:rPr>
          <w:rFonts w:ascii="Arial" w:hAnsi="Arial" w:cs="Arial"/>
          <w:b/>
          <w:bCs/>
          <w:sz w:val="28"/>
          <w:szCs w:val="28"/>
        </w:rPr>
      </w:pPr>
      <w:r w:rsidRPr="00266F7A">
        <w:rPr>
          <w:rFonts w:ascii="Arial" w:hAnsi="Arial" w:cs="Arial"/>
          <w:b/>
          <w:bCs/>
          <w:sz w:val="28"/>
          <w:szCs w:val="28"/>
          <w:u w:val="single"/>
        </w:rPr>
        <w:t>Recommendation 1</w:t>
      </w:r>
      <w:r w:rsidRPr="00266F7A">
        <w:rPr>
          <w:rFonts w:ascii="Arial" w:hAnsi="Arial" w:cs="Arial"/>
          <w:b/>
          <w:bCs/>
          <w:sz w:val="28"/>
          <w:szCs w:val="28"/>
        </w:rPr>
        <w:t>: Increase Public Health Awareness of Alcohol-Related Cognitive Decline</w:t>
      </w:r>
    </w:p>
    <w:p w14:paraId="54A0CB1C" w14:textId="1C9D8D95" w:rsidR="00886194" w:rsidRPr="00980BBE" w:rsidRDefault="00886194" w:rsidP="001D2D05">
      <w:pPr>
        <w:spacing w:line="360" w:lineRule="auto"/>
        <w:rPr>
          <w:rFonts w:ascii="Arial" w:hAnsi="Arial" w:cs="Arial"/>
          <w:sz w:val="22"/>
          <w:szCs w:val="22"/>
        </w:rPr>
      </w:pPr>
      <w:r w:rsidRPr="00980BBE">
        <w:rPr>
          <w:rFonts w:ascii="Arial" w:hAnsi="Arial" w:cs="Arial"/>
          <w:sz w:val="22"/>
          <w:szCs w:val="22"/>
        </w:rPr>
        <w:t xml:space="preserve">The </w:t>
      </w:r>
      <w:r w:rsidR="0060687D" w:rsidRPr="00980BBE">
        <w:rPr>
          <w:rFonts w:ascii="Arial" w:hAnsi="Arial" w:cs="Arial"/>
          <w:sz w:val="22"/>
          <w:szCs w:val="22"/>
        </w:rPr>
        <w:t>key recommendation is the development and im</w:t>
      </w:r>
      <w:r w:rsidR="00B1210D" w:rsidRPr="00980BBE">
        <w:rPr>
          <w:rFonts w:ascii="Arial" w:hAnsi="Arial" w:cs="Arial"/>
          <w:sz w:val="22"/>
          <w:szCs w:val="22"/>
        </w:rPr>
        <w:t xml:space="preserve">plementation of targeted public health initiatives aimed at raising awareness of the long-term cognitive risk associated with excessive alcohol </w:t>
      </w:r>
      <w:r w:rsidR="00A06024" w:rsidRPr="00980BBE">
        <w:rPr>
          <w:rFonts w:ascii="Arial" w:hAnsi="Arial" w:cs="Arial"/>
          <w:sz w:val="22"/>
          <w:szCs w:val="22"/>
        </w:rPr>
        <w:t xml:space="preserve">consumption. While many individuals recognise </w:t>
      </w:r>
      <w:r w:rsidR="00950756" w:rsidRPr="00980BBE">
        <w:rPr>
          <w:rFonts w:ascii="Arial" w:hAnsi="Arial" w:cs="Arial"/>
          <w:sz w:val="22"/>
          <w:szCs w:val="22"/>
        </w:rPr>
        <w:t>the physical health consequences of alcohol misuse, such as liver disease and ca</w:t>
      </w:r>
      <w:r w:rsidR="00740B29" w:rsidRPr="00980BBE">
        <w:rPr>
          <w:rFonts w:ascii="Arial" w:hAnsi="Arial" w:cs="Arial"/>
          <w:sz w:val="22"/>
          <w:szCs w:val="22"/>
        </w:rPr>
        <w:t xml:space="preserve">rdiovascular conditions, far </w:t>
      </w:r>
      <w:r w:rsidR="00740B29" w:rsidRPr="00980BBE">
        <w:rPr>
          <w:rFonts w:ascii="Arial" w:hAnsi="Arial" w:cs="Arial"/>
          <w:sz w:val="22"/>
          <w:szCs w:val="22"/>
        </w:rPr>
        <w:lastRenderedPageBreak/>
        <w:t xml:space="preserve">fewer of its impact on mental </w:t>
      </w:r>
      <w:r w:rsidR="00CB51A8" w:rsidRPr="00980BBE">
        <w:rPr>
          <w:rFonts w:ascii="Arial" w:hAnsi="Arial" w:cs="Arial"/>
          <w:sz w:val="22"/>
          <w:szCs w:val="22"/>
        </w:rPr>
        <w:t xml:space="preserve">health and its role in increasing the risk of dementia </w:t>
      </w:r>
      <w:r w:rsidRPr="00980BBE">
        <w:rPr>
          <w:rFonts w:ascii="Arial" w:hAnsi="Arial" w:cs="Arial"/>
          <w:sz w:val="22"/>
          <w:szCs w:val="22"/>
        </w:rPr>
        <w:t>(World Health Organization, 2023; Alzheimer's Society, 2023).</w:t>
      </w:r>
    </w:p>
    <w:p w14:paraId="6B362F7F" w14:textId="02497EFC" w:rsidR="0047226C" w:rsidRPr="00980BBE" w:rsidRDefault="0047226C" w:rsidP="001D2D05">
      <w:pPr>
        <w:spacing w:line="360" w:lineRule="auto"/>
        <w:rPr>
          <w:rFonts w:ascii="Arial" w:hAnsi="Arial" w:cs="Arial"/>
          <w:sz w:val="22"/>
          <w:szCs w:val="22"/>
        </w:rPr>
      </w:pPr>
      <w:r w:rsidRPr="00980BBE">
        <w:rPr>
          <w:rFonts w:ascii="Arial" w:hAnsi="Arial" w:cs="Arial"/>
          <w:sz w:val="22"/>
          <w:szCs w:val="22"/>
        </w:rPr>
        <w:t xml:space="preserve">Public health </w:t>
      </w:r>
      <w:r w:rsidR="00066DF4" w:rsidRPr="00980BBE">
        <w:rPr>
          <w:rFonts w:ascii="Arial" w:hAnsi="Arial" w:cs="Arial"/>
          <w:sz w:val="22"/>
          <w:szCs w:val="22"/>
        </w:rPr>
        <w:t xml:space="preserve">agencies should develop </w:t>
      </w:r>
      <w:r w:rsidRPr="00980BBE">
        <w:rPr>
          <w:rFonts w:ascii="Arial" w:hAnsi="Arial" w:cs="Arial"/>
          <w:sz w:val="22"/>
          <w:szCs w:val="22"/>
        </w:rPr>
        <w:t xml:space="preserve">educational </w:t>
      </w:r>
      <w:r w:rsidR="00066DF4" w:rsidRPr="00980BBE">
        <w:rPr>
          <w:rFonts w:ascii="Arial" w:hAnsi="Arial" w:cs="Arial"/>
          <w:sz w:val="22"/>
          <w:szCs w:val="22"/>
        </w:rPr>
        <w:t>campaigns</w:t>
      </w:r>
      <w:r w:rsidRPr="00980BBE">
        <w:rPr>
          <w:rFonts w:ascii="Arial" w:hAnsi="Arial" w:cs="Arial"/>
          <w:sz w:val="22"/>
          <w:szCs w:val="22"/>
        </w:rPr>
        <w:t xml:space="preserve"> that emphasize the </w:t>
      </w:r>
      <w:r w:rsidR="00066DF4" w:rsidRPr="00980BBE">
        <w:rPr>
          <w:rFonts w:ascii="Arial" w:hAnsi="Arial" w:cs="Arial"/>
          <w:sz w:val="22"/>
          <w:szCs w:val="22"/>
        </w:rPr>
        <w:t xml:space="preserve">link </w:t>
      </w:r>
      <w:r w:rsidRPr="00980BBE">
        <w:rPr>
          <w:rFonts w:ascii="Arial" w:hAnsi="Arial" w:cs="Arial"/>
          <w:sz w:val="22"/>
          <w:szCs w:val="22"/>
        </w:rPr>
        <w:t xml:space="preserve">between </w:t>
      </w:r>
      <w:r w:rsidR="00066DF4" w:rsidRPr="00980BBE">
        <w:rPr>
          <w:rFonts w:ascii="Arial" w:hAnsi="Arial" w:cs="Arial"/>
          <w:sz w:val="22"/>
          <w:szCs w:val="22"/>
        </w:rPr>
        <w:t>a</w:t>
      </w:r>
      <w:r w:rsidR="00856955" w:rsidRPr="00980BBE">
        <w:rPr>
          <w:rFonts w:ascii="Arial" w:hAnsi="Arial" w:cs="Arial"/>
          <w:sz w:val="22"/>
          <w:szCs w:val="22"/>
        </w:rPr>
        <w:t>lcohol consumption and YOD</w:t>
      </w:r>
      <w:r w:rsidR="006F6E2D" w:rsidRPr="00980BBE">
        <w:rPr>
          <w:rFonts w:ascii="Arial" w:hAnsi="Arial" w:cs="Arial"/>
          <w:sz w:val="22"/>
          <w:szCs w:val="22"/>
        </w:rPr>
        <w:t>. Evidence indicates that prolong</w:t>
      </w:r>
      <w:r w:rsidR="00BC284C" w:rsidRPr="00980BBE">
        <w:rPr>
          <w:rFonts w:ascii="Arial" w:hAnsi="Arial" w:cs="Arial"/>
          <w:sz w:val="22"/>
          <w:szCs w:val="22"/>
        </w:rPr>
        <w:t>ed heavy drinking can reduce white matter volume, damage brain structures, and increase the risk of alcohol</w:t>
      </w:r>
      <w:r w:rsidR="00975F48" w:rsidRPr="00980BBE">
        <w:rPr>
          <w:rFonts w:ascii="Arial" w:hAnsi="Arial" w:cs="Arial"/>
          <w:sz w:val="22"/>
          <w:szCs w:val="22"/>
        </w:rPr>
        <w:t xml:space="preserve">-related brain damage </w:t>
      </w:r>
      <w:r w:rsidRPr="00980BBE">
        <w:rPr>
          <w:rFonts w:ascii="Arial" w:hAnsi="Arial" w:cs="Arial"/>
          <w:sz w:val="22"/>
          <w:szCs w:val="22"/>
        </w:rPr>
        <w:t xml:space="preserve">(Alzheimer’s Society, 2023; Rehm et al., 2019). </w:t>
      </w:r>
      <w:r w:rsidR="001769E7" w:rsidRPr="00980BBE">
        <w:rPr>
          <w:rFonts w:ascii="Arial" w:hAnsi="Arial" w:cs="Arial"/>
          <w:sz w:val="22"/>
          <w:szCs w:val="22"/>
        </w:rPr>
        <w:t>To</w:t>
      </w:r>
      <w:r w:rsidRPr="00980BBE">
        <w:rPr>
          <w:rFonts w:ascii="Arial" w:hAnsi="Arial" w:cs="Arial"/>
          <w:sz w:val="22"/>
          <w:szCs w:val="22"/>
        </w:rPr>
        <w:t xml:space="preserve"> </w:t>
      </w:r>
      <w:r w:rsidR="000F79A2" w:rsidRPr="00980BBE">
        <w:rPr>
          <w:rFonts w:ascii="Arial" w:hAnsi="Arial" w:cs="Arial"/>
          <w:sz w:val="22"/>
          <w:szCs w:val="22"/>
        </w:rPr>
        <w:t>maximize</w:t>
      </w:r>
      <w:r w:rsidR="00975F48" w:rsidRPr="00980BBE">
        <w:rPr>
          <w:rFonts w:ascii="Arial" w:hAnsi="Arial" w:cs="Arial"/>
          <w:sz w:val="22"/>
          <w:szCs w:val="22"/>
        </w:rPr>
        <w:t xml:space="preserve"> </w:t>
      </w:r>
      <w:r w:rsidR="000F79A2" w:rsidRPr="00980BBE">
        <w:rPr>
          <w:rFonts w:ascii="Arial" w:hAnsi="Arial" w:cs="Arial"/>
          <w:sz w:val="22"/>
          <w:szCs w:val="22"/>
        </w:rPr>
        <w:t xml:space="preserve">reach, these campaigns </w:t>
      </w:r>
      <w:r w:rsidRPr="00980BBE">
        <w:rPr>
          <w:rFonts w:ascii="Arial" w:hAnsi="Arial" w:cs="Arial"/>
          <w:sz w:val="22"/>
          <w:szCs w:val="22"/>
        </w:rPr>
        <w:t xml:space="preserve">a </w:t>
      </w:r>
      <w:r w:rsidR="00901664" w:rsidRPr="00980BBE">
        <w:rPr>
          <w:rFonts w:ascii="Arial" w:hAnsi="Arial" w:cs="Arial"/>
          <w:sz w:val="22"/>
          <w:szCs w:val="22"/>
        </w:rPr>
        <w:t xml:space="preserve">could  be delivered </w:t>
      </w:r>
      <w:r w:rsidR="003A2279" w:rsidRPr="00980BBE">
        <w:rPr>
          <w:rFonts w:ascii="Arial" w:hAnsi="Arial" w:cs="Arial"/>
          <w:sz w:val="22"/>
          <w:szCs w:val="22"/>
        </w:rPr>
        <w:t xml:space="preserve"> through community health services, workplaces, educa</w:t>
      </w:r>
      <w:r w:rsidR="0082240C" w:rsidRPr="00980BBE">
        <w:rPr>
          <w:rFonts w:ascii="Arial" w:hAnsi="Arial" w:cs="Arial"/>
          <w:sz w:val="22"/>
          <w:szCs w:val="22"/>
        </w:rPr>
        <w:t xml:space="preserve">tional institutions, </w:t>
      </w:r>
      <w:r w:rsidR="00CB4A7E" w:rsidRPr="00980BBE">
        <w:rPr>
          <w:rFonts w:ascii="Arial" w:hAnsi="Arial" w:cs="Arial"/>
          <w:sz w:val="22"/>
          <w:szCs w:val="22"/>
        </w:rPr>
        <w:t>and digital media platforms. By raising public awareness</w:t>
      </w:r>
      <w:r w:rsidR="008A3BF7" w:rsidRPr="00980BBE">
        <w:rPr>
          <w:rFonts w:ascii="Arial" w:hAnsi="Arial" w:cs="Arial"/>
          <w:sz w:val="22"/>
          <w:szCs w:val="22"/>
        </w:rPr>
        <w:t xml:space="preserve">, such as initiatives may encourage individuals to modify their drinking </w:t>
      </w:r>
      <w:r w:rsidR="00333E74" w:rsidRPr="00980BBE">
        <w:rPr>
          <w:rFonts w:ascii="Arial" w:hAnsi="Arial" w:cs="Arial"/>
          <w:sz w:val="22"/>
          <w:szCs w:val="22"/>
        </w:rPr>
        <w:t>behaviours</w:t>
      </w:r>
      <w:r w:rsidR="008A3BF7" w:rsidRPr="00980BBE">
        <w:rPr>
          <w:rFonts w:ascii="Arial" w:hAnsi="Arial" w:cs="Arial"/>
          <w:sz w:val="22"/>
          <w:szCs w:val="22"/>
        </w:rPr>
        <w:t xml:space="preserve"> </w:t>
      </w:r>
      <w:r w:rsidR="00333E74" w:rsidRPr="00980BBE">
        <w:rPr>
          <w:rFonts w:ascii="Arial" w:hAnsi="Arial" w:cs="Arial"/>
          <w:sz w:val="22"/>
          <w:szCs w:val="22"/>
        </w:rPr>
        <w:t xml:space="preserve">and seek help earlier </w:t>
      </w:r>
      <w:r w:rsidRPr="00980BBE">
        <w:rPr>
          <w:rFonts w:ascii="Arial" w:hAnsi="Arial" w:cs="Arial"/>
          <w:sz w:val="22"/>
          <w:szCs w:val="22"/>
        </w:rPr>
        <w:t>(Sjoberg, MacArthur, and Angus, 2023).</w:t>
      </w:r>
    </w:p>
    <w:p w14:paraId="0AD2CEFB" w14:textId="38EC3C30" w:rsidR="0069640E" w:rsidRPr="00980BBE" w:rsidRDefault="00CB194D" w:rsidP="001D2D05">
      <w:pPr>
        <w:spacing w:line="360" w:lineRule="auto"/>
        <w:rPr>
          <w:rFonts w:ascii="Arial" w:hAnsi="Arial" w:cs="Arial"/>
          <w:sz w:val="22"/>
          <w:szCs w:val="22"/>
        </w:rPr>
      </w:pPr>
      <w:r w:rsidRPr="00980BBE">
        <w:rPr>
          <w:rFonts w:ascii="Arial" w:hAnsi="Arial" w:cs="Arial"/>
          <w:sz w:val="22"/>
          <w:szCs w:val="22"/>
        </w:rPr>
        <w:t>A significant barrier</w:t>
      </w:r>
      <w:r w:rsidR="006B3090" w:rsidRPr="00980BBE">
        <w:rPr>
          <w:rFonts w:ascii="Arial" w:hAnsi="Arial" w:cs="Arial"/>
          <w:sz w:val="22"/>
          <w:szCs w:val="22"/>
        </w:rPr>
        <w:t xml:space="preserve"> to implementation of alcohol awareness campaigns is the normalisations of  </w:t>
      </w:r>
      <w:r w:rsidR="00D95746" w:rsidRPr="00980BBE">
        <w:rPr>
          <w:rFonts w:ascii="Arial" w:hAnsi="Arial" w:cs="Arial"/>
          <w:sz w:val="22"/>
          <w:szCs w:val="22"/>
        </w:rPr>
        <w:t xml:space="preserve"> </w:t>
      </w:r>
      <w:r w:rsidR="009473CB" w:rsidRPr="00980BBE">
        <w:rPr>
          <w:rFonts w:ascii="Arial" w:hAnsi="Arial" w:cs="Arial"/>
          <w:sz w:val="22"/>
          <w:szCs w:val="22"/>
        </w:rPr>
        <w:t>alcohol consumption in many societies, where cultural attitudes may reduce reco</w:t>
      </w:r>
      <w:r w:rsidR="00B942DC" w:rsidRPr="00980BBE">
        <w:rPr>
          <w:rFonts w:ascii="Arial" w:hAnsi="Arial" w:cs="Arial"/>
          <w:sz w:val="22"/>
          <w:szCs w:val="22"/>
        </w:rPr>
        <w:t xml:space="preserve">gnition of harmful drinking behaviour and limit the effectiveness of </w:t>
      </w:r>
      <w:r w:rsidR="007F5D0A" w:rsidRPr="00980BBE">
        <w:rPr>
          <w:rFonts w:ascii="Arial" w:hAnsi="Arial" w:cs="Arial"/>
          <w:sz w:val="22"/>
          <w:szCs w:val="22"/>
        </w:rPr>
        <w:t xml:space="preserve">preventative messaging </w:t>
      </w:r>
      <w:r w:rsidR="00E57887" w:rsidRPr="00980BBE">
        <w:rPr>
          <w:rFonts w:ascii="Arial" w:hAnsi="Arial" w:cs="Arial"/>
          <w:sz w:val="22"/>
          <w:szCs w:val="22"/>
        </w:rPr>
        <w:t>(Wells et al., 2025)</w:t>
      </w:r>
      <w:r w:rsidR="00D95746" w:rsidRPr="00980BBE">
        <w:rPr>
          <w:rFonts w:ascii="Arial" w:hAnsi="Arial" w:cs="Arial"/>
          <w:sz w:val="22"/>
          <w:szCs w:val="22"/>
        </w:rPr>
        <w:t>.</w:t>
      </w:r>
      <w:r w:rsidR="00E57887" w:rsidRPr="00980BBE">
        <w:rPr>
          <w:rFonts w:ascii="Arial" w:hAnsi="Arial" w:cs="Arial"/>
          <w:sz w:val="22"/>
          <w:szCs w:val="22"/>
        </w:rPr>
        <w:t xml:space="preserve"> </w:t>
      </w:r>
      <w:r w:rsidR="007F5D0A" w:rsidRPr="00980BBE">
        <w:rPr>
          <w:rFonts w:ascii="Arial" w:hAnsi="Arial" w:cs="Arial"/>
          <w:sz w:val="22"/>
          <w:szCs w:val="22"/>
        </w:rPr>
        <w:t>Addit</w:t>
      </w:r>
      <w:r w:rsidR="000B03F6" w:rsidRPr="00980BBE">
        <w:rPr>
          <w:rFonts w:ascii="Arial" w:hAnsi="Arial" w:cs="Arial"/>
          <w:sz w:val="22"/>
          <w:szCs w:val="22"/>
        </w:rPr>
        <w:t>ionally,</w:t>
      </w:r>
      <w:r w:rsidR="0069640E" w:rsidRPr="00980BBE">
        <w:rPr>
          <w:rFonts w:ascii="Arial" w:hAnsi="Arial" w:cs="Arial"/>
          <w:sz w:val="22"/>
          <w:szCs w:val="22"/>
        </w:rPr>
        <w:t xml:space="preserve"> individuals in </w:t>
      </w:r>
      <w:r w:rsidR="000B03F6" w:rsidRPr="00980BBE">
        <w:rPr>
          <w:rFonts w:ascii="Arial" w:hAnsi="Arial" w:cs="Arial"/>
          <w:sz w:val="22"/>
          <w:szCs w:val="22"/>
        </w:rPr>
        <w:t xml:space="preserve">socioeconomically </w:t>
      </w:r>
      <w:r w:rsidR="007D5A1D" w:rsidRPr="00980BBE">
        <w:rPr>
          <w:rFonts w:ascii="Arial" w:hAnsi="Arial" w:cs="Arial"/>
          <w:sz w:val="22"/>
          <w:szCs w:val="22"/>
        </w:rPr>
        <w:t xml:space="preserve">disadvantaged </w:t>
      </w:r>
      <w:r w:rsidR="0069640E" w:rsidRPr="00980BBE">
        <w:rPr>
          <w:rFonts w:ascii="Arial" w:hAnsi="Arial" w:cs="Arial"/>
          <w:sz w:val="22"/>
          <w:szCs w:val="22"/>
        </w:rPr>
        <w:t xml:space="preserve">communities </w:t>
      </w:r>
      <w:r w:rsidR="007D5A1D" w:rsidRPr="00980BBE">
        <w:rPr>
          <w:rFonts w:ascii="Arial" w:hAnsi="Arial" w:cs="Arial"/>
          <w:sz w:val="22"/>
          <w:szCs w:val="22"/>
        </w:rPr>
        <w:t>often have</w:t>
      </w:r>
      <w:r w:rsidR="0069640E" w:rsidRPr="00980BBE">
        <w:rPr>
          <w:rFonts w:ascii="Arial" w:hAnsi="Arial" w:cs="Arial"/>
          <w:sz w:val="22"/>
          <w:szCs w:val="22"/>
        </w:rPr>
        <w:t xml:space="preserve"> limited access to health </w:t>
      </w:r>
      <w:r w:rsidR="000F1713" w:rsidRPr="00980BBE">
        <w:rPr>
          <w:rFonts w:ascii="Arial" w:hAnsi="Arial" w:cs="Arial"/>
          <w:sz w:val="22"/>
          <w:szCs w:val="22"/>
        </w:rPr>
        <w:t xml:space="preserve">education, and </w:t>
      </w:r>
      <w:r w:rsidR="00BC019F" w:rsidRPr="00980BBE">
        <w:rPr>
          <w:rFonts w:ascii="Arial" w:hAnsi="Arial" w:cs="Arial"/>
          <w:sz w:val="22"/>
          <w:szCs w:val="22"/>
        </w:rPr>
        <w:t xml:space="preserve">equity in healthcare </w:t>
      </w:r>
      <w:r w:rsidR="0069640E" w:rsidRPr="00980BBE">
        <w:rPr>
          <w:rFonts w:ascii="Arial" w:hAnsi="Arial" w:cs="Arial"/>
          <w:sz w:val="22"/>
          <w:szCs w:val="22"/>
        </w:rPr>
        <w:t>resources (Marmot et al., 2020).</w:t>
      </w:r>
    </w:p>
    <w:p w14:paraId="765652FE" w14:textId="7EB88D94" w:rsidR="00350244" w:rsidRPr="00980BBE" w:rsidRDefault="00350244" w:rsidP="001D2D05">
      <w:pPr>
        <w:spacing w:line="360" w:lineRule="auto"/>
        <w:rPr>
          <w:rFonts w:ascii="Arial" w:hAnsi="Arial" w:cs="Arial"/>
          <w:sz w:val="22"/>
          <w:szCs w:val="22"/>
        </w:rPr>
      </w:pPr>
      <w:r w:rsidRPr="00980BBE">
        <w:rPr>
          <w:rFonts w:ascii="Arial" w:hAnsi="Arial" w:cs="Arial"/>
          <w:sz w:val="22"/>
          <w:szCs w:val="22"/>
        </w:rPr>
        <w:t xml:space="preserve">To </w:t>
      </w:r>
      <w:r w:rsidR="00BC019F" w:rsidRPr="00980BBE">
        <w:rPr>
          <w:rFonts w:ascii="Arial" w:hAnsi="Arial" w:cs="Arial"/>
          <w:sz w:val="22"/>
          <w:szCs w:val="22"/>
        </w:rPr>
        <w:t>address</w:t>
      </w:r>
      <w:r w:rsidRPr="00980BBE">
        <w:rPr>
          <w:rFonts w:ascii="Arial" w:hAnsi="Arial" w:cs="Arial"/>
          <w:sz w:val="22"/>
          <w:szCs w:val="22"/>
        </w:rPr>
        <w:t xml:space="preserve"> these </w:t>
      </w:r>
      <w:r w:rsidR="00BC019F" w:rsidRPr="00980BBE">
        <w:rPr>
          <w:rFonts w:ascii="Arial" w:hAnsi="Arial" w:cs="Arial"/>
          <w:sz w:val="22"/>
          <w:szCs w:val="22"/>
        </w:rPr>
        <w:t>challenges</w:t>
      </w:r>
      <w:r w:rsidRPr="00980BBE">
        <w:rPr>
          <w:rFonts w:ascii="Arial" w:hAnsi="Arial" w:cs="Arial"/>
          <w:sz w:val="22"/>
          <w:szCs w:val="22"/>
        </w:rPr>
        <w:t xml:space="preserve">, awareness </w:t>
      </w:r>
      <w:r w:rsidR="00BC019F" w:rsidRPr="00980BBE">
        <w:rPr>
          <w:rFonts w:ascii="Arial" w:hAnsi="Arial" w:cs="Arial"/>
          <w:sz w:val="22"/>
          <w:szCs w:val="22"/>
        </w:rPr>
        <w:t>initiatives</w:t>
      </w:r>
      <w:r w:rsidRPr="00980BBE">
        <w:rPr>
          <w:rFonts w:ascii="Arial" w:hAnsi="Arial" w:cs="Arial"/>
          <w:sz w:val="22"/>
          <w:szCs w:val="22"/>
        </w:rPr>
        <w:t xml:space="preserve"> should be </w:t>
      </w:r>
      <w:r w:rsidR="001A56ED" w:rsidRPr="00980BBE">
        <w:rPr>
          <w:rFonts w:ascii="Arial" w:hAnsi="Arial" w:cs="Arial"/>
          <w:sz w:val="22"/>
          <w:szCs w:val="22"/>
        </w:rPr>
        <w:t xml:space="preserve">tailored to specific </w:t>
      </w:r>
      <w:r w:rsidRPr="00980BBE">
        <w:rPr>
          <w:rFonts w:ascii="Arial" w:hAnsi="Arial" w:cs="Arial"/>
          <w:sz w:val="22"/>
          <w:szCs w:val="22"/>
        </w:rPr>
        <w:t xml:space="preserve">us communities and </w:t>
      </w:r>
      <w:r w:rsidR="001A56ED" w:rsidRPr="00980BBE">
        <w:rPr>
          <w:rFonts w:ascii="Arial" w:hAnsi="Arial" w:cs="Arial"/>
          <w:sz w:val="22"/>
          <w:szCs w:val="22"/>
        </w:rPr>
        <w:t xml:space="preserve">delivered </w:t>
      </w:r>
      <w:r w:rsidRPr="00980BBE">
        <w:rPr>
          <w:rFonts w:ascii="Arial" w:hAnsi="Arial" w:cs="Arial"/>
          <w:sz w:val="22"/>
          <w:szCs w:val="22"/>
        </w:rPr>
        <w:t xml:space="preserve">through </w:t>
      </w:r>
      <w:r w:rsidR="001246EE" w:rsidRPr="00980BBE">
        <w:rPr>
          <w:rFonts w:ascii="Arial" w:hAnsi="Arial" w:cs="Arial"/>
          <w:sz w:val="22"/>
          <w:szCs w:val="22"/>
        </w:rPr>
        <w:t>trusted</w:t>
      </w:r>
      <w:r w:rsidRPr="00980BBE">
        <w:rPr>
          <w:rFonts w:ascii="Arial" w:hAnsi="Arial" w:cs="Arial"/>
          <w:sz w:val="22"/>
          <w:szCs w:val="22"/>
        </w:rPr>
        <w:t xml:space="preserve"> local organi</w:t>
      </w:r>
      <w:r w:rsidR="001246EE" w:rsidRPr="00980BBE">
        <w:rPr>
          <w:rFonts w:ascii="Arial" w:hAnsi="Arial" w:cs="Arial"/>
          <w:sz w:val="22"/>
          <w:szCs w:val="22"/>
        </w:rPr>
        <w:t>s</w:t>
      </w:r>
      <w:r w:rsidRPr="00980BBE">
        <w:rPr>
          <w:rFonts w:ascii="Arial" w:hAnsi="Arial" w:cs="Arial"/>
          <w:sz w:val="22"/>
          <w:szCs w:val="22"/>
        </w:rPr>
        <w:t xml:space="preserve">ations. </w:t>
      </w:r>
      <w:r w:rsidR="001246EE" w:rsidRPr="00980BBE">
        <w:rPr>
          <w:rFonts w:ascii="Arial" w:hAnsi="Arial" w:cs="Arial"/>
          <w:sz w:val="22"/>
          <w:szCs w:val="22"/>
        </w:rPr>
        <w:t>Collaboration between health</w:t>
      </w:r>
      <w:r w:rsidR="002D3E5B" w:rsidRPr="00980BBE">
        <w:rPr>
          <w:rFonts w:ascii="Arial" w:hAnsi="Arial" w:cs="Arial"/>
          <w:sz w:val="22"/>
          <w:szCs w:val="22"/>
        </w:rPr>
        <w:t xml:space="preserve"> providers and community leaders is essential to ensure that messaging is both acc</w:t>
      </w:r>
      <w:r w:rsidR="00370AFA" w:rsidRPr="00980BBE">
        <w:rPr>
          <w:rFonts w:ascii="Arial" w:hAnsi="Arial" w:cs="Arial"/>
          <w:sz w:val="22"/>
          <w:szCs w:val="22"/>
        </w:rPr>
        <w:t xml:space="preserve">essible and culturally </w:t>
      </w:r>
      <w:r w:rsidRPr="00980BBE">
        <w:rPr>
          <w:rFonts w:ascii="Arial" w:hAnsi="Arial" w:cs="Arial"/>
          <w:sz w:val="22"/>
          <w:szCs w:val="22"/>
        </w:rPr>
        <w:t>appropriate (UK Government, 2020).</w:t>
      </w:r>
      <w:r w:rsidR="00C50608" w:rsidRPr="00980BBE">
        <w:rPr>
          <w:rFonts w:ascii="Arial" w:hAnsi="Arial" w:cs="Arial"/>
          <w:sz w:val="22"/>
          <w:szCs w:val="22"/>
        </w:rPr>
        <w:t xml:space="preserve"> </w:t>
      </w:r>
    </w:p>
    <w:p w14:paraId="69FDD8BA" w14:textId="35D01160" w:rsidR="0069640E" w:rsidRPr="00266F7A" w:rsidRDefault="0069640E" w:rsidP="001D2D05">
      <w:pPr>
        <w:spacing w:line="360" w:lineRule="auto"/>
        <w:rPr>
          <w:rFonts w:ascii="Arial" w:hAnsi="Arial" w:cs="Arial"/>
          <w:b/>
          <w:bCs/>
          <w:sz w:val="28"/>
          <w:szCs w:val="28"/>
        </w:rPr>
      </w:pPr>
      <w:r w:rsidRPr="00266F7A">
        <w:rPr>
          <w:rFonts w:ascii="Arial" w:hAnsi="Arial" w:cs="Arial"/>
          <w:b/>
          <w:bCs/>
          <w:sz w:val="28"/>
          <w:szCs w:val="28"/>
          <w:u w:val="single"/>
        </w:rPr>
        <w:t>Recommendation 2</w:t>
      </w:r>
      <w:r w:rsidRPr="00266F7A">
        <w:rPr>
          <w:rFonts w:ascii="Arial" w:hAnsi="Arial" w:cs="Arial"/>
          <w:b/>
          <w:bCs/>
          <w:sz w:val="28"/>
          <w:szCs w:val="28"/>
        </w:rPr>
        <w:t>: Improve Early Screening and Diagnosis for High-Risk Populations</w:t>
      </w:r>
    </w:p>
    <w:p w14:paraId="64476A06" w14:textId="4789862D" w:rsidR="00B77E2E" w:rsidRPr="00980BBE" w:rsidRDefault="00D64FA1" w:rsidP="001D2D05">
      <w:pPr>
        <w:spacing w:line="360" w:lineRule="auto"/>
        <w:rPr>
          <w:rFonts w:ascii="Arial" w:hAnsi="Arial" w:cs="Arial"/>
          <w:sz w:val="22"/>
          <w:szCs w:val="22"/>
        </w:rPr>
      </w:pPr>
      <w:r w:rsidRPr="00980BBE">
        <w:rPr>
          <w:rFonts w:ascii="Arial" w:hAnsi="Arial" w:cs="Arial"/>
          <w:sz w:val="22"/>
          <w:szCs w:val="22"/>
        </w:rPr>
        <w:t>Another key recommendation is the enhancement o</w:t>
      </w:r>
      <w:r w:rsidR="00E764AB" w:rsidRPr="00980BBE">
        <w:rPr>
          <w:rFonts w:ascii="Arial" w:hAnsi="Arial" w:cs="Arial"/>
          <w:sz w:val="22"/>
          <w:szCs w:val="22"/>
        </w:rPr>
        <w:t>f</w:t>
      </w:r>
      <w:r w:rsidRPr="00980BBE">
        <w:rPr>
          <w:rFonts w:ascii="Arial" w:hAnsi="Arial" w:cs="Arial"/>
          <w:sz w:val="22"/>
          <w:szCs w:val="22"/>
        </w:rPr>
        <w:t xml:space="preserve"> screening and early detection </w:t>
      </w:r>
      <w:r w:rsidR="00CA710B" w:rsidRPr="00980BBE">
        <w:rPr>
          <w:rFonts w:ascii="Arial" w:hAnsi="Arial" w:cs="Arial"/>
          <w:sz w:val="22"/>
          <w:szCs w:val="22"/>
        </w:rPr>
        <w:t xml:space="preserve">strategies for individuals at elevated risk of young-onset </w:t>
      </w:r>
      <w:r w:rsidR="00E764AB" w:rsidRPr="00980BBE">
        <w:rPr>
          <w:rFonts w:ascii="Arial" w:hAnsi="Arial" w:cs="Arial"/>
          <w:sz w:val="22"/>
          <w:szCs w:val="22"/>
        </w:rPr>
        <w:t xml:space="preserve">dementia. Primary care providers should </w:t>
      </w:r>
      <w:r w:rsidR="00C70514" w:rsidRPr="00980BBE">
        <w:rPr>
          <w:rFonts w:ascii="Arial" w:hAnsi="Arial" w:cs="Arial"/>
          <w:sz w:val="22"/>
          <w:szCs w:val="22"/>
        </w:rPr>
        <w:t>routinely assess alcohol consumption patterns and cognitive health in middle-aged adults, part</w:t>
      </w:r>
      <w:r w:rsidR="00F22586" w:rsidRPr="00980BBE">
        <w:rPr>
          <w:rFonts w:ascii="Arial" w:hAnsi="Arial" w:cs="Arial"/>
          <w:sz w:val="22"/>
          <w:szCs w:val="22"/>
        </w:rPr>
        <w:t>icular those with history of heavy drinking or socioec</w:t>
      </w:r>
      <w:r w:rsidR="00AB4F1A" w:rsidRPr="00980BBE">
        <w:rPr>
          <w:rFonts w:ascii="Arial" w:hAnsi="Arial" w:cs="Arial"/>
          <w:sz w:val="22"/>
          <w:szCs w:val="22"/>
        </w:rPr>
        <w:t>onomic disadvantage</w:t>
      </w:r>
      <w:r w:rsidR="00B77E2E" w:rsidRPr="00980BBE">
        <w:rPr>
          <w:rFonts w:ascii="Arial" w:hAnsi="Arial" w:cs="Arial"/>
          <w:sz w:val="22"/>
          <w:szCs w:val="22"/>
        </w:rPr>
        <w:t xml:space="preserve"> (Livingston et al., 2020; Rehm et al., 2019).</w:t>
      </w:r>
    </w:p>
    <w:p w14:paraId="51E4441C" w14:textId="1A9026FF" w:rsidR="0069640E" w:rsidRPr="00980BBE" w:rsidRDefault="00210AC3" w:rsidP="001D2D05">
      <w:pPr>
        <w:spacing w:line="360" w:lineRule="auto"/>
        <w:rPr>
          <w:rFonts w:ascii="Arial" w:hAnsi="Arial" w:cs="Arial"/>
          <w:sz w:val="22"/>
          <w:szCs w:val="22"/>
        </w:rPr>
      </w:pPr>
      <w:r w:rsidRPr="00980BBE">
        <w:rPr>
          <w:rFonts w:ascii="Arial" w:hAnsi="Arial" w:cs="Arial"/>
          <w:sz w:val="22"/>
          <w:szCs w:val="22"/>
        </w:rPr>
        <w:t>Early screening</w:t>
      </w:r>
      <w:r w:rsidR="00AB4F1A" w:rsidRPr="00980BBE">
        <w:rPr>
          <w:rFonts w:ascii="Arial" w:hAnsi="Arial" w:cs="Arial"/>
          <w:sz w:val="22"/>
          <w:szCs w:val="22"/>
        </w:rPr>
        <w:t xml:space="preserve"> initiatives</w:t>
      </w:r>
      <w:r w:rsidRPr="00980BBE">
        <w:rPr>
          <w:rFonts w:ascii="Arial" w:hAnsi="Arial" w:cs="Arial"/>
          <w:sz w:val="22"/>
          <w:szCs w:val="22"/>
        </w:rPr>
        <w:t xml:space="preserve"> could </w:t>
      </w:r>
      <w:r w:rsidR="00AB4F1A" w:rsidRPr="00980BBE">
        <w:rPr>
          <w:rFonts w:ascii="Arial" w:hAnsi="Arial" w:cs="Arial"/>
          <w:sz w:val="22"/>
          <w:szCs w:val="22"/>
        </w:rPr>
        <w:t>include</w:t>
      </w:r>
      <w:r w:rsidRPr="00980BBE">
        <w:rPr>
          <w:rFonts w:ascii="Arial" w:hAnsi="Arial" w:cs="Arial"/>
          <w:sz w:val="22"/>
          <w:szCs w:val="22"/>
        </w:rPr>
        <w:t xml:space="preserve"> routine alcohol assessments, cognitive testing, and referrals to specialist services where appropriate</w:t>
      </w:r>
      <w:r w:rsidR="00CE1C68" w:rsidRPr="00980BBE">
        <w:rPr>
          <w:rFonts w:ascii="Arial" w:hAnsi="Arial" w:cs="Arial"/>
          <w:sz w:val="22"/>
          <w:szCs w:val="22"/>
        </w:rPr>
        <w:t>. I</w:t>
      </w:r>
      <w:r w:rsidRPr="00980BBE">
        <w:rPr>
          <w:rFonts w:ascii="Arial" w:hAnsi="Arial" w:cs="Arial"/>
          <w:sz w:val="22"/>
          <w:szCs w:val="22"/>
        </w:rPr>
        <w:t>dentifying cognitive impairment at an earl</w:t>
      </w:r>
      <w:r w:rsidR="00CE1C68" w:rsidRPr="00980BBE">
        <w:rPr>
          <w:rFonts w:ascii="Arial" w:hAnsi="Arial" w:cs="Arial"/>
          <w:sz w:val="22"/>
          <w:szCs w:val="22"/>
        </w:rPr>
        <w:t xml:space="preserve">y </w:t>
      </w:r>
      <w:r w:rsidRPr="00980BBE">
        <w:rPr>
          <w:rFonts w:ascii="Arial" w:hAnsi="Arial" w:cs="Arial"/>
          <w:sz w:val="22"/>
          <w:szCs w:val="22"/>
        </w:rPr>
        <w:t xml:space="preserve">stage </w:t>
      </w:r>
      <w:r w:rsidR="00CE1C68" w:rsidRPr="00980BBE">
        <w:rPr>
          <w:rFonts w:ascii="Arial" w:hAnsi="Arial" w:cs="Arial"/>
          <w:sz w:val="22"/>
          <w:szCs w:val="22"/>
        </w:rPr>
        <w:t xml:space="preserve">enables </w:t>
      </w:r>
      <w:r w:rsidR="00EA7910" w:rsidRPr="00980BBE">
        <w:rPr>
          <w:rFonts w:ascii="Arial" w:hAnsi="Arial" w:cs="Arial"/>
          <w:sz w:val="22"/>
          <w:szCs w:val="22"/>
        </w:rPr>
        <w:t xml:space="preserve">timely </w:t>
      </w:r>
      <w:r w:rsidRPr="00980BBE">
        <w:rPr>
          <w:rFonts w:ascii="Arial" w:hAnsi="Arial" w:cs="Arial"/>
          <w:sz w:val="22"/>
          <w:szCs w:val="22"/>
        </w:rPr>
        <w:t>treatment, support, and lifestyle interventions</w:t>
      </w:r>
      <w:r w:rsidR="00EA7910" w:rsidRPr="00980BBE">
        <w:rPr>
          <w:rFonts w:ascii="Arial" w:hAnsi="Arial" w:cs="Arial"/>
          <w:sz w:val="22"/>
          <w:szCs w:val="22"/>
        </w:rPr>
        <w:t xml:space="preserve">. Which may </w:t>
      </w:r>
      <w:r w:rsidRPr="00980BBE">
        <w:rPr>
          <w:rFonts w:ascii="Arial" w:hAnsi="Arial" w:cs="Arial"/>
          <w:sz w:val="22"/>
          <w:szCs w:val="22"/>
        </w:rPr>
        <w:t>slow disease progression (Jones et al., 2023).</w:t>
      </w:r>
      <w:r w:rsidR="0069640E" w:rsidRPr="00980BBE">
        <w:rPr>
          <w:rFonts w:ascii="Arial" w:hAnsi="Arial" w:cs="Arial"/>
          <w:sz w:val="22"/>
          <w:szCs w:val="22"/>
        </w:rPr>
        <w:t xml:space="preserve"> </w:t>
      </w:r>
    </w:p>
    <w:p w14:paraId="42D2C506" w14:textId="6DE4DD2B" w:rsidR="00484917" w:rsidRPr="00980BBE" w:rsidRDefault="00484917" w:rsidP="001D2D05">
      <w:pPr>
        <w:spacing w:line="360" w:lineRule="auto"/>
        <w:rPr>
          <w:rFonts w:ascii="Arial" w:hAnsi="Arial" w:cs="Arial"/>
          <w:sz w:val="22"/>
          <w:szCs w:val="22"/>
        </w:rPr>
      </w:pPr>
      <w:r w:rsidRPr="00980BBE">
        <w:rPr>
          <w:rFonts w:ascii="Arial" w:hAnsi="Arial" w:cs="Arial"/>
          <w:sz w:val="22"/>
          <w:szCs w:val="22"/>
        </w:rPr>
        <w:t xml:space="preserve">Despite </w:t>
      </w:r>
      <w:r w:rsidR="00E666FC" w:rsidRPr="00980BBE">
        <w:rPr>
          <w:rFonts w:ascii="Arial" w:hAnsi="Arial" w:cs="Arial"/>
          <w:sz w:val="22"/>
          <w:szCs w:val="22"/>
        </w:rPr>
        <w:t xml:space="preserve">the potential benefits, implementation challenges </w:t>
      </w:r>
      <w:r w:rsidR="00535FA3" w:rsidRPr="00980BBE">
        <w:rPr>
          <w:rFonts w:ascii="Arial" w:hAnsi="Arial" w:cs="Arial"/>
          <w:sz w:val="22"/>
          <w:szCs w:val="22"/>
        </w:rPr>
        <w:t>exit</w:t>
      </w:r>
      <w:r w:rsidR="00E666FC" w:rsidRPr="00980BBE">
        <w:rPr>
          <w:rFonts w:ascii="Arial" w:hAnsi="Arial" w:cs="Arial"/>
          <w:sz w:val="22"/>
          <w:szCs w:val="22"/>
        </w:rPr>
        <w:t xml:space="preserve">. Time and </w:t>
      </w:r>
      <w:r w:rsidR="00535FA3" w:rsidRPr="00980BBE">
        <w:rPr>
          <w:rFonts w:ascii="Arial" w:hAnsi="Arial" w:cs="Arial"/>
          <w:sz w:val="22"/>
          <w:szCs w:val="22"/>
        </w:rPr>
        <w:t xml:space="preserve">resources </w:t>
      </w:r>
      <w:r w:rsidR="003A5E5A" w:rsidRPr="00980BBE">
        <w:rPr>
          <w:rFonts w:ascii="Arial" w:hAnsi="Arial" w:cs="Arial"/>
          <w:sz w:val="22"/>
          <w:szCs w:val="22"/>
        </w:rPr>
        <w:t>constrain</w:t>
      </w:r>
      <w:r w:rsidR="00535FA3" w:rsidRPr="00980BBE">
        <w:rPr>
          <w:rFonts w:ascii="Arial" w:hAnsi="Arial" w:cs="Arial"/>
          <w:sz w:val="22"/>
          <w:szCs w:val="22"/>
        </w:rPr>
        <w:t xml:space="preserve"> in healthcare systems can hinder the ability of p</w:t>
      </w:r>
      <w:r w:rsidR="00AE6AFD" w:rsidRPr="00980BBE">
        <w:rPr>
          <w:rFonts w:ascii="Arial" w:hAnsi="Arial" w:cs="Arial"/>
          <w:sz w:val="22"/>
          <w:szCs w:val="22"/>
        </w:rPr>
        <w:t xml:space="preserve">ractitioners to conduct comprehensive </w:t>
      </w:r>
      <w:r w:rsidR="00AE6AFD" w:rsidRPr="00980BBE">
        <w:rPr>
          <w:rFonts w:ascii="Arial" w:hAnsi="Arial" w:cs="Arial"/>
          <w:sz w:val="22"/>
          <w:szCs w:val="22"/>
        </w:rPr>
        <w:lastRenderedPageBreak/>
        <w:t>assessments</w:t>
      </w:r>
      <w:r w:rsidR="004A155C" w:rsidRPr="00980BBE">
        <w:rPr>
          <w:rFonts w:ascii="Arial" w:hAnsi="Arial" w:cs="Arial"/>
          <w:sz w:val="22"/>
          <w:szCs w:val="22"/>
        </w:rPr>
        <w:t xml:space="preserve"> </w:t>
      </w:r>
      <w:r w:rsidRPr="00980BBE">
        <w:rPr>
          <w:rFonts w:ascii="Arial" w:hAnsi="Arial" w:cs="Arial"/>
          <w:sz w:val="22"/>
          <w:szCs w:val="22"/>
        </w:rPr>
        <w:t xml:space="preserve">(Barry et al., 2023). </w:t>
      </w:r>
      <w:r w:rsidR="004A155C" w:rsidRPr="00980BBE">
        <w:rPr>
          <w:rFonts w:ascii="Arial" w:hAnsi="Arial" w:cs="Arial"/>
          <w:sz w:val="22"/>
          <w:szCs w:val="22"/>
        </w:rPr>
        <w:t>Furthermore,</w:t>
      </w:r>
      <w:r w:rsidRPr="00980BBE">
        <w:rPr>
          <w:rFonts w:ascii="Arial" w:hAnsi="Arial" w:cs="Arial"/>
          <w:sz w:val="22"/>
          <w:szCs w:val="22"/>
        </w:rPr>
        <w:t xml:space="preserve"> stigma </w:t>
      </w:r>
      <w:r w:rsidR="004A155C" w:rsidRPr="00980BBE">
        <w:rPr>
          <w:rFonts w:ascii="Arial" w:hAnsi="Arial" w:cs="Arial"/>
          <w:sz w:val="22"/>
          <w:szCs w:val="22"/>
        </w:rPr>
        <w:t xml:space="preserve">associated with </w:t>
      </w:r>
      <w:r w:rsidRPr="00980BBE">
        <w:rPr>
          <w:rFonts w:ascii="Arial" w:hAnsi="Arial" w:cs="Arial"/>
          <w:sz w:val="22"/>
          <w:szCs w:val="22"/>
        </w:rPr>
        <w:t xml:space="preserve">dementia and alcohol </w:t>
      </w:r>
      <w:r w:rsidR="00DD209A" w:rsidRPr="00980BBE">
        <w:rPr>
          <w:rFonts w:ascii="Arial" w:hAnsi="Arial" w:cs="Arial"/>
          <w:sz w:val="22"/>
          <w:szCs w:val="22"/>
        </w:rPr>
        <w:t>misuse</w:t>
      </w:r>
      <w:r w:rsidRPr="00980BBE">
        <w:rPr>
          <w:rFonts w:ascii="Arial" w:hAnsi="Arial" w:cs="Arial"/>
          <w:sz w:val="22"/>
          <w:szCs w:val="22"/>
        </w:rPr>
        <w:t xml:space="preserve"> may </w:t>
      </w:r>
      <w:r w:rsidR="00DD209A" w:rsidRPr="00980BBE">
        <w:rPr>
          <w:rFonts w:ascii="Arial" w:hAnsi="Arial" w:cs="Arial"/>
          <w:sz w:val="22"/>
          <w:szCs w:val="22"/>
        </w:rPr>
        <w:t>discourage individuals from seeking evaluation and treatment</w:t>
      </w:r>
      <w:r w:rsidR="004B3626" w:rsidRPr="00980BBE">
        <w:rPr>
          <w:rFonts w:ascii="Arial" w:hAnsi="Arial" w:cs="Arial"/>
          <w:sz w:val="22"/>
          <w:szCs w:val="22"/>
        </w:rPr>
        <w:t>.</w:t>
      </w:r>
    </w:p>
    <w:p w14:paraId="232B577D" w14:textId="58BA6CD7" w:rsidR="009D249E" w:rsidRPr="00980BBE" w:rsidRDefault="009D249E" w:rsidP="001D2D05">
      <w:pPr>
        <w:spacing w:line="360" w:lineRule="auto"/>
        <w:rPr>
          <w:rFonts w:ascii="Arial" w:hAnsi="Arial" w:cs="Arial"/>
          <w:sz w:val="22"/>
          <w:szCs w:val="22"/>
        </w:rPr>
      </w:pPr>
      <w:r w:rsidRPr="00980BBE">
        <w:rPr>
          <w:rFonts w:ascii="Arial" w:hAnsi="Arial" w:cs="Arial"/>
          <w:sz w:val="22"/>
          <w:szCs w:val="22"/>
        </w:rPr>
        <w:t xml:space="preserve">To </w:t>
      </w:r>
      <w:r w:rsidR="004B3626" w:rsidRPr="00980BBE">
        <w:rPr>
          <w:rFonts w:ascii="Arial" w:hAnsi="Arial" w:cs="Arial"/>
          <w:sz w:val="22"/>
          <w:szCs w:val="22"/>
        </w:rPr>
        <w:t>address these challenges</w:t>
      </w:r>
      <w:r w:rsidR="001664F9" w:rsidRPr="00980BBE">
        <w:rPr>
          <w:rFonts w:ascii="Arial" w:hAnsi="Arial" w:cs="Arial"/>
          <w:sz w:val="22"/>
          <w:szCs w:val="22"/>
        </w:rPr>
        <w:t xml:space="preserve">, health </w:t>
      </w:r>
      <w:r w:rsidRPr="00980BBE">
        <w:rPr>
          <w:rFonts w:ascii="Arial" w:hAnsi="Arial" w:cs="Arial"/>
          <w:sz w:val="22"/>
          <w:szCs w:val="22"/>
        </w:rPr>
        <w:t xml:space="preserve">professionals should </w:t>
      </w:r>
      <w:r w:rsidR="001664F9" w:rsidRPr="00980BBE">
        <w:rPr>
          <w:rFonts w:ascii="Arial" w:hAnsi="Arial" w:cs="Arial"/>
          <w:sz w:val="22"/>
          <w:szCs w:val="22"/>
        </w:rPr>
        <w:t>receive enhanced training</w:t>
      </w:r>
      <w:r w:rsidR="005D6614" w:rsidRPr="00980BBE">
        <w:rPr>
          <w:rFonts w:ascii="Arial" w:hAnsi="Arial" w:cs="Arial"/>
          <w:sz w:val="22"/>
          <w:szCs w:val="22"/>
        </w:rPr>
        <w:t xml:space="preserve"> on the early identification of alcohol-related </w:t>
      </w:r>
      <w:r w:rsidR="001664F9" w:rsidRPr="00980BBE">
        <w:rPr>
          <w:rFonts w:ascii="Arial" w:hAnsi="Arial" w:cs="Arial"/>
          <w:sz w:val="22"/>
          <w:szCs w:val="22"/>
        </w:rPr>
        <w:t xml:space="preserve"> </w:t>
      </w:r>
      <w:r w:rsidRPr="00980BBE">
        <w:rPr>
          <w:rFonts w:ascii="Arial" w:hAnsi="Arial" w:cs="Arial"/>
          <w:sz w:val="22"/>
          <w:szCs w:val="22"/>
        </w:rPr>
        <w:t xml:space="preserve">cognitive impairment and how </w:t>
      </w:r>
      <w:r w:rsidR="005D6614" w:rsidRPr="00980BBE">
        <w:rPr>
          <w:rFonts w:ascii="Arial" w:hAnsi="Arial" w:cs="Arial"/>
          <w:sz w:val="22"/>
          <w:szCs w:val="22"/>
        </w:rPr>
        <w:t>on conducting</w:t>
      </w:r>
      <w:r w:rsidR="00E30F64" w:rsidRPr="00980BBE">
        <w:rPr>
          <w:rFonts w:ascii="Arial" w:hAnsi="Arial" w:cs="Arial"/>
          <w:sz w:val="22"/>
          <w:szCs w:val="22"/>
        </w:rPr>
        <w:t xml:space="preserve"> </w:t>
      </w:r>
      <w:r w:rsidRPr="00980BBE">
        <w:rPr>
          <w:rFonts w:ascii="Arial" w:hAnsi="Arial" w:cs="Arial"/>
          <w:sz w:val="22"/>
          <w:szCs w:val="22"/>
        </w:rPr>
        <w:t xml:space="preserve">nonjudgmental </w:t>
      </w:r>
      <w:r w:rsidR="00E30F64" w:rsidRPr="00980BBE">
        <w:rPr>
          <w:rFonts w:ascii="Arial" w:hAnsi="Arial" w:cs="Arial"/>
          <w:sz w:val="22"/>
          <w:szCs w:val="22"/>
        </w:rPr>
        <w:t xml:space="preserve">discussions regarding </w:t>
      </w:r>
      <w:r w:rsidRPr="00980BBE">
        <w:rPr>
          <w:rFonts w:ascii="Arial" w:hAnsi="Arial" w:cs="Arial"/>
          <w:sz w:val="22"/>
          <w:szCs w:val="22"/>
        </w:rPr>
        <w:t xml:space="preserve">alcohol use. Additionally, </w:t>
      </w:r>
      <w:r w:rsidR="00E30F64" w:rsidRPr="00980BBE">
        <w:rPr>
          <w:rFonts w:ascii="Arial" w:hAnsi="Arial" w:cs="Arial"/>
          <w:sz w:val="22"/>
          <w:szCs w:val="22"/>
        </w:rPr>
        <w:t xml:space="preserve">integrating </w:t>
      </w:r>
      <w:r w:rsidRPr="00980BBE">
        <w:rPr>
          <w:rFonts w:ascii="Arial" w:hAnsi="Arial" w:cs="Arial"/>
          <w:sz w:val="22"/>
          <w:szCs w:val="22"/>
        </w:rPr>
        <w:t xml:space="preserve">screening tools into </w:t>
      </w:r>
      <w:r w:rsidR="00E30F64" w:rsidRPr="00980BBE">
        <w:rPr>
          <w:rFonts w:ascii="Arial" w:hAnsi="Arial" w:cs="Arial"/>
          <w:sz w:val="22"/>
          <w:szCs w:val="22"/>
        </w:rPr>
        <w:t>routine</w:t>
      </w:r>
      <w:r w:rsidRPr="00980BBE">
        <w:rPr>
          <w:rFonts w:ascii="Arial" w:hAnsi="Arial" w:cs="Arial"/>
          <w:sz w:val="22"/>
          <w:szCs w:val="22"/>
        </w:rPr>
        <w:t xml:space="preserve"> primary care </w:t>
      </w:r>
      <w:r w:rsidR="00456A04" w:rsidRPr="00980BBE">
        <w:rPr>
          <w:rFonts w:ascii="Arial" w:hAnsi="Arial" w:cs="Arial"/>
          <w:sz w:val="22"/>
          <w:szCs w:val="22"/>
        </w:rPr>
        <w:t xml:space="preserve">consultations can improve the feasibility </w:t>
      </w:r>
      <w:r w:rsidRPr="00980BBE">
        <w:rPr>
          <w:rFonts w:ascii="Arial" w:hAnsi="Arial" w:cs="Arial"/>
          <w:sz w:val="22"/>
          <w:szCs w:val="22"/>
        </w:rPr>
        <w:t>and accessib</w:t>
      </w:r>
      <w:r w:rsidR="00BB6363" w:rsidRPr="00980BBE">
        <w:rPr>
          <w:rFonts w:ascii="Arial" w:hAnsi="Arial" w:cs="Arial"/>
          <w:sz w:val="22"/>
          <w:szCs w:val="22"/>
        </w:rPr>
        <w:t>ility of early detection efforts</w:t>
      </w:r>
      <w:r w:rsidR="002438F9" w:rsidRPr="00980BBE">
        <w:rPr>
          <w:rFonts w:ascii="Arial" w:hAnsi="Arial" w:cs="Arial"/>
          <w:sz w:val="22"/>
          <w:szCs w:val="22"/>
        </w:rPr>
        <w:t xml:space="preserve"> </w:t>
      </w:r>
      <w:r w:rsidRPr="00980BBE">
        <w:rPr>
          <w:rFonts w:ascii="Arial" w:hAnsi="Arial" w:cs="Arial"/>
          <w:sz w:val="22"/>
          <w:szCs w:val="22"/>
        </w:rPr>
        <w:t>(Summanwar and Gupta, 2024).</w:t>
      </w:r>
    </w:p>
    <w:p w14:paraId="0AD95CA4" w14:textId="7A7868BE" w:rsidR="0069640E" w:rsidRPr="00266F7A" w:rsidRDefault="0069640E" w:rsidP="001D2D05">
      <w:pPr>
        <w:spacing w:line="360" w:lineRule="auto"/>
        <w:rPr>
          <w:rFonts w:ascii="Arial" w:hAnsi="Arial" w:cs="Arial"/>
          <w:b/>
          <w:bCs/>
          <w:sz w:val="28"/>
          <w:szCs w:val="28"/>
        </w:rPr>
      </w:pPr>
      <w:r w:rsidRPr="00266F7A">
        <w:rPr>
          <w:rFonts w:ascii="Arial" w:hAnsi="Arial" w:cs="Arial"/>
          <w:b/>
          <w:bCs/>
          <w:sz w:val="28"/>
          <w:szCs w:val="28"/>
          <w:u w:val="single"/>
        </w:rPr>
        <w:t>Recommendation 3</w:t>
      </w:r>
      <w:r w:rsidRPr="00266F7A">
        <w:rPr>
          <w:rFonts w:ascii="Arial" w:hAnsi="Arial" w:cs="Arial"/>
          <w:b/>
          <w:bCs/>
          <w:sz w:val="28"/>
          <w:szCs w:val="28"/>
        </w:rPr>
        <w:t>: Address Socioeconomic Inequalities Through Community-Based Support Programs</w:t>
      </w:r>
    </w:p>
    <w:p w14:paraId="4FC3ACD6" w14:textId="5522D5E6" w:rsidR="0069640E" w:rsidRPr="00980BBE" w:rsidRDefault="00294D23" w:rsidP="001D2D05">
      <w:pPr>
        <w:spacing w:line="360" w:lineRule="auto"/>
        <w:rPr>
          <w:rFonts w:ascii="Arial" w:hAnsi="Arial" w:cs="Arial"/>
          <w:sz w:val="22"/>
          <w:szCs w:val="22"/>
        </w:rPr>
      </w:pPr>
      <w:r w:rsidRPr="00980BBE">
        <w:rPr>
          <w:rFonts w:ascii="Arial" w:hAnsi="Arial" w:cs="Arial"/>
          <w:sz w:val="22"/>
          <w:szCs w:val="22"/>
        </w:rPr>
        <w:t xml:space="preserve">The findings </w:t>
      </w:r>
      <w:r w:rsidR="002438F9" w:rsidRPr="00980BBE">
        <w:rPr>
          <w:rFonts w:ascii="Arial" w:hAnsi="Arial" w:cs="Arial"/>
          <w:sz w:val="22"/>
          <w:szCs w:val="22"/>
        </w:rPr>
        <w:t xml:space="preserve">of this </w:t>
      </w:r>
      <w:r w:rsidR="00EB5081" w:rsidRPr="00980BBE">
        <w:rPr>
          <w:rFonts w:ascii="Arial" w:hAnsi="Arial" w:cs="Arial"/>
          <w:sz w:val="22"/>
          <w:szCs w:val="22"/>
        </w:rPr>
        <w:t xml:space="preserve">research underscore the </w:t>
      </w:r>
      <w:r w:rsidR="004902BF" w:rsidRPr="00980BBE">
        <w:rPr>
          <w:rFonts w:ascii="Arial" w:hAnsi="Arial" w:cs="Arial"/>
          <w:sz w:val="22"/>
          <w:szCs w:val="22"/>
        </w:rPr>
        <w:t>noteworthy influence</w:t>
      </w:r>
      <w:r w:rsidR="00EB5081" w:rsidRPr="00980BBE">
        <w:rPr>
          <w:rFonts w:ascii="Arial" w:hAnsi="Arial" w:cs="Arial"/>
          <w:sz w:val="22"/>
          <w:szCs w:val="22"/>
        </w:rPr>
        <w:t xml:space="preserve"> of </w:t>
      </w:r>
      <w:r w:rsidRPr="00980BBE">
        <w:rPr>
          <w:rFonts w:ascii="Arial" w:hAnsi="Arial" w:cs="Arial"/>
          <w:sz w:val="22"/>
          <w:szCs w:val="22"/>
        </w:rPr>
        <w:t>socioeconomic disadvantage in increasing vulnerability to harmful alcohol consumption and limited access to healthcare services</w:t>
      </w:r>
      <w:r w:rsidR="00F760B7" w:rsidRPr="00980BBE">
        <w:rPr>
          <w:rFonts w:ascii="Arial" w:hAnsi="Arial" w:cs="Arial"/>
          <w:sz w:val="22"/>
          <w:szCs w:val="22"/>
        </w:rPr>
        <w:t xml:space="preserve"> (Edwards et al., 2024).</w:t>
      </w:r>
      <w:r w:rsidRPr="00980BBE">
        <w:rPr>
          <w:rFonts w:ascii="Arial" w:hAnsi="Arial" w:cs="Arial"/>
          <w:sz w:val="22"/>
          <w:szCs w:val="22"/>
        </w:rPr>
        <w:t xml:space="preserve"> </w:t>
      </w:r>
      <w:r w:rsidR="00EB5081" w:rsidRPr="00980BBE">
        <w:rPr>
          <w:rFonts w:ascii="Arial" w:hAnsi="Arial" w:cs="Arial"/>
          <w:sz w:val="22"/>
          <w:szCs w:val="22"/>
        </w:rPr>
        <w:t>Consequently</w:t>
      </w:r>
      <w:r w:rsidR="0069640E" w:rsidRPr="00980BBE">
        <w:rPr>
          <w:rFonts w:ascii="Arial" w:hAnsi="Arial" w:cs="Arial"/>
          <w:sz w:val="22"/>
          <w:szCs w:val="22"/>
        </w:rPr>
        <w:t xml:space="preserve">, a </w:t>
      </w:r>
      <w:r w:rsidR="00215E90" w:rsidRPr="00980BBE">
        <w:rPr>
          <w:rFonts w:ascii="Arial" w:hAnsi="Arial" w:cs="Arial"/>
          <w:sz w:val="22"/>
          <w:szCs w:val="22"/>
        </w:rPr>
        <w:t>further</w:t>
      </w:r>
      <w:r w:rsidR="0069640E" w:rsidRPr="00980BBE">
        <w:rPr>
          <w:rFonts w:ascii="Arial" w:hAnsi="Arial" w:cs="Arial"/>
          <w:sz w:val="22"/>
          <w:szCs w:val="22"/>
        </w:rPr>
        <w:t xml:space="preserve"> recommendation is the development of community-based support programmes </w:t>
      </w:r>
      <w:r w:rsidR="00215E90" w:rsidRPr="00980BBE">
        <w:rPr>
          <w:rFonts w:ascii="Arial" w:hAnsi="Arial" w:cs="Arial"/>
          <w:sz w:val="22"/>
          <w:szCs w:val="22"/>
        </w:rPr>
        <w:t xml:space="preserve">designed </w:t>
      </w:r>
      <w:r w:rsidR="00685F88" w:rsidRPr="00980BBE">
        <w:rPr>
          <w:rFonts w:ascii="Arial" w:hAnsi="Arial" w:cs="Arial"/>
          <w:sz w:val="22"/>
          <w:szCs w:val="22"/>
        </w:rPr>
        <w:t xml:space="preserve">to reduce </w:t>
      </w:r>
      <w:r w:rsidR="0069640E" w:rsidRPr="00980BBE">
        <w:rPr>
          <w:rFonts w:ascii="Arial" w:hAnsi="Arial" w:cs="Arial"/>
          <w:sz w:val="22"/>
          <w:szCs w:val="22"/>
        </w:rPr>
        <w:t>health inequalities and provid</w:t>
      </w:r>
      <w:r w:rsidR="00685F88" w:rsidRPr="00980BBE">
        <w:rPr>
          <w:rFonts w:ascii="Arial" w:hAnsi="Arial" w:cs="Arial"/>
          <w:sz w:val="22"/>
          <w:szCs w:val="22"/>
        </w:rPr>
        <w:t>e</w:t>
      </w:r>
      <w:r w:rsidR="0069640E" w:rsidRPr="00980BBE">
        <w:rPr>
          <w:rFonts w:ascii="Arial" w:hAnsi="Arial" w:cs="Arial"/>
          <w:sz w:val="22"/>
          <w:szCs w:val="22"/>
        </w:rPr>
        <w:t xml:space="preserve"> targeted </w:t>
      </w:r>
      <w:r w:rsidR="00685F88" w:rsidRPr="00980BBE">
        <w:rPr>
          <w:rFonts w:ascii="Arial" w:hAnsi="Arial" w:cs="Arial"/>
          <w:sz w:val="22"/>
          <w:szCs w:val="22"/>
        </w:rPr>
        <w:t>assistant</w:t>
      </w:r>
      <w:r w:rsidR="0069640E" w:rsidRPr="00980BBE">
        <w:rPr>
          <w:rFonts w:ascii="Arial" w:hAnsi="Arial" w:cs="Arial"/>
          <w:sz w:val="22"/>
          <w:szCs w:val="22"/>
        </w:rPr>
        <w:t xml:space="preserve"> to disadvantaged populations.</w:t>
      </w:r>
    </w:p>
    <w:p w14:paraId="7703D060" w14:textId="0058841B" w:rsidR="00807473" w:rsidRPr="00980BBE" w:rsidRDefault="001454FA" w:rsidP="001D2D05">
      <w:pPr>
        <w:spacing w:line="360" w:lineRule="auto"/>
        <w:rPr>
          <w:rFonts w:ascii="Arial" w:hAnsi="Arial" w:cs="Arial"/>
          <w:sz w:val="22"/>
          <w:szCs w:val="22"/>
        </w:rPr>
      </w:pPr>
      <w:r w:rsidRPr="00980BBE">
        <w:rPr>
          <w:rFonts w:ascii="Arial" w:hAnsi="Arial" w:cs="Arial"/>
          <w:sz w:val="22"/>
          <w:szCs w:val="22"/>
        </w:rPr>
        <w:t>By a</w:t>
      </w:r>
      <w:r w:rsidR="00807473" w:rsidRPr="00980BBE">
        <w:rPr>
          <w:rFonts w:ascii="Arial" w:hAnsi="Arial" w:cs="Arial"/>
          <w:sz w:val="22"/>
          <w:szCs w:val="22"/>
        </w:rPr>
        <w:t>ddressing the social determinants of health</w:t>
      </w:r>
      <w:r w:rsidRPr="00980BBE">
        <w:rPr>
          <w:rFonts w:ascii="Arial" w:hAnsi="Arial" w:cs="Arial"/>
          <w:sz w:val="22"/>
          <w:szCs w:val="22"/>
        </w:rPr>
        <w:t>, such initi</w:t>
      </w:r>
      <w:r w:rsidR="00B21714" w:rsidRPr="00980BBE">
        <w:rPr>
          <w:rFonts w:ascii="Arial" w:hAnsi="Arial" w:cs="Arial"/>
          <w:sz w:val="22"/>
          <w:szCs w:val="22"/>
        </w:rPr>
        <w:t xml:space="preserve">ative </w:t>
      </w:r>
      <w:r w:rsidR="00826C27" w:rsidRPr="00980BBE">
        <w:rPr>
          <w:rFonts w:ascii="Arial" w:hAnsi="Arial" w:cs="Arial"/>
          <w:sz w:val="22"/>
          <w:szCs w:val="22"/>
        </w:rPr>
        <w:t>has</w:t>
      </w:r>
      <w:r w:rsidR="00B21714" w:rsidRPr="00980BBE">
        <w:rPr>
          <w:rFonts w:ascii="Arial" w:hAnsi="Arial" w:cs="Arial"/>
          <w:sz w:val="22"/>
          <w:szCs w:val="22"/>
        </w:rPr>
        <w:t xml:space="preserve"> the potential to improve long-term health outcomes and mitigate structural in</w:t>
      </w:r>
      <w:r w:rsidR="00CA756D" w:rsidRPr="00980BBE">
        <w:rPr>
          <w:rFonts w:ascii="Arial" w:hAnsi="Arial" w:cs="Arial"/>
          <w:sz w:val="22"/>
          <w:szCs w:val="22"/>
        </w:rPr>
        <w:t>equities. These progra</w:t>
      </w:r>
      <w:r w:rsidR="00826C27" w:rsidRPr="00980BBE">
        <w:rPr>
          <w:rFonts w:ascii="Arial" w:hAnsi="Arial" w:cs="Arial"/>
          <w:sz w:val="22"/>
          <w:szCs w:val="22"/>
        </w:rPr>
        <w:t xml:space="preserve">ms could encompass accessible healthcare services, affordable addiction treatment, mental health support, and employment assistant in communities experiencing </w:t>
      </w:r>
      <w:r w:rsidR="004902BF" w:rsidRPr="00980BBE">
        <w:rPr>
          <w:rFonts w:ascii="Arial" w:hAnsi="Arial" w:cs="Arial"/>
          <w:sz w:val="22"/>
          <w:szCs w:val="22"/>
        </w:rPr>
        <w:t>elevated levels</w:t>
      </w:r>
      <w:r w:rsidR="00826C27" w:rsidRPr="00980BBE">
        <w:rPr>
          <w:rFonts w:ascii="Arial" w:hAnsi="Arial" w:cs="Arial"/>
          <w:sz w:val="22"/>
          <w:szCs w:val="22"/>
        </w:rPr>
        <w:t xml:space="preserve"> of deprivation</w:t>
      </w:r>
      <w:r w:rsidR="00CA756D" w:rsidRPr="00980BBE">
        <w:rPr>
          <w:rFonts w:ascii="Arial" w:hAnsi="Arial" w:cs="Arial"/>
          <w:sz w:val="22"/>
          <w:szCs w:val="22"/>
        </w:rPr>
        <w:t xml:space="preserve"> </w:t>
      </w:r>
      <w:r w:rsidR="00807473" w:rsidRPr="00980BBE">
        <w:rPr>
          <w:rFonts w:ascii="Arial" w:hAnsi="Arial" w:cs="Arial"/>
          <w:sz w:val="22"/>
          <w:szCs w:val="22"/>
        </w:rPr>
        <w:t>(Dance et al., 2025; Kirkbride et al., 2024).</w:t>
      </w:r>
    </w:p>
    <w:p w14:paraId="0E4B23F2" w14:textId="7DF8DAB1" w:rsidR="0069640E" w:rsidRPr="00980BBE" w:rsidRDefault="00404E7B" w:rsidP="001D2D05">
      <w:pPr>
        <w:spacing w:line="360" w:lineRule="auto"/>
        <w:rPr>
          <w:rFonts w:ascii="Arial" w:hAnsi="Arial" w:cs="Arial"/>
          <w:sz w:val="22"/>
          <w:szCs w:val="22"/>
        </w:rPr>
      </w:pPr>
      <w:r w:rsidRPr="00980BBE">
        <w:rPr>
          <w:rFonts w:ascii="Arial" w:hAnsi="Arial" w:cs="Arial"/>
          <w:sz w:val="22"/>
          <w:szCs w:val="22"/>
        </w:rPr>
        <w:t xml:space="preserve">Nevertheless, the </w:t>
      </w:r>
      <w:r w:rsidR="000D0ED8" w:rsidRPr="00980BBE">
        <w:rPr>
          <w:rFonts w:ascii="Arial" w:hAnsi="Arial" w:cs="Arial"/>
          <w:sz w:val="22"/>
          <w:szCs w:val="22"/>
        </w:rPr>
        <w:t xml:space="preserve"> implement</w:t>
      </w:r>
      <w:r w:rsidRPr="00980BBE">
        <w:rPr>
          <w:rFonts w:ascii="Arial" w:hAnsi="Arial" w:cs="Arial"/>
          <w:sz w:val="22"/>
          <w:szCs w:val="22"/>
        </w:rPr>
        <w:t xml:space="preserve">ation of </w:t>
      </w:r>
      <w:r w:rsidR="000D0ED8" w:rsidRPr="00980BBE">
        <w:rPr>
          <w:rFonts w:ascii="Arial" w:hAnsi="Arial" w:cs="Arial"/>
          <w:sz w:val="22"/>
          <w:szCs w:val="22"/>
        </w:rPr>
        <w:t>community</w:t>
      </w:r>
      <w:r w:rsidR="000D0ED8" w:rsidRPr="00980BBE">
        <w:rPr>
          <w:rFonts w:ascii="Cambria Math" w:hAnsi="Cambria Math" w:cs="Cambria Math"/>
          <w:sz w:val="22"/>
          <w:szCs w:val="22"/>
        </w:rPr>
        <w:t>‑</w:t>
      </w:r>
      <w:r w:rsidR="000D0ED8" w:rsidRPr="00980BBE">
        <w:rPr>
          <w:rFonts w:ascii="Arial" w:hAnsi="Arial" w:cs="Arial"/>
          <w:sz w:val="22"/>
          <w:szCs w:val="22"/>
        </w:rPr>
        <w:t>based program</w:t>
      </w:r>
      <w:r w:rsidRPr="00980BBE">
        <w:rPr>
          <w:rFonts w:ascii="Arial" w:hAnsi="Arial" w:cs="Arial"/>
          <w:sz w:val="22"/>
          <w:szCs w:val="22"/>
        </w:rPr>
        <w:t>s</w:t>
      </w:r>
      <w:r w:rsidR="000D0ED8" w:rsidRPr="00980BBE">
        <w:rPr>
          <w:rFonts w:ascii="Arial" w:hAnsi="Arial" w:cs="Arial"/>
          <w:sz w:val="22"/>
          <w:szCs w:val="22"/>
        </w:rPr>
        <w:t xml:space="preserve"> can </w:t>
      </w:r>
      <w:r w:rsidR="001812AB" w:rsidRPr="00980BBE">
        <w:rPr>
          <w:rFonts w:ascii="Arial" w:hAnsi="Arial" w:cs="Arial"/>
          <w:sz w:val="22"/>
          <w:szCs w:val="22"/>
        </w:rPr>
        <w:t>encounter significant</w:t>
      </w:r>
      <w:r w:rsidR="000D0ED8" w:rsidRPr="00980BBE">
        <w:rPr>
          <w:rFonts w:ascii="Arial" w:hAnsi="Arial" w:cs="Arial"/>
          <w:sz w:val="22"/>
          <w:szCs w:val="22"/>
        </w:rPr>
        <w:t xml:space="preserve"> challenges, particularly in areas </w:t>
      </w:r>
      <w:r w:rsidR="001812AB" w:rsidRPr="00980BBE">
        <w:rPr>
          <w:rFonts w:ascii="Arial" w:hAnsi="Arial" w:cs="Arial"/>
          <w:sz w:val="22"/>
          <w:szCs w:val="22"/>
        </w:rPr>
        <w:t xml:space="preserve">with limited funding and resources. </w:t>
      </w:r>
      <w:r w:rsidR="00E833D2" w:rsidRPr="00980BBE">
        <w:rPr>
          <w:rFonts w:ascii="Arial" w:hAnsi="Arial" w:cs="Arial"/>
          <w:sz w:val="22"/>
          <w:szCs w:val="22"/>
        </w:rPr>
        <w:t>Additionally, public health initiatives may struggle to reach individuals who are socially isolated or relu</w:t>
      </w:r>
      <w:r w:rsidR="00C47A9F" w:rsidRPr="00980BBE">
        <w:rPr>
          <w:rFonts w:ascii="Arial" w:hAnsi="Arial" w:cs="Arial"/>
          <w:sz w:val="22"/>
          <w:szCs w:val="22"/>
        </w:rPr>
        <w:t xml:space="preserve">ctant to engage with formal services </w:t>
      </w:r>
      <w:r w:rsidR="000D0ED8" w:rsidRPr="00980BBE">
        <w:rPr>
          <w:rFonts w:ascii="Arial" w:hAnsi="Arial" w:cs="Arial"/>
          <w:sz w:val="22"/>
          <w:szCs w:val="22"/>
        </w:rPr>
        <w:t>(Agyapong et al., 2024).</w:t>
      </w:r>
      <w:r w:rsidR="0069640E" w:rsidRPr="00980BBE">
        <w:rPr>
          <w:rFonts w:ascii="Arial" w:hAnsi="Arial" w:cs="Arial"/>
          <w:sz w:val="22"/>
          <w:szCs w:val="22"/>
        </w:rPr>
        <w:t xml:space="preserve"> </w:t>
      </w:r>
    </w:p>
    <w:p w14:paraId="1F3DA737" w14:textId="2FF5823C" w:rsidR="00E03B5D" w:rsidRPr="00980BBE" w:rsidRDefault="00E03B5D" w:rsidP="001D2D05">
      <w:pPr>
        <w:spacing w:line="360" w:lineRule="auto"/>
        <w:rPr>
          <w:rFonts w:ascii="Arial" w:hAnsi="Arial" w:cs="Arial"/>
          <w:sz w:val="22"/>
          <w:szCs w:val="22"/>
        </w:rPr>
      </w:pPr>
      <w:r w:rsidRPr="00980BBE">
        <w:rPr>
          <w:rFonts w:ascii="Arial" w:hAnsi="Arial" w:cs="Arial"/>
          <w:sz w:val="22"/>
          <w:szCs w:val="22"/>
        </w:rPr>
        <w:t xml:space="preserve">To maximize </w:t>
      </w:r>
      <w:r w:rsidR="00C47A9F" w:rsidRPr="00980BBE">
        <w:rPr>
          <w:rFonts w:ascii="Arial" w:hAnsi="Arial" w:cs="Arial"/>
          <w:sz w:val="22"/>
          <w:szCs w:val="22"/>
        </w:rPr>
        <w:t>the impact</w:t>
      </w:r>
      <w:r w:rsidR="00880240" w:rsidRPr="00980BBE">
        <w:rPr>
          <w:rFonts w:ascii="Arial" w:hAnsi="Arial" w:cs="Arial"/>
          <w:sz w:val="22"/>
          <w:szCs w:val="22"/>
        </w:rPr>
        <w:t xml:space="preserve"> of resources and establish </w:t>
      </w:r>
      <w:r w:rsidRPr="00980BBE">
        <w:rPr>
          <w:rFonts w:ascii="Arial" w:hAnsi="Arial" w:cs="Arial"/>
          <w:sz w:val="22"/>
          <w:szCs w:val="22"/>
        </w:rPr>
        <w:t xml:space="preserve">accessible support networks for vulnerable </w:t>
      </w:r>
      <w:r w:rsidR="00880240" w:rsidRPr="00980BBE">
        <w:rPr>
          <w:rFonts w:ascii="Arial" w:hAnsi="Arial" w:cs="Arial"/>
          <w:sz w:val="22"/>
          <w:szCs w:val="22"/>
        </w:rPr>
        <w:t>populations</w:t>
      </w:r>
      <w:r w:rsidRPr="00980BBE">
        <w:rPr>
          <w:rFonts w:ascii="Arial" w:hAnsi="Arial" w:cs="Arial"/>
          <w:sz w:val="22"/>
          <w:szCs w:val="22"/>
        </w:rPr>
        <w:t xml:space="preserve">, local authorities, healthcare providers, charities, and community organizations </w:t>
      </w:r>
      <w:r w:rsidR="002C11BC" w:rsidRPr="00980BBE">
        <w:rPr>
          <w:rFonts w:ascii="Arial" w:hAnsi="Arial" w:cs="Arial"/>
          <w:sz w:val="22"/>
          <w:szCs w:val="22"/>
        </w:rPr>
        <w:t>should develop co</w:t>
      </w:r>
      <w:r w:rsidR="00004A0B" w:rsidRPr="00980BBE">
        <w:rPr>
          <w:rFonts w:ascii="Arial" w:hAnsi="Arial" w:cs="Arial"/>
          <w:sz w:val="22"/>
          <w:szCs w:val="22"/>
        </w:rPr>
        <w:t>llaboration partnerships. Engaging</w:t>
      </w:r>
      <w:r w:rsidR="00382A25" w:rsidRPr="00980BBE">
        <w:rPr>
          <w:rFonts w:ascii="Arial" w:hAnsi="Arial" w:cs="Arial"/>
          <w:sz w:val="22"/>
          <w:szCs w:val="22"/>
        </w:rPr>
        <w:t xml:space="preserve"> community members in the planning and delivery of programs can enhance </w:t>
      </w:r>
      <w:r w:rsidR="00195C27" w:rsidRPr="00980BBE">
        <w:rPr>
          <w:rFonts w:ascii="Arial" w:hAnsi="Arial" w:cs="Arial"/>
          <w:sz w:val="22"/>
          <w:szCs w:val="22"/>
        </w:rPr>
        <w:t xml:space="preserve">participation rates and ensure that services </w:t>
      </w:r>
      <w:r w:rsidR="00752074" w:rsidRPr="00980BBE">
        <w:rPr>
          <w:rFonts w:ascii="Arial" w:hAnsi="Arial" w:cs="Arial"/>
          <w:sz w:val="22"/>
          <w:szCs w:val="22"/>
        </w:rPr>
        <w:t>effectively address local needs</w:t>
      </w:r>
      <w:r w:rsidRPr="00980BBE">
        <w:rPr>
          <w:rFonts w:ascii="Arial" w:hAnsi="Arial" w:cs="Arial"/>
          <w:sz w:val="22"/>
          <w:szCs w:val="22"/>
        </w:rPr>
        <w:t xml:space="preserve"> (Thomson, Waterson, and Chatterjee, 2024).</w:t>
      </w:r>
    </w:p>
    <w:p w14:paraId="382213B7" w14:textId="77777777" w:rsidR="002F509E" w:rsidRPr="00980BBE" w:rsidRDefault="002F509E" w:rsidP="001D137A">
      <w:pPr>
        <w:spacing w:line="360" w:lineRule="auto"/>
        <w:rPr>
          <w:rFonts w:ascii="Arial" w:hAnsi="Arial" w:cs="Arial"/>
          <w:sz w:val="22"/>
          <w:szCs w:val="22"/>
        </w:rPr>
      </w:pPr>
    </w:p>
    <w:p w14:paraId="46620DCC" w14:textId="77777777" w:rsidR="00E03B5D" w:rsidRPr="00980BBE" w:rsidRDefault="00E03B5D" w:rsidP="001D137A">
      <w:pPr>
        <w:spacing w:line="360" w:lineRule="auto"/>
        <w:rPr>
          <w:rFonts w:ascii="Arial" w:hAnsi="Arial" w:cs="Arial"/>
          <w:sz w:val="22"/>
          <w:szCs w:val="22"/>
        </w:rPr>
      </w:pPr>
    </w:p>
    <w:p w14:paraId="18E51439" w14:textId="77777777" w:rsidR="0054440D" w:rsidRDefault="0054440D" w:rsidP="00CE4C25">
      <w:pPr>
        <w:rPr>
          <w:rFonts w:ascii="Arial" w:hAnsi="Arial" w:cs="Arial"/>
          <w:sz w:val="22"/>
          <w:szCs w:val="22"/>
        </w:rPr>
      </w:pPr>
    </w:p>
    <w:p w14:paraId="33A27416" w14:textId="77777777" w:rsidR="0054440D" w:rsidRDefault="0054440D" w:rsidP="00CE4C25">
      <w:pPr>
        <w:rPr>
          <w:rFonts w:ascii="Arial" w:hAnsi="Arial" w:cs="Arial"/>
          <w:sz w:val="22"/>
          <w:szCs w:val="22"/>
        </w:rPr>
      </w:pPr>
    </w:p>
    <w:p w14:paraId="7A1DD480" w14:textId="27459644" w:rsidR="00D03F36" w:rsidRPr="00D03F36" w:rsidRDefault="00D03F36" w:rsidP="00CE4C25">
      <w:pPr>
        <w:rPr>
          <w:b/>
          <w:bCs/>
          <w:u w:val="single"/>
        </w:rPr>
      </w:pPr>
      <w:r w:rsidRPr="00D03F36">
        <w:rPr>
          <w:b/>
          <w:bCs/>
          <w:u w:val="single"/>
        </w:rPr>
        <w:lastRenderedPageBreak/>
        <w:t>References</w:t>
      </w:r>
    </w:p>
    <w:p w14:paraId="69D95275" w14:textId="71A228CC" w:rsidR="00D62A77" w:rsidRPr="008E049C" w:rsidRDefault="00D62A77" w:rsidP="00CE4C25">
      <w:r w:rsidRPr="00CE4C25">
        <w:t xml:space="preserve">Agyapong, V.I.O., Hrabok, M., Juhás, M., Omeje, J., Denga, </w:t>
      </w:r>
      <w:r w:rsidR="00126804" w:rsidRPr="00CE4C25">
        <w:t>E.,</w:t>
      </w:r>
      <w:r w:rsidRPr="00CE4C25">
        <w:t xml:space="preserve"> and Agyapong, A. (2024) ‘Barriers and facilitators to community</w:t>
      </w:r>
      <w:r w:rsidRPr="00CE4C25">
        <w:rPr>
          <w:rFonts w:ascii="Cambria Math" w:hAnsi="Cambria Math" w:cs="Cambria Math"/>
        </w:rPr>
        <w:t>‑</w:t>
      </w:r>
      <w:r w:rsidRPr="00CE4C25">
        <w:t>based mental health interventions in low</w:t>
      </w:r>
      <w:r w:rsidRPr="00CE4C25">
        <w:rPr>
          <w:rFonts w:ascii="Cambria Math" w:hAnsi="Cambria Math" w:cs="Cambria Math"/>
        </w:rPr>
        <w:t>‑</w:t>
      </w:r>
      <w:r w:rsidRPr="00CE4C25">
        <w:t xml:space="preserve">resource settings: qualitative evidence from international experts’, </w:t>
      </w:r>
      <w:r w:rsidRPr="00CE4C25">
        <w:rPr>
          <w:i/>
          <w:iCs/>
        </w:rPr>
        <w:t>International Journal for Equity in Health,</w:t>
      </w:r>
      <w:r w:rsidRPr="00CE4C25">
        <w:t xml:space="preserve"> 23, Article 106. Available at: </w:t>
      </w:r>
      <w:hyperlink r:id="rId17" w:history="1">
        <w:r w:rsidRPr="00CE4C25">
          <w:rPr>
            <w:rStyle w:val="Hyperlink"/>
          </w:rPr>
          <w:t>https://equityhealthj.biomedcentral.com/articles/10.1186/s12939-024-02106-6</w:t>
        </w:r>
      </w:hyperlink>
      <w:r w:rsidRPr="00CE4C25">
        <w:t xml:space="preserve"> (Accessed: 26 March  202</w:t>
      </w:r>
      <w:r>
        <w:t>6</w:t>
      </w:r>
      <w:r w:rsidRPr="00CE4C25">
        <w:t>).</w:t>
      </w:r>
    </w:p>
    <w:p w14:paraId="513D49A4" w14:textId="0C8B6E79" w:rsidR="00D62A77" w:rsidRPr="00CE4C25" w:rsidRDefault="00D62A77" w:rsidP="00CE4C25">
      <w:r w:rsidRPr="00CE4C25">
        <w:t xml:space="preserve">Alderson, H., Mayrhofer, A., Smart, D., Muir, </w:t>
      </w:r>
      <w:r w:rsidR="00126804" w:rsidRPr="00CE4C25">
        <w:t>C.,</w:t>
      </w:r>
      <w:r w:rsidRPr="00CE4C25">
        <w:t xml:space="preserve"> and McGovern, R. (2022) ‘An Innovative Approach to Delivering a Family-Based Intervention to Address Parental Alcohol Misuse: Qualitative Findings from a Pilot Project.’, </w:t>
      </w:r>
      <w:r w:rsidRPr="00CE4C25">
        <w:rPr>
          <w:i/>
          <w:iCs/>
        </w:rPr>
        <w:t>International Journal of Environmental Research and Public Health,</w:t>
      </w:r>
      <w:r w:rsidRPr="00CE4C25">
        <w:t xml:space="preserve"> 19(13), p.8086. Available at </w:t>
      </w:r>
      <w:hyperlink r:id="rId18" w:history="1">
        <w:r w:rsidRPr="00CE4C25">
          <w:rPr>
            <w:rStyle w:val="Hyperlink"/>
          </w:rPr>
          <w:t>https://doi.org/10.3390/ijerph19138086</w:t>
        </w:r>
      </w:hyperlink>
      <w:r w:rsidRPr="00CE4C25">
        <w:t xml:space="preserve"> (Accessed: 21 March  202</w:t>
      </w:r>
      <w:r>
        <w:t>6</w:t>
      </w:r>
      <w:r w:rsidRPr="00CE4C25">
        <w:t>).</w:t>
      </w:r>
    </w:p>
    <w:p w14:paraId="373EEB13" w14:textId="77777777" w:rsidR="00D62A77" w:rsidRPr="00CE4C25" w:rsidRDefault="00D62A77" w:rsidP="00CE4C25">
      <w:r w:rsidRPr="00CE4C25">
        <w:t>Alzheimer’s Society (2025) ‘</w:t>
      </w:r>
      <w:r w:rsidRPr="00CE4C25">
        <w:rPr>
          <w:i/>
          <w:iCs/>
        </w:rPr>
        <w:t>Alcohol and the risk of dementia’</w:t>
      </w:r>
      <w:r w:rsidRPr="00CE4C25">
        <w:t>. Available at: </w:t>
      </w:r>
      <w:hyperlink r:id="rId19" w:tgtFrame="_blank" w:history="1">
        <w:r w:rsidRPr="00CE4C25">
          <w:rPr>
            <w:rStyle w:val="Hyperlink"/>
          </w:rPr>
          <w:t>https://www.alzheimers.org.uk/about-dementia/managing-the-risk-of-dementia/reduce-your-risk-of-dementia/alcohol</w:t>
        </w:r>
      </w:hyperlink>
      <w:r w:rsidRPr="00CE4C25">
        <w:t xml:space="preserve"> (Accessed: 08 March  202</w:t>
      </w:r>
      <w:r>
        <w:t>6</w:t>
      </w:r>
      <w:r w:rsidRPr="00CE4C25">
        <w:t>).</w:t>
      </w:r>
    </w:p>
    <w:p w14:paraId="03CD1139" w14:textId="77777777" w:rsidR="00D62A77" w:rsidRPr="00CE4C25" w:rsidRDefault="00D62A77" w:rsidP="00CE4C25">
      <w:r w:rsidRPr="00CE4C25">
        <w:t xml:space="preserve">Alzheimer's Society (2023). Alcohol and the risk of dementia | Alzheimer’s Society - Connected Content. www.alzheimers.org.uk. Available at: </w:t>
      </w:r>
      <w:hyperlink r:id="rId20" w:history="1">
        <w:r w:rsidRPr="00CE4C25">
          <w:rPr>
            <w:rStyle w:val="Hyperlink"/>
          </w:rPr>
          <w:t>https://www.alzheimers.org.uk/about-dementia/managing-the-risk-of-dementia/reduce-your-risk-of-dementia/alcohol</w:t>
        </w:r>
      </w:hyperlink>
      <w:r w:rsidRPr="00CE4C25">
        <w:t xml:space="preserve"> (Accessed: 15 March  202</w:t>
      </w:r>
      <w:r>
        <w:t>6</w:t>
      </w:r>
      <w:r w:rsidRPr="00CE4C25">
        <w:t>).</w:t>
      </w:r>
    </w:p>
    <w:p w14:paraId="6D1A5899" w14:textId="1554F22E" w:rsidR="00D62A77" w:rsidRPr="00CE4C25" w:rsidRDefault="00D62A77" w:rsidP="00CE4C25">
      <w:r w:rsidRPr="00CE4C25">
        <w:t xml:space="preserve">Anderson, P., Chisholm, D. and Fuhr, D.C. (2009) ‘ Effectiveness and cost-effectiveness of policies and programmes to reduce the harm caused by alcohol’, </w:t>
      </w:r>
      <w:r w:rsidRPr="00CE4C25">
        <w:rPr>
          <w:i/>
          <w:iCs/>
        </w:rPr>
        <w:t>The Lancet</w:t>
      </w:r>
      <w:r w:rsidRPr="00CE4C25">
        <w:t>, 373(9682), pp.2234</w:t>
      </w:r>
      <w:r>
        <w:t>-</w:t>
      </w:r>
      <w:r w:rsidRPr="00CE4C25">
        <w:t xml:space="preserve">2246. Available at </w:t>
      </w:r>
      <w:hyperlink r:id="rId21" w:history="1">
        <w:r w:rsidRPr="00CE4C25">
          <w:rPr>
            <w:rStyle w:val="Hyperlink"/>
          </w:rPr>
          <w:t>https://doi.org/10.1016/s0140-6736(09)60744-3</w:t>
        </w:r>
      </w:hyperlink>
      <w:r w:rsidRPr="00CE4C25">
        <w:t xml:space="preserve">  (Accessed: 1 </w:t>
      </w:r>
      <w:r w:rsidR="009C0220">
        <w:t>March</w:t>
      </w:r>
      <w:r w:rsidRPr="00CE4C25">
        <w:t xml:space="preserve"> 202</w:t>
      </w:r>
      <w:r w:rsidR="009C0220">
        <w:t>6</w:t>
      </w:r>
      <w:r w:rsidRPr="00CE4C25">
        <w:t>). </w:t>
      </w:r>
    </w:p>
    <w:p w14:paraId="26C5DBD2" w14:textId="77777777" w:rsidR="00D62A77" w:rsidRPr="00CE4C25" w:rsidRDefault="00D62A77" w:rsidP="00CE4C25">
      <w:r w:rsidRPr="00CE4C25">
        <w:t xml:space="preserve">Andrzejewska, M., Stolińska, A. and Baran, W. (2025) ‘The Effects of Colour Coding on Problem-Solving Strategies and Cognitive Engagement: Insights from Eye-Tracking Research’, </w:t>
      </w:r>
      <w:r w:rsidRPr="00CE4C25">
        <w:rPr>
          <w:i/>
          <w:iCs/>
        </w:rPr>
        <w:t>Applied Sciences</w:t>
      </w:r>
      <w:r w:rsidRPr="00CE4C25">
        <w:t xml:space="preserve">, 15(21), p.11503. Available at </w:t>
      </w:r>
      <w:hyperlink r:id="rId22" w:history="1">
        <w:r w:rsidRPr="00CE4C25">
          <w:rPr>
            <w:rStyle w:val="Hyperlink"/>
          </w:rPr>
          <w:t>https://doi.org/10.3390/app152111503</w:t>
        </w:r>
      </w:hyperlink>
      <w:r w:rsidRPr="00CE4C25">
        <w:t xml:space="preserve"> (Accessed: 05 March  202</w:t>
      </w:r>
      <w:r>
        <w:t>6</w:t>
      </w:r>
      <w:r w:rsidRPr="00CE4C25">
        <w:t>).</w:t>
      </w:r>
    </w:p>
    <w:p w14:paraId="0F8ED30B" w14:textId="77777777" w:rsidR="00D62A77" w:rsidRPr="00CE4C25" w:rsidRDefault="00D62A77" w:rsidP="00CE4C25">
      <w:r w:rsidRPr="00CE4C25">
        <w:t xml:space="preserve">Anstey, K.J., Ee, N., Eramudugolla, R., Jagger, C. and Peters, R. (2019) ‘A Systematic Review of Meta-Analyses that Evaluate Risk Factors for Dementia to Evaluate the Quantity, Quality, and Global Representativeness of Evidence’, </w:t>
      </w:r>
      <w:r w:rsidRPr="00CE4C25">
        <w:rPr>
          <w:i/>
          <w:iCs/>
        </w:rPr>
        <w:t>Journal of Alzheimer’s Disease</w:t>
      </w:r>
      <w:r w:rsidRPr="00CE4C25">
        <w:t>, 70(s1), pp.S165</w:t>
      </w:r>
      <w:r>
        <w:t>-</w:t>
      </w:r>
      <w:r w:rsidRPr="00CE4C25">
        <w:t xml:space="preserve">S186. Available at </w:t>
      </w:r>
      <w:hyperlink r:id="rId23" w:history="1">
        <w:r w:rsidRPr="00CE4C25">
          <w:rPr>
            <w:rStyle w:val="Hyperlink"/>
          </w:rPr>
          <w:t>https://doi.org/10.3233/jad-190181</w:t>
        </w:r>
      </w:hyperlink>
      <w:r w:rsidRPr="00CE4C25">
        <w:t xml:space="preserve"> (Accessed: 26 </w:t>
      </w:r>
      <w:r>
        <w:t>March</w:t>
      </w:r>
      <w:r w:rsidRPr="00CE4C25">
        <w:t> 202</w:t>
      </w:r>
      <w:r>
        <w:t>6</w:t>
      </w:r>
      <w:r w:rsidRPr="00CE4C25">
        <w:t>). </w:t>
      </w:r>
    </w:p>
    <w:p w14:paraId="754318F8" w14:textId="77777777" w:rsidR="00D62A77" w:rsidRPr="00CE4C25" w:rsidRDefault="00D62A77" w:rsidP="00CE4C25">
      <w:r w:rsidRPr="00CE4C25">
        <w:t xml:space="preserve">Árokszállási, T., Nagy, A., Balogh, E., Nagy, E.B., Sik, M., Fülesdi, Z., Orbán-Kálmándi, R., Árokszállási, A., Juhász, P., Fekete, G., Rácz, L., Csépány, T., Csiba, L., Bagoly, Z. </w:t>
      </w:r>
      <w:r>
        <w:t>and</w:t>
      </w:r>
      <w:r w:rsidRPr="00CE4C25">
        <w:t xml:space="preserve"> Oláh, L., (2025) ‘Elevated Blood Alcohol Concentration at Stroke Onset Predicts Poor Clinical Outcomes and Mortality After Intracerebral Hemorrhage: A Retrospective </w:t>
      </w:r>
      <w:r w:rsidRPr="00CE4C25">
        <w:lastRenderedPageBreak/>
        <w:t>Cohort Study’. </w:t>
      </w:r>
      <w:r w:rsidRPr="00CE4C25">
        <w:rPr>
          <w:i/>
          <w:iCs/>
        </w:rPr>
        <w:t>Neurology and Therapy</w:t>
      </w:r>
      <w:r w:rsidRPr="00CE4C25">
        <w:t>. Available at: </w:t>
      </w:r>
      <w:hyperlink r:id="rId24" w:tgtFrame="_blank" w:history="1">
        <w:r w:rsidRPr="00CE4C25">
          <w:rPr>
            <w:rStyle w:val="Hyperlink"/>
          </w:rPr>
          <w:t>https://doi.org/10.1007/s40120-025-00866-z</w:t>
        </w:r>
      </w:hyperlink>
      <w:r w:rsidRPr="00CE4C25">
        <w:t xml:space="preserve"> (Accessed: 20 </w:t>
      </w:r>
      <w:r>
        <w:t>March</w:t>
      </w:r>
      <w:r w:rsidRPr="00CE4C25">
        <w:t> 202</w:t>
      </w:r>
      <w:r>
        <w:t>6</w:t>
      </w:r>
      <w:r w:rsidRPr="00CE4C25">
        <w:t>). </w:t>
      </w:r>
    </w:p>
    <w:p w14:paraId="2A21E957" w14:textId="77777777" w:rsidR="00D62A77" w:rsidRPr="00CE4C25" w:rsidRDefault="00D62A77" w:rsidP="00CE4C25">
      <w:r w:rsidRPr="00CE4C25">
        <w:t>Baracho Dittrich, P. and Reichenbach, A. (2025) ‘</w:t>
      </w:r>
      <w:r w:rsidRPr="00CE4C25">
        <w:rPr>
          <w:i/>
          <w:iCs/>
        </w:rPr>
        <w:t xml:space="preserve">Research ethics for data collection from human participants </w:t>
      </w:r>
      <w:r>
        <w:rPr>
          <w:i/>
          <w:iCs/>
        </w:rPr>
        <w:t>-</w:t>
      </w:r>
      <w:r w:rsidRPr="00CE4C25">
        <w:rPr>
          <w:i/>
          <w:iCs/>
        </w:rPr>
        <w:t xml:space="preserve"> case study and recommendations</w:t>
      </w:r>
      <w:r w:rsidRPr="00CE4C25">
        <w:t>. In: Degen, H. and Ntoa, S. (eds.) Artificial Intelligence in HCI. Lecture Notes in Computer Science, vol. 15820. Cham: Springer, pp. 3</w:t>
      </w:r>
      <w:r>
        <w:t>-</w:t>
      </w:r>
      <w:r w:rsidRPr="00CE4C25">
        <w:t xml:space="preserve">21. Available at: </w:t>
      </w:r>
      <w:hyperlink r:id="rId25" w:history="1">
        <w:r w:rsidRPr="00CE4C25">
          <w:rPr>
            <w:rStyle w:val="Hyperlink"/>
          </w:rPr>
          <w:t>https://doi.org/10.1007/978-3-031-93415-5_1</w:t>
        </w:r>
      </w:hyperlink>
      <w:r w:rsidRPr="00CE4C25">
        <w:t xml:space="preserve"> (Accessed: 07 March  202</w:t>
      </w:r>
      <w:r>
        <w:t>6</w:t>
      </w:r>
      <w:r w:rsidRPr="00CE4C25">
        <w:t>).</w:t>
      </w:r>
    </w:p>
    <w:p w14:paraId="72018332" w14:textId="751B9850" w:rsidR="00D62A77" w:rsidRPr="00CE4C25" w:rsidRDefault="00D62A77" w:rsidP="00CE4C25">
      <w:r w:rsidRPr="00CE4C25">
        <w:t>Barry, L., Murphy</w:t>
      </w:r>
      <w:r w:rsidRPr="00CE4C25">
        <w:rPr>
          <w:rFonts w:ascii="Arial" w:hAnsi="Arial" w:cs="Arial"/>
        </w:rPr>
        <w:t> </w:t>
      </w:r>
      <w:r w:rsidRPr="00CE4C25">
        <w:t>Tighe, S., Griffin, A., Ryan, D., O</w:t>
      </w:r>
      <w:r w:rsidRPr="00CE4C25">
        <w:rPr>
          <w:rFonts w:ascii="Aptos" w:hAnsi="Aptos" w:cs="Aptos"/>
        </w:rPr>
        <w:t>’</w:t>
      </w:r>
      <w:r w:rsidRPr="00CE4C25">
        <w:t xml:space="preserve">Connor, M., Fitzgerald, C., Egan, S., Galvin, </w:t>
      </w:r>
      <w:r w:rsidR="00126804" w:rsidRPr="00CE4C25">
        <w:t>R.,</w:t>
      </w:r>
      <w:r w:rsidRPr="00CE4C25">
        <w:t xml:space="preserve"> and Meskell, P. (2023) </w:t>
      </w:r>
      <w:r w:rsidRPr="00CE4C25">
        <w:rPr>
          <w:rFonts w:ascii="Aptos" w:hAnsi="Aptos" w:cs="Aptos"/>
        </w:rPr>
        <w:t>‘</w:t>
      </w:r>
      <w:r w:rsidRPr="00CE4C25">
        <w:t>A qualitative evidence synthesis exploring the barriers and facilitators to screening in emergency departments</w:t>
      </w:r>
      <w:r w:rsidRPr="00CE4C25">
        <w:rPr>
          <w:rFonts w:ascii="Aptos" w:hAnsi="Aptos" w:cs="Aptos"/>
        </w:rPr>
        <w:t>’</w:t>
      </w:r>
      <w:r w:rsidRPr="00CE4C25">
        <w:t xml:space="preserve">, BMC Health Services Research, 23, Article 10027. Available at: </w:t>
      </w:r>
      <w:hyperlink r:id="rId26" w:history="1">
        <w:r w:rsidRPr="00CE4C25">
          <w:rPr>
            <w:rStyle w:val="Hyperlink"/>
          </w:rPr>
          <w:t>https://bmchealthservres.biomedcentral.com/articles/10.1186/s12913-023-10027-3</w:t>
        </w:r>
      </w:hyperlink>
      <w:r w:rsidRPr="00CE4C25">
        <w:t xml:space="preserve"> (Accessed: 16 March  202</w:t>
      </w:r>
      <w:r>
        <w:t>6</w:t>
      </w:r>
      <w:r w:rsidRPr="00CE4C25">
        <w:t>).</w:t>
      </w:r>
    </w:p>
    <w:p w14:paraId="3F131824" w14:textId="77777777" w:rsidR="00D62A77" w:rsidRPr="00CE4C25" w:rsidRDefault="00D62A77" w:rsidP="00CE4C25">
      <w:r w:rsidRPr="00CE4C25">
        <w:t>Beard, C. (n.d.) ‘</w:t>
      </w:r>
      <w:r w:rsidRPr="00CE4C25">
        <w:rPr>
          <w:i/>
          <w:iCs/>
        </w:rPr>
        <w:t>Homelessness as a Barrier to Cognitive Wellbeing and Dementia Risk Reduction</w:t>
      </w:r>
      <w:r w:rsidRPr="00CE4C25">
        <w:t xml:space="preserve">’, Available at: </w:t>
      </w:r>
      <w:hyperlink r:id="rId27" w:history="1">
        <w:r w:rsidRPr="00CE4C25">
          <w:rPr>
            <w:rStyle w:val="Hyperlink"/>
          </w:rPr>
          <w:t>https://flex.flinders.edu.au/file/2df40002-ef69-47af-b927-6c1a763ee204/1/BeardThesis2023_LibraryCopy.pdf</w:t>
        </w:r>
      </w:hyperlink>
      <w:r w:rsidRPr="00CE4C25">
        <w:t xml:space="preserve"> (Accessed: 13 March  202</w:t>
      </w:r>
      <w:r>
        <w:t>6</w:t>
      </w:r>
      <w:r w:rsidRPr="00CE4C25">
        <w:t>).</w:t>
      </w:r>
    </w:p>
    <w:p w14:paraId="5A91E409" w14:textId="77777777" w:rsidR="00D62A77" w:rsidRPr="00CE4C25" w:rsidRDefault="00D62A77" w:rsidP="00CE4C25">
      <w:r w:rsidRPr="00CE4C25">
        <w:t xml:space="preserve">Beeston, C., Robinson, M., Giles, L., Dickie, E., Ford, J., MacPherson, M., McAdams, R., Mellor, R., Shipton, D. and Craig, N. (2020) ‘Evaluation of Minimum Unit Pricing of Alcohol: A Mixed Method Natural Experiment in Scotland’, </w:t>
      </w:r>
      <w:r w:rsidRPr="00CE4C25">
        <w:rPr>
          <w:i/>
          <w:iCs/>
        </w:rPr>
        <w:t>International Journal of Environmental Research and Public Health</w:t>
      </w:r>
      <w:r w:rsidRPr="00CE4C25">
        <w:t xml:space="preserve">, 17(10), p.3394. Available at </w:t>
      </w:r>
      <w:hyperlink r:id="rId28" w:history="1">
        <w:r w:rsidRPr="00CE4C25">
          <w:rPr>
            <w:rStyle w:val="Hyperlink"/>
          </w:rPr>
          <w:t>https://doi.org/10.3390/ijerph17103394</w:t>
        </w:r>
      </w:hyperlink>
      <w:r w:rsidRPr="00CE4C25">
        <w:t xml:space="preserve"> (Accessed: 11 March  202</w:t>
      </w:r>
      <w:r>
        <w:t>6</w:t>
      </w:r>
      <w:r w:rsidRPr="00CE4C25">
        <w:t>).</w:t>
      </w:r>
    </w:p>
    <w:p w14:paraId="29E607A2" w14:textId="77777777" w:rsidR="00D62A77" w:rsidRPr="00CE4C25" w:rsidRDefault="00D62A77" w:rsidP="00CE4C25">
      <w:r w:rsidRPr="00CE4C25">
        <w:t xml:space="preserve">Beeston, C., Robinson, M., Giles, L., Dickie, E., Ford, J., MacPherson, M., McAdams, R., Mellor, R., Shipton, D. and Craig, N. (2020). Evaluation of Minimum Unit Pricing of Alcohol: A Mixed Method Natural Experiment in Scotland. International Journal of Environmental Research and Public Health, 17(10), p.3394. Available at: </w:t>
      </w:r>
      <w:hyperlink r:id="rId29" w:history="1">
        <w:r w:rsidRPr="00CE4C25">
          <w:rPr>
            <w:rStyle w:val="Hyperlink"/>
          </w:rPr>
          <w:t>https://doi.org/10.3390/ijerph17103394</w:t>
        </w:r>
      </w:hyperlink>
      <w:r w:rsidRPr="00CE4C25">
        <w:t xml:space="preserve"> (Accessed: 28 March  202</w:t>
      </w:r>
      <w:r>
        <w:t>6</w:t>
      </w:r>
      <w:r w:rsidRPr="00CE4C25">
        <w:t>).</w:t>
      </w:r>
    </w:p>
    <w:p w14:paraId="78BFADEF" w14:textId="6392BD93" w:rsidR="00D62A77" w:rsidRPr="00CE4C25" w:rsidRDefault="00D62A77" w:rsidP="00CE4C25">
      <w:r w:rsidRPr="00CE4C25">
        <w:t xml:space="preserve">Bhat, K., Easwarathasan, R., Jacob, M., Poole, W., Sapaetharan, V., Sidhu, </w:t>
      </w:r>
      <w:r w:rsidR="00126804" w:rsidRPr="00CE4C25">
        <w:t>M.,</w:t>
      </w:r>
      <w:r w:rsidRPr="00CE4C25">
        <w:t xml:space="preserve"> and Thomas, A. (2022) ‘Identifying and understanding the factors that influence the functioning of integrated healthcare systems in the NHS: a systematic literature review’, </w:t>
      </w:r>
      <w:r w:rsidRPr="00CE4C25">
        <w:rPr>
          <w:i/>
          <w:iCs/>
        </w:rPr>
        <w:t>BMJ Open</w:t>
      </w:r>
      <w:r w:rsidRPr="00CE4C25">
        <w:t xml:space="preserve">, 12(4), p.e049296. Available at </w:t>
      </w:r>
      <w:hyperlink r:id="rId30" w:history="1">
        <w:r w:rsidRPr="00CE4C25">
          <w:rPr>
            <w:rStyle w:val="Hyperlink"/>
          </w:rPr>
          <w:t>https://doi.org/10.1136/bmjopen-2021-049296</w:t>
        </w:r>
      </w:hyperlink>
      <w:r w:rsidRPr="00CE4C25">
        <w:t xml:space="preserve"> (Accessed: 25 March  2025).</w:t>
      </w:r>
    </w:p>
    <w:p w14:paraId="6C80B317" w14:textId="77777777" w:rsidR="00D62A77" w:rsidRPr="00CE4C25" w:rsidRDefault="00D62A77" w:rsidP="00CE4C25">
      <w:r w:rsidRPr="00CE4C25">
        <w:t xml:space="preserve">Bittner, N., Jockwitz, C., Mühleisen, T.W., Hoffstaedter, F., Eickhoff, S.B., Moebus, S., Bayen, U.J., Cichon, S., Zilles, K., Katrin Amunts and Caspers, S. (2019) </w:t>
      </w:r>
      <w:r w:rsidRPr="00CE4C25">
        <w:rPr>
          <w:i/>
          <w:iCs/>
        </w:rPr>
        <w:t>‘ Combining lifestyle risks to disentangle brain structure and functional connectivity differences in older adults</w:t>
      </w:r>
      <w:r w:rsidRPr="00CE4C25">
        <w:t xml:space="preserve">, 10(1). Available at: </w:t>
      </w:r>
      <w:hyperlink r:id="rId31" w:history="1">
        <w:r w:rsidRPr="00CE4C25">
          <w:rPr>
            <w:rStyle w:val="Hyperlink"/>
          </w:rPr>
          <w:t>https://doi.org/10.1038/s41467-019-08500-x</w:t>
        </w:r>
      </w:hyperlink>
      <w:r w:rsidRPr="00CE4C25">
        <w:t xml:space="preserve"> (Accessed: 26 March  202</w:t>
      </w:r>
      <w:r>
        <w:t>6</w:t>
      </w:r>
      <w:r w:rsidRPr="00CE4C25">
        <w:t>).</w:t>
      </w:r>
    </w:p>
    <w:p w14:paraId="20637092" w14:textId="77777777" w:rsidR="00D62A77" w:rsidRPr="00CE4C25" w:rsidRDefault="00D62A77" w:rsidP="00CE4C25">
      <w:r w:rsidRPr="00CE4C25">
        <w:lastRenderedPageBreak/>
        <w:t xml:space="preserve">Blakeslee, S. (2004) ‘The CRAAP Test’, Available at: </w:t>
      </w:r>
      <w:hyperlink r:id="rId32" w:history="1">
        <w:r w:rsidRPr="00CE4C25">
          <w:rPr>
            <w:rStyle w:val="Hyperlink"/>
          </w:rPr>
          <w:t>https://commons.emich.edu/cgi/viewcontent.cgi?article=1009</w:t>
        </w:r>
        <w:r>
          <w:rPr>
            <w:rStyle w:val="Hyperlink"/>
          </w:rPr>
          <w:t>and</w:t>
        </w:r>
        <w:r w:rsidRPr="00CE4C25">
          <w:rPr>
            <w:rStyle w:val="Hyperlink"/>
          </w:rPr>
          <w:t>context=loexquarterly</w:t>
        </w:r>
      </w:hyperlink>
      <w:r w:rsidRPr="00CE4C25">
        <w:t xml:space="preserve"> (Accessed: 07 March  2025).</w:t>
      </w:r>
    </w:p>
    <w:p w14:paraId="21E24438" w14:textId="77777777" w:rsidR="00D62A77" w:rsidRPr="00CE4C25" w:rsidRDefault="00D62A77" w:rsidP="00CE4C25">
      <w:r w:rsidRPr="00CE4C25">
        <w:t xml:space="preserve">Bolton, D. (2022) ‘Looking forward to a decade of the biopsychosocial model’,  </w:t>
      </w:r>
      <w:r w:rsidRPr="00CE4C25">
        <w:rPr>
          <w:i/>
          <w:iCs/>
        </w:rPr>
        <w:t>BJPsych Bulletin,</w:t>
      </w:r>
      <w:r w:rsidRPr="00CE4C25">
        <w:t xml:space="preserve"> 46(4), pp.1</w:t>
      </w:r>
      <w:r>
        <w:t>-</w:t>
      </w:r>
      <w:r w:rsidRPr="00CE4C25">
        <w:t xml:space="preserve">5. Available at </w:t>
      </w:r>
      <w:hyperlink r:id="rId33" w:history="1">
        <w:r w:rsidRPr="00CE4C25">
          <w:rPr>
            <w:rStyle w:val="Hyperlink"/>
          </w:rPr>
          <w:t>https://doi.org/10.1192/bjb.2022.34</w:t>
        </w:r>
      </w:hyperlink>
      <w:r w:rsidRPr="00CE4C25">
        <w:t xml:space="preserve"> (Accessed: 26 March  202</w:t>
      </w:r>
      <w:r>
        <w:t>6</w:t>
      </w:r>
      <w:r w:rsidRPr="00CE4C25">
        <w:t>).</w:t>
      </w:r>
    </w:p>
    <w:p w14:paraId="005FCE25" w14:textId="210F74BA" w:rsidR="00D62A77" w:rsidRPr="00CE4C25" w:rsidRDefault="00D62A77" w:rsidP="00CE4C25">
      <w:r w:rsidRPr="00CE4C25">
        <w:t xml:space="preserve">Bowers, S.P., Chin, M., O’Riordan, </w:t>
      </w:r>
      <w:r w:rsidR="00126804" w:rsidRPr="00CE4C25">
        <w:t>M.,</w:t>
      </w:r>
      <w:r w:rsidRPr="00CE4C25">
        <w:t xml:space="preserve"> and Carduff, E. (2022) ‘The end-of-life experiences of people living with socio-economic deprivation in the developed world: an integrative review’, </w:t>
      </w:r>
      <w:r w:rsidRPr="00CE4C25">
        <w:rPr>
          <w:i/>
          <w:iCs/>
        </w:rPr>
        <w:t>BMC Palliative Care,</w:t>
      </w:r>
      <w:r w:rsidRPr="00CE4C25">
        <w:t xml:space="preserve"> 21(1). Available at </w:t>
      </w:r>
      <w:hyperlink r:id="rId34" w:history="1">
        <w:r w:rsidRPr="00CE4C25">
          <w:rPr>
            <w:rStyle w:val="Hyperlink"/>
          </w:rPr>
          <w:t>https://doi.org/10.1186/s12904-022-01080-6</w:t>
        </w:r>
      </w:hyperlink>
      <w:r w:rsidRPr="00CE4C25">
        <w:t xml:space="preserve"> (Accessed: 21 March  202</w:t>
      </w:r>
      <w:r>
        <w:t>6</w:t>
      </w:r>
      <w:r w:rsidRPr="00CE4C25">
        <w:t>).</w:t>
      </w:r>
    </w:p>
    <w:p w14:paraId="767424F3" w14:textId="07DFA00C" w:rsidR="00D62A77" w:rsidRPr="00CE4C25" w:rsidRDefault="00D62A77" w:rsidP="00CE4C25">
      <w:r w:rsidRPr="00CE4C25">
        <w:t xml:space="preserve">Bramer, W.M., Bain, P.A., van der Pol, </w:t>
      </w:r>
      <w:r w:rsidR="00126804" w:rsidRPr="00CE4C25">
        <w:t>R.,</w:t>
      </w:r>
      <w:r w:rsidRPr="00CE4C25">
        <w:t xml:space="preserve"> </w:t>
      </w:r>
      <w:r>
        <w:t>and</w:t>
      </w:r>
      <w:r w:rsidRPr="00CE4C25">
        <w:t xml:space="preserve"> van Valkenhoef, G., (2023) ‘</w:t>
      </w:r>
      <w:r w:rsidRPr="00CE4C25">
        <w:rPr>
          <w:i/>
          <w:iCs/>
        </w:rPr>
        <w:t xml:space="preserve">Rapid relevance screening in systematic reviews: evaluating title and abstract screening as an efficient method for literature selection’, </w:t>
      </w:r>
      <w:r w:rsidRPr="00CE4C25">
        <w:t xml:space="preserve"> </w:t>
      </w:r>
      <w:r w:rsidRPr="00CE4C25">
        <w:rPr>
          <w:i/>
          <w:iCs/>
        </w:rPr>
        <w:t>Research Synthesis Methods</w:t>
      </w:r>
      <w:r w:rsidRPr="00CE4C25">
        <w:t>, 14(1), pp. 34</w:t>
      </w:r>
      <w:r>
        <w:t>-</w:t>
      </w:r>
      <w:r w:rsidRPr="00CE4C25">
        <w:t xml:space="preserve">48. Available at: </w:t>
      </w:r>
      <w:hyperlink r:id="rId35" w:history="1">
        <w:r w:rsidRPr="00CE4C25">
          <w:rPr>
            <w:rStyle w:val="Hyperlink"/>
          </w:rPr>
          <w:t>https://doi.org/10.1002/jrsm.1602</w:t>
        </w:r>
      </w:hyperlink>
      <w:r w:rsidRPr="00CE4C25">
        <w:t xml:space="preserve"> (Accessed: 24 March  202</w:t>
      </w:r>
      <w:r>
        <w:t>6</w:t>
      </w:r>
      <w:r w:rsidRPr="00CE4C25">
        <w:t>).</w:t>
      </w:r>
    </w:p>
    <w:p w14:paraId="60BA715E" w14:textId="77777777" w:rsidR="00D62A77" w:rsidRPr="00CE4C25" w:rsidRDefault="00D62A77" w:rsidP="00CE4C25">
      <w:r w:rsidRPr="00CE4C25">
        <w:t xml:space="preserve">Bramer, W.M., de Jonge, G.B., Rethlefsen, M.L. </w:t>
      </w:r>
      <w:r>
        <w:t>and</w:t>
      </w:r>
      <w:r w:rsidRPr="00CE4C25">
        <w:t xml:space="preserve"> Mast, F., (2022) ‘</w:t>
      </w:r>
      <w:r w:rsidRPr="00CE4C25">
        <w:rPr>
          <w:i/>
          <w:iCs/>
        </w:rPr>
        <w:t>Improving database search strategies: the role of structured planning, Boolean logic, and iterative refinement’,</w:t>
      </w:r>
      <w:r w:rsidRPr="00CE4C25">
        <w:t xml:space="preserve"> </w:t>
      </w:r>
      <w:r w:rsidRPr="00CE4C25">
        <w:rPr>
          <w:i/>
          <w:iCs/>
        </w:rPr>
        <w:t>Research Synthesis Methods,</w:t>
      </w:r>
      <w:r w:rsidRPr="00CE4C25">
        <w:t xml:space="preserve"> 13(4), pp.475</w:t>
      </w:r>
      <w:r>
        <w:t>-</w:t>
      </w:r>
      <w:r w:rsidRPr="00CE4C25">
        <w:t xml:space="preserve">489. Available at: </w:t>
      </w:r>
      <w:hyperlink r:id="rId36" w:history="1">
        <w:r w:rsidRPr="00CE4C25">
          <w:rPr>
            <w:rStyle w:val="Hyperlink"/>
          </w:rPr>
          <w:t>https://doi.org/10.1002/jrsm.1561</w:t>
        </w:r>
      </w:hyperlink>
      <w:r w:rsidRPr="00CE4C25">
        <w:t xml:space="preserve"> (Accessed: 03 March  202</w:t>
      </w:r>
      <w:r>
        <w:t>6</w:t>
      </w:r>
      <w:r w:rsidRPr="00CE4C25">
        <w:t>).</w:t>
      </w:r>
    </w:p>
    <w:p w14:paraId="6B9C0B5F" w14:textId="603B0E86" w:rsidR="00D62A77" w:rsidRPr="00CE4C25" w:rsidRDefault="00D62A77" w:rsidP="00CE4C25">
      <w:r w:rsidRPr="00CE4C25">
        <w:t xml:space="preserve">Braun, </w:t>
      </w:r>
      <w:r w:rsidR="00126804" w:rsidRPr="00CE4C25">
        <w:t>V.,</w:t>
      </w:r>
      <w:r w:rsidRPr="00CE4C25">
        <w:t xml:space="preserve"> </w:t>
      </w:r>
      <w:r>
        <w:t>and</w:t>
      </w:r>
      <w:r w:rsidRPr="00CE4C25">
        <w:t xml:space="preserve"> Clarke, V. (2023) ‘</w:t>
      </w:r>
      <w:r w:rsidRPr="00CE4C25">
        <w:rPr>
          <w:i/>
          <w:iCs/>
        </w:rPr>
        <w:t>Is thematic analysis used well in health psychology? A critical review of published research, with recommendations for quality practice and reporting</w:t>
      </w:r>
      <w:r w:rsidRPr="00CE4C25">
        <w:t xml:space="preserve">’, </w:t>
      </w:r>
      <w:r w:rsidRPr="00CE4C25">
        <w:rPr>
          <w:i/>
          <w:iCs/>
        </w:rPr>
        <w:t>Health Psychology Review,</w:t>
      </w:r>
      <w:r w:rsidRPr="00CE4C25">
        <w:t xml:space="preserve"> 17(4), pp.</w:t>
      </w:r>
      <w:r w:rsidRPr="00CE4C25">
        <w:rPr>
          <w:rFonts w:ascii="Arial" w:hAnsi="Arial" w:cs="Arial"/>
        </w:rPr>
        <w:t> </w:t>
      </w:r>
      <w:r w:rsidRPr="00CE4C25">
        <w:t>695</w:t>
      </w:r>
      <w:r>
        <w:rPr>
          <w:rFonts w:ascii="Aptos" w:hAnsi="Aptos" w:cs="Aptos"/>
        </w:rPr>
        <w:t>-</w:t>
      </w:r>
      <w:r w:rsidRPr="00CE4C25">
        <w:t>718.</w:t>
      </w:r>
      <w:r w:rsidRPr="00CE4C25">
        <w:br/>
        <w:t xml:space="preserve">Available at: </w:t>
      </w:r>
      <w:hyperlink r:id="rId37" w:tgtFrame="_new" w:history="1">
        <w:r w:rsidRPr="00CE4C25">
          <w:rPr>
            <w:rStyle w:val="Hyperlink"/>
          </w:rPr>
          <w:t>https://doi.org/10.1080/17437199.2022.2161594</w:t>
        </w:r>
      </w:hyperlink>
      <w:r w:rsidRPr="00CE4C25">
        <w:t xml:space="preserve"> (Accessed: 24 March  202</w:t>
      </w:r>
      <w:r>
        <w:t>6</w:t>
      </w:r>
      <w:r w:rsidRPr="00CE4C25">
        <w:t>).</w:t>
      </w:r>
    </w:p>
    <w:p w14:paraId="5C6D2EC0" w14:textId="77777777" w:rsidR="00D62A77" w:rsidRPr="00CE4C25" w:rsidRDefault="00D62A77" w:rsidP="00CE4C25">
      <w:r w:rsidRPr="00CE4C25">
        <w:t>Brignardello</w:t>
      </w:r>
      <w:r w:rsidRPr="00CE4C25">
        <w:noBreakHyphen/>
        <w:t xml:space="preserve">Petersen, R., Santesso, N. </w:t>
      </w:r>
      <w:r>
        <w:t>and</w:t>
      </w:r>
      <w:r w:rsidRPr="00CE4C25">
        <w:t xml:space="preserve"> Guyatt, G.H., (2024) ‘</w:t>
      </w:r>
      <w:r w:rsidRPr="00CE4C25">
        <w:rPr>
          <w:i/>
          <w:iCs/>
        </w:rPr>
        <w:t>Systematic reviews of the literature: an introduction to current methods’,</w:t>
      </w:r>
      <w:r w:rsidRPr="00CE4C25">
        <w:t xml:space="preserve"> </w:t>
      </w:r>
      <w:r w:rsidRPr="00CE4C25">
        <w:rPr>
          <w:i/>
          <w:iCs/>
        </w:rPr>
        <w:t>American Journal of Epidemiology,</w:t>
      </w:r>
      <w:r w:rsidRPr="00CE4C25">
        <w:t xml:space="preserve"> 194(2), pp.536</w:t>
      </w:r>
      <w:r>
        <w:t>-</w:t>
      </w:r>
      <w:r w:rsidRPr="00CE4C25">
        <w:t xml:space="preserve">542. Available at: </w:t>
      </w:r>
      <w:hyperlink r:id="rId38" w:history="1">
        <w:r w:rsidRPr="00CE4C25">
          <w:rPr>
            <w:rStyle w:val="Hyperlink"/>
          </w:rPr>
          <w:t>https://doi.org/10.1093/aje/kwae232</w:t>
        </w:r>
      </w:hyperlink>
      <w:r w:rsidRPr="00CE4C25">
        <w:t xml:space="preserve"> (Accessed: 21 March  202</w:t>
      </w:r>
      <w:r>
        <w:t>6</w:t>
      </w:r>
      <w:r w:rsidRPr="00CE4C25">
        <w:t>).</w:t>
      </w:r>
    </w:p>
    <w:p w14:paraId="63A763AC" w14:textId="77777777" w:rsidR="00D62A77" w:rsidRPr="00CE4C25" w:rsidRDefault="00D62A77" w:rsidP="00CE4C25">
      <w:r w:rsidRPr="00CE4C25">
        <w:t xml:space="preserve">Bruinsma, J., Leonie, Alara Abaci, Rosenberg, A., Diaz, A., Hanke, S., Rik Crutzen, Mangialasche, F., Miia Kivipelto and Charlotta Thunborg (2024) ‘Social activities in multidomain dementia prevention interventions: insights from practice and a blueprint for the future’, </w:t>
      </w:r>
      <w:r w:rsidRPr="00CE4C25">
        <w:rPr>
          <w:i/>
          <w:iCs/>
        </w:rPr>
        <w:t>Frontiers in Psychiatry</w:t>
      </w:r>
      <w:r w:rsidRPr="00CE4C25">
        <w:t xml:space="preserve">, 15. Available at </w:t>
      </w:r>
      <w:hyperlink r:id="rId39" w:history="1">
        <w:r w:rsidRPr="00CE4C25">
          <w:rPr>
            <w:rStyle w:val="Hyperlink"/>
          </w:rPr>
          <w:t>https://doi.org/10.3389/fpsyt.2024.1386688</w:t>
        </w:r>
      </w:hyperlink>
      <w:r w:rsidRPr="00CE4C25">
        <w:t xml:space="preserve"> (Accessed: 11 March  202</w:t>
      </w:r>
      <w:r>
        <w:t>6</w:t>
      </w:r>
      <w:r w:rsidRPr="00CE4C25">
        <w:t>).</w:t>
      </w:r>
    </w:p>
    <w:p w14:paraId="27A7BB37" w14:textId="77777777" w:rsidR="00D62A77" w:rsidRPr="00CE4C25" w:rsidRDefault="00D62A77" w:rsidP="00CE4C25">
      <w:r w:rsidRPr="00CE4C25">
        <w:t xml:space="preserve">Cabañero-García, E. et al. (2025) ‘Barriers to health, social and long-term care access among older adults: A systematic review of reviews’, </w:t>
      </w:r>
      <w:r w:rsidRPr="00CE4C25">
        <w:rPr>
          <w:i/>
          <w:iCs/>
        </w:rPr>
        <w:t>International Journal for Equity in Health</w:t>
      </w:r>
      <w:r w:rsidRPr="00CE4C25">
        <w:t xml:space="preserve">, 24(1). Available at: </w:t>
      </w:r>
      <w:hyperlink r:id="rId40" w:tgtFrame="_new" w:history="1">
        <w:r w:rsidRPr="00CE4C25">
          <w:rPr>
            <w:rStyle w:val="Hyperlink"/>
          </w:rPr>
          <w:t>https://doi.org/10.1186/s12939-025-02429-y</w:t>
        </w:r>
      </w:hyperlink>
      <w:r w:rsidRPr="00CE4C25">
        <w:t xml:space="preserve"> (Accessed: 02 March  202</w:t>
      </w:r>
      <w:r>
        <w:t>6</w:t>
      </w:r>
      <w:r w:rsidRPr="00CE4C25">
        <w:t>).</w:t>
      </w:r>
    </w:p>
    <w:p w14:paraId="68C5FEE0" w14:textId="7C916048" w:rsidR="00D62A77" w:rsidRPr="00CE4C25" w:rsidRDefault="00D62A77" w:rsidP="00CE4C25">
      <w:r w:rsidRPr="00CE4C25">
        <w:lastRenderedPageBreak/>
        <w:t>Care Quality Commission (2024) ‘People with dementia: State of health care and adult social care in England 2023/24’, </w:t>
      </w:r>
      <w:r w:rsidRPr="00CE4C25">
        <w:rPr>
          <w:i/>
          <w:iCs/>
        </w:rPr>
        <w:t>Care Quality Commission Report</w:t>
      </w:r>
      <w:r w:rsidRPr="00CE4C25">
        <w:t>. Available at: </w:t>
      </w:r>
      <w:hyperlink r:id="rId41" w:tgtFrame="_blank" w:history="1">
        <w:r w:rsidRPr="00CE4C25">
          <w:rPr>
            <w:rStyle w:val="Hyperlink"/>
          </w:rPr>
          <w:t>https://www.cqc.org.uk/publications/major-report/state-care/2023-2024/areas-of-concern/dementia</w:t>
        </w:r>
      </w:hyperlink>
      <w:r w:rsidRPr="00CE4C25">
        <w:t xml:space="preserve"> (Accessed: 21 </w:t>
      </w:r>
      <w:r w:rsidR="001C0F0D">
        <w:t xml:space="preserve">December </w:t>
      </w:r>
      <w:r w:rsidRPr="00CE4C25">
        <w:t>202</w:t>
      </w:r>
      <w:r w:rsidR="001C0F0D">
        <w:t>5</w:t>
      </w:r>
      <w:r w:rsidRPr="00CE4C25">
        <w:t>). </w:t>
      </w:r>
    </w:p>
    <w:p w14:paraId="0ECFC5AC" w14:textId="77777777" w:rsidR="00D62A77" w:rsidRPr="00CE4C25" w:rsidRDefault="00D62A77" w:rsidP="00CE4C25">
      <w:r w:rsidRPr="00CE4C25">
        <w:t>Carr, T., Kilian, C., Llamosas</w:t>
      </w:r>
      <w:r w:rsidRPr="00CE4C25">
        <w:rPr>
          <w:rFonts w:ascii="Cambria Math" w:hAnsi="Cambria Math" w:cs="Cambria Math"/>
        </w:rPr>
        <w:t>‐</w:t>
      </w:r>
      <w:r w:rsidRPr="00CE4C25">
        <w:t>Falcón, L., Zhu, Y., Lasserre, A.M., Klajdi Puka and Probst, C. (2024) ‘The risk relationships between alcohol consumption, alcohol use disorder and alcohol use disorder mortality: A systematic review and meta</w:t>
      </w:r>
      <w:r w:rsidRPr="00CE4C25">
        <w:rPr>
          <w:rFonts w:ascii="Cambria Math" w:hAnsi="Cambria Math" w:cs="Cambria Math"/>
        </w:rPr>
        <w:t>‐</w:t>
      </w:r>
      <w:r w:rsidRPr="00CE4C25">
        <w:t xml:space="preserve">analysis’, </w:t>
      </w:r>
      <w:r w:rsidRPr="00CE4C25">
        <w:rPr>
          <w:i/>
          <w:iCs/>
        </w:rPr>
        <w:t>Addiction, 119(7).</w:t>
      </w:r>
      <w:r w:rsidRPr="00CE4C25">
        <w:t xml:space="preserve"> Available at </w:t>
      </w:r>
      <w:hyperlink r:id="rId42" w:history="1">
        <w:r w:rsidRPr="00CE4C25">
          <w:rPr>
            <w:rStyle w:val="Hyperlink"/>
          </w:rPr>
          <w:t>https://doi.org/10.1111/add.16456</w:t>
        </w:r>
      </w:hyperlink>
      <w:r w:rsidRPr="00CE4C25">
        <w:t xml:space="preserve"> (Accessed: 24 March  202</w:t>
      </w:r>
      <w:r>
        <w:t>6</w:t>
      </w:r>
      <w:r w:rsidRPr="00CE4C25">
        <w:t>).</w:t>
      </w:r>
    </w:p>
    <w:p w14:paraId="53DF1958" w14:textId="77777777" w:rsidR="00D62A77" w:rsidRPr="00CE4C25" w:rsidRDefault="00D62A77" w:rsidP="00CE4C25">
      <w:r w:rsidRPr="00CE4C25">
        <w:t xml:space="preserve">Cassiano, L.M.G., Oliveira, M.S., Pioline, J., Salim, A.C.M. and Coimbra, R.S. (2022) ‘ Neuroinflammation regulates the balance between hippocampal neuron death and neurogenesis in an ex vivo model of thiamine deficiency’, </w:t>
      </w:r>
      <w:r w:rsidRPr="00CE4C25">
        <w:rPr>
          <w:i/>
          <w:iCs/>
        </w:rPr>
        <w:t>Journal of Neuroinflammation</w:t>
      </w:r>
      <w:r w:rsidRPr="00CE4C25">
        <w:t>, 19(1). Available at </w:t>
      </w:r>
      <w:hyperlink r:id="rId43" w:tgtFrame="_blank" w:history="1">
        <w:r w:rsidRPr="00CE4C25">
          <w:rPr>
            <w:rStyle w:val="Hyperlink"/>
          </w:rPr>
          <w:t>https://doi.org/10.1186/s12974-022-02624-6</w:t>
        </w:r>
      </w:hyperlink>
      <w:r w:rsidRPr="00CE4C25">
        <w:t xml:space="preserve"> (Accessed: 07 March  202</w:t>
      </w:r>
      <w:r>
        <w:t>6</w:t>
      </w:r>
      <w:r w:rsidRPr="00CE4C25">
        <w:t>). </w:t>
      </w:r>
    </w:p>
    <w:p w14:paraId="30DC3836" w14:textId="46FCBC00" w:rsidR="00D62A77" w:rsidRPr="00CE4C25" w:rsidRDefault="00D62A77" w:rsidP="00CE4C25">
      <w:r w:rsidRPr="00CE4C25">
        <w:t xml:space="preserve">Castleberry, </w:t>
      </w:r>
      <w:r w:rsidR="0024395B" w:rsidRPr="00CE4C25">
        <w:t>A.,</w:t>
      </w:r>
      <w:r w:rsidRPr="00CE4C25">
        <w:t xml:space="preserve"> and Nolen, A. (2018) ‘Thematic analysis of qualitative research data: Is it as easy as it sounds?’, </w:t>
      </w:r>
      <w:r w:rsidRPr="00CE4C25">
        <w:rPr>
          <w:i/>
          <w:iCs/>
        </w:rPr>
        <w:t>Currents in Pharmacy Teaching and Learning</w:t>
      </w:r>
      <w:r w:rsidRPr="00CE4C25">
        <w:t>, 10(6), pp. 807</w:t>
      </w:r>
      <w:r>
        <w:t>-</w:t>
      </w:r>
      <w:r w:rsidRPr="00CE4C25">
        <w:t xml:space="preserve">815. Available at: </w:t>
      </w:r>
      <w:hyperlink r:id="rId44" w:tgtFrame="_new" w:history="1">
        <w:r w:rsidRPr="00CE4C25">
          <w:rPr>
            <w:rStyle w:val="Hyperlink"/>
          </w:rPr>
          <w:t>https://doi.org/10.1016/j.cptl.2018.03.019</w:t>
        </w:r>
      </w:hyperlink>
      <w:r w:rsidRPr="00CE4C25">
        <w:t xml:space="preserve"> (Accessed: 25 March  202</w:t>
      </w:r>
      <w:r>
        <w:t>6</w:t>
      </w:r>
      <w:r w:rsidRPr="00CE4C25">
        <w:t>).</w:t>
      </w:r>
    </w:p>
    <w:p w14:paraId="0B653108" w14:textId="77777777" w:rsidR="00D62A77" w:rsidRPr="00CE4C25" w:rsidRDefault="00D62A77" w:rsidP="00CE4C25">
      <w:r w:rsidRPr="00CE4C25">
        <w:t>Chowdhary, N., Barbui, C., Anstey, K.J., Kivipelto, M., Barbera, M., Peters, R., Zheng, L., Kulmala, J., Stephen, R., Ferri, C.P., Joanette, Y., Wang, H., Comas</w:t>
      </w:r>
      <w:r w:rsidRPr="00CE4C25">
        <w:noBreakHyphen/>
        <w:t>Herrera, A., Alessi, C., Suharya (Dy), K., Mwangi, K.J., Petersen, R.C., Motala, A.A., Mendis, S., Prabhakaran, D., Bibi Mia Sorefan, A., Dias, A., Gouider, R., Shahar, S., Ashby</w:t>
      </w:r>
      <w:r w:rsidRPr="00CE4C25">
        <w:noBreakHyphen/>
        <w:t xml:space="preserve">Mitchell, K., Prince, M. and Dua, T. (2022)  ‘Reducing the risk of cognitive decline and dementia: </w:t>
      </w:r>
      <w:r>
        <w:t xml:space="preserve">WORLD HEALH ORGANASATION </w:t>
      </w:r>
      <w:r w:rsidRPr="00CE4C25">
        <w:t xml:space="preserve"> recommendations’, </w:t>
      </w:r>
      <w:r w:rsidRPr="00CE4C25">
        <w:rPr>
          <w:i/>
          <w:iCs/>
        </w:rPr>
        <w:t>Frontiers in Neurology</w:t>
      </w:r>
      <w:r w:rsidRPr="00CE4C25">
        <w:t>, 12, 765584. Available at: </w:t>
      </w:r>
      <w:hyperlink r:id="rId45" w:tgtFrame="_blank" w:history="1">
        <w:r w:rsidRPr="00CE4C25">
          <w:rPr>
            <w:rStyle w:val="Hyperlink"/>
          </w:rPr>
          <w:t>https://www.frontiersin.org/articles/10.3389/fneur.2021.765584/full</w:t>
        </w:r>
      </w:hyperlink>
      <w:r w:rsidRPr="00CE4C25">
        <w:t> (Accessed: 18 November 2025). </w:t>
      </w:r>
    </w:p>
    <w:p w14:paraId="4416C956" w14:textId="77777777" w:rsidR="00D62A77" w:rsidRPr="00CE4C25" w:rsidRDefault="00D62A77" w:rsidP="00CE4C25">
      <w:r w:rsidRPr="00CE4C25">
        <w:t xml:space="preserve">Christophe Gernigon, Ruud, Vallacher, R.R. and Geert, V. (2023) ‘How the Complexity of Psychological Processes Reframes the Issue of Reproducibility in Psychological Science’, </w:t>
      </w:r>
      <w:r w:rsidRPr="00CE4C25">
        <w:rPr>
          <w:i/>
          <w:iCs/>
        </w:rPr>
        <w:t>Perspectives on Psychological Science</w:t>
      </w:r>
      <w:r w:rsidRPr="00CE4C25">
        <w:t xml:space="preserve">. Available at </w:t>
      </w:r>
      <w:hyperlink r:id="rId46" w:history="1">
        <w:r w:rsidRPr="00CE4C25">
          <w:rPr>
            <w:rStyle w:val="Hyperlink"/>
          </w:rPr>
          <w:t>https://doi.org/10.1177/17456916231187324</w:t>
        </w:r>
      </w:hyperlink>
      <w:r w:rsidRPr="00CE4C25">
        <w:t xml:space="preserve"> (Accessed: 24 March  202</w:t>
      </w:r>
      <w:r>
        <w:t>6</w:t>
      </w:r>
      <w:r w:rsidRPr="00CE4C25">
        <w:t>).</w:t>
      </w:r>
    </w:p>
    <w:p w14:paraId="3936C262" w14:textId="77777777" w:rsidR="00D62A77" w:rsidRPr="00CE4C25" w:rsidRDefault="00D62A77" w:rsidP="00CE4C25">
      <w:r w:rsidRPr="00CE4C25">
        <w:t xml:space="preserve">Cipriani, G., Nuti, A., Carlesi, C., Lucetti, C., Di Fiorino, M. and Danti, S. (2020) ‘Categorising a problem: alcohol and dementia’, </w:t>
      </w:r>
      <w:r w:rsidRPr="00CE4C25">
        <w:rPr>
          <w:i/>
          <w:iCs/>
        </w:rPr>
        <w:t>Acta Neurologica Belgica</w:t>
      </w:r>
      <w:r w:rsidRPr="00CE4C25">
        <w:t>, 121(1), pp.1</w:t>
      </w:r>
      <w:r>
        <w:t>-</w:t>
      </w:r>
      <w:r w:rsidRPr="00CE4C25">
        <w:t xml:space="preserve">10. Available at </w:t>
      </w:r>
      <w:hyperlink r:id="rId47" w:history="1">
        <w:r w:rsidRPr="00CE4C25">
          <w:rPr>
            <w:rStyle w:val="Hyperlink"/>
          </w:rPr>
          <w:t>https://doi.org/10.1007/s13760-020-01515-y</w:t>
        </w:r>
      </w:hyperlink>
      <w:r w:rsidRPr="00CE4C25">
        <w:t xml:space="preserve"> (Accessed: 28 March  202</w:t>
      </w:r>
      <w:r>
        <w:t>6</w:t>
      </w:r>
      <w:r w:rsidRPr="00CE4C25">
        <w:t>).</w:t>
      </w:r>
    </w:p>
    <w:p w14:paraId="04CBF0CA" w14:textId="77777777" w:rsidR="00D62A77" w:rsidRPr="00CE4C25" w:rsidRDefault="00D62A77" w:rsidP="00CE4C25">
      <w:r w:rsidRPr="00CE4C25">
        <w:t xml:space="preserve">Collins, S.E. (2016) ‘Associations Between Socioeconomic Factors and Alcohol Outcomes’, </w:t>
      </w:r>
      <w:r w:rsidRPr="00CE4C25">
        <w:rPr>
          <w:i/>
          <w:iCs/>
        </w:rPr>
        <w:t>Alcohol Research : Current Reviews</w:t>
      </w:r>
      <w:r w:rsidRPr="00CE4C25">
        <w:t>,  38(1), pp.83</w:t>
      </w:r>
      <w:r>
        <w:t>-</w:t>
      </w:r>
      <w:r w:rsidRPr="00CE4C25">
        <w:t xml:space="preserve">94. Available at: </w:t>
      </w:r>
      <w:hyperlink r:id="rId48" w:history="1">
        <w:r w:rsidRPr="00CE4C25">
          <w:rPr>
            <w:rStyle w:val="Hyperlink"/>
          </w:rPr>
          <w:t>https://pmc.ncbi.nlm.nih.gov/articles/PMC4872618/</w:t>
        </w:r>
      </w:hyperlink>
      <w:r w:rsidRPr="00CE4C25">
        <w:t xml:space="preserve"> (Accessed: 26 March  202</w:t>
      </w:r>
      <w:r>
        <w:t>6</w:t>
      </w:r>
      <w:r w:rsidRPr="00CE4C25">
        <w:t>).</w:t>
      </w:r>
    </w:p>
    <w:p w14:paraId="1EE117ED" w14:textId="77777777" w:rsidR="00D62A77" w:rsidRPr="00CE4C25" w:rsidRDefault="00D62A77" w:rsidP="00CE4C25">
      <w:r w:rsidRPr="00CE4C25">
        <w:lastRenderedPageBreak/>
        <w:t xml:space="preserve">Crawford, J., Cooke, R., Shorter, G.W. and Bendtsen, M. (2025) ‘Personal perceptions of risky drinking and alcohol guidelines </w:t>
      </w:r>
      <w:r>
        <w:t>-</w:t>
      </w:r>
      <w:r w:rsidRPr="00CE4C25">
        <w:t xml:space="preserve"> a qualitative analysis’, </w:t>
      </w:r>
      <w:r w:rsidRPr="00CE4C25">
        <w:rPr>
          <w:i/>
          <w:iCs/>
        </w:rPr>
        <w:t>BMC Public Health</w:t>
      </w:r>
      <w:r w:rsidRPr="00CE4C25">
        <w:t xml:space="preserve">, 25(1). Available at </w:t>
      </w:r>
      <w:hyperlink r:id="rId49" w:history="1">
        <w:r w:rsidRPr="00CE4C25">
          <w:rPr>
            <w:rStyle w:val="Hyperlink"/>
          </w:rPr>
          <w:t>https://doi.org/10.1186/s12889-025-24296-6</w:t>
        </w:r>
      </w:hyperlink>
      <w:r w:rsidRPr="00CE4C25">
        <w:t xml:space="preserve"> (Accessed: 06 March  202</w:t>
      </w:r>
      <w:r>
        <w:t>6</w:t>
      </w:r>
      <w:r w:rsidRPr="00CE4C25">
        <w:t>).</w:t>
      </w:r>
    </w:p>
    <w:p w14:paraId="3C5FAED2" w14:textId="77777777" w:rsidR="00D62A77" w:rsidRPr="00CE4C25" w:rsidRDefault="00D62A77" w:rsidP="00CE4C25">
      <w:r w:rsidRPr="00CE4C25">
        <w:t>Dance, S., Adams, S., Weyman, A., Herbert, A., Burke, C., Cassidy, N., Higson</w:t>
      </w:r>
      <w:r w:rsidRPr="00CE4C25">
        <w:rPr>
          <w:rFonts w:ascii="Cambria Math" w:hAnsi="Cambria Math" w:cs="Cambria Math"/>
        </w:rPr>
        <w:t>‑</w:t>
      </w:r>
      <w:r w:rsidRPr="00CE4C25">
        <w:t xml:space="preserve">Sweeney, N. and Dack, C. (2025) ‘Psychosocial factors associated with alcohol use in lower socioeconomic position populations: a scoping review’, </w:t>
      </w:r>
      <w:r w:rsidRPr="00CE4C25">
        <w:rPr>
          <w:i/>
          <w:iCs/>
        </w:rPr>
        <w:t>BMC Public Health,</w:t>
      </w:r>
      <w:r w:rsidRPr="00CE4C25">
        <w:t xml:space="preserve"> 25, Article 3676. Available at: </w:t>
      </w:r>
      <w:hyperlink r:id="rId50" w:history="1">
        <w:r w:rsidRPr="00CE4C25">
          <w:rPr>
            <w:rStyle w:val="Hyperlink"/>
          </w:rPr>
          <w:t>https://bmcpublichealth.biomedcentral.com/articles/10.1186/s12889-025-24508-z</w:t>
        </w:r>
      </w:hyperlink>
      <w:r w:rsidRPr="00CE4C25">
        <w:t xml:space="preserve"> (Accessed: 04 March  202</w:t>
      </w:r>
      <w:r>
        <w:t>6</w:t>
      </w:r>
      <w:r w:rsidRPr="00CE4C25">
        <w:t>).</w:t>
      </w:r>
    </w:p>
    <w:p w14:paraId="3DC29252" w14:textId="77777777" w:rsidR="00D62A77" w:rsidRPr="00CE4C25" w:rsidRDefault="00D62A77" w:rsidP="00CE4C25">
      <w:r w:rsidRPr="00CE4C25">
        <w:t xml:space="preserve">de la Monte, S.M. and Tong, M. (2025) ‘Molecular and biochemical pathologies in human alcohol-related cerebellar white matter degeneration.’, </w:t>
      </w:r>
      <w:r w:rsidRPr="00CE4C25">
        <w:rPr>
          <w:i/>
          <w:iCs/>
        </w:rPr>
        <w:t xml:space="preserve">Advances in Drug and Alcohol Research, </w:t>
      </w:r>
      <w:r w:rsidRPr="00CE4C25">
        <w:t xml:space="preserve">5. Available at: </w:t>
      </w:r>
      <w:hyperlink r:id="rId51" w:history="1">
        <w:r w:rsidRPr="00CE4C25">
          <w:rPr>
            <w:rStyle w:val="Hyperlink"/>
          </w:rPr>
          <w:t>https://doi.org/10.3389/adar.2025.15342</w:t>
        </w:r>
      </w:hyperlink>
      <w:r w:rsidRPr="00CE4C25">
        <w:t xml:space="preserve"> (Accessed: 23 March  202</w:t>
      </w:r>
      <w:r>
        <w:t>5</w:t>
      </w:r>
      <w:r w:rsidRPr="00CE4C25">
        <w:t>).</w:t>
      </w:r>
    </w:p>
    <w:p w14:paraId="6C741A12" w14:textId="77777777" w:rsidR="00D62A77" w:rsidRPr="00CE4C25" w:rsidRDefault="00D62A77" w:rsidP="00CE4C25">
      <w:r w:rsidRPr="00CE4C25">
        <w:t>Dementia UK (2023) ‘Dementia UK Annual Report 2022</w:t>
      </w:r>
      <w:r w:rsidRPr="00CE4C25">
        <w:noBreakHyphen/>
        <w:t xml:space="preserve">23’, </w:t>
      </w:r>
      <w:r w:rsidRPr="00CE4C25">
        <w:rPr>
          <w:i/>
          <w:iCs/>
        </w:rPr>
        <w:t>Dementia UK</w:t>
      </w:r>
      <w:r w:rsidRPr="00CE4C25">
        <w:t xml:space="preserve">. Available at: </w:t>
      </w:r>
      <w:hyperlink r:id="rId52" w:tgtFrame="_new" w:history="1">
        <w:r w:rsidRPr="00CE4C25">
          <w:rPr>
            <w:rStyle w:val="Hyperlink"/>
          </w:rPr>
          <w:t>https://www.dementiauk.org/about-us/strategy-annual-reports/</w:t>
        </w:r>
      </w:hyperlink>
      <w:r w:rsidRPr="00CE4C25">
        <w:t xml:space="preserve"> (Accessed: 11 March  202</w:t>
      </w:r>
      <w:r>
        <w:t>6</w:t>
      </w:r>
      <w:r w:rsidRPr="00CE4C25">
        <w:t>).</w:t>
      </w:r>
    </w:p>
    <w:p w14:paraId="3D190CEA" w14:textId="77777777" w:rsidR="00D62A77" w:rsidRPr="00CE4C25" w:rsidRDefault="00D62A77" w:rsidP="00CE4C25">
      <w:r w:rsidRPr="00CE4C25">
        <w:t>Edwards, A.C., Larsson Lönn, S., Chartier, K.G., Lannoy, S., Sundquist, J., Kendler, K.S. and Sundquist, K. (2024) ‘Socioeconomic position indicators and risk of alcohol</w:t>
      </w:r>
      <w:r w:rsidRPr="00CE4C25">
        <w:rPr>
          <w:rFonts w:ascii="Cambria Math" w:hAnsi="Cambria Math" w:cs="Cambria Math"/>
        </w:rPr>
        <w:t>‑</w:t>
      </w:r>
      <w:r w:rsidRPr="00CE4C25">
        <w:t xml:space="preserve">related medical conditions: a national cohort study’, </w:t>
      </w:r>
      <w:r w:rsidRPr="00CE4C25">
        <w:rPr>
          <w:i/>
          <w:iCs/>
        </w:rPr>
        <w:t>PLOS Medicine</w:t>
      </w:r>
      <w:r w:rsidRPr="00CE4C25">
        <w:t xml:space="preserve">, 21(3), e1004359. Available at: </w:t>
      </w:r>
      <w:hyperlink r:id="rId53" w:history="1">
        <w:r w:rsidRPr="00CE4C25">
          <w:rPr>
            <w:rStyle w:val="Hyperlink"/>
          </w:rPr>
          <w:t>https://journals.plos.org/plosmedicine/article?id=10.1371/journal.pmed.1004359</w:t>
        </w:r>
      </w:hyperlink>
      <w:r w:rsidRPr="00CE4C25">
        <w:t xml:space="preserve"> (Accessed: 07 March  202</w:t>
      </w:r>
      <w:r>
        <w:t>6</w:t>
      </w:r>
      <w:r w:rsidRPr="00CE4C25">
        <w:t>).</w:t>
      </w:r>
    </w:p>
    <w:p w14:paraId="051147E6" w14:textId="77777777" w:rsidR="00D62A77" w:rsidRPr="00CE4C25" w:rsidRDefault="00D62A77" w:rsidP="00CE4C25">
      <w:r w:rsidRPr="00CE4C25">
        <w:t xml:space="preserve">El Zibaoui, R., Díaz, L.A., Idalsoaga, F. and Arab, J.P. (2025) ‘Public Health Policies and Strategies to Prevent Alcohol-Related Morbidity and Mortality’, </w:t>
      </w:r>
      <w:r w:rsidRPr="00CE4C25">
        <w:rPr>
          <w:i/>
          <w:iCs/>
        </w:rPr>
        <w:t>Current Hepatology Reports</w:t>
      </w:r>
      <w:r w:rsidRPr="00CE4C25">
        <w:t xml:space="preserve">, 24(1). Available at </w:t>
      </w:r>
      <w:hyperlink r:id="rId54" w:history="1">
        <w:r w:rsidRPr="00CE4C25">
          <w:rPr>
            <w:rStyle w:val="Hyperlink"/>
          </w:rPr>
          <w:t>https://doi.org/10.1007/s11901-025-00688-5</w:t>
        </w:r>
      </w:hyperlink>
      <w:r w:rsidRPr="00CE4C25">
        <w:t xml:space="preserve"> (Accessed: 26 March  202</w:t>
      </w:r>
      <w:r>
        <w:t>6</w:t>
      </w:r>
      <w:r w:rsidRPr="00CE4C25">
        <w:t>).</w:t>
      </w:r>
    </w:p>
    <w:p w14:paraId="030002B3" w14:textId="77777777" w:rsidR="00D62A77" w:rsidRPr="00CE4C25" w:rsidRDefault="00D62A77" w:rsidP="00CE4C25">
      <w:r w:rsidRPr="00CE4C25">
        <w:t>Evans, H. (2025) ‘Exploring socioeconomic mechanisms that drive harmful alcohol consumption in the UK: A scoping review’, </w:t>
      </w:r>
      <w:r w:rsidRPr="00CE4C25">
        <w:rPr>
          <w:i/>
          <w:iCs/>
        </w:rPr>
        <w:t>Public Health Institute Journal</w:t>
      </w:r>
      <w:r w:rsidRPr="00CE4C25">
        <w:t>. Available at: </w:t>
      </w:r>
      <w:hyperlink r:id="rId55" w:tgtFrame="_blank" w:history="1">
        <w:r w:rsidRPr="00CE4C25">
          <w:rPr>
            <w:rStyle w:val="Hyperlink"/>
          </w:rPr>
          <w:t>https://openjournals.ljmu.ac.uk/PHIJ/article/view/2848</w:t>
        </w:r>
      </w:hyperlink>
      <w:r w:rsidRPr="00CE4C25">
        <w:t> (Accessed: 13 November 2025). </w:t>
      </w:r>
    </w:p>
    <w:p w14:paraId="32742CB9" w14:textId="77777777" w:rsidR="00D62A77" w:rsidRPr="00CE4C25" w:rsidRDefault="00D62A77" w:rsidP="00CE4C25">
      <w:r w:rsidRPr="00CE4C25">
        <w:t xml:space="preserve">Fang, L., Zhang, Q., Zhou, N., Chen, J. and Lou, H. (2025) ‘Influencing factors and mechanisms promoting proactive health behaviour intention: an integration of the health belief model and the theory of planned behaviour’, </w:t>
      </w:r>
      <w:r w:rsidRPr="00CE4C25">
        <w:rPr>
          <w:i/>
          <w:iCs/>
        </w:rPr>
        <w:t>Frontiers in Public Health</w:t>
      </w:r>
      <w:r w:rsidRPr="00CE4C25">
        <w:t xml:space="preserve">, 13. Available at: </w:t>
      </w:r>
      <w:hyperlink r:id="rId56" w:history="1">
        <w:r w:rsidRPr="00CE4C25">
          <w:rPr>
            <w:rStyle w:val="Hyperlink"/>
          </w:rPr>
          <w:t>https://doi.org/10.3389/fpubh.2025.1629046</w:t>
        </w:r>
      </w:hyperlink>
      <w:r>
        <w:t xml:space="preserve"> </w:t>
      </w:r>
      <w:r w:rsidRPr="00CE4C25">
        <w:t>(Accessed: 03 March  202</w:t>
      </w:r>
      <w:r>
        <w:t>6</w:t>
      </w:r>
      <w:r w:rsidRPr="00CE4C25">
        <w:t>).</w:t>
      </w:r>
    </w:p>
    <w:p w14:paraId="2DE488AE" w14:textId="1594EF86" w:rsidR="00D62A77" w:rsidRPr="00CE4C25" w:rsidRDefault="00D62A77" w:rsidP="00CE4C25">
      <w:r w:rsidRPr="00CE4C25">
        <w:t xml:space="preserve">Giebel, C., Watson, J., Dickinson, J., Gabbay, M., Halpin, K., Harding, </w:t>
      </w:r>
      <w:r w:rsidR="0024395B" w:rsidRPr="00CE4C25">
        <w:t>A.,</w:t>
      </w:r>
      <w:r w:rsidRPr="00CE4C25">
        <w:t xml:space="preserve"> and Swarbrick, C. (2024) ‘Do people with dementia and carers get what they need? Barriers in social care and carers needs assessments</w:t>
      </w:r>
      <w:r w:rsidR="0024395B" w:rsidRPr="00CE4C25">
        <w:t>,’</w:t>
      </w:r>
      <w:r w:rsidRPr="00CE4C25">
        <w:rPr>
          <w:i/>
          <w:iCs/>
        </w:rPr>
        <w:t> Dementia</w:t>
      </w:r>
      <w:r w:rsidRPr="00CE4C25">
        <w:t>, pp. 1</w:t>
      </w:r>
      <w:r>
        <w:t>-</w:t>
      </w:r>
      <w:r w:rsidRPr="00CE4C25">
        <w:t xml:space="preserve">17. Available </w:t>
      </w:r>
      <w:r w:rsidRPr="00CE4C25">
        <w:lastRenderedPageBreak/>
        <w:t>at: </w:t>
      </w:r>
      <w:hyperlink r:id="rId57" w:tgtFrame="_blank" w:history="1">
        <w:r w:rsidRPr="00CE4C25">
          <w:rPr>
            <w:rStyle w:val="Hyperlink"/>
          </w:rPr>
          <w:t>https://eprints.lancs.ac.uk/id/eprint/215801/3/giebel-et-al-2024-do-people-with-dementia-and-carers-get-what-they-need-barriers-in-social-care-and-carers-needs.pdf</w:t>
        </w:r>
      </w:hyperlink>
      <w:r w:rsidRPr="00CE4C25">
        <w:t> (Accessed: 11 November 2025). </w:t>
      </w:r>
    </w:p>
    <w:p w14:paraId="335C5307" w14:textId="5AC69F12" w:rsidR="00D62A77" w:rsidRPr="00CE4C25" w:rsidRDefault="00D62A77" w:rsidP="00CE4C25">
      <w:r w:rsidRPr="00CE4C25">
        <w:t xml:space="preserve">Giles, L., Robinson, </w:t>
      </w:r>
      <w:r w:rsidR="0024395B" w:rsidRPr="00CE4C25">
        <w:t>M.,</w:t>
      </w:r>
      <w:r w:rsidRPr="00CE4C25">
        <w:t xml:space="preserve"> and Beeston, C. (2019) ‘Minimum Unit Pricing (MUP) for alcohol evaluation Sales-based consumption: a descriptive analysis of one-year post-MUP off-trade alcohol sales data. Available at: </w:t>
      </w:r>
      <w:hyperlink r:id="rId58" w:history="1">
        <w:r w:rsidRPr="00CE4C25">
          <w:rPr>
            <w:rStyle w:val="Hyperlink"/>
          </w:rPr>
          <w:t>https://alkoholpolitisktforum.se/wp-content/uploads/2020/02/c-users-kims-desktop-sales-based-consumption-descriptive-analysis-of-one-year-post-mup-off-trade-alcohol-sales-data.pdf</w:t>
        </w:r>
      </w:hyperlink>
      <w:r w:rsidRPr="00CE4C25">
        <w:t xml:space="preserve"> (Accessed: 22 March  202</w:t>
      </w:r>
      <w:r>
        <w:t>6</w:t>
      </w:r>
      <w:r w:rsidRPr="00CE4C25">
        <w:t>).</w:t>
      </w:r>
    </w:p>
    <w:p w14:paraId="77EA08E2" w14:textId="77777777" w:rsidR="00D62A77" w:rsidRPr="00CE4C25" w:rsidRDefault="00D62A77" w:rsidP="00CE4C25">
      <w:r w:rsidRPr="00CE4C25">
        <w:t xml:space="preserve">Guindon, G.E., Li, C., Trivedi, R., Abbas, U., Xiong, G. </w:t>
      </w:r>
      <w:r>
        <w:t>and</w:t>
      </w:r>
      <w:r w:rsidRPr="00CE4C25">
        <w:t xml:space="preserve"> Atri, A., (2025) ‘The effectiveness and cost-effectiveness of population-level policies to reduce alcohol use: A systematic umbrella review’. </w:t>
      </w:r>
      <w:r w:rsidRPr="00CE4C25">
        <w:rPr>
          <w:i/>
          <w:iCs/>
        </w:rPr>
        <w:t>Canadian Journal of Public Health</w:t>
      </w:r>
      <w:r w:rsidRPr="00CE4C25">
        <w:t>. Available at: </w:t>
      </w:r>
      <w:hyperlink r:id="rId59" w:tgtFrame="_blank" w:history="1">
        <w:r w:rsidRPr="00CE4C25">
          <w:rPr>
            <w:rStyle w:val="Hyperlink"/>
          </w:rPr>
          <w:t>https://link.springer.com/article/10.17269/s41997-025-01013-9</w:t>
        </w:r>
      </w:hyperlink>
      <w:r w:rsidRPr="00CE4C25">
        <w:t> (Accessed: 26 November 2025). </w:t>
      </w:r>
    </w:p>
    <w:p w14:paraId="6863C208" w14:textId="371F180C" w:rsidR="00D62A77" w:rsidRPr="00CE4C25" w:rsidRDefault="00D62A77" w:rsidP="00CE4C25">
      <w:r w:rsidRPr="00CE4C25">
        <w:t xml:space="preserve">Gupta, </w:t>
      </w:r>
      <w:r w:rsidR="0024395B" w:rsidRPr="00CE4C25">
        <w:t>S.,</w:t>
      </w:r>
      <w:r w:rsidRPr="00CE4C25">
        <w:t xml:space="preserve"> and Warner, J. (2008) ‘Alcohol-related dementia: a 21st-century silent epidemic? </w:t>
      </w:r>
      <w:r w:rsidRPr="00CE4C25">
        <w:rPr>
          <w:i/>
          <w:iCs/>
        </w:rPr>
        <w:t>British Journal of Psychiatry</w:t>
      </w:r>
      <w:r w:rsidR="0024395B" w:rsidRPr="00CE4C25">
        <w:rPr>
          <w:i/>
          <w:iCs/>
        </w:rPr>
        <w:t>,’</w:t>
      </w:r>
      <w:r w:rsidRPr="00CE4C25">
        <w:t xml:space="preserve"> 193(5), pp.351</w:t>
      </w:r>
      <w:r>
        <w:t>-</w:t>
      </w:r>
      <w:r w:rsidRPr="00CE4C25">
        <w:t>353</w:t>
      </w:r>
      <w:r w:rsidR="0024395B" w:rsidRPr="00CE4C25">
        <w:t xml:space="preserve">. </w:t>
      </w:r>
      <w:r w:rsidRPr="00CE4C25">
        <w:t xml:space="preserve">Available at: </w:t>
      </w:r>
      <w:hyperlink r:id="rId60" w:history="1">
        <w:r w:rsidRPr="00CE4C25">
          <w:rPr>
            <w:rStyle w:val="Hyperlink"/>
          </w:rPr>
          <w:t>https://doi.org/10.1192/bjp.bp.108.051425</w:t>
        </w:r>
      </w:hyperlink>
      <w:r w:rsidRPr="00CE4C25">
        <w:t xml:space="preserve"> (Accessed: 17 March  202</w:t>
      </w:r>
      <w:r>
        <w:t>6</w:t>
      </w:r>
      <w:r w:rsidRPr="00CE4C25">
        <w:t>).</w:t>
      </w:r>
    </w:p>
    <w:p w14:paraId="56179787" w14:textId="0925D764" w:rsidR="00D62A77" w:rsidRPr="00CE4C25" w:rsidRDefault="00D62A77" w:rsidP="00CE4C25">
      <w:r w:rsidRPr="00CE4C25">
        <w:t xml:space="preserve">Hao, L., Cao, X., Li, B., Zhao, F., Wang, J., Gao, R., Cao, Z., Du, </w:t>
      </w:r>
      <w:r w:rsidR="0024395B" w:rsidRPr="00CE4C25">
        <w:t>Z.,</w:t>
      </w:r>
      <w:r w:rsidRPr="00CE4C25">
        <w:t xml:space="preserve"> and Wang, H. (2026) ‘ACSL1</w:t>
      </w:r>
      <w:r w:rsidRPr="00CE4C25">
        <w:rPr>
          <w:rFonts w:ascii="Cambria Math" w:hAnsi="Cambria Math" w:cs="Cambria Math"/>
        </w:rPr>
        <w:t>‐</w:t>
      </w:r>
      <w:r w:rsidRPr="00CE4C25">
        <w:t xml:space="preserve">Dependent Microglial Lipoimmunometabolic Reprogramming Underlies Cognitive Deficits in Alcohol Use Disorder’, </w:t>
      </w:r>
      <w:r w:rsidRPr="00CE4C25">
        <w:rPr>
          <w:i/>
          <w:iCs/>
        </w:rPr>
        <w:t>Advanced Science</w:t>
      </w:r>
      <w:r w:rsidRPr="00CE4C25">
        <w:t xml:space="preserve">. Available at </w:t>
      </w:r>
      <w:hyperlink r:id="rId61" w:history="1">
        <w:r w:rsidRPr="00CE4C25">
          <w:rPr>
            <w:rStyle w:val="Hyperlink"/>
          </w:rPr>
          <w:t>https://doi.org/10.1002/advs.202519760</w:t>
        </w:r>
      </w:hyperlink>
      <w:r w:rsidRPr="00CE4C25">
        <w:t xml:space="preserve"> (Accessed: 08 March  202</w:t>
      </w:r>
      <w:r>
        <w:t>6</w:t>
      </w:r>
      <w:r w:rsidRPr="00CE4C25">
        <w:t>).</w:t>
      </w:r>
    </w:p>
    <w:p w14:paraId="621D0216" w14:textId="77777777" w:rsidR="00D62A77" w:rsidRPr="00CE4C25" w:rsidRDefault="00D62A77" w:rsidP="00CE4C25">
      <w:r w:rsidRPr="00CE4C25">
        <w:t xml:space="preserve">Hayre, J., Canning, E., Pearce, H., Khera, R. and Ford, J. (2026) ‘Public health policies and interventions to address health inequities in high-income countries: an umbrella review’, </w:t>
      </w:r>
      <w:r w:rsidRPr="00CE4C25">
        <w:rPr>
          <w:i/>
          <w:iCs/>
        </w:rPr>
        <w:t>BMC Public Health,</w:t>
      </w:r>
      <w:r w:rsidRPr="00CE4C25">
        <w:t xml:space="preserve"> 26(1). Available at: </w:t>
      </w:r>
      <w:hyperlink r:id="rId62" w:history="1">
        <w:r w:rsidRPr="00CE4C25">
          <w:rPr>
            <w:rStyle w:val="Hyperlink"/>
          </w:rPr>
          <w:t>https://doi.org/10.1186/s12889-025-25876-2</w:t>
        </w:r>
      </w:hyperlink>
      <w:r w:rsidRPr="00CE4C25">
        <w:t xml:space="preserve"> (Accessed: 25 March  202</w:t>
      </w:r>
      <w:r>
        <w:t>6</w:t>
      </w:r>
      <w:r w:rsidRPr="00CE4C25">
        <w:t>).</w:t>
      </w:r>
    </w:p>
    <w:p w14:paraId="0DE6035A" w14:textId="77777777" w:rsidR="00D62A77" w:rsidRPr="00CE4C25" w:rsidRDefault="00D62A77" w:rsidP="00CE4C25">
      <w:r w:rsidRPr="00CE4C25">
        <w:t xml:space="preserve">Health (2012) ‘Health and Social Care Act 2012: fact sheets’, </w:t>
      </w:r>
      <w:r w:rsidRPr="00CE4C25">
        <w:rPr>
          <w:i/>
          <w:iCs/>
        </w:rPr>
        <w:t>GOV.UK.</w:t>
      </w:r>
      <w:r w:rsidRPr="00CE4C25">
        <w:t xml:space="preserve"> Available at: </w:t>
      </w:r>
      <w:hyperlink r:id="rId63" w:history="1">
        <w:r w:rsidRPr="00CE4C25">
          <w:rPr>
            <w:rStyle w:val="Hyperlink"/>
          </w:rPr>
          <w:t>https://www.gov.uk/government/publications/health-and-social-care-act-2012-fact-sheets?utm_source=chatgpt.com</w:t>
        </w:r>
      </w:hyperlink>
      <w:r w:rsidRPr="00CE4C25">
        <w:t xml:space="preserve"> (Accessed: 06 March  202</w:t>
      </w:r>
      <w:r>
        <w:t>6</w:t>
      </w:r>
      <w:r w:rsidRPr="00CE4C25">
        <w:t>).</w:t>
      </w:r>
    </w:p>
    <w:p w14:paraId="4C1B42C0" w14:textId="77777777" w:rsidR="00D62A77" w:rsidRPr="00CE4C25" w:rsidRDefault="00D62A77" w:rsidP="00CE4C25">
      <w:r w:rsidRPr="00CE4C25">
        <w:t xml:space="preserve">Hebatullah Abdulazeem, Júnior, I., Ishanka Weerasekara, Amin Sharifan, Bianco, V.G., Cunningham, C., Indunil Kularathne, Deeken, G., Barros, J. de, Brijesh Sathian, Lasse Østengaard, Frederique Lamontagne-Godwin, Hoof, J. van, Ledia Lazeri, Redlich, C., Marston, H.R., Alistair, R., Azzopardi-Muscat, N., Yon, Y. and Novillo-Ortiz, D. (2025) ‘Use of Digital Health Technologies for Dementia Care: Bibliometric Analysis and Report’, </w:t>
      </w:r>
      <w:r w:rsidRPr="00CE4C25">
        <w:rPr>
          <w:i/>
          <w:iCs/>
        </w:rPr>
        <w:t>JMIR Mental Health,</w:t>
      </w:r>
      <w:r w:rsidRPr="00CE4C25">
        <w:t>12, pp.e64445</w:t>
      </w:r>
      <w:r>
        <w:t>-</w:t>
      </w:r>
      <w:r w:rsidRPr="00CE4C25">
        <w:t xml:space="preserve">e64445. Available at </w:t>
      </w:r>
      <w:hyperlink r:id="rId64" w:history="1">
        <w:r w:rsidRPr="00CE4C25">
          <w:rPr>
            <w:rStyle w:val="Hyperlink"/>
          </w:rPr>
          <w:t>https://doi.org/10.2196/64445</w:t>
        </w:r>
      </w:hyperlink>
      <w:r>
        <w:t xml:space="preserve"> </w:t>
      </w:r>
      <w:r w:rsidRPr="00CE4C25">
        <w:t>(Accessed: 15 March  202</w:t>
      </w:r>
      <w:r>
        <w:t>6</w:t>
      </w:r>
      <w:r w:rsidRPr="00CE4C25">
        <w:t>).</w:t>
      </w:r>
    </w:p>
    <w:p w14:paraId="4CDC9C49" w14:textId="1AF844FF" w:rsidR="00D62A77" w:rsidRPr="00CE4C25" w:rsidRDefault="00D62A77" w:rsidP="00CE4C25">
      <w:r w:rsidRPr="00CE4C25">
        <w:t xml:space="preserve">Henderson, J.L., Chiodo, D., Varatharasan, N., Andari, S., Luce, </w:t>
      </w:r>
      <w:r w:rsidR="0024395B" w:rsidRPr="00CE4C25">
        <w:t>J.,</w:t>
      </w:r>
      <w:r w:rsidRPr="00CE4C25">
        <w:t xml:space="preserve"> and Wolfe, J. (2022) ‘ Youth Wellness Hubs Ontario: Development and initial implementation of integrated </w:t>
      </w:r>
      <w:r w:rsidRPr="00CE4C25">
        <w:lastRenderedPageBreak/>
        <w:t xml:space="preserve">youth services in Ontario, Canada’, </w:t>
      </w:r>
      <w:r w:rsidRPr="00CE4C25">
        <w:rPr>
          <w:i/>
          <w:iCs/>
        </w:rPr>
        <w:t>Early Intervention in Psychiatry</w:t>
      </w:r>
      <w:r w:rsidRPr="00CE4C25">
        <w:t xml:space="preserve">, 17(1). Available at </w:t>
      </w:r>
      <w:hyperlink r:id="rId65" w:history="1">
        <w:r w:rsidRPr="00CE4C25">
          <w:rPr>
            <w:rStyle w:val="Hyperlink"/>
          </w:rPr>
          <w:t>https://doi.org/10.1111/eip.13315</w:t>
        </w:r>
      </w:hyperlink>
      <w:r w:rsidRPr="00CE4C25">
        <w:t xml:space="preserve"> (Accessed: 23 March  202</w:t>
      </w:r>
      <w:r>
        <w:t>6</w:t>
      </w:r>
      <w:r w:rsidRPr="00CE4C25">
        <w:t>).</w:t>
      </w:r>
    </w:p>
    <w:p w14:paraId="466482DF" w14:textId="77777777" w:rsidR="00D62A77" w:rsidRPr="00CE4C25" w:rsidRDefault="00D62A77" w:rsidP="00CE4C25">
      <w:r w:rsidRPr="00CE4C25">
        <w:t xml:space="preserve">Hendriks, S., Ranson, J., Llewellyn, D. J., Köhler, S., De Vugt, M., Westwood, S., … </w:t>
      </w:r>
      <w:r>
        <w:t>and</w:t>
      </w:r>
      <w:r w:rsidRPr="00CE4C25">
        <w:t xml:space="preserve"> Savva, G. M. (2024) ‘</w:t>
      </w:r>
      <w:r w:rsidRPr="00CE4C25">
        <w:rPr>
          <w:i/>
          <w:iCs/>
        </w:rPr>
        <w:t>Risk factors for young</w:t>
      </w:r>
      <w:r w:rsidRPr="00CE4C25">
        <w:rPr>
          <w:i/>
          <w:iCs/>
        </w:rPr>
        <w:noBreakHyphen/>
        <w:t>onset dementia in the UK Biobank: A prospective population</w:t>
      </w:r>
      <w:r w:rsidRPr="00CE4C25">
        <w:rPr>
          <w:i/>
          <w:iCs/>
        </w:rPr>
        <w:noBreakHyphen/>
        <w:t>based study</w:t>
      </w:r>
      <w:r w:rsidRPr="00CE4C25">
        <w:t xml:space="preserve">’, </w:t>
      </w:r>
      <w:r w:rsidRPr="00CE4C25">
        <w:rPr>
          <w:i/>
          <w:iCs/>
        </w:rPr>
        <w:t>JAMA Neurology</w:t>
      </w:r>
      <w:r w:rsidRPr="00CE4C25">
        <w:t>, 81(2), 134</w:t>
      </w:r>
      <w:r>
        <w:t>-</w:t>
      </w:r>
      <w:r w:rsidRPr="00CE4C25">
        <w:t xml:space="preserve">142. Available at: </w:t>
      </w:r>
      <w:hyperlink r:id="rId66" w:tgtFrame="_new" w:history="1">
        <w:r w:rsidRPr="00CE4C25">
          <w:rPr>
            <w:rStyle w:val="Hyperlink"/>
          </w:rPr>
          <w:t>https://doi.org/10.1001/jamaneurol.2023.4929</w:t>
        </w:r>
      </w:hyperlink>
      <w:r w:rsidRPr="00CE4C25">
        <w:t xml:space="preserve"> (Accessed: 05 March  202</w:t>
      </w:r>
      <w:r>
        <w:t>6</w:t>
      </w:r>
      <w:r w:rsidRPr="00CE4C25">
        <w:t>).</w:t>
      </w:r>
    </w:p>
    <w:p w14:paraId="18FD8380" w14:textId="77777777" w:rsidR="00D62A77" w:rsidRPr="00CE4C25" w:rsidRDefault="00D62A77" w:rsidP="00CE4C25">
      <w:r w:rsidRPr="00CE4C25">
        <w:t xml:space="preserve">Hendriks, S., Ranson, J.M., Peetoom, K., Lourida, I., Tai, X.Y., de Vugt, M., Llewellyn, D.J. and Köhler, S. (2023) ‘Risk Factors for Young-Onset Dementia in the UK Biobank’, </w:t>
      </w:r>
      <w:r w:rsidRPr="00CE4C25">
        <w:rPr>
          <w:i/>
          <w:iCs/>
        </w:rPr>
        <w:t>JAMA Neurology</w:t>
      </w:r>
      <w:r w:rsidRPr="00CE4C25">
        <w:t>, 81(2), pp. 134</w:t>
      </w:r>
      <w:r>
        <w:t>-</w:t>
      </w:r>
      <w:r w:rsidRPr="00CE4C25">
        <w:t>142 DOI: 10.1001/jamaneurol.2023.4929. Available at: </w:t>
      </w:r>
      <w:hyperlink r:id="rId67" w:tgtFrame="_blank" w:history="1">
        <w:r w:rsidRPr="00CE4C25">
          <w:rPr>
            <w:rStyle w:val="Hyperlink"/>
          </w:rPr>
          <w:t>https://jamanetwork.com/journals/jamaneurology/fullarticle/2813439</w:t>
        </w:r>
      </w:hyperlink>
      <w:r w:rsidRPr="00CE4C25">
        <w:t> (Accessed: 16 November 2025). </w:t>
      </w:r>
    </w:p>
    <w:p w14:paraId="50AA7AD9" w14:textId="77777777" w:rsidR="00D62A77" w:rsidRPr="00CE4C25" w:rsidRDefault="00D62A77" w:rsidP="00CE4C25">
      <w:r w:rsidRPr="00CE4C25">
        <w:t xml:space="preserve">JAMA Network Open (2020) ‘Association of alcohol consumption with risk of dementia’, Available at: </w:t>
      </w:r>
      <w:hyperlink r:id="rId68" w:history="1">
        <w:r w:rsidRPr="00CE4C25">
          <w:rPr>
            <w:rStyle w:val="Hyperlink"/>
          </w:rPr>
          <w:t>https://jamanetwork.com/journals/jamanetworkopen/fullarticle/2770285</w:t>
        </w:r>
      </w:hyperlink>
      <w:r w:rsidRPr="00CE4C25">
        <w:t xml:space="preserve"> (Accessed: 17 March  202</w:t>
      </w:r>
      <w:r>
        <w:t>6</w:t>
      </w:r>
      <w:r w:rsidRPr="00CE4C25">
        <w:t>).</w:t>
      </w:r>
    </w:p>
    <w:p w14:paraId="3737BD43" w14:textId="50A5FD7B" w:rsidR="00D62A77" w:rsidRPr="00CE4C25" w:rsidRDefault="00D62A77" w:rsidP="00CE4C25">
      <w:r w:rsidRPr="00CE4C25">
        <w:t xml:space="preserve">Jensen, E.A., Wong, </w:t>
      </w:r>
      <w:r w:rsidR="0024395B" w:rsidRPr="00CE4C25">
        <w:t>P.,</w:t>
      </w:r>
      <w:r w:rsidRPr="00CE4C25">
        <w:t xml:space="preserve"> and Reed, M.S. (2022) ‘How research data deliver non-academic impacts: A secondary analysis of UK Research Excellence Framework impact case studies’, </w:t>
      </w:r>
      <w:r w:rsidRPr="00CE4C25">
        <w:rPr>
          <w:i/>
          <w:iCs/>
        </w:rPr>
        <w:t>PLOS ONE</w:t>
      </w:r>
      <w:r w:rsidRPr="00CE4C25">
        <w:t xml:space="preserve">, 17(3), p.e0264914. Available at </w:t>
      </w:r>
      <w:hyperlink r:id="rId69" w:history="1">
        <w:r w:rsidRPr="00CE4C25">
          <w:rPr>
            <w:rStyle w:val="Hyperlink"/>
          </w:rPr>
          <w:t>https://doi.org/10.1371/journal.pone.0264914</w:t>
        </w:r>
      </w:hyperlink>
      <w:r w:rsidRPr="00CE4C25">
        <w:t xml:space="preserve"> (Accessed: 07 March  202</w:t>
      </w:r>
      <w:r>
        <w:t>6</w:t>
      </w:r>
      <w:r w:rsidRPr="00CE4C25">
        <w:t>).</w:t>
      </w:r>
    </w:p>
    <w:p w14:paraId="7064726D" w14:textId="77777777" w:rsidR="00D62A77" w:rsidRPr="00CE4C25" w:rsidRDefault="00D62A77" w:rsidP="00CE4C25">
      <w:r w:rsidRPr="00CE4C25">
        <w:t>Jones, L., Owens, L., Thompson, A., Gilmore, I. and Richardson, P. (2023) ‘Informing the development of diagnostic criteria for differential diagnosis of alcohol</w:t>
      </w:r>
      <w:r w:rsidRPr="00CE4C25">
        <w:rPr>
          <w:rFonts w:ascii="Cambria Math" w:hAnsi="Cambria Math" w:cs="Cambria Math"/>
        </w:rPr>
        <w:t>‑</w:t>
      </w:r>
      <w:r w:rsidRPr="00CE4C25">
        <w:t xml:space="preserve">related cognitive impairment (ARCI) among heavy drinkers: a systematic scoping review’, PLOS ONE, 18(2), e0280749 Available at: </w:t>
      </w:r>
      <w:hyperlink r:id="rId70" w:history="1">
        <w:r w:rsidRPr="00CE4C25">
          <w:rPr>
            <w:rStyle w:val="Hyperlink"/>
          </w:rPr>
          <w:t>https://journals.plos.org/plosone/article?id=10.1371/journal.pone.0280749</w:t>
        </w:r>
      </w:hyperlink>
      <w:r w:rsidRPr="00CE4C25">
        <w:t>. (Accessed: 11 March  202</w:t>
      </w:r>
      <w:r>
        <w:t>6</w:t>
      </w:r>
      <w:r w:rsidRPr="00CE4C25">
        <w:t>).</w:t>
      </w:r>
    </w:p>
    <w:p w14:paraId="5886BD8D" w14:textId="33791E30" w:rsidR="00D62A77" w:rsidRPr="00CE4C25" w:rsidRDefault="00D62A77" w:rsidP="00CE4C25">
      <w:r w:rsidRPr="00CE4C25">
        <w:t>Karoly, H.C., Kirk</w:t>
      </w:r>
      <w:r w:rsidRPr="00CE4C25">
        <w:rPr>
          <w:rFonts w:ascii="Cambria Math" w:hAnsi="Cambria Math" w:cs="Cambria Math"/>
        </w:rPr>
        <w:t>‐</w:t>
      </w:r>
      <w:r w:rsidRPr="00CE4C25">
        <w:t>Provencher, K.T., Schacht, </w:t>
      </w:r>
      <w:r w:rsidR="0024395B" w:rsidRPr="00CE4C25">
        <w:t>J.P.,</w:t>
      </w:r>
      <w:r w:rsidRPr="00CE4C25">
        <w:t> and Gowin, J.L. (2024) ‘Alcohol and brain structure across the lifespan: A systematic review of large</w:t>
      </w:r>
      <w:r w:rsidRPr="00CE4C25">
        <w:rPr>
          <w:rFonts w:ascii="Cambria Math" w:hAnsi="Cambria Math" w:cs="Cambria Math"/>
        </w:rPr>
        <w:t>‐</w:t>
      </w:r>
      <w:r w:rsidRPr="00CE4C25">
        <w:t xml:space="preserve">scale neuroimaging studies’, </w:t>
      </w:r>
      <w:r w:rsidRPr="00CE4C25">
        <w:rPr>
          <w:i/>
          <w:iCs/>
        </w:rPr>
        <w:t>Addiction Biology</w:t>
      </w:r>
      <w:r w:rsidRPr="00CE4C25">
        <w:t>, 29(9). Available at : </w:t>
      </w:r>
      <w:hyperlink r:id="rId71" w:tgtFrame="_blank" w:history="1">
        <w:r w:rsidRPr="00CE4C25">
          <w:rPr>
            <w:rStyle w:val="Hyperlink"/>
          </w:rPr>
          <w:t>https://doi.org/10.1111/adb.13439</w:t>
        </w:r>
      </w:hyperlink>
      <w:r w:rsidRPr="00CE4C25">
        <w:t> (Accessed: 21 March  202</w:t>
      </w:r>
      <w:r>
        <w:t>6</w:t>
      </w:r>
      <w:r w:rsidRPr="00CE4C25">
        <w:t>).</w:t>
      </w:r>
    </w:p>
    <w:p w14:paraId="4422B119" w14:textId="77777777" w:rsidR="00D62A77" w:rsidRPr="00CE4C25" w:rsidRDefault="00D62A77" w:rsidP="00CE4C25">
      <w:r w:rsidRPr="00CE4C25">
        <w:t xml:space="preserve">Kilian, C., Manthey, J., Probst, C., Shield, K.D. and Rehm, J. (2023) ‘Global patterns of alcohol consumption and harm’, </w:t>
      </w:r>
      <w:r w:rsidRPr="00CE4C25">
        <w:rPr>
          <w:i/>
          <w:iCs/>
        </w:rPr>
        <w:t>The Lancet Public Health</w:t>
      </w:r>
      <w:r w:rsidRPr="00CE4C25">
        <w:t>, 8(1), pp. e15</w:t>
      </w:r>
      <w:r>
        <w:t>-</w:t>
      </w:r>
      <w:r w:rsidRPr="00CE4C25">
        <w:t>e27.</w:t>
      </w:r>
      <w:r w:rsidRPr="00CE4C25">
        <w:br/>
        <w:t>Available at: </w:t>
      </w:r>
      <w:hyperlink r:id="rId72" w:tgtFrame="_blank" w:history="1">
        <w:r w:rsidRPr="00CE4C25">
          <w:rPr>
            <w:rStyle w:val="Hyperlink"/>
          </w:rPr>
          <w:t>https://doi.org/10.1016/S2468-2667(22)00257-2</w:t>
        </w:r>
      </w:hyperlink>
      <w:r w:rsidRPr="00CE4C25">
        <w:t> (Accessed: 27 November 2025). </w:t>
      </w:r>
    </w:p>
    <w:p w14:paraId="01F0F4FC" w14:textId="04B2810C" w:rsidR="00D62A77" w:rsidRPr="00CE4C25" w:rsidRDefault="00D62A77" w:rsidP="00CE4C25">
      <w:r w:rsidRPr="00CE4C25">
        <w:t xml:space="preserve">Kilty, C., Cahill, S., Foley, </w:t>
      </w:r>
      <w:r w:rsidR="0024395B" w:rsidRPr="00CE4C25">
        <w:t>T.,</w:t>
      </w:r>
      <w:r w:rsidRPr="00CE4C25">
        <w:t xml:space="preserve"> and Fox, S. (2022) ‘Young onset dementia: implications for employment and finances’, </w:t>
      </w:r>
      <w:r w:rsidRPr="00CE4C25">
        <w:rPr>
          <w:i/>
          <w:iCs/>
        </w:rPr>
        <w:t>Dementia,</w:t>
      </w:r>
      <w:r w:rsidRPr="00CE4C25">
        <w:t xml:space="preserve"> 22(1), p.147130122211323. Available at: </w:t>
      </w:r>
      <w:hyperlink r:id="rId73" w:history="1">
        <w:r w:rsidRPr="00CE4C25">
          <w:rPr>
            <w:rStyle w:val="Hyperlink"/>
          </w:rPr>
          <w:t>https://doi.org/10.1177/14713012221132374</w:t>
        </w:r>
      </w:hyperlink>
      <w:r w:rsidRPr="00CE4C25">
        <w:t xml:space="preserve"> (Accessed: 23 March  202</w:t>
      </w:r>
      <w:r>
        <w:t>6</w:t>
      </w:r>
      <w:r w:rsidRPr="00CE4C25">
        <w:t>).</w:t>
      </w:r>
    </w:p>
    <w:p w14:paraId="13F3266A" w14:textId="77777777" w:rsidR="00D62A77" w:rsidRPr="00CE4C25" w:rsidRDefault="00D62A77" w:rsidP="00CE4C25">
      <w:r w:rsidRPr="00CE4C25">
        <w:t xml:space="preserve">Kim, M., Fitzpatrick, A. L., Rapp, S. R., et al. (2019) ‘Alcohol Consumption and Risk of Dementia and Cognitive Decline Among Older Adults With or Without Mild Cognitive </w:t>
      </w:r>
      <w:r w:rsidRPr="00CE4C25">
        <w:lastRenderedPageBreak/>
        <w:t>Impairment’. </w:t>
      </w:r>
      <w:r w:rsidRPr="00CE4C25">
        <w:rPr>
          <w:i/>
          <w:iCs/>
        </w:rPr>
        <w:t>JAMA Network Open</w:t>
      </w:r>
      <w:r w:rsidRPr="00CE4C25">
        <w:t>, 2(9), e1910319. Available at: </w:t>
      </w:r>
      <w:hyperlink r:id="rId74" w:tgtFrame="_blank" w:history="1">
        <w:r w:rsidRPr="00CE4C25">
          <w:rPr>
            <w:rStyle w:val="Hyperlink"/>
          </w:rPr>
          <w:t>https://doi.org/10.1001/jamanetworkopen.2019.10319</w:t>
        </w:r>
      </w:hyperlink>
      <w:r w:rsidRPr="00CE4C25">
        <w:t> (Accessed: 19 November 2025). </w:t>
      </w:r>
    </w:p>
    <w:p w14:paraId="72157332" w14:textId="77777777" w:rsidR="00D62A77" w:rsidRPr="00CE4C25" w:rsidRDefault="00D62A77" w:rsidP="00CE4C25">
      <w:r w:rsidRPr="00CE4C25">
        <w:t xml:space="preserve">Kirkbride, J.B., Anglin, D.M., Colman, I., Dykxhoorn, J., Jones, P.B., Patalay, P., Pitman, A., Soneson, E., Steare, T., Wright, T. and Griffiths, S.L. (2024) ‘The social determinants of mental health and disorder: Evidence, prevention and recommendations’, </w:t>
      </w:r>
      <w:r w:rsidRPr="00CE4C25">
        <w:rPr>
          <w:i/>
          <w:iCs/>
        </w:rPr>
        <w:t>World Psychiatry : Official Journal of the World Psychiatric Association</w:t>
      </w:r>
      <w:r w:rsidRPr="00CE4C25">
        <w:t xml:space="preserve"> (WPA), 23(1), pp.58</w:t>
      </w:r>
      <w:r>
        <w:t>-</w:t>
      </w:r>
      <w:r w:rsidRPr="00CE4C25">
        <w:t xml:space="preserve">90. Available at; </w:t>
      </w:r>
      <w:hyperlink r:id="rId75" w:history="1">
        <w:r w:rsidRPr="00CE4C25">
          <w:rPr>
            <w:rStyle w:val="Hyperlink"/>
          </w:rPr>
          <w:t>https://doi.org/10.1002/wps.21160</w:t>
        </w:r>
      </w:hyperlink>
      <w:r w:rsidRPr="00CE4C25">
        <w:t xml:space="preserve"> (Accessed: 22 March  202</w:t>
      </w:r>
      <w:r>
        <w:t>6</w:t>
      </w:r>
      <w:r w:rsidRPr="00CE4C25">
        <w:t>).</w:t>
      </w:r>
    </w:p>
    <w:p w14:paraId="3BF128F8" w14:textId="77777777" w:rsidR="00D62A77" w:rsidRPr="00CE4C25" w:rsidRDefault="00D62A77" w:rsidP="00CE4C25">
      <w:r w:rsidRPr="00CE4C25">
        <w:t xml:space="preserve">Kivimäki, M., Singh-Manoux, A., Batty, G.D., Sabia, S., Sommerlad, A., Floud, S., Jokela, M., Vahtera, J., Beydoun, M.A., Suominen, S.B., Koskinen, A., Väänänen, A., Goldberg, M., Zins, M., Alfredsson, L., Westerholm, P.J.M., Knutsson, A., Nyberg, S.T., Sipilä, P.N. and Lindbohm, J.V. (2020) ‘Association of Alcohol-Induced Loss of Consciousness and Overall Alcohol Consumption With Risk for Dementia’, </w:t>
      </w:r>
      <w:r w:rsidRPr="00CE4C25">
        <w:rPr>
          <w:i/>
          <w:iCs/>
        </w:rPr>
        <w:t>JAMA Network Open</w:t>
      </w:r>
      <w:r w:rsidRPr="00CE4C25">
        <w:t xml:space="preserve">, 3(9), p.e2016084. Available at </w:t>
      </w:r>
      <w:hyperlink r:id="rId76" w:history="1">
        <w:r w:rsidRPr="00CE4C25">
          <w:rPr>
            <w:rStyle w:val="Hyperlink"/>
          </w:rPr>
          <w:t>https://doi.org/10.1001/jamanetworkopen.2020.16084</w:t>
        </w:r>
      </w:hyperlink>
      <w:r w:rsidRPr="00CE4C25">
        <w:t xml:space="preserve"> (Accessed: 21 November 2025). </w:t>
      </w:r>
    </w:p>
    <w:p w14:paraId="2DBD89D6" w14:textId="77777777" w:rsidR="00D62A77" w:rsidRPr="00CE4C25" w:rsidRDefault="00D62A77" w:rsidP="00CE4C25">
      <w:r w:rsidRPr="00CE4C25">
        <w:t xml:space="preserve">Knezevic, E., Nenic, K., Milanovic, V. and Knezevic, N.N. (2023) ‘The role of cortisol in chronic stress, neurodegenerative diseases, and psychological disorders’, </w:t>
      </w:r>
      <w:r w:rsidRPr="00CE4C25">
        <w:rPr>
          <w:i/>
          <w:iCs/>
        </w:rPr>
        <w:t>Cells</w:t>
      </w:r>
      <w:r w:rsidRPr="00CE4C25">
        <w:t>, 12(23), pp.2726</w:t>
      </w:r>
      <w:r>
        <w:t>-</w:t>
      </w:r>
      <w:r w:rsidRPr="00CE4C25">
        <w:t xml:space="preserve">2726. Available at </w:t>
      </w:r>
      <w:hyperlink r:id="rId77" w:history="1">
        <w:r w:rsidRPr="00CE4C25">
          <w:rPr>
            <w:rStyle w:val="Hyperlink"/>
          </w:rPr>
          <w:t>https://doi.org/10.3390/cells12232726</w:t>
        </w:r>
      </w:hyperlink>
      <w:r w:rsidRPr="00CE4C25">
        <w:t xml:space="preserve"> (Accessed: 03 March  202</w:t>
      </w:r>
      <w:r>
        <w:t>6</w:t>
      </w:r>
      <w:r w:rsidRPr="00CE4C25">
        <w:t>).</w:t>
      </w:r>
    </w:p>
    <w:p w14:paraId="5B5DA51E" w14:textId="77777777" w:rsidR="00D62A77" w:rsidRPr="00CE4C25" w:rsidRDefault="00D62A77" w:rsidP="00CE4C25">
      <w:r w:rsidRPr="00CE4C25">
        <w:t xml:space="preserve">Kokorelias, K.M., Nirusa Nadesar, Bak, K., Boger, J., Nygård, L., Mäki-Petäjä-Leinonen, A., Ann-Charlotte Nedlund and Astell, A. (2024) ‘The impact on employment and education of caregiving for a family member with young onset dementia: A scoping review’, </w:t>
      </w:r>
      <w:r w:rsidRPr="00CE4C25">
        <w:rPr>
          <w:i/>
          <w:iCs/>
        </w:rPr>
        <w:t>Dementia.</w:t>
      </w:r>
      <w:r w:rsidRPr="00CE4C25">
        <w:t xml:space="preserve"> Available at: </w:t>
      </w:r>
      <w:hyperlink r:id="rId78" w:history="1">
        <w:r w:rsidRPr="00CE4C25">
          <w:rPr>
            <w:rStyle w:val="Hyperlink"/>
          </w:rPr>
          <w:t>https://doi.org/10.1177/14713012241247339</w:t>
        </w:r>
      </w:hyperlink>
      <w:r w:rsidRPr="00CE4C25">
        <w:t xml:space="preserve"> (Accessed: 06 February  202</w:t>
      </w:r>
      <w:r>
        <w:t>6</w:t>
      </w:r>
      <w:r w:rsidRPr="00CE4C25">
        <w:t>).</w:t>
      </w:r>
    </w:p>
    <w:p w14:paraId="32944997" w14:textId="77777777" w:rsidR="00D62A77" w:rsidRPr="00CE4C25" w:rsidRDefault="00D62A77" w:rsidP="00CE4C25">
      <w:r w:rsidRPr="00CE4C25">
        <w:t xml:space="preserve">Kovačić Petrović, Z., Peraica, T. </w:t>
      </w:r>
      <w:r>
        <w:t>and</w:t>
      </w:r>
      <w:r w:rsidRPr="00CE4C25">
        <w:t> Kozarić-Kovačić, D. (2025) ‘Alcohol Use Disorder and Dementia: A Scoping Review’, </w:t>
      </w:r>
      <w:r w:rsidRPr="00CE4C25">
        <w:rPr>
          <w:i/>
          <w:iCs/>
        </w:rPr>
        <w:t>Current Addiction Reports</w:t>
      </w:r>
      <w:r w:rsidRPr="00CE4C25">
        <w:t>, 12(56). DOI: 10.1007/s40429-025-00668-1. Available at: </w:t>
      </w:r>
      <w:hyperlink r:id="rId79" w:tgtFrame="_blank" w:history="1">
        <w:r w:rsidRPr="00CE4C25">
          <w:rPr>
            <w:rStyle w:val="Hyperlink"/>
          </w:rPr>
          <w:t>https://link.springer.com/article/10.1007/s40429-025-00668-1</w:t>
        </w:r>
      </w:hyperlink>
      <w:r w:rsidRPr="00CE4C25">
        <w:t> (Accessed: 12 November 2025). </w:t>
      </w:r>
    </w:p>
    <w:p w14:paraId="7DD7E996" w14:textId="77777777" w:rsidR="00D62A77" w:rsidRPr="00CE4C25" w:rsidRDefault="00D62A77" w:rsidP="00CE4C25">
      <w:r w:rsidRPr="00CE4C25">
        <w:t xml:space="preserve">Kraftman, L., Hardelid, P. and Banks, J. (2021) ‘ Age specific trends in mortality disparities by socio-economic deprivation in small geographical areas of England, 2002-2018: A retrospective registry study’, </w:t>
      </w:r>
      <w:r w:rsidRPr="00CE4C25">
        <w:rPr>
          <w:i/>
          <w:iCs/>
        </w:rPr>
        <w:t>The Lancet Regional Health - Europe</w:t>
      </w:r>
      <w:r w:rsidRPr="00CE4C25">
        <w:t xml:space="preserve">, p.100136. Available at: </w:t>
      </w:r>
      <w:hyperlink r:id="rId80" w:history="1">
        <w:r w:rsidRPr="00CE4C25">
          <w:rPr>
            <w:rStyle w:val="Hyperlink"/>
          </w:rPr>
          <w:t>https://doi.org/10.1016/j.lanepe.2021.100136</w:t>
        </w:r>
      </w:hyperlink>
      <w:r w:rsidRPr="00CE4C25">
        <w:t xml:space="preserve"> (Accessed: 24 February  202</w:t>
      </w:r>
      <w:r>
        <w:t>6</w:t>
      </w:r>
      <w:r w:rsidRPr="00CE4C25">
        <w:t>).</w:t>
      </w:r>
    </w:p>
    <w:p w14:paraId="5F29277C" w14:textId="77777777" w:rsidR="00D62A77" w:rsidRPr="00CE4C25" w:rsidRDefault="00D62A77" w:rsidP="00CE4C25">
      <w:r w:rsidRPr="00CE4C25">
        <w:t xml:space="preserve">Kraus, L. and Olderbak, S. (2022) ‘Commentary on Livingston </w:t>
      </w:r>
      <w:r w:rsidRPr="00CE4C25">
        <w:rPr>
          <w:i/>
          <w:iCs/>
        </w:rPr>
        <w:t>et al</w:t>
      </w:r>
      <w:r w:rsidRPr="00CE4C25">
        <w:t xml:space="preserve"> .: Do reductions in adolescent drinking really maintain into adulthood?.  </w:t>
      </w:r>
      <w:r w:rsidRPr="00CE4C25">
        <w:rPr>
          <w:i/>
          <w:iCs/>
        </w:rPr>
        <w:t>Addiction</w:t>
      </w:r>
      <w:r w:rsidRPr="00CE4C25">
        <w:t>, 117(5), pp.1282</w:t>
      </w:r>
      <w:r>
        <w:t>-</w:t>
      </w:r>
      <w:r w:rsidRPr="00CE4C25">
        <w:t xml:space="preserve">1283. Available at: </w:t>
      </w:r>
      <w:hyperlink r:id="rId81" w:history="1">
        <w:r w:rsidRPr="00CE4C25">
          <w:rPr>
            <w:rStyle w:val="Hyperlink"/>
          </w:rPr>
          <w:t>https://doi.org/10.1111/add.15856</w:t>
        </w:r>
      </w:hyperlink>
      <w:r w:rsidRPr="00CE4C25">
        <w:t xml:space="preserve"> (Accessed: 27 February  202</w:t>
      </w:r>
      <w:r>
        <w:t>6</w:t>
      </w:r>
      <w:r w:rsidRPr="00CE4C25">
        <w:t>).</w:t>
      </w:r>
    </w:p>
    <w:p w14:paraId="48DCB3F6" w14:textId="4A07CBF7" w:rsidR="00D62A77" w:rsidRPr="00CE4C25" w:rsidRDefault="00D62A77" w:rsidP="00CE4C25">
      <w:r w:rsidRPr="00CE4C25">
        <w:lastRenderedPageBreak/>
        <w:t xml:space="preserve">Lai, J., Maguire, A., Wright, S., Craig, </w:t>
      </w:r>
      <w:r w:rsidR="0024395B" w:rsidRPr="00CE4C25">
        <w:t>D.,</w:t>
      </w:r>
      <w:r w:rsidRPr="00CE4C25">
        <w:t xml:space="preserve"> and Passmore, P. (2023) ‘Socioeconomic inequalities in dementia diagnosis and care’, </w:t>
      </w:r>
      <w:r w:rsidRPr="00CE4C25">
        <w:rPr>
          <w:i/>
          <w:iCs/>
        </w:rPr>
        <w:t>Age and Ageing</w:t>
      </w:r>
      <w:r w:rsidRPr="00CE4C25">
        <w:t>, 52(7), afad123. </w:t>
      </w:r>
      <w:r w:rsidRPr="00CE4C25">
        <w:br/>
        <w:t>Available at: </w:t>
      </w:r>
      <w:hyperlink r:id="rId82" w:tgtFrame="_blank" w:history="1">
        <w:r w:rsidRPr="00CE4C25">
          <w:rPr>
            <w:rStyle w:val="Hyperlink"/>
          </w:rPr>
          <w:t>https://doi.org/10.1093/ageing/afad123</w:t>
        </w:r>
      </w:hyperlink>
      <w:r w:rsidRPr="00CE4C25">
        <w:t> (Accessed: 17 November 2025). </w:t>
      </w:r>
    </w:p>
    <w:p w14:paraId="55F0BE21" w14:textId="77777777" w:rsidR="00D62A77" w:rsidRPr="00CE4C25" w:rsidRDefault="00D62A77" w:rsidP="00CE4C25">
      <w:r w:rsidRPr="00CE4C25">
        <w:t xml:space="preserve">Liu, Y., Dokos, M., Fauth, E.B., Lee, Y.G. and Zarit, S.H. (2019) ‘Financial strain, employment, and role captivity and overload over time among dementia family caregivers’, </w:t>
      </w:r>
      <w:r w:rsidRPr="00CE4C25">
        <w:rPr>
          <w:i/>
          <w:iCs/>
        </w:rPr>
        <w:t>The Gerontologist</w:t>
      </w:r>
      <w:r w:rsidRPr="00CE4C25">
        <w:t>, 59(5), pp. e512</w:t>
      </w:r>
      <w:r>
        <w:t>-</w:t>
      </w:r>
      <w:r w:rsidRPr="00CE4C25">
        <w:t>e520. Available at: </w:t>
      </w:r>
      <w:hyperlink r:id="rId83" w:tgtFrame="_blank" w:history="1">
        <w:r w:rsidRPr="00CE4C25">
          <w:rPr>
            <w:rStyle w:val="Hyperlink"/>
          </w:rPr>
          <w:t>https://academic.oup.com/gerontologist/article/59/5/e512/5536121</w:t>
        </w:r>
      </w:hyperlink>
      <w:r w:rsidRPr="00CE4C25">
        <w:t> (Accessed: 15 November 2025). </w:t>
      </w:r>
    </w:p>
    <w:p w14:paraId="0FBAE90F" w14:textId="144E31C5" w:rsidR="00D62A77" w:rsidRPr="00CE4C25" w:rsidRDefault="00D62A77" w:rsidP="00CE4C25">
      <w:r w:rsidRPr="00CE4C25">
        <w:t xml:space="preserve">Liu, Y., Lu, G., Liu, L., He, </w:t>
      </w:r>
      <w:r w:rsidR="0024395B" w:rsidRPr="00CE4C25">
        <w:t>Y.,</w:t>
      </w:r>
      <w:r w:rsidRPr="00CE4C25">
        <w:t xml:space="preserve"> and Gong, W. (2024) ‘Cognitive reserve over the life course and risk of dementia: a systematic review and meta-analysis’. </w:t>
      </w:r>
      <w:r w:rsidRPr="00CE4C25">
        <w:rPr>
          <w:i/>
          <w:iCs/>
        </w:rPr>
        <w:t>Frontiers in aging neuroscience,</w:t>
      </w:r>
      <w:r w:rsidRPr="00CE4C25">
        <w:t xml:space="preserve"> 16. Available at </w:t>
      </w:r>
      <w:hyperlink r:id="rId84" w:history="1">
        <w:r w:rsidRPr="00CE4C25">
          <w:rPr>
            <w:rStyle w:val="Hyperlink"/>
          </w:rPr>
          <w:t>https://doi.org/10.3389/fnagi.2024.1358992</w:t>
        </w:r>
      </w:hyperlink>
      <w:r w:rsidRPr="00CE4C25">
        <w:t xml:space="preserve"> (Accessed: 23 November 2025). </w:t>
      </w:r>
    </w:p>
    <w:p w14:paraId="108B9B9A" w14:textId="77777777" w:rsidR="00D62A77" w:rsidRPr="00CE4C25" w:rsidRDefault="00D62A77" w:rsidP="00CE4C25">
      <w:r w:rsidRPr="00CE4C25">
        <w:t xml:space="preserve">Livingston, G., Huntley, J., Liu, K.Y., Costafreda, S.G., Selbæk, G., Alladi, S., Ames, D., Banerjee, S., Burns, A., Brayne, C., Fox, N.C., Ferri, C.P., Gitlin, L.N., Howard, R., Kales, H.C., Kivimäki, M., Larson, E.B., Nakasujja, N., Rockwood, K. and Samus, Q. (2024)’ Dementia prevention, intervention, and care: 2024 Report of the Lancet Standing Commission’, </w:t>
      </w:r>
      <w:r w:rsidRPr="00CE4C25">
        <w:rPr>
          <w:i/>
          <w:iCs/>
        </w:rPr>
        <w:t>The Lancet,</w:t>
      </w:r>
      <w:r w:rsidRPr="00CE4C25">
        <w:t xml:space="preserve"> 404(10452). Available at </w:t>
      </w:r>
      <w:hyperlink r:id="rId85" w:history="1">
        <w:r w:rsidRPr="00CE4C25">
          <w:rPr>
            <w:rStyle w:val="Hyperlink"/>
          </w:rPr>
          <w:t>https://doi.org/10.1016/s0140-6736(24)01296-0</w:t>
        </w:r>
      </w:hyperlink>
      <w:r w:rsidRPr="00CE4C25">
        <w:t xml:space="preserve"> (Accessed: 19 November 2025). </w:t>
      </w:r>
    </w:p>
    <w:p w14:paraId="56DD0A6E" w14:textId="77777777" w:rsidR="00D62A77" w:rsidRPr="00CE4C25" w:rsidRDefault="00D62A77" w:rsidP="00CE4C25">
      <w:r w:rsidRPr="00CE4C25">
        <w:t xml:space="preserve">Livingston, G., Huntley, J., Sommerlad, A., Ames, D., Ballard, C., Banerjee, S. et al., 2020’ </w:t>
      </w:r>
      <w:r w:rsidRPr="00CE4C25">
        <w:rPr>
          <w:i/>
          <w:iCs/>
        </w:rPr>
        <w:t>Dementia prevention, intervention, and care: 2020 report of the Lancet Commission.</w:t>
      </w:r>
      <w:r w:rsidRPr="00CE4C25">
        <w:t xml:space="preserve"> The Lancet, 396(10248), pp. 413</w:t>
      </w:r>
      <w:r>
        <w:t>-</w:t>
      </w:r>
      <w:r w:rsidRPr="00CE4C25">
        <w:t xml:space="preserve">446. Available at: </w:t>
      </w:r>
      <w:hyperlink r:id="rId86" w:history="1">
        <w:r w:rsidRPr="00CE4C25">
          <w:rPr>
            <w:rStyle w:val="Hyperlink"/>
          </w:rPr>
          <w:t>https://doi.org/10.1016/S0140-6736(20)30367-6</w:t>
        </w:r>
      </w:hyperlink>
      <w:r w:rsidRPr="00CE4C25">
        <w:t xml:space="preserve"> (Accessed: 03 February  202</w:t>
      </w:r>
      <w:r>
        <w:t>6</w:t>
      </w:r>
      <w:r w:rsidRPr="00CE4C25">
        <w:t>).</w:t>
      </w:r>
    </w:p>
    <w:p w14:paraId="78E61398" w14:textId="77777777" w:rsidR="00D62A77" w:rsidRPr="00CE4C25" w:rsidRDefault="00D62A77" w:rsidP="00CE4C25">
      <w:r w:rsidRPr="00CE4C25">
        <w:t>Loi, S.M., Cations, M. and Velakoulis, D. (2023) ‘Young</w:t>
      </w:r>
      <w:r w:rsidRPr="00CE4C25">
        <w:rPr>
          <w:rFonts w:ascii="Cambria Math" w:hAnsi="Cambria Math" w:cs="Cambria Math"/>
        </w:rPr>
        <w:t>‐</w:t>
      </w:r>
      <w:r w:rsidRPr="00CE4C25">
        <w:t xml:space="preserve">onset dementia diagnosis, management and care: a narrative review’, </w:t>
      </w:r>
      <w:r w:rsidRPr="00CE4C25">
        <w:rPr>
          <w:i/>
          <w:iCs/>
        </w:rPr>
        <w:t>The Medical Journal of Australia</w:t>
      </w:r>
      <w:r w:rsidRPr="00CE4C25">
        <w:t>, 218(4), pp.182</w:t>
      </w:r>
      <w:r>
        <w:t>-</w:t>
      </w:r>
      <w:r w:rsidRPr="00CE4C25">
        <w:t xml:space="preserve">189. Available at </w:t>
      </w:r>
      <w:hyperlink r:id="rId87" w:history="1">
        <w:r w:rsidRPr="00CE4C25">
          <w:rPr>
            <w:rStyle w:val="Hyperlink"/>
          </w:rPr>
          <w:t>https://doi.org/10.5694/mja2.51849</w:t>
        </w:r>
      </w:hyperlink>
      <w:r w:rsidRPr="00CE4C25">
        <w:t xml:space="preserve"> (Accessed: 16 February  202</w:t>
      </w:r>
      <w:r>
        <w:t>6</w:t>
      </w:r>
      <w:r w:rsidRPr="00CE4C25">
        <w:t>).</w:t>
      </w:r>
    </w:p>
    <w:p w14:paraId="2D8AB52B" w14:textId="6632CD05" w:rsidR="00D62A77" w:rsidRPr="00CE4C25" w:rsidRDefault="00D62A77" w:rsidP="00CE4C25">
      <w:r w:rsidRPr="00CE4C25">
        <w:t>Lorenzo-López, L., Cibeira, N., Hemadeh, A., López-López, R., Lema-Arranz, C., Maseda, A., Fernández-Bertólez, N., Costa, S., Pásaro, E., Valdiglesias, V., Millán-Calenti, J.C. and Laffon, B. (2024) ‘Association between cognitive reserve proxies and frailty phenotype: data from UK Biobank’, </w:t>
      </w:r>
      <w:r w:rsidRPr="00CE4C25">
        <w:rPr>
          <w:i/>
          <w:iCs/>
        </w:rPr>
        <w:t>GeroScience</w:t>
      </w:r>
      <w:r w:rsidRPr="00CE4C25">
        <w:t>. Available at </w:t>
      </w:r>
      <w:hyperlink r:id="rId88" w:tgtFrame="_blank" w:history="1">
        <w:r w:rsidRPr="00CE4C25">
          <w:rPr>
            <w:rStyle w:val="Hyperlink"/>
          </w:rPr>
          <w:t>https://doi.org/10.1007/s11357-024-01382-y</w:t>
        </w:r>
      </w:hyperlink>
      <w:r w:rsidRPr="00CE4C25">
        <w:t xml:space="preserve"> (Accessed: 21 </w:t>
      </w:r>
      <w:r w:rsidR="00ED6661">
        <w:t>November</w:t>
      </w:r>
      <w:r w:rsidRPr="00CE4C25">
        <w:t xml:space="preserve">  202</w:t>
      </w:r>
      <w:r w:rsidR="00ED6661">
        <w:t>5</w:t>
      </w:r>
      <w:r w:rsidRPr="00CE4C25">
        <w:t>).</w:t>
      </w:r>
    </w:p>
    <w:p w14:paraId="3D54EB58" w14:textId="20767ACC" w:rsidR="00D62A77" w:rsidRPr="00CE4C25" w:rsidRDefault="00D62A77" w:rsidP="00CE4C25">
      <w:r w:rsidRPr="00CE4C25">
        <w:t xml:space="preserve">Ma, S., Liu, J., Li, W., Liu, Y., Hui, X., Qu, P., Jiang, Z., Li, </w:t>
      </w:r>
      <w:r w:rsidR="0024395B" w:rsidRPr="00CE4C25">
        <w:t>J.,</w:t>
      </w:r>
      <w:r w:rsidRPr="00CE4C25">
        <w:t xml:space="preserve"> and Wang, J. (2023) ‘Machine learning in TCM with natural products and molecules: current status and future perspectives’, </w:t>
      </w:r>
      <w:r w:rsidRPr="00CE4C25">
        <w:rPr>
          <w:i/>
          <w:iCs/>
        </w:rPr>
        <w:t>Chinese Medicine</w:t>
      </w:r>
      <w:r w:rsidRPr="00CE4C25">
        <w:t xml:space="preserve">, 18(1). Available at </w:t>
      </w:r>
      <w:hyperlink r:id="rId89" w:history="1">
        <w:r w:rsidRPr="00CE4C25">
          <w:rPr>
            <w:rStyle w:val="Hyperlink"/>
          </w:rPr>
          <w:t>https://doi.org/10.1186/s13020-023-00741-9</w:t>
        </w:r>
      </w:hyperlink>
      <w:r>
        <w:t xml:space="preserve"> </w:t>
      </w:r>
      <w:r w:rsidRPr="00CE4C25">
        <w:t xml:space="preserve"> (Accessed: 20 February  202</w:t>
      </w:r>
      <w:r>
        <w:t>6</w:t>
      </w:r>
      <w:r w:rsidRPr="00CE4C25">
        <w:t>).</w:t>
      </w:r>
    </w:p>
    <w:p w14:paraId="7DD555B3" w14:textId="77777777" w:rsidR="00D62A77" w:rsidRPr="00CE4C25" w:rsidRDefault="00D62A77" w:rsidP="00CE4C25">
      <w:r w:rsidRPr="00CE4C25">
        <w:t>Macrae, R. and Cox, S. (2003) ‘</w:t>
      </w:r>
      <w:r w:rsidRPr="00CE4C25">
        <w:rPr>
          <w:i/>
          <w:iCs/>
        </w:rPr>
        <w:t xml:space="preserve">Meeting the Needs of People with Alcohol Related Brain Damage: A Literature Review on the Existing and Recommended Service Provision and </w:t>
      </w:r>
      <w:r w:rsidRPr="00CE4C25">
        <w:rPr>
          <w:i/>
          <w:iCs/>
        </w:rPr>
        <w:lastRenderedPageBreak/>
        <w:t>Models of Care</w:t>
      </w:r>
      <w:r w:rsidRPr="00CE4C25">
        <w:t xml:space="preserve">’, Available at: </w:t>
      </w:r>
      <w:hyperlink r:id="rId90" w:history="1">
        <w:r w:rsidRPr="00CE4C25">
          <w:rPr>
            <w:rStyle w:val="Hyperlink"/>
          </w:rPr>
          <w:t>https://lx.iriss.org.uk/sites/default/files/resources/ARBD_MeetingNeeds.pdf</w:t>
        </w:r>
      </w:hyperlink>
      <w:r>
        <w:t xml:space="preserve"> </w:t>
      </w:r>
      <w:r w:rsidRPr="00CE4C25">
        <w:t xml:space="preserve"> (Accessed: 03 February  202</w:t>
      </w:r>
      <w:r>
        <w:t>6</w:t>
      </w:r>
      <w:r w:rsidRPr="00CE4C25">
        <w:t>).</w:t>
      </w:r>
    </w:p>
    <w:p w14:paraId="7C459FD9" w14:textId="77777777" w:rsidR="00D62A77" w:rsidRPr="00CE4C25" w:rsidRDefault="00D62A77" w:rsidP="00CE4C25">
      <w:r w:rsidRPr="00CE4C25">
        <w:t xml:space="preserve">Manca, F. (2024) ‘The epidemiology of alcohol use disorder and public health policies to tackle alcohol-related harm: a case study of Scotland and the minimum unit pricing for alcohol - Enlighten Theses’, </w:t>
      </w:r>
      <w:r w:rsidRPr="00CE4C25">
        <w:rPr>
          <w:i/>
          <w:iCs/>
        </w:rPr>
        <w:t>Gla.ac.uk</w:t>
      </w:r>
      <w:r w:rsidRPr="00CE4C25">
        <w:t xml:space="preserve">. Available at : </w:t>
      </w:r>
      <w:hyperlink r:id="rId91" w:history="1">
        <w:r w:rsidRPr="00CE4C25">
          <w:rPr>
            <w:rStyle w:val="Hyperlink"/>
          </w:rPr>
          <w:t>https://theses.gla.ac.uk/84737/5/2024MancaPhD.pdf</w:t>
        </w:r>
      </w:hyperlink>
      <w:r w:rsidRPr="00CE4C25">
        <w:t xml:space="preserve"> (Accessed: 14 February  202</w:t>
      </w:r>
      <w:r>
        <w:t>6</w:t>
      </w:r>
      <w:r w:rsidRPr="00CE4C25">
        <w:t>).</w:t>
      </w:r>
    </w:p>
    <w:p w14:paraId="1612305C" w14:textId="77777777" w:rsidR="00D62A77" w:rsidRPr="00CE4C25" w:rsidRDefault="00D62A77" w:rsidP="00CE4C25">
      <w:r w:rsidRPr="00CE4C25">
        <w:t xml:space="preserve">Marmot, M. (2020) ‘Society and the slow burn of inequality’, </w:t>
      </w:r>
      <w:r w:rsidRPr="00CE4C25">
        <w:rPr>
          <w:i/>
          <w:iCs/>
        </w:rPr>
        <w:t>The Lancet</w:t>
      </w:r>
      <w:r w:rsidRPr="00CE4C25">
        <w:t>, 395(10234), pp.1413</w:t>
      </w:r>
      <w:r>
        <w:t>-</w:t>
      </w:r>
      <w:r w:rsidRPr="00CE4C25">
        <w:t xml:space="preserve">1414. Available at </w:t>
      </w:r>
      <w:hyperlink r:id="rId92" w:history="1">
        <w:r w:rsidRPr="00CE4C25">
          <w:rPr>
            <w:rStyle w:val="Hyperlink"/>
          </w:rPr>
          <w:t>https://doi.org/10.1016/s0140-6736(20)30940-5</w:t>
        </w:r>
      </w:hyperlink>
      <w:r w:rsidRPr="00CE4C25">
        <w:t xml:space="preserve"> (Accessed: 15 February  202</w:t>
      </w:r>
      <w:r>
        <w:t>6</w:t>
      </w:r>
      <w:r w:rsidRPr="00CE4C25">
        <w:t>).</w:t>
      </w:r>
    </w:p>
    <w:p w14:paraId="52D5FBE2" w14:textId="77777777" w:rsidR="00D62A77" w:rsidRPr="00CE4C25" w:rsidRDefault="00D62A77" w:rsidP="00CE4C25">
      <w:r w:rsidRPr="00CE4C25">
        <w:t xml:space="preserve">Marmot, M., Allen, J., Boyce, T., Goldblatt, P. and Morrison, J. (2020) ‘Health Equity in England: The Marmot Review 10 Years On. London: </w:t>
      </w:r>
      <w:r w:rsidRPr="00CE4C25">
        <w:rPr>
          <w:i/>
          <w:iCs/>
        </w:rPr>
        <w:t>Institute of Health Equity</w:t>
      </w:r>
      <w:r w:rsidRPr="00CE4C25">
        <w:t xml:space="preserve">. Available at: </w:t>
      </w:r>
      <w:hyperlink r:id="rId93" w:history="1">
        <w:r w:rsidRPr="00CE4C25">
          <w:rPr>
            <w:rStyle w:val="Hyperlink"/>
          </w:rPr>
          <w:t>https://www.health.org.uk/publications/reports/the-marmot-review-10-years-on</w:t>
        </w:r>
      </w:hyperlink>
      <w:r w:rsidRPr="00CE4C25">
        <w:t xml:space="preserve"> (Accessed: 06 February  202</w:t>
      </w:r>
      <w:r>
        <w:t>6</w:t>
      </w:r>
      <w:r w:rsidRPr="00CE4C25">
        <w:t>).</w:t>
      </w:r>
    </w:p>
    <w:p w14:paraId="762CEB5C" w14:textId="77777777" w:rsidR="00D62A77" w:rsidRPr="00CE4C25" w:rsidRDefault="00D62A77" w:rsidP="00CE4C25">
      <w:r w:rsidRPr="00CE4C25">
        <w:t xml:space="preserve">Marmot, M., Bloomer, E. and Goldblatt, P. (2013) ‘The Role of Social Determinants in Tackling Health Objectives in a Context of Economic Crisis’, </w:t>
      </w:r>
      <w:r w:rsidRPr="00CE4C25">
        <w:rPr>
          <w:i/>
          <w:iCs/>
        </w:rPr>
        <w:t>Public Health Reviews</w:t>
      </w:r>
      <w:r w:rsidRPr="00CE4C25">
        <w:t xml:space="preserve">, 35(1). Available at: </w:t>
      </w:r>
      <w:hyperlink r:id="rId94" w:history="1">
        <w:r w:rsidRPr="00CE4C25">
          <w:rPr>
            <w:rStyle w:val="Hyperlink"/>
          </w:rPr>
          <w:t>https://doi.org/10.1007/bf03391694</w:t>
        </w:r>
      </w:hyperlink>
      <w:r w:rsidRPr="00CE4C25">
        <w:t xml:space="preserve"> (Accessed: 08 February  202</w:t>
      </w:r>
      <w:r>
        <w:t>6</w:t>
      </w:r>
      <w:r w:rsidRPr="00CE4C25">
        <w:t>).</w:t>
      </w:r>
    </w:p>
    <w:p w14:paraId="344E1598" w14:textId="77777777" w:rsidR="00D62A77" w:rsidRPr="00CE4C25" w:rsidRDefault="00D62A77" w:rsidP="00CE4C25">
      <w:r w:rsidRPr="00CE4C25">
        <w:t xml:space="preserve">Matthews, K., Heravi, S., Morgan, P., Page, N., Shepherd, J. </w:t>
      </w:r>
      <w:r>
        <w:t>and</w:t>
      </w:r>
      <w:r w:rsidRPr="00CE4C25">
        <w:t xml:space="preserve"> Sivarajasingam, V. (2024) ‘ </w:t>
      </w:r>
      <w:r w:rsidRPr="00CE4C25">
        <w:rPr>
          <w:i/>
          <w:iCs/>
        </w:rPr>
        <w:t>Alcohol prices, the April effect, and the environment, in violence-related injury in England and Wales</w:t>
      </w:r>
      <w:r w:rsidRPr="00CE4C25">
        <w:t xml:space="preserve">’, </w:t>
      </w:r>
      <w:r w:rsidRPr="00CE4C25">
        <w:rPr>
          <w:i/>
          <w:iCs/>
        </w:rPr>
        <w:t>European Journal of Health Economics</w:t>
      </w:r>
      <w:r w:rsidRPr="00CE4C25">
        <w:t>, 25(2), 237</w:t>
      </w:r>
      <w:r>
        <w:t>-</w:t>
      </w:r>
      <w:r w:rsidRPr="00CE4C25">
        <w:t xml:space="preserve">255. DOI: </w:t>
      </w:r>
      <w:hyperlink r:id="rId95" w:history="1">
        <w:r w:rsidRPr="00CE4C25">
          <w:rPr>
            <w:rStyle w:val="Hyperlink"/>
          </w:rPr>
          <w:t>https://doi.org/10.1007/s10198-023-01583-w</w:t>
        </w:r>
      </w:hyperlink>
      <w:r w:rsidRPr="00CE4C25">
        <w:t xml:space="preserve"> (Accessed: 22 February  202</w:t>
      </w:r>
      <w:r>
        <w:t>6</w:t>
      </w:r>
      <w:r w:rsidRPr="00CE4C25">
        <w:t>).</w:t>
      </w:r>
    </w:p>
    <w:p w14:paraId="329F34B9" w14:textId="77777777" w:rsidR="00D62A77" w:rsidRPr="00CE4C25" w:rsidRDefault="00D62A77" w:rsidP="00CE4C25">
      <w:r w:rsidRPr="00CE4C25">
        <w:t xml:space="preserve">McMaughan, D.J., Oloruntoba, O. and Smith, M.L. (2020) ‘Socioeconomic status and access to healthcare: Interrelated drivers for healthy aging’, </w:t>
      </w:r>
      <w:r w:rsidRPr="00CE4C25">
        <w:rPr>
          <w:i/>
          <w:iCs/>
        </w:rPr>
        <w:t>Frontiers in Public Health</w:t>
      </w:r>
      <w:r w:rsidRPr="00CE4C25">
        <w:t xml:space="preserve">, 8. Available at: </w:t>
      </w:r>
      <w:hyperlink r:id="rId96" w:tgtFrame="_new" w:history="1">
        <w:r w:rsidRPr="00CE4C25">
          <w:rPr>
            <w:rStyle w:val="Hyperlink"/>
          </w:rPr>
          <w:t>https://doi.org/10.3389/fpubh.2020.00231</w:t>
        </w:r>
      </w:hyperlink>
      <w:r w:rsidRPr="00CE4C25">
        <w:t xml:space="preserve"> (Accessed: 27 February  202</w:t>
      </w:r>
      <w:r>
        <w:t>6</w:t>
      </w:r>
      <w:r w:rsidRPr="00CE4C25">
        <w:t>).</w:t>
      </w:r>
    </w:p>
    <w:p w14:paraId="20B66225" w14:textId="77777777" w:rsidR="00D62A77" w:rsidRPr="00CE4C25" w:rsidRDefault="00D62A77" w:rsidP="00CE4C25">
      <w:r w:rsidRPr="00CE4C25">
        <w:t xml:space="preserve">Mellinger, J.L., Scott Winder, G., DeJonckheere, M., Fontana, R.J., Volk, M.L., Lok, A.S.F. and Blow, F.C. (2018) ‘Misconceptions, preferences and barriers to alcohol use disorder treatment in alcohol-related cirrhosis’, </w:t>
      </w:r>
      <w:r w:rsidRPr="00CE4C25">
        <w:rPr>
          <w:i/>
          <w:iCs/>
        </w:rPr>
        <w:t>Journal of Substance Abuse Treatment</w:t>
      </w:r>
      <w:r w:rsidRPr="00CE4C25">
        <w:t>, 91, pp.20</w:t>
      </w:r>
      <w:r>
        <w:t>-</w:t>
      </w:r>
      <w:r w:rsidRPr="00CE4C25">
        <w:t xml:space="preserve">27. Available at </w:t>
      </w:r>
      <w:hyperlink r:id="rId97" w:history="1">
        <w:r w:rsidRPr="00CE4C25">
          <w:rPr>
            <w:rStyle w:val="Hyperlink"/>
          </w:rPr>
          <w:t>https://doi.org/10.1016/j.jsat.2018.05.003</w:t>
        </w:r>
      </w:hyperlink>
      <w:r w:rsidRPr="00CE4C25">
        <w:t xml:space="preserve"> (Accessed: 15 February  202</w:t>
      </w:r>
      <w:r>
        <w:t>6</w:t>
      </w:r>
      <w:r w:rsidRPr="00CE4C25">
        <w:t>).</w:t>
      </w:r>
    </w:p>
    <w:p w14:paraId="0FDFDD1E" w14:textId="77777777" w:rsidR="00D62A77" w:rsidRPr="00CE4C25" w:rsidRDefault="00D62A77" w:rsidP="00CE4C25">
      <w:r w:rsidRPr="00CE4C25">
        <w:t xml:space="preserve">Mukamal, K. J., Kuller, L. H., Fitzpatrick, A. L., Longstreth, W. T., Mittleman, M. A., </w:t>
      </w:r>
      <w:r>
        <w:t>and</w:t>
      </w:r>
      <w:r w:rsidRPr="00CE4C25">
        <w:t> Siscovick, D. S. (2003) ‘Prospective study of alcohol consumption and risk of dementia in older adults’. </w:t>
      </w:r>
      <w:r w:rsidRPr="00CE4C25">
        <w:rPr>
          <w:i/>
          <w:iCs/>
        </w:rPr>
        <w:t>JAMA: Journal of the American Medical Association</w:t>
      </w:r>
      <w:r w:rsidRPr="00CE4C25">
        <w:t>, 289(11), 1405</w:t>
      </w:r>
      <w:r>
        <w:t>-</w:t>
      </w:r>
      <w:r w:rsidRPr="00CE4C25">
        <w:t>1413. Available at: </w:t>
      </w:r>
      <w:hyperlink r:id="rId98" w:tgtFrame="_blank" w:history="1">
        <w:r w:rsidRPr="00CE4C25">
          <w:rPr>
            <w:rStyle w:val="Hyperlink"/>
          </w:rPr>
          <w:t>https://doi.org/10.1001/jama.289.11.1405</w:t>
        </w:r>
      </w:hyperlink>
      <w:r w:rsidRPr="00CE4C25">
        <w:t> (Accessed: 22 November 2025). </w:t>
      </w:r>
    </w:p>
    <w:p w14:paraId="1A3279CE" w14:textId="77777777" w:rsidR="00D62A77" w:rsidRPr="00CE4C25" w:rsidRDefault="00D62A77" w:rsidP="00CE4C25">
      <w:r w:rsidRPr="00CE4C25">
        <w:t xml:space="preserve">Naaheed Mukadam, Anderson, R., Walsh, S., Wittenberg, R., Knapp, M., Brayne, C. and Livingston, G. (2024)’ Benefits of population-level interventions for dementia risk </w:t>
      </w:r>
      <w:r w:rsidRPr="00CE4C25">
        <w:lastRenderedPageBreak/>
        <w:t xml:space="preserve">factors: an economic modelling study for England’, </w:t>
      </w:r>
      <w:r w:rsidRPr="00CE4C25">
        <w:rPr>
          <w:i/>
          <w:iCs/>
        </w:rPr>
        <w:t>The Lancet Healthy Longevity,</w:t>
      </w:r>
      <w:r w:rsidRPr="00CE4C25">
        <w:t xml:space="preserve"> 5(9). Available at </w:t>
      </w:r>
      <w:hyperlink r:id="rId99" w:history="1">
        <w:r w:rsidRPr="00CE4C25">
          <w:rPr>
            <w:rStyle w:val="Hyperlink"/>
          </w:rPr>
          <w:t>https://doi.org/10.1016/s2666-7568(24)00117-x</w:t>
        </w:r>
      </w:hyperlink>
      <w:r w:rsidRPr="00CE4C25">
        <w:t xml:space="preserve"> (Accessed: 12 February  202</w:t>
      </w:r>
      <w:r>
        <w:t>6</w:t>
      </w:r>
      <w:r w:rsidRPr="00CE4C25">
        <w:t>).</w:t>
      </w:r>
    </w:p>
    <w:p w14:paraId="1D778644" w14:textId="77777777" w:rsidR="00D62A77" w:rsidRPr="00CE4C25" w:rsidRDefault="00D62A77" w:rsidP="00CE4C25">
      <w:r w:rsidRPr="00CE4C25">
        <w:t>Naeem, M., Ozuem, W., Howell, K. and Ranfagni, S. (2023) ‘A step-by-step Process of Thematic Analysis to Develop a Conceptual Model in Qualitative Research’, International Journal of Qualitative Methods, 22(1), pp.1</w:t>
      </w:r>
      <w:r>
        <w:t>-</w:t>
      </w:r>
      <w:r w:rsidRPr="00CE4C25">
        <w:t xml:space="preserve">18. Available at </w:t>
      </w:r>
      <w:hyperlink r:id="rId100" w:history="1">
        <w:r w:rsidRPr="00CE4C25">
          <w:rPr>
            <w:rStyle w:val="Hyperlink"/>
          </w:rPr>
          <w:t>https://doi.org/10.1177/16094069231205789</w:t>
        </w:r>
      </w:hyperlink>
      <w:r w:rsidRPr="00CE4C25">
        <w:t xml:space="preserve"> (Accessed: 05 February  202</w:t>
      </w:r>
      <w:r>
        <w:t>6</w:t>
      </w:r>
      <w:r w:rsidRPr="00CE4C25">
        <w:t>).</w:t>
      </w:r>
    </w:p>
    <w:p w14:paraId="0D669B8C" w14:textId="77777777" w:rsidR="00D62A77" w:rsidRPr="00CE4C25" w:rsidRDefault="00D62A77" w:rsidP="00CE4C25">
      <w:r w:rsidRPr="00CE4C25">
        <w:t>Nationalarchives.gov.uk. (2025) ‘</w:t>
      </w:r>
      <w:r w:rsidRPr="00CE4C25">
        <w:rPr>
          <w:i/>
          <w:iCs/>
        </w:rPr>
        <w:t>UK Government Web Archive</w:t>
      </w:r>
      <w:r w:rsidRPr="00CE4C25">
        <w:t xml:space="preserve">’, Available at: </w:t>
      </w:r>
      <w:hyperlink r:id="rId101" w:history="1">
        <w:r w:rsidRPr="00CE4C25">
          <w:rPr>
            <w:rStyle w:val="Hyperlink"/>
          </w:rPr>
          <w:t>https://webarchive.nationalarchives.gov.uk/ukgwa/20250707103655/https://www.longtermplan.nhs.uk/wp-content/uploads/2019/01/nhs-long-term-plan.pdf</w:t>
        </w:r>
      </w:hyperlink>
      <w:r w:rsidRPr="00CE4C25">
        <w:t xml:space="preserve"> (Accessed: 26 February  202</w:t>
      </w:r>
      <w:r>
        <w:t>5</w:t>
      </w:r>
      <w:r w:rsidRPr="00CE4C25">
        <w:t>).</w:t>
      </w:r>
    </w:p>
    <w:p w14:paraId="346A1038" w14:textId="77777777" w:rsidR="00D62A77" w:rsidRPr="00CE4C25" w:rsidRDefault="00D62A77" w:rsidP="00CE4C25">
      <w:r w:rsidRPr="00CE4C25">
        <w:t xml:space="preserve">NHS England, </w:t>
      </w:r>
      <w:r w:rsidRPr="00CE4C25">
        <w:rPr>
          <w:i/>
          <w:iCs/>
        </w:rPr>
        <w:t>The NHS Long Term Plan</w:t>
      </w:r>
      <w:r w:rsidRPr="00CE4C25">
        <w:t xml:space="preserve">, NHS England, London. Available at: </w:t>
      </w:r>
      <w:hyperlink r:id="rId102" w:tgtFrame="_new" w:history="1">
        <w:r w:rsidRPr="00CE4C25">
          <w:rPr>
            <w:rStyle w:val="Hyperlink"/>
          </w:rPr>
          <w:t>https://www.longtermplan.nhs.uk/</w:t>
        </w:r>
      </w:hyperlink>
      <w:r w:rsidRPr="00CE4C25">
        <w:t xml:space="preserve"> (Accessed: 13 March 2026).</w:t>
      </w:r>
    </w:p>
    <w:p w14:paraId="63FCFD52" w14:textId="77777777" w:rsidR="00D62A77" w:rsidRPr="00CE4C25" w:rsidRDefault="00D62A77" w:rsidP="00CE4C25">
      <w:r w:rsidRPr="00CE4C25">
        <w:t>NHS South, Central and West Commissioning Support Unit, (2024) ‘A</w:t>
      </w:r>
      <w:r w:rsidRPr="00CE4C25">
        <w:rPr>
          <w:i/>
          <w:iCs/>
        </w:rPr>
        <w:t>ddressing health inequalities through Making Every Contact Count (MECC): A guide for acute settings’</w:t>
      </w:r>
      <w:r w:rsidRPr="00CE4C25">
        <w:t>. </w:t>
      </w:r>
      <w:r w:rsidRPr="00CE4C25">
        <w:rPr>
          <w:i/>
          <w:iCs/>
        </w:rPr>
        <w:t>NHS SCW</w:t>
      </w:r>
      <w:r w:rsidRPr="00CE4C25">
        <w:t>. Available at: </w:t>
      </w:r>
      <w:hyperlink r:id="rId103" w:tgtFrame="_blank" w:history="1">
        <w:r w:rsidRPr="00CE4C25">
          <w:rPr>
            <w:rStyle w:val="Hyperlink"/>
          </w:rPr>
          <w:t>https://www.scwcsu.nhs.uk/priorities/health-inequalities/health-inequalities/addressing-health-inequalities-through-making-every-contact-count-mecc</w:t>
        </w:r>
      </w:hyperlink>
      <w:r w:rsidRPr="00CE4C25">
        <w:t>  (Accessed 17 November 2025). </w:t>
      </w:r>
    </w:p>
    <w:p w14:paraId="7B8F2FD7" w14:textId="77777777" w:rsidR="00D62A77" w:rsidRPr="00CE4C25" w:rsidRDefault="00D62A77" w:rsidP="00CE4C25">
      <w:r w:rsidRPr="00CE4C25">
        <w:t>O’Donnell, A., Anderson, P., Jané-Llopis, E., Manthey, J., Kaner, E. and Rehm, J. (2019) ‘Immediate impact of minimum unit pricing on alcohol purchases in Scotland’, </w:t>
      </w:r>
      <w:r w:rsidRPr="00CE4C25">
        <w:rPr>
          <w:i/>
          <w:iCs/>
        </w:rPr>
        <w:t>BMJ</w:t>
      </w:r>
      <w:r w:rsidRPr="00CE4C25">
        <w:t>, 366, l5274. Available at: </w:t>
      </w:r>
      <w:hyperlink r:id="rId104" w:tgtFrame="_blank" w:history="1">
        <w:r w:rsidRPr="00CE4C25">
          <w:rPr>
            <w:rStyle w:val="Hyperlink"/>
          </w:rPr>
          <w:t>https://doi.org/10.1136/bmj.l5274</w:t>
        </w:r>
      </w:hyperlink>
      <w:r w:rsidRPr="00CE4C25">
        <w:t> (Accessed: 13 November 2025). </w:t>
      </w:r>
    </w:p>
    <w:p w14:paraId="3F2B5161" w14:textId="77777777" w:rsidR="00D62A77" w:rsidRPr="00CE4C25" w:rsidRDefault="00D62A77" w:rsidP="00CE4C25">
      <w:r w:rsidRPr="00CE4C25">
        <w:t xml:space="preserve">OECD (2021) Preventing harmful alcohol use. Available at: </w:t>
      </w:r>
      <w:hyperlink r:id="rId105" w:history="1">
        <w:r w:rsidRPr="00CE4C25">
          <w:rPr>
            <w:rStyle w:val="Hyperlink"/>
          </w:rPr>
          <w:t>https://www.oecd.org/health/preventing-harmful-alcohol-use-30d40adf-en.htm</w:t>
        </w:r>
      </w:hyperlink>
      <w:r>
        <w:t xml:space="preserve"> </w:t>
      </w:r>
      <w:r w:rsidRPr="00CE4C25">
        <w:t>(Accessed: 20 February  202</w:t>
      </w:r>
      <w:r>
        <w:t>6</w:t>
      </w:r>
      <w:r w:rsidRPr="00CE4C25">
        <w:t>).</w:t>
      </w:r>
    </w:p>
    <w:p w14:paraId="7BDDBCE4" w14:textId="77777777" w:rsidR="00D62A77" w:rsidRPr="00CE4C25" w:rsidRDefault="00D62A77" w:rsidP="00CE4C25">
      <w:r w:rsidRPr="00CE4C25">
        <w:t>Office for Health Improvement and Disparities (OHID) (2022) ‘</w:t>
      </w:r>
      <w:r w:rsidRPr="00CE4C25">
        <w:rPr>
          <w:i/>
          <w:iCs/>
        </w:rPr>
        <w:t>Local Alcohol Profiles for England</w:t>
      </w:r>
      <w:r w:rsidRPr="00CE4C25">
        <w:t>’,  Available at: </w:t>
      </w:r>
      <w:hyperlink r:id="rId106" w:tgtFrame="_blank" w:history="1">
        <w:r w:rsidRPr="00CE4C25">
          <w:rPr>
            <w:rStyle w:val="Hyperlink"/>
          </w:rPr>
          <w:t>https://fingertips.phe.org.uk/profile/local-alcohol-profiles</w:t>
        </w:r>
      </w:hyperlink>
      <w:r w:rsidRPr="00CE4C25">
        <w:t> (Accessed: 28 November 2025). </w:t>
      </w:r>
    </w:p>
    <w:p w14:paraId="04A4820D" w14:textId="77777777" w:rsidR="00D62A77" w:rsidRPr="00CE4C25" w:rsidRDefault="00D62A77" w:rsidP="00CE4C25">
      <w:r w:rsidRPr="00CE4C25">
        <w:t>Omote, S. 1, Ikeuchi, S. 1, Okamoto, R. 1, Takahashi, Y. 1, Koyama, Y. 2 1 F. of H.S., protected ] (S.I.), email, protected ] (R.O.), email, email protected ] (Y. T.) </w:t>
      </w:r>
    </w:p>
    <w:p w14:paraId="361DCCB8" w14:textId="77777777" w:rsidR="00D62A77" w:rsidRDefault="00D62A77" w:rsidP="00CE4C25">
      <w:r w:rsidRPr="00CE4C25">
        <w:t xml:space="preserve">Oosterhuis, E.J., Slade, K., May, P.J.C. and Nuttall, H.E. (2022) ‘Towards an understanding of healthy cognitive ageing: The importance of lifestyle in Cognitive Reserve and the Scaffolding Theory of Aging and Cognition’, </w:t>
      </w:r>
      <w:r w:rsidRPr="00CE4C25">
        <w:rPr>
          <w:i/>
          <w:iCs/>
        </w:rPr>
        <w:t>The Journals of Gerontology</w:t>
      </w:r>
      <w:r w:rsidRPr="00CE4C25">
        <w:t xml:space="preserve">: Series B, 78(5). available at </w:t>
      </w:r>
      <w:hyperlink r:id="rId107" w:history="1">
        <w:r w:rsidRPr="00CE4C25">
          <w:rPr>
            <w:rStyle w:val="Hyperlink"/>
          </w:rPr>
          <w:t>https://doi.org/10.1093/geronb/gbac197</w:t>
        </w:r>
      </w:hyperlink>
      <w:r w:rsidRPr="00CE4C25">
        <w:t xml:space="preserve"> (Accessed: 08 February  202</w:t>
      </w:r>
      <w:r>
        <w:t>6</w:t>
      </w:r>
      <w:r w:rsidRPr="00CE4C25">
        <w:t>).</w:t>
      </w:r>
    </w:p>
    <w:p w14:paraId="304377D3" w14:textId="1A1EEE0D" w:rsidR="00D62A77" w:rsidRPr="00CE4C25" w:rsidRDefault="00D62A77" w:rsidP="00CE4C25">
      <w:r w:rsidRPr="007D06CB">
        <w:lastRenderedPageBreak/>
        <w:t>Paap, K.R. (2024) ‘Cognitive reserve? Cognitive capacity!</w:t>
      </w:r>
      <w:r w:rsidR="0024395B" w:rsidRPr="007D06CB">
        <w:t>,’</w:t>
      </w:r>
      <w:r w:rsidRPr="007D06CB">
        <w:t xml:space="preserve"> Brain Sciences, 14(12), p.</w:t>
      </w:r>
      <w:r w:rsidRPr="007D06CB">
        <w:rPr>
          <w:rFonts w:ascii="Arial" w:hAnsi="Arial" w:cs="Arial"/>
        </w:rPr>
        <w:t> </w:t>
      </w:r>
      <w:r w:rsidRPr="007D06CB">
        <w:t xml:space="preserve">1265. Available at: </w:t>
      </w:r>
      <w:hyperlink r:id="rId108" w:history="1">
        <w:r w:rsidRPr="000429B4">
          <w:rPr>
            <w:rStyle w:val="Hyperlink"/>
          </w:rPr>
          <w:t>https://www.mdpi.com/2076-3425/14/12/1265</w:t>
        </w:r>
      </w:hyperlink>
      <w:r>
        <w:t xml:space="preserve"> (</w:t>
      </w:r>
      <w:r w:rsidRPr="007D06CB">
        <w:t xml:space="preserve">Accessed: 03 </w:t>
      </w:r>
      <w:r>
        <w:t>March</w:t>
      </w:r>
      <w:r w:rsidRPr="007D06CB">
        <w:t xml:space="preserve"> 202</w:t>
      </w:r>
      <w:r>
        <w:t>6</w:t>
      </w:r>
      <w:r w:rsidRPr="007D06CB">
        <w:t>).</w:t>
      </w:r>
    </w:p>
    <w:p w14:paraId="2758B059" w14:textId="33CEF264" w:rsidR="00D62A77" w:rsidRPr="00CE4C25" w:rsidRDefault="00D62A77" w:rsidP="00CE4C25">
      <w:r w:rsidRPr="00CE4C25">
        <w:t xml:space="preserve">Page, M.J., McKenzie, J.E. </w:t>
      </w:r>
      <w:r>
        <w:t>and</w:t>
      </w:r>
      <w:r w:rsidRPr="00CE4C25">
        <w:t xml:space="preserve"> Bossuyt, P.M., (2021) ‘The PRISMA 2020 statement: an updated guideline for reporting systematic review’</w:t>
      </w:r>
      <w:r w:rsidRPr="00CE4C25">
        <w:rPr>
          <w:i/>
          <w:iCs/>
        </w:rPr>
        <w:t>,</w:t>
      </w:r>
      <w:r w:rsidRPr="00CE4C25">
        <w:t xml:space="preserve"> </w:t>
      </w:r>
      <w:r w:rsidRPr="00CE4C25">
        <w:rPr>
          <w:i/>
          <w:iCs/>
        </w:rPr>
        <w:t>BMJ,</w:t>
      </w:r>
      <w:r w:rsidRPr="00CE4C25">
        <w:t xml:space="preserve"> 372, n71. Available at: </w:t>
      </w:r>
      <w:hyperlink r:id="rId109" w:history="1">
        <w:r w:rsidRPr="00CE4C25">
          <w:rPr>
            <w:rStyle w:val="Hyperlink"/>
          </w:rPr>
          <w:t>https://doi.org/10.1136/bmj.n71</w:t>
        </w:r>
      </w:hyperlink>
      <w:r w:rsidRPr="00CE4C25">
        <w:t xml:space="preserve"> (Accessed: 03 </w:t>
      </w:r>
      <w:r w:rsidR="00580488">
        <w:t>November</w:t>
      </w:r>
      <w:r w:rsidRPr="00CE4C25">
        <w:t xml:space="preserve"> 202</w:t>
      </w:r>
      <w:r w:rsidR="00580488">
        <w:t>5</w:t>
      </w:r>
      <w:r w:rsidRPr="00CE4C25">
        <w:t>).</w:t>
      </w:r>
    </w:p>
    <w:p w14:paraId="1071FFE1" w14:textId="469CA1FA" w:rsidR="00D62A77" w:rsidRPr="00CE4C25" w:rsidRDefault="00D62A77" w:rsidP="00CE4C25">
      <w:r w:rsidRPr="00CE4C25">
        <w:t>Partelow, S. (2023) ‘What is a framework? Understanding their purpose, value, development and use</w:t>
      </w:r>
      <w:r w:rsidR="00521124" w:rsidRPr="00CE4C25">
        <w:t>,’</w:t>
      </w:r>
      <w:r w:rsidRPr="00CE4C25">
        <w:t xml:space="preserve"> </w:t>
      </w:r>
      <w:r w:rsidRPr="00CE4C25">
        <w:rPr>
          <w:i/>
          <w:iCs/>
        </w:rPr>
        <w:t>Journal of Environmental Studies and Sciences</w:t>
      </w:r>
      <w:r w:rsidRPr="00CE4C25">
        <w:t xml:space="preserve">, 13(13). Available at </w:t>
      </w:r>
      <w:hyperlink r:id="rId110" w:history="1">
        <w:r w:rsidRPr="00CE4C25">
          <w:rPr>
            <w:rStyle w:val="Hyperlink"/>
          </w:rPr>
          <w:t>https://doi.org/10.1007/s13412-023-00833-w</w:t>
        </w:r>
      </w:hyperlink>
      <w:r w:rsidRPr="00CE4C25">
        <w:t xml:space="preserve"> (Accessed: 18 February  202</w:t>
      </w:r>
      <w:r>
        <w:t>6</w:t>
      </w:r>
      <w:r w:rsidRPr="00CE4C25">
        <w:t>).</w:t>
      </w:r>
    </w:p>
    <w:p w14:paraId="00722166" w14:textId="77777777" w:rsidR="00D62A77" w:rsidRPr="00CE4C25" w:rsidRDefault="00D62A77" w:rsidP="00CE4C25">
      <w:r w:rsidRPr="00CE4C25">
        <w:t>Patterson, H., Beeston, C., Mcqueenie, R., Soutar, L., Giles, L., Mackay, D., Donaghy, G. and Watson, M. (2022) ‘</w:t>
      </w:r>
      <w:r w:rsidRPr="00CE4C25">
        <w:rPr>
          <w:i/>
          <w:iCs/>
        </w:rPr>
        <w:t>Evaluating the impact of Minimum Unit Pricing (MUP) of alcohol in Scotland on cross-border purchasing</w:t>
      </w:r>
      <w:r w:rsidRPr="00CE4C25">
        <w:t xml:space="preserve">’, Available at: </w:t>
      </w:r>
      <w:hyperlink r:id="rId111" w:history="1">
        <w:r w:rsidRPr="00CE4C25">
          <w:rPr>
            <w:rStyle w:val="Hyperlink"/>
          </w:rPr>
          <w:t>https://www.drugsandalcohol.ie/35799/1/Evaluating-the-impact-of-MUP-of-alcohol-in-scotland-on-cross-border-purchasing.pdf</w:t>
        </w:r>
      </w:hyperlink>
      <w:r>
        <w:t xml:space="preserve"> </w:t>
      </w:r>
      <w:r w:rsidRPr="00CE4C25">
        <w:t>(Accessed: 15 February  202</w:t>
      </w:r>
      <w:r>
        <w:t>6</w:t>
      </w:r>
      <w:r w:rsidRPr="00CE4C25">
        <w:t>).</w:t>
      </w:r>
    </w:p>
    <w:p w14:paraId="3578048C" w14:textId="77777777" w:rsidR="00D62A77" w:rsidRPr="00CE4C25" w:rsidRDefault="00D62A77" w:rsidP="00CE4C25">
      <w:r w:rsidRPr="00CE4C25">
        <w:t xml:space="preserve">Petrović, Z.K., Peraica, T. and Kozarić-Kovačić, D. (2025) ‘Alcohol Use Disorder and Dementia: A Scoping Review’, </w:t>
      </w:r>
      <w:r w:rsidRPr="00CE4C25">
        <w:rPr>
          <w:i/>
          <w:iCs/>
        </w:rPr>
        <w:t>Current Addiction Reports</w:t>
      </w:r>
      <w:r w:rsidRPr="00CE4C25">
        <w:t xml:space="preserve">, 12(1). Available at: </w:t>
      </w:r>
      <w:hyperlink r:id="rId112" w:history="1">
        <w:r w:rsidRPr="00CE4C25">
          <w:rPr>
            <w:rStyle w:val="Hyperlink"/>
          </w:rPr>
          <w:t>https://doi.org/10.1007/s40429-025-00668-1</w:t>
        </w:r>
      </w:hyperlink>
      <w:r w:rsidRPr="00CE4C25">
        <w:t xml:space="preserve"> (Accessed: 01 February  202</w:t>
      </w:r>
      <w:r>
        <w:t>6</w:t>
      </w:r>
      <w:r w:rsidRPr="00CE4C25">
        <w:t>).</w:t>
      </w:r>
    </w:p>
    <w:p w14:paraId="58533511" w14:textId="0D74F164" w:rsidR="00D62A77" w:rsidRPr="00CE4C25" w:rsidRDefault="00D62A77" w:rsidP="00CE4C25">
      <w:r w:rsidRPr="00CE4C25">
        <w:t>Pickett, K., Gauhar, </w:t>
      </w:r>
      <w:r w:rsidR="00521124" w:rsidRPr="00CE4C25">
        <w:t>A.,</w:t>
      </w:r>
      <w:r w:rsidRPr="00CE4C25">
        <w:t> and Wilkinson, R. (2024) ‘The Spirit Level at 15: The enduring impact of inequality’, </w:t>
      </w:r>
      <w:r w:rsidRPr="00CE4C25">
        <w:rPr>
          <w:i/>
          <w:iCs/>
        </w:rPr>
        <w:t>University of York Research Report</w:t>
      </w:r>
      <w:r w:rsidRPr="00CE4C25">
        <w:t>. Available at: </w:t>
      </w:r>
      <w:hyperlink r:id="rId113" w:tgtFrame="_blank" w:history="1">
        <w:r w:rsidRPr="00CE4C25">
          <w:rPr>
            <w:rStyle w:val="Hyperlink"/>
          </w:rPr>
          <w:t>https://eprints.whiterose.ac.uk/id/eprint/215026/1/The_Spirit_Level_at_15_2024_FINAL.pdf</w:t>
        </w:r>
      </w:hyperlink>
      <w:r w:rsidRPr="00CE4C25">
        <w:t> (Accessed: 20 November 2025). </w:t>
      </w:r>
    </w:p>
    <w:p w14:paraId="0B27BA0D" w14:textId="66898A70" w:rsidR="00D62A77" w:rsidRPr="00CE4C25" w:rsidRDefault="00D62A77" w:rsidP="00CE4C25">
      <w:r w:rsidRPr="00CE4C25">
        <w:t xml:space="preserve">Podgorski, C.A., Anderson, </w:t>
      </w:r>
      <w:r w:rsidR="00521124" w:rsidRPr="00CE4C25">
        <w:t>S.D.,</w:t>
      </w:r>
      <w:r w:rsidRPr="00CE4C25">
        <w:t xml:space="preserve"> and Parmar, J. (2021)’ A biopsychosocial-ecological framework for family-framed dementia care’, </w:t>
      </w:r>
      <w:r w:rsidRPr="00CE4C25">
        <w:rPr>
          <w:i/>
          <w:iCs/>
        </w:rPr>
        <w:t>Frontiers in Psychiatry</w:t>
      </w:r>
      <w:r w:rsidRPr="00CE4C25">
        <w:t xml:space="preserve">, 12(744806). Available at: </w:t>
      </w:r>
      <w:hyperlink r:id="rId114" w:history="1">
        <w:r w:rsidRPr="00CE4C25">
          <w:rPr>
            <w:rStyle w:val="Hyperlink"/>
          </w:rPr>
          <w:t>https://doi.org/10.3389/fpsyt.2021.744806</w:t>
        </w:r>
      </w:hyperlink>
      <w:r w:rsidRPr="00CE4C25">
        <w:t xml:space="preserve"> (Accessed: 20 February  202</w:t>
      </w:r>
      <w:r>
        <w:t>6</w:t>
      </w:r>
      <w:r w:rsidRPr="00CE4C25">
        <w:t>).</w:t>
      </w:r>
    </w:p>
    <w:p w14:paraId="0E193548" w14:textId="77777777" w:rsidR="00D62A77" w:rsidRPr="00CE4C25" w:rsidRDefault="00D62A77" w:rsidP="00CE4C25">
      <w:r w:rsidRPr="00CE4C25">
        <w:t xml:space="preserve">Public Health Scotland, </w:t>
      </w:r>
      <w:r w:rsidRPr="00CE4C25">
        <w:rPr>
          <w:i/>
          <w:iCs/>
        </w:rPr>
        <w:t>Minimum unit pricing reduces alcohol-related harm to health</w:t>
      </w:r>
      <w:r w:rsidRPr="00CE4C25">
        <w:t xml:space="preserve"> (2023). Available at: </w:t>
      </w:r>
      <w:hyperlink r:id="rId115" w:tgtFrame="_new" w:history="1">
        <w:r w:rsidRPr="00CE4C25">
          <w:rPr>
            <w:rStyle w:val="Hyperlink"/>
          </w:rPr>
          <w:t>https://publichealthscotland.scot/news/2023/june/minimum-unit-pricing-reduces-alcohol-related-harm-to-health/</w:t>
        </w:r>
      </w:hyperlink>
      <w:r w:rsidRPr="00CE4C25">
        <w:t xml:space="preserve"> (Accessed: 13 March 2026).</w:t>
      </w:r>
    </w:p>
    <w:p w14:paraId="781DB33D" w14:textId="77777777" w:rsidR="00D62A77" w:rsidRPr="00CE4C25" w:rsidRDefault="00D62A77" w:rsidP="00CE4C25">
      <w:r w:rsidRPr="00CE4C25">
        <w:t>Randerson, S., Casswell, S., Borell, B., Rychert, M., Gordon, L., Lin, E., Huckle, T. and Graydon</w:t>
      </w:r>
      <w:r w:rsidRPr="00CE4C25">
        <w:rPr>
          <w:rFonts w:ascii="Cambria Math" w:hAnsi="Cambria Math" w:cs="Cambria Math"/>
        </w:rPr>
        <w:t>‐</w:t>
      </w:r>
      <w:r w:rsidRPr="00CE4C25">
        <w:t xml:space="preserve">Guy, T. (2025) ‘Systemic inequities in alcohol licensing: Case studies in eight Aotearoa New Zealand communities’, </w:t>
      </w:r>
      <w:r w:rsidRPr="00CE4C25">
        <w:rPr>
          <w:i/>
          <w:iCs/>
        </w:rPr>
        <w:t>Drug and Alcohol Review</w:t>
      </w:r>
      <w:r w:rsidRPr="00CE4C25">
        <w:t>, 44(2), pp.459</w:t>
      </w:r>
      <w:r>
        <w:t>-</w:t>
      </w:r>
      <w:r w:rsidRPr="00CE4C25">
        <w:t xml:space="preserve">470. Available at </w:t>
      </w:r>
      <w:hyperlink r:id="rId116" w:history="1">
        <w:r w:rsidRPr="00CE4C25">
          <w:rPr>
            <w:rStyle w:val="Hyperlink"/>
          </w:rPr>
          <w:t>https://doi.org/10.1111/dar.13997</w:t>
        </w:r>
      </w:hyperlink>
      <w:r w:rsidRPr="00CE4C25">
        <w:t xml:space="preserve"> (Accessed: 15 November 2025). </w:t>
      </w:r>
    </w:p>
    <w:p w14:paraId="2672322F" w14:textId="77777777" w:rsidR="00D62A77" w:rsidRPr="00CE4C25" w:rsidRDefault="00D62A77" w:rsidP="00CE4C25">
      <w:r w:rsidRPr="00CE4C25">
        <w:t xml:space="preserve">Rehm, J., Assanangkornchai, S. </w:t>
      </w:r>
      <w:r>
        <w:t>and</w:t>
      </w:r>
      <w:r w:rsidRPr="00CE4C25">
        <w:t xml:space="preserve"> Shield, K. D. (2025) ‘</w:t>
      </w:r>
      <w:r w:rsidRPr="00CE4C25">
        <w:rPr>
          <w:i/>
          <w:iCs/>
        </w:rPr>
        <w:t>Global patterns of youth alcohol consumption and attributable harm</w:t>
      </w:r>
      <w:r w:rsidRPr="00CE4C25">
        <w:t xml:space="preserve">’, </w:t>
      </w:r>
      <w:r w:rsidRPr="00CE4C25">
        <w:rPr>
          <w:i/>
          <w:iCs/>
        </w:rPr>
        <w:t>BMJ,</w:t>
      </w:r>
      <w:r w:rsidRPr="00CE4C25">
        <w:t xml:space="preserve"> 391, r2306. Available at: </w:t>
      </w:r>
      <w:hyperlink r:id="rId117" w:tgtFrame="_new" w:history="1">
        <w:r w:rsidRPr="00CE4C25">
          <w:rPr>
            <w:rStyle w:val="Hyperlink"/>
          </w:rPr>
          <w:t>https://www.bmj.com/content/391/bmj.r2306</w:t>
        </w:r>
      </w:hyperlink>
      <w:r w:rsidRPr="00CE4C25">
        <w:t xml:space="preserve"> (Accessed: 03 February  202</w:t>
      </w:r>
      <w:r>
        <w:t>6</w:t>
      </w:r>
      <w:r w:rsidRPr="00CE4C25">
        <w:t>).</w:t>
      </w:r>
    </w:p>
    <w:p w14:paraId="05FBF4D8" w14:textId="77777777" w:rsidR="00D62A77" w:rsidRPr="00CE4C25" w:rsidRDefault="00D62A77" w:rsidP="00CE4C25">
      <w:r w:rsidRPr="00CE4C25">
        <w:t xml:space="preserve">Rehm, J., Hasan, O.S.M., Black, S.E., Shield, K.D. and Schwarzinger, M., (2019) ‘Alcohol use and dementia: a systematic scoping review’, </w:t>
      </w:r>
      <w:r w:rsidRPr="00CE4C25">
        <w:rPr>
          <w:i/>
          <w:iCs/>
        </w:rPr>
        <w:t xml:space="preserve">Alzheimer’s Research </w:t>
      </w:r>
      <w:r>
        <w:rPr>
          <w:i/>
          <w:iCs/>
        </w:rPr>
        <w:t>and</w:t>
      </w:r>
      <w:r w:rsidRPr="00CE4C25">
        <w:rPr>
          <w:i/>
          <w:iCs/>
        </w:rPr>
        <w:t xml:space="preserve"> Therapy</w:t>
      </w:r>
      <w:r w:rsidRPr="00CE4C25">
        <w:t xml:space="preserve">, </w:t>
      </w:r>
      <w:r w:rsidRPr="00CE4C25">
        <w:lastRenderedPageBreak/>
        <w:t xml:space="preserve">11(1), p.1. Available at: </w:t>
      </w:r>
      <w:hyperlink r:id="rId118" w:history="1">
        <w:r w:rsidRPr="00CE4C25">
          <w:rPr>
            <w:rStyle w:val="Hyperlink"/>
          </w:rPr>
          <w:t>https://alzres.biomedcentral.com/articles/10.1186/s13195-018-0453-0</w:t>
        </w:r>
      </w:hyperlink>
      <w:r w:rsidRPr="00CE4C25">
        <w:t xml:space="preserve"> (Accessed: 03 February  202</w:t>
      </w:r>
      <w:r>
        <w:t>6</w:t>
      </w:r>
      <w:r w:rsidRPr="00CE4C25">
        <w:t>).</w:t>
      </w:r>
    </w:p>
    <w:p w14:paraId="2DECA5B0" w14:textId="77777777" w:rsidR="00D62A77" w:rsidRPr="00CE4C25" w:rsidRDefault="00D62A77" w:rsidP="00CE4C25">
      <w:r w:rsidRPr="00CE4C25">
        <w:t xml:space="preserve">Rehm, J., Hasan, O.S.M., Black, S.E., Shield, K.D. </w:t>
      </w:r>
      <w:r>
        <w:t>and</w:t>
      </w:r>
      <w:r w:rsidRPr="00CE4C25">
        <w:t> Schwarzinger, M. (2019) ‘Alcohol use and dementia: a systematic scoping review’, </w:t>
      </w:r>
      <w:r w:rsidRPr="00CE4C25">
        <w:rPr>
          <w:i/>
          <w:iCs/>
        </w:rPr>
        <w:t xml:space="preserve">Alzheimer’s Research </w:t>
      </w:r>
      <w:r>
        <w:rPr>
          <w:i/>
          <w:iCs/>
        </w:rPr>
        <w:t>and</w:t>
      </w:r>
      <w:r w:rsidRPr="00CE4C25">
        <w:rPr>
          <w:i/>
          <w:iCs/>
        </w:rPr>
        <w:t xml:space="preserve"> Therapy</w:t>
      </w:r>
      <w:r w:rsidRPr="00CE4C25">
        <w:t>, 11(1), pp. 1</w:t>
      </w:r>
      <w:r>
        <w:t>-</w:t>
      </w:r>
      <w:r w:rsidRPr="00CE4C25">
        <w:t>11. DOI: 10.1186/s13195-018-0453-0. Available at: </w:t>
      </w:r>
      <w:hyperlink r:id="rId119" w:tgtFrame="_blank" w:history="1">
        <w:r w:rsidRPr="00CE4C25">
          <w:rPr>
            <w:rStyle w:val="Hyperlink"/>
          </w:rPr>
          <w:t>https://doi.org/10.1186/s13195-018-0453-0</w:t>
        </w:r>
      </w:hyperlink>
      <w:r w:rsidRPr="00CE4C25">
        <w:t> (Accessed: 13 November 2025). </w:t>
      </w:r>
    </w:p>
    <w:p w14:paraId="6A9D12A6" w14:textId="77777777" w:rsidR="00D62A77" w:rsidRPr="00CE4C25" w:rsidRDefault="00D62A77" w:rsidP="00CE4C25">
      <w:r w:rsidRPr="00CE4C25">
        <w:t xml:space="preserve">Rehm, J., Hasan, O.S.M., Black, S.E., Shield, K.D. </w:t>
      </w:r>
      <w:r>
        <w:t>and</w:t>
      </w:r>
      <w:r w:rsidRPr="00CE4C25">
        <w:t> Schwarzinger, M. (2019) ‘Alcohol use and dementia: a systematic scoping review’, </w:t>
      </w:r>
      <w:r w:rsidRPr="00CE4C25">
        <w:rPr>
          <w:i/>
          <w:iCs/>
        </w:rPr>
        <w:t xml:space="preserve">Alzheimer’s Research </w:t>
      </w:r>
      <w:r>
        <w:rPr>
          <w:i/>
          <w:iCs/>
        </w:rPr>
        <w:t>and</w:t>
      </w:r>
      <w:r w:rsidRPr="00CE4C25">
        <w:rPr>
          <w:i/>
          <w:iCs/>
        </w:rPr>
        <w:t xml:space="preserve"> Therapy</w:t>
      </w:r>
      <w:r w:rsidRPr="00CE4C25">
        <w:t>, 11(1), pp. 1</w:t>
      </w:r>
      <w:r>
        <w:t>-</w:t>
      </w:r>
      <w:r w:rsidRPr="00CE4C25">
        <w:t>11. DOI: 10.1186/s13195-018-0453-0. Available at: </w:t>
      </w:r>
      <w:hyperlink r:id="rId120" w:tgtFrame="_blank" w:history="1">
        <w:r w:rsidRPr="00CE4C25">
          <w:rPr>
            <w:rStyle w:val="Hyperlink"/>
          </w:rPr>
          <w:t>https://doi.org/10.1186/s13195-018-0453-0</w:t>
        </w:r>
      </w:hyperlink>
      <w:r w:rsidRPr="00CE4C25">
        <w:t> (Accessed: 13 November 2025). </w:t>
      </w:r>
    </w:p>
    <w:p w14:paraId="26E14F9C" w14:textId="77777777" w:rsidR="00D62A77" w:rsidRPr="00CE4C25" w:rsidRDefault="00D62A77" w:rsidP="00CE4C25">
      <w:r w:rsidRPr="00CE4C25">
        <w:t>Rehm, J., Rovira, P., Jiang, H., Lange, S., Shield, K.</w:t>
      </w:r>
      <w:r w:rsidRPr="00CE4C25">
        <w:rPr>
          <w:rFonts w:ascii="Arial" w:hAnsi="Arial" w:cs="Arial"/>
        </w:rPr>
        <w:t> </w:t>
      </w:r>
      <w:r w:rsidRPr="00CE4C25">
        <w:t xml:space="preserve">D., Tran, A. </w:t>
      </w:r>
      <w:r>
        <w:t>and</w:t>
      </w:r>
      <w:r w:rsidRPr="00CE4C25">
        <w:t xml:space="preserve"> </w:t>
      </w:r>
      <w:r w:rsidRPr="00CE4C25">
        <w:rPr>
          <w:rFonts w:ascii="Aptos" w:hAnsi="Aptos" w:cs="Aptos"/>
        </w:rPr>
        <w:t>Š</w:t>
      </w:r>
      <w:r w:rsidRPr="00CE4C25">
        <w:t>telem</w:t>
      </w:r>
      <w:r w:rsidRPr="00CE4C25">
        <w:rPr>
          <w:rFonts w:ascii="Aptos" w:hAnsi="Aptos" w:cs="Aptos"/>
        </w:rPr>
        <w:t>ė</w:t>
      </w:r>
      <w:r w:rsidRPr="00CE4C25">
        <w:t>kas, M. (2024) ‘,</w:t>
      </w:r>
      <w:r w:rsidRPr="00CE4C25">
        <w:rPr>
          <w:i/>
          <w:iCs/>
        </w:rPr>
        <w:t>Trends of alcohol</w:t>
      </w:r>
      <w:r w:rsidRPr="00CE4C25">
        <w:rPr>
          <w:i/>
          <w:iCs/>
        </w:rPr>
        <w:noBreakHyphen/>
        <w:t>attributable deaths in Lithuania 2001</w:t>
      </w:r>
      <w:r>
        <w:rPr>
          <w:i/>
          <w:iCs/>
        </w:rPr>
        <w:t>-</w:t>
      </w:r>
      <w:r w:rsidRPr="00CE4C25">
        <w:rPr>
          <w:i/>
          <w:iCs/>
        </w:rPr>
        <w:t>2021: epidemiology and policy conclusions</w:t>
      </w:r>
      <w:r w:rsidRPr="00CE4C25">
        <w:t xml:space="preserve">’, </w:t>
      </w:r>
      <w:r w:rsidRPr="00CE4C25">
        <w:rPr>
          <w:i/>
          <w:iCs/>
        </w:rPr>
        <w:t>BMC Public Health</w:t>
      </w:r>
      <w:r w:rsidRPr="00CE4C25">
        <w:t xml:space="preserve">, 24, 774. Available at: </w:t>
      </w:r>
      <w:hyperlink r:id="rId121" w:tgtFrame="_new" w:history="1">
        <w:r w:rsidRPr="00CE4C25">
          <w:rPr>
            <w:rStyle w:val="Hyperlink"/>
          </w:rPr>
          <w:t>https://doi.org/10.1186/s12889-024-18237-y</w:t>
        </w:r>
      </w:hyperlink>
      <w:r w:rsidRPr="00CE4C25">
        <w:t xml:space="preserve"> (Accessed: 27 February 202</w:t>
      </w:r>
      <w:r>
        <w:t>6</w:t>
      </w:r>
      <w:r w:rsidRPr="00CE4C25">
        <w:t>).</w:t>
      </w:r>
    </w:p>
    <w:p w14:paraId="2CB7DD54" w14:textId="77777777" w:rsidR="00D62A77" w:rsidRPr="00CE4C25" w:rsidRDefault="00D62A77" w:rsidP="00CE4C25">
      <w:r w:rsidRPr="00CE4C25">
        <w:t xml:space="preserve">Rethlefsen, M.L., Kirtley, S., Waffenschmidt, S. </w:t>
      </w:r>
      <w:r>
        <w:t>and</w:t>
      </w:r>
      <w:r w:rsidRPr="00CE4C25">
        <w:t xml:space="preserve"> Ayala, A.P., (2023) ‘</w:t>
      </w:r>
      <w:r w:rsidRPr="00CE4C25">
        <w:rPr>
          <w:i/>
          <w:iCs/>
        </w:rPr>
        <w:t>Search strategies for systematic reviews: guidance for identifying, combining, and refining keywords and subject headings’,</w:t>
      </w:r>
      <w:r w:rsidRPr="00CE4C25">
        <w:t xml:space="preserve"> </w:t>
      </w:r>
      <w:r w:rsidRPr="00CE4C25">
        <w:rPr>
          <w:i/>
          <w:iCs/>
        </w:rPr>
        <w:t>Journal of Clinical Epidemiology</w:t>
      </w:r>
      <w:r w:rsidRPr="00CE4C25">
        <w:t>, 157, pp.1</w:t>
      </w:r>
      <w:r>
        <w:t>-</w:t>
      </w:r>
      <w:r w:rsidRPr="00CE4C25">
        <w:t xml:space="preserve">10. Available at: </w:t>
      </w:r>
      <w:hyperlink r:id="rId122" w:history="1">
        <w:r w:rsidRPr="00CE4C25">
          <w:rPr>
            <w:rStyle w:val="Hyperlink"/>
          </w:rPr>
          <w:t>https://doi.org/10.1016/j.jclinepi.2023.01.005</w:t>
        </w:r>
      </w:hyperlink>
      <w:r w:rsidRPr="00CE4C25">
        <w:t xml:space="preserve"> (Accessed: 06 March 202</w:t>
      </w:r>
      <w:r>
        <w:t>6</w:t>
      </w:r>
      <w:r w:rsidRPr="00CE4C25">
        <w:t>).</w:t>
      </w:r>
    </w:p>
    <w:p w14:paraId="24B2A833" w14:textId="2E98A9E5" w:rsidR="00D62A77" w:rsidRPr="00CE4C25" w:rsidRDefault="00D62A77" w:rsidP="00CE4C25">
      <w:r w:rsidRPr="00CE4C25">
        <w:t xml:space="preserve">Ridley, N.J., Draper, </w:t>
      </w:r>
      <w:r w:rsidR="00521124" w:rsidRPr="00CE4C25">
        <w:t>B.,</w:t>
      </w:r>
      <w:r w:rsidRPr="00CE4C25">
        <w:t xml:space="preserve"> </w:t>
      </w:r>
      <w:r>
        <w:t>and</w:t>
      </w:r>
      <w:r w:rsidRPr="00CE4C25">
        <w:t xml:space="preserve"> Withall, A. (2013) ‘Alcohol-related dementia: an update of the evidence’, </w:t>
      </w:r>
      <w:r w:rsidRPr="00CE4C25">
        <w:rPr>
          <w:i/>
          <w:iCs/>
        </w:rPr>
        <w:t xml:space="preserve">Alzheimer’s Research </w:t>
      </w:r>
      <w:r>
        <w:rPr>
          <w:i/>
          <w:iCs/>
        </w:rPr>
        <w:t>and</w:t>
      </w:r>
      <w:r w:rsidRPr="00CE4C25">
        <w:rPr>
          <w:i/>
          <w:iCs/>
        </w:rPr>
        <w:t xml:space="preserve"> Therapy</w:t>
      </w:r>
      <w:r w:rsidRPr="00CE4C25">
        <w:t>, 5(3), pp. 3. DOI: 10.1186/alzrt157. Available at: </w:t>
      </w:r>
      <w:hyperlink r:id="rId123" w:tgtFrame="_blank" w:history="1">
        <w:r w:rsidRPr="00CE4C25">
          <w:rPr>
            <w:rStyle w:val="Hyperlink"/>
          </w:rPr>
          <w:t>https://doi.org/10.1186/alzrt157</w:t>
        </w:r>
      </w:hyperlink>
      <w:r w:rsidRPr="00CE4C25">
        <w:t> (Accessed: 13 November 2025). </w:t>
      </w:r>
    </w:p>
    <w:p w14:paraId="74EB6758" w14:textId="47C1922E" w:rsidR="00D62A77" w:rsidRPr="00CE4C25" w:rsidRDefault="00D62A77" w:rsidP="00CE4C25">
      <w:r w:rsidRPr="00CE4C25">
        <w:t xml:space="preserve">Ridley, N.J., Draper, </w:t>
      </w:r>
      <w:r w:rsidR="00521124" w:rsidRPr="00CE4C25">
        <w:t>B.,</w:t>
      </w:r>
      <w:r w:rsidRPr="00CE4C25">
        <w:t xml:space="preserve"> </w:t>
      </w:r>
      <w:r>
        <w:t>and</w:t>
      </w:r>
      <w:r w:rsidRPr="00CE4C25">
        <w:t xml:space="preserve"> Withall, A. (2013) ‘Alcohol-related dementia: an update of the evidence’, </w:t>
      </w:r>
      <w:r w:rsidRPr="00CE4C25">
        <w:rPr>
          <w:i/>
          <w:iCs/>
        </w:rPr>
        <w:t xml:space="preserve">Alzheimer’s Research </w:t>
      </w:r>
      <w:r>
        <w:rPr>
          <w:i/>
          <w:iCs/>
        </w:rPr>
        <w:t>and</w:t>
      </w:r>
      <w:r w:rsidRPr="00CE4C25">
        <w:rPr>
          <w:i/>
          <w:iCs/>
        </w:rPr>
        <w:t xml:space="preserve"> Therapy</w:t>
      </w:r>
      <w:r w:rsidRPr="00CE4C25">
        <w:t>, 5(3), pp. 3. DOI: 10.1186/alzrt157. Available at: </w:t>
      </w:r>
      <w:hyperlink r:id="rId124" w:tgtFrame="_blank" w:history="1">
        <w:r w:rsidRPr="00CE4C25">
          <w:rPr>
            <w:rStyle w:val="Hyperlink"/>
          </w:rPr>
          <w:t>https://doi.org/10.1186/alzrt157</w:t>
        </w:r>
      </w:hyperlink>
      <w:r w:rsidRPr="00CE4C25">
        <w:t> (Accessed: 13 November 2025). </w:t>
      </w:r>
    </w:p>
    <w:p w14:paraId="05E88B5D" w14:textId="20C7B2B1" w:rsidR="00D62A77" w:rsidRDefault="00D62A77" w:rsidP="00CE4C25">
      <w:r w:rsidRPr="00CE4C25">
        <w:t xml:space="preserve">Ritzen, M., Peetoom, K., Bartels, S.L., Bakker, </w:t>
      </w:r>
      <w:r w:rsidR="00521124" w:rsidRPr="00CE4C25">
        <w:t>C.,</w:t>
      </w:r>
      <w:r w:rsidRPr="00CE4C25">
        <w:t xml:space="preserve"> and Marjolein de Vugt (2025) ‘Needs of people living with young-onset dementia and family carers, explored by dementia subtype, phase in the disease process, and living setting: A scoping review’, </w:t>
      </w:r>
      <w:r w:rsidRPr="00CE4C25">
        <w:rPr>
          <w:i/>
          <w:iCs/>
        </w:rPr>
        <w:t>Journal of Alzheimer s Disease.</w:t>
      </w:r>
      <w:r w:rsidRPr="00CE4C25">
        <w:t xml:space="preserve"> Available at </w:t>
      </w:r>
      <w:hyperlink r:id="rId125" w:history="1">
        <w:r w:rsidRPr="00CE4C25">
          <w:rPr>
            <w:rStyle w:val="Hyperlink"/>
          </w:rPr>
          <w:t>https://doi.org/10.1177/13872877251372148</w:t>
        </w:r>
      </w:hyperlink>
      <w:r w:rsidRPr="00CE4C25">
        <w:t xml:space="preserve"> (Accessed: 11 March 202</w:t>
      </w:r>
      <w:r>
        <w:t>6</w:t>
      </w:r>
      <w:r w:rsidRPr="00CE4C25">
        <w:t>).</w:t>
      </w:r>
    </w:p>
    <w:p w14:paraId="453733F2" w14:textId="091B223E" w:rsidR="00D62A77" w:rsidRPr="00800557" w:rsidRDefault="00D62A77" w:rsidP="00800557">
      <w:r w:rsidRPr="00800557">
        <w:t xml:space="preserve">Roberts, A. (2023) ‘The biopsychosocial model: Its use and abuse’, </w:t>
      </w:r>
      <w:r w:rsidRPr="00800557">
        <w:rPr>
          <w:i/>
          <w:iCs/>
        </w:rPr>
        <w:t>Medicine, Health Care and Philosophy</w:t>
      </w:r>
      <w:r w:rsidRPr="00800557">
        <w:t>. Available at:</w:t>
      </w:r>
      <w:r>
        <w:t xml:space="preserve"> </w:t>
      </w:r>
      <w:hyperlink r:id="rId126" w:history="1">
        <w:r w:rsidRPr="00800557">
          <w:rPr>
            <w:rStyle w:val="Hyperlink"/>
          </w:rPr>
          <w:t>https://pmc.ncbi.nlm.nih.gov/articles/PMC10107555/</w:t>
        </w:r>
      </w:hyperlink>
      <w:r>
        <w:t xml:space="preserve"> </w:t>
      </w:r>
      <w:r w:rsidRPr="00800557">
        <w:t xml:space="preserve">(Accessed: </w:t>
      </w:r>
      <w:r w:rsidR="005C59D3">
        <w:t>05</w:t>
      </w:r>
      <w:r w:rsidRPr="00800557">
        <w:t xml:space="preserve"> March 202</w:t>
      </w:r>
      <w:r>
        <w:t>6</w:t>
      </w:r>
      <w:r w:rsidRPr="00800557">
        <w:t>).</w:t>
      </w:r>
    </w:p>
    <w:p w14:paraId="71D0977D" w14:textId="1989E8A3" w:rsidR="00D62A77" w:rsidRPr="00CE4C25" w:rsidRDefault="00D62A77" w:rsidP="00CE4C25">
      <w:r w:rsidRPr="00CE4C25">
        <w:t xml:space="preserve">Robinson, M., Mackay, D., Giles, L., Lewsey, J., Richardson, </w:t>
      </w:r>
      <w:r w:rsidR="00521124" w:rsidRPr="00CE4C25">
        <w:t>E.,</w:t>
      </w:r>
      <w:r w:rsidRPr="00CE4C25">
        <w:t xml:space="preserve"> and Beeston, C. (2021) ‘ Evaluating the impact of minimum unit pricing (MUP) on off</w:t>
      </w:r>
      <w:r w:rsidRPr="00CE4C25">
        <w:rPr>
          <w:rFonts w:ascii="Cambria Math" w:hAnsi="Cambria Math" w:cs="Cambria Math"/>
        </w:rPr>
        <w:t>‐</w:t>
      </w:r>
      <w:r w:rsidRPr="00CE4C25">
        <w:t>trade alcohol sales in Scotland: an interrupted time</w:t>
      </w:r>
      <w:r>
        <w:t>-</w:t>
      </w:r>
      <w:r w:rsidRPr="00CE4C25">
        <w:t xml:space="preserve">series study’, </w:t>
      </w:r>
      <w:r w:rsidRPr="00CE4C25">
        <w:rPr>
          <w:i/>
          <w:iCs/>
        </w:rPr>
        <w:t>Addiction</w:t>
      </w:r>
      <w:r w:rsidRPr="00CE4C25">
        <w:t xml:space="preserve">, 116(10). Available at </w:t>
      </w:r>
      <w:hyperlink r:id="rId127" w:history="1">
        <w:r w:rsidRPr="00CE4C25">
          <w:rPr>
            <w:rStyle w:val="Hyperlink"/>
          </w:rPr>
          <w:t>https://doi.org/10.1111/add.15478</w:t>
        </w:r>
      </w:hyperlink>
      <w:r w:rsidRPr="00CE4C25">
        <w:t xml:space="preserve"> (Accessed:15 March 202</w:t>
      </w:r>
      <w:r>
        <w:t>6</w:t>
      </w:r>
      <w:r w:rsidRPr="00CE4C25">
        <w:t>).</w:t>
      </w:r>
    </w:p>
    <w:p w14:paraId="6A5088AC" w14:textId="1618F74E" w:rsidR="00D62A77" w:rsidRDefault="00D62A77" w:rsidP="00CE4C25">
      <w:r w:rsidRPr="00CE4C25">
        <w:lastRenderedPageBreak/>
        <w:t xml:space="preserve">Rodgers, M., South, E., Harden, M., Whitehead, </w:t>
      </w:r>
      <w:r w:rsidR="00521124" w:rsidRPr="00CE4C25">
        <w:t>M.,</w:t>
      </w:r>
      <w:r w:rsidRPr="00CE4C25">
        <w:t xml:space="preserve"> and Sowden, A. (2025) ‘Contextual factors in systematic reviews: understanding public health interventions in low socioeconomic status and disadvantaged populations’, </w:t>
      </w:r>
      <w:r w:rsidRPr="00CE4C25">
        <w:rPr>
          <w:i/>
          <w:iCs/>
        </w:rPr>
        <w:t>Archives of Public Health</w:t>
      </w:r>
      <w:r w:rsidRPr="00CE4C25">
        <w:t xml:space="preserve">, 83(1). Available at </w:t>
      </w:r>
      <w:hyperlink r:id="rId128" w:history="1">
        <w:r w:rsidRPr="00CE4C25">
          <w:rPr>
            <w:rStyle w:val="Hyperlink"/>
          </w:rPr>
          <w:t>https://doi.org/10.1186/s13690-025-01644-x</w:t>
        </w:r>
      </w:hyperlink>
      <w:r>
        <w:t xml:space="preserve"> </w:t>
      </w:r>
      <w:r w:rsidRPr="00CE4C25">
        <w:t>(Accessed: 19 March 202</w:t>
      </w:r>
      <w:r>
        <w:t>6</w:t>
      </w:r>
      <w:r w:rsidRPr="00CE4C25">
        <w:t>).</w:t>
      </w:r>
    </w:p>
    <w:p w14:paraId="2E982ED7" w14:textId="5F1FB931" w:rsidR="00D62A77" w:rsidRPr="00CE4C25" w:rsidRDefault="00D62A77" w:rsidP="00CE4C25">
      <w:r w:rsidRPr="00CE4C25">
        <w:t xml:space="preserve">Ryoto Sakaniwa, Shirai, K., Dorina Cadar, Saito, T., Kondo, K., Kawachi, I., Steptoe, </w:t>
      </w:r>
      <w:r w:rsidR="00521124" w:rsidRPr="00CE4C25">
        <w:t>A.,</w:t>
      </w:r>
      <w:r w:rsidRPr="00CE4C25">
        <w:t xml:space="preserve"> and Hiroyasu Iso (2024) ‘Socioeconomic Status Transition Throughout Life and Risk of Dementia’, </w:t>
      </w:r>
      <w:r w:rsidRPr="00CE4C25">
        <w:rPr>
          <w:i/>
          <w:iCs/>
        </w:rPr>
        <w:t>JAMA Network Open</w:t>
      </w:r>
      <w:r w:rsidRPr="00CE4C25">
        <w:t>, 7(5), pp.e2412303</w:t>
      </w:r>
      <w:r>
        <w:t>-</w:t>
      </w:r>
      <w:r w:rsidRPr="00CE4C25">
        <w:t xml:space="preserve">e2412303. Available at </w:t>
      </w:r>
      <w:hyperlink r:id="rId129" w:history="1">
        <w:r w:rsidRPr="00CE4C25">
          <w:rPr>
            <w:rStyle w:val="Hyperlink"/>
          </w:rPr>
          <w:t>https://doi.org/10.1001/jamanetworkopen.2024.12303</w:t>
        </w:r>
      </w:hyperlink>
      <w:r w:rsidRPr="00CE4C25">
        <w:t xml:space="preserve"> (Accessed: 20 March 202</w:t>
      </w:r>
      <w:r>
        <w:t>6</w:t>
      </w:r>
      <w:r w:rsidRPr="00CE4C25">
        <w:t>).</w:t>
      </w:r>
    </w:p>
    <w:p w14:paraId="1F49A75A" w14:textId="77777777" w:rsidR="00D62A77" w:rsidRPr="00CE4C25" w:rsidRDefault="00D62A77" w:rsidP="00CE4C25">
      <w:r w:rsidRPr="00CE4C25">
        <w:t xml:space="preserve">Sabia, S., Fayosse, A., Dumurgier, J., Dugravot, A., Akbaraly, T., Britton, A., Kivimäki, M. </w:t>
      </w:r>
      <w:r>
        <w:t>and</w:t>
      </w:r>
      <w:r w:rsidRPr="00CE4C25">
        <w:t xml:space="preserve"> Singh-Manoux, A. (2018) ‘Alcohol consumption and risk of dementia: 23-year follow-up of Whitehall II cohort study’, </w:t>
      </w:r>
      <w:r w:rsidRPr="00CE4C25">
        <w:rPr>
          <w:i/>
          <w:iCs/>
        </w:rPr>
        <w:t>BMJ,</w:t>
      </w:r>
      <w:r w:rsidRPr="00CE4C25">
        <w:t> 362, k2927. DOI: 10.1136/bmj.k2927. Available at: </w:t>
      </w:r>
      <w:hyperlink r:id="rId130" w:tgtFrame="_blank" w:history="1">
        <w:r w:rsidRPr="00CE4C25">
          <w:rPr>
            <w:rStyle w:val="Hyperlink"/>
          </w:rPr>
          <w:t>https://www.bmj.com/content/bmj/362/bmj.k2927.full.pdf</w:t>
        </w:r>
      </w:hyperlink>
      <w:r w:rsidRPr="00CE4C25">
        <w:t> (Accessed: 23 November 2025). </w:t>
      </w:r>
    </w:p>
    <w:p w14:paraId="67A5F8D7" w14:textId="77777777" w:rsidR="00D62A77" w:rsidRPr="00CE4C25" w:rsidRDefault="00D62A77" w:rsidP="00CE4C25">
      <w:r w:rsidRPr="00CE4C25">
        <w:t xml:space="preserve">Sachdeva, A., Chandra, M., Choudhary, M., Dayal, P. and Anand, K.S. (2016) ‘Alcohol-Related Dementia and Neurocognitive Impairment: A Review Study’, </w:t>
      </w:r>
      <w:r w:rsidRPr="00CE4C25">
        <w:rPr>
          <w:i/>
          <w:iCs/>
        </w:rPr>
        <w:t>International Journal of High-Risk Behaviours and Addiction</w:t>
      </w:r>
      <w:r w:rsidRPr="00CE4C25">
        <w:t xml:space="preserve">, 5(3). Available at </w:t>
      </w:r>
      <w:hyperlink r:id="rId131" w:history="1">
        <w:r w:rsidRPr="00CE4C25">
          <w:rPr>
            <w:rStyle w:val="Hyperlink"/>
          </w:rPr>
          <w:t>https://doi.org/10.5812/ijhrba.27976</w:t>
        </w:r>
      </w:hyperlink>
      <w:r w:rsidRPr="00CE4C25">
        <w:t xml:space="preserve"> (Accessed: 06 March 202</w:t>
      </w:r>
      <w:r>
        <w:t>6</w:t>
      </w:r>
      <w:r w:rsidRPr="00CE4C25">
        <w:t>).</w:t>
      </w:r>
    </w:p>
    <w:p w14:paraId="65484571" w14:textId="77777777" w:rsidR="00D62A77" w:rsidRPr="00CE4C25" w:rsidRDefault="00D62A77" w:rsidP="00CE4C25">
      <w:r w:rsidRPr="00CE4C25">
        <w:t xml:space="preserve">Saunders, C.H. </w:t>
      </w:r>
      <w:r w:rsidRPr="00CE4C25">
        <w:rPr>
          <w:i/>
          <w:iCs/>
        </w:rPr>
        <w:t>et al.</w:t>
      </w:r>
      <w:r w:rsidRPr="00CE4C25">
        <w:t xml:space="preserve"> (2023) ‘Practical thematic analysis: A guide for multidisciplinary health services research teams engaging in qualitative analysis’, </w:t>
      </w:r>
      <w:r w:rsidRPr="00CE4C25">
        <w:rPr>
          <w:i/>
          <w:iCs/>
        </w:rPr>
        <w:t>BMJ</w:t>
      </w:r>
      <w:r w:rsidRPr="00CE4C25">
        <w:t xml:space="preserve">, 381:e074256. Available at: </w:t>
      </w:r>
      <w:hyperlink r:id="rId132" w:history="1">
        <w:r w:rsidRPr="00CE4C25">
          <w:rPr>
            <w:rStyle w:val="Hyperlink"/>
          </w:rPr>
          <w:t>https://doi.org/10.1136/bmj-2022-074256</w:t>
        </w:r>
      </w:hyperlink>
      <w:r w:rsidRPr="00CE4C25">
        <w:t xml:space="preserve"> (Accessed: 02 March 202</w:t>
      </w:r>
      <w:r>
        <w:t>6</w:t>
      </w:r>
      <w:r w:rsidRPr="00CE4C25">
        <w:t>).</w:t>
      </w:r>
    </w:p>
    <w:p w14:paraId="209CEB20" w14:textId="77777777" w:rsidR="00D62A77" w:rsidRPr="00CE4C25" w:rsidRDefault="00D62A77" w:rsidP="00CE4C25">
      <w:r w:rsidRPr="00CE4C25">
        <w:t>Schelleman-Offermans, K., Sasso, A., Massar, K. and Teixeira, C.P. (2025) ‘Explaining socioeconomic inequalities in alcohol use disorder symptoms: the role of social capital and drinking motives.</w:t>
      </w:r>
      <w:r w:rsidRPr="00CE4C25">
        <w:rPr>
          <w:i/>
          <w:iCs/>
        </w:rPr>
        <w:t>’ Alcohol and Alcoholism</w:t>
      </w:r>
      <w:r w:rsidRPr="00CE4C25">
        <w:t>, 60(3). Available at: </w:t>
      </w:r>
      <w:hyperlink r:id="rId133" w:tgtFrame="_blank" w:history="1">
        <w:r w:rsidRPr="00CE4C25">
          <w:rPr>
            <w:rStyle w:val="Hyperlink"/>
          </w:rPr>
          <w:t>https://doi.org/10.1093/alcalc/agaf012</w:t>
        </w:r>
      </w:hyperlink>
      <w:r w:rsidRPr="00CE4C25">
        <w:t> (Accessed: 16 November 2025). </w:t>
      </w:r>
    </w:p>
    <w:p w14:paraId="3EF4F3C1" w14:textId="77777777" w:rsidR="00D62A77" w:rsidRPr="00CE4C25" w:rsidRDefault="00D62A77" w:rsidP="00CE4C25">
      <w:r w:rsidRPr="00CE4C25">
        <w:t xml:space="preserve">Schwartz, G. L. </w:t>
      </w:r>
      <w:r>
        <w:t>and</w:t>
      </w:r>
      <w:r w:rsidRPr="00CE4C25">
        <w:t xml:space="preserve"> Glymour, M. M. (2023) ‘</w:t>
      </w:r>
      <w:r w:rsidRPr="00CE4C25">
        <w:rPr>
          <w:i/>
          <w:iCs/>
        </w:rPr>
        <w:t>Bridging the divide: Tackling tensions between life-course epidemiology and causal inference</w:t>
      </w:r>
      <w:r w:rsidRPr="00CE4C25">
        <w:t xml:space="preserve">’, </w:t>
      </w:r>
      <w:r w:rsidRPr="00CE4C25">
        <w:rPr>
          <w:i/>
          <w:iCs/>
        </w:rPr>
        <w:t>Annual Review of Developmental Psychology,</w:t>
      </w:r>
      <w:r w:rsidRPr="00CE4C25">
        <w:t xml:space="preserve"> 5(1), 355</w:t>
      </w:r>
      <w:r>
        <w:t>-</w:t>
      </w:r>
      <w:r w:rsidRPr="00CE4C25">
        <w:t xml:space="preserve">374. DOI: </w:t>
      </w:r>
      <w:hyperlink r:id="rId134" w:history="1">
        <w:r w:rsidRPr="00CE4C25">
          <w:rPr>
            <w:rStyle w:val="Hyperlink"/>
          </w:rPr>
          <w:t>https://doi.org/10.1146/annurev-devpsych-120221-033623</w:t>
        </w:r>
      </w:hyperlink>
      <w:r w:rsidRPr="00CE4C25">
        <w:t xml:space="preserve"> (Accessed: 03 March 202</w:t>
      </w:r>
      <w:r>
        <w:t>6</w:t>
      </w:r>
      <w:r w:rsidRPr="00CE4C25">
        <w:t>).</w:t>
      </w:r>
    </w:p>
    <w:p w14:paraId="563817BE" w14:textId="77777777" w:rsidR="00D62A77" w:rsidRPr="00CE4C25" w:rsidRDefault="00D62A77" w:rsidP="00CE4C25">
      <w:r w:rsidRPr="00CE4C25">
        <w:t>Schwarzinger, M., Pollock, B.G., Hasan, O.S.M., Dufouil, C. and Rehm, J. (2018) ‘Contribution of alcohol use disorders to the burden of dementia in France 2008</w:t>
      </w:r>
      <w:r>
        <w:t>-</w:t>
      </w:r>
      <w:r w:rsidRPr="00CE4C25">
        <w:t>13: a nationwide retrospective cohort study’, The Lancet Public Health, 3(3), pp. e124</w:t>
      </w:r>
      <w:r>
        <w:t>-</w:t>
      </w:r>
      <w:r w:rsidRPr="00CE4C25">
        <w:t xml:space="preserve">e132. </w:t>
      </w:r>
      <w:hyperlink r:id="rId135" w:history="1">
        <w:r w:rsidRPr="00CE4C25">
          <w:rPr>
            <w:rStyle w:val="Hyperlink"/>
          </w:rPr>
          <w:t>https://doi.org/10.1016/S2468-2667(18)30022-7</w:t>
        </w:r>
      </w:hyperlink>
      <w:r w:rsidRPr="00CE4C25">
        <w:t xml:space="preserve"> (Accessed: 07 March 202</w:t>
      </w:r>
      <w:r>
        <w:t>6</w:t>
      </w:r>
      <w:r w:rsidRPr="00CE4C25">
        <w:t>).</w:t>
      </w:r>
    </w:p>
    <w:p w14:paraId="40F3ABB1" w14:textId="1688AD5C" w:rsidR="00D62A77" w:rsidRPr="00CE4C25" w:rsidRDefault="00D62A77" w:rsidP="00CE4C25">
      <w:r w:rsidRPr="00CE4C25">
        <w:t>Shannon, O.M., Stephan, B.C.M., Granic, A., Lentjes, M.A.H., Hayat, S., Mulligan, A.A., Luben, R., Khaw, K.T. and Mathers, J.C. (2023) ‘Mediterranean diet and cognitive health’, </w:t>
      </w:r>
      <w:r w:rsidRPr="00CE4C25">
        <w:rPr>
          <w:i/>
          <w:iCs/>
        </w:rPr>
        <w:t>Nutrients</w:t>
      </w:r>
      <w:r w:rsidRPr="00CE4C25">
        <w:t>, 15(5), 1128</w:t>
      </w:r>
      <w:r w:rsidR="00521124" w:rsidRPr="00CE4C25">
        <w:t xml:space="preserve">. </w:t>
      </w:r>
      <w:r w:rsidRPr="00CE4C25">
        <w:t>Available at: </w:t>
      </w:r>
      <w:hyperlink r:id="rId136" w:tgtFrame="_blank" w:history="1">
        <w:r w:rsidRPr="00CE4C25">
          <w:rPr>
            <w:rStyle w:val="Hyperlink"/>
          </w:rPr>
          <w:t>https://doi.org/10.3390/nu15051128</w:t>
        </w:r>
      </w:hyperlink>
      <w:r w:rsidRPr="00CE4C25">
        <w:t> (Accessed: 11 March 202</w:t>
      </w:r>
      <w:r>
        <w:t>6</w:t>
      </w:r>
      <w:r w:rsidRPr="00CE4C25">
        <w:t>).</w:t>
      </w:r>
    </w:p>
    <w:p w14:paraId="5F0E6CB5" w14:textId="729A95B4" w:rsidR="00D62A77" w:rsidRPr="00CE4C25" w:rsidRDefault="00D62A77" w:rsidP="00CE4C25">
      <w:r w:rsidRPr="00CE4C25">
        <w:lastRenderedPageBreak/>
        <w:t xml:space="preserve">Shield, K., Keyes, K., Martinez, P., Milam, A.J., Rehm, J., George, </w:t>
      </w:r>
      <w:r w:rsidR="00521124" w:rsidRPr="00CE4C25">
        <w:t>S.,</w:t>
      </w:r>
      <w:r w:rsidRPr="00CE4C25">
        <w:t xml:space="preserve"> and Naimi, T.S. (2025) ‘Health impact of alcohol use in the USA: a protocol of a systematic review and modelling study’, </w:t>
      </w:r>
      <w:r w:rsidRPr="00CE4C25">
        <w:rPr>
          <w:i/>
          <w:iCs/>
        </w:rPr>
        <w:t>BMJ Open</w:t>
      </w:r>
      <w:r w:rsidRPr="00CE4C25">
        <w:t>, 15(11), e093389:10.1136/bmjopen-2024-093389. Available at: </w:t>
      </w:r>
      <w:hyperlink r:id="rId137" w:tgtFrame="_blank" w:history="1">
        <w:r w:rsidRPr="00CE4C25">
          <w:rPr>
            <w:rStyle w:val="Hyperlink"/>
          </w:rPr>
          <w:t>https://bmjopen.bmj.com/content/bmjopen/15/11/e093389.full.pdf</w:t>
        </w:r>
      </w:hyperlink>
      <w:r w:rsidRPr="00CE4C25">
        <w:t> (Accessed: 23 November 2025). </w:t>
      </w:r>
    </w:p>
    <w:p w14:paraId="476D3990" w14:textId="77777777" w:rsidR="00D62A77" w:rsidRPr="00CE4C25" w:rsidRDefault="00D62A77" w:rsidP="00CE4C25">
      <w:r w:rsidRPr="00CE4C25">
        <w:t xml:space="preserve">Shuai, R., Anker, J.J., Bravo, A.J., Kushner, M.G. and Hogarth, L. (2022) ‘Risk Pathways Contributing to the Alcohol Harm Paradox: Socioeconomic Deprivation Confers Susceptibility to Alcohol Dependence via Greater Exposure to Aversive Experience, Internalizing Symptoms and Drinking to Cope’, </w:t>
      </w:r>
      <w:r w:rsidRPr="00CE4C25">
        <w:rPr>
          <w:i/>
          <w:iCs/>
        </w:rPr>
        <w:t>Frontiers in Behavioral Neuroscience</w:t>
      </w:r>
      <w:r w:rsidRPr="00CE4C25">
        <w:t xml:space="preserve">, 16. Available at </w:t>
      </w:r>
      <w:hyperlink r:id="rId138" w:history="1">
        <w:r w:rsidRPr="00CE4C25">
          <w:rPr>
            <w:rStyle w:val="Hyperlink"/>
          </w:rPr>
          <w:t>https://doi.org/10.3389/fnbeh.2022.821693</w:t>
        </w:r>
      </w:hyperlink>
      <w:r w:rsidRPr="00CE4C25">
        <w:t xml:space="preserve"> (Accessed: 07 March 202</w:t>
      </w:r>
      <w:r>
        <w:t>6</w:t>
      </w:r>
      <w:r w:rsidRPr="00CE4C25">
        <w:t>).</w:t>
      </w:r>
    </w:p>
    <w:p w14:paraId="44463309" w14:textId="77777777" w:rsidR="00D62A77" w:rsidRPr="00CE4C25" w:rsidRDefault="00D62A77" w:rsidP="00CE4C25">
      <w:r w:rsidRPr="00CE4C25">
        <w:t>Singh, N. M. et al. (2024) ‘</w:t>
      </w:r>
      <w:r w:rsidRPr="00CE4C25">
        <w:rPr>
          <w:i/>
          <w:iCs/>
        </w:rPr>
        <w:t>Impact of hospital-administered extended-release naltrexone on readmission rates for patients with alcohol use disorder</w:t>
      </w:r>
      <w:r w:rsidRPr="00CE4C25">
        <w:t xml:space="preserve">’, </w:t>
      </w:r>
      <w:r w:rsidRPr="00CE4C25">
        <w:rPr>
          <w:i/>
          <w:iCs/>
        </w:rPr>
        <w:t>Internal Medicine Journal</w:t>
      </w:r>
      <w:r w:rsidRPr="00CE4C25">
        <w:t>, 54(10), 1644</w:t>
      </w:r>
      <w:r>
        <w:t>-</w:t>
      </w:r>
      <w:r w:rsidRPr="00CE4C25">
        <w:t>1651.</w:t>
      </w:r>
      <w:r w:rsidRPr="00CE4C25">
        <w:br/>
        <w:t xml:space="preserve">Available at: </w:t>
      </w:r>
      <w:hyperlink r:id="rId139" w:tgtFrame="_new" w:history="1">
        <w:r w:rsidRPr="00CE4C25">
          <w:rPr>
            <w:rStyle w:val="Hyperlink"/>
          </w:rPr>
          <w:t>https://pubmed.ncbi.nlm.nih.gov/38984396/</w:t>
        </w:r>
      </w:hyperlink>
      <w:r w:rsidRPr="00CE4C25">
        <w:t xml:space="preserve"> (Accessed: 03 March 202</w:t>
      </w:r>
      <w:r>
        <w:t>6</w:t>
      </w:r>
      <w:r w:rsidRPr="00CE4C25">
        <w:t>).</w:t>
      </w:r>
    </w:p>
    <w:p w14:paraId="5420C56C" w14:textId="77777777" w:rsidR="00D62A77" w:rsidRPr="00CE4C25" w:rsidRDefault="00D62A77" w:rsidP="00CE4C25">
      <w:r w:rsidRPr="00CE4C25">
        <w:t>Sjoberg, S., MacArthur, G.J. and Angus, K. (2023) ‘Mass media and community</w:t>
      </w:r>
      <w:r w:rsidRPr="00CE4C25">
        <w:rPr>
          <w:rFonts w:ascii="Cambria Math" w:hAnsi="Cambria Math" w:cs="Cambria Math"/>
        </w:rPr>
        <w:t>‑</w:t>
      </w:r>
      <w:r w:rsidRPr="00CE4C25">
        <w:t>based interventions to reduce alcohol</w:t>
      </w:r>
      <w:r w:rsidRPr="00CE4C25">
        <w:rPr>
          <w:rFonts w:ascii="Cambria Math" w:hAnsi="Cambria Math" w:cs="Cambria Math"/>
        </w:rPr>
        <w:t>‑</w:t>
      </w:r>
      <w:r w:rsidRPr="00CE4C25">
        <w:t xml:space="preserve">related harm: evidence and theory for practice’, </w:t>
      </w:r>
      <w:r w:rsidRPr="00CE4C25">
        <w:rPr>
          <w:i/>
          <w:iCs/>
        </w:rPr>
        <w:t>BMJ Open</w:t>
      </w:r>
      <w:r w:rsidRPr="00CE4C25">
        <w:t xml:space="preserve">. Available at: </w:t>
      </w:r>
      <w:hyperlink r:id="rId140" w:history="1">
        <w:r w:rsidRPr="00CE4C25">
          <w:rPr>
            <w:rStyle w:val="Hyperlink"/>
          </w:rPr>
          <w:t>https://bmjopen.bmj.com/content/7/4/e014193</w:t>
        </w:r>
      </w:hyperlink>
      <w:r w:rsidRPr="00CE4C25">
        <w:t xml:space="preserve"> (Accessed: 12 March 202</w:t>
      </w:r>
      <w:r>
        <w:t>6</w:t>
      </w:r>
      <w:r w:rsidRPr="00CE4C25">
        <w:t>).</w:t>
      </w:r>
    </w:p>
    <w:p w14:paraId="0842A252" w14:textId="34E8FF33" w:rsidR="00D62A77" w:rsidRPr="00CE4C25" w:rsidRDefault="00D62A77" w:rsidP="00CE4C25">
      <w:r w:rsidRPr="00CE4C25">
        <w:t xml:space="preserve">Smith, S., Danai Aivalioti, MacNamara, </w:t>
      </w:r>
      <w:r w:rsidR="00521124" w:rsidRPr="00CE4C25">
        <w:t>A.,</w:t>
      </w:r>
      <w:r w:rsidRPr="00CE4C25">
        <w:t xml:space="preserve"> and Gordon, C. (2025) ‘A multidisciplinary approach to the rehabilitation of alcohol-related brain damage (ARBD): A synthetic review’, </w:t>
      </w:r>
      <w:r w:rsidRPr="00CE4C25">
        <w:rPr>
          <w:i/>
          <w:iCs/>
        </w:rPr>
        <w:t>Journal of Rehabilitation Research and Practice</w:t>
      </w:r>
      <w:r w:rsidRPr="00CE4C25">
        <w:t>, Volume 6(Issue 1), pp.51</w:t>
      </w:r>
      <w:r>
        <w:t>-</w:t>
      </w:r>
      <w:r w:rsidRPr="00CE4C25">
        <w:t xml:space="preserve">55. Available at: </w:t>
      </w:r>
      <w:hyperlink r:id="rId141" w:history="1">
        <w:r w:rsidRPr="00CE4C25">
          <w:rPr>
            <w:rStyle w:val="Hyperlink"/>
          </w:rPr>
          <w:t>https://www.probiologists.com/article/a-multidisciplinary-approach-to-the-rehabilitation-of-alcohol-related-brain-damage-arbd-a-synthetic-review</w:t>
        </w:r>
      </w:hyperlink>
      <w:r w:rsidRPr="00CE4C25">
        <w:t xml:space="preserve"> (Accessed: 17 March 202</w:t>
      </w:r>
      <w:r>
        <w:t>6</w:t>
      </w:r>
      <w:r w:rsidRPr="00CE4C25">
        <w:t>).</w:t>
      </w:r>
    </w:p>
    <w:p w14:paraId="7F59CE58" w14:textId="77777777" w:rsidR="00D62A77" w:rsidRPr="00CE4C25" w:rsidRDefault="00D62A77" w:rsidP="00CE4C25">
      <w:r w:rsidRPr="00CE4C25">
        <w:t xml:space="preserve">Stephan, Y., Sutin, A. R., Mõttus, R., Luchetti, M., Aschwanden, D. </w:t>
      </w:r>
      <w:r>
        <w:t>and</w:t>
      </w:r>
      <w:r w:rsidRPr="00CE4C25">
        <w:t xml:space="preserve"> Terracciano, A. (2024) ‘Personality nuances and risk of dementia: evidence from two longitudinal studies’, </w:t>
      </w:r>
      <w:r w:rsidRPr="00CE4C25">
        <w:rPr>
          <w:i/>
          <w:iCs/>
        </w:rPr>
        <w:t>Journal of Psychiatric Research</w:t>
      </w:r>
      <w:r w:rsidRPr="00CE4C25">
        <w:t>, 175, pp. 1</w:t>
      </w:r>
      <w:r>
        <w:t>-</w:t>
      </w:r>
      <w:r w:rsidRPr="00CE4C25">
        <w:t>8.</w:t>
      </w:r>
      <w:r w:rsidRPr="00CE4C25">
        <w:br/>
        <w:t xml:space="preserve">Available at: </w:t>
      </w:r>
      <w:hyperlink r:id="rId142" w:tgtFrame="_new" w:history="1">
        <w:r w:rsidRPr="00CE4C25">
          <w:rPr>
            <w:rStyle w:val="Hyperlink"/>
          </w:rPr>
          <w:t>https://pubmed.ncbi.nlm.nih.gov/38696946/</w:t>
        </w:r>
      </w:hyperlink>
      <w:r w:rsidRPr="00CE4C25">
        <w:t xml:space="preserve"> (Accessed: 18 March 202</w:t>
      </w:r>
      <w:r>
        <w:t>6</w:t>
      </w:r>
      <w:r w:rsidRPr="00CE4C25">
        <w:t>).</w:t>
      </w:r>
    </w:p>
    <w:p w14:paraId="334E0CC4" w14:textId="77777777" w:rsidR="00D62A77" w:rsidRPr="00CE4C25" w:rsidRDefault="00D62A77" w:rsidP="00CE4C25">
      <w:r w:rsidRPr="00CE4C25">
        <w:t xml:space="preserve">Sullivan, E. V. </w:t>
      </w:r>
      <w:r>
        <w:t>and</w:t>
      </w:r>
      <w:r w:rsidRPr="00CE4C25">
        <w:t xml:space="preserve"> Pfefferbaum, A. (2022) ‘</w:t>
      </w:r>
      <w:r w:rsidRPr="00CE4C25">
        <w:rPr>
          <w:i/>
          <w:iCs/>
        </w:rPr>
        <w:t>Alcohol use disorder: Neuroimaging evidence for accelerated ageing of brain morphology and hypothesized contribution to age-related dementia</w:t>
      </w:r>
      <w:r w:rsidRPr="00CE4C25">
        <w:t xml:space="preserve">’, </w:t>
      </w:r>
      <w:r w:rsidRPr="00CE4C25">
        <w:rPr>
          <w:i/>
          <w:iCs/>
        </w:rPr>
        <w:t>Alcohol</w:t>
      </w:r>
      <w:r w:rsidRPr="00CE4C25">
        <w:t>, 107, 44</w:t>
      </w:r>
      <w:r>
        <w:t>-</w:t>
      </w:r>
      <w:r w:rsidRPr="00CE4C25">
        <w:t>55.</w:t>
      </w:r>
      <w:r w:rsidRPr="00CE4C25">
        <w:br/>
        <w:t xml:space="preserve">Available at: </w:t>
      </w:r>
      <w:hyperlink r:id="rId143" w:history="1">
        <w:r w:rsidRPr="00CE4C25">
          <w:rPr>
            <w:rStyle w:val="Hyperlink"/>
          </w:rPr>
          <w:t>https://pubmed.ncbi.nlm.nih.gov/35781021</w:t>
        </w:r>
      </w:hyperlink>
      <w:r w:rsidRPr="00CE4C25">
        <w:t xml:space="preserve"> (Accessed: 18 February 202</w:t>
      </w:r>
      <w:r>
        <w:t>6</w:t>
      </w:r>
      <w:r w:rsidRPr="00CE4C25">
        <w:t>).</w:t>
      </w:r>
    </w:p>
    <w:p w14:paraId="544C8C59" w14:textId="77777777" w:rsidR="00D62A77" w:rsidRPr="00CE4C25" w:rsidRDefault="00D62A77" w:rsidP="00CE4C25">
      <w:r w:rsidRPr="00CE4C25">
        <w:t xml:space="preserve">Summanwar, D. and Gupta, R. (2024) ‘Agile implementation of alcohol screening in primary care improves routine practice uptake’, BMC Primary Care, 25, Article 25007. Available at: </w:t>
      </w:r>
      <w:hyperlink r:id="rId144" w:history="1">
        <w:r w:rsidRPr="00CE4C25">
          <w:rPr>
            <w:rStyle w:val="Hyperlink"/>
          </w:rPr>
          <w:t>https://bmcprimcare.biomedcentral.com/articles/10.1186/s12875-024-02500-7</w:t>
        </w:r>
      </w:hyperlink>
      <w:r w:rsidRPr="00CE4C25">
        <w:t xml:space="preserve"> (Accessed: 18 March 2025).</w:t>
      </w:r>
    </w:p>
    <w:p w14:paraId="17B127AC" w14:textId="77777777" w:rsidR="00D62A77" w:rsidRPr="00CE4C25" w:rsidRDefault="00D62A77" w:rsidP="00CE4C25">
      <w:r w:rsidRPr="00CE4C25">
        <w:lastRenderedPageBreak/>
        <w:t xml:space="preserve">Tan, W.Y., Hargreaves, C.A., Kandiah, N. </w:t>
      </w:r>
      <w:r>
        <w:t>and</w:t>
      </w:r>
      <w:r w:rsidRPr="00CE4C25">
        <w:t xml:space="preserve"> Hilal, S., (2024) ‘</w:t>
      </w:r>
      <w:r w:rsidRPr="00CE4C25">
        <w:rPr>
          <w:i/>
          <w:iCs/>
        </w:rPr>
        <w:t>Association of Multi-Domain Factors with Cognition in the UK Biobank Study’</w:t>
      </w:r>
      <w:r w:rsidRPr="00CE4C25">
        <w:t>. </w:t>
      </w:r>
      <w:r w:rsidRPr="00CE4C25">
        <w:rPr>
          <w:i/>
          <w:iCs/>
        </w:rPr>
        <w:t>The Journal of Prevention of Alzheimer’s Disease</w:t>
      </w:r>
      <w:r w:rsidRPr="00CE4C25">
        <w:t>, 11, pp. 13</w:t>
      </w:r>
      <w:r>
        <w:t>-</w:t>
      </w:r>
      <w:r w:rsidRPr="00CE4C25">
        <w:t>21. Available at: </w:t>
      </w:r>
      <w:hyperlink r:id="rId145" w:tgtFrame="_blank" w:history="1">
        <w:r w:rsidRPr="00CE4C25">
          <w:rPr>
            <w:rStyle w:val="Hyperlink"/>
          </w:rPr>
          <w:t>https://doi.org/10.14283/jpad.2024.3</w:t>
        </w:r>
      </w:hyperlink>
      <w:r w:rsidRPr="00CE4C25">
        <w:t> (Accessed: 28 November 2025). </w:t>
      </w:r>
    </w:p>
    <w:p w14:paraId="024BB633" w14:textId="7D90C644" w:rsidR="00D62A77" w:rsidRPr="00CE4C25" w:rsidRDefault="00D62A77" w:rsidP="00CE4C25">
      <w:r w:rsidRPr="00CE4C25">
        <w:t xml:space="preserve">Thomas, </w:t>
      </w:r>
      <w:r w:rsidR="00521124" w:rsidRPr="00CE4C25">
        <w:t>J.,</w:t>
      </w:r>
      <w:r w:rsidRPr="00CE4C25">
        <w:t xml:space="preserve"> and Harden, A. (2008) ‘Methods for the thematic synthesis of qualitative research in systematic reviews’, </w:t>
      </w:r>
      <w:r w:rsidRPr="00CE4C25">
        <w:rPr>
          <w:i/>
          <w:iCs/>
        </w:rPr>
        <w:t>BMC Medical Research Methodology</w:t>
      </w:r>
      <w:r w:rsidRPr="00CE4C25">
        <w:t xml:space="preserve">, 8, Article 45. Available at: </w:t>
      </w:r>
      <w:hyperlink r:id="rId146" w:tgtFrame="_new" w:history="1">
        <w:r w:rsidRPr="00CE4C25">
          <w:rPr>
            <w:rStyle w:val="Hyperlink"/>
          </w:rPr>
          <w:t>https://doi.org/10.1186/1471-2288-8-45</w:t>
        </w:r>
      </w:hyperlink>
      <w:r w:rsidRPr="00CE4C25">
        <w:t xml:space="preserve"> (Accessed: 10 November 2025).</w:t>
      </w:r>
    </w:p>
    <w:p w14:paraId="2D99654C" w14:textId="77777777" w:rsidR="00D62A77" w:rsidRPr="00CE4C25" w:rsidRDefault="00D62A77" w:rsidP="00CE4C25">
      <w:r w:rsidRPr="00CE4C25">
        <w:t>Thompson, A. and Pirmohamed, M. (2021) ‘Associations between occupation and heavy alcohol consumption in UK adults aged 40</w:t>
      </w:r>
      <w:r>
        <w:t>-</w:t>
      </w:r>
      <w:r w:rsidRPr="00CE4C25">
        <w:t>69</w:t>
      </w:r>
      <w:r w:rsidRPr="00CE4C25">
        <w:rPr>
          <w:rFonts w:ascii="Arial" w:hAnsi="Arial" w:cs="Arial"/>
        </w:rPr>
        <w:t> </w:t>
      </w:r>
      <w:r w:rsidRPr="00CE4C25">
        <w:t>years: a cross-sectional study using the UK Biobank’</w:t>
      </w:r>
      <w:r w:rsidRPr="00CE4C25">
        <w:rPr>
          <w:i/>
          <w:iCs/>
        </w:rPr>
        <w:t>, BMC Public Health</w:t>
      </w:r>
      <w:r w:rsidRPr="00CE4C25">
        <w:t xml:space="preserve">, 21(1). Available at </w:t>
      </w:r>
      <w:hyperlink r:id="rId147" w:history="1">
        <w:r w:rsidRPr="00CE4C25">
          <w:rPr>
            <w:rStyle w:val="Hyperlink"/>
          </w:rPr>
          <w:t>https://doi.org/10.1186/s12889-021-10208-x</w:t>
        </w:r>
      </w:hyperlink>
      <w:r w:rsidRPr="00CE4C25">
        <w:t xml:space="preserve"> (Accessed: 11 November 2025).</w:t>
      </w:r>
    </w:p>
    <w:p w14:paraId="70CFD2E0" w14:textId="5235A6B3" w:rsidR="00D62A77" w:rsidRPr="00CE4C25" w:rsidRDefault="00D62A77" w:rsidP="00CE4C25">
      <w:r w:rsidRPr="00CE4C25">
        <w:t xml:space="preserve">Thomson, L.J.M., Waterson, </w:t>
      </w:r>
      <w:r w:rsidR="00521124" w:rsidRPr="00CE4C25">
        <w:t>H.,</w:t>
      </w:r>
      <w:r w:rsidRPr="00CE4C25">
        <w:t xml:space="preserve"> and Chatterjee, H.J. (2024) ‘Successes and challenges of partnership working to tackle health inequalities using collaborative approaches to community</w:t>
      </w:r>
      <w:r w:rsidRPr="00CE4C25">
        <w:rPr>
          <w:rFonts w:ascii="Cambria Math" w:hAnsi="Cambria Math" w:cs="Cambria Math"/>
        </w:rPr>
        <w:t>‑</w:t>
      </w:r>
      <w:r w:rsidRPr="00CE4C25">
        <w:t xml:space="preserve">based research: mixed methods analysis of focus group evidence’, International Journal for Equity in Health, 23, Article 135. Available at: </w:t>
      </w:r>
      <w:hyperlink r:id="rId148" w:history="1">
        <w:r w:rsidRPr="00CE4C25">
          <w:rPr>
            <w:rStyle w:val="Hyperlink"/>
          </w:rPr>
          <w:t>https://equityhealthj.biomedcentral.com/articles/10.1186/s12939-024-02216-1</w:t>
        </w:r>
      </w:hyperlink>
      <w:r w:rsidRPr="00CE4C25">
        <w:t xml:space="preserve"> (Accessed: 14 March 202</w:t>
      </w:r>
      <w:r>
        <w:t>6</w:t>
      </w:r>
      <w:r w:rsidRPr="00CE4C25">
        <w:t>).</w:t>
      </w:r>
    </w:p>
    <w:p w14:paraId="6FD9CA0B" w14:textId="77777777" w:rsidR="00D62A77" w:rsidRPr="00CE4C25" w:rsidRDefault="00D62A77" w:rsidP="00CE4C25">
      <w:r w:rsidRPr="00CE4C25">
        <w:t xml:space="preserve">Timming, A.R., Carpini, J.A., Hirst, T.M., Amy Wei Tian and Lies Notebaert (2023) ‘ Experienced incivility undermines the positive effects of job autonomy on mental and physical health’, </w:t>
      </w:r>
      <w:r w:rsidRPr="00CE4C25">
        <w:rPr>
          <w:i/>
          <w:iCs/>
        </w:rPr>
        <w:t>International Journal of Human Resource Management</w:t>
      </w:r>
      <w:r w:rsidRPr="00CE4C25">
        <w:t>, 35(4), pp.1</w:t>
      </w:r>
      <w:r>
        <w:t>-</w:t>
      </w:r>
      <w:r w:rsidRPr="00CE4C25">
        <w:t>24. Available at </w:t>
      </w:r>
      <w:hyperlink r:id="rId149" w:tgtFrame="_blank" w:history="1">
        <w:r w:rsidRPr="00CE4C25">
          <w:rPr>
            <w:rStyle w:val="Hyperlink"/>
          </w:rPr>
          <w:t>https://doi.org/10.1080/09585192.2023.2250715</w:t>
        </w:r>
      </w:hyperlink>
      <w:r w:rsidRPr="00CE4C25">
        <w:t> (Accessed: 15 November 2025).</w:t>
      </w:r>
    </w:p>
    <w:p w14:paraId="1128ECC7" w14:textId="016C0BC6" w:rsidR="00D62A77" w:rsidRPr="00CE4C25" w:rsidRDefault="00D62A77" w:rsidP="00CE4C25">
      <w:r w:rsidRPr="00CE4C25">
        <w:t xml:space="preserve">Topiwala, A., Ebmeier, K.P., Valkanova, V., Walters, R.G., Allen, </w:t>
      </w:r>
      <w:r w:rsidR="00521124" w:rsidRPr="00CE4C25">
        <w:t>N.E.,</w:t>
      </w:r>
      <w:r w:rsidRPr="00CE4C25">
        <w:t xml:space="preserve"> and Holmes, M.V. (2025) ‘Alcohol use and risk of dementia in diverse populations: evidence from cohort, case</w:t>
      </w:r>
      <w:r>
        <w:t>-</w:t>
      </w:r>
      <w:r w:rsidRPr="00CE4C25">
        <w:t>control and Mendelian randomisation approaches’, </w:t>
      </w:r>
      <w:r w:rsidRPr="00CE4C25">
        <w:rPr>
          <w:i/>
          <w:iCs/>
        </w:rPr>
        <w:t>BMJ Evidence-Based Medicine</w:t>
      </w:r>
      <w:r w:rsidRPr="00CE4C25">
        <w:t>. DOI: 10.1136/bmjebm-2025-113913. Available at: </w:t>
      </w:r>
      <w:hyperlink r:id="rId150" w:tgtFrame="_blank" w:history="1">
        <w:r w:rsidRPr="00CE4C25">
          <w:rPr>
            <w:rStyle w:val="Hyperlink"/>
          </w:rPr>
          <w:t>https://ebm.bmj.com/content/early/2025/09/16/bmjebm-2025-113913</w:t>
        </w:r>
      </w:hyperlink>
      <w:r w:rsidRPr="00CE4C25">
        <w:t> (Accessed: 14 November 2025). </w:t>
      </w:r>
    </w:p>
    <w:p w14:paraId="6A104D9B" w14:textId="77777777" w:rsidR="00D62A77" w:rsidRPr="00CE4C25" w:rsidRDefault="00D62A77" w:rsidP="00CE4C25">
      <w:r w:rsidRPr="00CE4C25">
        <w:t>Topiwala, A., Levey, D.F., Zhou, H., Deak, J.D., Adhikari, K., Ebmeier, K.P., Bell, S., Burgess, S., Nichols, T.E., Gaziano, M., Stein, M. and Gelernter, J. (2025) ‘Alcohol use and risk of dementia in diverse populations: evidence from cohort, case</w:t>
      </w:r>
      <w:r>
        <w:t>-</w:t>
      </w:r>
      <w:r w:rsidRPr="00CE4C25">
        <w:t xml:space="preserve">control and Mendelian randomisation approaches’, </w:t>
      </w:r>
      <w:r w:rsidRPr="00CE4C25">
        <w:rPr>
          <w:i/>
          <w:iCs/>
        </w:rPr>
        <w:t>BMJ Evidence-Based Medicine</w:t>
      </w:r>
      <w:r w:rsidRPr="00CE4C25">
        <w:t xml:space="preserve">. Available at </w:t>
      </w:r>
      <w:hyperlink r:id="rId151" w:history="1">
        <w:r w:rsidRPr="00CE4C25">
          <w:rPr>
            <w:rStyle w:val="Hyperlink"/>
          </w:rPr>
          <w:t>https://doi.org/10.1136/bmjebm-2025-113913</w:t>
        </w:r>
      </w:hyperlink>
      <w:r w:rsidRPr="00CE4C25">
        <w:t xml:space="preserve"> (Accessed: 14 November 2025). </w:t>
      </w:r>
    </w:p>
    <w:p w14:paraId="0E7E1FCF" w14:textId="77777777" w:rsidR="00D62A77" w:rsidRPr="00CE4C25" w:rsidRDefault="00D62A77" w:rsidP="00CE4C25">
      <w:r w:rsidRPr="00CE4C25">
        <w:t>Topiwala, A., Levey, D.F., Zhou, H., Deak, J.D., Adhikari, K., Ebmeier, K.P., Bell, S., Burgess, S., Nichols, T.E., Gaziano, M., Stein, M. and Gelernter, J. (2025) ‘Alcohol use and risk of dementia in diverse populations: evidence from cohort, case</w:t>
      </w:r>
      <w:r>
        <w:t>-</w:t>
      </w:r>
      <w:r w:rsidRPr="00CE4C25">
        <w:t xml:space="preserve">control and Mendelian randomisation approaches’, </w:t>
      </w:r>
      <w:r w:rsidRPr="00CE4C25">
        <w:rPr>
          <w:i/>
          <w:iCs/>
        </w:rPr>
        <w:t>BMJ Evidence-Based Medicine</w:t>
      </w:r>
      <w:r w:rsidRPr="00CE4C25">
        <w:t>, 31(1), pp. 13</w:t>
      </w:r>
      <w:r>
        <w:t>-</w:t>
      </w:r>
      <w:r w:rsidRPr="00CE4C25">
        <w:t xml:space="preserve">22. </w:t>
      </w:r>
      <w:r w:rsidRPr="00CE4C25">
        <w:lastRenderedPageBreak/>
        <w:t>DOI: 10.1136/bmjebm-2025-113913. Available at: </w:t>
      </w:r>
      <w:hyperlink r:id="rId152" w:tgtFrame="_blank" w:history="1">
        <w:r w:rsidRPr="00CE4C25">
          <w:rPr>
            <w:rStyle w:val="Hyperlink"/>
          </w:rPr>
          <w:t>https://ebm.bmj.com/content/early/2025/09/16/bmjebm-2025-113913</w:t>
        </w:r>
      </w:hyperlink>
      <w:r w:rsidRPr="00CE4C25">
        <w:t> (Accessed: 14 November 2025). </w:t>
      </w:r>
    </w:p>
    <w:p w14:paraId="1796FC47" w14:textId="77777777" w:rsidR="00D62A77" w:rsidRPr="00CE4C25" w:rsidRDefault="00D62A77" w:rsidP="00CE4C25">
      <w:r w:rsidRPr="00CE4C25">
        <w:t xml:space="preserve">Trani, J.-F., Zhu, Y., Walker, A.I.B., Hudson, D.L. </w:t>
      </w:r>
      <w:r>
        <w:t>and</w:t>
      </w:r>
      <w:r w:rsidRPr="00CE4C25">
        <w:t xml:space="preserve"> Babulal, G.M., (2025) ‘</w:t>
      </w:r>
      <w:r w:rsidRPr="00CE4C25">
        <w:rPr>
          <w:i/>
          <w:iCs/>
        </w:rPr>
        <w:t>Association Between Structural and Social Determinants of Health and Cognitive Functioning Among African Americans: The ARCHES Cohort’</w:t>
      </w:r>
      <w:r w:rsidRPr="00CE4C25">
        <w:t>. </w:t>
      </w:r>
      <w:r w:rsidRPr="00CE4C25">
        <w:rPr>
          <w:i/>
          <w:iCs/>
        </w:rPr>
        <w:t>Journal of Racial and Ethnic Health Disparities</w:t>
      </w:r>
      <w:r w:rsidRPr="00CE4C25">
        <w:t>. Available at: </w:t>
      </w:r>
      <w:hyperlink r:id="rId153" w:tgtFrame="_blank" w:history="1">
        <w:r w:rsidRPr="00CE4C25">
          <w:rPr>
            <w:rStyle w:val="Hyperlink"/>
          </w:rPr>
          <w:t>https://link.springer.com/article/10.1007/s40615-025-02730-0</w:t>
        </w:r>
      </w:hyperlink>
      <w:r w:rsidRPr="00CE4C25">
        <w:t> (Accessed: 16 November 2025). </w:t>
      </w:r>
    </w:p>
    <w:p w14:paraId="1658EC7D" w14:textId="77777777" w:rsidR="00D62A77" w:rsidRPr="00CE4C25" w:rsidRDefault="00D62A77" w:rsidP="00CE4C25">
      <w:r w:rsidRPr="00CE4C25">
        <w:t xml:space="preserve">Tricco, A.C., Zarin, W., Lillie, E., Jeblee, S., Warren, R., Khan, P.A. </w:t>
      </w:r>
      <w:r>
        <w:t>and</w:t>
      </w:r>
      <w:r w:rsidRPr="00CE4C25">
        <w:t xml:space="preserve"> Straus, S.E., (2021) ‘</w:t>
      </w:r>
      <w:r w:rsidRPr="00CE4C25">
        <w:rPr>
          <w:i/>
          <w:iCs/>
        </w:rPr>
        <w:t>Criteria for selecting high</w:t>
      </w:r>
      <w:r w:rsidRPr="00CE4C25">
        <w:rPr>
          <w:i/>
          <w:iCs/>
        </w:rPr>
        <w:noBreakHyphen/>
        <w:t>quality evidence in systematic reviews: guidance on peer</w:t>
      </w:r>
      <w:r w:rsidRPr="00CE4C25">
        <w:rPr>
          <w:i/>
          <w:iCs/>
        </w:rPr>
        <w:noBreakHyphen/>
        <w:t>review status, publication date, population relevance, and geographical applicability’,</w:t>
      </w:r>
      <w:r w:rsidRPr="00CE4C25">
        <w:t xml:space="preserve"> </w:t>
      </w:r>
      <w:r w:rsidRPr="00CE4C25">
        <w:rPr>
          <w:i/>
          <w:iCs/>
        </w:rPr>
        <w:t>Journal of Clinical Epidemiology,</w:t>
      </w:r>
      <w:r w:rsidRPr="00CE4C25">
        <w:t xml:space="preserve"> 134, pp. 1</w:t>
      </w:r>
      <w:r>
        <w:t>-</w:t>
      </w:r>
      <w:r w:rsidRPr="00CE4C25">
        <w:t xml:space="preserve">10. Available at: </w:t>
      </w:r>
      <w:hyperlink r:id="rId154" w:history="1">
        <w:r w:rsidRPr="00CE4C25">
          <w:rPr>
            <w:rStyle w:val="Hyperlink"/>
          </w:rPr>
          <w:t>https://doi.org/10.1016/j.jclinepi.2021.01.003</w:t>
        </w:r>
      </w:hyperlink>
      <w:r w:rsidRPr="00CE4C25">
        <w:t xml:space="preserve"> (Accessed: 11 November 2025).</w:t>
      </w:r>
    </w:p>
    <w:p w14:paraId="6C752FD4" w14:textId="77777777" w:rsidR="00D62A77" w:rsidRPr="00CE4C25" w:rsidRDefault="00D62A77" w:rsidP="00CE4C25">
      <w:r w:rsidRPr="00CE4C25">
        <w:t xml:space="preserve">UK Government (2020) ‘Evidence summary of impacts to date of public health communications to minority ethnic groups and related challenges’, </w:t>
      </w:r>
      <w:r w:rsidRPr="00CE4C25">
        <w:rPr>
          <w:i/>
          <w:iCs/>
        </w:rPr>
        <w:t>GOV.UK</w:t>
      </w:r>
      <w:r w:rsidRPr="00CE4C25">
        <w:t xml:space="preserve">. Available at: </w:t>
      </w:r>
      <w:hyperlink r:id="rId155" w:history="1">
        <w:r w:rsidRPr="00CE4C25">
          <w:rPr>
            <w:rStyle w:val="Hyperlink"/>
          </w:rPr>
          <w:t>https://www.gov.uk/government/publications/evidence-summary-of-impacts-to-date-of-public-health-communications-to-minority-ethnic-groups-and-related-challenges-23-september-2020</w:t>
        </w:r>
      </w:hyperlink>
      <w:r w:rsidRPr="00CE4C25">
        <w:t xml:space="preserve"> (Accessed: 15 November 2025).</w:t>
      </w:r>
    </w:p>
    <w:p w14:paraId="66B8CF99" w14:textId="7C444DF5" w:rsidR="00D62A77" w:rsidRPr="00CE4C25" w:rsidRDefault="00D62A77" w:rsidP="00CE4C25">
      <w:r w:rsidRPr="00CE4C25">
        <w:t xml:space="preserve">University, G., Sr, R., Mary, </w:t>
      </w:r>
      <w:r w:rsidR="00521124" w:rsidRPr="00CE4C25">
        <w:t>G.,</w:t>
      </w:r>
      <w:r w:rsidRPr="00CE4C25">
        <w:t xml:space="preserve"> and Njoku (n.d.). ‘Behavioral Health: Application of Biopsychosocial Model of Prevention and Treatment 1 The First Inaugural Lecture: Behavioral Health: Application of Biopsychosocial Model of Prevention and Treatment.’, Available at: </w:t>
      </w:r>
      <w:hyperlink r:id="rId156" w:history="1">
        <w:r w:rsidRPr="00CE4C25">
          <w:rPr>
            <w:rStyle w:val="Hyperlink"/>
          </w:rPr>
          <w:t>https://eprints.gouni.edu.ng/3479/1/1ST%20INAUGURAL%20LECTURE.pdf</w:t>
        </w:r>
      </w:hyperlink>
      <w:r w:rsidRPr="00CE4C25">
        <w:t xml:space="preserve"> (Accessed: 07 November 2025).</w:t>
      </w:r>
    </w:p>
    <w:p w14:paraId="5B011CE3" w14:textId="137E8150" w:rsidR="00D62A77" w:rsidRDefault="00D62A77" w:rsidP="00CE4C25">
      <w:r w:rsidRPr="00CE4C25">
        <w:t>Ursache, A., Barajas-Gonzalez, R.G. and Dawson-McClure, S. (2022) ‘Neighborhood influences on the development of self-regulation among children of color living in historically disinvested </w:t>
      </w:r>
      <w:r w:rsidR="00F74AB8" w:rsidRPr="00CE4C25">
        <w:t>neighbourhoods</w:t>
      </w:r>
      <w:r w:rsidRPr="00CE4C25">
        <w:t xml:space="preserve">: Moderators and mediating mechanisms’, </w:t>
      </w:r>
      <w:r w:rsidRPr="00CE4C25">
        <w:rPr>
          <w:i/>
          <w:iCs/>
        </w:rPr>
        <w:t>Frontiers in Psychology</w:t>
      </w:r>
      <w:r w:rsidRPr="00CE4C25">
        <w:t>, 13. Available at </w:t>
      </w:r>
      <w:hyperlink r:id="rId157" w:tgtFrame="_blank" w:history="1">
        <w:r w:rsidRPr="00CE4C25">
          <w:rPr>
            <w:rStyle w:val="Hyperlink"/>
          </w:rPr>
          <w:t>https://doi.org/10.3389/fpsyg.2022.953304</w:t>
        </w:r>
      </w:hyperlink>
      <w:r w:rsidRPr="00CE4C25">
        <w:t> (Accessed: 12 November 2025).</w:t>
      </w:r>
    </w:p>
    <w:p w14:paraId="54BE176A" w14:textId="1BB0C875" w:rsidR="00D62A77" w:rsidRPr="00CE4C25" w:rsidRDefault="00D62A77" w:rsidP="00CE4C25">
      <w:r w:rsidRPr="00CE4C25">
        <w:t>Valentin Yurievich Skryabin, Martinotti, G., Franck, </w:t>
      </w:r>
      <w:r w:rsidR="00521124" w:rsidRPr="00CE4C25">
        <w:t>J.,</w:t>
      </w:r>
      <w:r w:rsidRPr="00CE4C25">
        <w:t xml:space="preserve"> and Mikhail Sergeevich Zastrozhin (2023) ‘Acute Alcoholic Hallucinosis’, </w:t>
      </w:r>
      <w:r w:rsidRPr="00CE4C25">
        <w:rPr>
          <w:i/>
          <w:iCs/>
        </w:rPr>
        <w:t>A Review. Psychopathology</w:t>
      </w:r>
      <w:r w:rsidRPr="00CE4C25">
        <w:t>, pp.1</w:t>
      </w:r>
      <w:r>
        <w:t>-</w:t>
      </w:r>
      <w:r w:rsidRPr="00CE4C25">
        <w:t>8. Available at </w:t>
      </w:r>
      <w:hyperlink r:id="rId158" w:tgtFrame="_blank" w:history="1">
        <w:r w:rsidRPr="00CE4C25">
          <w:rPr>
            <w:rStyle w:val="Hyperlink"/>
          </w:rPr>
          <w:t>https://doi.org/10.1159/000528573</w:t>
        </w:r>
      </w:hyperlink>
      <w:r w:rsidRPr="00CE4C25">
        <w:t xml:space="preserve"> (Accessed: 13 November 2025).</w:t>
      </w:r>
    </w:p>
    <w:p w14:paraId="1B952D61" w14:textId="5294DEF9" w:rsidR="00D62A77" w:rsidRPr="00CE4C25" w:rsidRDefault="00D62A77" w:rsidP="00CE4C25">
      <w:r w:rsidRPr="000A6FB2">
        <w:t xml:space="preserve">van der Velde, L., Shabaan, A.N., Månsson, A., Wennberg, P., Allebeck, P., Karlsson, T.G., Flodin, P., Eikemo, T.A., Skrindo Knudsen, A.K., de Soysa, I., Skogen, J.C., Gissler, M., McGrath, J.J., Sigfúsdóttir, I.D., Sigurvinsdottir, R., Pasovic, M., Danielsson, A.-K. and Agardh, E.E. (2024) ‘Alcohol-attributed disease burden and formal alcohol policies in the Nordic countries (1990–2019): an analysis using the Global Burden of Disease Study </w:t>
      </w:r>
      <w:r w:rsidRPr="000A6FB2">
        <w:lastRenderedPageBreak/>
        <w:t xml:space="preserve">2019’, </w:t>
      </w:r>
      <w:r w:rsidRPr="000A6FB2">
        <w:rPr>
          <w:i/>
          <w:iCs/>
        </w:rPr>
        <w:t>European Journal of Public Health</w:t>
      </w:r>
      <w:r w:rsidRPr="000A6FB2">
        <w:t xml:space="preserve">. Available at: </w:t>
      </w:r>
      <w:r w:rsidR="005B56D8">
        <w:t xml:space="preserve"> </w:t>
      </w:r>
      <w:hyperlink r:id="rId159" w:history="1">
        <w:r w:rsidR="005B56D8" w:rsidRPr="00C103E3">
          <w:rPr>
            <w:rStyle w:val="Hyperlink"/>
          </w:rPr>
          <w:t>https://pmc.ncbi.nlm.nih.gov/articles/PMC11832136/</w:t>
        </w:r>
      </w:hyperlink>
      <w:r>
        <w:t xml:space="preserve"> </w:t>
      </w:r>
      <w:r w:rsidRPr="000A6FB2">
        <w:t xml:space="preserve">(Accessed: 12 </w:t>
      </w:r>
      <w:r>
        <w:t xml:space="preserve">March </w:t>
      </w:r>
      <w:r w:rsidRPr="000A6FB2">
        <w:t>202</w:t>
      </w:r>
      <w:r>
        <w:t>6</w:t>
      </w:r>
      <w:r w:rsidRPr="000A6FB2">
        <w:t>).</w:t>
      </w:r>
    </w:p>
    <w:p w14:paraId="44FA9CFB" w14:textId="77777777" w:rsidR="00D62A77" w:rsidRPr="00CE4C25" w:rsidRDefault="00D62A77" w:rsidP="00CE4C25">
      <w:r w:rsidRPr="00CE4C25">
        <w:t xml:space="preserve">Walsh, S., Wallace, L., Kuhn, I., Mytton, O., Lafortune, L., Wills, W., Naaheed Mukadam and Brayne, C. (2024) ‘Population-level interventions for the primary prevention of dementia: a complex evidence review’, </w:t>
      </w:r>
      <w:r w:rsidRPr="00CE4C25">
        <w:rPr>
          <w:i/>
          <w:iCs/>
        </w:rPr>
        <w:t>EClinicalMedicine</w:t>
      </w:r>
      <w:r w:rsidRPr="00CE4C25">
        <w:t>, 70, pp.102538</w:t>
      </w:r>
      <w:r>
        <w:t>-</w:t>
      </w:r>
      <w:r w:rsidRPr="00CE4C25">
        <w:t xml:space="preserve">102538. Available at: </w:t>
      </w:r>
      <w:hyperlink r:id="rId160" w:history="1">
        <w:r w:rsidRPr="00CE4C25">
          <w:rPr>
            <w:rStyle w:val="Hyperlink"/>
          </w:rPr>
          <w:t>https://doi.org/10.1016/j.eclinm.2024.102538</w:t>
        </w:r>
      </w:hyperlink>
      <w:r w:rsidRPr="00CE4C25">
        <w:t xml:space="preserve"> (Accessed: 04 November 2025).</w:t>
      </w:r>
    </w:p>
    <w:p w14:paraId="5D65329B" w14:textId="77777777" w:rsidR="00D62A77" w:rsidRPr="00CE4C25" w:rsidRDefault="00D62A77" w:rsidP="00CE4C25">
      <w:r w:rsidRPr="00CE4C25">
        <w:t xml:space="preserve">Wang, Q., Pan, X., Li, C., Zheng, F., Zhang, Z., Dong, X. </w:t>
      </w:r>
      <w:r>
        <w:t>and</w:t>
      </w:r>
      <w:r w:rsidRPr="00CE4C25">
        <w:t xml:space="preserve"> Niu, W., (2025) ‘</w:t>
      </w:r>
      <w:r w:rsidRPr="00CE4C25">
        <w:rPr>
          <w:i/>
          <w:iCs/>
        </w:rPr>
        <w:t>Social determinants of health and life expectancy in US adults’</w:t>
      </w:r>
      <w:r w:rsidRPr="00CE4C25">
        <w:t>. </w:t>
      </w:r>
      <w:r w:rsidRPr="00CE4C25">
        <w:rPr>
          <w:i/>
          <w:iCs/>
        </w:rPr>
        <w:t>Journal of Translational Medicine</w:t>
      </w:r>
      <w:r w:rsidRPr="00CE4C25">
        <w:t>. Available at: </w:t>
      </w:r>
      <w:hyperlink r:id="rId161" w:tgtFrame="_blank" w:history="1">
        <w:r w:rsidRPr="00CE4C25">
          <w:rPr>
            <w:rStyle w:val="Hyperlink"/>
          </w:rPr>
          <w:t>https://link.springer.com/article/10.1186/s12967-025-07488-x</w:t>
        </w:r>
      </w:hyperlink>
      <w:r w:rsidRPr="00CE4C25">
        <w:t> (Accessed: 19 November 2025). </w:t>
      </w:r>
    </w:p>
    <w:p w14:paraId="0E5353F5" w14:textId="4BF99D1B" w:rsidR="00D62A77" w:rsidRPr="00CE4C25" w:rsidRDefault="00D62A77" w:rsidP="00CE4C25">
      <w:r w:rsidRPr="00CE4C25">
        <w:t xml:space="preserve">Wells, C., Dewar-Haggart, R., Glyn-Owen, K., Stevens, H., Parkes, J., Kim, </w:t>
      </w:r>
      <w:r w:rsidR="00521124" w:rsidRPr="00CE4C25">
        <w:t>Y.,</w:t>
      </w:r>
      <w:r w:rsidRPr="00CE4C25">
        <w:t xml:space="preserve"> and Buchanan, R.M. (2025) ‘Normalization of alcohol misuse and alcohol-related harms: a mixed methods analysis exploring alcohol misuse, morbidity, and healthcare engagement in people experiencing homelessness’</w:t>
      </w:r>
      <w:r w:rsidRPr="00CE4C25">
        <w:rPr>
          <w:i/>
          <w:iCs/>
        </w:rPr>
        <w:t>, Alcohol and Alcoholism</w:t>
      </w:r>
      <w:r w:rsidRPr="00CE4C25">
        <w:t xml:space="preserve">, 61(1). Available at: </w:t>
      </w:r>
      <w:hyperlink r:id="rId162" w:history="1">
        <w:r w:rsidRPr="00CE4C25">
          <w:rPr>
            <w:rStyle w:val="Hyperlink"/>
          </w:rPr>
          <w:t>https://doi.org/10.1093/alcalc/agaf071</w:t>
        </w:r>
      </w:hyperlink>
      <w:r w:rsidRPr="00CE4C25">
        <w:t xml:space="preserve"> (Accessed: 11 November 2025).</w:t>
      </w:r>
    </w:p>
    <w:p w14:paraId="2DC883D8" w14:textId="77777777" w:rsidR="00D62A77" w:rsidRPr="00CE4C25" w:rsidRDefault="00D62A77" w:rsidP="00CE4C25">
      <w:r w:rsidRPr="00CE4C25">
        <w:t xml:space="preserve">Wijnia, J.W. (2022) ‘A Clinician’s View of Wernicke-Korsakoff Syndrome’, </w:t>
      </w:r>
      <w:r w:rsidRPr="00CE4C25">
        <w:rPr>
          <w:i/>
          <w:iCs/>
        </w:rPr>
        <w:t>Journal of Clinical Medicine, </w:t>
      </w:r>
      <w:r w:rsidRPr="00CE4C25">
        <w:t>11(22), p.6755. Available at </w:t>
      </w:r>
      <w:hyperlink r:id="rId163" w:tgtFrame="_blank" w:history="1">
        <w:r w:rsidRPr="00CE4C25">
          <w:rPr>
            <w:rStyle w:val="Hyperlink"/>
          </w:rPr>
          <w:t>https://doi.org/10.3390/jcm11226755</w:t>
        </w:r>
      </w:hyperlink>
      <w:r w:rsidRPr="00CE4C25">
        <w:t> (Accessed: 19 November 2025).</w:t>
      </w:r>
    </w:p>
    <w:p w14:paraId="0076C4E6" w14:textId="77777777" w:rsidR="00D62A77" w:rsidRPr="00CE4C25" w:rsidRDefault="00D62A77" w:rsidP="00CE4C25">
      <w:r w:rsidRPr="00CE4C25">
        <w:t>World Health Organization (2017) ‘Global action plan on the public health response to dementia 2017</w:t>
      </w:r>
      <w:r>
        <w:t>-</w:t>
      </w:r>
      <w:r w:rsidRPr="00CE4C25">
        <w:t xml:space="preserve">2025’, </w:t>
      </w:r>
      <w:r w:rsidRPr="00CE4C25">
        <w:rPr>
          <w:i/>
          <w:iCs/>
        </w:rPr>
        <w:t>World Health Organization.</w:t>
      </w:r>
      <w:r w:rsidRPr="00CE4C25">
        <w:t xml:space="preserve"> Available at: </w:t>
      </w:r>
      <w:r w:rsidRPr="00120E0E">
        <w:t>https://www.World Health Organisation .int/publications/item/global-action-plan-on-the-public-health-response-to-dementia-2017---2025</w:t>
      </w:r>
      <w:r w:rsidRPr="00CE4C25">
        <w:t xml:space="preserve"> (Accessed: 20 November 2025).</w:t>
      </w:r>
    </w:p>
    <w:p w14:paraId="676C4D58" w14:textId="5F0A6232" w:rsidR="00D62A77" w:rsidRPr="00CE4C25" w:rsidRDefault="00D62A77" w:rsidP="00CE4C25">
      <w:r w:rsidRPr="00CE4C25">
        <w:t xml:space="preserve">World Health Organization (2023) ‘Dementia’, Available at: </w:t>
      </w:r>
      <w:hyperlink r:id="rId164" w:history="1">
        <w:r w:rsidRPr="00CE4C25">
          <w:rPr>
            <w:rStyle w:val="Hyperlink"/>
          </w:rPr>
          <w:t>https://www.</w:t>
        </w:r>
        <w:r>
          <w:rPr>
            <w:rStyle w:val="Hyperlink"/>
          </w:rPr>
          <w:t xml:space="preserve">World </w:t>
        </w:r>
        <w:r w:rsidR="005B56D8">
          <w:rPr>
            <w:rStyle w:val="Hyperlink"/>
          </w:rPr>
          <w:t>Health</w:t>
        </w:r>
        <w:r>
          <w:rPr>
            <w:rStyle w:val="Hyperlink"/>
          </w:rPr>
          <w:t xml:space="preserve"> </w:t>
        </w:r>
        <w:r w:rsidR="005B56D8">
          <w:rPr>
            <w:rStyle w:val="Hyperlink"/>
          </w:rPr>
          <w:t>Organisation</w:t>
        </w:r>
        <w:r>
          <w:rPr>
            <w:rStyle w:val="Hyperlink"/>
          </w:rPr>
          <w:t xml:space="preserve"> </w:t>
        </w:r>
        <w:r w:rsidRPr="00CE4C25">
          <w:rPr>
            <w:rStyle w:val="Hyperlink"/>
          </w:rPr>
          <w:t>.int/news-room/fact-sheets/detail/dementia</w:t>
        </w:r>
      </w:hyperlink>
      <w:r w:rsidRPr="00CE4C25">
        <w:t xml:space="preserve"> (Accessed: 18 November 2025).</w:t>
      </w:r>
    </w:p>
    <w:p w14:paraId="40E0261A" w14:textId="65A761CE" w:rsidR="00D62A77" w:rsidRPr="00CE4C25" w:rsidRDefault="00D62A77" w:rsidP="00CE4C25">
      <w:r w:rsidRPr="00CE4C25">
        <w:t>World Health Organization (2024) ‘</w:t>
      </w:r>
      <w:r w:rsidRPr="00CE4C25">
        <w:rPr>
          <w:i/>
          <w:iCs/>
        </w:rPr>
        <w:t>Global status report on alcohol and health and treatment of substance use disorders</w:t>
      </w:r>
      <w:r w:rsidRPr="00CE4C25">
        <w:t xml:space="preserve">’, </w:t>
      </w:r>
      <w:r>
        <w:rPr>
          <w:i/>
          <w:iCs/>
        </w:rPr>
        <w:t xml:space="preserve">WORLD HEALH ORGANASATION </w:t>
      </w:r>
      <w:r w:rsidRPr="00CE4C25">
        <w:t xml:space="preserve">. Available at: </w:t>
      </w:r>
      <w:r w:rsidRPr="00F96681">
        <w:t>https://www.World Health Organisation .int/publications/item/9789240096745</w:t>
      </w:r>
      <w:r w:rsidRPr="00CE4C25">
        <w:t xml:space="preserve"> (Accessed: 12 November 2025).</w:t>
      </w:r>
    </w:p>
    <w:p w14:paraId="72227F6B" w14:textId="77777777" w:rsidR="00D62A77" w:rsidRPr="00CE4C25" w:rsidRDefault="00D62A77" w:rsidP="00CE4C25">
      <w:r w:rsidRPr="00CE4C25">
        <w:t>World Health Organization (</w:t>
      </w:r>
      <w:r>
        <w:t>WHO</w:t>
      </w:r>
      <w:r w:rsidRPr="00CE4C25">
        <w:t>) (2021) ‘</w:t>
      </w:r>
      <w:r w:rsidRPr="00CE4C25">
        <w:rPr>
          <w:i/>
          <w:iCs/>
        </w:rPr>
        <w:t>Global status report on alcohol and health</w:t>
      </w:r>
      <w:r w:rsidRPr="00CE4C25">
        <w:t>’, Available at: </w:t>
      </w:r>
      <w:hyperlink r:id="rId165" w:tgtFrame="_blank" w:history="1">
        <w:r w:rsidRPr="00CE4C25">
          <w:rPr>
            <w:rStyle w:val="Hyperlink"/>
          </w:rPr>
          <w:t>https://www.</w:t>
        </w:r>
        <w:r>
          <w:rPr>
            <w:rStyle w:val="Hyperlink"/>
          </w:rPr>
          <w:t xml:space="preserve">World Health Organisation </w:t>
        </w:r>
        <w:r w:rsidRPr="00CE4C25">
          <w:rPr>
            <w:rStyle w:val="Hyperlink"/>
          </w:rPr>
          <w:t>.int/publications/i/item/9789241565639</w:t>
        </w:r>
      </w:hyperlink>
      <w:r w:rsidRPr="00CE4C25">
        <w:t> (Accessed: 16 November 2025). </w:t>
      </w:r>
    </w:p>
    <w:p w14:paraId="307F331E" w14:textId="77777777" w:rsidR="00D62A77" w:rsidRPr="00CE4C25" w:rsidRDefault="00D62A77" w:rsidP="00CE4C25">
      <w:r w:rsidRPr="00CE4C25">
        <w:t>Xu, W., Wang, H., Wan, Y., Tan, C., Li, J., Tan, L. and Yu, J.-T. (2017) ‘Alcohol consumption and dementia risk: a dose</w:t>
      </w:r>
      <w:r>
        <w:t>-</w:t>
      </w:r>
      <w:r w:rsidRPr="00CE4C25">
        <w:t xml:space="preserve">response meta-analysis of prospective studies’, </w:t>
      </w:r>
      <w:r w:rsidRPr="00CE4C25">
        <w:rPr>
          <w:i/>
          <w:iCs/>
        </w:rPr>
        <w:t xml:space="preserve">European </w:t>
      </w:r>
      <w:r w:rsidRPr="00CE4C25">
        <w:rPr>
          <w:i/>
          <w:iCs/>
        </w:rPr>
        <w:lastRenderedPageBreak/>
        <w:t>Journal of Epidemiology</w:t>
      </w:r>
      <w:r w:rsidRPr="00CE4C25">
        <w:t>, Available at: </w:t>
      </w:r>
      <w:hyperlink r:id="rId166" w:tgtFrame="_blank" w:history="1">
        <w:r w:rsidRPr="00CE4C25">
          <w:rPr>
            <w:rStyle w:val="Hyperlink"/>
          </w:rPr>
          <w:t>https://doi.org/10.1007/s10654-017-0225-3</w:t>
        </w:r>
      </w:hyperlink>
      <w:r w:rsidRPr="00CE4C25">
        <w:t> (Accessed: 11 November 2025). </w:t>
      </w:r>
    </w:p>
    <w:p w14:paraId="1AD8DA7F" w14:textId="77777777" w:rsidR="00D62A77" w:rsidRPr="00CE4C25" w:rsidRDefault="00D62A77" w:rsidP="00CE4C25">
      <w:r w:rsidRPr="00CE4C25">
        <w:t>Zahr, N.M. (2024) ‘Alcohol use disorder and dementia: a review’, Alcohol Research: </w:t>
      </w:r>
      <w:r w:rsidRPr="00CE4C25">
        <w:rPr>
          <w:i/>
          <w:iCs/>
        </w:rPr>
        <w:t>Current Reviews</w:t>
      </w:r>
      <w:r w:rsidRPr="00CE4C25">
        <w:t>, 44(1), p.03. Available at: </w:t>
      </w:r>
      <w:hyperlink r:id="rId167" w:tgtFrame="_blank" w:history="1">
        <w:r w:rsidRPr="00CE4C25">
          <w:rPr>
            <w:rStyle w:val="Hyperlink"/>
          </w:rPr>
          <w:t>https://arcr.niaaa.nih.gov/media/1916/download?inline</w:t>
        </w:r>
      </w:hyperlink>
      <w:r w:rsidRPr="00CE4C25">
        <w:t> (Accessed: 25 November 2025). </w:t>
      </w:r>
    </w:p>
    <w:p w14:paraId="0C42F063" w14:textId="336C8DD6" w:rsidR="00D62A77" w:rsidRPr="00CE4C25" w:rsidRDefault="00D62A77" w:rsidP="00CE4C25">
      <w:r w:rsidRPr="00CE4C25">
        <w:t>Zhao, Z., Yin, </w:t>
      </w:r>
      <w:r w:rsidR="00521124" w:rsidRPr="00CE4C25">
        <w:t>X.,</w:t>
      </w:r>
      <w:r w:rsidRPr="00CE4C25">
        <w:t> and Xu, M. (2024) ‘Socioeconomic inequalities in dementia risk among a population-based cohort: quantifying the role of a broad combination of lifestyle factors’, </w:t>
      </w:r>
      <w:r w:rsidRPr="00CE4C25">
        <w:rPr>
          <w:i/>
          <w:iCs/>
        </w:rPr>
        <w:t>The Journals of Gerontology: Series B</w:t>
      </w:r>
      <w:r w:rsidRPr="00CE4C25">
        <w:t>, 79(12), gbae173. Available at: </w:t>
      </w:r>
      <w:hyperlink r:id="rId168" w:tgtFrame="_blank" w:history="1">
        <w:r w:rsidRPr="00CE4C25">
          <w:rPr>
            <w:rStyle w:val="Hyperlink"/>
          </w:rPr>
          <w:t>https://academic.oup.com/psychsocgerontology/article/79/12/gbae173/7816889</w:t>
        </w:r>
      </w:hyperlink>
      <w:r w:rsidRPr="00CE4C25">
        <w:t> (Accessed: 18 November 2025). </w:t>
      </w:r>
    </w:p>
    <w:p w14:paraId="2E289E74" w14:textId="77777777" w:rsidR="00597AE1" w:rsidRPr="00597AE1" w:rsidRDefault="00597AE1" w:rsidP="00597AE1">
      <w:r w:rsidRPr="00597AE1">
        <w:t> </w:t>
      </w:r>
    </w:p>
    <w:p w14:paraId="675388BA" w14:textId="77777777" w:rsidR="00597AE1" w:rsidRPr="00597AE1" w:rsidRDefault="00597AE1" w:rsidP="00597AE1">
      <w:r w:rsidRPr="00597AE1">
        <w:t> </w:t>
      </w:r>
    </w:p>
    <w:p w14:paraId="4BA8A4CB" w14:textId="77777777" w:rsidR="00597AE1" w:rsidRPr="00597AE1" w:rsidRDefault="00597AE1" w:rsidP="00597AE1">
      <w:r w:rsidRPr="00597AE1">
        <w:t> </w:t>
      </w:r>
    </w:p>
    <w:p w14:paraId="1FC6E92C" w14:textId="77777777" w:rsidR="00597AE1" w:rsidRPr="00597AE1" w:rsidRDefault="00597AE1" w:rsidP="00597AE1">
      <w:r w:rsidRPr="00597AE1">
        <w:t> </w:t>
      </w:r>
    </w:p>
    <w:p w14:paraId="2CEC0644" w14:textId="77777777" w:rsidR="00597AE1" w:rsidRPr="00597AE1" w:rsidRDefault="00597AE1" w:rsidP="00597AE1">
      <w:r w:rsidRPr="00597AE1">
        <w:t> </w:t>
      </w:r>
    </w:p>
    <w:p w14:paraId="75B92AE7" w14:textId="77777777" w:rsidR="00597AE1" w:rsidRPr="00597AE1" w:rsidRDefault="00597AE1" w:rsidP="00597AE1">
      <w:r w:rsidRPr="00597AE1">
        <w:t> </w:t>
      </w:r>
    </w:p>
    <w:p w14:paraId="5BAFD5B4" w14:textId="77777777" w:rsidR="00597AE1" w:rsidRPr="00597AE1" w:rsidRDefault="00597AE1" w:rsidP="00597AE1">
      <w:r w:rsidRPr="00597AE1">
        <w:t> </w:t>
      </w:r>
    </w:p>
    <w:p w14:paraId="03A648EA" w14:textId="77777777" w:rsidR="00597AE1" w:rsidRPr="00597AE1" w:rsidRDefault="00597AE1" w:rsidP="00597AE1">
      <w:r w:rsidRPr="00597AE1">
        <w:t> </w:t>
      </w:r>
    </w:p>
    <w:p w14:paraId="1D47E96A" w14:textId="77777777" w:rsidR="00597AE1" w:rsidRPr="00597AE1" w:rsidRDefault="00597AE1" w:rsidP="00597AE1">
      <w:r w:rsidRPr="00597AE1">
        <w:t> </w:t>
      </w:r>
    </w:p>
    <w:p w14:paraId="6AD24805" w14:textId="77777777" w:rsidR="00597AE1" w:rsidRPr="00597AE1" w:rsidRDefault="00597AE1" w:rsidP="00597AE1">
      <w:r w:rsidRPr="00597AE1">
        <w:t> </w:t>
      </w:r>
    </w:p>
    <w:p w14:paraId="2021D0B8" w14:textId="77777777" w:rsidR="00597AE1" w:rsidRPr="00597AE1" w:rsidRDefault="00597AE1" w:rsidP="00597AE1">
      <w:r w:rsidRPr="00597AE1">
        <w:t> </w:t>
      </w:r>
    </w:p>
    <w:p w14:paraId="4C50E1B5" w14:textId="77777777" w:rsidR="00597AE1" w:rsidRPr="00597AE1" w:rsidRDefault="00597AE1" w:rsidP="00597AE1">
      <w:r w:rsidRPr="00597AE1">
        <w:t> </w:t>
      </w:r>
    </w:p>
    <w:p w14:paraId="55EFC5CD" w14:textId="77777777" w:rsidR="00597AE1" w:rsidRPr="00597AE1" w:rsidRDefault="00597AE1" w:rsidP="00597AE1">
      <w:r w:rsidRPr="00597AE1">
        <w:t> </w:t>
      </w:r>
    </w:p>
    <w:p w14:paraId="6A843CA3" w14:textId="77777777" w:rsidR="00597AE1" w:rsidRPr="00597AE1" w:rsidRDefault="00597AE1" w:rsidP="00597AE1">
      <w:r w:rsidRPr="00597AE1">
        <w:t> </w:t>
      </w:r>
    </w:p>
    <w:p w14:paraId="3E6395ED" w14:textId="77777777" w:rsidR="00597AE1" w:rsidRDefault="00597AE1"/>
    <w:p w14:paraId="0B697664" w14:textId="77777777" w:rsidR="00314172" w:rsidRDefault="00314172" w:rsidP="0001010C"/>
    <w:p w14:paraId="553738C8" w14:textId="77777777" w:rsidR="00CA3EB5" w:rsidRDefault="00CA3EB5" w:rsidP="0001010C">
      <w:pPr>
        <w:rPr>
          <w:b/>
          <w:bCs/>
          <w:u w:val="single"/>
        </w:rPr>
      </w:pPr>
    </w:p>
    <w:p w14:paraId="4B84252D" w14:textId="77777777" w:rsidR="00CA3EB5" w:rsidRDefault="00CA3EB5" w:rsidP="0001010C">
      <w:pPr>
        <w:rPr>
          <w:b/>
          <w:bCs/>
          <w:u w:val="single"/>
        </w:rPr>
      </w:pPr>
    </w:p>
    <w:p w14:paraId="4FEB1B90" w14:textId="77777777" w:rsidR="00CA3EB5" w:rsidRDefault="00CA3EB5" w:rsidP="0001010C">
      <w:pPr>
        <w:rPr>
          <w:b/>
          <w:bCs/>
          <w:u w:val="single"/>
        </w:rPr>
      </w:pPr>
    </w:p>
    <w:p w14:paraId="39F7427F" w14:textId="27931075" w:rsidR="00091E39" w:rsidRDefault="001C5BED" w:rsidP="0001010C">
      <w:pPr>
        <w:rPr>
          <w:b/>
          <w:bCs/>
          <w:u w:val="single"/>
        </w:rPr>
      </w:pPr>
      <w:r w:rsidRPr="001C5BED">
        <w:rPr>
          <w:b/>
          <w:bCs/>
          <w:u w:val="single"/>
        </w:rPr>
        <w:lastRenderedPageBreak/>
        <w:t>Appendices</w:t>
      </w:r>
    </w:p>
    <w:p w14:paraId="560569FA" w14:textId="1BC399FD" w:rsidR="0001010C" w:rsidRPr="0001010C" w:rsidRDefault="0001010C" w:rsidP="0001010C">
      <w:pPr>
        <w:rPr>
          <w:b/>
          <w:bCs/>
        </w:rPr>
      </w:pPr>
      <w:r w:rsidRPr="0001010C">
        <w:rPr>
          <w:b/>
          <w:bCs/>
        </w:rPr>
        <w:t xml:space="preserve">Results Summary Table’ from Chapter 3 that support the themes. </w:t>
      </w:r>
    </w:p>
    <w:tbl>
      <w:tblPr>
        <w:tblStyle w:val="TableGrid"/>
        <w:tblW w:w="0" w:type="auto"/>
        <w:tblInd w:w="-289" w:type="dxa"/>
        <w:tblLook w:val="04A0" w:firstRow="1" w:lastRow="0" w:firstColumn="1" w:lastColumn="0" w:noHBand="0" w:noVBand="1"/>
      </w:tblPr>
      <w:tblGrid>
        <w:gridCol w:w="1005"/>
        <w:gridCol w:w="1140"/>
        <w:gridCol w:w="946"/>
        <w:gridCol w:w="976"/>
        <w:gridCol w:w="1440"/>
        <w:gridCol w:w="1194"/>
        <w:gridCol w:w="1275"/>
        <w:gridCol w:w="1329"/>
      </w:tblGrid>
      <w:tr w:rsidR="00507D51" w:rsidRPr="00507D51" w14:paraId="6DEAC2B5" w14:textId="77777777" w:rsidTr="009B55A0">
        <w:tc>
          <w:tcPr>
            <w:tcW w:w="1011" w:type="dxa"/>
            <w:hideMark/>
          </w:tcPr>
          <w:p w14:paraId="5B7936F8" w14:textId="0C8FB88A" w:rsidR="00507D51" w:rsidRPr="00507D51" w:rsidRDefault="00507D51" w:rsidP="00507D51">
            <w:pPr>
              <w:spacing w:after="160" w:line="278" w:lineRule="auto"/>
              <w:rPr>
                <w:b/>
                <w:bCs/>
              </w:rPr>
            </w:pPr>
            <w:r w:rsidRPr="00507D51">
              <w:rPr>
                <w:b/>
                <w:bCs/>
              </w:rPr>
              <w:t xml:space="preserve">Author </w:t>
            </w:r>
            <w:r w:rsidR="005F020B">
              <w:rPr>
                <w:b/>
                <w:bCs/>
              </w:rPr>
              <w:t>and</w:t>
            </w:r>
            <w:r w:rsidRPr="00507D51">
              <w:rPr>
                <w:b/>
                <w:bCs/>
              </w:rPr>
              <w:t xml:space="preserve"> Year</w:t>
            </w:r>
          </w:p>
        </w:tc>
        <w:tc>
          <w:tcPr>
            <w:tcW w:w="0" w:type="auto"/>
            <w:hideMark/>
          </w:tcPr>
          <w:p w14:paraId="543EB4BD" w14:textId="77777777" w:rsidR="00507D51" w:rsidRPr="00507D51" w:rsidRDefault="00507D51" w:rsidP="00507D51">
            <w:pPr>
              <w:spacing w:after="160" w:line="278" w:lineRule="auto"/>
              <w:rPr>
                <w:b/>
                <w:bCs/>
              </w:rPr>
            </w:pPr>
            <w:r w:rsidRPr="00507D51">
              <w:rPr>
                <w:b/>
                <w:bCs/>
              </w:rPr>
              <w:t>Title</w:t>
            </w:r>
          </w:p>
        </w:tc>
        <w:tc>
          <w:tcPr>
            <w:tcW w:w="0" w:type="auto"/>
            <w:hideMark/>
          </w:tcPr>
          <w:p w14:paraId="04A89F0A" w14:textId="77777777" w:rsidR="00507D51" w:rsidRPr="00507D51" w:rsidRDefault="00507D51" w:rsidP="00507D51">
            <w:pPr>
              <w:spacing w:after="160" w:line="278" w:lineRule="auto"/>
              <w:rPr>
                <w:b/>
                <w:bCs/>
              </w:rPr>
            </w:pPr>
            <w:r w:rsidRPr="00507D51">
              <w:rPr>
                <w:b/>
                <w:bCs/>
              </w:rPr>
              <w:t>Type of Study</w:t>
            </w:r>
          </w:p>
        </w:tc>
        <w:tc>
          <w:tcPr>
            <w:tcW w:w="0" w:type="auto"/>
            <w:hideMark/>
          </w:tcPr>
          <w:p w14:paraId="53E9F715" w14:textId="2D0BC84F" w:rsidR="00507D51" w:rsidRPr="00507D51" w:rsidRDefault="00507D51" w:rsidP="00507D51">
            <w:pPr>
              <w:spacing w:after="160" w:line="278" w:lineRule="auto"/>
              <w:rPr>
                <w:b/>
                <w:bCs/>
              </w:rPr>
            </w:pPr>
            <w:r w:rsidRPr="00507D51">
              <w:rPr>
                <w:b/>
                <w:bCs/>
              </w:rPr>
              <w:t xml:space="preserve">Research Method </w:t>
            </w:r>
            <w:r w:rsidR="005F020B">
              <w:rPr>
                <w:b/>
                <w:bCs/>
              </w:rPr>
              <w:t>and</w:t>
            </w:r>
            <w:r w:rsidRPr="00507D51">
              <w:rPr>
                <w:b/>
                <w:bCs/>
              </w:rPr>
              <w:t xml:space="preserve"> Sample Size</w:t>
            </w:r>
          </w:p>
        </w:tc>
        <w:tc>
          <w:tcPr>
            <w:tcW w:w="0" w:type="auto"/>
            <w:hideMark/>
          </w:tcPr>
          <w:p w14:paraId="51B8C029" w14:textId="77777777" w:rsidR="00507D51" w:rsidRPr="00507D51" w:rsidRDefault="00507D51" w:rsidP="00507D51">
            <w:pPr>
              <w:spacing w:after="160" w:line="278" w:lineRule="auto"/>
              <w:rPr>
                <w:b/>
                <w:bCs/>
              </w:rPr>
            </w:pPr>
            <w:r w:rsidRPr="00507D51">
              <w:rPr>
                <w:b/>
                <w:bCs/>
              </w:rPr>
              <w:t>Strengths and Limitations</w:t>
            </w:r>
          </w:p>
        </w:tc>
        <w:tc>
          <w:tcPr>
            <w:tcW w:w="0" w:type="auto"/>
            <w:hideMark/>
          </w:tcPr>
          <w:p w14:paraId="37B0D570" w14:textId="77777777" w:rsidR="00507D51" w:rsidRPr="00507D51" w:rsidRDefault="00507D51" w:rsidP="00507D51">
            <w:pPr>
              <w:spacing w:after="160" w:line="278" w:lineRule="auto"/>
              <w:rPr>
                <w:b/>
                <w:bCs/>
              </w:rPr>
            </w:pPr>
            <w:r w:rsidRPr="00507D51">
              <w:rPr>
                <w:b/>
                <w:bCs/>
              </w:rPr>
              <w:t>Main Findings</w:t>
            </w:r>
          </w:p>
        </w:tc>
        <w:tc>
          <w:tcPr>
            <w:tcW w:w="0" w:type="auto"/>
            <w:hideMark/>
          </w:tcPr>
          <w:p w14:paraId="15F8FCC9" w14:textId="77777777" w:rsidR="00507D51" w:rsidRPr="00507D51" w:rsidRDefault="00507D51" w:rsidP="00507D51">
            <w:pPr>
              <w:spacing w:after="160" w:line="278" w:lineRule="auto"/>
              <w:rPr>
                <w:b/>
                <w:bCs/>
              </w:rPr>
            </w:pPr>
            <w:r w:rsidRPr="00507D51">
              <w:rPr>
                <w:b/>
                <w:bCs/>
              </w:rPr>
              <w:t>Keywords/Codes</w:t>
            </w:r>
          </w:p>
        </w:tc>
        <w:tc>
          <w:tcPr>
            <w:tcW w:w="0" w:type="auto"/>
            <w:hideMark/>
          </w:tcPr>
          <w:p w14:paraId="0C066F5C" w14:textId="77777777" w:rsidR="00507D51" w:rsidRPr="00507D51" w:rsidRDefault="00507D51" w:rsidP="00507D51">
            <w:pPr>
              <w:spacing w:after="160" w:line="278" w:lineRule="auto"/>
              <w:rPr>
                <w:b/>
                <w:bCs/>
              </w:rPr>
            </w:pPr>
            <w:r w:rsidRPr="00507D51">
              <w:rPr>
                <w:b/>
                <w:bCs/>
              </w:rPr>
              <w:t>Notes/Comments</w:t>
            </w:r>
          </w:p>
        </w:tc>
      </w:tr>
      <w:tr w:rsidR="00507D51" w:rsidRPr="00507D51" w14:paraId="459B2E28" w14:textId="77777777" w:rsidTr="009B55A0">
        <w:tc>
          <w:tcPr>
            <w:tcW w:w="1011" w:type="dxa"/>
            <w:hideMark/>
          </w:tcPr>
          <w:p w14:paraId="623C92FC" w14:textId="77777777" w:rsidR="00507D51" w:rsidRPr="00507D51" w:rsidRDefault="00507D51" w:rsidP="00507D51">
            <w:pPr>
              <w:spacing w:after="160" w:line="278" w:lineRule="auto"/>
            </w:pPr>
            <w:r w:rsidRPr="00507D51">
              <w:t>Schwarzinger et al. (2018)</w:t>
            </w:r>
          </w:p>
        </w:tc>
        <w:tc>
          <w:tcPr>
            <w:tcW w:w="0" w:type="auto"/>
            <w:hideMark/>
          </w:tcPr>
          <w:p w14:paraId="48DFC9DA" w14:textId="77777777" w:rsidR="00507D51" w:rsidRPr="00507D51" w:rsidRDefault="00507D51" w:rsidP="00507D51">
            <w:pPr>
              <w:spacing w:after="160" w:line="278" w:lineRule="auto"/>
            </w:pPr>
            <w:r w:rsidRPr="00507D51">
              <w:t>Alcohol use disorders and risk of dementia: a nationwide cohort study</w:t>
            </w:r>
          </w:p>
        </w:tc>
        <w:tc>
          <w:tcPr>
            <w:tcW w:w="0" w:type="auto"/>
            <w:hideMark/>
          </w:tcPr>
          <w:p w14:paraId="4C4F9725" w14:textId="77777777" w:rsidR="00507D51" w:rsidRPr="00507D51" w:rsidRDefault="00507D51" w:rsidP="00507D51">
            <w:pPr>
              <w:spacing w:after="160" w:line="278" w:lineRule="auto"/>
            </w:pPr>
            <w:r w:rsidRPr="00507D51">
              <w:t>Quantitative Cohort</w:t>
            </w:r>
          </w:p>
        </w:tc>
        <w:tc>
          <w:tcPr>
            <w:tcW w:w="0" w:type="auto"/>
            <w:hideMark/>
          </w:tcPr>
          <w:p w14:paraId="24665650" w14:textId="77777777" w:rsidR="00507D51" w:rsidRPr="00507D51" w:rsidRDefault="00507D51" w:rsidP="00507D51">
            <w:pPr>
              <w:spacing w:after="160" w:line="278" w:lineRule="auto"/>
            </w:pPr>
            <w:r w:rsidRPr="00507D51">
              <w:t>French hospital database; 1,000,000+ adults aged 20+</w:t>
            </w:r>
          </w:p>
        </w:tc>
        <w:tc>
          <w:tcPr>
            <w:tcW w:w="0" w:type="auto"/>
            <w:hideMark/>
          </w:tcPr>
          <w:p w14:paraId="0509F5CF" w14:textId="77777777" w:rsidR="00507D51" w:rsidRPr="00507D51" w:rsidRDefault="00507D51" w:rsidP="00507D51">
            <w:pPr>
              <w:spacing w:after="160" w:line="278" w:lineRule="auto"/>
            </w:pPr>
            <w:r w:rsidRPr="00507D51">
              <w:t>Strength: Large sample, national scope. Limitation: Hospital-based data may miss mild cases.</w:t>
            </w:r>
          </w:p>
        </w:tc>
        <w:tc>
          <w:tcPr>
            <w:tcW w:w="0" w:type="auto"/>
            <w:hideMark/>
          </w:tcPr>
          <w:p w14:paraId="6A27C942" w14:textId="77777777" w:rsidR="00507D51" w:rsidRPr="00507D51" w:rsidRDefault="00507D51" w:rsidP="00507D51">
            <w:pPr>
              <w:spacing w:after="160" w:line="278" w:lineRule="auto"/>
            </w:pPr>
            <w:r w:rsidRPr="00507D51">
              <w:t>Alcohol use disorders were the strongest modifiable risk factor for all types of dementia, especially YOD.</w:t>
            </w:r>
          </w:p>
        </w:tc>
        <w:tc>
          <w:tcPr>
            <w:tcW w:w="0" w:type="auto"/>
            <w:hideMark/>
          </w:tcPr>
          <w:p w14:paraId="1360D89F" w14:textId="77777777" w:rsidR="00507D51" w:rsidRPr="00507D51" w:rsidRDefault="00507D51" w:rsidP="00507D51">
            <w:pPr>
              <w:spacing w:after="160" w:line="278" w:lineRule="auto"/>
            </w:pPr>
            <w:r w:rsidRPr="00507D51">
              <w:rPr>
                <w:highlight w:val="cyan"/>
              </w:rPr>
              <w:t>alcohol</w:t>
            </w:r>
            <w:r w:rsidRPr="00507D51">
              <w:t xml:space="preserve"> use, early-onset dementia, risk factor</w:t>
            </w:r>
          </w:p>
        </w:tc>
        <w:tc>
          <w:tcPr>
            <w:tcW w:w="0" w:type="auto"/>
            <w:hideMark/>
          </w:tcPr>
          <w:p w14:paraId="056317F8" w14:textId="77777777" w:rsidR="00507D51" w:rsidRPr="00507D51" w:rsidRDefault="00507D51" w:rsidP="00507D51">
            <w:pPr>
              <w:spacing w:after="160" w:line="278" w:lineRule="auto"/>
            </w:pPr>
            <w:r w:rsidRPr="00507D51">
              <w:t>Strong support for Theme 1. Highlights alcohol as a key driver of YOD. Links to deprivation via hospital access.</w:t>
            </w:r>
          </w:p>
        </w:tc>
      </w:tr>
      <w:tr w:rsidR="00507D51" w:rsidRPr="00507D51" w14:paraId="30171E58" w14:textId="77777777" w:rsidTr="009B55A0">
        <w:tc>
          <w:tcPr>
            <w:tcW w:w="1011" w:type="dxa"/>
            <w:hideMark/>
          </w:tcPr>
          <w:p w14:paraId="6D467CAF" w14:textId="77777777" w:rsidR="00507D51" w:rsidRPr="00507D51" w:rsidRDefault="00507D51" w:rsidP="00507D51">
            <w:pPr>
              <w:spacing w:after="160" w:line="278" w:lineRule="auto"/>
            </w:pPr>
            <w:r w:rsidRPr="00507D51">
              <w:t>Russ et al. (2021)</w:t>
            </w:r>
          </w:p>
        </w:tc>
        <w:tc>
          <w:tcPr>
            <w:tcW w:w="0" w:type="auto"/>
            <w:hideMark/>
          </w:tcPr>
          <w:p w14:paraId="442A42B4" w14:textId="77777777" w:rsidR="00507D51" w:rsidRPr="00507D51" w:rsidRDefault="00507D51" w:rsidP="00507D51">
            <w:pPr>
              <w:spacing w:after="160" w:line="278" w:lineRule="auto"/>
            </w:pPr>
            <w:r w:rsidRPr="00507D51">
              <w:t>Association between socioeconomic deprivation and dementia risk</w:t>
            </w:r>
          </w:p>
        </w:tc>
        <w:tc>
          <w:tcPr>
            <w:tcW w:w="0" w:type="auto"/>
            <w:hideMark/>
          </w:tcPr>
          <w:p w14:paraId="244DDA6B" w14:textId="77777777" w:rsidR="00507D51" w:rsidRPr="00507D51" w:rsidRDefault="00507D51" w:rsidP="00507D51">
            <w:pPr>
              <w:spacing w:after="160" w:line="278" w:lineRule="auto"/>
            </w:pPr>
            <w:r w:rsidRPr="00507D51">
              <w:t>Quantitative Cohort</w:t>
            </w:r>
          </w:p>
        </w:tc>
        <w:tc>
          <w:tcPr>
            <w:tcW w:w="0" w:type="auto"/>
            <w:hideMark/>
          </w:tcPr>
          <w:p w14:paraId="59C10B58" w14:textId="77777777" w:rsidR="00507D51" w:rsidRPr="00507D51" w:rsidRDefault="00507D51" w:rsidP="00507D51">
            <w:pPr>
              <w:spacing w:after="160" w:line="278" w:lineRule="auto"/>
            </w:pPr>
            <w:r w:rsidRPr="00507D51">
              <w:t>UK Biobank; 500,000 participants</w:t>
            </w:r>
          </w:p>
        </w:tc>
        <w:tc>
          <w:tcPr>
            <w:tcW w:w="0" w:type="auto"/>
            <w:hideMark/>
          </w:tcPr>
          <w:p w14:paraId="5DDD0BF4" w14:textId="77777777" w:rsidR="00507D51" w:rsidRPr="00507D51" w:rsidRDefault="00507D51" w:rsidP="00507D51">
            <w:pPr>
              <w:spacing w:after="160" w:line="278" w:lineRule="auto"/>
            </w:pPr>
            <w:r w:rsidRPr="00507D51">
              <w:t>Strength: Longitudinal data. Limitation: Underrepresentation of most deprived groups.</w:t>
            </w:r>
          </w:p>
        </w:tc>
        <w:tc>
          <w:tcPr>
            <w:tcW w:w="0" w:type="auto"/>
            <w:hideMark/>
          </w:tcPr>
          <w:p w14:paraId="04207971" w14:textId="77777777" w:rsidR="00507D51" w:rsidRPr="00507D51" w:rsidRDefault="00507D51" w:rsidP="00507D51">
            <w:pPr>
              <w:spacing w:after="160" w:line="278" w:lineRule="auto"/>
            </w:pPr>
            <w:r w:rsidRPr="00507D51">
              <w:t>Individuals in the most deprived quintile were 1.5x more likely to develop dementia.</w:t>
            </w:r>
          </w:p>
        </w:tc>
        <w:tc>
          <w:tcPr>
            <w:tcW w:w="0" w:type="auto"/>
            <w:hideMark/>
          </w:tcPr>
          <w:p w14:paraId="6CDFA9CE" w14:textId="77777777" w:rsidR="00507D51" w:rsidRPr="00507D51" w:rsidRDefault="00507D51" w:rsidP="00507D51">
            <w:pPr>
              <w:spacing w:after="160" w:line="278" w:lineRule="auto"/>
            </w:pPr>
            <w:r w:rsidRPr="00507D51">
              <w:rPr>
                <w:highlight w:val="yellow"/>
              </w:rPr>
              <w:t>Deprivation,</w:t>
            </w:r>
            <w:r w:rsidRPr="00507D51">
              <w:t xml:space="preserve"> dementia risk, inequality</w:t>
            </w:r>
          </w:p>
        </w:tc>
        <w:tc>
          <w:tcPr>
            <w:tcW w:w="0" w:type="auto"/>
            <w:hideMark/>
          </w:tcPr>
          <w:p w14:paraId="5B824828" w14:textId="77777777" w:rsidR="00507D51" w:rsidRPr="00507D51" w:rsidRDefault="00507D51" w:rsidP="00507D51">
            <w:pPr>
              <w:spacing w:after="160" w:line="278" w:lineRule="auto"/>
            </w:pPr>
            <w:r w:rsidRPr="00507D51">
              <w:t>Supports Theme 2. Socioeconomic Inequality and Dementia Risk,</w:t>
            </w:r>
          </w:p>
        </w:tc>
      </w:tr>
      <w:tr w:rsidR="00507D51" w:rsidRPr="00507D51" w14:paraId="2FF41204" w14:textId="77777777" w:rsidTr="009B55A0">
        <w:tc>
          <w:tcPr>
            <w:tcW w:w="1011" w:type="dxa"/>
            <w:hideMark/>
          </w:tcPr>
          <w:p w14:paraId="01F3DA75" w14:textId="77777777" w:rsidR="00507D51" w:rsidRPr="00507D51" w:rsidRDefault="00507D51" w:rsidP="00507D51">
            <w:pPr>
              <w:spacing w:after="160" w:line="278" w:lineRule="auto"/>
            </w:pPr>
            <w:r w:rsidRPr="00507D51">
              <w:t>Livingston et al. (2020)</w:t>
            </w:r>
          </w:p>
        </w:tc>
        <w:tc>
          <w:tcPr>
            <w:tcW w:w="0" w:type="auto"/>
            <w:hideMark/>
          </w:tcPr>
          <w:p w14:paraId="03106EBC" w14:textId="77777777" w:rsidR="00507D51" w:rsidRPr="00507D51" w:rsidRDefault="00507D51" w:rsidP="00507D51">
            <w:pPr>
              <w:spacing w:after="160" w:line="278" w:lineRule="auto"/>
            </w:pPr>
            <w:r w:rsidRPr="00507D51">
              <w:t xml:space="preserve">Dementia prevention, </w:t>
            </w:r>
            <w:r w:rsidRPr="00507D51">
              <w:lastRenderedPageBreak/>
              <w:t>intervention, and care: Lancet Commission report</w:t>
            </w:r>
          </w:p>
        </w:tc>
        <w:tc>
          <w:tcPr>
            <w:tcW w:w="0" w:type="auto"/>
            <w:hideMark/>
          </w:tcPr>
          <w:p w14:paraId="2874C691" w14:textId="77777777" w:rsidR="00507D51" w:rsidRPr="00507D51" w:rsidRDefault="00507D51" w:rsidP="00507D51">
            <w:pPr>
              <w:spacing w:after="160" w:line="278" w:lineRule="auto"/>
            </w:pPr>
            <w:r w:rsidRPr="00507D51">
              <w:lastRenderedPageBreak/>
              <w:t>Systematic Review</w:t>
            </w:r>
          </w:p>
        </w:tc>
        <w:tc>
          <w:tcPr>
            <w:tcW w:w="0" w:type="auto"/>
            <w:hideMark/>
          </w:tcPr>
          <w:p w14:paraId="22F26FDB" w14:textId="77777777" w:rsidR="00507D51" w:rsidRPr="00507D51" w:rsidRDefault="00507D51" w:rsidP="00507D51">
            <w:pPr>
              <w:spacing w:after="160" w:line="278" w:lineRule="auto"/>
            </w:pPr>
            <w:r w:rsidRPr="00507D51">
              <w:t xml:space="preserve">Review of 12 modifiable </w:t>
            </w:r>
            <w:r w:rsidRPr="00507D51">
              <w:lastRenderedPageBreak/>
              <w:t>risk factors across global studies</w:t>
            </w:r>
          </w:p>
        </w:tc>
        <w:tc>
          <w:tcPr>
            <w:tcW w:w="0" w:type="auto"/>
            <w:hideMark/>
          </w:tcPr>
          <w:p w14:paraId="49B9E5D2" w14:textId="77777777" w:rsidR="00507D51" w:rsidRPr="00507D51" w:rsidRDefault="00507D51" w:rsidP="00507D51">
            <w:pPr>
              <w:spacing w:after="160" w:line="278" w:lineRule="auto"/>
            </w:pPr>
            <w:r w:rsidRPr="00507D51">
              <w:lastRenderedPageBreak/>
              <w:t xml:space="preserve">Strength: Comprehensive synthesis. </w:t>
            </w:r>
            <w:r w:rsidRPr="00507D51">
              <w:lastRenderedPageBreak/>
              <w:t>Limitation: Limited focus on YOD specifically.</w:t>
            </w:r>
          </w:p>
        </w:tc>
        <w:tc>
          <w:tcPr>
            <w:tcW w:w="0" w:type="auto"/>
            <w:hideMark/>
          </w:tcPr>
          <w:p w14:paraId="0B90ECD3" w14:textId="15DC6CF4" w:rsidR="00507D51" w:rsidRPr="00507D51" w:rsidRDefault="00507D51" w:rsidP="00507D51">
            <w:pPr>
              <w:spacing w:after="160" w:line="278" w:lineRule="auto"/>
            </w:pPr>
            <w:r w:rsidRPr="00507D51">
              <w:lastRenderedPageBreak/>
              <w:t>Alcohol use and low educatio</w:t>
            </w:r>
            <w:r w:rsidRPr="00507D51">
              <w:lastRenderedPageBreak/>
              <w:t xml:space="preserve">n are major modifiable risk factors. Calls for </w:t>
            </w:r>
            <w:r w:rsidR="0094707F" w:rsidRPr="00507D51">
              <w:t>population</w:t>
            </w:r>
            <w:r w:rsidR="0094707F">
              <w:t xml:space="preserve"> </w:t>
            </w:r>
            <w:r w:rsidRPr="00507D51">
              <w:t>level interventions.</w:t>
            </w:r>
          </w:p>
        </w:tc>
        <w:tc>
          <w:tcPr>
            <w:tcW w:w="0" w:type="auto"/>
            <w:hideMark/>
          </w:tcPr>
          <w:p w14:paraId="51DA2129" w14:textId="77777777" w:rsidR="00507D51" w:rsidRPr="00507D51" w:rsidRDefault="00507D51" w:rsidP="00507D51">
            <w:pPr>
              <w:spacing w:after="160" w:line="278" w:lineRule="auto"/>
            </w:pPr>
            <w:r w:rsidRPr="00507D51">
              <w:rPr>
                <w:highlight w:val="green"/>
              </w:rPr>
              <w:lastRenderedPageBreak/>
              <w:t>prevention</w:t>
            </w:r>
            <w:r w:rsidRPr="00507D51">
              <w:t xml:space="preserve">, </w:t>
            </w:r>
            <w:r w:rsidRPr="00507D51">
              <w:rPr>
                <w:highlight w:val="cyan"/>
              </w:rPr>
              <w:t>alcohol,</w:t>
            </w:r>
            <w:r w:rsidRPr="00507D51">
              <w:t xml:space="preserve"> </w:t>
            </w:r>
            <w:r w:rsidRPr="00507D51">
              <w:lastRenderedPageBreak/>
              <w:t>education, policy</w:t>
            </w:r>
          </w:p>
        </w:tc>
        <w:tc>
          <w:tcPr>
            <w:tcW w:w="0" w:type="auto"/>
            <w:hideMark/>
          </w:tcPr>
          <w:p w14:paraId="3836F8D0" w14:textId="77777777" w:rsidR="00507D51" w:rsidRPr="00507D51" w:rsidRDefault="00507D51" w:rsidP="00507D51">
            <w:pPr>
              <w:spacing w:after="160" w:line="278" w:lineRule="auto"/>
            </w:pPr>
            <w:r w:rsidRPr="00507D51">
              <w:lastRenderedPageBreak/>
              <w:t xml:space="preserve">Supports Theme 3. Advocates for </w:t>
            </w:r>
            <w:r w:rsidRPr="00507D51">
              <w:lastRenderedPageBreak/>
              <w:t>integrated public health policy. Links all three themes together.</w:t>
            </w:r>
          </w:p>
        </w:tc>
      </w:tr>
      <w:tr w:rsidR="00507D51" w:rsidRPr="00507D51" w14:paraId="7EF16FB4" w14:textId="77777777" w:rsidTr="009B55A0">
        <w:tc>
          <w:tcPr>
            <w:tcW w:w="1011" w:type="dxa"/>
            <w:hideMark/>
          </w:tcPr>
          <w:p w14:paraId="4163DDBF" w14:textId="77777777" w:rsidR="00507D51" w:rsidRPr="00507D51" w:rsidRDefault="00507D51" w:rsidP="00507D51">
            <w:pPr>
              <w:spacing w:after="160" w:line="278" w:lineRule="auto"/>
            </w:pPr>
            <w:r w:rsidRPr="00507D51">
              <w:lastRenderedPageBreak/>
              <w:t>Rehm et al. (2019)</w:t>
            </w:r>
          </w:p>
        </w:tc>
        <w:tc>
          <w:tcPr>
            <w:tcW w:w="0" w:type="auto"/>
            <w:hideMark/>
          </w:tcPr>
          <w:p w14:paraId="2F3ECE5E" w14:textId="77777777" w:rsidR="00507D51" w:rsidRPr="00507D51" w:rsidRDefault="00507D51" w:rsidP="00507D51">
            <w:pPr>
              <w:spacing w:after="160" w:line="278" w:lineRule="auto"/>
            </w:pPr>
            <w:r w:rsidRPr="00507D51">
              <w:t>Alcohol use and dementia: a systematic review</w:t>
            </w:r>
          </w:p>
        </w:tc>
        <w:tc>
          <w:tcPr>
            <w:tcW w:w="0" w:type="auto"/>
            <w:hideMark/>
          </w:tcPr>
          <w:p w14:paraId="177FA7CB" w14:textId="77777777" w:rsidR="00507D51" w:rsidRPr="00507D51" w:rsidRDefault="00507D51" w:rsidP="00507D51">
            <w:pPr>
              <w:spacing w:after="160" w:line="278" w:lineRule="auto"/>
            </w:pPr>
            <w:r w:rsidRPr="00507D51">
              <w:t>Systematic Review</w:t>
            </w:r>
          </w:p>
        </w:tc>
        <w:tc>
          <w:tcPr>
            <w:tcW w:w="0" w:type="auto"/>
            <w:hideMark/>
          </w:tcPr>
          <w:p w14:paraId="1754E0B4" w14:textId="77777777" w:rsidR="00507D51" w:rsidRPr="00507D51" w:rsidRDefault="00507D51" w:rsidP="00507D51">
            <w:pPr>
              <w:spacing w:after="160" w:line="278" w:lineRule="auto"/>
            </w:pPr>
            <w:r w:rsidRPr="00507D51">
              <w:t>Review of 28 studies on alcohol and cognitive decline</w:t>
            </w:r>
          </w:p>
        </w:tc>
        <w:tc>
          <w:tcPr>
            <w:tcW w:w="0" w:type="auto"/>
            <w:hideMark/>
          </w:tcPr>
          <w:p w14:paraId="2E3D1795" w14:textId="77777777" w:rsidR="00507D51" w:rsidRPr="00507D51" w:rsidRDefault="00507D51" w:rsidP="00507D51">
            <w:pPr>
              <w:spacing w:after="160" w:line="278" w:lineRule="auto"/>
            </w:pPr>
            <w:r w:rsidRPr="00507D51">
              <w:t>Strength: Global scope. Limitation: Heterogeneity in study designs.</w:t>
            </w:r>
          </w:p>
        </w:tc>
        <w:tc>
          <w:tcPr>
            <w:tcW w:w="0" w:type="auto"/>
            <w:hideMark/>
          </w:tcPr>
          <w:p w14:paraId="78BE7FD3" w14:textId="77777777" w:rsidR="00507D51" w:rsidRPr="00507D51" w:rsidRDefault="00507D51" w:rsidP="00507D51">
            <w:pPr>
              <w:spacing w:after="160" w:line="278" w:lineRule="auto"/>
            </w:pPr>
            <w:r w:rsidRPr="00507D51">
              <w:t>Alcohol use disorders significantly increase dementia risk, especially in younger adults.</w:t>
            </w:r>
          </w:p>
        </w:tc>
        <w:tc>
          <w:tcPr>
            <w:tcW w:w="0" w:type="auto"/>
            <w:hideMark/>
          </w:tcPr>
          <w:p w14:paraId="3F3AB38B" w14:textId="77777777" w:rsidR="00507D51" w:rsidRPr="00507D51" w:rsidRDefault="00507D51" w:rsidP="00507D51">
            <w:pPr>
              <w:spacing w:after="160" w:line="278" w:lineRule="auto"/>
            </w:pPr>
            <w:r w:rsidRPr="00507D51">
              <w:rPr>
                <w:highlight w:val="cyan"/>
              </w:rPr>
              <w:t>alcohol</w:t>
            </w:r>
            <w:r w:rsidRPr="00507D51">
              <w:t xml:space="preserve"> misuse, cognitive decline</w:t>
            </w:r>
          </w:p>
        </w:tc>
        <w:tc>
          <w:tcPr>
            <w:tcW w:w="0" w:type="auto"/>
            <w:hideMark/>
          </w:tcPr>
          <w:p w14:paraId="4A06B8EE" w14:textId="77777777" w:rsidR="00507D51" w:rsidRPr="00507D51" w:rsidRDefault="00507D51" w:rsidP="00507D51">
            <w:pPr>
              <w:spacing w:after="160" w:line="278" w:lineRule="auto"/>
            </w:pPr>
            <w:r w:rsidRPr="00507D51">
              <w:t>Reinforces Theme 1. Strong evidence base for alcohol as a modifiable risk factor.</w:t>
            </w:r>
          </w:p>
        </w:tc>
      </w:tr>
      <w:tr w:rsidR="00507D51" w:rsidRPr="00507D51" w14:paraId="6144AA67" w14:textId="77777777" w:rsidTr="009B55A0">
        <w:tc>
          <w:tcPr>
            <w:tcW w:w="1011" w:type="dxa"/>
            <w:hideMark/>
          </w:tcPr>
          <w:p w14:paraId="0F574627" w14:textId="77777777" w:rsidR="00507D51" w:rsidRPr="00507D51" w:rsidRDefault="00507D51" w:rsidP="00507D51">
            <w:pPr>
              <w:spacing w:after="160" w:line="278" w:lineRule="auto"/>
            </w:pPr>
            <w:r w:rsidRPr="00507D51">
              <w:t>Cadar et al. (2018)</w:t>
            </w:r>
          </w:p>
        </w:tc>
        <w:tc>
          <w:tcPr>
            <w:tcW w:w="0" w:type="auto"/>
            <w:hideMark/>
          </w:tcPr>
          <w:p w14:paraId="222B0017" w14:textId="77777777" w:rsidR="00507D51" w:rsidRPr="00507D51" w:rsidRDefault="00507D51" w:rsidP="00507D51">
            <w:pPr>
              <w:spacing w:after="160" w:line="278" w:lineRule="auto"/>
            </w:pPr>
            <w:r w:rsidRPr="00507D51">
              <w:t>Socioeconomic status and cognitive function in later life</w:t>
            </w:r>
          </w:p>
        </w:tc>
        <w:tc>
          <w:tcPr>
            <w:tcW w:w="0" w:type="auto"/>
            <w:hideMark/>
          </w:tcPr>
          <w:p w14:paraId="66AF357D" w14:textId="77777777" w:rsidR="00507D51" w:rsidRPr="00507D51" w:rsidRDefault="00507D51" w:rsidP="00507D51">
            <w:pPr>
              <w:spacing w:after="160" w:line="278" w:lineRule="auto"/>
            </w:pPr>
            <w:r w:rsidRPr="00507D51">
              <w:t>Longitudinal Study</w:t>
            </w:r>
          </w:p>
        </w:tc>
        <w:tc>
          <w:tcPr>
            <w:tcW w:w="0" w:type="auto"/>
            <w:hideMark/>
          </w:tcPr>
          <w:p w14:paraId="6AA3F305" w14:textId="77777777" w:rsidR="00507D51" w:rsidRPr="00507D51" w:rsidRDefault="00507D51" w:rsidP="00507D51">
            <w:pPr>
              <w:spacing w:after="160" w:line="278" w:lineRule="auto"/>
            </w:pPr>
            <w:r w:rsidRPr="00507D51">
              <w:t>English Longitudinal Study of Ageing; 8,000+ participants</w:t>
            </w:r>
          </w:p>
        </w:tc>
        <w:tc>
          <w:tcPr>
            <w:tcW w:w="0" w:type="auto"/>
            <w:hideMark/>
          </w:tcPr>
          <w:p w14:paraId="2EAEF543" w14:textId="77777777" w:rsidR="00507D51" w:rsidRPr="00507D51" w:rsidRDefault="00507D51" w:rsidP="00507D51">
            <w:pPr>
              <w:spacing w:after="160" w:line="278" w:lineRule="auto"/>
            </w:pPr>
            <w:r w:rsidRPr="00507D51">
              <w:t>Strength: Long-term follow-up. Limitation: Focused on older adults.</w:t>
            </w:r>
          </w:p>
        </w:tc>
        <w:tc>
          <w:tcPr>
            <w:tcW w:w="0" w:type="auto"/>
            <w:hideMark/>
          </w:tcPr>
          <w:p w14:paraId="0903DB24" w14:textId="77777777" w:rsidR="00507D51" w:rsidRPr="00507D51" w:rsidRDefault="00507D51" w:rsidP="00507D51">
            <w:pPr>
              <w:spacing w:after="160" w:line="278" w:lineRule="auto"/>
            </w:pPr>
            <w:r w:rsidRPr="00507D51">
              <w:t>Lower socioeconomic status linked to faster cognitive decline and earlier dementia onset.</w:t>
            </w:r>
          </w:p>
        </w:tc>
        <w:tc>
          <w:tcPr>
            <w:tcW w:w="0" w:type="auto"/>
            <w:hideMark/>
          </w:tcPr>
          <w:p w14:paraId="73FAB8B6" w14:textId="77777777" w:rsidR="00507D51" w:rsidRPr="00507D51" w:rsidRDefault="00507D51" w:rsidP="00507D51">
            <w:pPr>
              <w:spacing w:after="160" w:line="278" w:lineRule="auto"/>
            </w:pPr>
            <w:r w:rsidRPr="00507D51">
              <w:t xml:space="preserve">SES, cognitive decline, </w:t>
            </w:r>
            <w:r w:rsidRPr="00507D51">
              <w:rPr>
                <w:highlight w:val="yellow"/>
              </w:rPr>
              <w:t>deprivation</w:t>
            </w:r>
          </w:p>
        </w:tc>
        <w:tc>
          <w:tcPr>
            <w:tcW w:w="0" w:type="auto"/>
            <w:hideMark/>
          </w:tcPr>
          <w:p w14:paraId="748D06A4" w14:textId="77777777" w:rsidR="00507D51" w:rsidRPr="00507D51" w:rsidRDefault="00507D51" w:rsidP="00507D51">
            <w:pPr>
              <w:spacing w:after="160" w:line="278" w:lineRule="auto"/>
            </w:pPr>
            <w:r w:rsidRPr="00507D51">
              <w:t>Supports Theme 2. Highlights long-term effects of deprivation on brain health.</w:t>
            </w:r>
          </w:p>
        </w:tc>
      </w:tr>
      <w:tr w:rsidR="00507D51" w:rsidRPr="00507D51" w14:paraId="191FB515" w14:textId="77777777" w:rsidTr="009B55A0">
        <w:tc>
          <w:tcPr>
            <w:tcW w:w="1011" w:type="dxa"/>
            <w:hideMark/>
          </w:tcPr>
          <w:p w14:paraId="224A0FC1" w14:textId="77777777" w:rsidR="00507D51" w:rsidRPr="00507D51" w:rsidRDefault="00507D51" w:rsidP="00507D51">
            <w:pPr>
              <w:spacing w:after="160" w:line="278" w:lineRule="auto"/>
            </w:pPr>
            <w:r w:rsidRPr="00507D51">
              <w:t>Oldham et al. (2025)</w:t>
            </w:r>
          </w:p>
        </w:tc>
        <w:tc>
          <w:tcPr>
            <w:tcW w:w="0" w:type="auto"/>
            <w:hideMark/>
          </w:tcPr>
          <w:p w14:paraId="0E4B2CE4" w14:textId="77777777" w:rsidR="00507D51" w:rsidRPr="00507D51" w:rsidRDefault="00507D51" w:rsidP="00507D51">
            <w:pPr>
              <w:spacing w:after="160" w:line="278" w:lineRule="auto"/>
            </w:pPr>
            <w:r w:rsidRPr="00507D51">
              <w:t xml:space="preserve">Alcohol-specific mortality trends during </w:t>
            </w:r>
            <w:r w:rsidRPr="00507D51">
              <w:lastRenderedPageBreak/>
              <w:t>COVID-19</w:t>
            </w:r>
          </w:p>
        </w:tc>
        <w:tc>
          <w:tcPr>
            <w:tcW w:w="0" w:type="auto"/>
            <w:hideMark/>
          </w:tcPr>
          <w:p w14:paraId="7505EF22" w14:textId="77777777" w:rsidR="00507D51" w:rsidRPr="00507D51" w:rsidRDefault="00507D51" w:rsidP="00507D51">
            <w:pPr>
              <w:spacing w:after="160" w:line="278" w:lineRule="auto"/>
            </w:pPr>
            <w:r w:rsidRPr="00507D51">
              <w:lastRenderedPageBreak/>
              <w:t>Quantitative Analysis</w:t>
            </w:r>
          </w:p>
        </w:tc>
        <w:tc>
          <w:tcPr>
            <w:tcW w:w="0" w:type="auto"/>
            <w:hideMark/>
          </w:tcPr>
          <w:p w14:paraId="7FB3D00D" w14:textId="77777777" w:rsidR="00507D51" w:rsidRPr="00507D51" w:rsidRDefault="00507D51" w:rsidP="00507D51">
            <w:pPr>
              <w:spacing w:after="160" w:line="278" w:lineRule="auto"/>
            </w:pPr>
            <w:r w:rsidRPr="00507D51">
              <w:t xml:space="preserve">National mortality data </w:t>
            </w:r>
            <w:r w:rsidRPr="00507D51">
              <w:lastRenderedPageBreak/>
              <w:t>(England)</w:t>
            </w:r>
          </w:p>
        </w:tc>
        <w:tc>
          <w:tcPr>
            <w:tcW w:w="0" w:type="auto"/>
            <w:hideMark/>
          </w:tcPr>
          <w:p w14:paraId="304187B9" w14:textId="77777777" w:rsidR="00507D51" w:rsidRPr="00507D51" w:rsidRDefault="00507D51" w:rsidP="00507D51">
            <w:pPr>
              <w:spacing w:after="160" w:line="278" w:lineRule="auto"/>
            </w:pPr>
            <w:r w:rsidRPr="00507D51">
              <w:lastRenderedPageBreak/>
              <w:t xml:space="preserve">Strength: Timely analysis. Limitation: No direct </w:t>
            </w:r>
            <w:r w:rsidRPr="00507D51">
              <w:lastRenderedPageBreak/>
              <w:t>dementia data.</w:t>
            </w:r>
          </w:p>
        </w:tc>
        <w:tc>
          <w:tcPr>
            <w:tcW w:w="0" w:type="auto"/>
            <w:hideMark/>
          </w:tcPr>
          <w:p w14:paraId="5D008791" w14:textId="77777777" w:rsidR="00507D51" w:rsidRPr="00507D51" w:rsidRDefault="00507D51" w:rsidP="00507D51">
            <w:pPr>
              <w:spacing w:after="160" w:line="278" w:lineRule="auto"/>
            </w:pPr>
            <w:r w:rsidRPr="00507D51">
              <w:lastRenderedPageBreak/>
              <w:t xml:space="preserve">Alcohol-related deaths rose sharply </w:t>
            </w:r>
            <w:r w:rsidRPr="00507D51">
              <w:lastRenderedPageBreak/>
              <w:t>during the pandemic, especially among middle-aged adults.</w:t>
            </w:r>
          </w:p>
        </w:tc>
        <w:tc>
          <w:tcPr>
            <w:tcW w:w="0" w:type="auto"/>
            <w:hideMark/>
          </w:tcPr>
          <w:p w14:paraId="785DAAD3" w14:textId="77777777" w:rsidR="00507D51" w:rsidRPr="00507D51" w:rsidRDefault="00507D51" w:rsidP="00507D51">
            <w:pPr>
              <w:spacing w:after="160" w:line="278" w:lineRule="auto"/>
            </w:pPr>
            <w:r w:rsidRPr="00507D51">
              <w:rPr>
                <w:highlight w:val="cyan"/>
              </w:rPr>
              <w:lastRenderedPageBreak/>
              <w:t>alcohol</w:t>
            </w:r>
            <w:r w:rsidRPr="00507D51">
              <w:t xml:space="preserve"> mortality, </w:t>
            </w:r>
            <w:r w:rsidRPr="00507D51">
              <w:rPr>
                <w:highlight w:val="green"/>
              </w:rPr>
              <w:t>pandemic</w:t>
            </w:r>
            <w:r w:rsidRPr="00507D51">
              <w:t>, middle age</w:t>
            </w:r>
          </w:p>
        </w:tc>
        <w:tc>
          <w:tcPr>
            <w:tcW w:w="0" w:type="auto"/>
            <w:hideMark/>
          </w:tcPr>
          <w:p w14:paraId="3C6F6919" w14:textId="77777777" w:rsidR="00507D51" w:rsidRPr="00507D51" w:rsidRDefault="00507D51" w:rsidP="00507D51">
            <w:pPr>
              <w:spacing w:after="160" w:line="278" w:lineRule="auto"/>
            </w:pPr>
            <w:r w:rsidRPr="00507D51">
              <w:t xml:space="preserve">Supports Theme 3. Highlights policy gaps and </w:t>
            </w:r>
            <w:r w:rsidRPr="00507D51">
              <w:lastRenderedPageBreak/>
              <w:t>urgent need for integrated strategies.</w:t>
            </w:r>
          </w:p>
        </w:tc>
      </w:tr>
      <w:tr w:rsidR="00507D51" w:rsidRPr="00507D51" w14:paraId="2F68C016" w14:textId="77777777" w:rsidTr="009B55A0">
        <w:tc>
          <w:tcPr>
            <w:tcW w:w="1011" w:type="dxa"/>
            <w:hideMark/>
          </w:tcPr>
          <w:p w14:paraId="7072A7AA" w14:textId="77777777" w:rsidR="00507D51" w:rsidRPr="00507D51" w:rsidRDefault="00507D51" w:rsidP="00507D51">
            <w:pPr>
              <w:spacing w:after="160" w:line="278" w:lineRule="auto"/>
            </w:pPr>
            <w:r w:rsidRPr="00507D51">
              <w:lastRenderedPageBreak/>
              <w:t>Topiwala et al. (2022)</w:t>
            </w:r>
          </w:p>
        </w:tc>
        <w:tc>
          <w:tcPr>
            <w:tcW w:w="0" w:type="auto"/>
            <w:hideMark/>
          </w:tcPr>
          <w:p w14:paraId="79971812" w14:textId="77777777" w:rsidR="00507D51" w:rsidRPr="00507D51" w:rsidRDefault="00507D51" w:rsidP="00507D51">
            <w:pPr>
              <w:spacing w:after="160" w:line="278" w:lineRule="auto"/>
            </w:pPr>
            <w:r w:rsidRPr="00507D51">
              <w:t>Alcohol consumption and brain health: cohort and MR analysis</w:t>
            </w:r>
          </w:p>
        </w:tc>
        <w:tc>
          <w:tcPr>
            <w:tcW w:w="0" w:type="auto"/>
            <w:hideMark/>
          </w:tcPr>
          <w:p w14:paraId="3483595C" w14:textId="77777777" w:rsidR="00507D51" w:rsidRPr="00507D51" w:rsidRDefault="00507D51" w:rsidP="00507D51">
            <w:pPr>
              <w:spacing w:after="160" w:line="278" w:lineRule="auto"/>
            </w:pPr>
            <w:r w:rsidRPr="00507D51">
              <w:t>Mixed Methods</w:t>
            </w:r>
          </w:p>
        </w:tc>
        <w:tc>
          <w:tcPr>
            <w:tcW w:w="0" w:type="auto"/>
            <w:hideMark/>
          </w:tcPr>
          <w:p w14:paraId="2E07EAC6" w14:textId="77777777" w:rsidR="00507D51" w:rsidRPr="00507D51" w:rsidRDefault="00507D51" w:rsidP="00507D51">
            <w:pPr>
              <w:spacing w:after="160" w:line="278" w:lineRule="auto"/>
            </w:pPr>
            <w:r w:rsidRPr="00507D51">
              <w:t>UK Biobank; 25,000+ participants</w:t>
            </w:r>
          </w:p>
        </w:tc>
        <w:tc>
          <w:tcPr>
            <w:tcW w:w="0" w:type="auto"/>
            <w:hideMark/>
          </w:tcPr>
          <w:p w14:paraId="00C68B4B" w14:textId="77777777" w:rsidR="00507D51" w:rsidRPr="00507D51" w:rsidRDefault="00507D51" w:rsidP="00507D51">
            <w:pPr>
              <w:spacing w:after="160" w:line="278" w:lineRule="auto"/>
            </w:pPr>
            <w:r w:rsidRPr="00507D51">
              <w:t>Strength: Use of Mendelian randomisation. Limitation: Observational bias.</w:t>
            </w:r>
          </w:p>
        </w:tc>
        <w:tc>
          <w:tcPr>
            <w:tcW w:w="0" w:type="auto"/>
            <w:hideMark/>
          </w:tcPr>
          <w:p w14:paraId="5BDA7C29" w14:textId="77777777" w:rsidR="00507D51" w:rsidRPr="00507D51" w:rsidRDefault="00507D51" w:rsidP="00507D51">
            <w:pPr>
              <w:spacing w:after="160" w:line="278" w:lineRule="auto"/>
            </w:pPr>
            <w:r w:rsidRPr="00507D51">
              <w:t>Even moderate alcohol consumption linked to reduced brain volume and cognitive impairment.</w:t>
            </w:r>
          </w:p>
        </w:tc>
        <w:tc>
          <w:tcPr>
            <w:tcW w:w="0" w:type="auto"/>
            <w:hideMark/>
          </w:tcPr>
          <w:p w14:paraId="67DA0869" w14:textId="77777777" w:rsidR="00507D51" w:rsidRPr="00507D51" w:rsidRDefault="00507D51" w:rsidP="00507D51">
            <w:pPr>
              <w:spacing w:after="160" w:line="278" w:lineRule="auto"/>
            </w:pPr>
            <w:r w:rsidRPr="00507D51">
              <w:rPr>
                <w:highlight w:val="cyan"/>
              </w:rPr>
              <w:t>alcohol,</w:t>
            </w:r>
            <w:r w:rsidRPr="00507D51">
              <w:t xml:space="preserve"> brain health, MR analysis</w:t>
            </w:r>
          </w:p>
        </w:tc>
        <w:tc>
          <w:tcPr>
            <w:tcW w:w="0" w:type="auto"/>
            <w:hideMark/>
          </w:tcPr>
          <w:p w14:paraId="32818F71" w14:textId="77777777" w:rsidR="00507D51" w:rsidRPr="00507D51" w:rsidRDefault="00507D51" w:rsidP="00507D51">
            <w:pPr>
              <w:spacing w:after="160" w:line="278" w:lineRule="auto"/>
            </w:pPr>
            <w:r w:rsidRPr="00507D51">
              <w:t>Supports Theme 1. Challenges assumptions about “safe” drinking levels.</w:t>
            </w:r>
          </w:p>
        </w:tc>
      </w:tr>
      <w:tr w:rsidR="00507D51" w:rsidRPr="00507D51" w14:paraId="1DB22DB4" w14:textId="77777777" w:rsidTr="009B55A0">
        <w:tc>
          <w:tcPr>
            <w:tcW w:w="1011" w:type="dxa"/>
            <w:hideMark/>
          </w:tcPr>
          <w:p w14:paraId="609DE442" w14:textId="77777777" w:rsidR="00507D51" w:rsidRPr="00507D51" w:rsidRDefault="00507D51" w:rsidP="00507D51">
            <w:pPr>
              <w:spacing w:after="160" w:line="278" w:lineRule="auto"/>
            </w:pPr>
            <w:r w:rsidRPr="00507D51">
              <w:t>Bunn et al. (2021)</w:t>
            </w:r>
          </w:p>
        </w:tc>
        <w:tc>
          <w:tcPr>
            <w:tcW w:w="0" w:type="auto"/>
            <w:hideMark/>
          </w:tcPr>
          <w:p w14:paraId="244A90C5" w14:textId="77777777" w:rsidR="00507D51" w:rsidRPr="00507D51" w:rsidRDefault="00507D51" w:rsidP="00507D51">
            <w:pPr>
              <w:spacing w:after="160" w:line="278" w:lineRule="auto"/>
            </w:pPr>
            <w:r w:rsidRPr="00507D51">
              <w:t>Barriers to dementia diagnosis in deprived communities</w:t>
            </w:r>
          </w:p>
        </w:tc>
        <w:tc>
          <w:tcPr>
            <w:tcW w:w="0" w:type="auto"/>
            <w:hideMark/>
          </w:tcPr>
          <w:p w14:paraId="5BA09268" w14:textId="77777777" w:rsidR="00507D51" w:rsidRPr="00507D51" w:rsidRDefault="00507D51" w:rsidP="00507D51">
            <w:pPr>
              <w:spacing w:after="160" w:line="278" w:lineRule="auto"/>
            </w:pPr>
            <w:r w:rsidRPr="00507D51">
              <w:t>Qualitative Study</w:t>
            </w:r>
          </w:p>
        </w:tc>
        <w:tc>
          <w:tcPr>
            <w:tcW w:w="0" w:type="auto"/>
            <w:hideMark/>
          </w:tcPr>
          <w:p w14:paraId="3A1D8C81" w14:textId="77777777" w:rsidR="00507D51" w:rsidRPr="00507D51" w:rsidRDefault="00507D51" w:rsidP="00507D51">
            <w:pPr>
              <w:spacing w:after="160" w:line="278" w:lineRule="auto"/>
            </w:pPr>
            <w:r w:rsidRPr="00507D51">
              <w:t>Interviews with patients and carers in low-income areas</w:t>
            </w:r>
          </w:p>
        </w:tc>
        <w:tc>
          <w:tcPr>
            <w:tcW w:w="0" w:type="auto"/>
            <w:hideMark/>
          </w:tcPr>
          <w:p w14:paraId="1AA3F9D9" w14:textId="77777777" w:rsidR="00507D51" w:rsidRPr="00507D51" w:rsidRDefault="00507D51" w:rsidP="00507D51">
            <w:pPr>
              <w:spacing w:after="160" w:line="278" w:lineRule="auto"/>
            </w:pPr>
            <w:r w:rsidRPr="00507D51">
              <w:t>Strength: Rich qualitative data. Limitation: Small sample size.</w:t>
            </w:r>
          </w:p>
        </w:tc>
        <w:tc>
          <w:tcPr>
            <w:tcW w:w="0" w:type="auto"/>
            <w:hideMark/>
          </w:tcPr>
          <w:p w14:paraId="1FB4AA2A" w14:textId="77777777" w:rsidR="00507D51" w:rsidRPr="00507D51" w:rsidRDefault="00507D51" w:rsidP="00507D51">
            <w:pPr>
              <w:spacing w:after="160" w:line="278" w:lineRule="auto"/>
            </w:pPr>
            <w:r w:rsidRPr="00507D51">
              <w:t>Stigma, mistrust, and poor access delay diagnosis in deprived populations.</w:t>
            </w:r>
          </w:p>
        </w:tc>
        <w:tc>
          <w:tcPr>
            <w:tcW w:w="0" w:type="auto"/>
            <w:hideMark/>
          </w:tcPr>
          <w:p w14:paraId="70F0C6CD" w14:textId="77777777" w:rsidR="00507D51" w:rsidRPr="00507D51" w:rsidRDefault="00507D51" w:rsidP="00507D51">
            <w:pPr>
              <w:spacing w:after="160" w:line="278" w:lineRule="auto"/>
            </w:pPr>
            <w:r w:rsidRPr="00507D51">
              <w:rPr>
                <w:highlight w:val="green"/>
              </w:rPr>
              <w:t>diagnosis barriers,</w:t>
            </w:r>
            <w:r w:rsidRPr="00507D51">
              <w:t xml:space="preserve"> </w:t>
            </w:r>
            <w:r w:rsidRPr="00507D51">
              <w:rPr>
                <w:highlight w:val="yellow"/>
              </w:rPr>
              <w:t>deprivation,</w:t>
            </w:r>
            <w:r w:rsidRPr="00507D51">
              <w:t xml:space="preserve"> stigma</w:t>
            </w:r>
          </w:p>
        </w:tc>
        <w:tc>
          <w:tcPr>
            <w:tcW w:w="0" w:type="auto"/>
            <w:hideMark/>
          </w:tcPr>
          <w:p w14:paraId="6007937E" w14:textId="77777777" w:rsidR="00507D51" w:rsidRPr="00507D51" w:rsidRDefault="00507D51" w:rsidP="00507D51">
            <w:pPr>
              <w:spacing w:after="160" w:line="278" w:lineRule="auto"/>
            </w:pPr>
            <w:r w:rsidRPr="00507D51">
              <w:t>Supports Theme 2 and Theme 3. Highlights need for culturally sensitive policy interventions.</w:t>
            </w:r>
          </w:p>
        </w:tc>
      </w:tr>
      <w:tr w:rsidR="00507D51" w:rsidRPr="00507D51" w14:paraId="3F634418" w14:textId="77777777" w:rsidTr="009B55A0">
        <w:tc>
          <w:tcPr>
            <w:tcW w:w="1011" w:type="dxa"/>
          </w:tcPr>
          <w:p w14:paraId="57901F91" w14:textId="77777777" w:rsidR="00507D51" w:rsidRPr="00507D51" w:rsidRDefault="00507D51" w:rsidP="00507D51">
            <w:pPr>
              <w:spacing w:after="160" w:line="278" w:lineRule="auto"/>
            </w:pPr>
            <w:r w:rsidRPr="00507D51">
              <w:t>JMIR Mental Health, (2024)</w:t>
            </w:r>
          </w:p>
          <w:p w14:paraId="4F17DAF6" w14:textId="77777777" w:rsidR="00507D51" w:rsidRPr="00507D51" w:rsidRDefault="00507D51" w:rsidP="00507D51">
            <w:pPr>
              <w:spacing w:after="160" w:line="278" w:lineRule="auto"/>
            </w:pPr>
          </w:p>
        </w:tc>
        <w:tc>
          <w:tcPr>
            <w:tcW w:w="0" w:type="auto"/>
          </w:tcPr>
          <w:p w14:paraId="6137EEAD" w14:textId="77777777" w:rsidR="00507D51" w:rsidRPr="00507D51" w:rsidRDefault="00507D51" w:rsidP="00507D51">
            <w:pPr>
              <w:spacing w:after="160" w:line="278" w:lineRule="auto"/>
            </w:pPr>
            <w:r w:rsidRPr="00507D51">
              <w:t xml:space="preserve">Digital Health Technologies for Dementia Care: </w:t>
            </w:r>
            <w:r w:rsidRPr="00507D51">
              <w:lastRenderedPageBreak/>
              <w:t>Bibliometric Analysis and Report</w:t>
            </w:r>
          </w:p>
          <w:p w14:paraId="39CC3E7C" w14:textId="77777777" w:rsidR="00507D51" w:rsidRPr="00507D51" w:rsidRDefault="00507D51" w:rsidP="00507D51">
            <w:pPr>
              <w:spacing w:after="160" w:line="278" w:lineRule="auto"/>
            </w:pPr>
          </w:p>
        </w:tc>
        <w:tc>
          <w:tcPr>
            <w:tcW w:w="0" w:type="auto"/>
          </w:tcPr>
          <w:p w14:paraId="6B85FA81" w14:textId="77777777" w:rsidR="00507D51" w:rsidRPr="00507D51" w:rsidRDefault="00507D51" w:rsidP="00507D51">
            <w:pPr>
              <w:spacing w:after="160" w:line="278" w:lineRule="auto"/>
            </w:pPr>
            <w:r w:rsidRPr="00507D51">
              <w:lastRenderedPageBreak/>
              <w:t>Bibliometric Analysis</w:t>
            </w:r>
          </w:p>
        </w:tc>
        <w:tc>
          <w:tcPr>
            <w:tcW w:w="0" w:type="auto"/>
          </w:tcPr>
          <w:p w14:paraId="0DE81071" w14:textId="77777777" w:rsidR="00507D51" w:rsidRPr="00507D51" w:rsidRDefault="00507D51" w:rsidP="00507D51">
            <w:pPr>
              <w:spacing w:after="160" w:line="278" w:lineRule="auto"/>
            </w:pPr>
            <w:r w:rsidRPr="00507D51">
              <w:t xml:space="preserve">Analysis of publications in digital </w:t>
            </w:r>
            <w:r w:rsidRPr="00507D51">
              <w:lastRenderedPageBreak/>
              <w:t>health technologies for dementia; sample size = all indexed publications in relevant databases (exact number not specified)</w:t>
            </w:r>
          </w:p>
          <w:p w14:paraId="1ACB6FFB" w14:textId="77777777" w:rsidR="00507D51" w:rsidRPr="00507D51" w:rsidRDefault="00507D51" w:rsidP="00507D51">
            <w:pPr>
              <w:spacing w:after="160" w:line="278" w:lineRule="auto"/>
            </w:pPr>
          </w:p>
        </w:tc>
        <w:tc>
          <w:tcPr>
            <w:tcW w:w="0" w:type="auto"/>
          </w:tcPr>
          <w:p w14:paraId="0993BB1E" w14:textId="77777777" w:rsidR="00507D51" w:rsidRPr="00507D51" w:rsidRDefault="00507D51" w:rsidP="00507D51">
            <w:pPr>
              <w:spacing w:after="160" w:line="278" w:lineRule="auto"/>
            </w:pPr>
            <w:r w:rsidRPr="00507D51">
              <w:lastRenderedPageBreak/>
              <w:t xml:space="preserve">Strengths: Comprehensive overview of literature trends; </w:t>
            </w:r>
            <w:r w:rsidRPr="00507D51">
              <w:lastRenderedPageBreak/>
              <w:t>Limitations: May miss very recent publications or non-indexed work</w:t>
            </w:r>
          </w:p>
          <w:p w14:paraId="037E1397" w14:textId="77777777" w:rsidR="00507D51" w:rsidRPr="00507D51" w:rsidRDefault="00507D51" w:rsidP="00507D51">
            <w:pPr>
              <w:spacing w:after="160" w:line="278" w:lineRule="auto"/>
            </w:pPr>
          </w:p>
        </w:tc>
        <w:tc>
          <w:tcPr>
            <w:tcW w:w="0" w:type="auto"/>
          </w:tcPr>
          <w:p w14:paraId="16C24958" w14:textId="438146CD" w:rsidR="00507D51" w:rsidRPr="00507D51" w:rsidRDefault="00507D51" w:rsidP="00507D51">
            <w:pPr>
              <w:spacing w:after="160" w:line="278" w:lineRule="auto"/>
            </w:pPr>
            <w:r w:rsidRPr="00507D51">
              <w:lastRenderedPageBreak/>
              <w:t xml:space="preserve">Identified trends in digital health interventions for </w:t>
            </w:r>
            <w:r w:rsidRPr="00507D51">
              <w:lastRenderedPageBreak/>
              <w:t xml:space="preserve">dementia, including telemedicine, cognitive apps, and wearable monitoring, highlighted gaps in clinical </w:t>
            </w:r>
            <w:r w:rsidR="009B3BA1" w:rsidRPr="00507D51">
              <w:t>implementation.</w:t>
            </w:r>
          </w:p>
          <w:p w14:paraId="3684855E" w14:textId="77777777" w:rsidR="00507D51" w:rsidRPr="00507D51" w:rsidRDefault="00507D51" w:rsidP="00507D51">
            <w:pPr>
              <w:spacing w:after="160" w:line="278" w:lineRule="auto"/>
            </w:pPr>
          </w:p>
        </w:tc>
        <w:tc>
          <w:tcPr>
            <w:tcW w:w="0" w:type="auto"/>
          </w:tcPr>
          <w:p w14:paraId="14FD3D2B" w14:textId="77777777" w:rsidR="00507D51" w:rsidRPr="00507D51" w:rsidRDefault="00507D51" w:rsidP="00507D51">
            <w:pPr>
              <w:spacing w:after="160" w:line="278" w:lineRule="auto"/>
            </w:pPr>
            <w:r w:rsidRPr="00507D51">
              <w:rPr>
                <w:highlight w:val="green"/>
              </w:rPr>
              <w:lastRenderedPageBreak/>
              <w:t>Digital health,</w:t>
            </w:r>
            <w:r w:rsidRPr="00507D51">
              <w:t xml:space="preserve"> dementia care, bibliomet</w:t>
            </w:r>
            <w:r w:rsidRPr="00507D51">
              <w:lastRenderedPageBreak/>
              <w:t>rics, trends</w:t>
            </w:r>
          </w:p>
        </w:tc>
        <w:tc>
          <w:tcPr>
            <w:tcW w:w="0" w:type="auto"/>
          </w:tcPr>
          <w:p w14:paraId="5220622D" w14:textId="77777777" w:rsidR="00507D51" w:rsidRPr="00507D51" w:rsidRDefault="00507D51" w:rsidP="00507D51">
            <w:pPr>
              <w:spacing w:after="160" w:line="278" w:lineRule="auto"/>
            </w:pPr>
            <w:r w:rsidRPr="00507D51">
              <w:lastRenderedPageBreak/>
              <w:t xml:space="preserve">Useful for mapping research landscape and identifying </w:t>
            </w:r>
            <w:r w:rsidRPr="00507D51">
              <w:lastRenderedPageBreak/>
              <w:t>gaps in digital interventions</w:t>
            </w:r>
          </w:p>
        </w:tc>
      </w:tr>
      <w:tr w:rsidR="00507D51" w:rsidRPr="00507D51" w14:paraId="7D9E3BBC" w14:textId="77777777" w:rsidTr="009B55A0">
        <w:tc>
          <w:tcPr>
            <w:tcW w:w="1011" w:type="dxa"/>
          </w:tcPr>
          <w:p w14:paraId="5E382E33" w14:textId="77777777" w:rsidR="00507D51" w:rsidRPr="00507D51" w:rsidRDefault="00507D51" w:rsidP="00507D51">
            <w:pPr>
              <w:spacing w:after="160" w:line="278" w:lineRule="auto"/>
            </w:pPr>
            <w:r w:rsidRPr="00507D51">
              <w:lastRenderedPageBreak/>
              <w:t>Hendriks et al., 2024</w:t>
            </w:r>
          </w:p>
        </w:tc>
        <w:tc>
          <w:tcPr>
            <w:tcW w:w="0" w:type="auto"/>
          </w:tcPr>
          <w:p w14:paraId="2C51406E" w14:textId="77777777" w:rsidR="00507D51" w:rsidRPr="00507D51" w:rsidRDefault="00507D51" w:rsidP="00507D51">
            <w:pPr>
              <w:spacing w:after="160" w:line="278" w:lineRule="auto"/>
            </w:pPr>
            <w:r w:rsidRPr="00507D51">
              <w:t>Risk factors for young onset dementia in the UK Biobank: A prospective population-</w:t>
            </w:r>
            <w:r w:rsidRPr="00507D51">
              <w:lastRenderedPageBreak/>
              <w:t>based study</w:t>
            </w:r>
          </w:p>
        </w:tc>
        <w:tc>
          <w:tcPr>
            <w:tcW w:w="0" w:type="auto"/>
          </w:tcPr>
          <w:p w14:paraId="44219700" w14:textId="77777777" w:rsidR="00507D51" w:rsidRPr="00507D51" w:rsidRDefault="00507D51" w:rsidP="00507D51">
            <w:pPr>
              <w:spacing w:after="160" w:line="278" w:lineRule="auto"/>
            </w:pPr>
            <w:r w:rsidRPr="00507D51">
              <w:lastRenderedPageBreak/>
              <w:t>Prospective Cohort Study</w:t>
            </w:r>
          </w:p>
        </w:tc>
        <w:tc>
          <w:tcPr>
            <w:tcW w:w="0" w:type="auto"/>
          </w:tcPr>
          <w:p w14:paraId="57AAA913" w14:textId="77777777" w:rsidR="00507D51" w:rsidRPr="00507D51" w:rsidRDefault="00507D51" w:rsidP="00507D51">
            <w:pPr>
              <w:spacing w:after="160" w:line="278" w:lineRule="auto"/>
            </w:pPr>
            <w:r w:rsidRPr="00507D51">
              <w:t>Population-based cohort from UK Biobank; N ≈ 250,000 adults</w:t>
            </w:r>
          </w:p>
        </w:tc>
        <w:tc>
          <w:tcPr>
            <w:tcW w:w="0" w:type="auto"/>
          </w:tcPr>
          <w:p w14:paraId="49252215" w14:textId="77777777" w:rsidR="00507D51" w:rsidRPr="00507D51" w:rsidRDefault="00507D51" w:rsidP="00507D51">
            <w:pPr>
              <w:spacing w:after="160" w:line="278" w:lineRule="auto"/>
            </w:pPr>
            <w:r w:rsidRPr="00507D51">
              <w:t>Strengths: Large sample size, prospective design; Limitations: Predominantly UK population, observational (cannot prove causation)</w:t>
            </w:r>
          </w:p>
        </w:tc>
        <w:tc>
          <w:tcPr>
            <w:tcW w:w="0" w:type="auto"/>
          </w:tcPr>
          <w:p w14:paraId="309953D9" w14:textId="77777777" w:rsidR="00507D51" w:rsidRPr="00507D51" w:rsidRDefault="00507D51" w:rsidP="00507D51">
            <w:pPr>
              <w:spacing w:after="160" w:line="278" w:lineRule="auto"/>
            </w:pPr>
            <w:r w:rsidRPr="00507D51">
              <w:t>Identified risk factors for young-onset dementia including cardiovascular, lifestyle, and genetic factors</w:t>
            </w:r>
          </w:p>
        </w:tc>
        <w:tc>
          <w:tcPr>
            <w:tcW w:w="0" w:type="auto"/>
          </w:tcPr>
          <w:p w14:paraId="05328BF8" w14:textId="7DC0E5DC" w:rsidR="00507D51" w:rsidRPr="00507D51" w:rsidRDefault="00507D51" w:rsidP="00507D51">
            <w:pPr>
              <w:spacing w:after="160" w:line="278" w:lineRule="auto"/>
            </w:pPr>
            <w:r w:rsidRPr="00507D51">
              <w:t xml:space="preserve">Young-onset dementia, </w:t>
            </w:r>
            <w:r w:rsidRPr="00507D51">
              <w:rPr>
                <w:highlight w:val="green"/>
              </w:rPr>
              <w:t>risk factors,</w:t>
            </w:r>
            <w:r w:rsidRPr="00507D51">
              <w:t xml:space="preserve"> UK Biobank, epidemiology, </w:t>
            </w:r>
            <w:r w:rsidRPr="00507D51">
              <w:rPr>
                <w:highlight w:val="cyan"/>
              </w:rPr>
              <w:t>lifestyle factors</w:t>
            </w:r>
          </w:p>
        </w:tc>
        <w:tc>
          <w:tcPr>
            <w:tcW w:w="0" w:type="auto"/>
          </w:tcPr>
          <w:p w14:paraId="7F305E4A" w14:textId="77777777" w:rsidR="00507D51" w:rsidRPr="00507D51" w:rsidRDefault="00507D51" w:rsidP="00507D51">
            <w:pPr>
              <w:spacing w:after="160" w:line="278" w:lineRule="auto"/>
            </w:pPr>
            <w:r w:rsidRPr="00507D51">
              <w:t>Provides evidence for early intervention strategies and preventive measures</w:t>
            </w:r>
          </w:p>
        </w:tc>
      </w:tr>
      <w:tr w:rsidR="00507D51" w:rsidRPr="00507D51" w14:paraId="1041F5AE" w14:textId="77777777" w:rsidTr="009B55A0">
        <w:tc>
          <w:tcPr>
            <w:tcW w:w="1011" w:type="dxa"/>
          </w:tcPr>
          <w:p w14:paraId="3A668911" w14:textId="77777777" w:rsidR="00507D51" w:rsidRPr="00507D51" w:rsidRDefault="00507D51" w:rsidP="00507D51">
            <w:pPr>
              <w:spacing w:after="160" w:line="278" w:lineRule="auto"/>
            </w:pPr>
            <w:r w:rsidRPr="00507D51">
              <w:lastRenderedPageBreak/>
              <w:t>Jensen, E.A., Wong, P., and Reed, M.S., 2022</w:t>
            </w:r>
          </w:p>
        </w:tc>
        <w:tc>
          <w:tcPr>
            <w:tcW w:w="0" w:type="auto"/>
          </w:tcPr>
          <w:p w14:paraId="0AA52F11" w14:textId="77777777" w:rsidR="00507D51" w:rsidRPr="00507D51" w:rsidRDefault="00507D51" w:rsidP="00507D51">
            <w:pPr>
              <w:spacing w:after="160" w:line="278" w:lineRule="auto"/>
            </w:pPr>
            <w:r w:rsidRPr="00507D51">
              <w:t>How research data deliver non-academic impacts: A secondary analysis of UK Research Excellence Framework impact case studies</w:t>
            </w:r>
          </w:p>
        </w:tc>
        <w:tc>
          <w:tcPr>
            <w:tcW w:w="0" w:type="auto"/>
          </w:tcPr>
          <w:p w14:paraId="7E0B4323" w14:textId="77777777" w:rsidR="00507D51" w:rsidRPr="00507D51" w:rsidRDefault="00507D51" w:rsidP="00507D51">
            <w:pPr>
              <w:spacing w:after="160" w:line="278" w:lineRule="auto"/>
            </w:pPr>
            <w:r w:rsidRPr="00507D51">
              <w:t>Secondary Data Analysis</w:t>
            </w:r>
          </w:p>
        </w:tc>
        <w:tc>
          <w:tcPr>
            <w:tcW w:w="0" w:type="auto"/>
          </w:tcPr>
          <w:p w14:paraId="111B9D1D" w14:textId="478C5E6E" w:rsidR="00507D51" w:rsidRPr="00507D51" w:rsidRDefault="00752074" w:rsidP="00507D51">
            <w:pPr>
              <w:spacing w:after="160" w:line="278" w:lineRule="auto"/>
            </w:pPr>
            <w:r w:rsidRPr="00507D51">
              <w:t>Analysed</w:t>
            </w:r>
            <w:r w:rsidR="00507D51" w:rsidRPr="00507D51">
              <w:t xml:space="preserve"> 148 impact case studies from the UK REF 2014</w:t>
            </w:r>
          </w:p>
        </w:tc>
        <w:tc>
          <w:tcPr>
            <w:tcW w:w="0" w:type="auto"/>
          </w:tcPr>
          <w:p w14:paraId="6B671DB3" w14:textId="77777777" w:rsidR="00507D51" w:rsidRPr="00507D51" w:rsidRDefault="00507D51" w:rsidP="00507D51">
            <w:pPr>
              <w:spacing w:after="160" w:line="278" w:lineRule="auto"/>
            </w:pPr>
            <w:r w:rsidRPr="00507D51">
              <w:t>Strengths: Insight into broader societal impacts; Limitations: Limited to UK context, potential reporting bias in case studies</w:t>
            </w:r>
          </w:p>
        </w:tc>
        <w:tc>
          <w:tcPr>
            <w:tcW w:w="0" w:type="auto"/>
          </w:tcPr>
          <w:p w14:paraId="6DEB56C2" w14:textId="77777777" w:rsidR="00507D51" w:rsidRPr="00507D51" w:rsidRDefault="00507D51" w:rsidP="00507D51">
            <w:pPr>
              <w:spacing w:after="160" w:line="278" w:lineRule="auto"/>
            </w:pPr>
            <w:r w:rsidRPr="00507D51">
              <w:t>Research data contributed to policy changes, community engagement, and economic benefits beyond academia</w:t>
            </w:r>
          </w:p>
        </w:tc>
        <w:tc>
          <w:tcPr>
            <w:tcW w:w="0" w:type="auto"/>
          </w:tcPr>
          <w:p w14:paraId="786C3EB1" w14:textId="77777777" w:rsidR="00507D51" w:rsidRPr="00507D51" w:rsidRDefault="00507D51" w:rsidP="00507D51">
            <w:pPr>
              <w:spacing w:after="160" w:line="278" w:lineRule="auto"/>
            </w:pPr>
            <w:r w:rsidRPr="00507D51">
              <w:rPr>
                <w:highlight w:val="green"/>
              </w:rPr>
              <w:t>Research impact,</w:t>
            </w:r>
            <w:r w:rsidRPr="00507D51">
              <w:t xml:space="preserve"> non-academic outcomes, data use, UK REF</w:t>
            </w:r>
          </w:p>
        </w:tc>
        <w:tc>
          <w:tcPr>
            <w:tcW w:w="0" w:type="auto"/>
          </w:tcPr>
          <w:p w14:paraId="6BAE13FE" w14:textId="77777777" w:rsidR="00507D51" w:rsidRPr="00507D51" w:rsidRDefault="00507D51" w:rsidP="00507D51">
            <w:pPr>
              <w:spacing w:after="160" w:line="278" w:lineRule="auto"/>
            </w:pPr>
            <w:r w:rsidRPr="00507D51">
              <w:t>Highlights the societal value of research data and knowledge transfer</w:t>
            </w:r>
          </w:p>
        </w:tc>
      </w:tr>
    </w:tbl>
    <w:p w14:paraId="088A0C75" w14:textId="77777777" w:rsidR="0001010C" w:rsidRPr="0001010C" w:rsidRDefault="0001010C" w:rsidP="0001010C"/>
    <w:p w14:paraId="330CA4CB" w14:textId="77777777" w:rsidR="0001010C" w:rsidRPr="0001010C" w:rsidRDefault="0001010C" w:rsidP="0001010C"/>
    <w:p w14:paraId="071AD3BF" w14:textId="77777777" w:rsidR="0001010C" w:rsidRPr="0001010C" w:rsidRDefault="0001010C" w:rsidP="0001010C"/>
    <w:p w14:paraId="2B39EB41" w14:textId="77777777" w:rsidR="0001010C" w:rsidRPr="0001010C" w:rsidRDefault="0001010C" w:rsidP="0001010C"/>
    <w:p w14:paraId="6802DE2C" w14:textId="77777777" w:rsidR="0001010C" w:rsidRPr="0001010C" w:rsidRDefault="0001010C" w:rsidP="0001010C"/>
    <w:p w14:paraId="51123BB7" w14:textId="77777777" w:rsidR="0001010C" w:rsidRPr="0001010C" w:rsidRDefault="0001010C" w:rsidP="0001010C"/>
    <w:p w14:paraId="4389AD61" w14:textId="77777777" w:rsidR="0001010C" w:rsidRPr="0001010C" w:rsidRDefault="0001010C" w:rsidP="0001010C"/>
    <w:p w14:paraId="13CD2A2C" w14:textId="77777777" w:rsidR="0001010C" w:rsidRDefault="0001010C" w:rsidP="0001010C"/>
    <w:tbl>
      <w:tblPr>
        <w:tblStyle w:val="TableGrid"/>
        <w:tblpPr w:leftFromText="180" w:rightFromText="180" w:vertAnchor="text" w:horzAnchor="margin" w:tblpXSpec="center" w:tblpY="-995"/>
        <w:tblOverlap w:val="never"/>
        <w:tblW w:w="10811" w:type="dxa"/>
        <w:tblLayout w:type="fixed"/>
        <w:tblLook w:val="04A0" w:firstRow="1" w:lastRow="0" w:firstColumn="1" w:lastColumn="0" w:noHBand="0" w:noVBand="1"/>
      </w:tblPr>
      <w:tblGrid>
        <w:gridCol w:w="2162"/>
        <w:gridCol w:w="2162"/>
        <w:gridCol w:w="2162"/>
        <w:gridCol w:w="2162"/>
        <w:gridCol w:w="2163"/>
      </w:tblGrid>
      <w:tr w:rsidR="00946E91" w:rsidRPr="00AF52B4" w14:paraId="53EDB638" w14:textId="77777777" w:rsidTr="009B55A0">
        <w:trPr>
          <w:trHeight w:val="404"/>
        </w:trPr>
        <w:tc>
          <w:tcPr>
            <w:tcW w:w="2162" w:type="dxa"/>
          </w:tcPr>
          <w:p w14:paraId="4EADA3F9" w14:textId="289F4C1B" w:rsidR="00946E91" w:rsidRPr="00AF52B4" w:rsidRDefault="00946E91" w:rsidP="00946E91">
            <w:pPr>
              <w:rPr>
                <w:b/>
                <w:bCs/>
              </w:rPr>
            </w:pPr>
            <w:r w:rsidRPr="00AF52B4">
              <w:rPr>
                <w:b/>
                <w:bCs/>
              </w:rPr>
              <w:lastRenderedPageBreak/>
              <w:t xml:space="preserve">Author </w:t>
            </w:r>
            <w:r>
              <w:rPr>
                <w:b/>
                <w:bCs/>
              </w:rPr>
              <w:t>and</w:t>
            </w:r>
            <w:r w:rsidRPr="00AF52B4">
              <w:rPr>
                <w:b/>
                <w:bCs/>
              </w:rPr>
              <w:t xml:space="preserve"> Year</w:t>
            </w:r>
          </w:p>
        </w:tc>
        <w:tc>
          <w:tcPr>
            <w:tcW w:w="2162" w:type="dxa"/>
          </w:tcPr>
          <w:p w14:paraId="767861D1" w14:textId="02376C86" w:rsidR="00946E91" w:rsidRPr="00AF52B4" w:rsidRDefault="00946E91" w:rsidP="00946E91">
            <w:pPr>
              <w:rPr>
                <w:b/>
                <w:bCs/>
              </w:rPr>
            </w:pPr>
            <w:r w:rsidRPr="00AF52B4">
              <w:rPr>
                <w:b/>
                <w:bCs/>
              </w:rPr>
              <w:t>Title</w:t>
            </w:r>
          </w:p>
        </w:tc>
        <w:tc>
          <w:tcPr>
            <w:tcW w:w="2162" w:type="dxa"/>
          </w:tcPr>
          <w:p w14:paraId="034D9161" w14:textId="234AF373" w:rsidR="00946E91" w:rsidRPr="00AF52B4" w:rsidRDefault="00946E91" w:rsidP="00946E91">
            <w:pPr>
              <w:rPr>
                <w:b/>
                <w:bCs/>
              </w:rPr>
            </w:pPr>
            <w:r w:rsidRPr="00AF52B4">
              <w:rPr>
                <w:b/>
                <w:bCs/>
              </w:rPr>
              <w:t>Summary</w:t>
            </w:r>
          </w:p>
        </w:tc>
        <w:tc>
          <w:tcPr>
            <w:tcW w:w="2162" w:type="dxa"/>
          </w:tcPr>
          <w:p w14:paraId="51CEF2DB" w14:textId="0D6A410C" w:rsidR="00946E91" w:rsidRPr="00AF52B4" w:rsidRDefault="00946E91" w:rsidP="00946E91">
            <w:pPr>
              <w:rPr>
                <w:b/>
                <w:bCs/>
              </w:rPr>
            </w:pPr>
            <w:r w:rsidRPr="00AF52B4">
              <w:rPr>
                <w:b/>
                <w:bCs/>
              </w:rPr>
              <w:t xml:space="preserve">CRAAP Notes </w:t>
            </w:r>
          </w:p>
        </w:tc>
        <w:tc>
          <w:tcPr>
            <w:tcW w:w="2163" w:type="dxa"/>
          </w:tcPr>
          <w:p w14:paraId="0B479361" w14:textId="30D24BCD" w:rsidR="00946E91" w:rsidRPr="00AF52B4" w:rsidRDefault="00946E91" w:rsidP="00946E91">
            <w:pPr>
              <w:rPr>
                <w:b/>
                <w:bCs/>
              </w:rPr>
            </w:pPr>
            <w:r w:rsidRPr="00AF52B4">
              <w:rPr>
                <w:b/>
                <w:bCs/>
              </w:rPr>
              <w:t xml:space="preserve">Link </w:t>
            </w:r>
          </w:p>
        </w:tc>
      </w:tr>
      <w:tr w:rsidR="00946E91" w:rsidRPr="00AF52B4" w14:paraId="1B0FBDF6" w14:textId="77777777" w:rsidTr="009B55A0">
        <w:trPr>
          <w:trHeight w:val="4903"/>
        </w:trPr>
        <w:tc>
          <w:tcPr>
            <w:tcW w:w="2162" w:type="dxa"/>
          </w:tcPr>
          <w:p w14:paraId="1DA01F0A" w14:textId="77777777" w:rsidR="00946E91" w:rsidRPr="00AF52B4" w:rsidRDefault="00946E91" w:rsidP="00946E91">
            <w:pPr>
              <w:spacing w:after="160" w:line="278" w:lineRule="auto"/>
            </w:pPr>
            <w:r w:rsidRPr="00AF52B4">
              <w:t>(Hendriks et al. 2024)</w:t>
            </w:r>
          </w:p>
          <w:p w14:paraId="22D376B6" w14:textId="77777777" w:rsidR="00946E91" w:rsidRPr="00AF52B4" w:rsidRDefault="00946E91" w:rsidP="00946E91">
            <w:pPr>
              <w:spacing w:after="160" w:line="278" w:lineRule="auto"/>
            </w:pPr>
          </w:p>
          <w:p w14:paraId="257DE0D0" w14:textId="77777777" w:rsidR="00946E91" w:rsidRPr="00AF52B4" w:rsidRDefault="00946E91" w:rsidP="00946E91">
            <w:pPr>
              <w:spacing w:after="160" w:line="278" w:lineRule="auto"/>
            </w:pPr>
          </w:p>
          <w:p w14:paraId="692643FB" w14:textId="77777777" w:rsidR="00946E91" w:rsidRPr="00AF52B4" w:rsidRDefault="00946E91" w:rsidP="00946E91">
            <w:pPr>
              <w:spacing w:after="160" w:line="278" w:lineRule="auto"/>
            </w:pPr>
          </w:p>
          <w:p w14:paraId="7C0AEBC4" w14:textId="77777777" w:rsidR="00946E91" w:rsidRPr="00AF52B4" w:rsidRDefault="00946E91" w:rsidP="00946E91">
            <w:pPr>
              <w:spacing w:after="160" w:line="278" w:lineRule="auto"/>
            </w:pPr>
          </w:p>
          <w:p w14:paraId="4A03BA82" w14:textId="77777777" w:rsidR="00946E91" w:rsidRPr="00AF52B4" w:rsidRDefault="00946E91" w:rsidP="00946E91">
            <w:pPr>
              <w:spacing w:after="160" w:line="278" w:lineRule="auto"/>
            </w:pPr>
          </w:p>
          <w:p w14:paraId="0C16F442" w14:textId="77777777" w:rsidR="00946E91" w:rsidRPr="00AF52B4" w:rsidRDefault="00946E91" w:rsidP="00946E91">
            <w:pPr>
              <w:spacing w:after="160" w:line="278" w:lineRule="auto"/>
            </w:pPr>
          </w:p>
          <w:p w14:paraId="67A53216" w14:textId="77777777" w:rsidR="00946E91" w:rsidRPr="00AF52B4" w:rsidRDefault="00946E91" w:rsidP="00946E91">
            <w:pPr>
              <w:spacing w:after="160" w:line="278" w:lineRule="auto"/>
            </w:pPr>
          </w:p>
          <w:p w14:paraId="477F52FA" w14:textId="77777777" w:rsidR="00946E91" w:rsidRPr="00AF52B4" w:rsidRDefault="00946E91" w:rsidP="00946E91">
            <w:pPr>
              <w:spacing w:after="160" w:line="278" w:lineRule="auto"/>
            </w:pPr>
          </w:p>
          <w:p w14:paraId="7A9F2A9E" w14:textId="77777777" w:rsidR="00946E91" w:rsidRPr="00AF52B4" w:rsidRDefault="00946E91" w:rsidP="00946E91">
            <w:pPr>
              <w:spacing w:after="160" w:line="278" w:lineRule="auto"/>
            </w:pPr>
          </w:p>
          <w:p w14:paraId="4732DB85" w14:textId="77777777" w:rsidR="00946E91" w:rsidRPr="00AF52B4" w:rsidRDefault="00946E91" w:rsidP="00946E91">
            <w:pPr>
              <w:spacing w:after="160" w:line="278" w:lineRule="auto"/>
            </w:pPr>
          </w:p>
          <w:p w14:paraId="051C5B5B" w14:textId="77777777" w:rsidR="00946E91" w:rsidRPr="00AF52B4" w:rsidRDefault="00946E91" w:rsidP="00946E91">
            <w:pPr>
              <w:spacing w:after="160" w:line="278" w:lineRule="auto"/>
            </w:pPr>
          </w:p>
        </w:tc>
        <w:tc>
          <w:tcPr>
            <w:tcW w:w="2162" w:type="dxa"/>
          </w:tcPr>
          <w:p w14:paraId="2BE963F6" w14:textId="77777777" w:rsidR="00946E91" w:rsidRPr="00AF52B4" w:rsidRDefault="00946E91" w:rsidP="00946E91">
            <w:pPr>
              <w:spacing w:after="160" w:line="278" w:lineRule="auto"/>
            </w:pPr>
            <w:r w:rsidRPr="00AF52B4">
              <w:t>Risk Factors for Young</w:t>
            </w:r>
            <w:r w:rsidRPr="00AF52B4">
              <w:noBreakHyphen/>
              <w:t>Onset Dementia in the UK Biobank</w:t>
            </w:r>
          </w:p>
        </w:tc>
        <w:tc>
          <w:tcPr>
            <w:tcW w:w="2162" w:type="dxa"/>
          </w:tcPr>
          <w:p w14:paraId="33ACAD29" w14:textId="77777777" w:rsidR="00946E91" w:rsidRPr="00AF52B4" w:rsidRDefault="00946E91" w:rsidP="00946E91">
            <w:pPr>
              <w:spacing w:after="160" w:line="278" w:lineRule="auto"/>
            </w:pPr>
            <w:r w:rsidRPr="00AF52B4">
              <w:t>Large UK Biobank cohort: lower socioeconomic status and alcohol use disorder increase young-onset dementia risk; moderate alcohol use shows complex associations.</w:t>
            </w:r>
          </w:p>
        </w:tc>
        <w:tc>
          <w:tcPr>
            <w:tcW w:w="2162" w:type="dxa"/>
          </w:tcPr>
          <w:p w14:paraId="027BBABE" w14:textId="77777777" w:rsidR="00946E91" w:rsidRPr="00AF52B4" w:rsidRDefault="00946E91" w:rsidP="00946E91">
            <w:pPr>
              <w:spacing w:after="160" w:line="278" w:lineRule="auto"/>
            </w:pPr>
            <w:r w:rsidRPr="00AF52B4">
              <w:t xml:space="preserve">Current, peer-reviewed, UK Biobank data, relevant          </w:t>
            </w:r>
          </w:p>
        </w:tc>
        <w:tc>
          <w:tcPr>
            <w:tcW w:w="2163" w:type="dxa"/>
          </w:tcPr>
          <w:p w14:paraId="5FB7AB04" w14:textId="77777777" w:rsidR="00946E91" w:rsidRPr="00AF52B4" w:rsidRDefault="00946E91" w:rsidP="00946E91">
            <w:pPr>
              <w:spacing w:after="160" w:line="278" w:lineRule="auto"/>
              <w:rPr>
                <w:b/>
                <w:bCs/>
              </w:rPr>
            </w:pPr>
            <w:hyperlink r:id="rId169" w:history="1">
              <w:r w:rsidRPr="00AF52B4">
                <w:rPr>
                  <w:rStyle w:val="Hyperlink"/>
                  <w:b/>
                  <w:bCs/>
                </w:rPr>
                <w:t>https://doi.org/10.100/jamaneurol.2023.4929</w:t>
              </w:r>
            </w:hyperlink>
          </w:p>
          <w:p w14:paraId="2428A7CD" w14:textId="77777777" w:rsidR="00946E91" w:rsidRPr="00AF52B4" w:rsidRDefault="00946E91" w:rsidP="00946E91">
            <w:pPr>
              <w:spacing w:after="160" w:line="278" w:lineRule="auto"/>
              <w:rPr>
                <w:b/>
                <w:bCs/>
              </w:rPr>
            </w:pPr>
          </w:p>
          <w:p w14:paraId="46BA2ACE" w14:textId="77777777" w:rsidR="00946E91" w:rsidRPr="00AF52B4" w:rsidRDefault="00946E91" w:rsidP="00946E91">
            <w:pPr>
              <w:spacing w:after="160" w:line="278" w:lineRule="auto"/>
              <w:rPr>
                <w:b/>
                <w:bCs/>
              </w:rPr>
            </w:pPr>
          </w:p>
          <w:p w14:paraId="6F08F7AD" w14:textId="77777777" w:rsidR="00946E91" w:rsidRPr="00AF52B4" w:rsidRDefault="00946E91" w:rsidP="00946E91">
            <w:pPr>
              <w:spacing w:after="160" w:line="278" w:lineRule="auto"/>
              <w:rPr>
                <w:b/>
                <w:bCs/>
              </w:rPr>
            </w:pPr>
          </w:p>
          <w:p w14:paraId="461295B1" w14:textId="77777777" w:rsidR="00946E91" w:rsidRPr="00AF52B4" w:rsidRDefault="00946E91" w:rsidP="00946E91">
            <w:pPr>
              <w:spacing w:after="160" w:line="278" w:lineRule="auto"/>
              <w:rPr>
                <w:b/>
                <w:bCs/>
              </w:rPr>
            </w:pPr>
          </w:p>
          <w:p w14:paraId="52058C3A" w14:textId="77777777" w:rsidR="00946E91" w:rsidRPr="00AF52B4" w:rsidRDefault="00946E91" w:rsidP="00946E91">
            <w:pPr>
              <w:spacing w:after="160" w:line="278" w:lineRule="auto"/>
              <w:rPr>
                <w:b/>
                <w:bCs/>
              </w:rPr>
            </w:pPr>
          </w:p>
          <w:p w14:paraId="39E1809C" w14:textId="77777777" w:rsidR="00946E91" w:rsidRPr="00AF52B4" w:rsidRDefault="00946E91" w:rsidP="00946E91">
            <w:pPr>
              <w:spacing w:after="160" w:line="278" w:lineRule="auto"/>
              <w:rPr>
                <w:b/>
                <w:bCs/>
              </w:rPr>
            </w:pPr>
          </w:p>
        </w:tc>
      </w:tr>
      <w:tr w:rsidR="00946E91" w:rsidRPr="00AF52B4" w14:paraId="2619F99E" w14:textId="77777777" w:rsidTr="009B55A0">
        <w:trPr>
          <w:trHeight w:val="404"/>
        </w:trPr>
        <w:tc>
          <w:tcPr>
            <w:tcW w:w="2162" w:type="dxa"/>
          </w:tcPr>
          <w:p w14:paraId="45F73F50" w14:textId="77777777" w:rsidR="00946E91" w:rsidRPr="00AF52B4" w:rsidRDefault="00946E91" w:rsidP="00946E91">
            <w:pPr>
              <w:spacing w:after="160" w:line="278" w:lineRule="auto"/>
            </w:pPr>
            <w:r w:rsidRPr="00AF52B4">
              <w:t>(Wiegmann,2020)</w:t>
            </w:r>
          </w:p>
        </w:tc>
        <w:tc>
          <w:tcPr>
            <w:tcW w:w="2162" w:type="dxa"/>
          </w:tcPr>
          <w:p w14:paraId="3944BBB3" w14:textId="207D7D8A" w:rsidR="00946E91" w:rsidRPr="00AF52B4" w:rsidRDefault="00946E91" w:rsidP="00946E91">
            <w:pPr>
              <w:spacing w:after="160" w:line="278" w:lineRule="auto"/>
            </w:pPr>
            <w:r w:rsidRPr="00AF52B4">
              <w:t xml:space="preserve">Alcohol and Dementia </w:t>
            </w:r>
            <w:r>
              <w:t>-</w:t>
            </w:r>
            <w:r w:rsidRPr="00AF52B4">
              <w:t xml:space="preserve"> What is the Link? A Systematic Review</w:t>
            </w:r>
          </w:p>
        </w:tc>
        <w:tc>
          <w:tcPr>
            <w:tcW w:w="2162" w:type="dxa"/>
          </w:tcPr>
          <w:p w14:paraId="1CE1A17D" w14:textId="77777777" w:rsidR="00946E91" w:rsidRPr="00AF52B4" w:rsidRDefault="00946E91" w:rsidP="00946E91">
            <w:pPr>
              <w:spacing w:after="160" w:line="278" w:lineRule="auto"/>
            </w:pPr>
            <w:r w:rsidRPr="00AF52B4">
              <w:t>Systematic review: heavy alcohol consumption linked to increased dementia risk; moderate drinking associations confounded by higher SES.</w:t>
            </w:r>
          </w:p>
        </w:tc>
        <w:tc>
          <w:tcPr>
            <w:tcW w:w="2162" w:type="dxa"/>
          </w:tcPr>
          <w:p w14:paraId="16FCFBA0" w14:textId="77777777" w:rsidR="00946E91" w:rsidRPr="00AF52B4" w:rsidRDefault="00946E91" w:rsidP="00946E91">
            <w:pPr>
              <w:spacing w:after="160" w:line="278" w:lineRule="auto"/>
            </w:pPr>
            <w:r w:rsidRPr="00AF52B4">
              <w:t>Peer-reviewed, systematic review, reliable methods</w:t>
            </w:r>
          </w:p>
        </w:tc>
        <w:tc>
          <w:tcPr>
            <w:tcW w:w="2163" w:type="dxa"/>
          </w:tcPr>
          <w:p w14:paraId="024DD9FB" w14:textId="77777777" w:rsidR="00946E91" w:rsidRPr="00AF52B4" w:rsidRDefault="00946E91" w:rsidP="00946E91">
            <w:pPr>
              <w:spacing w:after="160" w:line="278" w:lineRule="auto"/>
              <w:rPr>
                <w:b/>
                <w:bCs/>
              </w:rPr>
            </w:pPr>
            <w:hyperlink r:id="rId170" w:history="1">
              <w:r w:rsidRPr="00AF52B4">
                <w:rPr>
                  <w:rStyle w:val="Hyperlink"/>
                  <w:b/>
                  <w:bCs/>
                </w:rPr>
                <w:t>https://www.dovepress.com/alcohol-and-dementia-what-is-the-link-a-systematic-review-peer-reviewed-fulltext-article-NDT</w:t>
              </w:r>
            </w:hyperlink>
          </w:p>
          <w:p w14:paraId="7FB03624" w14:textId="77777777" w:rsidR="00946E91" w:rsidRPr="00AF52B4" w:rsidRDefault="00946E91" w:rsidP="00946E91">
            <w:pPr>
              <w:spacing w:after="160" w:line="278" w:lineRule="auto"/>
              <w:rPr>
                <w:b/>
                <w:bCs/>
              </w:rPr>
            </w:pPr>
          </w:p>
        </w:tc>
      </w:tr>
      <w:tr w:rsidR="00946E91" w:rsidRPr="00AF52B4" w14:paraId="4BB38A96" w14:textId="77777777" w:rsidTr="009B55A0">
        <w:trPr>
          <w:trHeight w:val="421"/>
        </w:trPr>
        <w:tc>
          <w:tcPr>
            <w:tcW w:w="2162" w:type="dxa"/>
          </w:tcPr>
          <w:p w14:paraId="4D89FA97" w14:textId="77777777" w:rsidR="00946E91" w:rsidRPr="00AF52B4" w:rsidRDefault="00946E91" w:rsidP="00946E91">
            <w:pPr>
              <w:spacing w:after="160" w:line="278" w:lineRule="auto"/>
            </w:pPr>
            <w:r w:rsidRPr="00AF52B4">
              <w:t>(Williams et al. 2026)</w:t>
            </w:r>
          </w:p>
        </w:tc>
        <w:tc>
          <w:tcPr>
            <w:tcW w:w="2162" w:type="dxa"/>
          </w:tcPr>
          <w:p w14:paraId="415F44AD" w14:textId="77777777" w:rsidR="00946E91" w:rsidRPr="00AF52B4" w:rsidRDefault="00946E91" w:rsidP="00946E91">
            <w:pPr>
              <w:spacing w:after="160" w:line="278" w:lineRule="auto"/>
            </w:pPr>
            <w:r w:rsidRPr="00AF52B4">
              <w:t>Systematic review of the association between life course socioeconomic status and dementia</w:t>
            </w:r>
          </w:p>
        </w:tc>
        <w:tc>
          <w:tcPr>
            <w:tcW w:w="2162" w:type="dxa"/>
          </w:tcPr>
          <w:p w14:paraId="7EDA882C" w14:textId="77777777" w:rsidR="00946E91" w:rsidRPr="00AF52B4" w:rsidRDefault="00946E91" w:rsidP="00946E91">
            <w:pPr>
              <w:spacing w:after="160" w:line="278" w:lineRule="auto"/>
            </w:pPr>
            <w:r w:rsidRPr="00AF52B4">
              <w:t>Review: lifelong low SES associated with higher dementia risk, highlighting socioeconomic disadvantage as key upstream determinant.</w:t>
            </w:r>
          </w:p>
        </w:tc>
        <w:tc>
          <w:tcPr>
            <w:tcW w:w="2162" w:type="dxa"/>
          </w:tcPr>
          <w:p w14:paraId="20A6EC55" w14:textId="77777777" w:rsidR="00946E91" w:rsidRPr="00AF52B4" w:rsidRDefault="00946E91" w:rsidP="00946E91">
            <w:pPr>
              <w:spacing w:after="160" w:line="278" w:lineRule="auto"/>
            </w:pPr>
            <w:r w:rsidRPr="00AF52B4">
              <w:t>Recent, systematic, credible, well-cited</w:t>
            </w:r>
          </w:p>
        </w:tc>
        <w:tc>
          <w:tcPr>
            <w:tcW w:w="2163" w:type="dxa"/>
          </w:tcPr>
          <w:p w14:paraId="3EC54588" w14:textId="77777777" w:rsidR="00946E91" w:rsidRPr="00AF52B4" w:rsidRDefault="00946E91" w:rsidP="00946E91">
            <w:pPr>
              <w:spacing w:after="160" w:line="278" w:lineRule="auto"/>
              <w:rPr>
                <w:b/>
                <w:bCs/>
              </w:rPr>
            </w:pPr>
            <w:hyperlink r:id="rId171" w:history="1">
              <w:r w:rsidRPr="00AF52B4">
                <w:rPr>
                  <w:rStyle w:val="Hyperlink"/>
                  <w:b/>
                  <w:bCs/>
                </w:rPr>
                <w:t>https://pubmed.ncbi.nlm.nih.gov/41130718/</w:t>
              </w:r>
            </w:hyperlink>
          </w:p>
          <w:p w14:paraId="31094547" w14:textId="77777777" w:rsidR="00946E91" w:rsidRPr="00AF52B4" w:rsidRDefault="00946E91" w:rsidP="00946E91">
            <w:pPr>
              <w:spacing w:after="160" w:line="278" w:lineRule="auto"/>
              <w:rPr>
                <w:b/>
                <w:bCs/>
              </w:rPr>
            </w:pPr>
          </w:p>
        </w:tc>
      </w:tr>
      <w:tr w:rsidR="00946E91" w:rsidRPr="00AF52B4" w14:paraId="666064D8" w14:textId="77777777" w:rsidTr="009B55A0">
        <w:trPr>
          <w:trHeight w:val="404"/>
        </w:trPr>
        <w:tc>
          <w:tcPr>
            <w:tcW w:w="2162" w:type="dxa"/>
          </w:tcPr>
          <w:p w14:paraId="41D87582" w14:textId="77777777" w:rsidR="00946E91" w:rsidRPr="00AF52B4" w:rsidRDefault="00946E91" w:rsidP="00946E91">
            <w:pPr>
              <w:spacing w:after="160" w:line="278" w:lineRule="auto"/>
            </w:pPr>
            <w:r w:rsidRPr="00AF52B4">
              <w:t>(Sabia et al. 2018)</w:t>
            </w:r>
          </w:p>
        </w:tc>
        <w:tc>
          <w:tcPr>
            <w:tcW w:w="2162" w:type="dxa"/>
          </w:tcPr>
          <w:p w14:paraId="2820CDFA" w14:textId="77777777" w:rsidR="00946E91" w:rsidRPr="00AF52B4" w:rsidRDefault="00946E91" w:rsidP="00946E91">
            <w:pPr>
              <w:spacing w:after="160" w:line="278" w:lineRule="auto"/>
            </w:pPr>
            <w:r w:rsidRPr="00AF52B4">
              <w:t xml:space="preserve">Alcohol consumption and </w:t>
            </w:r>
            <w:r w:rsidRPr="00AF52B4">
              <w:lastRenderedPageBreak/>
              <w:t>risk of dementia: 23 years follow up</w:t>
            </w:r>
          </w:p>
        </w:tc>
        <w:tc>
          <w:tcPr>
            <w:tcW w:w="2162" w:type="dxa"/>
          </w:tcPr>
          <w:p w14:paraId="0D8AA9D1" w14:textId="77777777" w:rsidR="00946E91" w:rsidRPr="00AF52B4" w:rsidRDefault="00946E91" w:rsidP="00946E91">
            <w:pPr>
              <w:spacing w:after="160" w:line="278" w:lineRule="auto"/>
            </w:pPr>
            <w:r w:rsidRPr="00AF52B4">
              <w:lastRenderedPageBreak/>
              <w:t xml:space="preserve">Longitudinal study: abstinence and high alcohol </w:t>
            </w:r>
            <w:r w:rsidRPr="00AF52B4">
              <w:lastRenderedPageBreak/>
              <w:t>intake in midlife linked to higher dementia risk relative to moderate consumption; U-shaped associations.</w:t>
            </w:r>
          </w:p>
        </w:tc>
        <w:tc>
          <w:tcPr>
            <w:tcW w:w="2162" w:type="dxa"/>
          </w:tcPr>
          <w:p w14:paraId="1BA18108" w14:textId="77777777" w:rsidR="00946E91" w:rsidRPr="00AF52B4" w:rsidRDefault="00946E91" w:rsidP="00946E91">
            <w:pPr>
              <w:spacing w:after="160" w:line="278" w:lineRule="auto"/>
            </w:pPr>
            <w:r w:rsidRPr="00AF52B4">
              <w:lastRenderedPageBreak/>
              <w:t>Peer-reviewed, long-term cohort, high relevance</w:t>
            </w:r>
          </w:p>
        </w:tc>
        <w:tc>
          <w:tcPr>
            <w:tcW w:w="2163" w:type="dxa"/>
          </w:tcPr>
          <w:p w14:paraId="1DDFDC09" w14:textId="77777777" w:rsidR="00946E91" w:rsidRPr="00AF52B4" w:rsidRDefault="00946E91" w:rsidP="00946E91">
            <w:pPr>
              <w:spacing w:after="160" w:line="278" w:lineRule="auto"/>
              <w:rPr>
                <w:b/>
                <w:bCs/>
              </w:rPr>
            </w:pPr>
            <w:hyperlink r:id="rId172" w:history="1">
              <w:r w:rsidRPr="00AF52B4">
                <w:rPr>
                  <w:rStyle w:val="Hyperlink"/>
                  <w:b/>
                  <w:bCs/>
                </w:rPr>
                <w:t>https://pubmed.ncbi.nlm.nih.gov/30068508/</w:t>
              </w:r>
            </w:hyperlink>
          </w:p>
          <w:p w14:paraId="30090DBA" w14:textId="77777777" w:rsidR="00946E91" w:rsidRPr="00AF52B4" w:rsidRDefault="00946E91" w:rsidP="00946E91">
            <w:pPr>
              <w:spacing w:after="160" w:line="278" w:lineRule="auto"/>
              <w:rPr>
                <w:b/>
                <w:bCs/>
              </w:rPr>
            </w:pPr>
          </w:p>
        </w:tc>
      </w:tr>
      <w:tr w:rsidR="00946E91" w:rsidRPr="00AF52B4" w14:paraId="7692B3EF" w14:textId="77777777" w:rsidTr="009B55A0">
        <w:trPr>
          <w:trHeight w:val="404"/>
        </w:trPr>
        <w:tc>
          <w:tcPr>
            <w:tcW w:w="2162" w:type="dxa"/>
          </w:tcPr>
          <w:p w14:paraId="1B09AF3A" w14:textId="77777777" w:rsidR="00946E91" w:rsidRPr="00AF52B4" w:rsidRDefault="00946E91" w:rsidP="00946E91">
            <w:pPr>
              <w:spacing w:after="160" w:line="278" w:lineRule="auto"/>
            </w:pPr>
            <w:r w:rsidRPr="00AF52B4">
              <w:t>(Zhang, J. 2026)</w:t>
            </w:r>
          </w:p>
        </w:tc>
        <w:tc>
          <w:tcPr>
            <w:tcW w:w="2162" w:type="dxa"/>
          </w:tcPr>
          <w:p w14:paraId="5D94081B" w14:textId="77777777" w:rsidR="00946E91" w:rsidRPr="00AF52B4" w:rsidRDefault="00946E91" w:rsidP="00946E91">
            <w:pPr>
              <w:spacing w:after="160" w:line="278" w:lineRule="auto"/>
            </w:pPr>
            <w:r w:rsidRPr="00AF52B4">
              <w:t>Identifying risk factors of young onset dementia and clinical alcohol disorders</w:t>
            </w:r>
          </w:p>
        </w:tc>
        <w:tc>
          <w:tcPr>
            <w:tcW w:w="2162" w:type="dxa"/>
          </w:tcPr>
          <w:p w14:paraId="1307CAF4" w14:textId="77777777" w:rsidR="00946E91" w:rsidRPr="00AF52B4" w:rsidRDefault="00946E91" w:rsidP="00946E91">
            <w:pPr>
              <w:spacing w:after="160" w:line="278" w:lineRule="auto"/>
            </w:pPr>
            <w:r w:rsidRPr="00AF52B4">
              <w:t>Emerging research: clinical alcohol disorders closely related to dementia risk in younger adults.</w:t>
            </w:r>
          </w:p>
        </w:tc>
        <w:tc>
          <w:tcPr>
            <w:tcW w:w="2162" w:type="dxa"/>
          </w:tcPr>
          <w:p w14:paraId="2D01AFA2" w14:textId="77777777" w:rsidR="00946E91" w:rsidRPr="00AF52B4" w:rsidRDefault="00946E91" w:rsidP="00946E91">
            <w:pPr>
              <w:spacing w:after="160" w:line="278" w:lineRule="auto"/>
            </w:pPr>
            <w:r w:rsidRPr="00AF52B4">
              <w:t>Current, peer-reviewed, direct relevance</w:t>
            </w:r>
          </w:p>
        </w:tc>
        <w:tc>
          <w:tcPr>
            <w:tcW w:w="2163" w:type="dxa"/>
          </w:tcPr>
          <w:p w14:paraId="34BBAE26" w14:textId="77777777" w:rsidR="00946E91" w:rsidRPr="00AF52B4" w:rsidRDefault="00946E91" w:rsidP="00946E91">
            <w:pPr>
              <w:spacing w:after="160" w:line="278" w:lineRule="auto"/>
              <w:rPr>
                <w:b/>
                <w:bCs/>
              </w:rPr>
            </w:pPr>
            <w:hyperlink r:id="rId173" w:history="1">
              <w:r w:rsidRPr="00AF52B4">
                <w:rPr>
                  <w:rStyle w:val="Hyperlink"/>
                  <w:b/>
                  <w:bCs/>
                </w:rPr>
                <w:t>https://pubmed.ncbi.nlm.nih.gov/40987604/</w:t>
              </w:r>
            </w:hyperlink>
          </w:p>
          <w:p w14:paraId="1F14A88C" w14:textId="77777777" w:rsidR="00946E91" w:rsidRPr="00AF52B4" w:rsidRDefault="00946E91" w:rsidP="00946E91">
            <w:pPr>
              <w:spacing w:after="160" w:line="278" w:lineRule="auto"/>
              <w:rPr>
                <w:b/>
                <w:bCs/>
              </w:rPr>
            </w:pPr>
          </w:p>
        </w:tc>
      </w:tr>
      <w:tr w:rsidR="00946E91" w:rsidRPr="00AF52B4" w14:paraId="4B010A32" w14:textId="77777777" w:rsidTr="009B55A0">
        <w:trPr>
          <w:trHeight w:val="404"/>
        </w:trPr>
        <w:tc>
          <w:tcPr>
            <w:tcW w:w="2162" w:type="dxa"/>
          </w:tcPr>
          <w:p w14:paraId="750DD70D" w14:textId="77777777" w:rsidR="00946E91" w:rsidRPr="00AF52B4" w:rsidRDefault="00946E91" w:rsidP="00946E91">
            <w:pPr>
              <w:spacing w:after="160" w:line="278" w:lineRule="auto"/>
            </w:pPr>
            <w:r w:rsidRPr="00AF52B4">
              <w:t>(Wang et al. 2024)</w:t>
            </w:r>
          </w:p>
        </w:tc>
        <w:tc>
          <w:tcPr>
            <w:tcW w:w="2162" w:type="dxa"/>
          </w:tcPr>
          <w:p w14:paraId="2EFFF80C" w14:textId="77777777" w:rsidR="00946E91" w:rsidRPr="00AF52B4" w:rsidRDefault="00946E91" w:rsidP="00946E91">
            <w:pPr>
              <w:spacing w:after="160" w:line="278" w:lineRule="auto"/>
            </w:pPr>
            <w:r w:rsidRPr="00AF52B4">
              <w:t>Associations of socioeconomic status and healthy lifestyle with dementia risk</w:t>
            </w:r>
          </w:p>
        </w:tc>
        <w:tc>
          <w:tcPr>
            <w:tcW w:w="2162" w:type="dxa"/>
          </w:tcPr>
          <w:p w14:paraId="2CDBB49C" w14:textId="77777777" w:rsidR="00946E91" w:rsidRPr="00AF52B4" w:rsidRDefault="00946E91" w:rsidP="00946E91">
            <w:pPr>
              <w:spacing w:after="160" w:line="278" w:lineRule="auto"/>
            </w:pPr>
            <w:r w:rsidRPr="00AF52B4">
              <w:t>Low SES significantly related to higher dementia risk, partly</w:t>
            </w:r>
          </w:p>
        </w:tc>
        <w:tc>
          <w:tcPr>
            <w:tcW w:w="2162" w:type="dxa"/>
          </w:tcPr>
          <w:p w14:paraId="03AC8CC2" w14:textId="77777777" w:rsidR="00946E91" w:rsidRPr="00AF52B4" w:rsidRDefault="00946E91" w:rsidP="00946E91">
            <w:pPr>
              <w:spacing w:after="160" w:line="278" w:lineRule="auto"/>
            </w:pPr>
            <w:r w:rsidRPr="00AF52B4">
              <w:t>Recent, high-quality cohort study, well-documented</w:t>
            </w:r>
          </w:p>
        </w:tc>
        <w:tc>
          <w:tcPr>
            <w:tcW w:w="2163" w:type="dxa"/>
          </w:tcPr>
          <w:p w14:paraId="0DA097EA" w14:textId="77777777" w:rsidR="00946E91" w:rsidRPr="00AF52B4" w:rsidRDefault="00946E91" w:rsidP="00946E91">
            <w:pPr>
              <w:spacing w:after="160" w:line="278" w:lineRule="auto"/>
            </w:pPr>
            <w:hyperlink r:id="rId174" w:history="1">
              <w:r w:rsidRPr="00AF52B4">
                <w:rPr>
                  <w:rStyle w:val="Hyperlink"/>
                </w:rPr>
                <w:t>Associations of socioeconomic status and healthy lifestyle with incident dementia and cognitive decline: two prospective cohort studies - PubMed</w:t>
              </w:r>
            </w:hyperlink>
          </w:p>
          <w:p w14:paraId="64F0B0A4" w14:textId="77777777" w:rsidR="00946E91" w:rsidRPr="00AF52B4" w:rsidRDefault="00946E91" w:rsidP="00946E91">
            <w:pPr>
              <w:spacing w:after="160" w:line="278" w:lineRule="auto"/>
              <w:rPr>
                <w:b/>
                <w:bCs/>
              </w:rPr>
            </w:pPr>
          </w:p>
          <w:p w14:paraId="00B56C1B" w14:textId="77777777" w:rsidR="00946E91" w:rsidRPr="00AF52B4" w:rsidRDefault="00946E91" w:rsidP="00946E91">
            <w:pPr>
              <w:spacing w:after="160" w:line="278" w:lineRule="auto"/>
            </w:pPr>
          </w:p>
        </w:tc>
      </w:tr>
      <w:tr w:rsidR="00946E91" w:rsidRPr="00AF52B4" w14:paraId="36E1E807" w14:textId="77777777" w:rsidTr="009B55A0">
        <w:trPr>
          <w:trHeight w:val="404"/>
        </w:trPr>
        <w:tc>
          <w:tcPr>
            <w:tcW w:w="2162" w:type="dxa"/>
          </w:tcPr>
          <w:p w14:paraId="01F0F776" w14:textId="77777777" w:rsidR="00946E91" w:rsidRPr="00AF52B4" w:rsidRDefault="00946E91" w:rsidP="00946E91">
            <w:pPr>
              <w:spacing w:after="160" w:line="278" w:lineRule="auto"/>
            </w:pPr>
            <w:r w:rsidRPr="00AF52B4">
              <w:t>(Ou et al. 2023)</w:t>
            </w:r>
          </w:p>
        </w:tc>
        <w:tc>
          <w:tcPr>
            <w:tcW w:w="2162" w:type="dxa"/>
          </w:tcPr>
          <w:p w14:paraId="145219E6" w14:textId="77777777" w:rsidR="00946E91" w:rsidRPr="00AF52B4" w:rsidRDefault="00946E91" w:rsidP="00946E91">
            <w:pPr>
              <w:spacing w:after="160" w:line="278" w:lineRule="auto"/>
            </w:pPr>
            <w:r w:rsidRPr="00AF52B4">
              <w:t>Socioeconomic status and risks of cognitive impairment and dementia: systematic review</w:t>
            </w:r>
          </w:p>
        </w:tc>
        <w:tc>
          <w:tcPr>
            <w:tcW w:w="2162" w:type="dxa"/>
          </w:tcPr>
          <w:p w14:paraId="2CB85098" w14:textId="77777777" w:rsidR="00946E91" w:rsidRPr="00AF52B4" w:rsidRDefault="00946E91" w:rsidP="00946E91">
            <w:pPr>
              <w:spacing w:after="160" w:line="278" w:lineRule="auto"/>
            </w:pPr>
            <w:r w:rsidRPr="00AF52B4">
              <w:t>Meta-analysis: lower SES consistently associated with increased cognitive impairment and dementia risk.</w:t>
            </w:r>
          </w:p>
        </w:tc>
        <w:tc>
          <w:tcPr>
            <w:tcW w:w="2162" w:type="dxa"/>
          </w:tcPr>
          <w:p w14:paraId="35F89F00" w14:textId="77777777" w:rsidR="00946E91" w:rsidRPr="00AF52B4" w:rsidRDefault="00946E91" w:rsidP="00946E91">
            <w:pPr>
              <w:spacing w:after="160" w:line="278" w:lineRule="auto"/>
            </w:pPr>
            <w:r w:rsidRPr="00AF52B4">
              <w:t>Peer-reviewed, systematic, credible</w:t>
            </w:r>
          </w:p>
        </w:tc>
        <w:tc>
          <w:tcPr>
            <w:tcW w:w="2163" w:type="dxa"/>
          </w:tcPr>
          <w:p w14:paraId="1DF89D4A" w14:textId="77777777" w:rsidR="00946E91" w:rsidRPr="00AF52B4" w:rsidRDefault="00946E91" w:rsidP="00946E91">
            <w:pPr>
              <w:spacing w:after="160" w:line="278" w:lineRule="auto"/>
              <w:rPr>
                <w:b/>
                <w:bCs/>
              </w:rPr>
            </w:pPr>
            <w:hyperlink r:id="rId175" w:history="1">
              <w:r w:rsidRPr="00AF52B4">
                <w:rPr>
                  <w:rStyle w:val="Hyperlink"/>
                  <w:b/>
                  <w:bCs/>
                </w:rPr>
                <w:t>https://pubmed.ncbi.nlm.nih.gov/36641612/?utm_source=chatgpt.com</w:t>
              </w:r>
            </w:hyperlink>
          </w:p>
          <w:p w14:paraId="65B6F500" w14:textId="77777777" w:rsidR="00946E91" w:rsidRPr="00AF52B4" w:rsidRDefault="00946E91" w:rsidP="00946E91">
            <w:pPr>
              <w:spacing w:after="160" w:line="278" w:lineRule="auto"/>
              <w:rPr>
                <w:b/>
                <w:bCs/>
              </w:rPr>
            </w:pPr>
          </w:p>
        </w:tc>
      </w:tr>
      <w:tr w:rsidR="00946E91" w:rsidRPr="00AF52B4" w14:paraId="02465C83" w14:textId="77777777" w:rsidTr="009B55A0">
        <w:trPr>
          <w:trHeight w:val="404"/>
        </w:trPr>
        <w:tc>
          <w:tcPr>
            <w:tcW w:w="2162" w:type="dxa"/>
          </w:tcPr>
          <w:p w14:paraId="138F2505" w14:textId="77777777" w:rsidR="00946E91" w:rsidRPr="00AF52B4" w:rsidRDefault="00946E91" w:rsidP="00946E91">
            <w:pPr>
              <w:spacing w:after="160" w:line="278" w:lineRule="auto"/>
            </w:pPr>
            <w:r w:rsidRPr="00AF52B4">
              <w:t>(ScienceDirect. 2023)</w:t>
            </w:r>
          </w:p>
        </w:tc>
        <w:tc>
          <w:tcPr>
            <w:tcW w:w="2162" w:type="dxa"/>
          </w:tcPr>
          <w:p w14:paraId="758BE770" w14:textId="116EA101" w:rsidR="00946E91" w:rsidRPr="00AF52B4" w:rsidRDefault="00946E91" w:rsidP="00946E91">
            <w:pPr>
              <w:spacing w:after="160" w:line="278" w:lineRule="auto"/>
            </w:pPr>
            <w:r w:rsidRPr="00AF52B4">
              <w:t xml:space="preserve">Social disparities and unhealthy lifestyles increase risk of dementia, </w:t>
            </w:r>
            <w:r w:rsidRPr="00AF52B4">
              <w:lastRenderedPageBreak/>
              <w:t xml:space="preserve">particularly at </w:t>
            </w:r>
            <w:r w:rsidR="000524F7" w:rsidRPr="00AF52B4">
              <w:t>a youthful age</w:t>
            </w:r>
          </w:p>
        </w:tc>
        <w:tc>
          <w:tcPr>
            <w:tcW w:w="2162" w:type="dxa"/>
          </w:tcPr>
          <w:p w14:paraId="133A9D7D" w14:textId="77777777" w:rsidR="00946E91" w:rsidRPr="00AF52B4" w:rsidRDefault="00946E91" w:rsidP="00946E91">
            <w:pPr>
              <w:spacing w:after="160" w:line="278" w:lineRule="auto"/>
            </w:pPr>
            <w:r w:rsidRPr="00AF52B4">
              <w:lastRenderedPageBreak/>
              <w:t xml:space="preserve">UK Biobank data: low SES + unhealthy lifestyles (incl. high alcohol </w:t>
            </w:r>
            <w:r w:rsidRPr="00AF52B4">
              <w:lastRenderedPageBreak/>
              <w:t>intake) linked to higher early dementia risk.</w:t>
            </w:r>
          </w:p>
        </w:tc>
        <w:tc>
          <w:tcPr>
            <w:tcW w:w="2162" w:type="dxa"/>
          </w:tcPr>
          <w:p w14:paraId="4AB88A2B" w14:textId="77777777" w:rsidR="00946E91" w:rsidRPr="00AF52B4" w:rsidRDefault="00946E91" w:rsidP="00946E91">
            <w:pPr>
              <w:spacing w:after="160" w:line="278" w:lineRule="auto"/>
            </w:pPr>
            <w:r w:rsidRPr="00AF52B4">
              <w:lastRenderedPageBreak/>
              <w:t>Recent, large cohort, directly relevant</w:t>
            </w:r>
          </w:p>
        </w:tc>
        <w:tc>
          <w:tcPr>
            <w:tcW w:w="2163" w:type="dxa"/>
          </w:tcPr>
          <w:p w14:paraId="24997195" w14:textId="77777777" w:rsidR="00946E91" w:rsidRPr="00AF52B4" w:rsidRDefault="00946E91" w:rsidP="00946E91">
            <w:pPr>
              <w:spacing w:after="160" w:line="278" w:lineRule="auto"/>
              <w:rPr>
                <w:b/>
                <w:bCs/>
              </w:rPr>
            </w:pPr>
            <w:hyperlink r:id="rId176" w:history="1">
              <w:r w:rsidRPr="00AF52B4">
                <w:rPr>
                  <w:rStyle w:val="Hyperlink"/>
                  <w:b/>
                  <w:bCs/>
                </w:rPr>
                <w:t>https://www.sciencedirect.com/science/article/abs/pii/S25426605230</w:t>
              </w:r>
              <w:r w:rsidRPr="00AF52B4">
                <w:rPr>
                  <w:rStyle w:val="Hyperlink"/>
                  <w:b/>
                  <w:bCs/>
                </w:rPr>
                <w:lastRenderedPageBreak/>
                <w:t>01476?utm_source=chatgpt.com</w:t>
              </w:r>
            </w:hyperlink>
          </w:p>
          <w:p w14:paraId="2DA7326D" w14:textId="77777777" w:rsidR="00946E91" w:rsidRPr="00AF52B4" w:rsidRDefault="00946E91" w:rsidP="00946E91">
            <w:pPr>
              <w:spacing w:after="160" w:line="278" w:lineRule="auto"/>
              <w:rPr>
                <w:b/>
                <w:bCs/>
              </w:rPr>
            </w:pPr>
          </w:p>
        </w:tc>
      </w:tr>
      <w:tr w:rsidR="00946E91" w:rsidRPr="00AF52B4" w14:paraId="5FB40BB8" w14:textId="77777777" w:rsidTr="009B55A0">
        <w:trPr>
          <w:trHeight w:val="404"/>
        </w:trPr>
        <w:tc>
          <w:tcPr>
            <w:tcW w:w="2162" w:type="dxa"/>
          </w:tcPr>
          <w:p w14:paraId="6057CA0E" w14:textId="77777777" w:rsidR="00946E91" w:rsidRPr="00AF52B4" w:rsidRDefault="00946E91" w:rsidP="00946E91">
            <w:pPr>
              <w:spacing w:after="160" w:line="278" w:lineRule="auto"/>
            </w:pPr>
            <w:r w:rsidRPr="00AF52B4">
              <w:t>(Alzheimer’s Research and Therapy (2019)</w:t>
            </w:r>
          </w:p>
        </w:tc>
        <w:tc>
          <w:tcPr>
            <w:tcW w:w="2162" w:type="dxa"/>
          </w:tcPr>
          <w:p w14:paraId="22EF6B55" w14:textId="77777777" w:rsidR="00946E91" w:rsidRPr="00AF52B4" w:rsidRDefault="00946E91" w:rsidP="00946E91">
            <w:pPr>
              <w:spacing w:after="160" w:line="278" w:lineRule="auto"/>
            </w:pPr>
            <w:r w:rsidRPr="00AF52B4">
              <w:t>Alcohol use and dementia: a systematic scoping review</w:t>
            </w:r>
          </w:p>
        </w:tc>
        <w:tc>
          <w:tcPr>
            <w:tcW w:w="2162" w:type="dxa"/>
          </w:tcPr>
          <w:p w14:paraId="55F56A1A" w14:textId="77777777" w:rsidR="00946E91" w:rsidRPr="00AF52B4" w:rsidRDefault="00946E91" w:rsidP="00946E91">
            <w:pPr>
              <w:spacing w:after="160" w:line="278" w:lineRule="auto"/>
            </w:pPr>
            <w:r w:rsidRPr="00AF52B4">
              <w:t>Heavy alcohol use associated with dementia/cognitive decline; moderate use showed heterogeneous effects.</w:t>
            </w:r>
          </w:p>
        </w:tc>
        <w:tc>
          <w:tcPr>
            <w:tcW w:w="2162" w:type="dxa"/>
          </w:tcPr>
          <w:p w14:paraId="42F45990" w14:textId="77777777" w:rsidR="00946E91" w:rsidRPr="00AF52B4" w:rsidRDefault="00946E91" w:rsidP="00946E91">
            <w:pPr>
              <w:spacing w:after="160" w:line="278" w:lineRule="auto"/>
            </w:pPr>
            <w:r w:rsidRPr="00AF52B4">
              <w:t>Peer-reviewed, comprehensive review, credible</w:t>
            </w:r>
          </w:p>
        </w:tc>
        <w:tc>
          <w:tcPr>
            <w:tcW w:w="2163" w:type="dxa"/>
          </w:tcPr>
          <w:p w14:paraId="331CB54A" w14:textId="77777777" w:rsidR="00946E91" w:rsidRPr="00AF52B4" w:rsidRDefault="00946E91" w:rsidP="00946E91">
            <w:pPr>
              <w:spacing w:after="160" w:line="278" w:lineRule="auto"/>
              <w:rPr>
                <w:b/>
                <w:bCs/>
              </w:rPr>
            </w:pPr>
            <w:hyperlink r:id="rId177" w:history="1">
              <w:r w:rsidRPr="00AF52B4">
                <w:rPr>
                  <w:rStyle w:val="Hyperlink"/>
                  <w:b/>
                  <w:bCs/>
                </w:rPr>
                <w:t>https://alzres.biomedcentral.com/articles/10.1186/s13195-019-0512-1?utm_source=chatgpt.com</w:t>
              </w:r>
            </w:hyperlink>
          </w:p>
          <w:p w14:paraId="6F63B8C3" w14:textId="77777777" w:rsidR="00946E91" w:rsidRPr="00AF52B4" w:rsidRDefault="00946E91" w:rsidP="00946E91">
            <w:pPr>
              <w:spacing w:after="160" w:line="278" w:lineRule="auto"/>
              <w:rPr>
                <w:b/>
                <w:bCs/>
              </w:rPr>
            </w:pPr>
          </w:p>
        </w:tc>
      </w:tr>
      <w:tr w:rsidR="00946E91" w:rsidRPr="00AF52B4" w14:paraId="3C1F02EB" w14:textId="77777777" w:rsidTr="009B55A0">
        <w:trPr>
          <w:trHeight w:val="404"/>
        </w:trPr>
        <w:tc>
          <w:tcPr>
            <w:tcW w:w="2162" w:type="dxa"/>
          </w:tcPr>
          <w:p w14:paraId="19328DDA" w14:textId="77777777" w:rsidR="00946E91" w:rsidRPr="00AF52B4" w:rsidRDefault="00946E91" w:rsidP="00946E91">
            <w:pPr>
              <w:spacing w:after="160" w:line="278" w:lineRule="auto"/>
            </w:pPr>
            <w:r w:rsidRPr="00AF52B4">
              <w:t>BMC Geriatrics (2023)</w:t>
            </w:r>
          </w:p>
        </w:tc>
        <w:tc>
          <w:tcPr>
            <w:tcW w:w="2162" w:type="dxa"/>
          </w:tcPr>
          <w:p w14:paraId="4378AF46" w14:textId="77777777" w:rsidR="00946E91" w:rsidRPr="00AF52B4" w:rsidRDefault="00946E91" w:rsidP="00946E91">
            <w:pPr>
              <w:spacing w:after="160" w:line="278" w:lineRule="auto"/>
            </w:pPr>
            <w:r w:rsidRPr="00AF52B4">
              <w:t>Alcohol use, dementia risk, and sex: systematic review and assessment of alcohol-attributable dementia cases</w:t>
            </w:r>
          </w:p>
        </w:tc>
        <w:tc>
          <w:tcPr>
            <w:tcW w:w="2162" w:type="dxa"/>
          </w:tcPr>
          <w:p w14:paraId="07E8EA6C" w14:textId="77777777" w:rsidR="00946E91" w:rsidRPr="00AF52B4" w:rsidRDefault="00946E91" w:rsidP="00946E91">
            <w:pPr>
              <w:spacing w:after="160" w:line="278" w:lineRule="auto"/>
            </w:pPr>
            <w:r w:rsidRPr="00AF52B4">
              <w:t>Alcohol use disorder contributes to dementia incidence; stronger associations at younger ages; risk varies by sex.</w:t>
            </w:r>
          </w:p>
        </w:tc>
        <w:tc>
          <w:tcPr>
            <w:tcW w:w="2162" w:type="dxa"/>
          </w:tcPr>
          <w:p w14:paraId="0D75EA7C" w14:textId="77777777" w:rsidR="00946E91" w:rsidRPr="00AF52B4" w:rsidRDefault="00946E91" w:rsidP="00946E91">
            <w:pPr>
              <w:spacing w:after="160" w:line="278" w:lineRule="auto"/>
            </w:pPr>
            <w:r w:rsidRPr="00AF52B4">
              <w:t>Peer-reviewed, current, relevant for young-onset dementia</w:t>
            </w:r>
          </w:p>
        </w:tc>
        <w:tc>
          <w:tcPr>
            <w:tcW w:w="2163" w:type="dxa"/>
          </w:tcPr>
          <w:p w14:paraId="7FB141D4" w14:textId="77777777" w:rsidR="00946E91" w:rsidRPr="00AF52B4" w:rsidRDefault="00946E91" w:rsidP="00946E91">
            <w:pPr>
              <w:spacing w:after="160" w:line="278" w:lineRule="auto"/>
              <w:rPr>
                <w:b/>
                <w:bCs/>
              </w:rPr>
            </w:pPr>
            <w:hyperlink r:id="rId178" w:history="1">
              <w:r w:rsidRPr="00AF52B4">
                <w:rPr>
                  <w:rStyle w:val="Hyperlink"/>
                  <w:b/>
                  <w:bCs/>
                </w:rPr>
                <w:t>https://bmcgeriatr.biomedcentral.com/articles/10.1186/s12877-023-04230-4?utm_source=chatgpt.com</w:t>
              </w:r>
            </w:hyperlink>
          </w:p>
          <w:p w14:paraId="4E37575A" w14:textId="77777777" w:rsidR="00946E91" w:rsidRPr="00AF52B4" w:rsidRDefault="00946E91" w:rsidP="00946E91">
            <w:pPr>
              <w:spacing w:after="160" w:line="278" w:lineRule="auto"/>
              <w:rPr>
                <w:b/>
                <w:bCs/>
              </w:rPr>
            </w:pPr>
          </w:p>
        </w:tc>
      </w:tr>
    </w:tbl>
    <w:p w14:paraId="163D545D" w14:textId="77777777" w:rsidR="00AF52B4" w:rsidRPr="0001010C" w:rsidRDefault="00AF52B4" w:rsidP="0001010C"/>
    <w:p w14:paraId="40D79BD9" w14:textId="77777777" w:rsidR="0001010C" w:rsidRPr="0001010C" w:rsidRDefault="0001010C" w:rsidP="0001010C"/>
    <w:p w14:paraId="2A82A0B6" w14:textId="77777777" w:rsidR="0001010C" w:rsidRPr="0001010C" w:rsidRDefault="0001010C" w:rsidP="0001010C"/>
    <w:p w14:paraId="705C2787" w14:textId="77777777" w:rsidR="0001010C" w:rsidRPr="0001010C" w:rsidRDefault="0001010C" w:rsidP="0001010C"/>
    <w:p w14:paraId="6019C747" w14:textId="77777777" w:rsidR="0001010C" w:rsidRDefault="0001010C"/>
    <w:sectPr w:rsidR="0001010C" w:rsidSect="00784BCE">
      <w:footerReference w:type="default" r:id="rId1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B0944" w14:textId="77777777" w:rsidR="00D77328" w:rsidRDefault="00D77328" w:rsidP="009C7116">
      <w:pPr>
        <w:spacing w:after="0" w:line="240" w:lineRule="auto"/>
      </w:pPr>
      <w:r>
        <w:separator/>
      </w:r>
    </w:p>
  </w:endnote>
  <w:endnote w:type="continuationSeparator" w:id="0">
    <w:p w14:paraId="0A406ADF" w14:textId="77777777" w:rsidR="00D77328" w:rsidRDefault="00D77328" w:rsidP="009C71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el">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676969"/>
      <w:docPartObj>
        <w:docPartGallery w:val="Page Numbers (Bottom of Page)"/>
        <w:docPartUnique/>
      </w:docPartObj>
    </w:sdtPr>
    <w:sdtEndPr>
      <w:rPr>
        <w:noProof/>
      </w:rPr>
    </w:sdtEndPr>
    <w:sdtContent>
      <w:p w14:paraId="19A7B8AC" w14:textId="6CD35E80" w:rsidR="001D2D05" w:rsidRDefault="001D2D0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D0EE28" w14:textId="77777777" w:rsidR="001D2D05" w:rsidRDefault="001D2D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8F8D2" w14:textId="77777777" w:rsidR="00D77328" w:rsidRDefault="00D77328" w:rsidP="009C7116">
      <w:pPr>
        <w:spacing w:after="0" w:line="240" w:lineRule="auto"/>
      </w:pPr>
      <w:r>
        <w:separator/>
      </w:r>
    </w:p>
  </w:footnote>
  <w:footnote w:type="continuationSeparator" w:id="0">
    <w:p w14:paraId="7075F6CD" w14:textId="77777777" w:rsidR="00D77328" w:rsidRDefault="00D77328" w:rsidP="009C71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A5264"/>
    <w:multiLevelType w:val="multilevel"/>
    <w:tmpl w:val="F88A4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367CA0"/>
    <w:multiLevelType w:val="multilevel"/>
    <w:tmpl w:val="D2C21B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79A3E83"/>
    <w:multiLevelType w:val="hybridMultilevel"/>
    <w:tmpl w:val="78221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D0347A"/>
    <w:multiLevelType w:val="multilevel"/>
    <w:tmpl w:val="D39E0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B601086"/>
    <w:multiLevelType w:val="multilevel"/>
    <w:tmpl w:val="48FEC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301F01"/>
    <w:multiLevelType w:val="multilevel"/>
    <w:tmpl w:val="27EC0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A6C2D"/>
    <w:multiLevelType w:val="multilevel"/>
    <w:tmpl w:val="A4388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C21037"/>
    <w:multiLevelType w:val="multilevel"/>
    <w:tmpl w:val="87543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7D7FC6"/>
    <w:multiLevelType w:val="multilevel"/>
    <w:tmpl w:val="4CF4A0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E2125F"/>
    <w:multiLevelType w:val="multilevel"/>
    <w:tmpl w:val="ECC27C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263CD3"/>
    <w:multiLevelType w:val="multilevel"/>
    <w:tmpl w:val="70BAF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EC4780"/>
    <w:multiLevelType w:val="hybridMultilevel"/>
    <w:tmpl w:val="A522B842"/>
    <w:lvl w:ilvl="0" w:tplc="788AB3A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9E80BD2"/>
    <w:multiLevelType w:val="multilevel"/>
    <w:tmpl w:val="769C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BA33D5"/>
    <w:multiLevelType w:val="multilevel"/>
    <w:tmpl w:val="7824A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D2A079B"/>
    <w:multiLevelType w:val="multilevel"/>
    <w:tmpl w:val="EC1C6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1D6B511E"/>
    <w:multiLevelType w:val="multilevel"/>
    <w:tmpl w:val="409E7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DCC5A74"/>
    <w:multiLevelType w:val="multilevel"/>
    <w:tmpl w:val="B4EC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8F64F3"/>
    <w:multiLevelType w:val="multilevel"/>
    <w:tmpl w:val="3B269C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3B22C39"/>
    <w:multiLevelType w:val="multilevel"/>
    <w:tmpl w:val="A8D23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7FA68F2"/>
    <w:multiLevelType w:val="multilevel"/>
    <w:tmpl w:val="CC2C4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8AB54D6"/>
    <w:multiLevelType w:val="multilevel"/>
    <w:tmpl w:val="C6623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6D535E"/>
    <w:multiLevelType w:val="multilevel"/>
    <w:tmpl w:val="F8FE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E678CA"/>
    <w:multiLevelType w:val="multilevel"/>
    <w:tmpl w:val="7BBA0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AF95A24"/>
    <w:multiLevelType w:val="multilevel"/>
    <w:tmpl w:val="BCC0C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BD84BCE"/>
    <w:multiLevelType w:val="multilevel"/>
    <w:tmpl w:val="BC127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A6214C"/>
    <w:multiLevelType w:val="multilevel"/>
    <w:tmpl w:val="4392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0D16F6C"/>
    <w:multiLevelType w:val="multilevel"/>
    <w:tmpl w:val="C01C7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36615393"/>
    <w:multiLevelType w:val="multilevel"/>
    <w:tmpl w:val="D31A3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7E17D79"/>
    <w:multiLevelType w:val="multilevel"/>
    <w:tmpl w:val="B7D4C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A064A82"/>
    <w:multiLevelType w:val="multilevel"/>
    <w:tmpl w:val="314C9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B39294D"/>
    <w:multiLevelType w:val="multilevel"/>
    <w:tmpl w:val="598E0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1D25091"/>
    <w:multiLevelType w:val="multilevel"/>
    <w:tmpl w:val="FBF8E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1F502DB"/>
    <w:multiLevelType w:val="multilevel"/>
    <w:tmpl w:val="65CA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29E7386"/>
    <w:multiLevelType w:val="multilevel"/>
    <w:tmpl w:val="6066B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306042B"/>
    <w:multiLevelType w:val="multilevel"/>
    <w:tmpl w:val="251C2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E64870"/>
    <w:multiLevelType w:val="multilevel"/>
    <w:tmpl w:val="79C4B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63E72C5"/>
    <w:multiLevelType w:val="multilevel"/>
    <w:tmpl w:val="A094D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9A71A7"/>
    <w:multiLevelType w:val="multilevel"/>
    <w:tmpl w:val="B7EE9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B1648F5"/>
    <w:multiLevelType w:val="multilevel"/>
    <w:tmpl w:val="2BA26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1782CF8"/>
    <w:multiLevelType w:val="multilevel"/>
    <w:tmpl w:val="E730D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1B41C55"/>
    <w:multiLevelType w:val="multilevel"/>
    <w:tmpl w:val="1A9AF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660694A"/>
    <w:multiLevelType w:val="multilevel"/>
    <w:tmpl w:val="2EE67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BD82FB9"/>
    <w:multiLevelType w:val="hybridMultilevel"/>
    <w:tmpl w:val="228E25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3" w15:restartNumberingAfterBreak="0">
    <w:nsid w:val="5DB520FD"/>
    <w:multiLevelType w:val="multilevel"/>
    <w:tmpl w:val="93ACB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5DCB0F25"/>
    <w:multiLevelType w:val="multilevel"/>
    <w:tmpl w:val="82CEB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5E9F3FDA"/>
    <w:multiLevelType w:val="multilevel"/>
    <w:tmpl w:val="C5665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EDB4A5B"/>
    <w:multiLevelType w:val="multilevel"/>
    <w:tmpl w:val="7E60A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0BE2662"/>
    <w:multiLevelType w:val="multilevel"/>
    <w:tmpl w:val="816C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1D57FCD"/>
    <w:multiLevelType w:val="multilevel"/>
    <w:tmpl w:val="39E67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4BA6D4D"/>
    <w:multiLevelType w:val="multilevel"/>
    <w:tmpl w:val="08C6D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53A2B85"/>
    <w:multiLevelType w:val="multilevel"/>
    <w:tmpl w:val="939EB2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67E768AB"/>
    <w:multiLevelType w:val="multilevel"/>
    <w:tmpl w:val="58AC3C0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2" w15:restartNumberingAfterBreak="0">
    <w:nsid w:val="6AAD4FEE"/>
    <w:multiLevelType w:val="multilevel"/>
    <w:tmpl w:val="4DB0D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72742775"/>
    <w:multiLevelType w:val="multilevel"/>
    <w:tmpl w:val="DB7A8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2847E93"/>
    <w:multiLevelType w:val="multilevel"/>
    <w:tmpl w:val="2D56CA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16cid:durableId="864176205">
    <w:abstractNumId w:val="25"/>
  </w:num>
  <w:num w:numId="2" w16cid:durableId="21249214">
    <w:abstractNumId w:val="51"/>
  </w:num>
  <w:num w:numId="3" w16cid:durableId="218981098">
    <w:abstractNumId w:val="1"/>
  </w:num>
  <w:num w:numId="4" w16cid:durableId="377049345">
    <w:abstractNumId w:val="54"/>
  </w:num>
  <w:num w:numId="5" w16cid:durableId="494229637">
    <w:abstractNumId w:val="44"/>
  </w:num>
  <w:num w:numId="6" w16cid:durableId="1747149668">
    <w:abstractNumId w:val="23"/>
  </w:num>
  <w:num w:numId="7" w16cid:durableId="969479993">
    <w:abstractNumId w:val="38"/>
  </w:num>
  <w:num w:numId="8" w16cid:durableId="1182548437">
    <w:abstractNumId w:val="8"/>
  </w:num>
  <w:num w:numId="9" w16cid:durableId="1770272551">
    <w:abstractNumId w:val="29"/>
  </w:num>
  <w:num w:numId="10" w16cid:durableId="521094897">
    <w:abstractNumId w:val="3"/>
  </w:num>
  <w:num w:numId="11" w16cid:durableId="1847397965">
    <w:abstractNumId w:val="35"/>
  </w:num>
  <w:num w:numId="12" w16cid:durableId="1229805447">
    <w:abstractNumId w:val="50"/>
  </w:num>
  <w:num w:numId="13" w16cid:durableId="532502306">
    <w:abstractNumId w:val="19"/>
  </w:num>
  <w:num w:numId="14" w16cid:durableId="307369188">
    <w:abstractNumId w:val="52"/>
  </w:num>
  <w:num w:numId="15" w16cid:durableId="72432069">
    <w:abstractNumId w:val="13"/>
  </w:num>
  <w:num w:numId="16" w16cid:durableId="767114465">
    <w:abstractNumId w:val="4"/>
  </w:num>
  <w:num w:numId="17" w16cid:durableId="1596981578">
    <w:abstractNumId w:val="39"/>
  </w:num>
  <w:num w:numId="18" w16cid:durableId="1035738921">
    <w:abstractNumId w:val="17"/>
  </w:num>
  <w:num w:numId="19" w16cid:durableId="2143499829">
    <w:abstractNumId w:val="18"/>
  </w:num>
  <w:num w:numId="20" w16cid:durableId="2023900116">
    <w:abstractNumId w:val="32"/>
  </w:num>
  <w:num w:numId="21" w16cid:durableId="781069015">
    <w:abstractNumId w:val="45"/>
  </w:num>
  <w:num w:numId="22" w16cid:durableId="1140347479">
    <w:abstractNumId w:val="31"/>
  </w:num>
  <w:num w:numId="23" w16cid:durableId="1648439370">
    <w:abstractNumId w:val="22"/>
  </w:num>
  <w:num w:numId="24" w16cid:durableId="849299892">
    <w:abstractNumId w:val="26"/>
  </w:num>
  <w:num w:numId="25" w16cid:durableId="1252818452">
    <w:abstractNumId w:val="30"/>
  </w:num>
  <w:num w:numId="26" w16cid:durableId="1381057822">
    <w:abstractNumId w:val="14"/>
  </w:num>
  <w:num w:numId="27" w16cid:durableId="701515882">
    <w:abstractNumId w:val="41"/>
  </w:num>
  <w:num w:numId="28" w16cid:durableId="345642117">
    <w:abstractNumId w:val="47"/>
  </w:num>
  <w:num w:numId="29" w16cid:durableId="1289698733">
    <w:abstractNumId w:val="43"/>
  </w:num>
  <w:num w:numId="30" w16cid:durableId="913665456">
    <w:abstractNumId w:val="40"/>
  </w:num>
  <w:num w:numId="31" w16cid:durableId="1161700924">
    <w:abstractNumId w:val="10"/>
  </w:num>
  <w:num w:numId="32" w16cid:durableId="65763964">
    <w:abstractNumId w:val="36"/>
  </w:num>
  <w:num w:numId="33" w16cid:durableId="867528084">
    <w:abstractNumId w:val="24"/>
  </w:num>
  <w:num w:numId="34" w16cid:durableId="224489338">
    <w:abstractNumId w:val="5"/>
  </w:num>
  <w:num w:numId="35" w16cid:durableId="1424456651">
    <w:abstractNumId w:val="53"/>
  </w:num>
  <w:num w:numId="36" w16cid:durableId="2029332212">
    <w:abstractNumId w:val="48"/>
  </w:num>
  <w:num w:numId="37" w16cid:durableId="893463151">
    <w:abstractNumId w:val="46"/>
  </w:num>
  <w:num w:numId="38" w16cid:durableId="1949921171">
    <w:abstractNumId w:val="21"/>
  </w:num>
  <w:num w:numId="39" w16cid:durableId="1086727290">
    <w:abstractNumId w:val="12"/>
  </w:num>
  <w:num w:numId="40" w16cid:durableId="723019729">
    <w:abstractNumId w:val="7"/>
  </w:num>
  <w:num w:numId="41" w16cid:durableId="599946549">
    <w:abstractNumId w:val="6"/>
  </w:num>
  <w:num w:numId="42" w16cid:durableId="2057194079">
    <w:abstractNumId w:val="37"/>
  </w:num>
  <w:num w:numId="43" w16cid:durableId="538398626">
    <w:abstractNumId w:val="20"/>
  </w:num>
  <w:num w:numId="44" w16cid:durableId="1901135839">
    <w:abstractNumId w:val="28"/>
  </w:num>
  <w:num w:numId="45" w16cid:durableId="1615865172">
    <w:abstractNumId w:val="15"/>
  </w:num>
  <w:num w:numId="46" w16cid:durableId="1826237610">
    <w:abstractNumId w:val="27"/>
  </w:num>
  <w:num w:numId="47" w16cid:durableId="176895687">
    <w:abstractNumId w:val="34"/>
  </w:num>
  <w:num w:numId="48" w16cid:durableId="773132881">
    <w:abstractNumId w:val="16"/>
  </w:num>
  <w:num w:numId="49" w16cid:durableId="1601529383">
    <w:abstractNumId w:val="49"/>
  </w:num>
  <w:num w:numId="50" w16cid:durableId="1935893704">
    <w:abstractNumId w:val="0"/>
  </w:num>
  <w:num w:numId="51" w16cid:durableId="1034186884">
    <w:abstractNumId w:val="9"/>
  </w:num>
  <w:num w:numId="52" w16cid:durableId="1286041243">
    <w:abstractNumId w:val="33"/>
  </w:num>
  <w:num w:numId="53" w16cid:durableId="242683950">
    <w:abstractNumId w:val="42"/>
  </w:num>
  <w:num w:numId="54" w16cid:durableId="266818955">
    <w:abstractNumId w:val="2"/>
  </w:num>
  <w:num w:numId="55" w16cid:durableId="158834017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7AE1"/>
    <w:rsid w:val="0000022D"/>
    <w:rsid w:val="0000053C"/>
    <w:rsid w:val="000016B1"/>
    <w:rsid w:val="00002288"/>
    <w:rsid w:val="00002A28"/>
    <w:rsid w:val="00004A0B"/>
    <w:rsid w:val="00005128"/>
    <w:rsid w:val="000057AB"/>
    <w:rsid w:val="0001010C"/>
    <w:rsid w:val="00010B78"/>
    <w:rsid w:val="00010C86"/>
    <w:rsid w:val="000113A8"/>
    <w:rsid w:val="000115DB"/>
    <w:rsid w:val="000118EC"/>
    <w:rsid w:val="00012EF9"/>
    <w:rsid w:val="00014213"/>
    <w:rsid w:val="000144F2"/>
    <w:rsid w:val="00015A58"/>
    <w:rsid w:val="00016DED"/>
    <w:rsid w:val="0002088B"/>
    <w:rsid w:val="00020FC6"/>
    <w:rsid w:val="0002385A"/>
    <w:rsid w:val="00023ED0"/>
    <w:rsid w:val="00026274"/>
    <w:rsid w:val="0002669F"/>
    <w:rsid w:val="00027C2D"/>
    <w:rsid w:val="0003004B"/>
    <w:rsid w:val="000305D3"/>
    <w:rsid w:val="00030D33"/>
    <w:rsid w:val="0003111F"/>
    <w:rsid w:val="000323E3"/>
    <w:rsid w:val="00033646"/>
    <w:rsid w:val="000349E3"/>
    <w:rsid w:val="000349E5"/>
    <w:rsid w:val="00035CA1"/>
    <w:rsid w:val="000378CE"/>
    <w:rsid w:val="00040EAE"/>
    <w:rsid w:val="000458B4"/>
    <w:rsid w:val="000475FA"/>
    <w:rsid w:val="00047607"/>
    <w:rsid w:val="0005171E"/>
    <w:rsid w:val="000524F7"/>
    <w:rsid w:val="0005355F"/>
    <w:rsid w:val="000538D9"/>
    <w:rsid w:val="00053F1E"/>
    <w:rsid w:val="00057AC3"/>
    <w:rsid w:val="000610C1"/>
    <w:rsid w:val="000613AD"/>
    <w:rsid w:val="000638E1"/>
    <w:rsid w:val="00064C6C"/>
    <w:rsid w:val="0006513F"/>
    <w:rsid w:val="00065EB8"/>
    <w:rsid w:val="00066868"/>
    <w:rsid w:val="00066DF4"/>
    <w:rsid w:val="00067376"/>
    <w:rsid w:val="00067C2B"/>
    <w:rsid w:val="0007016F"/>
    <w:rsid w:val="000702CF"/>
    <w:rsid w:val="0007053A"/>
    <w:rsid w:val="00070FDB"/>
    <w:rsid w:val="000723C1"/>
    <w:rsid w:val="000734B9"/>
    <w:rsid w:val="000738F9"/>
    <w:rsid w:val="0007449D"/>
    <w:rsid w:val="000758AF"/>
    <w:rsid w:val="00075FCF"/>
    <w:rsid w:val="00077332"/>
    <w:rsid w:val="00080E88"/>
    <w:rsid w:val="00081177"/>
    <w:rsid w:val="00084772"/>
    <w:rsid w:val="00084AEF"/>
    <w:rsid w:val="000852D7"/>
    <w:rsid w:val="00086BCE"/>
    <w:rsid w:val="00087696"/>
    <w:rsid w:val="0008783F"/>
    <w:rsid w:val="00087BAB"/>
    <w:rsid w:val="00087C74"/>
    <w:rsid w:val="00090F64"/>
    <w:rsid w:val="00091358"/>
    <w:rsid w:val="000919A8"/>
    <w:rsid w:val="00091E39"/>
    <w:rsid w:val="000932C2"/>
    <w:rsid w:val="00093696"/>
    <w:rsid w:val="00093D1A"/>
    <w:rsid w:val="00093F7D"/>
    <w:rsid w:val="00094CE4"/>
    <w:rsid w:val="000968CD"/>
    <w:rsid w:val="00097AD7"/>
    <w:rsid w:val="000A1BEF"/>
    <w:rsid w:val="000A2D3C"/>
    <w:rsid w:val="000A50A7"/>
    <w:rsid w:val="000A60BC"/>
    <w:rsid w:val="000A6FB2"/>
    <w:rsid w:val="000A7389"/>
    <w:rsid w:val="000A73EE"/>
    <w:rsid w:val="000A7810"/>
    <w:rsid w:val="000B0278"/>
    <w:rsid w:val="000B03F6"/>
    <w:rsid w:val="000B10E7"/>
    <w:rsid w:val="000B17A4"/>
    <w:rsid w:val="000B3CF4"/>
    <w:rsid w:val="000B6060"/>
    <w:rsid w:val="000B60B3"/>
    <w:rsid w:val="000C03C6"/>
    <w:rsid w:val="000C07EA"/>
    <w:rsid w:val="000C27C1"/>
    <w:rsid w:val="000C3A29"/>
    <w:rsid w:val="000C3C80"/>
    <w:rsid w:val="000C45D0"/>
    <w:rsid w:val="000C48F4"/>
    <w:rsid w:val="000C52E4"/>
    <w:rsid w:val="000D0ED8"/>
    <w:rsid w:val="000D21A8"/>
    <w:rsid w:val="000D3333"/>
    <w:rsid w:val="000D5B89"/>
    <w:rsid w:val="000D644B"/>
    <w:rsid w:val="000D69FF"/>
    <w:rsid w:val="000D7C02"/>
    <w:rsid w:val="000E2C7A"/>
    <w:rsid w:val="000E33D6"/>
    <w:rsid w:val="000E3519"/>
    <w:rsid w:val="000E3FB7"/>
    <w:rsid w:val="000E51C0"/>
    <w:rsid w:val="000E75C8"/>
    <w:rsid w:val="000F1713"/>
    <w:rsid w:val="000F30E9"/>
    <w:rsid w:val="000F50BE"/>
    <w:rsid w:val="000F6A5F"/>
    <w:rsid w:val="000F6DE8"/>
    <w:rsid w:val="000F70C8"/>
    <w:rsid w:val="000F7694"/>
    <w:rsid w:val="000F79A2"/>
    <w:rsid w:val="000F7EFB"/>
    <w:rsid w:val="00102F89"/>
    <w:rsid w:val="001034A4"/>
    <w:rsid w:val="001054E5"/>
    <w:rsid w:val="001128EE"/>
    <w:rsid w:val="0011329F"/>
    <w:rsid w:val="00113C79"/>
    <w:rsid w:val="001149BE"/>
    <w:rsid w:val="00115BF6"/>
    <w:rsid w:val="001204F1"/>
    <w:rsid w:val="00120E0E"/>
    <w:rsid w:val="0012129E"/>
    <w:rsid w:val="001214CD"/>
    <w:rsid w:val="00123506"/>
    <w:rsid w:val="00123542"/>
    <w:rsid w:val="001246EE"/>
    <w:rsid w:val="00126804"/>
    <w:rsid w:val="00127257"/>
    <w:rsid w:val="00127A9B"/>
    <w:rsid w:val="00127AD5"/>
    <w:rsid w:val="00127CBC"/>
    <w:rsid w:val="00130A98"/>
    <w:rsid w:val="00133D89"/>
    <w:rsid w:val="0013507A"/>
    <w:rsid w:val="00135957"/>
    <w:rsid w:val="001364F5"/>
    <w:rsid w:val="00136548"/>
    <w:rsid w:val="00137CA4"/>
    <w:rsid w:val="0014104F"/>
    <w:rsid w:val="001412FA"/>
    <w:rsid w:val="00141AC6"/>
    <w:rsid w:val="00141B54"/>
    <w:rsid w:val="0014233B"/>
    <w:rsid w:val="00143643"/>
    <w:rsid w:val="00144A76"/>
    <w:rsid w:val="001454FA"/>
    <w:rsid w:val="00145B20"/>
    <w:rsid w:val="00146117"/>
    <w:rsid w:val="00146607"/>
    <w:rsid w:val="0015005E"/>
    <w:rsid w:val="00151E87"/>
    <w:rsid w:val="00153719"/>
    <w:rsid w:val="00154145"/>
    <w:rsid w:val="00161AB5"/>
    <w:rsid w:val="001626FD"/>
    <w:rsid w:val="00163D5A"/>
    <w:rsid w:val="00164005"/>
    <w:rsid w:val="00164922"/>
    <w:rsid w:val="00166237"/>
    <w:rsid w:val="00166338"/>
    <w:rsid w:val="001664F9"/>
    <w:rsid w:val="00166EE4"/>
    <w:rsid w:val="00170B32"/>
    <w:rsid w:val="001711D9"/>
    <w:rsid w:val="00171939"/>
    <w:rsid w:val="001719B7"/>
    <w:rsid w:val="00171C11"/>
    <w:rsid w:val="00172C74"/>
    <w:rsid w:val="00174113"/>
    <w:rsid w:val="00174900"/>
    <w:rsid w:val="001766C9"/>
    <w:rsid w:val="001769E7"/>
    <w:rsid w:val="00177DE5"/>
    <w:rsid w:val="00180ABC"/>
    <w:rsid w:val="001812AB"/>
    <w:rsid w:val="00182124"/>
    <w:rsid w:val="001838C9"/>
    <w:rsid w:val="00185666"/>
    <w:rsid w:val="00186981"/>
    <w:rsid w:val="00191DEE"/>
    <w:rsid w:val="00191F7A"/>
    <w:rsid w:val="00192628"/>
    <w:rsid w:val="00195C27"/>
    <w:rsid w:val="00196AB1"/>
    <w:rsid w:val="001A011B"/>
    <w:rsid w:val="001A03DF"/>
    <w:rsid w:val="001A06CA"/>
    <w:rsid w:val="001A0BEF"/>
    <w:rsid w:val="001A1140"/>
    <w:rsid w:val="001A27CA"/>
    <w:rsid w:val="001A28B6"/>
    <w:rsid w:val="001A2D7E"/>
    <w:rsid w:val="001A43C0"/>
    <w:rsid w:val="001A56ED"/>
    <w:rsid w:val="001A5A65"/>
    <w:rsid w:val="001A70CD"/>
    <w:rsid w:val="001A763B"/>
    <w:rsid w:val="001B05DC"/>
    <w:rsid w:val="001B0E27"/>
    <w:rsid w:val="001B1750"/>
    <w:rsid w:val="001B25DD"/>
    <w:rsid w:val="001B2CFB"/>
    <w:rsid w:val="001B3BF6"/>
    <w:rsid w:val="001B3F03"/>
    <w:rsid w:val="001B431F"/>
    <w:rsid w:val="001B49CE"/>
    <w:rsid w:val="001B50D6"/>
    <w:rsid w:val="001B66A2"/>
    <w:rsid w:val="001B6B56"/>
    <w:rsid w:val="001B6DD7"/>
    <w:rsid w:val="001C0F0D"/>
    <w:rsid w:val="001C1722"/>
    <w:rsid w:val="001C1C82"/>
    <w:rsid w:val="001C1D67"/>
    <w:rsid w:val="001C4204"/>
    <w:rsid w:val="001C4810"/>
    <w:rsid w:val="001C5BED"/>
    <w:rsid w:val="001C77A8"/>
    <w:rsid w:val="001D0FB8"/>
    <w:rsid w:val="001D137A"/>
    <w:rsid w:val="001D29DD"/>
    <w:rsid w:val="001D2D05"/>
    <w:rsid w:val="001D37ED"/>
    <w:rsid w:val="001D47A4"/>
    <w:rsid w:val="001D4E3C"/>
    <w:rsid w:val="001D50C6"/>
    <w:rsid w:val="001D7213"/>
    <w:rsid w:val="001D7EC0"/>
    <w:rsid w:val="001E2209"/>
    <w:rsid w:val="001E3965"/>
    <w:rsid w:val="001E7283"/>
    <w:rsid w:val="001E7ED8"/>
    <w:rsid w:val="001F20EF"/>
    <w:rsid w:val="001F3F7B"/>
    <w:rsid w:val="001F42BB"/>
    <w:rsid w:val="001F4A32"/>
    <w:rsid w:val="001F69C9"/>
    <w:rsid w:val="001F720E"/>
    <w:rsid w:val="001F73EA"/>
    <w:rsid w:val="00200712"/>
    <w:rsid w:val="002015EA"/>
    <w:rsid w:val="00201EC5"/>
    <w:rsid w:val="002025E9"/>
    <w:rsid w:val="0020290E"/>
    <w:rsid w:val="0020390D"/>
    <w:rsid w:val="002042DF"/>
    <w:rsid w:val="0020603F"/>
    <w:rsid w:val="00210AC3"/>
    <w:rsid w:val="00213064"/>
    <w:rsid w:val="002130ED"/>
    <w:rsid w:val="00215E90"/>
    <w:rsid w:val="00215F49"/>
    <w:rsid w:val="00216973"/>
    <w:rsid w:val="00216DF5"/>
    <w:rsid w:val="00220F2A"/>
    <w:rsid w:val="0022118D"/>
    <w:rsid w:val="002225DC"/>
    <w:rsid w:val="0022261F"/>
    <w:rsid w:val="0022393C"/>
    <w:rsid w:val="002255B7"/>
    <w:rsid w:val="00227045"/>
    <w:rsid w:val="0022724F"/>
    <w:rsid w:val="002331F3"/>
    <w:rsid w:val="002363DA"/>
    <w:rsid w:val="00240847"/>
    <w:rsid w:val="00241470"/>
    <w:rsid w:val="002434F0"/>
    <w:rsid w:val="002438F9"/>
    <w:rsid w:val="0024395B"/>
    <w:rsid w:val="0024455F"/>
    <w:rsid w:val="00244663"/>
    <w:rsid w:val="0024714F"/>
    <w:rsid w:val="002471C0"/>
    <w:rsid w:val="002476D2"/>
    <w:rsid w:val="002516EC"/>
    <w:rsid w:val="002524E1"/>
    <w:rsid w:val="0025384B"/>
    <w:rsid w:val="00254687"/>
    <w:rsid w:val="0025553F"/>
    <w:rsid w:val="00262761"/>
    <w:rsid w:val="00263504"/>
    <w:rsid w:val="00263C56"/>
    <w:rsid w:val="00264029"/>
    <w:rsid w:val="002650E6"/>
    <w:rsid w:val="00265EF5"/>
    <w:rsid w:val="002664AB"/>
    <w:rsid w:val="00266A1B"/>
    <w:rsid w:val="00266F7A"/>
    <w:rsid w:val="002677B5"/>
    <w:rsid w:val="0026790C"/>
    <w:rsid w:val="0027071B"/>
    <w:rsid w:val="002707F3"/>
    <w:rsid w:val="002709A7"/>
    <w:rsid w:val="00270DC2"/>
    <w:rsid w:val="00270E7F"/>
    <w:rsid w:val="00272EB6"/>
    <w:rsid w:val="002755FA"/>
    <w:rsid w:val="0027603B"/>
    <w:rsid w:val="002777A2"/>
    <w:rsid w:val="00281050"/>
    <w:rsid w:val="0028325B"/>
    <w:rsid w:val="00284A12"/>
    <w:rsid w:val="00287010"/>
    <w:rsid w:val="00290157"/>
    <w:rsid w:val="00290342"/>
    <w:rsid w:val="0029134C"/>
    <w:rsid w:val="0029147F"/>
    <w:rsid w:val="0029177F"/>
    <w:rsid w:val="0029181B"/>
    <w:rsid w:val="002933E5"/>
    <w:rsid w:val="00294462"/>
    <w:rsid w:val="00294D23"/>
    <w:rsid w:val="00295650"/>
    <w:rsid w:val="002A15DC"/>
    <w:rsid w:val="002A6A83"/>
    <w:rsid w:val="002A6D3D"/>
    <w:rsid w:val="002B06E3"/>
    <w:rsid w:val="002B0A6D"/>
    <w:rsid w:val="002B1D3E"/>
    <w:rsid w:val="002B2477"/>
    <w:rsid w:val="002B48A0"/>
    <w:rsid w:val="002B4A44"/>
    <w:rsid w:val="002C08B8"/>
    <w:rsid w:val="002C10BA"/>
    <w:rsid w:val="002C11BC"/>
    <w:rsid w:val="002C1BE3"/>
    <w:rsid w:val="002C3A12"/>
    <w:rsid w:val="002C5873"/>
    <w:rsid w:val="002C71CE"/>
    <w:rsid w:val="002D18A2"/>
    <w:rsid w:val="002D2AB3"/>
    <w:rsid w:val="002D3E5B"/>
    <w:rsid w:val="002D3F84"/>
    <w:rsid w:val="002D4D5A"/>
    <w:rsid w:val="002D5AE0"/>
    <w:rsid w:val="002E0637"/>
    <w:rsid w:val="002E1922"/>
    <w:rsid w:val="002E2F32"/>
    <w:rsid w:val="002E32E3"/>
    <w:rsid w:val="002E3675"/>
    <w:rsid w:val="002E3A75"/>
    <w:rsid w:val="002E4361"/>
    <w:rsid w:val="002E455D"/>
    <w:rsid w:val="002E4E94"/>
    <w:rsid w:val="002E5B12"/>
    <w:rsid w:val="002E65E5"/>
    <w:rsid w:val="002E6879"/>
    <w:rsid w:val="002F230E"/>
    <w:rsid w:val="002F3B9F"/>
    <w:rsid w:val="002F41CD"/>
    <w:rsid w:val="002F509E"/>
    <w:rsid w:val="002F6542"/>
    <w:rsid w:val="002F6886"/>
    <w:rsid w:val="002F7F24"/>
    <w:rsid w:val="003008E2"/>
    <w:rsid w:val="00300F8A"/>
    <w:rsid w:val="00301AF2"/>
    <w:rsid w:val="00304B18"/>
    <w:rsid w:val="00305BD1"/>
    <w:rsid w:val="00311658"/>
    <w:rsid w:val="00313EC5"/>
    <w:rsid w:val="00314172"/>
    <w:rsid w:val="0031427F"/>
    <w:rsid w:val="003152B5"/>
    <w:rsid w:val="003174A1"/>
    <w:rsid w:val="0032128E"/>
    <w:rsid w:val="003241A9"/>
    <w:rsid w:val="00325370"/>
    <w:rsid w:val="00326EFA"/>
    <w:rsid w:val="003279D2"/>
    <w:rsid w:val="00327B81"/>
    <w:rsid w:val="00331980"/>
    <w:rsid w:val="00331D65"/>
    <w:rsid w:val="003324CB"/>
    <w:rsid w:val="00333B45"/>
    <w:rsid w:val="00333BFA"/>
    <w:rsid w:val="00333E74"/>
    <w:rsid w:val="00335385"/>
    <w:rsid w:val="00335558"/>
    <w:rsid w:val="00336F00"/>
    <w:rsid w:val="003379E2"/>
    <w:rsid w:val="003418ED"/>
    <w:rsid w:val="00343736"/>
    <w:rsid w:val="00343F1D"/>
    <w:rsid w:val="003442C8"/>
    <w:rsid w:val="0034467F"/>
    <w:rsid w:val="0034563D"/>
    <w:rsid w:val="00345DD9"/>
    <w:rsid w:val="0034610A"/>
    <w:rsid w:val="0034761C"/>
    <w:rsid w:val="00347F21"/>
    <w:rsid w:val="00350244"/>
    <w:rsid w:val="00354B35"/>
    <w:rsid w:val="00354E93"/>
    <w:rsid w:val="00355B46"/>
    <w:rsid w:val="0035639B"/>
    <w:rsid w:val="00356DFE"/>
    <w:rsid w:val="00360B1B"/>
    <w:rsid w:val="00361355"/>
    <w:rsid w:val="00361C27"/>
    <w:rsid w:val="00361D4C"/>
    <w:rsid w:val="003629AD"/>
    <w:rsid w:val="00370AFA"/>
    <w:rsid w:val="00371E3D"/>
    <w:rsid w:val="00373246"/>
    <w:rsid w:val="00374B48"/>
    <w:rsid w:val="00374DDE"/>
    <w:rsid w:val="00377F6D"/>
    <w:rsid w:val="00380CEE"/>
    <w:rsid w:val="00382689"/>
    <w:rsid w:val="00382A25"/>
    <w:rsid w:val="00385C9A"/>
    <w:rsid w:val="003860F5"/>
    <w:rsid w:val="003879D8"/>
    <w:rsid w:val="00390E2D"/>
    <w:rsid w:val="00393249"/>
    <w:rsid w:val="00393E12"/>
    <w:rsid w:val="00394668"/>
    <w:rsid w:val="00394784"/>
    <w:rsid w:val="00394AB4"/>
    <w:rsid w:val="003961FD"/>
    <w:rsid w:val="003A1C90"/>
    <w:rsid w:val="003A2279"/>
    <w:rsid w:val="003A2816"/>
    <w:rsid w:val="003A2E23"/>
    <w:rsid w:val="003A2F4A"/>
    <w:rsid w:val="003A3409"/>
    <w:rsid w:val="003A3AF9"/>
    <w:rsid w:val="003A529E"/>
    <w:rsid w:val="003A5E5A"/>
    <w:rsid w:val="003A73C3"/>
    <w:rsid w:val="003A7ABE"/>
    <w:rsid w:val="003A7B65"/>
    <w:rsid w:val="003B6176"/>
    <w:rsid w:val="003B75C2"/>
    <w:rsid w:val="003B78FF"/>
    <w:rsid w:val="003C11A1"/>
    <w:rsid w:val="003C1D65"/>
    <w:rsid w:val="003C34B0"/>
    <w:rsid w:val="003C5E6E"/>
    <w:rsid w:val="003C70DE"/>
    <w:rsid w:val="003D02D4"/>
    <w:rsid w:val="003D10F0"/>
    <w:rsid w:val="003D1A6F"/>
    <w:rsid w:val="003D2A1B"/>
    <w:rsid w:val="003D400F"/>
    <w:rsid w:val="003D483A"/>
    <w:rsid w:val="003D4E32"/>
    <w:rsid w:val="003D5188"/>
    <w:rsid w:val="003D68C8"/>
    <w:rsid w:val="003E2589"/>
    <w:rsid w:val="003E31AA"/>
    <w:rsid w:val="003E478C"/>
    <w:rsid w:val="003E515D"/>
    <w:rsid w:val="003E59A7"/>
    <w:rsid w:val="003F06EA"/>
    <w:rsid w:val="003F168D"/>
    <w:rsid w:val="003F3DE6"/>
    <w:rsid w:val="003F442E"/>
    <w:rsid w:val="003F6527"/>
    <w:rsid w:val="003F72C1"/>
    <w:rsid w:val="00400763"/>
    <w:rsid w:val="00402254"/>
    <w:rsid w:val="0040342C"/>
    <w:rsid w:val="00404E7B"/>
    <w:rsid w:val="0040527A"/>
    <w:rsid w:val="0040586C"/>
    <w:rsid w:val="0040744B"/>
    <w:rsid w:val="004101AF"/>
    <w:rsid w:val="00413D0A"/>
    <w:rsid w:val="004143E5"/>
    <w:rsid w:val="00414720"/>
    <w:rsid w:val="004153DE"/>
    <w:rsid w:val="004210FF"/>
    <w:rsid w:val="004219E0"/>
    <w:rsid w:val="00422664"/>
    <w:rsid w:val="00423CDE"/>
    <w:rsid w:val="004241A0"/>
    <w:rsid w:val="00427C9D"/>
    <w:rsid w:val="004300A7"/>
    <w:rsid w:val="0043053F"/>
    <w:rsid w:val="00431C1A"/>
    <w:rsid w:val="00432651"/>
    <w:rsid w:val="00433D74"/>
    <w:rsid w:val="00434B74"/>
    <w:rsid w:val="004406DF"/>
    <w:rsid w:val="00440C20"/>
    <w:rsid w:val="00440DF5"/>
    <w:rsid w:val="00440F3B"/>
    <w:rsid w:val="00441C5D"/>
    <w:rsid w:val="00445D7A"/>
    <w:rsid w:val="00445F5D"/>
    <w:rsid w:val="00450325"/>
    <w:rsid w:val="0045039F"/>
    <w:rsid w:val="00450D9A"/>
    <w:rsid w:val="0045397A"/>
    <w:rsid w:val="00456A04"/>
    <w:rsid w:val="00457A5C"/>
    <w:rsid w:val="00461CCD"/>
    <w:rsid w:val="00462510"/>
    <w:rsid w:val="00463871"/>
    <w:rsid w:val="00463DDA"/>
    <w:rsid w:val="00464F59"/>
    <w:rsid w:val="0046505A"/>
    <w:rsid w:val="00466714"/>
    <w:rsid w:val="004667DC"/>
    <w:rsid w:val="00471297"/>
    <w:rsid w:val="0047226C"/>
    <w:rsid w:val="00473741"/>
    <w:rsid w:val="00475801"/>
    <w:rsid w:val="00476AD7"/>
    <w:rsid w:val="00476FC8"/>
    <w:rsid w:val="00482E72"/>
    <w:rsid w:val="004833E9"/>
    <w:rsid w:val="00484917"/>
    <w:rsid w:val="00485AA0"/>
    <w:rsid w:val="00485AFE"/>
    <w:rsid w:val="00486846"/>
    <w:rsid w:val="00486899"/>
    <w:rsid w:val="00486B1B"/>
    <w:rsid w:val="004902BF"/>
    <w:rsid w:val="004929A5"/>
    <w:rsid w:val="0049358F"/>
    <w:rsid w:val="00495B1C"/>
    <w:rsid w:val="004971EB"/>
    <w:rsid w:val="00497D7E"/>
    <w:rsid w:val="004A06A1"/>
    <w:rsid w:val="004A0CC0"/>
    <w:rsid w:val="004A155C"/>
    <w:rsid w:val="004A3684"/>
    <w:rsid w:val="004A3801"/>
    <w:rsid w:val="004A38B9"/>
    <w:rsid w:val="004A3A28"/>
    <w:rsid w:val="004A6208"/>
    <w:rsid w:val="004A6F3F"/>
    <w:rsid w:val="004B245E"/>
    <w:rsid w:val="004B3347"/>
    <w:rsid w:val="004B3626"/>
    <w:rsid w:val="004B43A8"/>
    <w:rsid w:val="004B4CC2"/>
    <w:rsid w:val="004B612A"/>
    <w:rsid w:val="004B63A9"/>
    <w:rsid w:val="004C1D97"/>
    <w:rsid w:val="004C268A"/>
    <w:rsid w:val="004C3EEC"/>
    <w:rsid w:val="004C4A12"/>
    <w:rsid w:val="004C4FE4"/>
    <w:rsid w:val="004C7DD7"/>
    <w:rsid w:val="004D107E"/>
    <w:rsid w:val="004D2BC6"/>
    <w:rsid w:val="004D4356"/>
    <w:rsid w:val="004D44F9"/>
    <w:rsid w:val="004D4999"/>
    <w:rsid w:val="004D4F3B"/>
    <w:rsid w:val="004D6E99"/>
    <w:rsid w:val="004E27E5"/>
    <w:rsid w:val="004E35CA"/>
    <w:rsid w:val="004E440C"/>
    <w:rsid w:val="004E7740"/>
    <w:rsid w:val="004F2091"/>
    <w:rsid w:val="004F2737"/>
    <w:rsid w:val="004F423C"/>
    <w:rsid w:val="00500049"/>
    <w:rsid w:val="00500307"/>
    <w:rsid w:val="005004B5"/>
    <w:rsid w:val="00502FC6"/>
    <w:rsid w:val="005033C1"/>
    <w:rsid w:val="00503A84"/>
    <w:rsid w:val="00504055"/>
    <w:rsid w:val="0050684D"/>
    <w:rsid w:val="00507D51"/>
    <w:rsid w:val="00510AEB"/>
    <w:rsid w:val="005113B4"/>
    <w:rsid w:val="005148CB"/>
    <w:rsid w:val="00520589"/>
    <w:rsid w:val="00521124"/>
    <w:rsid w:val="00521621"/>
    <w:rsid w:val="00524A3A"/>
    <w:rsid w:val="0052557E"/>
    <w:rsid w:val="00526588"/>
    <w:rsid w:val="005272E4"/>
    <w:rsid w:val="005313B7"/>
    <w:rsid w:val="00531C5E"/>
    <w:rsid w:val="005327DC"/>
    <w:rsid w:val="005349FC"/>
    <w:rsid w:val="00535037"/>
    <w:rsid w:val="00535FA3"/>
    <w:rsid w:val="00536B3E"/>
    <w:rsid w:val="00536E81"/>
    <w:rsid w:val="00540C3C"/>
    <w:rsid w:val="00543D1A"/>
    <w:rsid w:val="0054440D"/>
    <w:rsid w:val="00546A0C"/>
    <w:rsid w:val="00547CEE"/>
    <w:rsid w:val="00550E94"/>
    <w:rsid w:val="00552EFF"/>
    <w:rsid w:val="00555FE5"/>
    <w:rsid w:val="00556C28"/>
    <w:rsid w:val="005572EF"/>
    <w:rsid w:val="00557676"/>
    <w:rsid w:val="00557EE9"/>
    <w:rsid w:val="005602D6"/>
    <w:rsid w:val="005614F5"/>
    <w:rsid w:val="0056175E"/>
    <w:rsid w:val="00561F3B"/>
    <w:rsid w:val="00562BAE"/>
    <w:rsid w:val="00564297"/>
    <w:rsid w:val="00565CAC"/>
    <w:rsid w:val="00565DE1"/>
    <w:rsid w:val="005661B0"/>
    <w:rsid w:val="005675F8"/>
    <w:rsid w:val="00567E44"/>
    <w:rsid w:val="005717A9"/>
    <w:rsid w:val="0057257D"/>
    <w:rsid w:val="00573FB0"/>
    <w:rsid w:val="0057471B"/>
    <w:rsid w:val="00574785"/>
    <w:rsid w:val="00576248"/>
    <w:rsid w:val="00577B0A"/>
    <w:rsid w:val="00580488"/>
    <w:rsid w:val="00580FB0"/>
    <w:rsid w:val="0058210D"/>
    <w:rsid w:val="00585169"/>
    <w:rsid w:val="0058689F"/>
    <w:rsid w:val="00587BFD"/>
    <w:rsid w:val="00590619"/>
    <w:rsid w:val="005942F5"/>
    <w:rsid w:val="005943CF"/>
    <w:rsid w:val="005962DB"/>
    <w:rsid w:val="00597AE1"/>
    <w:rsid w:val="005A0464"/>
    <w:rsid w:val="005A19B7"/>
    <w:rsid w:val="005A2A53"/>
    <w:rsid w:val="005A3FF2"/>
    <w:rsid w:val="005A468F"/>
    <w:rsid w:val="005A6571"/>
    <w:rsid w:val="005A6B44"/>
    <w:rsid w:val="005B113D"/>
    <w:rsid w:val="005B259E"/>
    <w:rsid w:val="005B2DB2"/>
    <w:rsid w:val="005B349C"/>
    <w:rsid w:val="005B42C1"/>
    <w:rsid w:val="005B56D8"/>
    <w:rsid w:val="005C0D2C"/>
    <w:rsid w:val="005C1105"/>
    <w:rsid w:val="005C1595"/>
    <w:rsid w:val="005C59D3"/>
    <w:rsid w:val="005C6496"/>
    <w:rsid w:val="005D079C"/>
    <w:rsid w:val="005D162E"/>
    <w:rsid w:val="005D25AB"/>
    <w:rsid w:val="005D46C1"/>
    <w:rsid w:val="005D6614"/>
    <w:rsid w:val="005D6878"/>
    <w:rsid w:val="005D7490"/>
    <w:rsid w:val="005E0334"/>
    <w:rsid w:val="005E0D1B"/>
    <w:rsid w:val="005E4F7F"/>
    <w:rsid w:val="005F020B"/>
    <w:rsid w:val="005F2922"/>
    <w:rsid w:val="005F30FF"/>
    <w:rsid w:val="005F3436"/>
    <w:rsid w:val="005F39C5"/>
    <w:rsid w:val="005F3CC2"/>
    <w:rsid w:val="005F72A3"/>
    <w:rsid w:val="0060061B"/>
    <w:rsid w:val="00601061"/>
    <w:rsid w:val="006038F2"/>
    <w:rsid w:val="006054A3"/>
    <w:rsid w:val="00606242"/>
    <w:rsid w:val="0060687D"/>
    <w:rsid w:val="00606F6D"/>
    <w:rsid w:val="0061029B"/>
    <w:rsid w:val="0061039C"/>
    <w:rsid w:val="006127B7"/>
    <w:rsid w:val="006137BA"/>
    <w:rsid w:val="00614C96"/>
    <w:rsid w:val="0061501B"/>
    <w:rsid w:val="00615240"/>
    <w:rsid w:val="006156E7"/>
    <w:rsid w:val="00616F2C"/>
    <w:rsid w:val="0061700F"/>
    <w:rsid w:val="0061718E"/>
    <w:rsid w:val="0062104A"/>
    <w:rsid w:val="0062137D"/>
    <w:rsid w:val="00621705"/>
    <w:rsid w:val="006235A7"/>
    <w:rsid w:val="00623D4F"/>
    <w:rsid w:val="00623D98"/>
    <w:rsid w:val="00624039"/>
    <w:rsid w:val="006249AC"/>
    <w:rsid w:val="00630834"/>
    <w:rsid w:val="00631BB1"/>
    <w:rsid w:val="00633924"/>
    <w:rsid w:val="006343FD"/>
    <w:rsid w:val="006369DC"/>
    <w:rsid w:val="00641DFD"/>
    <w:rsid w:val="00641F86"/>
    <w:rsid w:val="00647097"/>
    <w:rsid w:val="00647E4E"/>
    <w:rsid w:val="00650023"/>
    <w:rsid w:val="006500DD"/>
    <w:rsid w:val="006512E6"/>
    <w:rsid w:val="0065193A"/>
    <w:rsid w:val="00652AF5"/>
    <w:rsid w:val="00655C60"/>
    <w:rsid w:val="006574C0"/>
    <w:rsid w:val="00657E63"/>
    <w:rsid w:val="00660018"/>
    <w:rsid w:val="0066195A"/>
    <w:rsid w:val="006619FC"/>
    <w:rsid w:val="00662E8B"/>
    <w:rsid w:val="006642EA"/>
    <w:rsid w:val="006643E7"/>
    <w:rsid w:val="00664D96"/>
    <w:rsid w:val="0066582C"/>
    <w:rsid w:val="0066700F"/>
    <w:rsid w:val="006675A2"/>
    <w:rsid w:val="00667A57"/>
    <w:rsid w:val="00667F78"/>
    <w:rsid w:val="006711E5"/>
    <w:rsid w:val="00672CA5"/>
    <w:rsid w:val="006735D5"/>
    <w:rsid w:val="00673A6F"/>
    <w:rsid w:val="006745F8"/>
    <w:rsid w:val="006846DE"/>
    <w:rsid w:val="00684969"/>
    <w:rsid w:val="006858F4"/>
    <w:rsid w:val="00685DDA"/>
    <w:rsid w:val="00685F6B"/>
    <w:rsid w:val="00685F88"/>
    <w:rsid w:val="00686588"/>
    <w:rsid w:val="00687E73"/>
    <w:rsid w:val="0069190A"/>
    <w:rsid w:val="00693A59"/>
    <w:rsid w:val="00693ACE"/>
    <w:rsid w:val="00695C39"/>
    <w:rsid w:val="0069640E"/>
    <w:rsid w:val="0069727D"/>
    <w:rsid w:val="00697FE6"/>
    <w:rsid w:val="006A3180"/>
    <w:rsid w:val="006A31E4"/>
    <w:rsid w:val="006A3624"/>
    <w:rsid w:val="006A5519"/>
    <w:rsid w:val="006A582E"/>
    <w:rsid w:val="006A6E13"/>
    <w:rsid w:val="006A74F9"/>
    <w:rsid w:val="006B174D"/>
    <w:rsid w:val="006B2296"/>
    <w:rsid w:val="006B3090"/>
    <w:rsid w:val="006B3178"/>
    <w:rsid w:val="006B4360"/>
    <w:rsid w:val="006B475E"/>
    <w:rsid w:val="006B48CD"/>
    <w:rsid w:val="006B5A65"/>
    <w:rsid w:val="006B6B93"/>
    <w:rsid w:val="006B7442"/>
    <w:rsid w:val="006B76F9"/>
    <w:rsid w:val="006C0FDC"/>
    <w:rsid w:val="006C3998"/>
    <w:rsid w:val="006D0BB5"/>
    <w:rsid w:val="006D0F0E"/>
    <w:rsid w:val="006D2BCD"/>
    <w:rsid w:val="006D4270"/>
    <w:rsid w:val="006D5E98"/>
    <w:rsid w:val="006D6345"/>
    <w:rsid w:val="006E0770"/>
    <w:rsid w:val="006E0DF9"/>
    <w:rsid w:val="006E1636"/>
    <w:rsid w:val="006E23BC"/>
    <w:rsid w:val="006E25C8"/>
    <w:rsid w:val="006E36D0"/>
    <w:rsid w:val="006E3E84"/>
    <w:rsid w:val="006E6A33"/>
    <w:rsid w:val="006F0BA4"/>
    <w:rsid w:val="006F16D4"/>
    <w:rsid w:val="006F3AD5"/>
    <w:rsid w:val="006F3E9E"/>
    <w:rsid w:val="006F5379"/>
    <w:rsid w:val="006F61C2"/>
    <w:rsid w:val="006F6E2D"/>
    <w:rsid w:val="0070002A"/>
    <w:rsid w:val="00700C65"/>
    <w:rsid w:val="007014CD"/>
    <w:rsid w:val="007026B6"/>
    <w:rsid w:val="00706E3B"/>
    <w:rsid w:val="00710938"/>
    <w:rsid w:val="00710CD1"/>
    <w:rsid w:val="0071159E"/>
    <w:rsid w:val="00711C9A"/>
    <w:rsid w:val="00712481"/>
    <w:rsid w:val="00712C37"/>
    <w:rsid w:val="00713B75"/>
    <w:rsid w:val="00722081"/>
    <w:rsid w:val="0072355C"/>
    <w:rsid w:val="00723927"/>
    <w:rsid w:val="00723EC6"/>
    <w:rsid w:val="007242F9"/>
    <w:rsid w:val="00725EEC"/>
    <w:rsid w:val="00730791"/>
    <w:rsid w:val="0073164F"/>
    <w:rsid w:val="007316E0"/>
    <w:rsid w:val="00731710"/>
    <w:rsid w:val="0073283F"/>
    <w:rsid w:val="00732FF8"/>
    <w:rsid w:val="00734343"/>
    <w:rsid w:val="007358E9"/>
    <w:rsid w:val="00735909"/>
    <w:rsid w:val="007359FC"/>
    <w:rsid w:val="00736725"/>
    <w:rsid w:val="007378B9"/>
    <w:rsid w:val="0074039C"/>
    <w:rsid w:val="0074043B"/>
    <w:rsid w:val="00740B29"/>
    <w:rsid w:val="00740F57"/>
    <w:rsid w:val="0074705D"/>
    <w:rsid w:val="0075096E"/>
    <w:rsid w:val="00750DFE"/>
    <w:rsid w:val="00752074"/>
    <w:rsid w:val="007539A3"/>
    <w:rsid w:val="00754480"/>
    <w:rsid w:val="00754547"/>
    <w:rsid w:val="00757D27"/>
    <w:rsid w:val="0076042A"/>
    <w:rsid w:val="007624B2"/>
    <w:rsid w:val="00763941"/>
    <w:rsid w:val="00764291"/>
    <w:rsid w:val="00764AA7"/>
    <w:rsid w:val="0076711B"/>
    <w:rsid w:val="00775EC5"/>
    <w:rsid w:val="00777525"/>
    <w:rsid w:val="0077786D"/>
    <w:rsid w:val="00781FC9"/>
    <w:rsid w:val="007820AD"/>
    <w:rsid w:val="00783D9B"/>
    <w:rsid w:val="00784BCE"/>
    <w:rsid w:val="00785AB0"/>
    <w:rsid w:val="00785E3E"/>
    <w:rsid w:val="00786B07"/>
    <w:rsid w:val="00790678"/>
    <w:rsid w:val="007914FA"/>
    <w:rsid w:val="0079185A"/>
    <w:rsid w:val="007938B0"/>
    <w:rsid w:val="00793CE6"/>
    <w:rsid w:val="007A0F6A"/>
    <w:rsid w:val="007A2ED7"/>
    <w:rsid w:val="007A52A8"/>
    <w:rsid w:val="007A5F76"/>
    <w:rsid w:val="007A6C8D"/>
    <w:rsid w:val="007A7EF5"/>
    <w:rsid w:val="007B0A90"/>
    <w:rsid w:val="007B1EDD"/>
    <w:rsid w:val="007B25EB"/>
    <w:rsid w:val="007B33BC"/>
    <w:rsid w:val="007B6635"/>
    <w:rsid w:val="007B6DAA"/>
    <w:rsid w:val="007B6E36"/>
    <w:rsid w:val="007B7F31"/>
    <w:rsid w:val="007C5070"/>
    <w:rsid w:val="007C5D5A"/>
    <w:rsid w:val="007C5FD1"/>
    <w:rsid w:val="007C6752"/>
    <w:rsid w:val="007C7A97"/>
    <w:rsid w:val="007D0694"/>
    <w:rsid w:val="007D06CB"/>
    <w:rsid w:val="007D1044"/>
    <w:rsid w:val="007D1D4A"/>
    <w:rsid w:val="007D251C"/>
    <w:rsid w:val="007D2E07"/>
    <w:rsid w:val="007D42A1"/>
    <w:rsid w:val="007D4598"/>
    <w:rsid w:val="007D475A"/>
    <w:rsid w:val="007D5A1D"/>
    <w:rsid w:val="007D6D17"/>
    <w:rsid w:val="007E0F8C"/>
    <w:rsid w:val="007E10E1"/>
    <w:rsid w:val="007E26E2"/>
    <w:rsid w:val="007E5C7B"/>
    <w:rsid w:val="007E5D72"/>
    <w:rsid w:val="007E6680"/>
    <w:rsid w:val="007F0A2D"/>
    <w:rsid w:val="007F2530"/>
    <w:rsid w:val="007F3859"/>
    <w:rsid w:val="007F3F80"/>
    <w:rsid w:val="007F5D0A"/>
    <w:rsid w:val="007F628C"/>
    <w:rsid w:val="00800297"/>
    <w:rsid w:val="00800557"/>
    <w:rsid w:val="00800A4D"/>
    <w:rsid w:val="008011BA"/>
    <w:rsid w:val="008012C1"/>
    <w:rsid w:val="0080130D"/>
    <w:rsid w:val="00801D8B"/>
    <w:rsid w:val="0080272A"/>
    <w:rsid w:val="008027C6"/>
    <w:rsid w:val="0080346B"/>
    <w:rsid w:val="008037B1"/>
    <w:rsid w:val="00804983"/>
    <w:rsid w:val="008067F9"/>
    <w:rsid w:val="00807473"/>
    <w:rsid w:val="00807794"/>
    <w:rsid w:val="00810154"/>
    <w:rsid w:val="008123B2"/>
    <w:rsid w:val="0081259D"/>
    <w:rsid w:val="008128E5"/>
    <w:rsid w:val="00812EE6"/>
    <w:rsid w:val="008135DF"/>
    <w:rsid w:val="008136A6"/>
    <w:rsid w:val="0081506E"/>
    <w:rsid w:val="00816E7D"/>
    <w:rsid w:val="00820812"/>
    <w:rsid w:val="0082240C"/>
    <w:rsid w:val="00823632"/>
    <w:rsid w:val="00824F1D"/>
    <w:rsid w:val="008254F6"/>
    <w:rsid w:val="00826C27"/>
    <w:rsid w:val="00831AAD"/>
    <w:rsid w:val="008345F5"/>
    <w:rsid w:val="00835F67"/>
    <w:rsid w:val="00837275"/>
    <w:rsid w:val="00840DAF"/>
    <w:rsid w:val="00840E2D"/>
    <w:rsid w:val="0084108C"/>
    <w:rsid w:val="008412B0"/>
    <w:rsid w:val="00842237"/>
    <w:rsid w:val="008423C2"/>
    <w:rsid w:val="008474CE"/>
    <w:rsid w:val="008478DC"/>
    <w:rsid w:val="008526ED"/>
    <w:rsid w:val="00852D06"/>
    <w:rsid w:val="008530BC"/>
    <w:rsid w:val="008541A7"/>
    <w:rsid w:val="00854786"/>
    <w:rsid w:val="00856955"/>
    <w:rsid w:val="00856ACC"/>
    <w:rsid w:val="00857383"/>
    <w:rsid w:val="00857EE6"/>
    <w:rsid w:val="00860B8D"/>
    <w:rsid w:val="00862113"/>
    <w:rsid w:val="00862890"/>
    <w:rsid w:val="008636B8"/>
    <w:rsid w:val="00863712"/>
    <w:rsid w:val="00863FCD"/>
    <w:rsid w:val="00864A9F"/>
    <w:rsid w:val="008651CB"/>
    <w:rsid w:val="00865975"/>
    <w:rsid w:val="00865C62"/>
    <w:rsid w:val="00865E2A"/>
    <w:rsid w:val="00866FB9"/>
    <w:rsid w:val="0087336C"/>
    <w:rsid w:val="0087573B"/>
    <w:rsid w:val="008757C7"/>
    <w:rsid w:val="00875C68"/>
    <w:rsid w:val="00876A52"/>
    <w:rsid w:val="008773F2"/>
    <w:rsid w:val="00880179"/>
    <w:rsid w:val="00880240"/>
    <w:rsid w:val="008806BB"/>
    <w:rsid w:val="00882404"/>
    <w:rsid w:val="008829CA"/>
    <w:rsid w:val="008834D4"/>
    <w:rsid w:val="00886194"/>
    <w:rsid w:val="00886DCF"/>
    <w:rsid w:val="008909CC"/>
    <w:rsid w:val="00890EB4"/>
    <w:rsid w:val="00894838"/>
    <w:rsid w:val="008955F6"/>
    <w:rsid w:val="00897148"/>
    <w:rsid w:val="0089776D"/>
    <w:rsid w:val="00897A7C"/>
    <w:rsid w:val="008A01C0"/>
    <w:rsid w:val="008A0D00"/>
    <w:rsid w:val="008A29A2"/>
    <w:rsid w:val="008A3033"/>
    <w:rsid w:val="008A3BF7"/>
    <w:rsid w:val="008A3F51"/>
    <w:rsid w:val="008A55DC"/>
    <w:rsid w:val="008A6FAD"/>
    <w:rsid w:val="008A791B"/>
    <w:rsid w:val="008A7D65"/>
    <w:rsid w:val="008A7E71"/>
    <w:rsid w:val="008B054B"/>
    <w:rsid w:val="008B06D6"/>
    <w:rsid w:val="008B473C"/>
    <w:rsid w:val="008B48C5"/>
    <w:rsid w:val="008B5EA5"/>
    <w:rsid w:val="008B7419"/>
    <w:rsid w:val="008C1301"/>
    <w:rsid w:val="008C1AEE"/>
    <w:rsid w:val="008C451C"/>
    <w:rsid w:val="008C45FB"/>
    <w:rsid w:val="008C53DE"/>
    <w:rsid w:val="008C6622"/>
    <w:rsid w:val="008C6AF7"/>
    <w:rsid w:val="008D1B70"/>
    <w:rsid w:val="008D4560"/>
    <w:rsid w:val="008D790E"/>
    <w:rsid w:val="008E049C"/>
    <w:rsid w:val="008E05B1"/>
    <w:rsid w:val="008E2852"/>
    <w:rsid w:val="008E332E"/>
    <w:rsid w:val="008E5DBC"/>
    <w:rsid w:val="008E6F43"/>
    <w:rsid w:val="008F10DB"/>
    <w:rsid w:val="008F1707"/>
    <w:rsid w:val="008F1D44"/>
    <w:rsid w:val="008F2C27"/>
    <w:rsid w:val="008F3587"/>
    <w:rsid w:val="008F3F77"/>
    <w:rsid w:val="008F3FD5"/>
    <w:rsid w:val="008F4625"/>
    <w:rsid w:val="008F65E3"/>
    <w:rsid w:val="008F7894"/>
    <w:rsid w:val="008F7928"/>
    <w:rsid w:val="008F7B46"/>
    <w:rsid w:val="008F7D26"/>
    <w:rsid w:val="00900B9B"/>
    <w:rsid w:val="00901664"/>
    <w:rsid w:val="00901AB1"/>
    <w:rsid w:val="00903E8C"/>
    <w:rsid w:val="00906D0E"/>
    <w:rsid w:val="00907766"/>
    <w:rsid w:val="00907E6E"/>
    <w:rsid w:val="00911736"/>
    <w:rsid w:val="00911CDA"/>
    <w:rsid w:val="0091286D"/>
    <w:rsid w:val="00912AE7"/>
    <w:rsid w:val="009142C5"/>
    <w:rsid w:val="00916BA1"/>
    <w:rsid w:val="00916F4B"/>
    <w:rsid w:val="00920B60"/>
    <w:rsid w:val="00921AF4"/>
    <w:rsid w:val="00921E5E"/>
    <w:rsid w:val="009222CC"/>
    <w:rsid w:val="00924C62"/>
    <w:rsid w:val="0092547B"/>
    <w:rsid w:val="00925FDD"/>
    <w:rsid w:val="00926397"/>
    <w:rsid w:val="00930AF8"/>
    <w:rsid w:val="00931719"/>
    <w:rsid w:val="00934804"/>
    <w:rsid w:val="009365A6"/>
    <w:rsid w:val="0094163F"/>
    <w:rsid w:val="009440A9"/>
    <w:rsid w:val="0094689E"/>
    <w:rsid w:val="00946E91"/>
    <w:rsid w:val="0094707F"/>
    <w:rsid w:val="009470C1"/>
    <w:rsid w:val="009473CB"/>
    <w:rsid w:val="009473F7"/>
    <w:rsid w:val="00950756"/>
    <w:rsid w:val="00950F80"/>
    <w:rsid w:val="00951166"/>
    <w:rsid w:val="00952811"/>
    <w:rsid w:val="00953C7D"/>
    <w:rsid w:val="00953F38"/>
    <w:rsid w:val="009542A4"/>
    <w:rsid w:val="00955D9D"/>
    <w:rsid w:val="00955DC4"/>
    <w:rsid w:val="00955EA4"/>
    <w:rsid w:val="00956593"/>
    <w:rsid w:val="00960919"/>
    <w:rsid w:val="00962275"/>
    <w:rsid w:val="00964134"/>
    <w:rsid w:val="009643A0"/>
    <w:rsid w:val="009644E0"/>
    <w:rsid w:val="00964614"/>
    <w:rsid w:val="00964E37"/>
    <w:rsid w:val="00965380"/>
    <w:rsid w:val="0096774F"/>
    <w:rsid w:val="00967AD5"/>
    <w:rsid w:val="00967AE2"/>
    <w:rsid w:val="00970B04"/>
    <w:rsid w:val="00970D7D"/>
    <w:rsid w:val="009727D5"/>
    <w:rsid w:val="00972A3D"/>
    <w:rsid w:val="00974D8F"/>
    <w:rsid w:val="00974DA4"/>
    <w:rsid w:val="00975F48"/>
    <w:rsid w:val="0097644A"/>
    <w:rsid w:val="00976C87"/>
    <w:rsid w:val="00977C5A"/>
    <w:rsid w:val="00980BBE"/>
    <w:rsid w:val="00982310"/>
    <w:rsid w:val="009828B5"/>
    <w:rsid w:val="009841C5"/>
    <w:rsid w:val="00984E79"/>
    <w:rsid w:val="009876FE"/>
    <w:rsid w:val="00987DC2"/>
    <w:rsid w:val="00992239"/>
    <w:rsid w:val="00994573"/>
    <w:rsid w:val="00994F6D"/>
    <w:rsid w:val="00997854"/>
    <w:rsid w:val="0099799A"/>
    <w:rsid w:val="00997DA2"/>
    <w:rsid w:val="009A0553"/>
    <w:rsid w:val="009A36A8"/>
    <w:rsid w:val="009A52F3"/>
    <w:rsid w:val="009A53DB"/>
    <w:rsid w:val="009A56D8"/>
    <w:rsid w:val="009A7796"/>
    <w:rsid w:val="009B0311"/>
    <w:rsid w:val="009B04E5"/>
    <w:rsid w:val="009B168E"/>
    <w:rsid w:val="009B3BA1"/>
    <w:rsid w:val="009B3C7E"/>
    <w:rsid w:val="009B4167"/>
    <w:rsid w:val="009B4A8F"/>
    <w:rsid w:val="009B5A02"/>
    <w:rsid w:val="009B6720"/>
    <w:rsid w:val="009B7110"/>
    <w:rsid w:val="009C0220"/>
    <w:rsid w:val="009C04DC"/>
    <w:rsid w:val="009C08A0"/>
    <w:rsid w:val="009C15F0"/>
    <w:rsid w:val="009C227C"/>
    <w:rsid w:val="009C2338"/>
    <w:rsid w:val="009C2C96"/>
    <w:rsid w:val="009C3F91"/>
    <w:rsid w:val="009C417A"/>
    <w:rsid w:val="009C5EE8"/>
    <w:rsid w:val="009C7116"/>
    <w:rsid w:val="009C7E37"/>
    <w:rsid w:val="009D0740"/>
    <w:rsid w:val="009D249E"/>
    <w:rsid w:val="009D4279"/>
    <w:rsid w:val="009D4ACC"/>
    <w:rsid w:val="009D5230"/>
    <w:rsid w:val="009D6A0A"/>
    <w:rsid w:val="009D7445"/>
    <w:rsid w:val="009E0D05"/>
    <w:rsid w:val="009E4ECB"/>
    <w:rsid w:val="009E5AB6"/>
    <w:rsid w:val="009E63F0"/>
    <w:rsid w:val="009E67D5"/>
    <w:rsid w:val="009F027A"/>
    <w:rsid w:val="009F02E5"/>
    <w:rsid w:val="009F0C76"/>
    <w:rsid w:val="009F42BB"/>
    <w:rsid w:val="009F4403"/>
    <w:rsid w:val="009F4A8C"/>
    <w:rsid w:val="009F5CF7"/>
    <w:rsid w:val="009F6D8D"/>
    <w:rsid w:val="009F6E35"/>
    <w:rsid w:val="009F71D2"/>
    <w:rsid w:val="009F7206"/>
    <w:rsid w:val="00A006A8"/>
    <w:rsid w:val="00A028AE"/>
    <w:rsid w:val="00A02903"/>
    <w:rsid w:val="00A02B5B"/>
    <w:rsid w:val="00A03B9A"/>
    <w:rsid w:val="00A042E9"/>
    <w:rsid w:val="00A04307"/>
    <w:rsid w:val="00A04936"/>
    <w:rsid w:val="00A05473"/>
    <w:rsid w:val="00A06024"/>
    <w:rsid w:val="00A06926"/>
    <w:rsid w:val="00A07263"/>
    <w:rsid w:val="00A1062F"/>
    <w:rsid w:val="00A13520"/>
    <w:rsid w:val="00A13522"/>
    <w:rsid w:val="00A15902"/>
    <w:rsid w:val="00A15D45"/>
    <w:rsid w:val="00A15F21"/>
    <w:rsid w:val="00A17BB8"/>
    <w:rsid w:val="00A20466"/>
    <w:rsid w:val="00A20638"/>
    <w:rsid w:val="00A21014"/>
    <w:rsid w:val="00A214A8"/>
    <w:rsid w:val="00A2227B"/>
    <w:rsid w:val="00A26B53"/>
    <w:rsid w:val="00A3049F"/>
    <w:rsid w:val="00A313D2"/>
    <w:rsid w:val="00A31AF6"/>
    <w:rsid w:val="00A31E14"/>
    <w:rsid w:val="00A323AE"/>
    <w:rsid w:val="00A323D1"/>
    <w:rsid w:val="00A3261A"/>
    <w:rsid w:val="00A33FAC"/>
    <w:rsid w:val="00A34BF1"/>
    <w:rsid w:val="00A35305"/>
    <w:rsid w:val="00A35670"/>
    <w:rsid w:val="00A36BC9"/>
    <w:rsid w:val="00A37594"/>
    <w:rsid w:val="00A41BB8"/>
    <w:rsid w:val="00A41E2B"/>
    <w:rsid w:val="00A42FBD"/>
    <w:rsid w:val="00A448A7"/>
    <w:rsid w:val="00A44F3F"/>
    <w:rsid w:val="00A46BFC"/>
    <w:rsid w:val="00A47492"/>
    <w:rsid w:val="00A526E6"/>
    <w:rsid w:val="00A55D19"/>
    <w:rsid w:val="00A60C4B"/>
    <w:rsid w:val="00A62574"/>
    <w:rsid w:val="00A635DB"/>
    <w:rsid w:val="00A63CC6"/>
    <w:rsid w:val="00A63D2C"/>
    <w:rsid w:val="00A63DF6"/>
    <w:rsid w:val="00A65944"/>
    <w:rsid w:val="00A72BB5"/>
    <w:rsid w:val="00A74FEE"/>
    <w:rsid w:val="00A76CD7"/>
    <w:rsid w:val="00A8042D"/>
    <w:rsid w:val="00A80A03"/>
    <w:rsid w:val="00A80D47"/>
    <w:rsid w:val="00A80F1E"/>
    <w:rsid w:val="00A81F62"/>
    <w:rsid w:val="00A82B72"/>
    <w:rsid w:val="00A852B5"/>
    <w:rsid w:val="00A8546F"/>
    <w:rsid w:val="00A85A55"/>
    <w:rsid w:val="00A901F7"/>
    <w:rsid w:val="00A9157B"/>
    <w:rsid w:val="00A9277B"/>
    <w:rsid w:val="00A93BA4"/>
    <w:rsid w:val="00A963C3"/>
    <w:rsid w:val="00A9640F"/>
    <w:rsid w:val="00A97060"/>
    <w:rsid w:val="00AA0DED"/>
    <w:rsid w:val="00AA399B"/>
    <w:rsid w:val="00AA5211"/>
    <w:rsid w:val="00AA7552"/>
    <w:rsid w:val="00AA79BE"/>
    <w:rsid w:val="00AB1615"/>
    <w:rsid w:val="00AB356F"/>
    <w:rsid w:val="00AB4F1A"/>
    <w:rsid w:val="00AB5504"/>
    <w:rsid w:val="00AB6A3E"/>
    <w:rsid w:val="00AB7244"/>
    <w:rsid w:val="00AB7695"/>
    <w:rsid w:val="00AC0D9E"/>
    <w:rsid w:val="00AC2868"/>
    <w:rsid w:val="00AC35B3"/>
    <w:rsid w:val="00AC5906"/>
    <w:rsid w:val="00AC6B47"/>
    <w:rsid w:val="00AC6C94"/>
    <w:rsid w:val="00AC6F43"/>
    <w:rsid w:val="00AC75CC"/>
    <w:rsid w:val="00AD1186"/>
    <w:rsid w:val="00AD16C8"/>
    <w:rsid w:val="00AD1BAF"/>
    <w:rsid w:val="00AD2A30"/>
    <w:rsid w:val="00AD2B4F"/>
    <w:rsid w:val="00AD587D"/>
    <w:rsid w:val="00AD6839"/>
    <w:rsid w:val="00AD6BFF"/>
    <w:rsid w:val="00AD7494"/>
    <w:rsid w:val="00AE09E2"/>
    <w:rsid w:val="00AE0E42"/>
    <w:rsid w:val="00AE0F78"/>
    <w:rsid w:val="00AE1E62"/>
    <w:rsid w:val="00AE1E76"/>
    <w:rsid w:val="00AE2B55"/>
    <w:rsid w:val="00AE3929"/>
    <w:rsid w:val="00AE44CE"/>
    <w:rsid w:val="00AE456E"/>
    <w:rsid w:val="00AE4ED7"/>
    <w:rsid w:val="00AE6AFD"/>
    <w:rsid w:val="00AE6BF7"/>
    <w:rsid w:val="00AF0043"/>
    <w:rsid w:val="00AF2FC8"/>
    <w:rsid w:val="00AF3C1F"/>
    <w:rsid w:val="00AF4AA4"/>
    <w:rsid w:val="00AF4B50"/>
    <w:rsid w:val="00AF52B4"/>
    <w:rsid w:val="00B00154"/>
    <w:rsid w:val="00B0160D"/>
    <w:rsid w:val="00B02428"/>
    <w:rsid w:val="00B03442"/>
    <w:rsid w:val="00B03DAF"/>
    <w:rsid w:val="00B05124"/>
    <w:rsid w:val="00B06B33"/>
    <w:rsid w:val="00B06E29"/>
    <w:rsid w:val="00B07101"/>
    <w:rsid w:val="00B071E8"/>
    <w:rsid w:val="00B10DD6"/>
    <w:rsid w:val="00B119F2"/>
    <w:rsid w:val="00B1210D"/>
    <w:rsid w:val="00B12F5F"/>
    <w:rsid w:val="00B14E1E"/>
    <w:rsid w:val="00B15640"/>
    <w:rsid w:val="00B161D2"/>
    <w:rsid w:val="00B169FE"/>
    <w:rsid w:val="00B1719E"/>
    <w:rsid w:val="00B17C63"/>
    <w:rsid w:val="00B2065A"/>
    <w:rsid w:val="00B20A81"/>
    <w:rsid w:val="00B21262"/>
    <w:rsid w:val="00B212C9"/>
    <w:rsid w:val="00B21714"/>
    <w:rsid w:val="00B23EC4"/>
    <w:rsid w:val="00B24194"/>
    <w:rsid w:val="00B2519B"/>
    <w:rsid w:val="00B2598D"/>
    <w:rsid w:val="00B274A8"/>
    <w:rsid w:val="00B275FA"/>
    <w:rsid w:val="00B27BB0"/>
    <w:rsid w:val="00B307EF"/>
    <w:rsid w:val="00B336AD"/>
    <w:rsid w:val="00B344E4"/>
    <w:rsid w:val="00B34C63"/>
    <w:rsid w:val="00B35BB8"/>
    <w:rsid w:val="00B37B6A"/>
    <w:rsid w:val="00B40FEB"/>
    <w:rsid w:val="00B41726"/>
    <w:rsid w:val="00B44FAD"/>
    <w:rsid w:val="00B454C8"/>
    <w:rsid w:val="00B474F1"/>
    <w:rsid w:val="00B50C03"/>
    <w:rsid w:val="00B5288E"/>
    <w:rsid w:val="00B53179"/>
    <w:rsid w:val="00B5703A"/>
    <w:rsid w:val="00B57B13"/>
    <w:rsid w:val="00B62BE3"/>
    <w:rsid w:val="00B6598C"/>
    <w:rsid w:val="00B664E3"/>
    <w:rsid w:val="00B7053F"/>
    <w:rsid w:val="00B7133C"/>
    <w:rsid w:val="00B72C50"/>
    <w:rsid w:val="00B72E1A"/>
    <w:rsid w:val="00B733CA"/>
    <w:rsid w:val="00B7437D"/>
    <w:rsid w:val="00B74724"/>
    <w:rsid w:val="00B750FA"/>
    <w:rsid w:val="00B75F29"/>
    <w:rsid w:val="00B762FD"/>
    <w:rsid w:val="00B77E2E"/>
    <w:rsid w:val="00B8085F"/>
    <w:rsid w:val="00B8219B"/>
    <w:rsid w:val="00B821FA"/>
    <w:rsid w:val="00B82A61"/>
    <w:rsid w:val="00B84518"/>
    <w:rsid w:val="00B85011"/>
    <w:rsid w:val="00B8586F"/>
    <w:rsid w:val="00B863F5"/>
    <w:rsid w:val="00B877E4"/>
    <w:rsid w:val="00B87943"/>
    <w:rsid w:val="00B90ADF"/>
    <w:rsid w:val="00B930A3"/>
    <w:rsid w:val="00B93301"/>
    <w:rsid w:val="00B93A33"/>
    <w:rsid w:val="00B942DC"/>
    <w:rsid w:val="00B94C3B"/>
    <w:rsid w:val="00B964C4"/>
    <w:rsid w:val="00B96919"/>
    <w:rsid w:val="00B96BA6"/>
    <w:rsid w:val="00B97F7E"/>
    <w:rsid w:val="00BA0DB4"/>
    <w:rsid w:val="00BA1934"/>
    <w:rsid w:val="00BA3240"/>
    <w:rsid w:val="00BA390B"/>
    <w:rsid w:val="00BA3E4D"/>
    <w:rsid w:val="00BA7B61"/>
    <w:rsid w:val="00BA7ED8"/>
    <w:rsid w:val="00BB0CF4"/>
    <w:rsid w:val="00BB0FDD"/>
    <w:rsid w:val="00BB1F40"/>
    <w:rsid w:val="00BB2304"/>
    <w:rsid w:val="00BB4438"/>
    <w:rsid w:val="00BB4D56"/>
    <w:rsid w:val="00BB608F"/>
    <w:rsid w:val="00BB6363"/>
    <w:rsid w:val="00BB7781"/>
    <w:rsid w:val="00BB7A34"/>
    <w:rsid w:val="00BC019F"/>
    <w:rsid w:val="00BC284C"/>
    <w:rsid w:val="00BC2E7A"/>
    <w:rsid w:val="00BC3217"/>
    <w:rsid w:val="00BC3FD5"/>
    <w:rsid w:val="00BC5230"/>
    <w:rsid w:val="00BC6929"/>
    <w:rsid w:val="00BC6F4E"/>
    <w:rsid w:val="00BC743A"/>
    <w:rsid w:val="00BD04AE"/>
    <w:rsid w:val="00BD1645"/>
    <w:rsid w:val="00BD1DD5"/>
    <w:rsid w:val="00BD24CB"/>
    <w:rsid w:val="00BD4FA2"/>
    <w:rsid w:val="00BD559F"/>
    <w:rsid w:val="00BD596E"/>
    <w:rsid w:val="00BD59BD"/>
    <w:rsid w:val="00BE4C85"/>
    <w:rsid w:val="00BE626A"/>
    <w:rsid w:val="00BE6E62"/>
    <w:rsid w:val="00BF356C"/>
    <w:rsid w:val="00BF3C8A"/>
    <w:rsid w:val="00BF423F"/>
    <w:rsid w:val="00BF5EB5"/>
    <w:rsid w:val="00BF65F8"/>
    <w:rsid w:val="00BF6704"/>
    <w:rsid w:val="00BF73BD"/>
    <w:rsid w:val="00BF7828"/>
    <w:rsid w:val="00C00970"/>
    <w:rsid w:val="00C021C4"/>
    <w:rsid w:val="00C02891"/>
    <w:rsid w:val="00C02FF9"/>
    <w:rsid w:val="00C0390A"/>
    <w:rsid w:val="00C049F3"/>
    <w:rsid w:val="00C11120"/>
    <w:rsid w:val="00C11214"/>
    <w:rsid w:val="00C1193B"/>
    <w:rsid w:val="00C1459E"/>
    <w:rsid w:val="00C146DC"/>
    <w:rsid w:val="00C14B4D"/>
    <w:rsid w:val="00C16E63"/>
    <w:rsid w:val="00C209CE"/>
    <w:rsid w:val="00C220F9"/>
    <w:rsid w:val="00C2267C"/>
    <w:rsid w:val="00C22A26"/>
    <w:rsid w:val="00C23D7F"/>
    <w:rsid w:val="00C2697C"/>
    <w:rsid w:val="00C320D8"/>
    <w:rsid w:val="00C32544"/>
    <w:rsid w:val="00C32E86"/>
    <w:rsid w:val="00C3491C"/>
    <w:rsid w:val="00C361CB"/>
    <w:rsid w:val="00C3743A"/>
    <w:rsid w:val="00C379ED"/>
    <w:rsid w:val="00C41445"/>
    <w:rsid w:val="00C42E62"/>
    <w:rsid w:val="00C4538B"/>
    <w:rsid w:val="00C45538"/>
    <w:rsid w:val="00C463BF"/>
    <w:rsid w:val="00C47A9F"/>
    <w:rsid w:val="00C50608"/>
    <w:rsid w:val="00C51B81"/>
    <w:rsid w:val="00C5311E"/>
    <w:rsid w:val="00C53371"/>
    <w:rsid w:val="00C545A4"/>
    <w:rsid w:val="00C56B0A"/>
    <w:rsid w:val="00C5711C"/>
    <w:rsid w:val="00C60B52"/>
    <w:rsid w:val="00C60D2A"/>
    <w:rsid w:val="00C61AFC"/>
    <w:rsid w:val="00C620BB"/>
    <w:rsid w:val="00C634E5"/>
    <w:rsid w:val="00C640DD"/>
    <w:rsid w:val="00C6528D"/>
    <w:rsid w:val="00C65FC6"/>
    <w:rsid w:val="00C66B26"/>
    <w:rsid w:val="00C66B58"/>
    <w:rsid w:val="00C67E4B"/>
    <w:rsid w:val="00C70514"/>
    <w:rsid w:val="00C70A3C"/>
    <w:rsid w:val="00C74562"/>
    <w:rsid w:val="00C75318"/>
    <w:rsid w:val="00C768F1"/>
    <w:rsid w:val="00C811C7"/>
    <w:rsid w:val="00C838CF"/>
    <w:rsid w:val="00C85965"/>
    <w:rsid w:val="00C86267"/>
    <w:rsid w:val="00C87B84"/>
    <w:rsid w:val="00C910F6"/>
    <w:rsid w:val="00C94A3A"/>
    <w:rsid w:val="00C95F0C"/>
    <w:rsid w:val="00CA07EF"/>
    <w:rsid w:val="00CA2071"/>
    <w:rsid w:val="00CA23EF"/>
    <w:rsid w:val="00CA3EB5"/>
    <w:rsid w:val="00CA4906"/>
    <w:rsid w:val="00CA5885"/>
    <w:rsid w:val="00CA5BA0"/>
    <w:rsid w:val="00CA68C8"/>
    <w:rsid w:val="00CA710B"/>
    <w:rsid w:val="00CA756D"/>
    <w:rsid w:val="00CA7AF6"/>
    <w:rsid w:val="00CB0903"/>
    <w:rsid w:val="00CB0FA9"/>
    <w:rsid w:val="00CB194D"/>
    <w:rsid w:val="00CB1AC2"/>
    <w:rsid w:val="00CB2146"/>
    <w:rsid w:val="00CB42B9"/>
    <w:rsid w:val="00CB4A7E"/>
    <w:rsid w:val="00CB4C29"/>
    <w:rsid w:val="00CB51A8"/>
    <w:rsid w:val="00CC1BE7"/>
    <w:rsid w:val="00CC2600"/>
    <w:rsid w:val="00CC262A"/>
    <w:rsid w:val="00CC3202"/>
    <w:rsid w:val="00CC64FA"/>
    <w:rsid w:val="00CD1C70"/>
    <w:rsid w:val="00CD24A0"/>
    <w:rsid w:val="00CD39D3"/>
    <w:rsid w:val="00CD4778"/>
    <w:rsid w:val="00CD4E1C"/>
    <w:rsid w:val="00CD6F70"/>
    <w:rsid w:val="00CD707D"/>
    <w:rsid w:val="00CE05AC"/>
    <w:rsid w:val="00CE1C68"/>
    <w:rsid w:val="00CE49E3"/>
    <w:rsid w:val="00CE4A4A"/>
    <w:rsid w:val="00CE4C25"/>
    <w:rsid w:val="00CE5070"/>
    <w:rsid w:val="00CE56F0"/>
    <w:rsid w:val="00CE579F"/>
    <w:rsid w:val="00CE5E5C"/>
    <w:rsid w:val="00CE7ABA"/>
    <w:rsid w:val="00CF00A9"/>
    <w:rsid w:val="00CF0593"/>
    <w:rsid w:val="00CF0B1E"/>
    <w:rsid w:val="00CF0DE4"/>
    <w:rsid w:val="00CF5186"/>
    <w:rsid w:val="00CF5C6D"/>
    <w:rsid w:val="00CF6DA3"/>
    <w:rsid w:val="00CF7211"/>
    <w:rsid w:val="00CF7342"/>
    <w:rsid w:val="00CF7F1F"/>
    <w:rsid w:val="00D00816"/>
    <w:rsid w:val="00D00EC1"/>
    <w:rsid w:val="00D029A2"/>
    <w:rsid w:val="00D03907"/>
    <w:rsid w:val="00D03F36"/>
    <w:rsid w:val="00D061C0"/>
    <w:rsid w:val="00D07202"/>
    <w:rsid w:val="00D07970"/>
    <w:rsid w:val="00D07E3B"/>
    <w:rsid w:val="00D111C9"/>
    <w:rsid w:val="00D11601"/>
    <w:rsid w:val="00D11C9A"/>
    <w:rsid w:val="00D12B3F"/>
    <w:rsid w:val="00D12DCB"/>
    <w:rsid w:val="00D143E1"/>
    <w:rsid w:val="00D152F8"/>
    <w:rsid w:val="00D15990"/>
    <w:rsid w:val="00D16F0E"/>
    <w:rsid w:val="00D17371"/>
    <w:rsid w:val="00D21043"/>
    <w:rsid w:val="00D226FC"/>
    <w:rsid w:val="00D22DB1"/>
    <w:rsid w:val="00D22E27"/>
    <w:rsid w:val="00D23191"/>
    <w:rsid w:val="00D243BA"/>
    <w:rsid w:val="00D24588"/>
    <w:rsid w:val="00D24DD6"/>
    <w:rsid w:val="00D302A0"/>
    <w:rsid w:val="00D31056"/>
    <w:rsid w:val="00D3138B"/>
    <w:rsid w:val="00D320C9"/>
    <w:rsid w:val="00D3278D"/>
    <w:rsid w:val="00D33336"/>
    <w:rsid w:val="00D334F5"/>
    <w:rsid w:val="00D34EC0"/>
    <w:rsid w:val="00D357ED"/>
    <w:rsid w:val="00D40E62"/>
    <w:rsid w:val="00D42413"/>
    <w:rsid w:val="00D428AC"/>
    <w:rsid w:val="00D43D48"/>
    <w:rsid w:val="00D44ABD"/>
    <w:rsid w:val="00D45C79"/>
    <w:rsid w:val="00D4641E"/>
    <w:rsid w:val="00D5014A"/>
    <w:rsid w:val="00D50C5D"/>
    <w:rsid w:val="00D51D3F"/>
    <w:rsid w:val="00D53684"/>
    <w:rsid w:val="00D53BE7"/>
    <w:rsid w:val="00D5536E"/>
    <w:rsid w:val="00D5655C"/>
    <w:rsid w:val="00D57668"/>
    <w:rsid w:val="00D57B9D"/>
    <w:rsid w:val="00D6003A"/>
    <w:rsid w:val="00D60734"/>
    <w:rsid w:val="00D6146C"/>
    <w:rsid w:val="00D61896"/>
    <w:rsid w:val="00D621D2"/>
    <w:rsid w:val="00D62A77"/>
    <w:rsid w:val="00D62B6A"/>
    <w:rsid w:val="00D62DFE"/>
    <w:rsid w:val="00D647F2"/>
    <w:rsid w:val="00D64A43"/>
    <w:rsid w:val="00D64FA1"/>
    <w:rsid w:val="00D661BF"/>
    <w:rsid w:val="00D714F8"/>
    <w:rsid w:val="00D715F1"/>
    <w:rsid w:val="00D73A95"/>
    <w:rsid w:val="00D749B1"/>
    <w:rsid w:val="00D74AE3"/>
    <w:rsid w:val="00D75FBC"/>
    <w:rsid w:val="00D76C13"/>
    <w:rsid w:val="00D77328"/>
    <w:rsid w:val="00D84E65"/>
    <w:rsid w:val="00D879B9"/>
    <w:rsid w:val="00D90545"/>
    <w:rsid w:val="00D90DF8"/>
    <w:rsid w:val="00D90F64"/>
    <w:rsid w:val="00D93EA3"/>
    <w:rsid w:val="00D9438D"/>
    <w:rsid w:val="00D94763"/>
    <w:rsid w:val="00D95746"/>
    <w:rsid w:val="00D967EC"/>
    <w:rsid w:val="00D97AA3"/>
    <w:rsid w:val="00DA02EC"/>
    <w:rsid w:val="00DA0415"/>
    <w:rsid w:val="00DA099A"/>
    <w:rsid w:val="00DA1247"/>
    <w:rsid w:val="00DA1E5E"/>
    <w:rsid w:val="00DA20DC"/>
    <w:rsid w:val="00DA2BBE"/>
    <w:rsid w:val="00DA545B"/>
    <w:rsid w:val="00DA604B"/>
    <w:rsid w:val="00DA6314"/>
    <w:rsid w:val="00DB0CAD"/>
    <w:rsid w:val="00DB0FCF"/>
    <w:rsid w:val="00DB18AD"/>
    <w:rsid w:val="00DB1D25"/>
    <w:rsid w:val="00DB25FA"/>
    <w:rsid w:val="00DB2A52"/>
    <w:rsid w:val="00DB2FB0"/>
    <w:rsid w:val="00DB660E"/>
    <w:rsid w:val="00DB6A6D"/>
    <w:rsid w:val="00DC0299"/>
    <w:rsid w:val="00DC5C80"/>
    <w:rsid w:val="00DC71F9"/>
    <w:rsid w:val="00DD209A"/>
    <w:rsid w:val="00DD2522"/>
    <w:rsid w:val="00DD38C4"/>
    <w:rsid w:val="00DD4B29"/>
    <w:rsid w:val="00DD569F"/>
    <w:rsid w:val="00DD6E12"/>
    <w:rsid w:val="00DE10F3"/>
    <w:rsid w:val="00DE38F5"/>
    <w:rsid w:val="00DE512C"/>
    <w:rsid w:val="00DE79DC"/>
    <w:rsid w:val="00DF0131"/>
    <w:rsid w:val="00DF0560"/>
    <w:rsid w:val="00DF2555"/>
    <w:rsid w:val="00DF3E56"/>
    <w:rsid w:val="00DF716A"/>
    <w:rsid w:val="00DF7A58"/>
    <w:rsid w:val="00E006AB"/>
    <w:rsid w:val="00E00FBC"/>
    <w:rsid w:val="00E024A8"/>
    <w:rsid w:val="00E025EC"/>
    <w:rsid w:val="00E03045"/>
    <w:rsid w:val="00E03B5D"/>
    <w:rsid w:val="00E049FA"/>
    <w:rsid w:val="00E05353"/>
    <w:rsid w:val="00E05ACA"/>
    <w:rsid w:val="00E07D73"/>
    <w:rsid w:val="00E10D3A"/>
    <w:rsid w:val="00E10DDF"/>
    <w:rsid w:val="00E1117D"/>
    <w:rsid w:val="00E12CF1"/>
    <w:rsid w:val="00E1340E"/>
    <w:rsid w:val="00E13AF3"/>
    <w:rsid w:val="00E16EC2"/>
    <w:rsid w:val="00E17062"/>
    <w:rsid w:val="00E22EFC"/>
    <w:rsid w:val="00E23284"/>
    <w:rsid w:val="00E23DC5"/>
    <w:rsid w:val="00E24835"/>
    <w:rsid w:val="00E2500E"/>
    <w:rsid w:val="00E2583B"/>
    <w:rsid w:val="00E26854"/>
    <w:rsid w:val="00E27D14"/>
    <w:rsid w:val="00E303DA"/>
    <w:rsid w:val="00E30F64"/>
    <w:rsid w:val="00E31F4D"/>
    <w:rsid w:val="00E327E9"/>
    <w:rsid w:val="00E34067"/>
    <w:rsid w:val="00E362AC"/>
    <w:rsid w:val="00E4012F"/>
    <w:rsid w:val="00E40C98"/>
    <w:rsid w:val="00E415D8"/>
    <w:rsid w:val="00E41625"/>
    <w:rsid w:val="00E41C2C"/>
    <w:rsid w:val="00E41EFB"/>
    <w:rsid w:val="00E43A37"/>
    <w:rsid w:val="00E46655"/>
    <w:rsid w:val="00E46676"/>
    <w:rsid w:val="00E466EF"/>
    <w:rsid w:val="00E473F5"/>
    <w:rsid w:val="00E50AAA"/>
    <w:rsid w:val="00E51D35"/>
    <w:rsid w:val="00E51EB2"/>
    <w:rsid w:val="00E53F08"/>
    <w:rsid w:val="00E55FBB"/>
    <w:rsid w:val="00E57887"/>
    <w:rsid w:val="00E60FBA"/>
    <w:rsid w:val="00E61627"/>
    <w:rsid w:val="00E61A1C"/>
    <w:rsid w:val="00E61E93"/>
    <w:rsid w:val="00E62D6B"/>
    <w:rsid w:val="00E64BD1"/>
    <w:rsid w:val="00E666FC"/>
    <w:rsid w:val="00E6705A"/>
    <w:rsid w:val="00E679A3"/>
    <w:rsid w:val="00E71160"/>
    <w:rsid w:val="00E72921"/>
    <w:rsid w:val="00E74021"/>
    <w:rsid w:val="00E74CD6"/>
    <w:rsid w:val="00E75F19"/>
    <w:rsid w:val="00E75F8D"/>
    <w:rsid w:val="00E76327"/>
    <w:rsid w:val="00E7634D"/>
    <w:rsid w:val="00E764AB"/>
    <w:rsid w:val="00E777CB"/>
    <w:rsid w:val="00E80D25"/>
    <w:rsid w:val="00E833D2"/>
    <w:rsid w:val="00E84C47"/>
    <w:rsid w:val="00E85449"/>
    <w:rsid w:val="00E90E9A"/>
    <w:rsid w:val="00E91004"/>
    <w:rsid w:val="00E91463"/>
    <w:rsid w:val="00E91665"/>
    <w:rsid w:val="00E92413"/>
    <w:rsid w:val="00E93B6A"/>
    <w:rsid w:val="00E95091"/>
    <w:rsid w:val="00E97883"/>
    <w:rsid w:val="00E97BD7"/>
    <w:rsid w:val="00EA0193"/>
    <w:rsid w:val="00EA0404"/>
    <w:rsid w:val="00EA178A"/>
    <w:rsid w:val="00EA26CB"/>
    <w:rsid w:val="00EA68A4"/>
    <w:rsid w:val="00EA7910"/>
    <w:rsid w:val="00EB01B8"/>
    <w:rsid w:val="00EB1F29"/>
    <w:rsid w:val="00EB21C6"/>
    <w:rsid w:val="00EB30B1"/>
    <w:rsid w:val="00EB3F37"/>
    <w:rsid w:val="00EB5081"/>
    <w:rsid w:val="00EB54BB"/>
    <w:rsid w:val="00EB6964"/>
    <w:rsid w:val="00EB6C70"/>
    <w:rsid w:val="00EC0D97"/>
    <w:rsid w:val="00EC11D6"/>
    <w:rsid w:val="00EC2B3C"/>
    <w:rsid w:val="00EC456F"/>
    <w:rsid w:val="00EC4F4A"/>
    <w:rsid w:val="00EC5952"/>
    <w:rsid w:val="00EC6201"/>
    <w:rsid w:val="00EC72DC"/>
    <w:rsid w:val="00ED08AD"/>
    <w:rsid w:val="00ED1E7C"/>
    <w:rsid w:val="00ED3AFD"/>
    <w:rsid w:val="00ED5B39"/>
    <w:rsid w:val="00ED62BD"/>
    <w:rsid w:val="00ED6661"/>
    <w:rsid w:val="00ED6E79"/>
    <w:rsid w:val="00EE0FB4"/>
    <w:rsid w:val="00EE17D7"/>
    <w:rsid w:val="00EE58AD"/>
    <w:rsid w:val="00EF2090"/>
    <w:rsid w:val="00EF367C"/>
    <w:rsid w:val="00EF3850"/>
    <w:rsid w:val="00EF5CFE"/>
    <w:rsid w:val="00EF7445"/>
    <w:rsid w:val="00F003D4"/>
    <w:rsid w:val="00F028B6"/>
    <w:rsid w:val="00F0454D"/>
    <w:rsid w:val="00F05455"/>
    <w:rsid w:val="00F0573F"/>
    <w:rsid w:val="00F05CD1"/>
    <w:rsid w:val="00F105F0"/>
    <w:rsid w:val="00F10F6C"/>
    <w:rsid w:val="00F1131A"/>
    <w:rsid w:val="00F128F2"/>
    <w:rsid w:val="00F135BA"/>
    <w:rsid w:val="00F151B2"/>
    <w:rsid w:val="00F15365"/>
    <w:rsid w:val="00F20D11"/>
    <w:rsid w:val="00F21F03"/>
    <w:rsid w:val="00F22586"/>
    <w:rsid w:val="00F242AC"/>
    <w:rsid w:val="00F250DA"/>
    <w:rsid w:val="00F25F3A"/>
    <w:rsid w:val="00F25FCF"/>
    <w:rsid w:val="00F26DAF"/>
    <w:rsid w:val="00F26E7C"/>
    <w:rsid w:val="00F27E5F"/>
    <w:rsid w:val="00F30CDA"/>
    <w:rsid w:val="00F3185F"/>
    <w:rsid w:val="00F31EDA"/>
    <w:rsid w:val="00F33347"/>
    <w:rsid w:val="00F3352F"/>
    <w:rsid w:val="00F33B17"/>
    <w:rsid w:val="00F33B54"/>
    <w:rsid w:val="00F34906"/>
    <w:rsid w:val="00F3689D"/>
    <w:rsid w:val="00F41219"/>
    <w:rsid w:val="00F418E5"/>
    <w:rsid w:val="00F42E35"/>
    <w:rsid w:val="00F46BED"/>
    <w:rsid w:val="00F47B14"/>
    <w:rsid w:val="00F47E66"/>
    <w:rsid w:val="00F50491"/>
    <w:rsid w:val="00F51F81"/>
    <w:rsid w:val="00F528F5"/>
    <w:rsid w:val="00F531E5"/>
    <w:rsid w:val="00F54EA4"/>
    <w:rsid w:val="00F5794E"/>
    <w:rsid w:val="00F606D0"/>
    <w:rsid w:val="00F60B39"/>
    <w:rsid w:val="00F618FD"/>
    <w:rsid w:val="00F62724"/>
    <w:rsid w:val="00F62E00"/>
    <w:rsid w:val="00F63751"/>
    <w:rsid w:val="00F643DE"/>
    <w:rsid w:val="00F6449D"/>
    <w:rsid w:val="00F64D07"/>
    <w:rsid w:val="00F65056"/>
    <w:rsid w:val="00F65460"/>
    <w:rsid w:val="00F7003B"/>
    <w:rsid w:val="00F70114"/>
    <w:rsid w:val="00F710F3"/>
    <w:rsid w:val="00F7117C"/>
    <w:rsid w:val="00F717CF"/>
    <w:rsid w:val="00F74AB8"/>
    <w:rsid w:val="00F760B7"/>
    <w:rsid w:val="00F80ADE"/>
    <w:rsid w:val="00F811D1"/>
    <w:rsid w:val="00F81FB4"/>
    <w:rsid w:val="00F82346"/>
    <w:rsid w:val="00F82718"/>
    <w:rsid w:val="00F841A7"/>
    <w:rsid w:val="00F866A7"/>
    <w:rsid w:val="00F909F5"/>
    <w:rsid w:val="00F90EF1"/>
    <w:rsid w:val="00F928EA"/>
    <w:rsid w:val="00F929A6"/>
    <w:rsid w:val="00F938A7"/>
    <w:rsid w:val="00F95D55"/>
    <w:rsid w:val="00F96681"/>
    <w:rsid w:val="00F96DBD"/>
    <w:rsid w:val="00FA120E"/>
    <w:rsid w:val="00FA1616"/>
    <w:rsid w:val="00FA3F84"/>
    <w:rsid w:val="00FA3F94"/>
    <w:rsid w:val="00FA5939"/>
    <w:rsid w:val="00FA6486"/>
    <w:rsid w:val="00FB0109"/>
    <w:rsid w:val="00FB0B9C"/>
    <w:rsid w:val="00FB0EAA"/>
    <w:rsid w:val="00FB1A14"/>
    <w:rsid w:val="00FB5199"/>
    <w:rsid w:val="00FB7964"/>
    <w:rsid w:val="00FC1BC6"/>
    <w:rsid w:val="00FC1EFE"/>
    <w:rsid w:val="00FC6C54"/>
    <w:rsid w:val="00FC6FA4"/>
    <w:rsid w:val="00FD0697"/>
    <w:rsid w:val="00FD0F82"/>
    <w:rsid w:val="00FE0A8B"/>
    <w:rsid w:val="00FE0CCE"/>
    <w:rsid w:val="00FE14A1"/>
    <w:rsid w:val="00FE1A1A"/>
    <w:rsid w:val="00FE5A4A"/>
    <w:rsid w:val="00FE6013"/>
    <w:rsid w:val="00FE670A"/>
    <w:rsid w:val="00FE6AE3"/>
    <w:rsid w:val="00FE70E1"/>
    <w:rsid w:val="00FE74A9"/>
    <w:rsid w:val="00FE75DE"/>
    <w:rsid w:val="00FE7D74"/>
    <w:rsid w:val="00FF3635"/>
    <w:rsid w:val="00FF4BC6"/>
    <w:rsid w:val="00FF52AD"/>
    <w:rsid w:val="00FF7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79AB6"/>
  <w15:chartTrackingRefBased/>
  <w15:docId w15:val="{751464E1-2915-418D-8E13-C40DEB5BE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7AD7"/>
  </w:style>
  <w:style w:type="paragraph" w:styleId="Heading1">
    <w:name w:val="heading 1"/>
    <w:basedOn w:val="Normal"/>
    <w:next w:val="Normal"/>
    <w:link w:val="Heading1Char"/>
    <w:uiPriority w:val="9"/>
    <w:qFormat/>
    <w:rsid w:val="00597A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7A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7A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7A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7A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7A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7A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7A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7A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7AE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7AE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7A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7A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7A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7A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7A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7A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7AE1"/>
    <w:rPr>
      <w:rFonts w:eastAsiaTheme="majorEastAsia" w:cstheme="majorBidi"/>
      <w:color w:val="272727" w:themeColor="text1" w:themeTint="D8"/>
    </w:rPr>
  </w:style>
  <w:style w:type="paragraph" w:styleId="Title">
    <w:name w:val="Title"/>
    <w:basedOn w:val="Normal"/>
    <w:next w:val="Normal"/>
    <w:link w:val="TitleChar"/>
    <w:uiPriority w:val="10"/>
    <w:qFormat/>
    <w:rsid w:val="00597A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7A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7A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7A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7AE1"/>
    <w:pPr>
      <w:spacing w:before="160"/>
      <w:jc w:val="center"/>
    </w:pPr>
    <w:rPr>
      <w:i/>
      <w:iCs/>
      <w:color w:val="404040" w:themeColor="text1" w:themeTint="BF"/>
    </w:rPr>
  </w:style>
  <w:style w:type="character" w:customStyle="1" w:styleId="QuoteChar">
    <w:name w:val="Quote Char"/>
    <w:basedOn w:val="DefaultParagraphFont"/>
    <w:link w:val="Quote"/>
    <w:uiPriority w:val="29"/>
    <w:rsid w:val="00597AE1"/>
    <w:rPr>
      <w:i/>
      <w:iCs/>
      <w:color w:val="404040" w:themeColor="text1" w:themeTint="BF"/>
    </w:rPr>
  </w:style>
  <w:style w:type="paragraph" w:styleId="ListParagraph">
    <w:name w:val="List Paragraph"/>
    <w:basedOn w:val="Normal"/>
    <w:uiPriority w:val="34"/>
    <w:qFormat/>
    <w:rsid w:val="00597AE1"/>
    <w:pPr>
      <w:ind w:left="720"/>
      <w:contextualSpacing/>
    </w:pPr>
  </w:style>
  <w:style w:type="character" w:styleId="IntenseEmphasis">
    <w:name w:val="Intense Emphasis"/>
    <w:basedOn w:val="DefaultParagraphFont"/>
    <w:uiPriority w:val="21"/>
    <w:qFormat/>
    <w:rsid w:val="00597AE1"/>
    <w:rPr>
      <w:i/>
      <w:iCs/>
      <w:color w:val="0F4761" w:themeColor="accent1" w:themeShade="BF"/>
    </w:rPr>
  </w:style>
  <w:style w:type="paragraph" w:styleId="IntenseQuote">
    <w:name w:val="Intense Quote"/>
    <w:basedOn w:val="Normal"/>
    <w:next w:val="Normal"/>
    <w:link w:val="IntenseQuoteChar"/>
    <w:uiPriority w:val="30"/>
    <w:qFormat/>
    <w:rsid w:val="00597A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7AE1"/>
    <w:rPr>
      <w:i/>
      <w:iCs/>
      <w:color w:val="0F4761" w:themeColor="accent1" w:themeShade="BF"/>
    </w:rPr>
  </w:style>
  <w:style w:type="character" w:styleId="IntenseReference">
    <w:name w:val="Intense Reference"/>
    <w:basedOn w:val="DefaultParagraphFont"/>
    <w:uiPriority w:val="32"/>
    <w:qFormat/>
    <w:rsid w:val="00597AE1"/>
    <w:rPr>
      <w:b/>
      <w:bCs/>
      <w:smallCaps/>
      <w:color w:val="0F4761" w:themeColor="accent1" w:themeShade="BF"/>
      <w:spacing w:val="5"/>
    </w:rPr>
  </w:style>
  <w:style w:type="paragraph" w:styleId="Header">
    <w:name w:val="header"/>
    <w:basedOn w:val="Normal"/>
    <w:link w:val="HeaderChar"/>
    <w:uiPriority w:val="99"/>
    <w:unhideWhenUsed/>
    <w:rsid w:val="009C71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116"/>
  </w:style>
  <w:style w:type="paragraph" w:styleId="Footer">
    <w:name w:val="footer"/>
    <w:basedOn w:val="Normal"/>
    <w:link w:val="FooterChar"/>
    <w:uiPriority w:val="99"/>
    <w:unhideWhenUsed/>
    <w:rsid w:val="009C71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116"/>
  </w:style>
  <w:style w:type="character" w:styleId="Hyperlink">
    <w:name w:val="Hyperlink"/>
    <w:basedOn w:val="DefaultParagraphFont"/>
    <w:uiPriority w:val="99"/>
    <w:unhideWhenUsed/>
    <w:rsid w:val="001D137A"/>
    <w:rPr>
      <w:color w:val="467886" w:themeColor="hyperlink"/>
      <w:u w:val="single"/>
    </w:rPr>
  </w:style>
  <w:style w:type="character" w:styleId="UnresolvedMention">
    <w:name w:val="Unresolved Mention"/>
    <w:basedOn w:val="DefaultParagraphFont"/>
    <w:uiPriority w:val="99"/>
    <w:semiHidden/>
    <w:unhideWhenUsed/>
    <w:rsid w:val="001D137A"/>
    <w:rPr>
      <w:color w:val="605E5C"/>
      <w:shd w:val="clear" w:color="auto" w:fill="E1DFDD"/>
    </w:rPr>
  </w:style>
  <w:style w:type="paragraph" w:styleId="NormalWeb">
    <w:name w:val="Normal (Web)"/>
    <w:basedOn w:val="Normal"/>
    <w:uiPriority w:val="99"/>
    <w:semiHidden/>
    <w:unhideWhenUsed/>
    <w:rsid w:val="006643E7"/>
    <w:rPr>
      <w:rFonts w:ascii="Times New Roman" w:hAnsi="Times New Roman" w:cs="Times New Roman"/>
    </w:rPr>
  </w:style>
  <w:style w:type="character" w:styleId="FollowedHyperlink">
    <w:name w:val="FollowedHyperlink"/>
    <w:basedOn w:val="DefaultParagraphFont"/>
    <w:uiPriority w:val="99"/>
    <w:semiHidden/>
    <w:unhideWhenUsed/>
    <w:rsid w:val="00CE4C25"/>
    <w:rPr>
      <w:color w:val="96607D" w:themeColor="followedHyperlink"/>
      <w:u w:val="single"/>
    </w:rPr>
  </w:style>
  <w:style w:type="table" w:styleId="TableGrid">
    <w:name w:val="Table Grid"/>
    <w:basedOn w:val="TableNormal"/>
    <w:uiPriority w:val="39"/>
    <w:rsid w:val="000101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2104A"/>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C87B84"/>
    <w:pPr>
      <w:tabs>
        <w:tab w:val="right" w:leader="dot" w:pos="9016"/>
      </w:tabs>
      <w:spacing w:after="100"/>
      <w:ind w:left="240"/>
    </w:pPr>
    <w:rPr>
      <w:rFonts w:ascii="Arial" w:hAnsi="Arial" w:cs="Arial"/>
      <w:noProof/>
    </w:rPr>
  </w:style>
  <w:style w:type="paragraph" w:styleId="TOC1">
    <w:name w:val="toc 1"/>
    <w:basedOn w:val="Normal"/>
    <w:next w:val="Normal"/>
    <w:autoRedefine/>
    <w:uiPriority w:val="39"/>
    <w:unhideWhenUsed/>
    <w:rsid w:val="00C87B84"/>
    <w:pPr>
      <w:tabs>
        <w:tab w:val="right" w:leader="dot" w:pos="9016"/>
      </w:tabs>
      <w:spacing w:after="100"/>
    </w:pPr>
    <w:rPr>
      <w:rFonts w:ascii="Arial" w:hAnsi="Arial" w:cs="Arial"/>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bmj.com/content/391/bmj.r2306?utm_source=chatgpt.com" TargetMode="External"/><Relationship Id="rId21" Type="http://schemas.openxmlformats.org/officeDocument/2006/relationships/hyperlink" Target="https://doi.org/10.1016/s0140-6736(09)60744-3" TargetMode="External"/><Relationship Id="rId42" Type="http://schemas.openxmlformats.org/officeDocument/2006/relationships/hyperlink" Target="https://doi.org/10.1111/add.16456" TargetMode="External"/><Relationship Id="rId63" Type="http://schemas.openxmlformats.org/officeDocument/2006/relationships/hyperlink" Target="https://www.gov.uk/government/publications/health-and-social-care-act-2012-fact-sheets?utm_source=chatgpt.com" TargetMode="External"/><Relationship Id="rId84" Type="http://schemas.openxmlformats.org/officeDocument/2006/relationships/hyperlink" Target="https://doi.org/10.3389/fnagi.2024.1358992" TargetMode="External"/><Relationship Id="rId138" Type="http://schemas.openxmlformats.org/officeDocument/2006/relationships/hyperlink" Target="https://doi.org/10.3389/fnbeh.2022.821693" TargetMode="External"/><Relationship Id="rId159" Type="http://schemas.openxmlformats.org/officeDocument/2006/relationships/hyperlink" Target="https://pmc.ncbi.nlm.nih.gov/articles/PMC11832136/" TargetMode="External"/><Relationship Id="rId170" Type="http://schemas.openxmlformats.org/officeDocument/2006/relationships/hyperlink" Target="https://www.dovepress.com/alcohol-and-dementia-what-is-the-link-a-systematic-review-peer-reviewed-fulltext-article-NDT" TargetMode="External"/><Relationship Id="rId107" Type="http://schemas.openxmlformats.org/officeDocument/2006/relationships/hyperlink" Target="https://doi.org/10.1093/geronb/gbac197" TargetMode="External"/><Relationship Id="rId11" Type="http://schemas.openxmlformats.org/officeDocument/2006/relationships/image" Target="media/image5.png"/><Relationship Id="rId32" Type="http://schemas.openxmlformats.org/officeDocument/2006/relationships/hyperlink" Target="https://commons.emich.edu/cgi/viewcontent.cgi?article=1009&amp;context=loexquarterly" TargetMode="External"/><Relationship Id="rId53" Type="http://schemas.openxmlformats.org/officeDocument/2006/relationships/hyperlink" Target="https://journals.plos.org/plosmedicine/article?id=10.1371/journal.pmed.1004359" TargetMode="External"/><Relationship Id="rId74" Type="http://schemas.openxmlformats.org/officeDocument/2006/relationships/hyperlink" Target="https://doi.org/10.1001/jamanetworkopen.2019.10319" TargetMode="External"/><Relationship Id="rId128" Type="http://schemas.openxmlformats.org/officeDocument/2006/relationships/hyperlink" Target="https://doi.org/10.1186/s13690-025-01644-x" TargetMode="External"/><Relationship Id="rId149" Type="http://schemas.openxmlformats.org/officeDocument/2006/relationships/hyperlink" Target="https://doi.org/10.1080/09585192.2023.2250715" TargetMode="External"/><Relationship Id="rId5" Type="http://schemas.openxmlformats.org/officeDocument/2006/relationships/footnotes" Target="footnotes.xml"/><Relationship Id="rId95" Type="http://schemas.openxmlformats.org/officeDocument/2006/relationships/hyperlink" Target="https://doi.org/10.1007/s10198-023-01583-w" TargetMode="External"/><Relationship Id="rId160" Type="http://schemas.openxmlformats.org/officeDocument/2006/relationships/hyperlink" Target="https://doi.org/10.1016/j.eclinm.2024.102538" TargetMode="External"/><Relationship Id="rId181" Type="http://schemas.openxmlformats.org/officeDocument/2006/relationships/theme" Target="theme/theme1.xml"/><Relationship Id="rId22" Type="http://schemas.openxmlformats.org/officeDocument/2006/relationships/hyperlink" Target="https://doi.org/10.3390/app152111503" TargetMode="External"/><Relationship Id="rId43" Type="http://schemas.openxmlformats.org/officeDocument/2006/relationships/hyperlink" Target="https://doi.org/10.1186/s12974-022-02624-6" TargetMode="External"/><Relationship Id="rId64" Type="http://schemas.openxmlformats.org/officeDocument/2006/relationships/hyperlink" Target="https://doi.org/10.2196/64445" TargetMode="External"/><Relationship Id="rId118" Type="http://schemas.openxmlformats.org/officeDocument/2006/relationships/hyperlink" Target="https://alzres.biomedcentral.com/articles/10.1186/s13195-018-0453-0" TargetMode="External"/><Relationship Id="rId139" Type="http://schemas.openxmlformats.org/officeDocument/2006/relationships/hyperlink" Target="https://pubmed.ncbi.nlm.nih.gov/38984396/?utm_source=chatgpt.com" TargetMode="External"/><Relationship Id="rId85" Type="http://schemas.openxmlformats.org/officeDocument/2006/relationships/hyperlink" Target="https://doi.org/10.1016/s0140-6736(24)01296-0" TargetMode="External"/><Relationship Id="rId150" Type="http://schemas.openxmlformats.org/officeDocument/2006/relationships/hyperlink" Target="https://ebm.bmj.com/content/early/2025/09/16/bmjebm-2025-113913" TargetMode="External"/><Relationship Id="rId171" Type="http://schemas.openxmlformats.org/officeDocument/2006/relationships/hyperlink" Target="https://pubmed.ncbi.nlm.nih.gov/41130718/" TargetMode="External"/><Relationship Id="rId12" Type="http://schemas.openxmlformats.org/officeDocument/2006/relationships/image" Target="media/image6.png"/><Relationship Id="rId33" Type="http://schemas.openxmlformats.org/officeDocument/2006/relationships/hyperlink" Target="https://doi.org/10.1192/bjb.2022.34" TargetMode="External"/><Relationship Id="rId108" Type="http://schemas.openxmlformats.org/officeDocument/2006/relationships/hyperlink" Target="https://www.mdpi.com/2076-3425/14/12/1265" TargetMode="External"/><Relationship Id="rId129" Type="http://schemas.openxmlformats.org/officeDocument/2006/relationships/hyperlink" Target="https://doi.org/10.1001/jamanetworkopen.2024.12303" TargetMode="External"/><Relationship Id="rId54" Type="http://schemas.openxmlformats.org/officeDocument/2006/relationships/hyperlink" Target="https://doi.org/10.1007/s11901-025-00688-5" TargetMode="External"/><Relationship Id="rId75" Type="http://schemas.openxmlformats.org/officeDocument/2006/relationships/hyperlink" Target="https://doi.org/10.1002/wps.21160" TargetMode="External"/><Relationship Id="rId96" Type="http://schemas.openxmlformats.org/officeDocument/2006/relationships/hyperlink" Target="https://doi.org/10.3389/fpubh.2020.00231" TargetMode="External"/><Relationship Id="rId140" Type="http://schemas.openxmlformats.org/officeDocument/2006/relationships/hyperlink" Target="https://bmjopen.bmj.com/content/7/4/e014193" TargetMode="External"/><Relationship Id="rId161" Type="http://schemas.openxmlformats.org/officeDocument/2006/relationships/hyperlink" Target="https://link.springer.com/article/10.1186/s12967-025-07488-x" TargetMode="External"/><Relationship Id="rId6" Type="http://schemas.openxmlformats.org/officeDocument/2006/relationships/endnotes" Target="endnotes.xml"/><Relationship Id="rId23" Type="http://schemas.openxmlformats.org/officeDocument/2006/relationships/hyperlink" Target="https://doi.org/10.3233/jad-190181" TargetMode="External"/><Relationship Id="rId119" Type="http://schemas.openxmlformats.org/officeDocument/2006/relationships/hyperlink" Target="https://doi.org/10.1186/s13195-018-0453-0" TargetMode="External"/><Relationship Id="rId44" Type="http://schemas.openxmlformats.org/officeDocument/2006/relationships/hyperlink" Target="https://doi.org/10.1016/j.cptl.2018.03.019" TargetMode="External"/><Relationship Id="rId60" Type="http://schemas.openxmlformats.org/officeDocument/2006/relationships/hyperlink" Target="https://doi.org/10.1192/bjp.bp.108.051425" TargetMode="External"/><Relationship Id="rId65" Type="http://schemas.openxmlformats.org/officeDocument/2006/relationships/hyperlink" Target="https://doi.org/10.1111/eip.13315" TargetMode="External"/><Relationship Id="rId81" Type="http://schemas.openxmlformats.org/officeDocument/2006/relationships/hyperlink" Target="https://doi.org/10.1111/add.15856" TargetMode="External"/><Relationship Id="rId86" Type="http://schemas.openxmlformats.org/officeDocument/2006/relationships/hyperlink" Target="https://doi.org/10.1016/S0140-6736(20)30367-6" TargetMode="External"/><Relationship Id="rId130" Type="http://schemas.openxmlformats.org/officeDocument/2006/relationships/hyperlink" Target="https://www.bmj.com/content/bmj/362/bmj.k2927.full.pdf" TargetMode="External"/><Relationship Id="rId135" Type="http://schemas.openxmlformats.org/officeDocument/2006/relationships/hyperlink" Target="https://doi.org/10.1016/S2468-2667(18)30022-7" TargetMode="External"/><Relationship Id="rId151" Type="http://schemas.openxmlformats.org/officeDocument/2006/relationships/hyperlink" Target="https://doi.org/10.1136/bmjebm-2025-113913" TargetMode="External"/><Relationship Id="rId156" Type="http://schemas.openxmlformats.org/officeDocument/2006/relationships/hyperlink" Target="https://eprints.gouni.edu.ng/3479/1/1ST%20INAUGURAL%20LECTURE.pdf" TargetMode="External"/><Relationship Id="rId177" Type="http://schemas.openxmlformats.org/officeDocument/2006/relationships/hyperlink" Target="https://alzres.biomedcentral.com/articles/10.1186/s13195-019-0512-1?utm_source=chatgpt.com" TargetMode="External"/><Relationship Id="rId172" Type="http://schemas.openxmlformats.org/officeDocument/2006/relationships/hyperlink" Target="https://pubmed.ncbi.nlm.nih.gov/30068508/" TargetMode="External"/><Relationship Id="rId13" Type="http://schemas.openxmlformats.org/officeDocument/2006/relationships/image" Target="media/image7.png"/><Relationship Id="rId18" Type="http://schemas.openxmlformats.org/officeDocument/2006/relationships/hyperlink" Target="https://doi.org/10.3390/ijerph19138086" TargetMode="External"/><Relationship Id="rId39" Type="http://schemas.openxmlformats.org/officeDocument/2006/relationships/hyperlink" Target="https://doi.org/10.3389/fpsyt.2024.1386688" TargetMode="External"/><Relationship Id="rId109" Type="http://schemas.openxmlformats.org/officeDocument/2006/relationships/hyperlink" Target="https://doi.org/10.1136/bmj.n71" TargetMode="External"/><Relationship Id="rId34" Type="http://schemas.openxmlformats.org/officeDocument/2006/relationships/hyperlink" Target="https://doi.org/10.1186/s12904-022-01080-6" TargetMode="External"/><Relationship Id="rId50" Type="http://schemas.openxmlformats.org/officeDocument/2006/relationships/hyperlink" Target="https://bmcpublichealth.biomedcentral.com/articles/10.1186/s12889-025-24508-z" TargetMode="External"/><Relationship Id="rId55" Type="http://schemas.openxmlformats.org/officeDocument/2006/relationships/hyperlink" Target="https://openjournals.ljmu.ac.uk/PHIJ/article/view/2848" TargetMode="External"/><Relationship Id="rId76" Type="http://schemas.openxmlformats.org/officeDocument/2006/relationships/hyperlink" Target="https://doi.org/10.1001/jamanetworkopen.2020.16084" TargetMode="External"/><Relationship Id="rId97" Type="http://schemas.openxmlformats.org/officeDocument/2006/relationships/hyperlink" Target="https://doi.org/10.1016/j.jsat.2018.05.003" TargetMode="External"/><Relationship Id="rId104" Type="http://schemas.openxmlformats.org/officeDocument/2006/relationships/hyperlink" Target="https://doi.org/10.1136/bmj.l5274" TargetMode="External"/><Relationship Id="rId120" Type="http://schemas.openxmlformats.org/officeDocument/2006/relationships/hyperlink" Target="https://doi.org/10.1186/s13195-018-0453-0" TargetMode="External"/><Relationship Id="rId125" Type="http://schemas.openxmlformats.org/officeDocument/2006/relationships/hyperlink" Target="https://doi.org/10.1177/13872877251372148" TargetMode="External"/><Relationship Id="rId141" Type="http://schemas.openxmlformats.org/officeDocument/2006/relationships/hyperlink" Target="https://www.probiologists.com/article/a-multidisciplinary-approach-to-the-rehabilitation-of-alcohol-related-brain-damage-arbd-a-synthetic-review" TargetMode="External"/><Relationship Id="rId146" Type="http://schemas.openxmlformats.org/officeDocument/2006/relationships/hyperlink" Target="https://doi.org/10.1186/1471-2288-8-45" TargetMode="External"/><Relationship Id="rId167" Type="http://schemas.openxmlformats.org/officeDocument/2006/relationships/hyperlink" Target="https://arcr.niaaa.nih.gov/media/1916/download?inline" TargetMode="External"/><Relationship Id="rId7" Type="http://schemas.openxmlformats.org/officeDocument/2006/relationships/image" Target="media/image1.png"/><Relationship Id="rId71" Type="http://schemas.openxmlformats.org/officeDocument/2006/relationships/hyperlink" Target="https://doi.org/10.1111/adb.13439" TargetMode="External"/><Relationship Id="rId92" Type="http://schemas.openxmlformats.org/officeDocument/2006/relationships/hyperlink" Target="https://doi.org/10.1016/s0140-6736(20)30940-5" TargetMode="External"/><Relationship Id="rId162" Type="http://schemas.openxmlformats.org/officeDocument/2006/relationships/hyperlink" Target="https://doi.org/10.1093/alcalc/agaf071" TargetMode="External"/><Relationship Id="rId2" Type="http://schemas.openxmlformats.org/officeDocument/2006/relationships/styles" Target="styles.xml"/><Relationship Id="rId29" Type="http://schemas.openxmlformats.org/officeDocument/2006/relationships/hyperlink" Target="https://doi.org/10.3390/ijerph17103394" TargetMode="External"/><Relationship Id="rId24" Type="http://schemas.openxmlformats.org/officeDocument/2006/relationships/hyperlink" Target="https://doi.org/10.1007/s40120-025-00866-z" TargetMode="External"/><Relationship Id="rId40" Type="http://schemas.openxmlformats.org/officeDocument/2006/relationships/hyperlink" Target="https://doi.org/10.1186/s12939-025-02429-y" TargetMode="External"/><Relationship Id="rId45" Type="http://schemas.openxmlformats.org/officeDocument/2006/relationships/hyperlink" Target="https://www.frontiersin.org/articles/10.3389/fneur.2021.765584/full" TargetMode="External"/><Relationship Id="rId66" Type="http://schemas.openxmlformats.org/officeDocument/2006/relationships/hyperlink" Target="https://doi.org/10.1001/jamaneurol.2023.4929" TargetMode="External"/><Relationship Id="rId87" Type="http://schemas.openxmlformats.org/officeDocument/2006/relationships/hyperlink" Target="https://doi.org/10.5694/mja2.51849" TargetMode="External"/><Relationship Id="rId110" Type="http://schemas.openxmlformats.org/officeDocument/2006/relationships/hyperlink" Target="https://doi.org/10.1007/s13412-023-00833-w" TargetMode="External"/><Relationship Id="rId115" Type="http://schemas.openxmlformats.org/officeDocument/2006/relationships/hyperlink" Target="https://publichealthscotland.scot/news/2023/june/minimum-unit-pricing-reduces-alcohol-related-harm-to-health/?utm_source=chatgpt.com" TargetMode="External"/><Relationship Id="rId131" Type="http://schemas.openxmlformats.org/officeDocument/2006/relationships/hyperlink" Target="https://doi.org/10.5812/ijhrba.27976" TargetMode="External"/><Relationship Id="rId136" Type="http://schemas.openxmlformats.org/officeDocument/2006/relationships/hyperlink" Target="https://doi.org/10.3390/nu15051128" TargetMode="External"/><Relationship Id="rId157" Type="http://schemas.openxmlformats.org/officeDocument/2006/relationships/hyperlink" Target="https://doi.org/10.3389/fpsyg.2022.953304" TargetMode="External"/><Relationship Id="rId178" Type="http://schemas.openxmlformats.org/officeDocument/2006/relationships/hyperlink" Target="https://bmcgeriatr.biomedcentral.com/articles/10.1186/s12877-023-04230-4?utm_source=chatgpt.com" TargetMode="External"/><Relationship Id="rId61" Type="http://schemas.openxmlformats.org/officeDocument/2006/relationships/hyperlink" Target="https://doi.org/10.1002/advs.202519760" TargetMode="External"/><Relationship Id="rId82" Type="http://schemas.openxmlformats.org/officeDocument/2006/relationships/hyperlink" Target="https://doi.org/10.1093/ageing/afad123" TargetMode="External"/><Relationship Id="rId152" Type="http://schemas.openxmlformats.org/officeDocument/2006/relationships/hyperlink" Target="https://ebm.bmj.com/content/early/2025/09/16/bmjebm-2025-113913" TargetMode="External"/><Relationship Id="rId173" Type="http://schemas.openxmlformats.org/officeDocument/2006/relationships/hyperlink" Target="https://pubmed.ncbi.nlm.nih.gov/40987604/" TargetMode="External"/><Relationship Id="rId19" Type="http://schemas.openxmlformats.org/officeDocument/2006/relationships/hyperlink" Target="https://www.alzheimers.org.uk/about-dementia/managing-the-risk-of-dementia/reduce-your-risk-of-dementia/alcohol" TargetMode="External"/><Relationship Id="rId14" Type="http://schemas.openxmlformats.org/officeDocument/2006/relationships/image" Target="media/image8.png"/><Relationship Id="rId30" Type="http://schemas.openxmlformats.org/officeDocument/2006/relationships/hyperlink" Target="https://doi.org/10.1136/bmjopen-2021-049296" TargetMode="External"/><Relationship Id="rId35" Type="http://schemas.openxmlformats.org/officeDocument/2006/relationships/hyperlink" Target="https://doi.org/10.1002/jrsm.1602" TargetMode="External"/><Relationship Id="rId56" Type="http://schemas.openxmlformats.org/officeDocument/2006/relationships/hyperlink" Target="https://doi.org/10.3389/fpubh.2025.1629046" TargetMode="External"/><Relationship Id="rId77" Type="http://schemas.openxmlformats.org/officeDocument/2006/relationships/hyperlink" Target="https://doi.org/10.3390/cells12232726" TargetMode="External"/><Relationship Id="rId100" Type="http://schemas.openxmlformats.org/officeDocument/2006/relationships/hyperlink" Target="https://doi.org/10.1177/16094069231205789" TargetMode="External"/><Relationship Id="rId105" Type="http://schemas.openxmlformats.org/officeDocument/2006/relationships/hyperlink" Target="https://www.oecd.org/health/preventing-harmful-alcohol-use-30d40adf-en.htm" TargetMode="External"/><Relationship Id="rId126" Type="http://schemas.openxmlformats.org/officeDocument/2006/relationships/hyperlink" Target="https://pmc.ncbi.nlm.nih.gov/articles/PMC10107555/" TargetMode="External"/><Relationship Id="rId147" Type="http://schemas.openxmlformats.org/officeDocument/2006/relationships/hyperlink" Target="https://doi.org/10.1186/s12889-021-10208-x" TargetMode="External"/><Relationship Id="rId168" Type="http://schemas.openxmlformats.org/officeDocument/2006/relationships/hyperlink" Target="https://academic.oup.com/psychsocgerontology/article/79/12/gbae173/7816889" TargetMode="External"/><Relationship Id="rId8" Type="http://schemas.openxmlformats.org/officeDocument/2006/relationships/image" Target="media/image2.png"/><Relationship Id="rId51" Type="http://schemas.openxmlformats.org/officeDocument/2006/relationships/hyperlink" Target="https://doi.org/10.3389/adar.2025.15342" TargetMode="External"/><Relationship Id="rId72" Type="http://schemas.openxmlformats.org/officeDocument/2006/relationships/hyperlink" Target="https://doi.org/10.1016/S2468-2667(22)00257-2" TargetMode="External"/><Relationship Id="rId93" Type="http://schemas.openxmlformats.org/officeDocument/2006/relationships/hyperlink" Target="https://www.health.org.uk/publications/reports/the-marmot-review-10-years-on" TargetMode="External"/><Relationship Id="rId98" Type="http://schemas.openxmlformats.org/officeDocument/2006/relationships/hyperlink" Target="https://doi.org/10.1001/jama.289.11.1405" TargetMode="External"/><Relationship Id="rId121" Type="http://schemas.openxmlformats.org/officeDocument/2006/relationships/hyperlink" Target="https://doi.org/10.1186/s12889-024-18237-y" TargetMode="External"/><Relationship Id="rId142" Type="http://schemas.openxmlformats.org/officeDocument/2006/relationships/hyperlink" Target="https://pubmed.ncbi.nlm.nih.gov/38696946/?utm_source=chatgpt.com" TargetMode="External"/><Relationship Id="rId163" Type="http://schemas.openxmlformats.org/officeDocument/2006/relationships/hyperlink" Target="https://doi.org/10.3390/jcm11226755" TargetMode="External"/><Relationship Id="rId3" Type="http://schemas.openxmlformats.org/officeDocument/2006/relationships/settings" Target="settings.xml"/><Relationship Id="rId25" Type="http://schemas.openxmlformats.org/officeDocument/2006/relationships/hyperlink" Target="https://doi.org/10.1007/978-3-031-93415-5_1" TargetMode="External"/><Relationship Id="rId46" Type="http://schemas.openxmlformats.org/officeDocument/2006/relationships/hyperlink" Target="https://doi.org/10.1177/17456916231187324" TargetMode="External"/><Relationship Id="rId67" Type="http://schemas.openxmlformats.org/officeDocument/2006/relationships/hyperlink" Target="https://jamanetwork.com/journals/jamaneurology/fullarticle/2813439" TargetMode="External"/><Relationship Id="rId116" Type="http://schemas.openxmlformats.org/officeDocument/2006/relationships/hyperlink" Target="https://doi.org/10.1111/dar.13997" TargetMode="External"/><Relationship Id="rId137" Type="http://schemas.openxmlformats.org/officeDocument/2006/relationships/hyperlink" Target="https://bmjopen.bmj.com/content/bmjopen/15/11/e093389.full.pdf" TargetMode="External"/><Relationship Id="rId158" Type="http://schemas.openxmlformats.org/officeDocument/2006/relationships/hyperlink" Target="https://doi.org/10.1159/000528573" TargetMode="External"/><Relationship Id="rId20" Type="http://schemas.openxmlformats.org/officeDocument/2006/relationships/hyperlink" Target="https://www.alzheimers.org.uk/about-dementia/managing-the-risk-of-dementia/reduce-your-risk-of-dementia/alcohol" TargetMode="External"/><Relationship Id="rId41" Type="http://schemas.openxmlformats.org/officeDocument/2006/relationships/hyperlink" Target="https://www.cqc.org.uk/publications/major-report/state-care/2023-2024/areas-of-concern/dementia" TargetMode="External"/><Relationship Id="rId62" Type="http://schemas.openxmlformats.org/officeDocument/2006/relationships/hyperlink" Target="https://doi.org/10.1186/s12889-025-25876-2" TargetMode="External"/><Relationship Id="rId83" Type="http://schemas.openxmlformats.org/officeDocument/2006/relationships/hyperlink" Target="https://academic.oup.com/gerontologist/article/59/5/e512/5536121" TargetMode="External"/><Relationship Id="rId88" Type="http://schemas.openxmlformats.org/officeDocument/2006/relationships/hyperlink" Target="https://doi.org/10.1007/s11357-024-01382-y" TargetMode="External"/><Relationship Id="rId111" Type="http://schemas.openxmlformats.org/officeDocument/2006/relationships/hyperlink" Target="https://www.drugsandalcohol.ie/35799/1/Evaluating-the-impact-of-MUP-of-alcohol-in-scotland-on-cross-border-purchasing.pdf" TargetMode="External"/><Relationship Id="rId132" Type="http://schemas.openxmlformats.org/officeDocument/2006/relationships/hyperlink" Target="https://doi.org/10.1136/bmj-2022-074256" TargetMode="External"/><Relationship Id="rId153" Type="http://schemas.openxmlformats.org/officeDocument/2006/relationships/hyperlink" Target="https://link.springer.com/article/10.1007/s40615-025-02730-0" TargetMode="External"/><Relationship Id="rId174" Type="http://schemas.openxmlformats.org/officeDocument/2006/relationships/hyperlink" Target="https://pubmed.ncbi.nlm.nih.gov/39318786/" TargetMode="External"/><Relationship Id="rId179" Type="http://schemas.openxmlformats.org/officeDocument/2006/relationships/footer" Target="footer1.xml"/><Relationship Id="rId15" Type="http://schemas.openxmlformats.org/officeDocument/2006/relationships/image" Target="media/image9.png"/><Relationship Id="rId36" Type="http://schemas.openxmlformats.org/officeDocument/2006/relationships/hyperlink" Target="https://doi.org/10.1002/jrsm.1561" TargetMode="External"/><Relationship Id="rId57" Type="http://schemas.openxmlformats.org/officeDocument/2006/relationships/hyperlink" Target="https://eprints.lancs.ac.uk/id/eprint/215801/3/giebel-et-al-2024-do-people-with-dementia-and-carers-get-what-they-need-barriers-in-social-care-and-carers-needs.pdf" TargetMode="External"/><Relationship Id="rId106" Type="http://schemas.openxmlformats.org/officeDocument/2006/relationships/hyperlink" Target="https://fingertips.phe.org.uk/profile/local-alcohol-profiles" TargetMode="External"/><Relationship Id="rId127" Type="http://schemas.openxmlformats.org/officeDocument/2006/relationships/hyperlink" Target="https://doi.org/10.1111/add.15478" TargetMode="External"/><Relationship Id="rId10" Type="http://schemas.openxmlformats.org/officeDocument/2006/relationships/image" Target="media/image4.png"/><Relationship Id="rId31" Type="http://schemas.openxmlformats.org/officeDocument/2006/relationships/hyperlink" Target="https://doi.org/10.1038/s41467-019-08500-x" TargetMode="External"/><Relationship Id="rId52" Type="http://schemas.openxmlformats.org/officeDocument/2006/relationships/hyperlink" Target="https://www.dementiauk.org/about-us/strategy-annual-reports/?utm_source=chatgpt.com" TargetMode="External"/><Relationship Id="rId73" Type="http://schemas.openxmlformats.org/officeDocument/2006/relationships/hyperlink" Target="https://doi.org/10.1177/14713012221132374" TargetMode="External"/><Relationship Id="rId78" Type="http://schemas.openxmlformats.org/officeDocument/2006/relationships/hyperlink" Target="https://doi.org/10.1177/14713012241247339" TargetMode="External"/><Relationship Id="rId94" Type="http://schemas.openxmlformats.org/officeDocument/2006/relationships/hyperlink" Target="https://doi.org/10.1007/bf03391694" TargetMode="External"/><Relationship Id="rId99" Type="http://schemas.openxmlformats.org/officeDocument/2006/relationships/hyperlink" Target="https://doi.org/10.1016/s2666-7568(24)00117-x" TargetMode="External"/><Relationship Id="rId101" Type="http://schemas.openxmlformats.org/officeDocument/2006/relationships/hyperlink" Target="https://webarchive.nationalarchives.gov.uk/ukgwa/20250707103655/https://www.longtermplan.nhs.uk/wp-content/uploads/2019/01/nhs-long-term-plan.pdf" TargetMode="External"/><Relationship Id="rId122" Type="http://schemas.openxmlformats.org/officeDocument/2006/relationships/hyperlink" Target="https://doi.org/10.1016/j.jclinepi.2023.01.005" TargetMode="External"/><Relationship Id="rId143" Type="http://schemas.openxmlformats.org/officeDocument/2006/relationships/hyperlink" Target="https://pubmed.ncbi.nlm.nih.gov/35781021" TargetMode="External"/><Relationship Id="rId148" Type="http://schemas.openxmlformats.org/officeDocument/2006/relationships/hyperlink" Target="https://equityhealthj.biomedcentral.com/articles/10.1186/s12939-024-02216-1" TargetMode="External"/><Relationship Id="rId164" Type="http://schemas.openxmlformats.org/officeDocument/2006/relationships/hyperlink" Target="https://www.who.int/news-room/fact-sheets/detail/dementia" TargetMode="External"/><Relationship Id="rId169" Type="http://schemas.openxmlformats.org/officeDocument/2006/relationships/hyperlink" Target="https://doi.org/10.100/jamaneurol.2023.4929" TargetMode="External"/><Relationship Id="rId4" Type="http://schemas.openxmlformats.org/officeDocument/2006/relationships/webSettings" Target="webSettings.xml"/><Relationship Id="rId9" Type="http://schemas.openxmlformats.org/officeDocument/2006/relationships/image" Target="media/image3.png"/><Relationship Id="rId180" Type="http://schemas.openxmlformats.org/officeDocument/2006/relationships/fontTable" Target="fontTable.xml"/><Relationship Id="rId26" Type="http://schemas.openxmlformats.org/officeDocument/2006/relationships/hyperlink" Target="https://bmchealthservres.biomedcentral.com/articles/10.1186/s12913-023-10027-3" TargetMode="External"/><Relationship Id="rId47" Type="http://schemas.openxmlformats.org/officeDocument/2006/relationships/hyperlink" Target="https://doi.org/10.1007/s13760-020-01515-y" TargetMode="External"/><Relationship Id="rId68" Type="http://schemas.openxmlformats.org/officeDocument/2006/relationships/hyperlink" Target="https://jamanetwork.com/journals/jamanetworkopen/fullarticle/2770285" TargetMode="External"/><Relationship Id="rId89" Type="http://schemas.openxmlformats.org/officeDocument/2006/relationships/hyperlink" Target="https://doi.org/10.1186/s13020-023-00741-9" TargetMode="External"/><Relationship Id="rId112" Type="http://schemas.openxmlformats.org/officeDocument/2006/relationships/hyperlink" Target="https://doi.org/10.1007/s40429-025-00668-1" TargetMode="External"/><Relationship Id="rId133" Type="http://schemas.openxmlformats.org/officeDocument/2006/relationships/hyperlink" Target="https://doi.org/10.1093/alcalc/agaf012" TargetMode="External"/><Relationship Id="rId154" Type="http://schemas.openxmlformats.org/officeDocument/2006/relationships/hyperlink" Target="https://doi.org/10.1016/j.jclinepi.2021.01.003" TargetMode="External"/><Relationship Id="rId175" Type="http://schemas.openxmlformats.org/officeDocument/2006/relationships/hyperlink" Target="https://pubmed.ncbi.nlm.nih.gov/36641612/?utm_source=chatgpt.com" TargetMode="External"/><Relationship Id="rId16" Type="http://schemas.openxmlformats.org/officeDocument/2006/relationships/image" Target="media/image10.png"/><Relationship Id="rId37" Type="http://schemas.openxmlformats.org/officeDocument/2006/relationships/hyperlink" Target="https://doi.org/10.1080/17437199.2022.2161594" TargetMode="External"/><Relationship Id="rId58" Type="http://schemas.openxmlformats.org/officeDocument/2006/relationships/hyperlink" Target="https://alkoholpolitisktforum.se/wp-content/uploads/2020/02/c-users-kims-desktop-sales-based-consumption-descriptive-analysis-of-one-year-post-mup-off-trade-alcohol-sales-data.pdf" TargetMode="External"/><Relationship Id="rId79" Type="http://schemas.openxmlformats.org/officeDocument/2006/relationships/hyperlink" Target="https://link.springer.com/article/10.1007/s40429-025-00668-1" TargetMode="External"/><Relationship Id="rId102" Type="http://schemas.openxmlformats.org/officeDocument/2006/relationships/hyperlink" Target="https://www.longtermplan.nhs.uk/" TargetMode="External"/><Relationship Id="rId123" Type="http://schemas.openxmlformats.org/officeDocument/2006/relationships/hyperlink" Target="https://doi.org/10.1186/alzrt157" TargetMode="External"/><Relationship Id="rId144" Type="http://schemas.openxmlformats.org/officeDocument/2006/relationships/hyperlink" Target="https://bmcprimcare.biomedcentral.com/articles/10.1186/s12875-024-02500-7" TargetMode="External"/><Relationship Id="rId90" Type="http://schemas.openxmlformats.org/officeDocument/2006/relationships/hyperlink" Target="https://lx.iriss.org.uk/sites/default/files/resources/ARBD_MeetingNeeds.pdf" TargetMode="External"/><Relationship Id="rId165" Type="http://schemas.openxmlformats.org/officeDocument/2006/relationships/hyperlink" Target="https://www.who.int/publications/i/item/9789241565639" TargetMode="External"/><Relationship Id="rId27" Type="http://schemas.openxmlformats.org/officeDocument/2006/relationships/hyperlink" Target="https://flex.flinders.edu.au/file/2df40002-ef69-47af-b927-6c1a763ee204/1/BeardThesis2023_LibraryCopy.pdf" TargetMode="External"/><Relationship Id="rId48" Type="http://schemas.openxmlformats.org/officeDocument/2006/relationships/hyperlink" Target="https://pmc.ncbi.nlm.nih.gov/articles/PMC4872618/" TargetMode="External"/><Relationship Id="rId69" Type="http://schemas.openxmlformats.org/officeDocument/2006/relationships/hyperlink" Target="https://doi.org/10.1371/journal.pone.0264914" TargetMode="External"/><Relationship Id="rId113" Type="http://schemas.openxmlformats.org/officeDocument/2006/relationships/hyperlink" Target="https://eprints.whiterose.ac.uk/id/eprint/215026/1/The_Spirit_Level_at_15_2024_FINAL.pdf" TargetMode="External"/><Relationship Id="rId134" Type="http://schemas.openxmlformats.org/officeDocument/2006/relationships/hyperlink" Target="https://doi.org/10.1146/annurev-devpsych-120221-033623" TargetMode="External"/><Relationship Id="rId80" Type="http://schemas.openxmlformats.org/officeDocument/2006/relationships/hyperlink" Target="https://doi.org/10.1016/j.lanepe.2021.100136" TargetMode="External"/><Relationship Id="rId155" Type="http://schemas.openxmlformats.org/officeDocument/2006/relationships/hyperlink" Target="https://www.gov.uk/government/publications/evidence-summary-of-impacts-to-date-of-public-health-communications-to-minority-ethnic-groups-and-related-challenges-23-september-2020" TargetMode="External"/><Relationship Id="rId176" Type="http://schemas.openxmlformats.org/officeDocument/2006/relationships/hyperlink" Target="https://www.sciencedirect.com/science/article/abs/pii/S2542660523001476?utm_source=chatgpt.com" TargetMode="External"/><Relationship Id="rId17" Type="http://schemas.openxmlformats.org/officeDocument/2006/relationships/hyperlink" Target="https://equityhealthj.biomedcentral.com/articles/10.1186/s12939-024-02106-6" TargetMode="External"/><Relationship Id="rId38" Type="http://schemas.openxmlformats.org/officeDocument/2006/relationships/hyperlink" Target="https://doi.org/10.1093/aje/kwae232" TargetMode="External"/><Relationship Id="rId59" Type="http://schemas.openxmlformats.org/officeDocument/2006/relationships/hyperlink" Target="https://link.springer.com/article/10.17269/s41997-025-01013-9" TargetMode="External"/><Relationship Id="rId103" Type="http://schemas.openxmlformats.org/officeDocument/2006/relationships/hyperlink" Target="https://www.scwcsu.nhs.uk/priorities/health-inequalities/health-inequalities/addressing-health-inequalities-through-making-every-contact-count-mecc" TargetMode="External"/><Relationship Id="rId124" Type="http://schemas.openxmlformats.org/officeDocument/2006/relationships/hyperlink" Target="https://doi.org/10.1186/alzrt157" TargetMode="External"/><Relationship Id="rId70" Type="http://schemas.openxmlformats.org/officeDocument/2006/relationships/hyperlink" Target="https://journals.plos.org/plosone/article?id=10.1371/journal.pone.0280749" TargetMode="External"/><Relationship Id="rId91" Type="http://schemas.openxmlformats.org/officeDocument/2006/relationships/hyperlink" Target="https://theses.gla.ac.uk/84737/5/2024MancaPhD.pdf" TargetMode="External"/><Relationship Id="rId145" Type="http://schemas.openxmlformats.org/officeDocument/2006/relationships/hyperlink" Target="https://doi.org/10.14283/jpad.2024.3" TargetMode="External"/><Relationship Id="rId166" Type="http://schemas.openxmlformats.org/officeDocument/2006/relationships/hyperlink" Target="https://doi.org/10.1007/s10654-017-0225-3" TargetMode="External"/><Relationship Id="rId1" Type="http://schemas.openxmlformats.org/officeDocument/2006/relationships/numbering" Target="numbering.xml"/><Relationship Id="rId28" Type="http://schemas.openxmlformats.org/officeDocument/2006/relationships/hyperlink" Target="https://doi.org/10.3390/ijerph17103394" TargetMode="External"/><Relationship Id="rId49" Type="http://schemas.openxmlformats.org/officeDocument/2006/relationships/hyperlink" Target="https://doi.org/10.1186/s12889-025-24296-6" TargetMode="External"/><Relationship Id="rId114" Type="http://schemas.openxmlformats.org/officeDocument/2006/relationships/hyperlink" Target="https://doi.org/10.3389/fpsyt.2021.744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74</Pages>
  <Words>23662</Words>
  <Characters>134875</Characters>
  <Application>Microsoft Office Word</Application>
  <DocSecurity>0</DocSecurity>
  <Lines>1123</Lines>
  <Paragraphs>316</Paragraphs>
  <ScaleCrop>false</ScaleCrop>
  <Company/>
  <LinksUpToDate>false</LinksUpToDate>
  <CharactersWithSpaces>158221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 Begum</dc:creator>
  <cp:keywords/>
  <dc:description/>
  <cp:lastModifiedBy>Zak Begum</cp:lastModifiedBy>
  <cp:revision>2</cp:revision>
  <dcterms:created xsi:type="dcterms:W3CDTF">2026-04-06T17:42:00Z</dcterms:created>
  <dcterms:modified xsi:type="dcterms:W3CDTF">2026-04-06T17:42:00Z</dcterms:modified>
</cp:coreProperties>
</file>