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4EC2E" w14:textId="23400C8C" w:rsidR="006B42D6" w:rsidRPr="004E3E14" w:rsidRDefault="006B42D6" w:rsidP="006B42D6">
      <w:pPr>
        <w:ind w:left="3600"/>
        <w:rPr>
          <w:b/>
          <w:bCs/>
          <w:u w:val="single"/>
        </w:rPr>
      </w:pPr>
      <w:r>
        <w:t xml:space="preserve"> </w:t>
      </w:r>
      <w:r w:rsidRPr="004E3E14">
        <w:rPr>
          <w:b/>
          <w:bCs/>
          <w:color w:val="1A1A1A" w:themeColor="background1" w:themeShade="1A"/>
          <w:u w:val="single"/>
        </w:rPr>
        <w:t>Policing by Consent</w:t>
      </w:r>
    </w:p>
    <w:p w14:paraId="606C159E" w14:textId="77777777" w:rsidR="006B42D6" w:rsidRDefault="006B42D6" w:rsidP="006B42D6">
      <w:pPr>
        <w:ind w:left="3600"/>
      </w:pPr>
    </w:p>
    <w:p w14:paraId="7B5BDD5A" w14:textId="2A2D1E19" w:rsidR="006B42D6" w:rsidRDefault="006B42D6" w:rsidP="006B42D6">
      <w:r>
        <w:t>The concept of policing by consent is a cornerstone of democratic societies, emphasizing the importance of mutual trust and cooperation between law enforcement agencies and the communities they serve. However, the Brixton riots of 1981 serve as a stark reminder of the challenges and complexities inherent in maintaining this delicate balance. This essay will explore the concept of policing by consent, examine the events leading up to the Brixton riots, analyze the factors contributing to the breakdown of trust between the police and the Afro-Caribbean community, and discuss the lessons learned from this seminal event.</w:t>
      </w:r>
    </w:p>
    <w:p w14:paraId="6A403523" w14:textId="77777777" w:rsidR="006F69B0" w:rsidRDefault="006F69B0" w:rsidP="006B42D6"/>
    <w:p w14:paraId="1C0DE91E" w14:textId="233E1B6C" w:rsidR="006B42D6" w:rsidRDefault="006B42D6" w:rsidP="006B42D6">
      <w:r>
        <w:t>Policing by consent is a philosophy that originated in England with the establishment of the Metropolitan Police by Sir Robert Peel in the early 19th century. At its core, policing by consent emphasizes the idea that the legitimacy and effectiveness of law enforcement are contingent upon the voluntary cooperation and support of the public. It is based on principles of accountability, transparency, and community engagement, with the aim of fostering trust and collaboration between the police and the communities they serve.</w:t>
      </w:r>
      <w:r w:rsidR="006F69B0">
        <w:t xml:space="preserve"> Here are the key principles of policing by consent: </w:t>
      </w:r>
    </w:p>
    <w:p w14:paraId="5CB4E05D" w14:textId="77777777" w:rsidR="006B42D6" w:rsidRDefault="006B42D6" w:rsidP="006B42D6">
      <w:r>
        <w:t>1. Legitimacy: Police authority derives from the consent and cooperation of the public rather than coercion or force.</w:t>
      </w:r>
    </w:p>
    <w:p w14:paraId="22104008" w14:textId="77777777" w:rsidR="006B42D6" w:rsidRDefault="006B42D6" w:rsidP="006B42D6">
      <w:r>
        <w:t>2. Community Engagement: Police work collaboratively with communities to address their needs and concerns, building trust and fostering positive relationships.</w:t>
      </w:r>
    </w:p>
    <w:p w14:paraId="64752A20" w14:textId="77777777" w:rsidR="006B42D6" w:rsidRDefault="006B42D6" w:rsidP="006B42D6">
      <w:r>
        <w:t>3. Accountability and Transparency: Police actions are transparent, accountable, and subject to scrutiny by the public and oversight mechanisms.</w:t>
      </w:r>
    </w:p>
    <w:p w14:paraId="7DDE08CE" w14:textId="77777777" w:rsidR="006B42D6" w:rsidRDefault="006B42D6" w:rsidP="006B42D6">
      <w:r>
        <w:t>4. Proportionality and Respect for Rights: Police interventions are proportionate to the threat posed and respect the rights and dignity of individuals.</w:t>
      </w:r>
    </w:p>
    <w:p w14:paraId="4A04B85A" w14:textId="77777777" w:rsidR="006B42D6" w:rsidRDefault="006B42D6" w:rsidP="006B42D6">
      <w:r>
        <w:t>5. Ethical Conduct: Police officers adhere to high ethical standards and act with integrity in all interactions with the public.</w:t>
      </w:r>
    </w:p>
    <w:p w14:paraId="3F170307" w14:textId="7EDAE321" w:rsidR="006B42D6" w:rsidRDefault="006B42D6" w:rsidP="006B42D6"/>
    <w:p w14:paraId="51152EF8" w14:textId="1D9A084C" w:rsidR="006B42D6" w:rsidRDefault="006B42D6" w:rsidP="006B42D6">
      <w:r>
        <w:t>The Brixton riots of April 1981 were a series of violent protests that erupted in the Brixton area of South London, primarily inhabited by Afro-Caribbean residents. The riots were a culmination of years of tensions between the police and the local community, fueled by deep-seated grievances over racial discrimination, economic inequality, and aggressive policing tactics.</w:t>
      </w:r>
      <w:r w:rsidR="004208E5">
        <w:t xml:space="preserve"> This are the factors contributing to the Riots:</w:t>
      </w:r>
    </w:p>
    <w:p w14:paraId="34B7BCDB" w14:textId="77777777" w:rsidR="006B42D6" w:rsidRDefault="006B42D6" w:rsidP="006B42D6">
      <w:r>
        <w:t>1. Systemic Racism: The Brixton community faced systemic racism and discrimination in various aspects of life, including housing, employment, and education. Police stop-and-search practices disproportionately targeted young black men, leading to feelings of alienation and resentment.</w:t>
      </w:r>
    </w:p>
    <w:p w14:paraId="07D4F275" w14:textId="77777777" w:rsidR="006B42D6" w:rsidRDefault="006B42D6" w:rsidP="006B42D6">
      <w:r>
        <w:t>2. Economic Deprivation: Brixton was characterized by high levels of unemployment, poverty, and social deprivation, exacerbating feelings of marginalization and frustration within the community.</w:t>
      </w:r>
    </w:p>
    <w:p w14:paraId="0F661E44" w14:textId="77777777" w:rsidR="006B42D6" w:rsidRDefault="006B42D6" w:rsidP="006B42D6">
      <w:r>
        <w:t>3. Police Brutality: The Afro-Caribbean community in Brixton experienced heavy-handed policing tactics, including harassment, racial profiling, and excessive use of force. Incidents of police brutality further eroded trust and confidence in law enforcement.</w:t>
      </w:r>
    </w:p>
    <w:p w14:paraId="2F04CC9E" w14:textId="3035A587" w:rsidR="006B42D6" w:rsidRDefault="006B42D6" w:rsidP="006B42D6">
      <w:r>
        <w:t>4. Social Unrest: The socio-economic conditions in Brixton created a fertile ground for social unrest, with simmering tensions between the police and the community reaching a breaking point following a series of confrontations and incidents of violence.</w:t>
      </w:r>
    </w:p>
    <w:p w14:paraId="5ED8E133" w14:textId="77777777" w:rsidR="0082218A" w:rsidRDefault="0082218A" w:rsidP="006B42D6"/>
    <w:p w14:paraId="203B2CEB" w14:textId="6827EDC1" w:rsidR="006B42D6" w:rsidRDefault="006B42D6" w:rsidP="006B42D6">
      <w:r>
        <w:t>The trigger for the Brixton riots was a confrontation between police officers and a young black man on April 10, 1981. The incident, which involved the aggressive stop-and-search of the young man, sparked outrage among bystanders and quickly escalated into widespread unrest. Over the course of several days, the riots spread throughout Brixton, with protesters engaging in acts of violence, looting, and arson.</w:t>
      </w:r>
      <w:r w:rsidR="00AE51BC">
        <w:t xml:space="preserve"> </w:t>
      </w:r>
      <w:r>
        <w:t>The response of law enforcement to the Brixton riots was criticized for its heavy-handed tactics and failure to address underlying issues of inequality and injustice. In the aftermath of the riots, the Scarman Report was commissioned by the British government to investigate the causes of the unrest and recommend measures for improvement.</w:t>
      </w:r>
    </w:p>
    <w:p w14:paraId="6D25A344" w14:textId="5DC37F09" w:rsidR="006B42D6" w:rsidRDefault="006B42D6" w:rsidP="006B42D6"/>
    <w:p w14:paraId="35DE32DB" w14:textId="27C86B27" w:rsidR="006B42D6" w:rsidRDefault="006B42D6" w:rsidP="006B42D6">
      <w:r>
        <w:t>Published in 1981, the Scarman Report identified institutional racism within the police force and called for sweeping reforms to address racial inequalities and improve police-community relations. Recommendations included measures to increase diversity within law enforcement, enhance training on race relations, and promote community-oriented policing strategies.</w:t>
      </w:r>
      <w:r w:rsidR="00197D6D">
        <w:t xml:space="preserve"> </w:t>
      </w:r>
      <w:r>
        <w:t>The Brixton riots serve as a sobering reminder of the consequences of neglecting the principles of policing by consent and the importance of addressing systemic issues of racism, inequality, and police brutality. The events of 1981 underscored the need for law enforcement agencies to prioritize community engagement, respect for diversity, and accountability in their efforts to maintain public order and safety.</w:t>
      </w:r>
    </w:p>
    <w:p w14:paraId="64EAAD71" w14:textId="7711A201" w:rsidR="006B42D6" w:rsidRDefault="006B42D6" w:rsidP="006B42D6"/>
    <w:p w14:paraId="33FC1E2F" w14:textId="1A0CBCF1" w:rsidR="006B42D6" w:rsidRDefault="006B42D6">
      <w:r>
        <w:t>The Brixton riots of 1981 represent a watershed moment in the history of policing in the United Kingdom, highlighting the challenges and complexities of maintaining trust and cooperation between law enforcement and the communities they serve. By examining the events leading up to the riots and the factors contributing to the breakdown of trust between the police and the Afro-Caribbean community, we gain valuable insights into the importance of upholding the principles of policing by consent in fostering a safer, more just, and inclusive society.</w:t>
      </w:r>
    </w:p>
    <w:p w14:paraId="7017AEE1" w14:textId="77777777" w:rsidR="00F515B6" w:rsidRDefault="00F515B6"/>
    <w:p w14:paraId="35AF7E5B" w14:textId="07CD76C9" w:rsidR="00F515B6" w:rsidRDefault="00F515B6">
      <w:r>
        <w:t xml:space="preserve">Reference list: </w:t>
      </w:r>
    </w:p>
    <w:p w14:paraId="313553B2" w14:textId="5B3352FA" w:rsidR="00F515B6" w:rsidRDefault="003F19DF">
      <w:r>
        <w:t xml:space="preserve">Mayor </w:t>
      </w:r>
      <w:r w:rsidR="005F1E58">
        <w:t>of London</w:t>
      </w:r>
      <w:r w:rsidR="00E334F2">
        <w:t xml:space="preserve"> 2024. Available at: </w:t>
      </w:r>
      <w:hyperlink r:id="rId4" w:history="1">
        <w:r w:rsidR="00E334F2" w:rsidRPr="006051BD">
          <w:rPr>
            <w:rStyle w:val="Hyperlink"/>
          </w:rPr>
          <w:t>https://www.london.gov.uk/node/59395</w:t>
        </w:r>
      </w:hyperlink>
      <w:r w:rsidR="00E334F2">
        <w:t xml:space="preserve">( accessed date </w:t>
      </w:r>
      <w:r w:rsidR="001707A6">
        <w:t xml:space="preserve">14.April.2024) </w:t>
      </w:r>
    </w:p>
    <w:p w14:paraId="7747806F" w14:textId="79B0F2CF" w:rsidR="00506DF5" w:rsidRDefault="00465C25">
      <w:r>
        <w:t>Go</w:t>
      </w:r>
      <w:r w:rsidR="003D004D">
        <w:t>v</w:t>
      </w:r>
      <w:r>
        <w:t xml:space="preserve">.uk. </w:t>
      </w:r>
      <w:r w:rsidR="00506DF5">
        <w:t xml:space="preserve">Definition of policing by consent. Published on 10 December 2012. Available at: </w:t>
      </w:r>
      <w:hyperlink r:id="rId5" w:history="1">
        <w:r w:rsidR="003D004D" w:rsidRPr="006051BD">
          <w:rPr>
            <w:rStyle w:val="Hyperlink"/>
          </w:rPr>
          <w:t>https://www.gov.uk/government/publications/policing-by-consent/definition-of-policing-by-consent</w:t>
        </w:r>
      </w:hyperlink>
      <w:r w:rsidR="003D004D">
        <w:t xml:space="preserve"> ( accessed date 1</w:t>
      </w:r>
      <w:r w:rsidR="00EA07F7">
        <w:t xml:space="preserve">4 April 2024) </w:t>
      </w:r>
    </w:p>
    <w:p w14:paraId="40B4E57A" w14:textId="56B5D6F6" w:rsidR="00EA07F7" w:rsidRDefault="002452A6">
      <w:r>
        <w:t xml:space="preserve">Ministry of injustice. </w:t>
      </w:r>
      <w:r w:rsidR="001D0D7E">
        <w:t xml:space="preserve">19th April </w:t>
      </w:r>
      <w:r w:rsidR="007D7004">
        <w:t xml:space="preserve">2024. Available at:  </w:t>
      </w:r>
      <w:hyperlink r:id="rId6" w:history="1">
        <w:r w:rsidR="007D7004" w:rsidRPr="006051BD">
          <w:rPr>
            <w:rStyle w:val="Hyperlink"/>
          </w:rPr>
          <w:t>https://www.gov.uk/government/publications/policing-by-consent/definition-of-policing-by-consent</w:t>
        </w:r>
      </w:hyperlink>
      <w:r w:rsidR="007D7004">
        <w:t xml:space="preserve"> ( accessed date 14 </w:t>
      </w:r>
      <w:r w:rsidR="0057512C">
        <w:t>April 2024)</w:t>
      </w:r>
    </w:p>
    <w:p w14:paraId="34B8580C" w14:textId="2D08002D" w:rsidR="00F02CE5" w:rsidRDefault="00012349">
      <w:r>
        <w:t>Abolit</w:t>
      </w:r>
      <w:r w:rsidR="00E24DB2">
        <w:t>ionist Futures</w:t>
      </w:r>
      <w:r w:rsidR="00E71887">
        <w:t>. Policing by consent</w:t>
      </w:r>
      <w:r w:rsidR="00F02CE5">
        <w:t xml:space="preserve"> b</w:t>
      </w:r>
      <w:r w:rsidR="00E71887">
        <w:t xml:space="preserve">y </w:t>
      </w:r>
      <w:r w:rsidR="00F02CE5">
        <w:t xml:space="preserve">Mediocre Dave. 27 may 2021. Available at :   </w:t>
      </w:r>
      <w:hyperlink r:id="rId7" w:history="1">
        <w:r w:rsidR="00A91E0E" w:rsidRPr="006051BD">
          <w:rPr>
            <w:rStyle w:val="Hyperlink"/>
          </w:rPr>
          <w:t>https://abolitionistfutures.com/latest-news/policing-by-consent</w:t>
        </w:r>
      </w:hyperlink>
      <w:r w:rsidR="00A91E0E">
        <w:t xml:space="preserve"> ( accessed date 15 April 2024) </w:t>
      </w:r>
    </w:p>
    <w:p w14:paraId="3F3B7538" w14:textId="60141F5C" w:rsidR="00D01FBC" w:rsidRDefault="00C44526">
      <w:r>
        <w:t xml:space="preserve">Museum of </w:t>
      </w:r>
      <w:r w:rsidR="00D01FBC">
        <w:t xml:space="preserve">London. </w:t>
      </w:r>
      <w:r w:rsidR="00213DD1">
        <w:t>Ja</w:t>
      </w:r>
      <w:r w:rsidR="005A3912">
        <w:t xml:space="preserve">smine Pierre 21 March 2022. Available at </w:t>
      </w:r>
      <w:hyperlink r:id="rId8" w:history="1">
        <w:r w:rsidR="00845164" w:rsidRPr="006051BD">
          <w:rPr>
            <w:rStyle w:val="Hyperlink"/>
          </w:rPr>
          <w:t>https://www.museumoflondon.org.uk/discover/brixton-1981-blm-2020-black-uprisings-londons-history</w:t>
        </w:r>
      </w:hyperlink>
      <w:r w:rsidR="00845164">
        <w:t xml:space="preserve"> ( accessed date 15 April 2024) </w:t>
      </w:r>
    </w:p>
    <w:p w14:paraId="0D85C65B" w14:textId="51595FB4" w:rsidR="00973131" w:rsidRDefault="00973131">
      <w:r>
        <w:t>Black past</w:t>
      </w:r>
      <w:r w:rsidR="00C93287">
        <w:t>. Brixton riots. Contribute</w:t>
      </w:r>
      <w:r w:rsidR="003E06D8">
        <w:t>d by Felix Brenton 13 June 2010</w:t>
      </w:r>
      <w:r w:rsidR="00885918">
        <w:t xml:space="preserve">. Available at </w:t>
      </w:r>
      <w:hyperlink r:id="rId9" w:history="1">
        <w:r w:rsidR="00DC5DB3" w:rsidRPr="006051BD">
          <w:rPr>
            <w:rStyle w:val="Hyperlink"/>
          </w:rPr>
          <w:t>https://www.blackpast.org/global-african-history/brixton-riots-april-10-12-1981/</w:t>
        </w:r>
      </w:hyperlink>
      <w:r w:rsidR="00DC5DB3">
        <w:t xml:space="preserve"> ( accessed date 15 April 2024) </w:t>
      </w:r>
    </w:p>
    <w:p w14:paraId="1D33A6D9" w14:textId="083399F0" w:rsidR="00DC5DB3" w:rsidRDefault="00CC1D5F">
      <w:r>
        <w:t xml:space="preserve">Socialist </w:t>
      </w:r>
      <w:r w:rsidR="00F7155D">
        <w:t>Party. 7 April 2021. Available at</w:t>
      </w:r>
      <w:r w:rsidR="007C4163">
        <w:t xml:space="preserve">: </w:t>
      </w:r>
      <w:r w:rsidR="00F7155D">
        <w:t xml:space="preserve"> </w:t>
      </w:r>
      <w:hyperlink r:id="rId10" w:history="1">
        <w:r w:rsidR="007C4163" w:rsidRPr="006051BD">
          <w:rPr>
            <w:rStyle w:val="Hyperlink"/>
          </w:rPr>
          <w:t>https://www.socialistparty.org.uk/articles/32327/07-04-2021/1981-brixton-riots-racism-and-poverty-the-anger-explodes/</w:t>
        </w:r>
      </w:hyperlink>
      <w:r w:rsidR="007C4163">
        <w:t xml:space="preserve">  ( </w:t>
      </w:r>
      <w:r w:rsidR="005A2C61">
        <w:t xml:space="preserve">accessed date 16 April 2024) </w:t>
      </w:r>
    </w:p>
    <w:p w14:paraId="7BECF0D6" w14:textId="19AA97E3" w:rsidR="000C5536" w:rsidRDefault="000C5536">
      <w:r>
        <w:t xml:space="preserve">The Guardian. </w:t>
      </w:r>
      <w:r w:rsidR="00284348">
        <w:t xml:space="preserve">Stephen Cook 26 November 2021. Available at </w:t>
      </w:r>
      <w:hyperlink r:id="rId11" w:history="1">
        <w:r w:rsidR="00284348" w:rsidRPr="006051BD">
          <w:rPr>
            <w:rStyle w:val="Hyperlink"/>
          </w:rPr>
          <w:t>https://amp.theguardian.com/world/2021/nov/26/scarman-report-into-brixton-riots-published-archive-1981</w:t>
        </w:r>
      </w:hyperlink>
      <w:r w:rsidR="00284348">
        <w:t xml:space="preserve"> ( accessed date 16 April 2024) </w:t>
      </w:r>
    </w:p>
    <w:p w14:paraId="2EB8B6F4" w14:textId="07CB8555" w:rsidR="00284348" w:rsidRDefault="00635A3F">
      <w:r>
        <w:t>Tribune</w:t>
      </w:r>
      <w:r w:rsidR="000E005D">
        <w:t xml:space="preserve">. The great insurrection: Remembering the Brixton </w:t>
      </w:r>
      <w:r w:rsidR="00331055">
        <w:t>Uprising by Perry Blankson</w:t>
      </w:r>
      <w:r w:rsidR="006344BE">
        <w:t>. 11 April 2023. Available at</w:t>
      </w:r>
      <w:r w:rsidR="00BD39AA" w:rsidRPr="00BD39AA">
        <w:t xml:space="preserve"> </w:t>
      </w:r>
      <w:hyperlink r:id="rId12" w:history="1">
        <w:r w:rsidR="00BD39AA" w:rsidRPr="006051BD">
          <w:rPr>
            <w:rStyle w:val="Hyperlink"/>
          </w:rPr>
          <w:t>https://tribunemag.co.uk/2023/04/the-great-insurrection-remembering-the-brixton-uprising</w:t>
        </w:r>
      </w:hyperlink>
      <w:r w:rsidR="00BD39AA">
        <w:t xml:space="preserve"> ( accessed date 16 April 2024) </w:t>
      </w:r>
    </w:p>
    <w:p w14:paraId="56CBFC85" w14:textId="193BCE5F" w:rsidR="00BD39AA" w:rsidRPr="005A2C61" w:rsidRDefault="00E71F73">
      <w:pPr>
        <w:rPr>
          <w:lang w:val="en-GB"/>
        </w:rPr>
      </w:pPr>
      <w:r>
        <w:t>Cher</w:t>
      </w:r>
      <w:r w:rsidR="008E7B3F">
        <w:t>well. Policing by consent by Fre</w:t>
      </w:r>
      <w:r w:rsidR="00F52989">
        <w:t xml:space="preserve">ddie Hopkinson. 6th January 2016. Available at </w:t>
      </w:r>
      <w:hyperlink r:id="rId13" w:history="1">
        <w:r w:rsidR="00D958E5" w:rsidRPr="006051BD">
          <w:rPr>
            <w:rStyle w:val="Hyperlink"/>
          </w:rPr>
          <w:t>https://cherwell.org/2016/01/06/policing-by-consent-in-contemporary-britain/#google_vignette</w:t>
        </w:r>
      </w:hyperlink>
      <w:r w:rsidR="00D958E5">
        <w:t xml:space="preserve"> (accessed date 16 April 2024) </w:t>
      </w:r>
    </w:p>
    <w:p w14:paraId="5EB49A06" w14:textId="77777777" w:rsidR="0057512C" w:rsidRDefault="0057512C"/>
    <w:sectPr w:rsidR="005751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2D6"/>
    <w:rsid w:val="00012349"/>
    <w:rsid w:val="000C5536"/>
    <w:rsid w:val="000E005D"/>
    <w:rsid w:val="00152712"/>
    <w:rsid w:val="001707A6"/>
    <w:rsid w:val="00197D6D"/>
    <w:rsid w:val="001A78EC"/>
    <w:rsid w:val="001D0D7E"/>
    <w:rsid w:val="00213DD1"/>
    <w:rsid w:val="002452A6"/>
    <w:rsid w:val="00284348"/>
    <w:rsid w:val="00331055"/>
    <w:rsid w:val="003D004D"/>
    <w:rsid w:val="003E06D8"/>
    <w:rsid w:val="003F19DF"/>
    <w:rsid w:val="004208E5"/>
    <w:rsid w:val="00465C25"/>
    <w:rsid w:val="004E3E14"/>
    <w:rsid w:val="00506DF5"/>
    <w:rsid w:val="0057512C"/>
    <w:rsid w:val="005A2C61"/>
    <w:rsid w:val="005A3912"/>
    <w:rsid w:val="005F1E58"/>
    <w:rsid w:val="006344BE"/>
    <w:rsid w:val="00635A3F"/>
    <w:rsid w:val="006B42D6"/>
    <w:rsid w:val="006F69B0"/>
    <w:rsid w:val="007C4163"/>
    <w:rsid w:val="007D7004"/>
    <w:rsid w:val="0082218A"/>
    <w:rsid w:val="00845164"/>
    <w:rsid w:val="00885918"/>
    <w:rsid w:val="008E7B3F"/>
    <w:rsid w:val="00973131"/>
    <w:rsid w:val="00A155A2"/>
    <w:rsid w:val="00A6290F"/>
    <w:rsid w:val="00A91E0E"/>
    <w:rsid w:val="00AE51BC"/>
    <w:rsid w:val="00BD39AA"/>
    <w:rsid w:val="00C44526"/>
    <w:rsid w:val="00C93287"/>
    <w:rsid w:val="00CC1D5F"/>
    <w:rsid w:val="00D01FBC"/>
    <w:rsid w:val="00D958E5"/>
    <w:rsid w:val="00DC5DB3"/>
    <w:rsid w:val="00E24DB2"/>
    <w:rsid w:val="00E334F2"/>
    <w:rsid w:val="00E71887"/>
    <w:rsid w:val="00E71F73"/>
    <w:rsid w:val="00EA07F7"/>
    <w:rsid w:val="00F02CE5"/>
    <w:rsid w:val="00F515B6"/>
    <w:rsid w:val="00F52989"/>
    <w:rsid w:val="00F7155D"/>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7BB4AE8A"/>
  <w15:chartTrackingRefBased/>
  <w15:docId w15:val="{3F87B7EC-E279-7E4D-9EAD-11DDC4AB8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DE"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2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42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42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42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42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42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42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42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42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2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42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42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42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42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42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42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42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42D6"/>
    <w:rPr>
      <w:rFonts w:eastAsiaTheme="majorEastAsia" w:cstheme="majorBidi"/>
      <w:color w:val="272727" w:themeColor="text1" w:themeTint="D8"/>
    </w:rPr>
  </w:style>
  <w:style w:type="paragraph" w:styleId="Title">
    <w:name w:val="Title"/>
    <w:basedOn w:val="Normal"/>
    <w:next w:val="Normal"/>
    <w:link w:val="TitleChar"/>
    <w:uiPriority w:val="10"/>
    <w:qFormat/>
    <w:rsid w:val="006B42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42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42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42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42D6"/>
    <w:pPr>
      <w:spacing w:before="160"/>
      <w:jc w:val="center"/>
    </w:pPr>
    <w:rPr>
      <w:i/>
      <w:iCs/>
      <w:color w:val="404040" w:themeColor="text1" w:themeTint="BF"/>
    </w:rPr>
  </w:style>
  <w:style w:type="character" w:customStyle="1" w:styleId="QuoteChar">
    <w:name w:val="Quote Char"/>
    <w:basedOn w:val="DefaultParagraphFont"/>
    <w:link w:val="Quote"/>
    <w:uiPriority w:val="29"/>
    <w:rsid w:val="006B42D6"/>
    <w:rPr>
      <w:i/>
      <w:iCs/>
      <w:color w:val="404040" w:themeColor="text1" w:themeTint="BF"/>
    </w:rPr>
  </w:style>
  <w:style w:type="paragraph" w:styleId="ListParagraph">
    <w:name w:val="List Paragraph"/>
    <w:basedOn w:val="Normal"/>
    <w:uiPriority w:val="34"/>
    <w:qFormat/>
    <w:rsid w:val="006B42D6"/>
    <w:pPr>
      <w:ind w:left="720"/>
      <w:contextualSpacing/>
    </w:pPr>
  </w:style>
  <w:style w:type="character" w:styleId="IntenseEmphasis">
    <w:name w:val="Intense Emphasis"/>
    <w:basedOn w:val="DefaultParagraphFont"/>
    <w:uiPriority w:val="21"/>
    <w:qFormat/>
    <w:rsid w:val="006B42D6"/>
    <w:rPr>
      <w:i/>
      <w:iCs/>
      <w:color w:val="0F4761" w:themeColor="accent1" w:themeShade="BF"/>
    </w:rPr>
  </w:style>
  <w:style w:type="paragraph" w:styleId="IntenseQuote">
    <w:name w:val="Intense Quote"/>
    <w:basedOn w:val="Normal"/>
    <w:next w:val="Normal"/>
    <w:link w:val="IntenseQuoteChar"/>
    <w:uiPriority w:val="30"/>
    <w:qFormat/>
    <w:rsid w:val="006B42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42D6"/>
    <w:rPr>
      <w:i/>
      <w:iCs/>
      <w:color w:val="0F4761" w:themeColor="accent1" w:themeShade="BF"/>
    </w:rPr>
  </w:style>
  <w:style w:type="character" w:styleId="IntenseReference">
    <w:name w:val="Intense Reference"/>
    <w:basedOn w:val="DefaultParagraphFont"/>
    <w:uiPriority w:val="32"/>
    <w:qFormat/>
    <w:rsid w:val="006B42D6"/>
    <w:rPr>
      <w:b/>
      <w:bCs/>
      <w:smallCaps/>
      <w:color w:val="0F4761" w:themeColor="accent1" w:themeShade="BF"/>
      <w:spacing w:val="5"/>
    </w:rPr>
  </w:style>
  <w:style w:type="character" w:styleId="Hyperlink">
    <w:name w:val="Hyperlink"/>
    <w:basedOn w:val="DefaultParagraphFont"/>
    <w:uiPriority w:val="99"/>
    <w:unhideWhenUsed/>
    <w:rsid w:val="00E334F2"/>
    <w:rPr>
      <w:color w:val="467886" w:themeColor="hyperlink"/>
      <w:u w:val="single"/>
    </w:rPr>
  </w:style>
  <w:style w:type="character" w:styleId="UnresolvedMention">
    <w:name w:val="Unresolved Mention"/>
    <w:basedOn w:val="DefaultParagraphFont"/>
    <w:uiPriority w:val="99"/>
    <w:semiHidden/>
    <w:unhideWhenUsed/>
    <w:rsid w:val="00E334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useumoflondon.org.uk/discover/brixton-1981-blm-2020-black-uprisings-londons-history" TargetMode="External"/><Relationship Id="rId13" Type="http://schemas.openxmlformats.org/officeDocument/2006/relationships/hyperlink" Target="https://cherwell.org/2016/01/06/policing-by-consent-in-contemporary-britain/#google_vignette" TargetMode="External"/><Relationship Id="rId3" Type="http://schemas.openxmlformats.org/officeDocument/2006/relationships/webSettings" Target="webSettings.xml"/><Relationship Id="rId7" Type="http://schemas.openxmlformats.org/officeDocument/2006/relationships/hyperlink" Target="https://abolitionistfutures.com/latest-news/policing-by-consent" TargetMode="External"/><Relationship Id="rId12" Type="http://schemas.openxmlformats.org/officeDocument/2006/relationships/hyperlink" Target="https://tribunemag.co.uk/2023/04/the-great-insurrection-remembering-the-brixton-upris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policing-by-consent/definition-of-policing-by-consent" TargetMode="External"/><Relationship Id="rId11" Type="http://schemas.openxmlformats.org/officeDocument/2006/relationships/hyperlink" Target="https://amp.theguardian.com/world/2021/nov/26/scarman-report-into-brixton-riots-published-archive-1981" TargetMode="External"/><Relationship Id="rId5" Type="http://schemas.openxmlformats.org/officeDocument/2006/relationships/hyperlink" Target="https://www.gov.uk/government/publications/policing-by-consent/definition-of-policing-by-consent" TargetMode="External"/><Relationship Id="rId15" Type="http://schemas.openxmlformats.org/officeDocument/2006/relationships/theme" Target="theme/theme1.xml"/><Relationship Id="rId10" Type="http://schemas.openxmlformats.org/officeDocument/2006/relationships/hyperlink" Target="https://www.socialistparty.org.uk/articles/32327/07-04-2021/1981-brixton-riots-racism-and-poverty-the-anger-explodes/" TargetMode="External"/><Relationship Id="rId4" Type="http://schemas.openxmlformats.org/officeDocument/2006/relationships/hyperlink" Target="https://www.london.gov.uk/node/59395" TargetMode="External"/><Relationship Id="rId9" Type="http://schemas.openxmlformats.org/officeDocument/2006/relationships/hyperlink" Target="https://www.blackpast.org/global-african-history/brixton-riots-april-10-12-198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1250</Words>
  <Characters>7127</Characters>
  <Application>Microsoft Office Word</Application>
  <DocSecurity>0</DocSecurity>
  <Lines>59</Lines>
  <Paragraphs>16</Paragraphs>
  <ScaleCrop>false</ScaleCrop>
  <Company/>
  <LinksUpToDate>false</LinksUpToDate>
  <CharactersWithSpaces>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Modora (2308137)</dc:creator>
  <cp:keywords/>
  <dc:description/>
  <cp:lastModifiedBy>Emilia Modora (2308137)</cp:lastModifiedBy>
  <cp:revision>2</cp:revision>
  <dcterms:created xsi:type="dcterms:W3CDTF">2024-04-19T22:14:00Z</dcterms:created>
  <dcterms:modified xsi:type="dcterms:W3CDTF">2024-04-19T22:14:00Z</dcterms:modified>
</cp:coreProperties>
</file>