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2E1D5" w14:textId="77777777" w:rsidR="005525AE" w:rsidRPr="0020591B" w:rsidRDefault="005525AE" w:rsidP="005525AE"/>
    <w:p w14:paraId="22FCE39C" w14:textId="77777777" w:rsidR="005525AE" w:rsidRPr="0020591B" w:rsidRDefault="005525AE" w:rsidP="005525AE"/>
    <w:p w14:paraId="5C8CF3FE" w14:textId="77777777" w:rsidR="005525AE" w:rsidRPr="0020591B" w:rsidRDefault="005525AE" w:rsidP="005525AE"/>
    <w:p w14:paraId="121EBA0E" w14:textId="77777777" w:rsidR="005525AE" w:rsidRPr="0020591B" w:rsidRDefault="005525AE" w:rsidP="005525AE"/>
    <w:p w14:paraId="61305500" w14:textId="77777777" w:rsidR="005525AE" w:rsidRPr="0020591B" w:rsidRDefault="005525AE" w:rsidP="005525AE"/>
    <w:p w14:paraId="43D7ECB4" w14:textId="77777777" w:rsidR="005525AE" w:rsidRPr="0020591B" w:rsidRDefault="005525AE" w:rsidP="005525AE"/>
    <w:p w14:paraId="0867E963" w14:textId="1639D61E" w:rsidR="002E673C" w:rsidRPr="0020591B" w:rsidRDefault="005525AE" w:rsidP="005525AE">
      <w:pPr>
        <w:jc w:val="center"/>
        <w:rPr>
          <w:b/>
          <w:bCs/>
          <w:sz w:val="44"/>
          <w:szCs w:val="44"/>
        </w:rPr>
      </w:pPr>
      <w:r w:rsidRPr="0020591B">
        <w:rPr>
          <w:b/>
          <w:bCs/>
          <w:sz w:val="44"/>
          <w:szCs w:val="44"/>
        </w:rPr>
        <w:t>Module: Entrepreneurship (LCBB5013)</w:t>
      </w:r>
    </w:p>
    <w:p w14:paraId="04BF975D" w14:textId="1798A04D" w:rsidR="005525AE" w:rsidRPr="0020591B" w:rsidRDefault="005525AE" w:rsidP="005525AE">
      <w:pPr>
        <w:jc w:val="center"/>
        <w:rPr>
          <w:b/>
          <w:bCs/>
          <w:sz w:val="44"/>
          <w:szCs w:val="44"/>
        </w:rPr>
      </w:pPr>
      <w:r w:rsidRPr="0020591B">
        <w:rPr>
          <w:b/>
          <w:bCs/>
          <w:sz w:val="44"/>
          <w:szCs w:val="44"/>
        </w:rPr>
        <w:t>Title: Task 1 – Business Plan Development</w:t>
      </w:r>
    </w:p>
    <w:p w14:paraId="325057B7" w14:textId="77777777" w:rsidR="00FA10AB" w:rsidRPr="0020591B" w:rsidRDefault="00FA10AB" w:rsidP="00FA10AB"/>
    <w:p w14:paraId="2C096880" w14:textId="77777777" w:rsidR="00FA10AB" w:rsidRPr="0020591B" w:rsidRDefault="00FA10AB" w:rsidP="00FA10AB"/>
    <w:p w14:paraId="501DD90F" w14:textId="241CEEE4" w:rsidR="00FA10AB" w:rsidRPr="0020591B" w:rsidRDefault="00FA10AB">
      <w:pPr>
        <w:spacing w:before="0" w:after="160" w:line="278" w:lineRule="auto"/>
        <w:jc w:val="left"/>
      </w:pPr>
      <w:r w:rsidRPr="0020591B">
        <w:br w:type="page"/>
      </w:r>
    </w:p>
    <w:sdt>
      <w:sdtPr>
        <w:rPr>
          <w:rFonts w:ascii="Times New Roman" w:eastAsiaTheme="minorHAnsi" w:hAnsi="Times New Roman" w:cs="Times New Roman"/>
          <w:noProof/>
          <w:color w:val="auto"/>
          <w:kern w:val="2"/>
          <w:sz w:val="24"/>
          <w:szCs w:val="24"/>
          <w:lang w:eastAsia="en-US"/>
          <w14:ligatures w14:val="standardContextual"/>
        </w:rPr>
        <w:id w:val="-1752122102"/>
        <w:docPartObj>
          <w:docPartGallery w:val="Table of Contents"/>
          <w:docPartUnique/>
        </w:docPartObj>
      </w:sdtPr>
      <w:sdtEndPr>
        <w:rPr>
          <w:b/>
          <w:bCs/>
        </w:rPr>
      </w:sdtEndPr>
      <w:sdtContent>
        <w:p w14:paraId="5DF76E9D" w14:textId="6C94AAAC" w:rsidR="00FA10AB" w:rsidRPr="0020591B" w:rsidRDefault="00FA10AB">
          <w:pPr>
            <w:pStyle w:val="TOCHeading"/>
            <w:rPr>
              <w:noProof/>
              <w:color w:val="auto"/>
            </w:rPr>
          </w:pPr>
          <w:r w:rsidRPr="0020591B">
            <w:rPr>
              <w:noProof/>
              <w:color w:val="auto"/>
            </w:rPr>
            <w:t>Table of Contents</w:t>
          </w:r>
        </w:p>
        <w:p w14:paraId="7EB77497" w14:textId="7E6A905F" w:rsidR="00295318" w:rsidRPr="0020591B" w:rsidRDefault="00FA10AB">
          <w:pPr>
            <w:pStyle w:val="TOC1"/>
            <w:tabs>
              <w:tab w:val="right" w:leader="dot" w:pos="9016"/>
            </w:tabs>
            <w:rPr>
              <w:rFonts w:asciiTheme="minorHAnsi" w:eastAsiaTheme="minorEastAsia" w:hAnsiTheme="minorHAnsi" w:cstheme="minorBidi"/>
              <w:lang w:eastAsia="en-GB"/>
            </w:rPr>
          </w:pPr>
          <w:r w:rsidRPr="0020591B">
            <w:fldChar w:fldCharType="begin"/>
          </w:r>
          <w:r w:rsidRPr="0020591B">
            <w:instrText xml:space="preserve"> TOC \o "1-3" \h \z \u </w:instrText>
          </w:r>
          <w:r w:rsidRPr="0020591B">
            <w:fldChar w:fldCharType="separate"/>
          </w:r>
          <w:hyperlink w:anchor="_Toc210659043" w:history="1">
            <w:r w:rsidR="00295318" w:rsidRPr="0020591B">
              <w:rPr>
                <w:rStyle w:val="Hyperlink"/>
              </w:rPr>
              <w:t>Element 1: Business idea, products/services, objectives and USP</w:t>
            </w:r>
            <w:r w:rsidR="00295318" w:rsidRPr="0020591B">
              <w:rPr>
                <w:webHidden/>
              </w:rPr>
              <w:tab/>
            </w:r>
            <w:r w:rsidR="00295318" w:rsidRPr="0020591B">
              <w:rPr>
                <w:webHidden/>
              </w:rPr>
              <w:fldChar w:fldCharType="begin"/>
            </w:r>
            <w:r w:rsidR="00295318" w:rsidRPr="0020591B">
              <w:rPr>
                <w:webHidden/>
              </w:rPr>
              <w:instrText xml:space="preserve"> PAGEREF _Toc210659043 \h </w:instrText>
            </w:r>
            <w:r w:rsidR="00295318" w:rsidRPr="0020591B">
              <w:rPr>
                <w:webHidden/>
              </w:rPr>
            </w:r>
            <w:r w:rsidR="00295318" w:rsidRPr="0020591B">
              <w:rPr>
                <w:webHidden/>
              </w:rPr>
              <w:fldChar w:fldCharType="separate"/>
            </w:r>
            <w:r w:rsidR="00295318" w:rsidRPr="0020591B">
              <w:rPr>
                <w:webHidden/>
              </w:rPr>
              <w:t>3</w:t>
            </w:r>
            <w:r w:rsidR="00295318" w:rsidRPr="0020591B">
              <w:rPr>
                <w:webHidden/>
              </w:rPr>
              <w:fldChar w:fldCharType="end"/>
            </w:r>
          </w:hyperlink>
        </w:p>
        <w:p w14:paraId="5F00BEFD" w14:textId="5E1DEC92"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44" w:history="1">
            <w:r w:rsidRPr="0020591B">
              <w:rPr>
                <w:rStyle w:val="Hyperlink"/>
              </w:rPr>
              <w:t>Business idea and core offer</w:t>
            </w:r>
            <w:r w:rsidRPr="0020591B">
              <w:rPr>
                <w:webHidden/>
              </w:rPr>
              <w:tab/>
            </w:r>
            <w:r w:rsidRPr="0020591B">
              <w:rPr>
                <w:webHidden/>
              </w:rPr>
              <w:fldChar w:fldCharType="begin"/>
            </w:r>
            <w:r w:rsidRPr="0020591B">
              <w:rPr>
                <w:webHidden/>
              </w:rPr>
              <w:instrText xml:space="preserve"> PAGEREF _Toc210659044 \h </w:instrText>
            </w:r>
            <w:r w:rsidRPr="0020591B">
              <w:rPr>
                <w:webHidden/>
              </w:rPr>
            </w:r>
            <w:r w:rsidRPr="0020591B">
              <w:rPr>
                <w:webHidden/>
              </w:rPr>
              <w:fldChar w:fldCharType="separate"/>
            </w:r>
            <w:r w:rsidRPr="0020591B">
              <w:rPr>
                <w:webHidden/>
              </w:rPr>
              <w:t>3</w:t>
            </w:r>
            <w:r w:rsidRPr="0020591B">
              <w:rPr>
                <w:webHidden/>
              </w:rPr>
              <w:fldChar w:fldCharType="end"/>
            </w:r>
          </w:hyperlink>
        </w:p>
        <w:p w14:paraId="3AABCCBF" w14:textId="3335D877"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45" w:history="1">
            <w:r w:rsidRPr="0020591B">
              <w:rPr>
                <w:rStyle w:val="Hyperlink"/>
              </w:rPr>
              <w:t>Objectives</w:t>
            </w:r>
            <w:r w:rsidRPr="0020591B">
              <w:rPr>
                <w:webHidden/>
              </w:rPr>
              <w:tab/>
            </w:r>
            <w:r w:rsidRPr="0020591B">
              <w:rPr>
                <w:webHidden/>
              </w:rPr>
              <w:fldChar w:fldCharType="begin"/>
            </w:r>
            <w:r w:rsidRPr="0020591B">
              <w:rPr>
                <w:webHidden/>
              </w:rPr>
              <w:instrText xml:space="preserve"> PAGEREF _Toc210659045 \h </w:instrText>
            </w:r>
            <w:r w:rsidRPr="0020591B">
              <w:rPr>
                <w:webHidden/>
              </w:rPr>
            </w:r>
            <w:r w:rsidRPr="0020591B">
              <w:rPr>
                <w:webHidden/>
              </w:rPr>
              <w:fldChar w:fldCharType="separate"/>
            </w:r>
            <w:r w:rsidRPr="0020591B">
              <w:rPr>
                <w:webHidden/>
              </w:rPr>
              <w:t>4</w:t>
            </w:r>
            <w:r w:rsidRPr="0020591B">
              <w:rPr>
                <w:webHidden/>
              </w:rPr>
              <w:fldChar w:fldCharType="end"/>
            </w:r>
          </w:hyperlink>
        </w:p>
        <w:p w14:paraId="6BDA973F" w14:textId="20E50F9A"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46" w:history="1">
            <w:r w:rsidRPr="0020591B">
              <w:rPr>
                <w:rStyle w:val="Hyperlink"/>
              </w:rPr>
              <w:t>Unique Selling Point (USP)</w:t>
            </w:r>
            <w:r w:rsidRPr="0020591B">
              <w:rPr>
                <w:webHidden/>
              </w:rPr>
              <w:tab/>
            </w:r>
            <w:r w:rsidRPr="0020591B">
              <w:rPr>
                <w:webHidden/>
              </w:rPr>
              <w:fldChar w:fldCharType="begin"/>
            </w:r>
            <w:r w:rsidRPr="0020591B">
              <w:rPr>
                <w:webHidden/>
              </w:rPr>
              <w:instrText xml:space="preserve"> PAGEREF _Toc210659046 \h </w:instrText>
            </w:r>
            <w:r w:rsidRPr="0020591B">
              <w:rPr>
                <w:webHidden/>
              </w:rPr>
            </w:r>
            <w:r w:rsidRPr="0020591B">
              <w:rPr>
                <w:webHidden/>
              </w:rPr>
              <w:fldChar w:fldCharType="separate"/>
            </w:r>
            <w:r w:rsidRPr="0020591B">
              <w:rPr>
                <w:webHidden/>
              </w:rPr>
              <w:t>4</w:t>
            </w:r>
            <w:r w:rsidRPr="0020591B">
              <w:rPr>
                <w:webHidden/>
              </w:rPr>
              <w:fldChar w:fldCharType="end"/>
            </w:r>
          </w:hyperlink>
        </w:p>
        <w:p w14:paraId="3BE94040" w14:textId="695B1E57" w:rsidR="00295318" w:rsidRPr="0020591B" w:rsidRDefault="00295318">
          <w:pPr>
            <w:pStyle w:val="TOC1"/>
            <w:tabs>
              <w:tab w:val="right" w:leader="dot" w:pos="9016"/>
            </w:tabs>
            <w:rPr>
              <w:rFonts w:asciiTheme="minorHAnsi" w:eastAsiaTheme="minorEastAsia" w:hAnsiTheme="minorHAnsi" w:cstheme="minorBidi"/>
              <w:lang w:eastAsia="en-GB"/>
            </w:rPr>
          </w:pPr>
          <w:hyperlink w:anchor="_Toc210659047" w:history="1">
            <w:r w:rsidRPr="0020591B">
              <w:rPr>
                <w:rStyle w:val="Hyperlink"/>
              </w:rPr>
              <w:t>Element 2: Industry competition assessed with Porter’s Five Forces</w:t>
            </w:r>
            <w:r w:rsidRPr="0020591B">
              <w:rPr>
                <w:webHidden/>
              </w:rPr>
              <w:tab/>
            </w:r>
            <w:r w:rsidRPr="0020591B">
              <w:rPr>
                <w:webHidden/>
              </w:rPr>
              <w:fldChar w:fldCharType="begin"/>
            </w:r>
            <w:r w:rsidRPr="0020591B">
              <w:rPr>
                <w:webHidden/>
              </w:rPr>
              <w:instrText xml:space="preserve"> PAGEREF _Toc210659047 \h </w:instrText>
            </w:r>
            <w:r w:rsidRPr="0020591B">
              <w:rPr>
                <w:webHidden/>
              </w:rPr>
            </w:r>
            <w:r w:rsidRPr="0020591B">
              <w:rPr>
                <w:webHidden/>
              </w:rPr>
              <w:fldChar w:fldCharType="separate"/>
            </w:r>
            <w:r w:rsidRPr="0020591B">
              <w:rPr>
                <w:webHidden/>
              </w:rPr>
              <w:t>5</w:t>
            </w:r>
            <w:r w:rsidRPr="0020591B">
              <w:rPr>
                <w:webHidden/>
              </w:rPr>
              <w:fldChar w:fldCharType="end"/>
            </w:r>
          </w:hyperlink>
        </w:p>
        <w:p w14:paraId="7E52B488" w14:textId="30208FF3"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48" w:history="1">
            <w:r w:rsidRPr="0020591B">
              <w:rPr>
                <w:rStyle w:val="Hyperlink"/>
              </w:rPr>
              <w:t>Market structure and rivalry</w:t>
            </w:r>
            <w:r w:rsidRPr="0020591B">
              <w:rPr>
                <w:webHidden/>
              </w:rPr>
              <w:tab/>
            </w:r>
            <w:r w:rsidRPr="0020591B">
              <w:rPr>
                <w:webHidden/>
              </w:rPr>
              <w:fldChar w:fldCharType="begin"/>
            </w:r>
            <w:r w:rsidRPr="0020591B">
              <w:rPr>
                <w:webHidden/>
              </w:rPr>
              <w:instrText xml:space="preserve"> PAGEREF _Toc210659048 \h </w:instrText>
            </w:r>
            <w:r w:rsidRPr="0020591B">
              <w:rPr>
                <w:webHidden/>
              </w:rPr>
            </w:r>
            <w:r w:rsidRPr="0020591B">
              <w:rPr>
                <w:webHidden/>
              </w:rPr>
              <w:fldChar w:fldCharType="separate"/>
            </w:r>
            <w:r w:rsidRPr="0020591B">
              <w:rPr>
                <w:webHidden/>
              </w:rPr>
              <w:t>5</w:t>
            </w:r>
            <w:r w:rsidRPr="0020591B">
              <w:rPr>
                <w:webHidden/>
              </w:rPr>
              <w:fldChar w:fldCharType="end"/>
            </w:r>
          </w:hyperlink>
        </w:p>
        <w:p w14:paraId="45E4CB14" w14:textId="5068E91D"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49" w:history="1">
            <w:r w:rsidRPr="0020591B">
              <w:rPr>
                <w:rStyle w:val="Hyperlink"/>
              </w:rPr>
              <w:t>Power dynamics: buyers and suppliers</w:t>
            </w:r>
            <w:r w:rsidRPr="0020591B">
              <w:rPr>
                <w:webHidden/>
              </w:rPr>
              <w:tab/>
            </w:r>
            <w:r w:rsidRPr="0020591B">
              <w:rPr>
                <w:webHidden/>
              </w:rPr>
              <w:fldChar w:fldCharType="begin"/>
            </w:r>
            <w:r w:rsidRPr="0020591B">
              <w:rPr>
                <w:webHidden/>
              </w:rPr>
              <w:instrText xml:space="preserve"> PAGEREF _Toc210659049 \h </w:instrText>
            </w:r>
            <w:r w:rsidRPr="0020591B">
              <w:rPr>
                <w:webHidden/>
              </w:rPr>
            </w:r>
            <w:r w:rsidRPr="0020591B">
              <w:rPr>
                <w:webHidden/>
              </w:rPr>
              <w:fldChar w:fldCharType="separate"/>
            </w:r>
            <w:r w:rsidRPr="0020591B">
              <w:rPr>
                <w:webHidden/>
              </w:rPr>
              <w:t>5</w:t>
            </w:r>
            <w:r w:rsidRPr="0020591B">
              <w:rPr>
                <w:webHidden/>
              </w:rPr>
              <w:fldChar w:fldCharType="end"/>
            </w:r>
          </w:hyperlink>
        </w:p>
        <w:p w14:paraId="754F99E6" w14:textId="6ADF92E8"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0" w:history="1">
            <w:r w:rsidRPr="0020591B">
              <w:rPr>
                <w:rStyle w:val="Hyperlink"/>
              </w:rPr>
              <w:t>Entry barriers and substitutes</w:t>
            </w:r>
            <w:r w:rsidRPr="0020591B">
              <w:rPr>
                <w:webHidden/>
              </w:rPr>
              <w:tab/>
            </w:r>
            <w:r w:rsidRPr="0020591B">
              <w:rPr>
                <w:webHidden/>
              </w:rPr>
              <w:fldChar w:fldCharType="begin"/>
            </w:r>
            <w:r w:rsidRPr="0020591B">
              <w:rPr>
                <w:webHidden/>
              </w:rPr>
              <w:instrText xml:space="preserve"> PAGEREF _Toc210659050 \h </w:instrText>
            </w:r>
            <w:r w:rsidRPr="0020591B">
              <w:rPr>
                <w:webHidden/>
              </w:rPr>
            </w:r>
            <w:r w:rsidRPr="0020591B">
              <w:rPr>
                <w:webHidden/>
              </w:rPr>
              <w:fldChar w:fldCharType="separate"/>
            </w:r>
            <w:r w:rsidRPr="0020591B">
              <w:rPr>
                <w:webHidden/>
              </w:rPr>
              <w:t>6</w:t>
            </w:r>
            <w:r w:rsidRPr="0020591B">
              <w:rPr>
                <w:webHidden/>
              </w:rPr>
              <w:fldChar w:fldCharType="end"/>
            </w:r>
          </w:hyperlink>
        </w:p>
        <w:p w14:paraId="09D01261" w14:textId="77A34B46" w:rsidR="00295318" w:rsidRPr="0020591B" w:rsidRDefault="00295318">
          <w:pPr>
            <w:pStyle w:val="TOC1"/>
            <w:tabs>
              <w:tab w:val="right" w:leader="dot" w:pos="9016"/>
            </w:tabs>
            <w:rPr>
              <w:rFonts w:asciiTheme="minorHAnsi" w:eastAsiaTheme="minorEastAsia" w:hAnsiTheme="minorHAnsi" w:cstheme="minorBidi"/>
              <w:lang w:eastAsia="en-GB"/>
            </w:rPr>
          </w:pPr>
          <w:hyperlink w:anchor="_Toc210659051" w:history="1">
            <w:r w:rsidRPr="0020591B">
              <w:rPr>
                <w:rStyle w:val="Hyperlink"/>
              </w:rPr>
              <w:t>Element 3: Segmentation, 4Ps and online strategy</w:t>
            </w:r>
            <w:r w:rsidRPr="0020591B">
              <w:rPr>
                <w:webHidden/>
              </w:rPr>
              <w:tab/>
            </w:r>
            <w:r w:rsidRPr="0020591B">
              <w:rPr>
                <w:webHidden/>
              </w:rPr>
              <w:fldChar w:fldCharType="begin"/>
            </w:r>
            <w:r w:rsidRPr="0020591B">
              <w:rPr>
                <w:webHidden/>
              </w:rPr>
              <w:instrText xml:space="preserve"> PAGEREF _Toc210659051 \h </w:instrText>
            </w:r>
            <w:r w:rsidRPr="0020591B">
              <w:rPr>
                <w:webHidden/>
              </w:rPr>
            </w:r>
            <w:r w:rsidRPr="0020591B">
              <w:rPr>
                <w:webHidden/>
              </w:rPr>
              <w:fldChar w:fldCharType="separate"/>
            </w:r>
            <w:r w:rsidRPr="0020591B">
              <w:rPr>
                <w:webHidden/>
              </w:rPr>
              <w:t>7</w:t>
            </w:r>
            <w:r w:rsidRPr="0020591B">
              <w:rPr>
                <w:webHidden/>
              </w:rPr>
              <w:fldChar w:fldCharType="end"/>
            </w:r>
          </w:hyperlink>
        </w:p>
        <w:p w14:paraId="0E5DD69A" w14:textId="62F8775A"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2" w:history="1">
            <w:r w:rsidRPr="0020591B">
              <w:rPr>
                <w:rStyle w:val="Hyperlink"/>
              </w:rPr>
              <w:t>Segmentation and target customers</w:t>
            </w:r>
            <w:r w:rsidRPr="0020591B">
              <w:rPr>
                <w:webHidden/>
              </w:rPr>
              <w:tab/>
            </w:r>
            <w:r w:rsidRPr="0020591B">
              <w:rPr>
                <w:webHidden/>
              </w:rPr>
              <w:fldChar w:fldCharType="begin"/>
            </w:r>
            <w:r w:rsidRPr="0020591B">
              <w:rPr>
                <w:webHidden/>
              </w:rPr>
              <w:instrText xml:space="preserve"> PAGEREF _Toc210659052 \h </w:instrText>
            </w:r>
            <w:r w:rsidRPr="0020591B">
              <w:rPr>
                <w:webHidden/>
              </w:rPr>
            </w:r>
            <w:r w:rsidRPr="0020591B">
              <w:rPr>
                <w:webHidden/>
              </w:rPr>
              <w:fldChar w:fldCharType="separate"/>
            </w:r>
            <w:r w:rsidRPr="0020591B">
              <w:rPr>
                <w:webHidden/>
              </w:rPr>
              <w:t>7</w:t>
            </w:r>
            <w:r w:rsidRPr="0020591B">
              <w:rPr>
                <w:webHidden/>
              </w:rPr>
              <w:fldChar w:fldCharType="end"/>
            </w:r>
          </w:hyperlink>
        </w:p>
        <w:p w14:paraId="40FE90BC" w14:textId="4C0D936E"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3" w:history="1">
            <w:r w:rsidRPr="0020591B">
              <w:rPr>
                <w:rStyle w:val="Hyperlink"/>
              </w:rPr>
              <w:t>Product and place</w:t>
            </w:r>
            <w:r w:rsidRPr="0020591B">
              <w:rPr>
                <w:webHidden/>
              </w:rPr>
              <w:tab/>
            </w:r>
            <w:r w:rsidRPr="0020591B">
              <w:rPr>
                <w:webHidden/>
              </w:rPr>
              <w:fldChar w:fldCharType="begin"/>
            </w:r>
            <w:r w:rsidRPr="0020591B">
              <w:rPr>
                <w:webHidden/>
              </w:rPr>
              <w:instrText xml:space="preserve"> PAGEREF _Toc210659053 \h </w:instrText>
            </w:r>
            <w:r w:rsidRPr="0020591B">
              <w:rPr>
                <w:webHidden/>
              </w:rPr>
            </w:r>
            <w:r w:rsidRPr="0020591B">
              <w:rPr>
                <w:webHidden/>
              </w:rPr>
              <w:fldChar w:fldCharType="separate"/>
            </w:r>
            <w:r w:rsidRPr="0020591B">
              <w:rPr>
                <w:webHidden/>
              </w:rPr>
              <w:t>7</w:t>
            </w:r>
            <w:r w:rsidRPr="0020591B">
              <w:rPr>
                <w:webHidden/>
              </w:rPr>
              <w:fldChar w:fldCharType="end"/>
            </w:r>
          </w:hyperlink>
        </w:p>
        <w:p w14:paraId="01035E62" w14:textId="39C608F4"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4" w:history="1">
            <w:r w:rsidRPr="0020591B">
              <w:rPr>
                <w:rStyle w:val="Hyperlink"/>
              </w:rPr>
              <w:t>Price</w:t>
            </w:r>
            <w:r w:rsidRPr="0020591B">
              <w:rPr>
                <w:webHidden/>
              </w:rPr>
              <w:tab/>
            </w:r>
            <w:r w:rsidRPr="0020591B">
              <w:rPr>
                <w:webHidden/>
              </w:rPr>
              <w:fldChar w:fldCharType="begin"/>
            </w:r>
            <w:r w:rsidRPr="0020591B">
              <w:rPr>
                <w:webHidden/>
              </w:rPr>
              <w:instrText xml:space="preserve"> PAGEREF _Toc210659054 \h </w:instrText>
            </w:r>
            <w:r w:rsidRPr="0020591B">
              <w:rPr>
                <w:webHidden/>
              </w:rPr>
            </w:r>
            <w:r w:rsidRPr="0020591B">
              <w:rPr>
                <w:webHidden/>
              </w:rPr>
              <w:fldChar w:fldCharType="separate"/>
            </w:r>
            <w:r w:rsidRPr="0020591B">
              <w:rPr>
                <w:webHidden/>
              </w:rPr>
              <w:t>8</w:t>
            </w:r>
            <w:r w:rsidRPr="0020591B">
              <w:rPr>
                <w:webHidden/>
              </w:rPr>
              <w:fldChar w:fldCharType="end"/>
            </w:r>
          </w:hyperlink>
        </w:p>
        <w:p w14:paraId="79488028" w14:textId="5A610849"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5" w:history="1">
            <w:r w:rsidRPr="0020591B">
              <w:rPr>
                <w:rStyle w:val="Hyperlink"/>
              </w:rPr>
              <w:t>Promotion and online strategies</w:t>
            </w:r>
            <w:r w:rsidRPr="0020591B">
              <w:rPr>
                <w:webHidden/>
              </w:rPr>
              <w:tab/>
            </w:r>
            <w:r w:rsidRPr="0020591B">
              <w:rPr>
                <w:webHidden/>
              </w:rPr>
              <w:fldChar w:fldCharType="begin"/>
            </w:r>
            <w:r w:rsidRPr="0020591B">
              <w:rPr>
                <w:webHidden/>
              </w:rPr>
              <w:instrText xml:space="preserve"> PAGEREF _Toc210659055 \h </w:instrText>
            </w:r>
            <w:r w:rsidRPr="0020591B">
              <w:rPr>
                <w:webHidden/>
              </w:rPr>
            </w:r>
            <w:r w:rsidRPr="0020591B">
              <w:rPr>
                <w:webHidden/>
              </w:rPr>
              <w:fldChar w:fldCharType="separate"/>
            </w:r>
            <w:r w:rsidRPr="0020591B">
              <w:rPr>
                <w:webHidden/>
              </w:rPr>
              <w:t>9</w:t>
            </w:r>
            <w:r w:rsidRPr="0020591B">
              <w:rPr>
                <w:webHidden/>
              </w:rPr>
              <w:fldChar w:fldCharType="end"/>
            </w:r>
          </w:hyperlink>
        </w:p>
        <w:p w14:paraId="6D698553" w14:textId="0D64B2FE" w:rsidR="00295318" w:rsidRPr="0020591B" w:rsidRDefault="00295318">
          <w:pPr>
            <w:pStyle w:val="TOC1"/>
            <w:tabs>
              <w:tab w:val="right" w:leader="dot" w:pos="9016"/>
            </w:tabs>
            <w:rPr>
              <w:rFonts w:asciiTheme="minorHAnsi" w:eastAsiaTheme="minorEastAsia" w:hAnsiTheme="minorHAnsi" w:cstheme="minorBidi"/>
              <w:lang w:eastAsia="en-GB"/>
            </w:rPr>
          </w:pPr>
          <w:hyperlink w:anchor="_Toc210659056" w:history="1">
            <w:r w:rsidRPr="0020591B">
              <w:rPr>
                <w:rStyle w:val="Hyperlink"/>
              </w:rPr>
              <w:t>Element 4: Legal form, organisation and start-up finance</w:t>
            </w:r>
            <w:r w:rsidRPr="0020591B">
              <w:rPr>
                <w:webHidden/>
              </w:rPr>
              <w:tab/>
            </w:r>
            <w:r w:rsidRPr="0020591B">
              <w:rPr>
                <w:webHidden/>
              </w:rPr>
              <w:fldChar w:fldCharType="begin"/>
            </w:r>
            <w:r w:rsidRPr="0020591B">
              <w:rPr>
                <w:webHidden/>
              </w:rPr>
              <w:instrText xml:space="preserve"> PAGEREF _Toc210659056 \h </w:instrText>
            </w:r>
            <w:r w:rsidRPr="0020591B">
              <w:rPr>
                <w:webHidden/>
              </w:rPr>
            </w:r>
            <w:r w:rsidRPr="0020591B">
              <w:rPr>
                <w:webHidden/>
              </w:rPr>
              <w:fldChar w:fldCharType="separate"/>
            </w:r>
            <w:r w:rsidRPr="0020591B">
              <w:rPr>
                <w:webHidden/>
              </w:rPr>
              <w:t>11</w:t>
            </w:r>
            <w:r w:rsidRPr="0020591B">
              <w:rPr>
                <w:webHidden/>
              </w:rPr>
              <w:fldChar w:fldCharType="end"/>
            </w:r>
          </w:hyperlink>
        </w:p>
        <w:p w14:paraId="042CC435" w14:textId="2EBB73C9"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7" w:history="1">
            <w:r w:rsidRPr="0020591B">
              <w:rPr>
                <w:rStyle w:val="Hyperlink"/>
              </w:rPr>
              <w:t>Key UK business terms</w:t>
            </w:r>
            <w:r w:rsidRPr="0020591B">
              <w:rPr>
                <w:webHidden/>
              </w:rPr>
              <w:tab/>
            </w:r>
            <w:r w:rsidRPr="0020591B">
              <w:rPr>
                <w:webHidden/>
              </w:rPr>
              <w:fldChar w:fldCharType="begin"/>
            </w:r>
            <w:r w:rsidRPr="0020591B">
              <w:rPr>
                <w:webHidden/>
              </w:rPr>
              <w:instrText xml:space="preserve"> PAGEREF _Toc210659057 \h </w:instrText>
            </w:r>
            <w:r w:rsidRPr="0020591B">
              <w:rPr>
                <w:webHidden/>
              </w:rPr>
            </w:r>
            <w:r w:rsidRPr="0020591B">
              <w:rPr>
                <w:webHidden/>
              </w:rPr>
              <w:fldChar w:fldCharType="separate"/>
            </w:r>
            <w:r w:rsidRPr="0020591B">
              <w:rPr>
                <w:webHidden/>
              </w:rPr>
              <w:t>11</w:t>
            </w:r>
            <w:r w:rsidRPr="0020591B">
              <w:rPr>
                <w:webHidden/>
              </w:rPr>
              <w:fldChar w:fldCharType="end"/>
            </w:r>
          </w:hyperlink>
        </w:p>
        <w:p w14:paraId="446FCCE4" w14:textId="3B6C3B14"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8" w:history="1">
            <w:r w:rsidRPr="0020591B">
              <w:rPr>
                <w:rStyle w:val="Hyperlink"/>
              </w:rPr>
              <w:t>Recommended legal structure and compliance</w:t>
            </w:r>
            <w:r w:rsidRPr="0020591B">
              <w:rPr>
                <w:webHidden/>
              </w:rPr>
              <w:tab/>
            </w:r>
            <w:r w:rsidRPr="0020591B">
              <w:rPr>
                <w:webHidden/>
              </w:rPr>
              <w:fldChar w:fldCharType="begin"/>
            </w:r>
            <w:r w:rsidRPr="0020591B">
              <w:rPr>
                <w:webHidden/>
              </w:rPr>
              <w:instrText xml:space="preserve"> PAGEREF _Toc210659058 \h </w:instrText>
            </w:r>
            <w:r w:rsidRPr="0020591B">
              <w:rPr>
                <w:webHidden/>
              </w:rPr>
            </w:r>
            <w:r w:rsidRPr="0020591B">
              <w:rPr>
                <w:webHidden/>
              </w:rPr>
              <w:fldChar w:fldCharType="separate"/>
            </w:r>
            <w:r w:rsidRPr="0020591B">
              <w:rPr>
                <w:webHidden/>
              </w:rPr>
              <w:t>11</w:t>
            </w:r>
            <w:r w:rsidRPr="0020591B">
              <w:rPr>
                <w:webHidden/>
              </w:rPr>
              <w:fldChar w:fldCharType="end"/>
            </w:r>
          </w:hyperlink>
        </w:p>
        <w:p w14:paraId="1014240B" w14:textId="5EAEC430"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59" w:history="1">
            <w:r w:rsidRPr="0020591B">
              <w:rPr>
                <w:rStyle w:val="Hyperlink"/>
              </w:rPr>
              <w:t>Organisational design</w:t>
            </w:r>
            <w:r w:rsidRPr="0020591B">
              <w:rPr>
                <w:webHidden/>
              </w:rPr>
              <w:tab/>
            </w:r>
            <w:r w:rsidRPr="0020591B">
              <w:rPr>
                <w:webHidden/>
              </w:rPr>
              <w:fldChar w:fldCharType="begin"/>
            </w:r>
            <w:r w:rsidRPr="0020591B">
              <w:rPr>
                <w:webHidden/>
              </w:rPr>
              <w:instrText xml:space="preserve"> PAGEREF _Toc210659059 \h </w:instrText>
            </w:r>
            <w:r w:rsidRPr="0020591B">
              <w:rPr>
                <w:webHidden/>
              </w:rPr>
            </w:r>
            <w:r w:rsidRPr="0020591B">
              <w:rPr>
                <w:webHidden/>
              </w:rPr>
              <w:fldChar w:fldCharType="separate"/>
            </w:r>
            <w:r w:rsidRPr="0020591B">
              <w:rPr>
                <w:webHidden/>
              </w:rPr>
              <w:t>11</w:t>
            </w:r>
            <w:r w:rsidRPr="0020591B">
              <w:rPr>
                <w:webHidden/>
              </w:rPr>
              <w:fldChar w:fldCharType="end"/>
            </w:r>
          </w:hyperlink>
        </w:p>
        <w:p w14:paraId="6FB76BF8" w14:textId="046EDE29" w:rsidR="00295318" w:rsidRPr="0020591B" w:rsidRDefault="00295318">
          <w:pPr>
            <w:pStyle w:val="TOC2"/>
            <w:tabs>
              <w:tab w:val="right" w:leader="dot" w:pos="9016"/>
            </w:tabs>
            <w:rPr>
              <w:rFonts w:asciiTheme="minorHAnsi" w:eastAsiaTheme="minorEastAsia" w:hAnsiTheme="minorHAnsi" w:cstheme="minorBidi"/>
              <w:lang w:eastAsia="en-GB"/>
            </w:rPr>
          </w:pPr>
          <w:hyperlink w:anchor="_Toc210659060" w:history="1">
            <w:r w:rsidRPr="0020591B">
              <w:rPr>
                <w:rStyle w:val="Hyperlink"/>
              </w:rPr>
              <w:t>Start-up funding needs and sources</w:t>
            </w:r>
            <w:r w:rsidRPr="0020591B">
              <w:rPr>
                <w:webHidden/>
              </w:rPr>
              <w:tab/>
            </w:r>
            <w:r w:rsidRPr="0020591B">
              <w:rPr>
                <w:webHidden/>
              </w:rPr>
              <w:fldChar w:fldCharType="begin"/>
            </w:r>
            <w:r w:rsidRPr="0020591B">
              <w:rPr>
                <w:webHidden/>
              </w:rPr>
              <w:instrText xml:space="preserve"> PAGEREF _Toc210659060 \h </w:instrText>
            </w:r>
            <w:r w:rsidRPr="0020591B">
              <w:rPr>
                <w:webHidden/>
              </w:rPr>
            </w:r>
            <w:r w:rsidRPr="0020591B">
              <w:rPr>
                <w:webHidden/>
              </w:rPr>
              <w:fldChar w:fldCharType="separate"/>
            </w:r>
            <w:r w:rsidRPr="0020591B">
              <w:rPr>
                <w:webHidden/>
              </w:rPr>
              <w:t>12</w:t>
            </w:r>
            <w:r w:rsidRPr="0020591B">
              <w:rPr>
                <w:webHidden/>
              </w:rPr>
              <w:fldChar w:fldCharType="end"/>
            </w:r>
          </w:hyperlink>
        </w:p>
        <w:p w14:paraId="6AB60F37" w14:textId="3257E6CF" w:rsidR="00295318" w:rsidRPr="0020591B" w:rsidRDefault="00295318">
          <w:pPr>
            <w:pStyle w:val="TOC1"/>
            <w:tabs>
              <w:tab w:val="right" w:leader="dot" w:pos="9016"/>
            </w:tabs>
            <w:rPr>
              <w:rFonts w:asciiTheme="minorHAnsi" w:eastAsiaTheme="minorEastAsia" w:hAnsiTheme="minorHAnsi" w:cstheme="minorBidi"/>
              <w:lang w:eastAsia="en-GB"/>
            </w:rPr>
          </w:pPr>
          <w:hyperlink w:anchor="_Toc210659061" w:history="1">
            <w:r w:rsidRPr="0020591B">
              <w:rPr>
                <w:rStyle w:val="Hyperlink"/>
              </w:rPr>
              <w:t>References</w:t>
            </w:r>
            <w:r w:rsidRPr="0020591B">
              <w:rPr>
                <w:webHidden/>
              </w:rPr>
              <w:tab/>
            </w:r>
            <w:r w:rsidRPr="0020591B">
              <w:rPr>
                <w:webHidden/>
              </w:rPr>
              <w:fldChar w:fldCharType="begin"/>
            </w:r>
            <w:r w:rsidRPr="0020591B">
              <w:rPr>
                <w:webHidden/>
              </w:rPr>
              <w:instrText xml:space="preserve"> PAGEREF _Toc210659061 \h </w:instrText>
            </w:r>
            <w:r w:rsidRPr="0020591B">
              <w:rPr>
                <w:webHidden/>
              </w:rPr>
            </w:r>
            <w:r w:rsidRPr="0020591B">
              <w:rPr>
                <w:webHidden/>
              </w:rPr>
              <w:fldChar w:fldCharType="separate"/>
            </w:r>
            <w:r w:rsidRPr="0020591B">
              <w:rPr>
                <w:webHidden/>
              </w:rPr>
              <w:t>15</w:t>
            </w:r>
            <w:r w:rsidRPr="0020591B">
              <w:rPr>
                <w:webHidden/>
              </w:rPr>
              <w:fldChar w:fldCharType="end"/>
            </w:r>
          </w:hyperlink>
        </w:p>
        <w:p w14:paraId="65729036" w14:textId="7FCACE41" w:rsidR="00295318" w:rsidRPr="0020591B" w:rsidRDefault="00295318">
          <w:pPr>
            <w:pStyle w:val="TOC1"/>
            <w:tabs>
              <w:tab w:val="right" w:leader="dot" w:pos="9016"/>
            </w:tabs>
            <w:rPr>
              <w:rFonts w:asciiTheme="minorHAnsi" w:eastAsiaTheme="minorEastAsia" w:hAnsiTheme="minorHAnsi" w:cstheme="minorBidi"/>
              <w:lang w:eastAsia="en-GB"/>
            </w:rPr>
          </w:pPr>
          <w:hyperlink w:anchor="_Toc210659062" w:history="1">
            <w:r w:rsidRPr="0020591B">
              <w:rPr>
                <w:rStyle w:val="Hyperlink"/>
              </w:rPr>
              <w:t>Appendix</w:t>
            </w:r>
            <w:r w:rsidRPr="0020591B">
              <w:rPr>
                <w:webHidden/>
              </w:rPr>
              <w:tab/>
            </w:r>
            <w:r w:rsidRPr="0020591B">
              <w:rPr>
                <w:webHidden/>
              </w:rPr>
              <w:fldChar w:fldCharType="begin"/>
            </w:r>
            <w:r w:rsidRPr="0020591B">
              <w:rPr>
                <w:webHidden/>
              </w:rPr>
              <w:instrText xml:space="preserve"> PAGEREF _Toc210659062 \h </w:instrText>
            </w:r>
            <w:r w:rsidRPr="0020591B">
              <w:rPr>
                <w:webHidden/>
              </w:rPr>
            </w:r>
            <w:r w:rsidRPr="0020591B">
              <w:rPr>
                <w:webHidden/>
              </w:rPr>
              <w:fldChar w:fldCharType="separate"/>
            </w:r>
            <w:r w:rsidRPr="0020591B">
              <w:rPr>
                <w:webHidden/>
              </w:rPr>
              <w:t>17</w:t>
            </w:r>
            <w:r w:rsidRPr="0020591B">
              <w:rPr>
                <w:webHidden/>
              </w:rPr>
              <w:fldChar w:fldCharType="end"/>
            </w:r>
          </w:hyperlink>
        </w:p>
        <w:p w14:paraId="785B755E" w14:textId="771362A5" w:rsidR="00FA10AB" w:rsidRPr="0020591B" w:rsidRDefault="00FA10AB">
          <w:r w:rsidRPr="0020591B">
            <w:rPr>
              <w:b/>
              <w:bCs/>
            </w:rPr>
            <w:fldChar w:fldCharType="end"/>
          </w:r>
        </w:p>
      </w:sdtContent>
    </w:sdt>
    <w:p w14:paraId="05055D86" w14:textId="77777777" w:rsidR="00FA10AB" w:rsidRPr="0020591B" w:rsidRDefault="00FA10AB" w:rsidP="00FA10AB"/>
    <w:p w14:paraId="1E4834AC" w14:textId="77777777" w:rsidR="00FA10AB" w:rsidRPr="0020591B" w:rsidRDefault="00FA10AB" w:rsidP="00FA10AB"/>
    <w:p w14:paraId="0EA0FEC4" w14:textId="77777777" w:rsidR="00FA10AB" w:rsidRPr="0020591B" w:rsidRDefault="00FA10AB" w:rsidP="00FA10AB"/>
    <w:p w14:paraId="1555F6DD" w14:textId="1DEC3F59" w:rsidR="00FA10AB" w:rsidRPr="0020591B" w:rsidRDefault="00FA10AB">
      <w:pPr>
        <w:spacing w:before="0" w:after="160" w:line="278" w:lineRule="auto"/>
        <w:jc w:val="left"/>
      </w:pPr>
      <w:r w:rsidRPr="0020591B">
        <w:br w:type="page"/>
      </w:r>
    </w:p>
    <w:p w14:paraId="4BEFA0E5" w14:textId="77777777" w:rsidR="00BB30F5" w:rsidRPr="0020591B" w:rsidRDefault="00BB30F5" w:rsidP="00730CCB">
      <w:pPr>
        <w:pStyle w:val="Heading1"/>
      </w:pPr>
      <w:bookmarkStart w:id="0" w:name="_Toc210659043"/>
      <w:r w:rsidRPr="0020591B">
        <w:t>Element 1: Business idea, products/services, objectives and USP</w:t>
      </w:r>
      <w:bookmarkEnd w:id="0"/>
    </w:p>
    <w:p w14:paraId="42FC4FFA" w14:textId="6F9F16DB" w:rsidR="00BB30F5" w:rsidRPr="0020591B" w:rsidRDefault="00BB30F5" w:rsidP="00730CCB">
      <w:pPr>
        <w:pStyle w:val="Heading2"/>
      </w:pPr>
      <w:bookmarkStart w:id="1" w:name="_Toc210659044"/>
      <w:r w:rsidRPr="0020591B">
        <w:t>Business idea and core offer</w:t>
      </w:r>
      <w:bookmarkEnd w:id="1"/>
    </w:p>
    <w:p w14:paraId="3650D099" w14:textId="7055987D" w:rsidR="00966071" w:rsidRPr="0020591B" w:rsidRDefault="00925E16" w:rsidP="00966071">
      <w:r w:rsidRPr="0020591B">
        <w:t xml:space="preserve">Good Day Tiffin is a daily Indian-led, vegetarian-centric meal service with a separately-manufactured, certified, fully segregated Free-from+Vegan line. Meals are completed at a physically separate station with one-way flow from vegetarian to meat only. Good Day’s Free-from+Vegan range is produced in an allergen-controlled kitchen that never touches gluten, dairy or nuts, and is marked on service as “Free-from+Vegan Main” to communicate trust explicitly. The service uses returnable tins with a simple £1 coupon offered for each clean tin returned at the doorstep; the coupon automatically applies to the next order and never expires, with drivers trained to use their judgement for minor damage or uncleanliness where reasonable. </w:t>
      </w:r>
      <w:r w:rsidR="00966071" w:rsidRPr="0020591B">
        <w:t xml:space="preserve">The return loop reduces packaging waste and creates an auditable circular routine for the portion of customers who favour direct incentives over nebulous pledges (Ellen MacArthur Foundation, 2023). The offer includes a weekday daily main, a Good Day Weekender (Sat and Sun) plan with a small upcharge and a compliant dessert, a 20 weekday rolling plan for heavy users, and Full Circle 28 for those desiring a full monthly experience. </w:t>
      </w:r>
      <w:r w:rsidR="0026159E" w:rsidRPr="0020591B">
        <w:t>T</w:t>
      </w:r>
      <w:r w:rsidR="00966071" w:rsidRPr="0020591B">
        <w:t xml:space="preserve">he ordering process </w:t>
      </w:r>
      <w:r w:rsidR="0026159E" w:rsidRPr="0020591B">
        <w:t xml:space="preserve">is </w:t>
      </w:r>
      <w:r w:rsidR="00966071" w:rsidRPr="0020591B">
        <w:t>as inclusive as possible</w:t>
      </w:r>
      <w:r w:rsidR="001C7B17" w:rsidRPr="0020591B">
        <w:t xml:space="preserve">. It’s done </w:t>
      </w:r>
      <w:r w:rsidR="00966071" w:rsidRPr="0020591B">
        <w:t xml:space="preserve">by </w:t>
      </w:r>
      <w:r w:rsidR="007741A1" w:rsidRPr="0020591B">
        <w:t xml:space="preserve">having both </w:t>
      </w:r>
      <w:r w:rsidR="00966071" w:rsidRPr="0020591B">
        <w:t xml:space="preserve">app and web access, SMS “repeat” </w:t>
      </w:r>
      <w:r w:rsidR="007741A1" w:rsidRPr="0020591B">
        <w:t xml:space="preserve">orders </w:t>
      </w:r>
      <w:r w:rsidR="00966071" w:rsidRPr="0020591B">
        <w:t xml:space="preserve">for </w:t>
      </w:r>
      <w:r w:rsidR="001C7B17" w:rsidRPr="0020591B">
        <w:t xml:space="preserve">the sake of </w:t>
      </w:r>
      <w:r w:rsidR="00966071" w:rsidRPr="0020591B">
        <w:t>quick</w:t>
      </w:r>
      <w:r w:rsidR="007741A1" w:rsidRPr="0020591B">
        <w:t xml:space="preserve"> reorders</w:t>
      </w:r>
      <w:r w:rsidR="00966071" w:rsidRPr="0020591B">
        <w:t xml:space="preserve">, interactive voice response (IVR) phone ordering, and printed weekly menus for those </w:t>
      </w:r>
      <w:r w:rsidR="007741A1" w:rsidRPr="0020591B">
        <w:t xml:space="preserve">who </w:t>
      </w:r>
      <w:r w:rsidR="0016404F" w:rsidRPr="0020591B">
        <w:t>likes traditional ways</w:t>
      </w:r>
      <w:r w:rsidR="00966071" w:rsidRPr="0020591B">
        <w:t xml:space="preserve"> (Chaffey and Ellis-Chadwick, 2022). Delivery windows lock in efficiency and transparency: a free two-hour window for all, a paid one-hour slot for non-subscribers, and a one-hour slot for subscribers as a thank-you gift for their loyalty.</w:t>
      </w:r>
    </w:p>
    <w:p w14:paraId="50ECFE44" w14:textId="1647DA49" w:rsidR="00925E16" w:rsidRPr="0020591B" w:rsidRDefault="00966071" w:rsidP="00966071">
      <w:pPr>
        <w:rPr>
          <w:b/>
          <w:bCs/>
        </w:rPr>
      </w:pPr>
      <w:r w:rsidRPr="0020591B">
        <w:t xml:space="preserve">The business model relies on daily demand, route density, and a narrow scope of control. Food quality </w:t>
      </w:r>
      <w:r w:rsidR="007741A1" w:rsidRPr="0020591B">
        <w:t xml:space="preserve">will be </w:t>
      </w:r>
      <w:r w:rsidR="0016404F" w:rsidRPr="0020591B">
        <w:t>consistent, just like t</w:t>
      </w:r>
      <w:r w:rsidR="00752E7F" w:rsidRPr="0020591B">
        <w:t>he p</w:t>
      </w:r>
      <w:r w:rsidRPr="0020591B">
        <w:t>rep</w:t>
      </w:r>
      <w:r w:rsidR="007741A1" w:rsidRPr="0020591B">
        <w:t>aration</w:t>
      </w:r>
      <w:r w:rsidRPr="0020591B">
        <w:t xml:space="preserve"> </w:t>
      </w:r>
      <w:r w:rsidR="00752E7F" w:rsidRPr="0020591B">
        <w:t>process</w:t>
      </w:r>
      <w:r w:rsidR="0016404F" w:rsidRPr="0020591B">
        <w:t>. T</w:t>
      </w:r>
      <w:r w:rsidR="00752E7F" w:rsidRPr="0020591B">
        <w:t xml:space="preserve">here will be </w:t>
      </w:r>
      <w:r w:rsidRPr="0020591B">
        <w:t>rotating menus every 28 days</w:t>
      </w:r>
      <w:r w:rsidR="0016404F" w:rsidRPr="0020591B">
        <w:t xml:space="preserve">. If someone doesn’t like the usual spicy food, they can choose a mild version. </w:t>
      </w:r>
      <w:r w:rsidRPr="0020591B">
        <w:t xml:space="preserve">The meat add-on </w:t>
      </w:r>
      <w:r w:rsidR="00006796" w:rsidRPr="0020591B">
        <w:t xml:space="preserve">will only be </w:t>
      </w:r>
      <w:r w:rsidR="00752E7F" w:rsidRPr="0020591B">
        <w:t>added in the end</w:t>
      </w:r>
      <w:r w:rsidR="0016404F" w:rsidRPr="0020591B">
        <w:t xml:space="preserve">, meaning it goes on top of the </w:t>
      </w:r>
      <w:r w:rsidRPr="0020591B">
        <w:t>vegetarian base</w:t>
      </w:r>
      <w:r w:rsidR="0016404F" w:rsidRPr="0020591B">
        <w:t xml:space="preserve">. It is have wider </w:t>
      </w:r>
      <w:r w:rsidRPr="0020591B">
        <w:t xml:space="preserve">range without </w:t>
      </w:r>
      <w:r w:rsidR="00006796" w:rsidRPr="0020591B">
        <w:t xml:space="preserve">making </w:t>
      </w:r>
      <w:r w:rsidR="0016404F" w:rsidRPr="0020591B">
        <w:t xml:space="preserve">it </w:t>
      </w:r>
      <w:r w:rsidR="00006796" w:rsidRPr="0020591B">
        <w:t>harder</w:t>
      </w:r>
      <w:r w:rsidR="0016404F" w:rsidRPr="0020591B">
        <w:t xml:space="preserve"> for the cooks</w:t>
      </w:r>
      <w:r w:rsidRPr="0020591B">
        <w:t xml:space="preserve">. The value proposition is the reliability of hot meals, allergen certainty, and a material incentive for sustainable behaviour that customers can witness every time they deposit a tin (Osterwalder et al., 2014). The operation </w:t>
      </w:r>
      <w:r w:rsidR="00006796" w:rsidRPr="0020591B">
        <w:t xml:space="preserve">should </w:t>
      </w:r>
      <w:r w:rsidRPr="0020591B">
        <w:t>prioritise on-time delivery and quality control (</w:t>
      </w:r>
      <w:r w:rsidR="00F953DA" w:rsidRPr="0020591B">
        <w:t>Barringer and Ireland, 2021</w:t>
      </w:r>
      <w:r w:rsidRPr="0020591B">
        <w:t>).</w:t>
      </w:r>
    </w:p>
    <w:p w14:paraId="63A97E3E" w14:textId="77777777" w:rsidR="00925E16" w:rsidRPr="0020591B" w:rsidRDefault="00925E16" w:rsidP="00966071">
      <w:pPr>
        <w:rPr>
          <w:b/>
          <w:bCs/>
        </w:rPr>
      </w:pPr>
    </w:p>
    <w:p w14:paraId="50FDA023" w14:textId="2EE35E68" w:rsidR="00BB30F5" w:rsidRPr="0020591B" w:rsidRDefault="00BB30F5" w:rsidP="00730CCB">
      <w:pPr>
        <w:pStyle w:val="Heading2"/>
      </w:pPr>
      <w:bookmarkStart w:id="2" w:name="_Toc210659045"/>
      <w:r w:rsidRPr="0020591B">
        <w:t>Objectives</w:t>
      </w:r>
      <w:bookmarkEnd w:id="2"/>
    </w:p>
    <w:p w14:paraId="5D01F4F1" w14:textId="79215252" w:rsidR="001529DB" w:rsidRPr="0020591B" w:rsidRDefault="00925E16" w:rsidP="001529DB">
      <w:r w:rsidRPr="0020591B">
        <w:t>The short-term objectives are concrete and quantified. The business will have premises registered, food safety paperwork done and staff trained on the segregated lines before launch, and test routes will establish a baseline on-time delivery rate of at least 80% in the first month of operation. The desired tin-return rate of at least 85% by the end of month two will be buttressed by simple doorstep scanning and transparent coupon balances in the customer account (Ellen MacArthur Foundation, 2023). Marketing early on is focused on trial and repeat in dense postcodes rather than reach, so the service can learn, tune menus and optimise delivery waves within a limited footprint (Whittington</w:t>
      </w:r>
      <w:r w:rsidR="001B02FD" w:rsidRPr="0020591B">
        <w:t xml:space="preserve"> et al.</w:t>
      </w:r>
      <w:r w:rsidRPr="0020591B">
        <w:t>, 202</w:t>
      </w:r>
      <w:r w:rsidR="001B02FD" w:rsidRPr="0020591B">
        <w:t>3</w:t>
      </w:r>
      <w:r w:rsidRPr="0020591B">
        <w:t xml:space="preserve">). The long-term objectives are about resilience and advantage. The business targets positive unit economics at the route level, stable repeat cohorts and office clusters that order in “packs” to reduce drop time and bolster average order value (AOV). The strategy is to establish a trusted position in “everyday, allergen-safe” meals before expanding regionally with the same line discipline, delivery windows and return loop. </w:t>
      </w:r>
      <w:r w:rsidR="001529DB" w:rsidRPr="0020591B">
        <w:t>The brand will also commit to a monthly employee-led tree-planting day, to solidify this tree-planting commitment into public, visible, and regular action, rather than only making up for emissions with offsets (</w:t>
      </w:r>
      <w:r w:rsidR="00F953DA" w:rsidRPr="0020591B">
        <w:t>Barringer and Ireland, 2021</w:t>
      </w:r>
      <w:r w:rsidR="001529DB" w:rsidRPr="0020591B">
        <w:t>).</w:t>
      </w:r>
    </w:p>
    <w:p w14:paraId="24E360E8" w14:textId="13BFDADB" w:rsidR="00C72FF6" w:rsidRPr="00BB30F5" w:rsidRDefault="004658A7" w:rsidP="001529DB">
      <w:r w:rsidRPr="0020591B">
        <w:t>A big</w:t>
      </w:r>
      <w:r w:rsidR="001529DB" w:rsidRPr="0020591B">
        <w:t xml:space="preserve"> </w:t>
      </w:r>
      <w:r w:rsidR="00006796" w:rsidRPr="0020591B">
        <w:t xml:space="preserve">risk could be </w:t>
      </w:r>
      <w:r w:rsidRPr="0020591B">
        <w:t xml:space="preserve">that people won’t return containers </w:t>
      </w:r>
      <w:r w:rsidR="0023201A" w:rsidRPr="0020591B">
        <w:t>in the beginning</w:t>
      </w:r>
      <w:r w:rsidRPr="0020591B">
        <w:t>, but t</w:t>
      </w:r>
      <w:r w:rsidR="0023201A" w:rsidRPr="0020591B">
        <w:t xml:space="preserve">his will be </w:t>
      </w:r>
      <w:r w:rsidRPr="0020591B">
        <w:t xml:space="preserve">mitigated </w:t>
      </w:r>
      <w:r w:rsidR="0023201A" w:rsidRPr="0020591B">
        <w:t>by</w:t>
      </w:r>
      <w:r w:rsidR="001529DB" w:rsidRPr="0020591B">
        <w:t xml:space="preserve"> having the live coupon balance show</w:t>
      </w:r>
      <w:r w:rsidRPr="0020591B">
        <w:t>n</w:t>
      </w:r>
      <w:r w:rsidR="001529DB" w:rsidRPr="0020591B">
        <w:t xml:space="preserve"> at checkout and in SMS receipts</w:t>
      </w:r>
      <w:r w:rsidRPr="0020591B">
        <w:t xml:space="preserve">. Also, the </w:t>
      </w:r>
      <w:r w:rsidR="0023201A" w:rsidRPr="0020591B">
        <w:t>deliver</w:t>
      </w:r>
      <w:r w:rsidRPr="0020591B">
        <w:t>y people</w:t>
      </w:r>
      <w:r w:rsidR="0023201A" w:rsidRPr="0020591B">
        <w:t xml:space="preserve"> will also remind the customers to build this habit</w:t>
      </w:r>
      <w:r w:rsidRPr="0020591B">
        <w:t xml:space="preserve">, because </w:t>
      </w:r>
      <w:r w:rsidR="0023201A" w:rsidRPr="0020591B">
        <w:t xml:space="preserve">it’s </w:t>
      </w:r>
      <w:r w:rsidR="00853134" w:rsidRPr="0020591B">
        <w:t xml:space="preserve">nothing but </w:t>
      </w:r>
      <w:r w:rsidR="0023201A" w:rsidRPr="0020591B">
        <w:t xml:space="preserve">beneficial </w:t>
      </w:r>
      <w:r w:rsidRPr="0020591B">
        <w:t xml:space="preserve">for </w:t>
      </w:r>
      <w:r w:rsidR="0023201A" w:rsidRPr="0020591B">
        <w:t>them</w:t>
      </w:r>
      <w:r w:rsidR="001529DB" w:rsidRPr="0020591B">
        <w:t>.</w:t>
      </w:r>
    </w:p>
    <w:p w14:paraId="49EE6638" w14:textId="35357604" w:rsidR="00BB30F5" w:rsidRPr="0020591B" w:rsidRDefault="00BB30F5" w:rsidP="00730CCB">
      <w:pPr>
        <w:pStyle w:val="Heading2"/>
      </w:pPr>
      <w:bookmarkStart w:id="3" w:name="_Toc210659046"/>
      <w:r w:rsidRPr="0020591B">
        <w:t>Unique Selling Point (USP)</w:t>
      </w:r>
      <w:bookmarkEnd w:id="3"/>
    </w:p>
    <w:p w14:paraId="49BF252E" w14:textId="3307268E" w:rsidR="00BB30F5" w:rsidRPr="0020591B" w:rsidRDefault="00925E16" w:rsidP="00925E16">
      <w:r w:rsidRPr="0020591B">
        <w:t>The USP is a fusion of three elements that complement rather than compete with one another. The Free-from+Vegan range is prepared in a dedicated allergen-controlled kitchen and with separate delivery, which provides clarity and confidence to the customers who have to eat gluten-free, dairy-free and nut-free with no risk of cross-contact. The £1 return-per-tin incentive is immediate and automatic on the next order, which turns a general attitude in favour of sustainability into a repeatable and measurable habit, visible on every receipt (Ellen MacArthur Foundation, 2023). The one-way finishing model from vegetarian base to meat add-on offers variety for mixed households and offices without splitting the production plan, which means consistency and reduced operational waste (Osterwalder et al., 2014). The synergy creates a differentiation that is hard to imitate in the short term because rivals would have to replicate the allergen-controlled site, the operational discipline and the loyalty mechanic all at once (Porter, 2008).</w:t>
      </w:r>
    </w:p>
    <w:p w14:paraId="505CAE51" w14:textId="77777777" w:rsidR="00BB30F5" w:rsidRPr="0020591B" w:rsidRDefault="00BB30F5" w:rsidP="00730CCB">
      <w:pPr>
        <w:pStyle w:val="Heading1"/>
      </w:pPr>
      <w:bookmarkStart w:id="4" w:name="_Toc210659047"/>
      <w:r w:rsidRPr="0020591B">
        <w:t>Element 2: Industry competition assessed with Porter’s Five Forces</w:t>
      </w:r>
      <w:bookmarkEnd w:id="4"/>
    </w:p>
    <w:p w14:paraId="0E983777" w14:textId="77777777" w:rsidR="00BB30F5" w:rsidRPr="0020591B" w:rsidRDefault="00BB30F5" w:rsidP="00730CCB">
      <w:pPr>
        <w:pStyle w:val="Heading2"/>
      </w:pPr>
      <w:bookmarkStart w:id="5" w:name="_Toc210659048"/>
      <w:r w:rsidRPr="0020591B">
        <w:t>Market structure and rivalry</w:t>
      </w:r>
      <w:bookmarkEnd w:id="5"/>
    </w:p>
    <w:p w14:paraId="00948223" w14:textId="5598C2C0" w:rsidR="00BB30F5" w:rsidRPr="00BB30F5" w:rsidRDefault="00925E16" w:rsidP="00BB30F5">
      <w:r w:rsidRPr="0020591B">
        <w:t>Rivalry is fierce in hot meal delivery because many operators are after the same customers with similar value propositions on speed, price and convenience. This is in line with Porter’s description of the pressure of numerous rivals and low switching costs in an industry (Porter, 2008). A number of axes of competition are visible. Time certainty is a powerful one; if some operators gain an advantage in coordinating kitchen prep and routing through uncertainty, they can produce a service gap which rivals are unlikely to be able to match quickly (Kancharla et al., 2024). Menu choice is another, but menu variety in the absence of operational discipline just increases costs and erodes margins; more defensible contestable space may be in reliable windows, consistent quality and credible safety signals rather than ever-expanding choice (Porter, 2008). Circular packaging can also move rivalry to another axis, by building a visible habit loop and an accruing benefit on returns, encouraging repeat behaviour and to an extent countering pure price comparisons among otherwise similar offers (Ellen MacArthur Foundation, 2023).</w:t>
      </w:r>
    </w:p>
    <w:p w14:paraId="5C512B24" w14:textId="77777777" w:rsidR="00BB30F5" w:rsidRPr="0020591B" w:rsidRDefault="00BB30F5" w:rsidP="00730CCB">
      <w:pPr>
        <w:pStyle w:val="Heading2"/>
      </w:pPr>
      <w:bookmarkStart w:id="6" w:name="_Toc210659049"/>
      <w:r w:rsidRPr="0020591B">
        <w:t>Power dynamics: buyers and suppliers</w:t>
      </w:r>
      <w:bookmarkEnd w:id="6"/>
    </w:p>
    <w:p w14:paraId="71084378" w14:textId="7F5B69D1" w:rsidR="001529DB" w:rsidRPr="0020591B" w:rsidRDefault="00300298" w:rsidP="00BB30F5">
      <w:r w:rsidRPr="0020591B">
        <w:t>Buyer power is very high as a result of the ability of customers to compare price, time to delivery and reviews in seconds and low switching costs between apps and providers. This results in heightened price sensitivity and reduced loyalty in the absence of unique value (</w:t>
      </w:r>
      <w:r w:rsidR="00FA37CF" w:rsidRPr="0020591B">
        <w:t>Kotler and Keller, 2015</w:t>
      </w:r>
      <w:r w:rsidRPr="0020591B">
        <w:t>). This power is further increased by the high level of penetration of digital technologies, as consumers who are often regularly researching and shopping online have a natural default behaviour of comparison at time of ordering food (Ofcom, 2025). Customer bargaining power can therefore be limited through the provision of clear differentiation, such as guaranteed allergen control, predictable windows and a tangible £1 return credit applicable to the next order, rather than just competing on price (Porter, 2008).</w:t>
      </w:r>
    </w:p>
    <w:p w14:paraId="24E5AD58" w14:textId="7D639997" w:rsidR="00BB30F5" w:rsidRPr="00BB30F5" w:rsidRDefault="00925E16" w:rsidP="00BB30F5">
      <w:r w:rsidRPr="0020591B">
        <w:t>Supplier power is more mixed, but can be high for certain inputs. Free-from ingredients, certified packaging and sanitation consumables appropriate to allergen-controlled operations are less commoditised, so the firm is more dependent on these suppliers to deliver consistent quality, and could be exposed to cost shocks or stock-outs in this area (Food Standards Agency, 2024). The impact of Extended Producer Responsibility for packaging means that there is more data and cost responsibility on producers and importers. This may strengthen the relative leverage of compliant packaging vendors, and will certainly create more robust reporting requirements inside the firm (DEFRA, 2025). To moderate supplier power, firms can standardise menus (rotating on a predictable schedule), dual source key SKUs and use returnable containers to mitigate single-use packaging volatility (Porter, 2008).</w:t>
      </w:r>
    </w:p>
    <w:p w14:paraId="1A37C9EF" w14:textId="77777777" w:rsidR="00BB30F5" w:rsidRPr="0020591B" w:rsidRDefault="00BB30F5" w:rsidP="00730CCB">
      <w:pPr>
        <w:pStyle w:val="Heading2"/>
      </w:pPr>
      <w:bookmarkStart w:id="7" w:name="_Toc210659050"/>
      <w:r w:rsidRPr="0020591B">
        <w:t>Entry barriers and substitutes</w:t>
      </w:r>
      <w:bookmarkEnd w:id="7"/>
    </w:p>
    <w:p w14:paraId="548F1E0D" w14:textId="43A42C7C" w:rsidR="00A610C1" w:rsidRPr="0020591B" w:rsidRDefault="0023201A" w:rsidP="00A610C1">
      <w:r w:rsidRPr="0020591B">
        <w:t>The threat at e</w:t>
      </w:r>
      <w:r w:rsidR="00300298" w:rsidRPr="0020591B">
        <w:t xml:space="preserve">ntry is not negligible, because regulatory compliance has major hurdles that </w:t>
      </w:r>
      <w:r w:rsidR="008E1E35" w:rsidRPr="0020591B">
        <w:t>can cause issues</w:t>
      </w:r>
      <w:r w:rsidR="00300298" w:rsidRPr="0020591B">
        <w:t xml:space="preserve"> (Porter, 2008). The </w:t>
      </w:r>
      <w:r w:rsidR="008E1E35" w:rsidRPr="0020591B">
        <w:t>r</w:t>
      </w:r>
      <w:r w:rsidR="00300298" w:rsidRPr="0020591B">
        <w:t xml:space="preserve">egistration of any new food business with the local authority </w:t>
      </w:r>
      <w:r w:rsidR="008E1E35" w:rsidRPr="0020591B">
        <w:t xml:space="preserve">is mandatory </w:t>
      </w:r>
      <w:r w:rsidR="00300298" w:rsidRPr="0020591B">
        <w:t>at least 28 days before it opens to the public</w:t>
      </w:r>
      <w:r w:rsidR="008E1E35" w:rsidRPr="0020591B">
        <w:t xml:space="preserve"> (GOV.UK, 2025a)</w:t>
      </w:r>
      <w:r w:rsidR="00300298" w:rsidRPr="0020591B">
        <w:t xml:space="preserve">. </w:t>
      </w:r>
      <w:r w:rsidR="00B11470" w:rsidRPr="0020591B">
        <w:t>After registering, this c</w:t>
      </w:r>
      <w:r w:rsidR="00300298" w:rsidRPr="0020591B">
        <w:t xml:space="preserve">ompliance </w:t>
      </w:r>
      <w:r w:rsidR="00B11470" w:rsidRPr="0020591B">
        <w:t xml:space="preserve">means </w:t>
      </w:r>
      <w:r w:rsidR="00300298" w:rsidRPr="0020591B">
        <w:t>proof of consistent hygiene controls and a documented food safety management</w:t>
      </w:r>
      <w:r w:rsidR="00B11470" w:rsidRPr="0020591B">
        <w:t xml:space="preserve"> system</w:t>
      </w:r>
      <w:r w:rsidR="00300298" w:rsidRPr="0020591B">
        <w:t xml:space="preserve">. Training, monitoring, and record-keeping are thus additional elements of the minimum efficient scale. The offer of dedicated allergen controlled kitchen environment to produce gluten-free, dairy-free and nut-free meals, adds further barriers: physical segregation, equipment duplication and validated procedures are a must. This </w:t>
      </w:r>
      <w:r w:rsidR="00B11470" w:rsidRPr="0020591B">
        <w:t>makes the process more complex</w:t>
      </w:r>
      <w:r w:rsidR="00400E23" w:rsidRPr="0020591B">
        <w:t xml:space="preserve">, but needed to stay credible in </w:t>
      </w:r>
      <w:r w:rsidR="00300298" w:rsidRPr="0020591B">
        <w:t>sensitive segments</w:t>
      </w:r>
      <w:r w:rsidR="00400E23" w:rsidRPr="0020591B">
        <w:t xml:space="preserve"> such as this one</w:t>
      </w:r>
      <w:r w:rsidR="00300298" w:rsidRPr="0020591B">
        <w:t xml:space="preserve"> (Food Standards Agency, 2024).</w:t>
      </w:r>
    </w:p>
    <w:p w14:paraId="1180B15E" w14:textId="6128E208" w:rsidR="00A610C1" w:rsidRPr="0020591B" w:rsidRDefault="00A610C1" w:rsidP="00A610C1">
      <w:r w:rsidRPr="0020591B">
        <w:t>Threat of substitutes is structurally high because consumers have a choice of restaurant dining, supermarket ready-meals, meal kits or home cooking to meet the same need, all of which anchor purchase decisions around convenience, taste and budget (Porter, 2008). In this environment, time reliability and perceived risk reduction are decisive: predictable delivery windows make planning easier and transparent allergen assurance has a lower perceived risk for sensitive customers relative to generic options (</w:t>
      </w:r>
      <w:r w:rsidR="00FA37CF" w:rsidRPr="0020591B">
        <w:t>Kotler and Keller, 2015</w:t>
      </w:r>
      <w:r w:rsidRPr="0020591B">
        <w:t>). The returnable-container incentive is also a behavioural nudge that rewards repetition and can help keep the service in a customer’s default set when faced with substitute temptations, especially if the credit is applied automatically to the next order (Ellen MacArthur Foundation, 2023).</w:t>
      </w:r>
    </w:p>
    <w:p w14:paraId="601B5E53" w14:textId="1121120F" w:rsidR="00BB30F5" w:rsidRPr="00BB30F5" w:rsidRDefault="00A610C1" w:rsidP="00A610C1">
      <w:r w:rsidRPr="0020591B">
        <w:t>The industry’s five-force profile therefore shows high rivalry, strong buyer power, non-trivial supplier power in specialist ingredients, moderate but real regulatory and capability barriers to entry, and a high threat from substitutes. This means strategy must push competition away from pure price and speed towards verifiable allergen control, reliable windows, and a visible reuse loop that compounds loyalty over time. Supplier and fuel cost spikes can compress margins, the mitigation being to dual-source free-from ingredients, standardise rotating menus, and pass on small, transparent price adjustments when necessary, a typical response where supplier power is material (Porter, 2008).</w:t>
      </w:r>
    </w:p>
    <w:p w14:paraId="0DB872B0" w14:textId="77777777" w:rsidR="00BB30F5" w:rsidRPr="0020591B" w:rsidRDefault="00BB30F5" w:rsidP="00730CCB">
      <w:pPr>
        <w:pStyle w:val="Heading1"/>
      </w:pPr>
      <w:bookmarkStart w:id="8" w:name="_Toc210659051"/>
      <w:r w:rsidRPr="0020591B">
        <w:t>Element 3: Segmentation, 4Ps and online strategy</w:t>
      </w:r>
      <w:bookmarkEnd w:id="8"/>
    </w:p>
    <w:p w14:paraId="7814917E" w14:textId="77777777" w:rsidR="00BB30F5" w:rsidRPr="0020591B" w:rsidRDefault="00BB30F5" w:rsidP="00730CCB">
      <w:pPr>
        <w:pStyle w:val="Heading2"/>
      </w:pPr>
      <w:bookmarkStart w:id="9" w:name="_Toc210659052"/>
      <w:r w:rsidRPr="0020591B">
        <w:t>Segmentation and target customers</w:t>
      </w:r>
      <w:bookmarkEnd w:id="9"/>
    </w:p>
    <w:p w14:paraId="481E7A85" w14:textId="7C0D9EBB" w:rsidR="00BB30F5" w:rsidRPr="00BB30F5" w:rsidRDefault="00106CF2" w:rsidP="00BB30F5">
      <w:r w:rsidRPr="0020591B">
        <w:t>Segmentation is needs-based as well as demographic, because the meal choice satisfies daily needs for time, diet, and certainty (</w:t>
      </w:r>
      <w:r w:rsidR="00FA37CF" w:rsidRPr="0020591B">
        <w:t>Kotler and Keller, 2015</w:t>
      </w:r>
      <w:r w:rsidRPr="0020591B">
        <w:t>). 4 overlapping segments are served. Everyday planners need dependable hot food on fixed days and care more about a fair deal and on-time delivery than about elaborate choice, so a simple rotating menu with defined slots works best. Free-from+Vegan customers demand gluten-free, dairy-free and nut-free dishes that have been prepared in a dedicated facility without cross-contact so a separate kitchen and transparent labels are key for trust and retention (Food Standards Agency, 2024). Seniors and low-digital users care about ordering without having to operate a smartphone, so the service needs to include phone and paper menus to keep the approach inclusive and dignified (Ofcom, 2025). Office clusters have a regular group delivery and account for higher order values at a single address, so they need to be rewarded with incremental discounts that scale with the drop density, not just with promo codes (</w:t>
      </w:r>
      <w:r w:rsidR="00FA37CF" w:rsidRPr="0020591B">
        <w:t>Kotler and Keller, 2015</w:t>
      </w:r>
      <w:r w:rsidRPr="0020591B">
        <w:t>).</w:t>
      </w:r>
      <w:r w:rsidR="003B0287" w:rsidRPr="0020591B">
        <w:t xml:space="preserve"> </w:t>
      </w:r>
      <w:r w:rsidR="007C7152" w:rsidRPr="0020591B">
        <w:t>T</w:t>
      </w:r>
      <w:r w:rsidR="0059756A" w:rsidRPr="0020591B">
        <w:t xml:space="preserve">he service focuses on safe Free-from+Vegan meals, </w:t>
      </w:r>
      <w:r w:rsidR="007C7152" w:rsidRPr="0020591B">
        <w:t xml:space="preserve">the original </w:t>
      </w:r>
      <w:r w:rsidR="0059756A" w:rsidRPr="0020591B">
        <w:t xml:space="preserve">vegetarian mains, and the optional </w:t>
      </w:r>
      <w:r w:rsidR="007C7152" w:rsidRPr="0020591B">
        <w:t xml:space="preserve">meat </w:t>
      </w:r>
      <w:r w:rsidR="0059756A" w:rsidRPr="0020591B">
        <w:t>add-on</w:t>
      </w:r>
      <w:r w:rsidR="007C7152" w:rsidRPr="0020591B">
        <w:t xml:space="preserve"> </w:t>
      </w:r>
      <w:r w:rsidR="0059756A" w:rsidRPr="0020591B">
        <w:t xml:space="preserve">. </w:t>
      </w:r>
      <w:r w:rsidR="003D2185" w:rsidRPr="0020591B">
        <w:t>These values are enhanced by r</w:t>
      </w:r>
      <w:r w:rsidR="0059756A" w:rsidRPr="0020591B">
        <w:t>eliable delivery times and return</w:t>
      </w:r>
      <w:r w:rsidR="007C7152" w:rsidRPr="0020591B">
        <w:t>+reward</w:t>
      </w:r>
      <w:r w:rsidR="0059756A" w:rsidRPr="0020591B">
        <w:t xml:space="preserve"> scheme </w:t>
      </w:r>
      <w:r w:rsidR="00295318" w:rsidRPr="0020591B">
        <w:t xml:space="preserve">to get </w:t>
      </w:r>
      <w:r w:rsidR="003D2185" w:rsidRPr="0020591B">
        <w:t>repeat orders (</w:t>
      </w:r>
      <w:r w:rsidRPr="0020591B">
        <w:t>Osterwalder et al., 2014).</w:t>
      </w:r>
    </w:p>
    <w:p w14:paraId="544F21F2" w14:textId="77777777" w:rsidR="00BB30F5" w:rsidRPr="0020591B" w:rsidRDefault="00BB30F5" w:rsidP="00730CCB">
      <w:pPr>
        <w:pStyle w:val="Heading2"/>
      </w:pPr>
      <w:bookmarkStart w:id="10" w:name="_Toc210659053"/>
      <w:r w:rsidRPr="0020591B">
        <w:t>Product and place</w:t>
      </w:r>
      <w:bookmarkEnd w:id="10"/>
    </w:p>
    <w:p w14:paraId="6828A4CB" w14:textId="167CDCED" w:rsidR="009E0DDB" w:rsidRPr="0020591B" w:rsidRDefault="00106CF2" w:rsidP="009E0DDB">
      <w:r w:rsidRPr="0020591B">
        <w:t xml:space="preserve">The product is a tiffin-format meal with an Indian-led vegetarian base, Free-from+Vegan main cooked at a dedicated allergen-controlled site, and optional add-on meat prepared at a physically separate finishing station with one-way flow from vegetarian to meat only. All customer-facing menus (print and digital) will mark this range “Free-from+Vegan Main” and make the gluten-free, dairy-free and nut-free assurance visible at the moment of selection (Food Standards Agency, 2024). </w:t>
      </w:r>
      <w:r w:rsidR="009E0DDB" w:rsidRPr="0020591B">
        <w:t>To offer customers familiarity, without an excess of choice, the menus will rotate on a 28-day cycle including mild and spicy versions. The Good Day Weekender will have a compliant dessert, and a small weekend premium will incentivise good staffing practices. Product promise includes the reusable tins, and each clean return is automatically rewarded with a £1 coupon for the next order. The simple reuse programme is intuitive to understand for customers, without having to read a verbose sustainability report (Ellen MacArthur Foundation, 2023). No utensils by default cuts down waste, and the metal cutlery add-on gives a fuller alignment of sustainability story with packaging loop for the few customers that do need one.</w:t>
      </w:r>
    </w:p>
    <w:p w14:paraId="36BF6EB3" w14:textId="7A46DD8E" w:rsidR="00C72FF6" w:rsidRPr="00BB30F5" w:rsidRDefault="009E0DDB" w:rsidP="009E0DDB">
      <w:r w:rsidRPr="0020591B">
        <w:t>Decision points like delivery require a balance of predictability and efficiency. The default is a free two-hour delivery window to help with batching and route density. Customers without subscriptions can pay to choose narrower windows, and subscribers are given an additional one-hour window as a loyalty reward for their commitment (Kancharla et al., 2024). Time-dependent routing is aligned with kitchen readiness to ensure the meal leaves with enough time to allow hand-off at the door, which is necessary for hot food. Even small delays can significantly affect the perceived quality of the food. Digital access will not be the only mode; the app and website will provide the full experience, while SMS repeats, IVR ordering, and printed weekly menus ensure a voice- or paper-preferred user can still use the service. The interfaces will help older users with clear patterns and considerations for text size, contrast, and voice prompts. At launch and quarterly updates, all digital touchpoints will be at the WCAG 2.2 AA standard for perceivable, operable, and understandable content (W3C, 2023).</w:t>
      </w:r>
    </w:p>
    <w:p w14:paraId="0E20938C" w14:textId="77777777" w:rsidR="00BB30F5" w:rsidRPr="0020591B" w:rsidRDefault="00BB30F5" w:rsidP="00730CCB">
      <w:pPr>
        <w:pStyle w:val="Heading2"/>
      </w:pPr>
      <w:bookmarkStart w:id="11" w:name="_Toc210659054"/>
      <w:r w:rsidRPr="0020591B">
        <w:t>Price</w:t>
      </w:r>
      <w:bookmarkEnd w:id="11"/>
    </w:p>
    <w:p w14:paraId="12C91F9A" w14:textId="62C4B409" w:rsidR="00BB30F5" w:rsidRPr="00BB30F5" w:rsidRDefault="00106CF2" w:rsidP="00BB30F5">
      <w:r w:rsidRPr="0020591B">
        <w:t xml:space="preserve">Price is transparent and habit-forming rather than couplish/couponish so that it's less like a game. The veggie main is everyday priced, the Free-from+Vegan main is on the meat tier to account for the higher input prices and overhead of running a separate site for the allergen control, and the meat </w:t>
      </w:r>
      <w:r w:rsidR="000D3CBA" w:rsidRPr="0020591B">
        <w:t>add-on</w:t>
      </w:r>
      <w:r w:rsidRPr="0020591B">
        <w:t xml:space="preserve"> is optional for mix &amp; match households to have some choice without a different line on the menu. The Good Day Weekender is +£1 on the weekday list prices but comes with a dessert to make the premium feel justified rather than a fee with no tangible benefit. </w:t>
      </w:r>
      <w:r w:rsidR="00BC3BA8" w:rsidRPr="0020591B">
        <w:t>The g</w:t>
      </w:r>
      <w:r w:rsidR="000D3CBA" w:rsidRPr="0020591B">
        <w:t xml:space="preserve">roup discounts are </w:t>
      </w:r>
      <w:r w:rsidR="00BC3BA8" w:rsidRPr="0020591B">
        <w:t>for</w:t>
      </w:r>
      <w:r w:rsidR="000D3CBA" w:rsidRPr="0020591B">
        <w:t xml:space="preserve"> the </w:t>
      </w:r>
      <w:r w:rsidR="00BC3BA8" w:rsidRPr="0020591B">
        <w:t xml:space="preserve">orders to the </w:t>
      </w:r>
      <w:r w:rsidR="000D3CBA" w:rsidRPr="0020591B">
        <w:t>same</w:t>
      </w:r>
      <w:r w:rsidR="00BC3BA8" w:rsidRPr="0020591B">
        <w:t xml:space="preserve"> </w:t>
      </w:r>
      <w:r w:rsidR="000D3CBA" w:rsidRPr="0020591B">
        <w:t>location</w:t>
      </w:r>
      <w:r w:rsidR="00BC3BA8" w:rsidRPr="0020591B">
        <w:t>, and</w:t>
      </w:r>
      <w:r w:rsidR="000D3CBA" w:rsidRPr="0020591B">
        <w:t xml:space="preserve"> </w:t>
      </w:r>
      <w:r w:rsidR="00BC3BA8" w:rsidRPr="0020591B">
        <w:t>gives</w:t>
      </w:r>
      <w:r w:rsidR="005338B9" w:rsidRPr="0020591B">
        <w:t xml:space="preserve"> a </w:t>
      </w:r>
      <w:r w:rsidR="000D3CBA" w:rsidRPr="0020591B">
        <w:t>7%, 10%</w:t>
      </w:r>
      <w:r w:rsidR="005338B9" w:rsidRPr="0020591B">
        <w:t>,</w:t>
      </w:r>
      <w:r w:rsidR="000D3CBA" w:rsidRPr="0020591B">
        <w:t xml:space="preserve"> and 15% as a reward for consolidation</w:t>
      </w:r>
      <w:r w:rsidR="005338B9" w:rsidRPr="0020591B">
        <w:t xml:space="preserve">. It is affordable because the unit delivery time decreases, and a lot better tactic than broader </w:t>
      </w:r>
      <w:r w:rsidRPr="0020591B">
        <w:t>promotional codes. Precision-slot fees are simple for non-subscribers and subscribers get the one-hour slot included which makes the plan feel like a service benefit rather than just a meal bundle (</w:t>
      </w:r>
      <w:r w:rsidR="00FA37CF" w:rsidRPr="0020591B">
        <w:t>Kotler and Keller, 2015</w:t>
      </w:r>
      <w:r w:rsidRPr="0020591B">
        <w:t xml:space="preserve">). The £1 </w:t>
      </w:r>
      <w:r w:rsidR="005338B9" w:rsidRPr="0020591B">
        <w:t>container</w:t>
      </w:r>
      <w:r w:rsidRPr="0020591B">
        <w:t xml:space="preserve"> return coupon </w:t>
      </w:r>
      <w:r w:rsidR="005338B9" w:rsidRPr="0020591B">
        <w:t xml:space="preserve">is applied automatically </w:t>
      </w:r>
      <w:r w:rsidRPr="0020591B">
        <w:t xml:space="preserve">to </w:t>
      </w:r>
      <w:r w:rsidR="000D3CBA" w:rsidRPr="0020591B">
        <w:t>the next order and never expires</w:t>
      </w:r>
      <w:r w:rsidR="005338B9" w:rsidRPr="0020591B">
        <w:t xml:space="preserve">. This </w:t>
      </w:r>
      <w:r w:rsidR="000D3CBA" w:rsidRPr="0020591B">
        <w:t>is marketed as part of the product rather than a temporary offer,</w:t>
      </w:r>
      <w:r w:rsidRPr="0020591B">
        <w:t xml:space="preserve"> so customers can rely on it and form a habit around having a clean </w:t>
      </w:r>
      <w:r w:rsidR="002A09D4" w:rsidRPr="0020591B">
        <w:t>container by the time the next delivery arrives</w:t>
      </w:r>
      <w:r w:rsidRPr="0020591B">
        <w:t>.</w:t>
      </w:r>
    </w:p>
    <w:p w14:paraId="48CE2432" w14:textId="77777777" w:rsidR="00BB30F5" w:rsidRPr="0020591B" w:rsidRDefault="00BB30F5" w:rsidP="00730CCB">
      <w:pPr>
        <w:pStyle w:val="Heading2"/>
      </w:pPr>
      <w:bookmarkStart w:id="12" w:name="_Toc210659055"/>
      <w:r w:rsidRPr="0020591B">
        <w:t>Promotion and online strategies</w:t>
      </w:r>
      <w:bookmarkEnd w:id="12"/>
    </w:p>
    <w:p w14:paraId="280583B6" w14:textId="34BA583A" w:rsidR="009E0DDB" w:rsidRPr="0020591B" w:rsidRDefault="002030B8" w:rsidP="00FA10AB">
      <w:r w:rsidRPr="0020591B">
        <w:t xml:space="preserve">Promotion aims to turn trial into habit with no onerous journeys. The central offer is “Return, reward, repeat”, with “Free-from+Vegan, truly separate”, so that the promise is concise, believable and testable by the customer in daily use. Digital activity is focused on search, local listings and retargeting of site visitors who browsed menus without ordering, with light creative variation by segment so the Free-from audience sees the dedicated-kitchen claim clearly, while everyday planners see time certainty and value. </w:t>
      </w:r>
      <w:r w:rsidR="00150E97" w:rsidRPr="0020591B">
        <w:t>The onboarding email and SMS programme creates frictionless first-week retention by providing customers with simple messages which explain the time windows, returns and, of course, one-tap to repeat yesterday's order. The least complicated solution for the customer before this friction becomes churn (Chaffey and Ellis-Chadwick, 2022). Headings, alt text and colour contrast follow basic accessibility guidelines so customers can read and tap with ease, a business case that is both commercially sustainable and inclusive to a wider audience (W3C, 2023). A chatbot is in place to field common queries and text orders, but this is not hard-lined; there is a clear hand-off to a human at logical breakpoints such as on delivery queries or allergen specifics, so customer satisfaction is not damaged by the drops in perceived quality which are symptomatic of hard automation in customer situations. Customers get frustrated when their queries are not matched to scripts; this can be mitigated by an explicit, near-instant handoff to a human and regular quality assurance on chatbot transcripts to tweak intents (Ranieri, Di Bernardo, and Mele, 2024). Last, non-digital customers who are left out by an app-only proposition are acquired offline with simple, low-friction door-drops of the printed weekly menu in the test region and a phone number which connects to a real person during lunch (Ofcom, 2025). The metrics outlined above are all measurable: acquisition cost by segment, repeat rate at 30 days, coupon redemptions, on-time delivery and complaint rate by reason. There are also smaller experiments running monthly on subject lines, slot pricing and menu card design to continually nudge those outcomes higher (Chaffey and Ellis-Chadwick, 2022).</w:t>
      </w:r>
    </w:p>
    <w:p w14:paraId="389F44A7" w14:textId="1C5D3C21" w:rsidR="00BB30F5" w:rsidRPr="0020591B" w:rsidRDefault="002030B8" w:rsidP="00FA10AB">
      <w:r w:rsidRPr="0020591B">
        <w:t>The choices of segmentation, the 4Ps and the online strategy all combine to make the service simple to choose and easy to repeat. Product decisions protect safety and quality for sensitive customers, place decisions turn time into a reliable promise, price decisions reward consolidation and habit, and promotion choices meet customers in the channels they already use, with accessibility built in from the start (</w:t>
      </w:r>
      <w:r w:rsidR="00FA37CF" w:rsidRPr="0020591B">
        <w:t>Kotler and Keller, 2015</w:t>
      </w:r>
      <w:r w:rsidRPr="0020591B">
        <w:t>).</w:t>
      </w:r>
    </w:p>
    <w:p w14:paraId="5CF5D5D0" w14:textId="5E186919" w:rsidR="00BB30F5" w:rsidRPr="0020591B" w:rsidRDefault="00BB30F5">
      <w:pPr>
        <w:spacing w:before="0" w:after="160" w:line="278" w:lineRule="auto"/>
        <w:jc w:val="left"/>
      </w:pPr>
      <w:r w:rsidRPr="0020591B">
        <w:br w:type="page"/>
      </w:r>
    </w:p>
    <w:p w14:paraId="694DE076" w14:textId="7AF91A28" w:rsidR="00F5510B" w:rsidRPr="0020591B" w:rsidRDefault="00F5510B" w:rsidP="00730CCB">
      <w:pPr>
        <w:pStyle w:val="Heading1"/>
      </w:pPr>
      <w:bookmarkStart w:id="13" w:name="_Toc210659056"/>
      <w:r w:rsidRPr="0020591B">
        <w:t>Element 4: Legal form, organisation and start-up finance</w:t>
      </w:r>
      <w:bookmarkEnd w:id="13"/>
    </w:p>
    <w:p w14:paraId="6BA90ADF" w14:textId="77777777" w:rsidR="00F5510B" w:rsidRPr="0020591B" w:rsidRDefault="00F5510B" w:rsidP="00730CCB">
      <w:pPr>
        <w:pStyle w:val="Heading2"/>
      </w:pPr>
      <w:bookmarkStart w:id="14" w:name="_Toc210659057"/>
      <w:r w:rsidRPr="0020591B">
        <w:t>Key UK business terms</w:t>
      </w:r>
      <w:bookmarkEnd w:id="14"/>
    </w:p>
    <w:p w14:paraId="4F1309EB" w14:textId="1FEA9EAF" w:rsidR="00F5510B" w:rsidRPr="00F5510B" w:rsidRDefault="006A62C9" w:rsidP="00F5510B">
      <w:r w:rsidRPr="0020591B">
        <w:t xml:space="preserve">A limited company is a separate legal entity that is run by directors and owned by shareholders. Its liability is limited to what is invested or guaranteed under company law and government guidance (GOV.UK, 2025b). </w:t>
      </w:r>
      <w:r w:rsidR="00853134" w:rsidRPr="0020591B">
        <w:t>A s</w:t>
      </w:r>
      <w:r w:rsidRPr="0020591B">
        <w:t xml:space="preserve">ole trader is </w:t>
      </w:r>
      <w:r w:rsidR="002A09D4" w:rsidRPr="0020591B">
        <w:t xml:space="preserve">someone who </w:t>
      </w:r>
      <w:r w:rsidR="00853134" w:rsidRPr="0020591B">
        <w:t xml:space="preserve">both </w:t>
      </w:r>
      <w:r w:rsidR="002A09D4" w:rsidRPr="0020591B">
        <w:t>owns and operates a business alone</w:t>
      </w:r>
      <w:r w:rsidR="00853134" w:rsidRPr="0020591B">
        <w:t xml:space="preserve"> at the same times</w:t>
      </w:r>
      <w:r w:rsidR="002A09D4" w:rsidRPr="0020591B">
        <w:t xml:space="preserve">, and </w:t>
      </w:r>
      <w:r w:rsidRPr="0020591B">
        <w:t>liable for all costs</w:t>
      </w:r>
      <w:r w:rsidR="001C7B17" w:rsidRPr="0020591B">
        <w:t>. They also keep</w:t>
      </w:r>
      <w:r w:rsidRPr="0020591B">
        <w:t xml:space="preserve"> all </w:t>
      </w:r>
      <w:r w:rsidR="00006D86" w:rsidRPr="0020591B">
        <w:t xml:space="preserve">the </w:t>
      </w:r>
      <w:r w:rsidRPr="0020591B">
        <w:t>profits</w:t>
      </w:r>
      <w:r w:rsidR="001C7B17" w:rsidRPr="0020591B">
        <w:t>, of course</w:t>
      </w:r>
      <w:r w:rsidRPr="0020591B">
        <w:t xml:space="preserve">. A partnership is </w:t>
      </w:r>
      <w:r w:rsidR="00365701" w:rsidRPr="0020591B">
        <w:t xml:space="preserve">between </w:t>
      </w:r>
      <w:r w:rsidRPr="0020591B">
        <w:t>two or more owners</w:t>
      </w:r>
      <w:r w:rsidR="005B2029" w:rsidRPr="0020591B">
        <w:t>. T</w:t>
      </w:r>
      <w:r w:rsidR="00365701" w:rsidRPr="0020591B">
        <w:t xml:space="preserve">hey </w:t>
      </w:r>
      <w:r w:rsidRPr="0020591B">
        <w:t xml:space="preserve">share </w:t>
      </w:r>
      <w:r w:rsidR="005B2029" w:rsidRPr="0020591B">
        <w:t xml:space="preserve">both </w:t>
      </w:r>
      <w:r w:rsidRPr="0020591B">
        <w:t>liability and profits</w:t>
      </w:r>
      <w:r w:rsidR="005B2029" w:rsidRPr="0020591B">
        <w:t>, which is written in</w:t>
      </w:r>
      <w:r w:rsidRPr="0020591B">
        <w:t xml:space="preserve"> a contract or agreement</w:t>
      </w:r>
      <w:r w:rsidR="00365701" w:rsidRPr="0020591B">
        <w:t xml:space="preserve"> when</w:t>
      </w:r>
      <w:r w:rsidR="005B2029" w:rsidRPr="0020591B">
        <w:t xml:space="preserve"> </w:t>
      </w:r>
      <w:r w:rsidR="00365701" w:rsidRPr="0020591B">
        <w:t>the partnership start</w:t>
      </w:r>
      <w:r w:rsidR="005B2029" w:rsidRPr="0020591B">
        <w:t>s</w:t>
      </w:r>
      <w:r w:rsidRPr="0020591B">
        <w:t>. They can be general or limited partners based on their risk and control preferences (</w:t>
      </w:r>
      <w:r w:rsidR="00F953DA" w:rsidRPr="0020591B">
        <w:t>Barringer and Ireland, 2021</w:t>
      </w:r>
      <w:r w:rsidRPr="0020591B">
        <w:t xml:space="preserve">). A franchise is a licence from a franchisor to operate a tested brand </w:t>
      </w:r>
      <w:r w:rsidR="005B2029" w:rsidRPr="0020591B">
        <w:t>(</w:t>
      </w:r>
      <w:r w:rsidRPr="0020591B">
        <w:t xml:space="preserve">and </w:t>
      </w:r>
      <w:r w:rsidR="005B2029" w:rsidRPr="0020591B">
        <w:t xml:space="preserve">the </w:t>
      </w:r>
      <w:r w:rsidRPr="0020591B">
        <w:t>system</w:t>
      </w:r>
      <w:r w:rsidR="005B2029" w:rsidRPr="0020591B">
        <w:t xml:space="preserve"> with it), and it</w:t>
      </w:r>
      <w:r w:rsidR="00365701" w:rsidRPr="0020591B">
        <w:t xml:space="preserve"> has to </w:t>
      </w:r>
      <w:r w:rsidR="005B2029" w:rsidRPr="0020591B">
        <w:t xml:space="preserve">operate </w:t>
      </w:r>
      <w:r w:rsidR="00365701" w:rsidRPr="0020591B">
        <w:t xml:space="preserve">by </w:t>
      </w:r>
      <w:r w:rsidRPr="0020591B">
        <w:t>the</w:t>
      </w:r>
      <w:r w:rsidR="00497C6D" w:rsidRPr="0020591B">
        <w:t xml:space="preserve"> franchisor’s</w:t>
      </w:r>
      <w:r w:rsidRPr="0020591B">
        <w:t xml:space="preserve"> standards. An online enterprise sells products and services </w:t>
      </w:r>
      <w:r w:rsidR="00B41011" w:rsidRPr="0020591B">
        <w:t>digitally</w:t>
      </w:r>
      <w:r w:rsidRPr="0020591B">
        <w:t xml:space="preserve">, </w:t>
      </w:r>
      <w:r w:rsidR="00497C6D" w:rsidRPr="0020591B">
        <w:t xml:space="preserve">like </w:t>
      </w:r>
      <w:r w:rsidR="00B41011" w:rsidRPr="0020591B">
        <w:t xml:space="preserve">in </w:t>
      </w:r>
      <w:r w:rsidRPr="0020591B">
        <w:t xml:space="preserve">mobile apps </w:t>
      </w:r>
      <w:r w:rsidR="00B41011" w:rsidRPr="0020591B">
        <w:t xml:space="preserve">or </w:t>
      </w:r>
      <w:r w:rsidRPr="0020591B">
        <w:t xml:space="preserve">websites. </w:t>
      </w:r>
      <w:r w:rsidR="00B41011" w:rsidRPr="0020591B">
        <w:t xml:space="preserve">Analytics, online payments and orders are only some of their available tools </w:t>
      </w:r>
      <w:r w:rsidRPr="0020591B">
        <w:t xml:space="preserve">to attract customers </w:t>
      </w:r>
      <w:r w:rsidR="006E1730" w:rsidRPr="0020591B">
        <w:t xml:space="preserve">and keep them </w:t>
      </w:r>
      <w:r w:rsidRPr="0020591B">
        <w:t>(Chaffey and Ellis-Chadwick, 2022). A social enterprise is a business that is run for specific social purposes. The profits are reinvested and commercial tools are used to keep the enterprise going (</w:t>
      </w:r>
      <w:r w:rsidR="00F953DA" w:rsidRPr="0020591B">
        <w:t>Barringer and Ireland, 2021</w:t>
      </w:r>
      <w:r w:rsidRPr="0020591B">
        <w:t>).</w:t>
      </w:r>
    </w:p>
    <w:p w14:paraId="28704E6B" w14:textId="77777777" w:rsidR="00F5510B" w:rsidRPr="0020591B" w:rsidRDefault="00F5510B" w:rsidP="00730CCB">
      <w:pPr>
        <w:pStyle w:val="Heading2"/>
      </w:pPr>
      <w:bookmarkStart w:id="15" w:name="_Toc210659058"/>
      <w:r w:rsidRPr="0020591B">
        <w:t>Recommended legal structure and compliance</w:t>
      </w:r>
      <w:bookmarkEnd w:id="15"/>
    </w:p>
    <w:p w14:paraId="777D34BC" w14:textId="37E97B1C" w:rsidR="00F5510B" w:rsidRPr="00F5510B" w:rsidRDefault="004C4664" w:rsidP="00F5510B">
      <w:r w:rsidRPr="0020591B">
        <w:t>In order to formalise governance, enable investment and ring-fence owner liability, Good Day Tiffin should incorporate as a private company limited by shares from the outset (GOV.UK, 2025b). The food business will need to register each kitchen with the local authority at least 28 days before opening, including the allergen-controlled Free-from site as a separate premises (GOV.UK, 2025a). Operations must have a documented food safety management system which is mapped to the separate-site design. It should include food safety records for hot holding, delivery, cleaning schedules, and allergen controls (</w:t>
      </w:r>
      <w:r w:rsidR="0017697E" w:rsidRPr="0020591B">
        <w:t>Food Standards Agency, 2025</w:t>
      </w:r>
      <w:r w:rsidRPr="0020591B">
        <w:t>). Packaging and data capture should plan for extended producer responsibility reporting in order to capture costs and obligations early to inform pricing and systems (DEFRA, 2025).</w:t>
      </w:r>
    </w:p>
    <w:p w14:paraId="195D16A5" w14:textId="77777777" w:rsidR="00F5510B" w:rsidRPr="0020591B" w:rsidRDefault="00F5510B" w:rsidP="00730CCB">
      <w:pPr>
        <w:pStyle w:val="Heading2"/>
      </w:pPr>
      <w:bookmarkStart w:id="16" w:name="_Toc210659059"/>
      <w:r w:rsidRPr="0020591B">
        <w:t>Organisational design</w:t>
      </w:r>
      <w:bookmarkEnd w:id="16"/>
    </w:p>
    <w:p w14:paraId="76485B2D" w14:textId="01278AC9" w:rsidR="00F5510B" w:rsidRPr="0020591B" w:rsidRDefault="002030B8" w:rsidP="00F5510B">
      <w:r w:rsidRPr="0020591B">
        <w:t xml:space="preserve">The management structure is slim, hived to the segregated kitchens. A managing director sets policy and chairs weekly reviews, with a head of operations owning routing, fleet and service levels. The vegetarian base kitchen has a head chef; the Free-from+Vegan site has its own head chef, who does not rotate across sites; the meat line is led by a finishing lead who manages the one-way flow from vegetarian base to meat add-on. </w:t>
      </w:r>
      <w:r w:rsidR="001B0F6F" w:rsidRPr="0020591B">
        <w:t>Food safety and compliance manager will look after HACCP, allergen protocols and audits; digital and data lead will take care of the app, coupon ledgers and slot engine; and customer care lead will take care of IVR and service recovery. The design is safe and delivery is accountable per UK documented due diligence standards. (</w:t>
      </w:r>
      <w:r w:rsidR="0017697E" w:rsidRPr="0020591B">
        <w:t>Food Standards Agency, 2025</w:t>
      </w:r>
      <w:r w:rsidR="001B0F6F" w:rsidRPr="0020591B">
        <w:t>).</w:t>
      </w:r>
    </w:p>
    <w:p w14:paraId="0C474594" w14:textId="12431A5B" w:rsidR="00F5510B" w:rsidRPr="0020591B" w:rsidRDefault="00730CCB" w:rsidP="00F5510B">
      <w:r w:rsidRPr="0020591B">
        <w:drawing>
          <wp:inline distT="0" distB="0" distL="0" distR="0" wp14:anchorId="3356DD24" wp14:editId="77DFE55F">
            <wp:extent cx="5649113" cy="3934374"/>
            <wp:effectExtent l="0" t="0" r="8890" b="9525"/>
            <wp:docPr id="1341060227"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060227" name="Picture 1" descr="A table with text on it&#10;&#10;AI-generated content may be incorrect."/>
                    <pic:cNvPicPr/>
                  </pic:nvPicPr>
                  <pic:blipFill>
                    <a:blip r:embed="rId7"/>
                    <a:stretch>
                      <a:fillRect/>
                    </a:stretch>
                  </pic:blipFill>
                  <pic:spPr>
                    <a:xfrm>
                      <a:off x="0" y="0"/>
                      <a:ext cx="5649113" cy="3934374"/>
                    </a:xfrm>
                    <a:prstGeom prst="rect">
                      <a:avLst/>
                    </a:prstGeom>
                  </pic:spPr>
                </pic:pic>
              </a:graphicData>
            </a:graphic>
          </wp:inline>
        </w:drawing>
      </w:r>
    </w:p>
    <w:p w14:paraId="1725CC48" w14:textId="77777777" w:rsidR="00F5510B" w:rsidRPr="00F5510B" w:rsidRDefault="00F5510B" w:rsidP="00F5510B">
      <w:r w:rsidRPr="00F5510B">
        <w:rPr>
          <w:b/>
          <w:bCs/>
        </w:rPr>
        <w:t>Table A: Basic organisational chart (roles and focus)</w:t>
      </w:r>
    </w:p>
    <w:p w14:paraId="6984CA6F" w14:textId="77777777" w:rsidR="00BB30F5" w:rsidRPr="0020591B" w:rsidRDefault="00BB30F5" w:rsidP="00FA10AB"/>
    <w:p w14:paraId="284647D2" w14:textId="77777777" w:rsidR="00F5510B" w:rsidRPr="0020591B" w:rsidRDefault="00F5510B" w:rsidP="00730CCB">
      <w:pPr>
        <w:pStyle w:val="Heading2"/>
      </w:pPr>
      <w:bookmarkStart w:id="17" w:name="_Toc210659060"/>
      <w:r w:rsidRPr="0020591B">
        <w:t>Start-up funding needs and sources</w:t>
      </w:r>
      <w:bookmarkEnd w:id="17"/>
    </w:p>
    <w:p w14:paraId="2B3DFF9C" w14:textId="48F50CC2" w:rsidR="00F5510B" w:rsidRPr="0020591B" w:rsidRDefault="000D3CBA" w:rsidP="00F5510B">
      <w:r w:rsidRPr="0020591B">
        <w:t>Start-up costs requirements are focused on kitchen fit-out, reusable packaging tins, delivery enablement, digital ordering platform, launch marketing, initial working capital and a contingency. The indicative costs below will be improved once supplier quotes and site surveys are complete. See Table B and C.</w:t>
      </w:r>
    </w:p>
    <w:p w14:paraId="1A00F9A5" w14:textId="77777777" w:rsidR="00295318" w:rsidRPr="0020591B" w:rsidRDefault="00295318" w:rsidP="00F5510B"/>
    <w:p w14:paraId="2BE5C291" w14:textId="113EFAE9" w:rsidR="00F5510B" w:rsidRPr="0020591B" w:rsidRDefault="00730CCB" w:rsidP="00F5510B">
      <w:r w:rsidRPr="0020591B">
        <w:drawing>
          <wp:inline distT="0" distB="0" distL="0" distR="0" wp14:anchorId="382C71FF" wp14:editId="0C6C0DAB">
            <wp:extent cx="4782217" cy="4210638"/>
            <wp:effectExtent l="0" t="0" r="0" b="0"/>
            <wp:docPr id="1354556653"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56653" name="Picture 1" descr="A table with text on it&#10;&#10;AI-generated content may be incorrect."/>
                    <pic:cNvPicPr/>
                  </pic:nvPicPr>
                  <pic:blipFill>
                    <a:blip r:embed="rId8"/>
                    <a:stretch>
                      <a:fillRect/>
                    </a:stretch>
                  </pic:blipFill>
                  <pic:spPr>
                    <a:xfrm>
                      <a:off x="0" y="0"/>
                      <a:ext cx="4782217" cy="4210638"/>
                    </a:xfrm>
                    <a:prstGeom prst="rect">
                      <a:avLst/>
                    </a:prstGeom>
                  </pic:spPr>
                </pic:pic>
              </a:graphicData>
            </a:graphic>
          </wp:inline>
        </w:drawing>
      </w:r>
    </w:p>
    <w:p w14:paraId="0483BF9E" w14:textId="3275F500" w:rsidR="00F5510B" w:rsidRPr="00F5510B" w:rsidRDefault="00F5510B" w:rsidP="00F5510B">
      <w:r w:rsidRPr="00F5510B">
        <w:rPr>
          <w:b/>
          <w:bCs/>
        </w:rPr>
        <w:t>Table B: Indicative start-up budget</w:t>
      </w:r>
    </w:p>
    <w:p w14:paraId="72236345" w14:textId="77777777" w:rsidR="00F5510B" w:rsidRPr="0020591B" w:rsidRDefault="00F5510B" w:rsidP="00FA10AB"/>
    <w:p w14:paraId="4E2E3167" w14:textId="20C1F7EE" w:rsidR="00400005" w:rsidRPr="0020591B" w:rsidRDefault="00730CCB" w:rsidP="00FA10AB">
      <w:r w:rsidRPr="0020591B">
        <w:drawing>
          <wp:inline distT="0" distB="0" distL="0" distR="0" wp14:anchorId="4C51199C" wp14:editId="0318F4AA">
            <wp:extent cx="4324954" cy="3096057"/>
            <wp:effectExtent l="0" t="0" r="0" b="9525"/>
            <wp:docPr id="198134941" name="Picture 1" descr="A table with numbers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134941" name="Picture 1" descr="A table with numbers and symbols&#10;&#10;AI-generated content may be incorrect."/>
                    <pic:cNvPicPr/>
                  </pic:nvPicPr>
                  <pic:blipFill>
                    <a:blip r:embed="rId9"/>
                    <a:stretch>
                      <a:fillRect/>
                    </a:stretch>
                  </pic:blipFill>
                  <pic:spPr>
                    <a:xfrm>
                      <a:off x="0" y="0"/>
                      <a:ext cx="4324954" cy="3096057"/>
                    </a:xfrm>
                    <a:prstGeom prst="rect">
                      <a:avLst/>
                    </a:prstGeom>
                  </pic:spPr>
                </pic:pic>
              </a:graphicData>
            </a:graphic>
          </wp:inline>
        </w:drawing>
      </w:r>
    </w:p>
    <w:p w14:paraId="568CEE39" w14:textId="263EA02C" w:rsidR="00400005" w:rsidRPr="0020591B" w:rsidRDefault="00400005" w:rsidP="00FA10AB">
      <w:pPr>
        <w:rPr>
          <w:b/>
          <w:bCs/>
        </w:rPr>
      </w:pPr>
      <w:r w:rsidRPr="0020591B">
        <w:rPr>
          <w:b/>
          <w:bCs/>
        </w:rPr>
        <w:t xml:space="preserve">Table C: </w:t>
      </w:r>
      <w:r w:rsidR="00295318" w:rsidRPr="0020591B">
        <w:rPr>
          <w:b/>
          <w:bCs/>
        </w:rPr>
        <w:t>Container</w:t>
      </w:r>
      <w:r w:rsidRPr="0020591B">
        <w:rPr>
          <w:b/>
          <w:bCs/>
        </w:rPr>
        <w:t xml:space="preserve"> calculation and sensitivity (3,000 pieces)</w:t>
      </w:r>
    </w:p>
    <w:p w14:paraId="10B3A33A" w14:textId="64687691" w:rsidR="000D3CBA" w:rsidRPr="0020591B" w:rsidRDefault="00013304" w:rsidP="000D3CBA">
      <w:r w:rsidRPr="0020591B">
        <w:t>Commitment and absorption of early learning unit economics before they stabilise at scale is essential, and founders can use a large share of equity to this end (</w:t>
      </w:r>
      <w:r w:rsidR="00F953DA" w:rsidRPr="0020591B">
        <w:t>Barringer and Ireland, 2021</w:t>
      </w:r>
      <w:r w:rsidRPr="0020591B">
        <w:t>). Government-backed Start Up Loans are a source of low-ticket debt funding that offers mentoring, to meet micro-scale delivery businesses’ equipment, branding, and initial working capital needs (British Business Bank, 2024). A small equipment lease allows cash outlay to be smoothed for equipment with a clear residual value and also preserves working capital in the first trading quarter (</w:t>
      </w:r>
      <w:r w:rsidR="00F953DA" w:rsidRPr="0020591B">
        <w:t>Barringer and Ireland, 2021</w:t>
      </w:r>
      <w:r w:rsidRPr="0020591B">
        <w:t>). Stage digital and data spend so that the core ordering and coupon ledger go live first, with analytics and optimisation then built-in after 3 months of real usage, so that capital is allocated to validated needs (Chaffey and Ellis-Chadwick, 2022). In the UK, any launch readiness critical path costs and timings also need to include time and money for registration, food safety documentation, and audit (</w:t>
      </w:r>
      <w:r w:rsidR="0017697E" w:rsidRPr="0020591B">
        <w:t>Food Standards Agency, 2025</w:t>
      </w:r>
      <w:r w:rsidRPr="0020591B">
        <w:t>). The system also needs to capture packaging data and reporting from the start to meet extended producer responsibility obligations without additional manual work later in growth and extra cost (DEFRA, 2025).</w:t>
      </w:r>
    </w:p>
    <w:p w14:paraId="2704F972" w14:textId="79910AF9" w:rsidR="00A00FD0" w:rsidRPr="0020591B" w:rsidRDefault="000D3CBA" w:rsidP="000D3CBA">
      <w:r w:rsidRPr="0020591B">
        <w:t>Working-capital pressure is a likely constraint in the early months; contingency measures include staging new hiring, tightening the pre-order cut-offs and securing a small Start Up Loan or overdraft facility (British Business Bank, 2024).</w:t>
      </w:r>
    </w:p>
    <w:p w14:paraId="12FFCC3B" w14:textId="77777777" w:rsidR="00F5510B" w:rsidRPr="0020591B" w:rsidRDefault="00F5510B" w:rsidP="00FA10AB"/>
    <w:p w14:paraId="1D56893A" w14:textId="1BDB2C3F" w:rsidR="00FA10AB" w:rsidRPr="0020591B" w:rsidRDefault="00FA10AB">
      <w:pPr>
        <w:spacing w:before="0" w:after="160" w:line="278" w:lineRule="auto"/>
        <w:jc w:val="left"/>
      </w:pPr>
      <w:r w:rsidRPr="0020591B">
        <w:br w:type="page"/>
      </w:r>
    </w:p>
    <w:p w14:paraId="423D2CE0" w14:textId="5224E802" w:rsidR="00FA10AB" w:rsidRPr="0020591B" w:rsidRDefault="00FA10AB" w:rsidP="00FA10AB">
      <w:pPr>
        <w:pStyle w:val="Heading1"/>
      </w:pPr>
      <w:bookmarkStart w:id="18" w:name="_Toc210659061"/>
      <w:r w:rsidRPr="0020591B">
        <w:t>References</w:t>
      </w:r>
      <w:bookmarkEnd w:id="18"/>
    </w:p>
    <w:p w14:paraId="6DC54618" w14:textId="1816308E" w:rsidR="00926765" w:rsidRPr="00926765" w:rsidRDefault="00926765" w:rsidP="00926765">
      <w:r w:rsidRPr="00926765">
        <w:t>Barringer, B.R. and Ireland, R.D. (202</w:t>
      </w:r>
      <w:r w:rsidR="00F953DA" w:rsidRPr="0020591B">
        <w:t>1</w:t>
      </w:r>
      <w:r w:rsidRPr="00926765">
        <w:t xml:space="preserve">) </w:t>
      </w:r>
      <w:r w:rsidRPr="00926765">
        <w:rPr>
          <w:i/>
          <w:iCs/>
        </w:rPr>
        <w:t>Entrepreneurship: Successfully Launching New Ventures</w:t>
      </w:r>
      <w:r w:rsidRPr="00926765">
        <w:t>. 6th</w:t>
      </w:r>
      <w:r w:rsidR="00F953DA" w:rsidRPr="0020591B">
        <w:t xml:space="preserve"> Global</w:t>
      </w:r>
      <w:r w:rsidRPr="00926765">
        <w:t xml:space="preserve"> edn. Pearson.</w:t>
      </w:r>
    </w:p>
    <w:p w14:paraId="441EF2B1" w14:textId="18040C5F" w:rsidR="00926765" w:rsidRPr="00926765" w:rsidRDefault="00926765" w:rsidP="00926765">
      <w:r w:rsidRPr="00926765">
        <w:t xml:space="preserve">British Business Bank (2024) </w:t>
      </w:r>
      <w:r w:rsidRPr="00926765">
        <w:rPr>
          <w:i/>
          <w:iCs/>
        </w:rPr>
        <w:t>Evaluation of Start Up Loans</w:t>
      </w:r>
      <w:r w:rsidRPr="00926765">
        <w:t>. Available at: https://www.british-business-bank.co.uk/about/research-and-publications/evaluation-start-up-loans-2024 (Accessed 1 October 2025).</w:t>
      </w:r>
    </w:p>
    <w:p w14:paraId="72514065" w14:textId="77777777" w:rsidR="00926765" w:rsidRPr="00926765" w:rsidRDefault="00926765" w:rsidP="00926765">
      <w:r w:rsidRPr="00926765">
        <w:t xml:space="preserve">Chaffey, D. and Ellis-Chadwick, F. (2022) </w:t>
      </w:r>
      <w:r w:rsidRPr="00926765">
        <w:rPr>
          <w:i/>
          <w:iCs/>
        </w:rPr>
        <w:t>Digital Marketing</w:t>
      </w:r>
      <w:r w:rsidRPr="00926765">
        <w:t>. 8th edn. Pearson.</w:t>
      </w:r>
    </w:p>
    <w:p w14:paraId="32206990" w14:textId="4FE27266" w:rsidR="00926765" w:rsidRPr="00926765" w:rsidRDefault="00926765" w:rsidP="00926765">
      <w:r w:rsidRPr="00926765">
        <w:t xml:space="preserve">DEFRA (2025) </w:t>
      </w:r>
      <w:r w:rsidR="0017697E" w:rsidRPr="0020591B">
        <w:rPr>
          <w:i/>
          <w:iCs/>
        </w:rPr>
        <w:t>Extended producer responsibility for packaging</w:t>
      </w:r>
      <w:r w:rsidRPr="00926765">
        <w:t>. Available at: https://www.gov.uk/government/collections/extended-producer-responsibility-for-packaging (Accessed 1 October 2025).</w:t>
      </w:r>
    </w:p>
    <w:p w14:paraId="207E915B" w14:textId="77777777" w:rsidR="00926765" w:rsidRPr="00926765" w:rsidRDefault="00926765" w:rsidP="00926765">
      <w:r w:rsidRPr="00926765">
        <w:t xml:space="preserve">Ellen MacArthur Foundation (2023) </w:t>
      </w:r>
      <w:r w:rsidRPr="00926765">
        <w:rPr>
          <w:i/>
          <w:iCs/>
        </w:rPr>
        <w:t>Unlocking a reuse revolution: scaling returnable packaging</w:t>
      </w:r>
      <w:r w:rsidRPr="00926765">
        <w:t>. Available at: https://www.ellenmacarthurfoundation.org/scaling-returnable-packaging/overview (Accessed 1 October 2025).</w:t>
      </w:r>
    </w:p>
    <w:p w14:paraId="329B13F2" w14:textId="5DA7AFF8" w:rsidR="00926765" w:rsidRPr="00926765" w:rsidRDefault="00926765" w:rsidP="00926765">
      <w:r w:rsidRPr="00926765">
        <w:t>Food Standards Agency (202</w:t>
      </w:r>
      <w:r w:rsidR="0017697E" w:rsidRPr="0020591B">
        <w:t>5</w:t>
      </w:r>
      <w:r w:rsidRPr="00926765">
        <w:t xml:space="preserve">) </w:t>
      </w:r>
      <w:r w:rsidRPr="00926765">
        <w:rPr>
          <w:i/>
          <w:iCs/>
        </w:rPr>
        <w:t>Getting ready to start your food business</w:t>
      </w:r>
      <w:r w:rsidRPr="00926765">
        <w:t>. Available at: https://www.food.gov.uk/business-guidance/getting-ready-to-start-your-food-business (Accessed 1 October 2025).</w:t>
      </w:r>
    </w:p>
    <w:p w14:paraId="0258F420" w14:textId="41C94634" w:rsidR="00926765" w:rsidRPr="00926765" w:rsidRDefault="00926765" w:rsidP="00926765">
      <w:r w:rsidRPr="00926765">
        <w:t xml:space="preserve">Food Standards Agency (2024) </w:t>
      </w:r>
      <w:r w:rsidR="007F7E0C" w:rsidRPr="0020591B">
        <w:rPr>
          <w:i/>
          <w:iCs/>
        </w:rPr>
        <w:t>Food allergen labelling and information requirements technical guidance: Summary</w:t>
      </w:r>
      <w:r w:rsidRPr="00926765">
        <w:t>. Available at: https://www.food.gov.uk/business-guidance/food-allergen-labelling-and-information-requirements-technical-guidance-summary (Accessed 1 October 2025).</w:t>
      </w:r>
    </w:p>
    <w:p w14:paraId="299A0E7F" w14:textId="363F9846" w:rsidR="00926765" w:rsidRPr="00926765" w:rsidRDefault="00926765" w:rsidP="00926765">
      <w:r w:rsidRPr="00926765">
        <w:t xml:space="preserve">GOV.UK (2025a) </w:t>
      </w:r>
      <w:r w:rsidRPr="00926765">
        <w:rPr>
          <w:i/>
          <w:iCs/>
        </w:rPr>
        <w:t>Food business registration</w:t>
      </w:r>
      <w:r w:rsidRPr="00926765">
        <w:t>. Available at: https://www.gov.uk/guidance/food-business-registration (Accessed 1 October 2025).</w:t>
      </w:r>
    </w:p>
    <w:p w14:paraId="162AF1B0" w14:textId="7FF669E4" w:rsidR="00926765" w:rsidRPr="00926765" w:rsidRDefault="00926765" w:rsidP="00926765">
      <w:r w:rsidRPr="00926765">
        <w:t xml:space="preserve">GOV.UK (2025b) </w:t>
      </w:r>
      <w:r w:rsidRPr="00926765">
        <w:rPr>
          <w:i/>
          <w:iCs/>
        </w:rPr>
        <w:t>Set up a limited company: step by step</w:t>
      </w:r>
      <w:r w:rsidRPr="00926765">
        <w:t>. Available at: https://www.gov.uk/set-up-limited-company (Accessed 1 October 2025).</w:t>
      </w:r>
    </w:p>
    <w:p w14:paraId="0886A55D" w14:textId="2E14A792" w:rsidR="00926765" w:rsidRPr="00926765" w:rsidRDefault="001B02FD" w:rsidP="001B02FD">
      <w:r w:rsidRPr="0020591B">
        <w:t xml:space="preserve">Whittington, R., Regner, P., Angwin, D., Johnson, G. and Scholes, K. </w:t>
      </w:r>
      <w:r w:rsidR="00926765" w:rsidRPr="00926765">
        <w:t>(202</w:t>
      </w:r>
      <w:r w:rsidRPr="0020591B">
        <w:t>3</w:t>
      </w:r>
      <w:r w:rsidR="00926765" w:rsidRPr="00926765">
        <w:t xml:space="preserve">) </w:t>
      </w:r>
      <w:r w:rsidR="00926765" w:rsidRPr="00926765">
        <w:rPr>
          <w:i/>
          <w:iCs/>
        </w:rPr>
        <w:t>Exploring Strategy</w:t>
      </w:r>
      <w:r w:rsidR="00926765" w:rsidRPr="00926765">
        <w:t>. 1</w:t>
      </w:r>
      <w:r w:rsidRPr="0020591B">
        <w:t>3</w:t>
      </w:r>
      <w:r w:rsidR="00926765" w:rsidRPr="00926765">
        <w:t>th edn. Pearson.</w:t>
      </w:r>
    </w:p>
    <w:p w14:paraId="30828BA5" w14:textId="0B7986FC" w:rsidR="00926765" w:rsidRPr="00926765" w:rsidRDefault="00926765" w:rsidP="00926765">
      <w:r w:rsidRPr="00926765">
        <w:t>Kancharla, S.R., Van Woensel, T., Waller, S.T. and Ukkusuri, S.V. (2024) ‘</w:t>
      </w:r>
      <w:r w:rsidR="00FA37CF" w:rsidRPr="0020591B">
        <w:t>Meal Delivery Routing Problem with Stochastic Meal Preparation Times and Customer Locations</w:t>
      </w:r>
      <w:r w:rsidRPr="00926765">
        <w:t xml:space="preserve">’, </w:t>
      </w:r>
      <w:r w:rsidRPr="00926765">
        <w:rPr>
          <w:i/>
          <w:iCs/>
        </w:rPr>
        <w:t>Networks and Spatial Economics</w:t>
      </w:r>
      <w:r w:rsidRPr="00926765">
        <w:t>, 24, pp. 997</w:t>
      </w:r>
      <w:r w:rsidRPr="0020591B">
        <w:t>-</w:t>
      </w:r>
      <w:r w:rsidRPr="00926765">
        <w:t>1020. doi:10.1007/s11067-024-09643-1.</w:t>
      </w:r>
    </w:p>
    <w:p w14:paraId="1B340EE3" w14:textId="16A8038B" w:rsidR="00926765" w:rsidRPr="00926765" w:rsidRDefault="00926765" w:rsidP="00926765">
      <w:r w:rsidRPr="00926765">
        <w:t>Kotler, P. and Keller, K.L. (201</w:t>
      </w:r>
      <w:r w:rsidR="00FA37CF" w:rsidRPr="0020591B">
        <w:t>5</w:t>
      </w:r>
      <w:r w:rsidRPr="00926765">
        <w:t xml:space="preserve">) </w:t>
      </w:r>
      <w:r w:rsidRPr="00926765">
        <w:rPr>
          <w:i/>
          <w:iCs/>
        </w:rPr>
        <w:t>Marketing Management</w:t>
      </w:r>
      <w:r w:rsidRPr="00926765">
        <w:t>. 1</w:t>
      </w:r>
      <w:r w:rsidR="00FA37CF" w:rsidRPr="0020591B">
        <w:t>5</w:t>
      </w:r>
      <w:r w:rsidRPr="00926765">
        <w:t>th edn. Pearson.</w:t>
      </w:r>
    </w:p>
    <w:p w14:paraId="372BDB0E" w14:textId="10A74106" w:rsidR="00926765" w:rsidRPr="00926765" w:rsidRDefault="00926765" w:rsidP="00926765">
      <w:r w:rsidRPr="00926765">
        <w:t xml:space="preserve">Ofcom (2025) </w:t>
      </w:r>
      <w:r w:rsidRPr="00926765">
        <w:rPr>
          <w:i/>
          <w:iCs/>
        </w:rPr>
        <w:t>Adults’ media use and attitudes</w:t>
      </w:r>
      <w:r w:rsidRPr="00926765">
        <w:t>. Available at: https://www.ofcom.org.uk/media-use-and-attitudes/media-habits-adults/adults-media-use-and-attitudes (Accessed 1 October 2025).</w:t>
      </w:r>
    </w:p>
    <w:p w14:paraId="287F7198" w14:textId="16CFE9D2" w:rsidR="00926765" w:rsidRPr="00926765" w:rsidRDefault="00926765" w:rsidP="00926765">
      <w:r w:rsidRPr="00926765">
        <w:t>Osterwalder, A., Pigneur, Y., Bernarda, G.</w:t>
      </w:r>
      <w:r w:rsidR="00595D81" w:rsidRPr="0020591B">
        <w:t>,</w:t>
      </w:r>
      <w:r w:rsidRPr="00926765">
        <w:t xml:space="preserve"> Smith, A.</w:t>
      </w:r>
      <w:r w:rsidR="00595D81" w:rsidRPr="0020591B">
        <w:t xml:space="preserve"> and Papadakos, T.</w:t>
      </w:r>
      <w:r w:rsidRPr="00926765">
        <w:t xml:space="preserve"> (2014) </w:t>
      </w:r>
      <w:r w:rsidRPr="00926765">
        <w:rPr>
          <w:i/>
          <w:iCs/>
        </w:rPr>
        <w:t>Value Proposition Design</w:t>
      </w:r>
      <w:r w:rsidRPr="00926765">
        <w:t>. Wiley.</w:t>
      </w:r>
    </w:p>
    <w:p w14:paraId="3C358EF7" w14:textId="7EFBBEA0" w:rsidR="00926765" w:rsidRPr="00926765" w:rsidRDefault="00926765" w:rsidP="00926765">
      <w:r w:rsidRPr="00926765">
        <w:t xml:space="preserve">Porter, M.E. (2008) ‘The five competitive forces that shape strategy’, </w:t>
      </w:r>
      <w:r w:rsidRPr="00926765">
        <w:rPr>
          <w:i/>
          <w:iCs/>
        </w:rPr>
        <w:t>Harvard Business Review</w:t>
      </w:r>
      <w:r w:rsidRPr="00926765">
        <w:t>, 86(1), pp. 78</w:t>
      </w:r>
      <w:r w:rsidRPr="0020591B">
        <w:t>-</w:t>
      </w:r>
      <w:r w:rsidRPr="00926765">
        <w:t>93.</w:t>
      </w:r>
    </w:p>
    <w:p w14:paraId="6DBA5CCA" w14:textId="0B24C828" w:rsidR="00926765" w:rsidRPr="00926765" w:rsidRDefault="00926765" w:rsidP="00926765">
      <w:r w:rsidRPr="00926765">
        <w:t xml:space="preserve">Ranieri, A., Di Bernardo, I. and Mele, C. (2024) ‘Serving customers through chatbots: positive and negative effects on customer experience’, </w:t>
      </w:r>
      <w:r w:rsidRPr="00926765">
        <w:rPr>
          <w:i/>
          <w:iCs/>
        </w:rPr>
        <w:t>Journal of Service Theory and Practice</w:t>
      </w:r>
      <w:r w:rsidRPr="00926765">
        <w:t>, 34(2), pp. 191</w:t>
      </w:r>
      <w:r w:rsidRPr="0020591B">
        <w:t>-</w:t>
      </w:r>
      <w:r w:rsidRPr="00926765">
        <w:t>215. doi:</w:t>
      </w:r>
      <w:r w:rsidR="00165858" w:rsidRPr="0020591B">
        <w:t>10.1108/JSTP-01-2023-0015</w:t>
      </w:r>
      <w:r w:rsidRPr="00926765">
        <w:t>.</w:t>
      </w:r>
    </w:p>
    <w:p w14:paraId="2186A107" w14:textId="27078AF8" w:rsidR="00926765" w:rsidRPr="00926765" w:rsidRDefault="004B1355" w:rsidP="00926765">
      <w:r w:rsidRPr="0020591B">
        <w:t>W3C</w:t>
      </w:r>
      <w:r w:rsidR="00926765" w:rsidRPr="00926765">
        <w:t xml:space="preserve"> (2023) </w:t>
      </w:r>
      <w:r w:rsidR="00165858" w:rsidRPr="0020591B">
        <w:rPr>
          <w:i/>
          <w:iCs/>
        </w:rPr>
        <w:t>Web Content Accessibility Guidelines (WCAG) 2.2</w:t>
      </w:r>
      <w:r w:rsidR="00926765" w:rsidRPr="00926765">
        <w:t>. Available at: https://www.w3.org/TR/WCAG22/ (Accessed 1 October 2025).</w:t>
      </w:r>
    </w:p>
    <w:p w14:paraId="6F96CB1E" w14:textId="77777777" w:rsidR="00FA10AB" w:rsidRPr="0020591B" w:rsidRDefault="00FA10AB" w:rsidP="00FA10AB"/>
    <w:p w14:paraId="15AC34C6" w14:textId="0A7155EB" w:rsidR="005A5FB2" w:rsidRPr="0020591B" w:rsidRDefault="005A5FB2">
      <w:pPr>
        <w:spacing w:before="0" w:after="160" w:line="278" w:lineRule="auto"/>
        <w:jc w:val="left"/>
      </w:pPr>
      <w:r w:rsidRPr="0020591B">
        <w:br w:type="page"/>
      </w:r>
    </w:p>
    <w:p w14:paraId="38F9BE83" w14:textId="7BCAF705" w:rsidR="005A5FB2" w:rsidRPr="0020591B" w:rsidRDefault="005A5FB2" w:rsidP="005A5FB2">
      <w:pPr>
        <w:pStyle w:val="Heading1"/>
      </w:pPr>
      <w:bookmarkStart w:id="19" w:name="_Toc210659062"/>
      <w:r w:rsidRPr="0020591B">
        <w:t>Appendix</w:t>
      </w:r>
      <w:bookmarkEnd w:id="19"/>
    </w:p>
    <w:p w14:paraId="3B93A7FF" w14:textId="77777777" w:rsidR="005A5FB2" w:rsidRPr="0020591B" w:rsidRDefault="005A5FB2" w:rsidP="00FA10AB"/>
    <w:p w14:paraId="050BD520" w14:textId="181AE3A7" w:rsidR="005A5FB2" w:rsidRPr="00F5510B" w:rsidRDefault="005A5FB2" w:rsidP="005A5FB2">
      <w:r w:rsidRPr="00F5510B">
        <w:rPr>
          <w:b/>
          <w:bCs/>
        </w:rPr>
        <w:t>Table A: Basic organisational chart (roles and focus)</w:t>
      </w:r>
      <w:r w:rsidRPr="0020591B">
        <w:rPr>
          <w:b/>
          <w:bCs/>
        </w:rPr>
        <w:t>:</w:t>
      </w:r>
    </w:p>
    <w:p w14:paraId="74C357CA" w14:textId="77777777" w:rsidR="005A5FB2" w:rsidRPr="0020591B" w:rsidRDefault="005A5FB2" w:rsidP="00FA10AB"/>
    <w:tbl>
      <w:tblPr>
        <w:tblStyle w:val="TableGrid"/>
        <w:tblW w:w="0" w:type="auto"/>
        <w:tblLook w:val="04A0" w:firstRow="1" w:lastRow="0" w:firstColumn="1" w:lastColumn="0" w:noHBand="0" w:noVBand="1"/>
      </w:tblPr>
      <w:tblGrid>
        <w:gridCol w:w="3701"/>
        <w:gridCol w:w="5315"/>
      </w:tblGrid>
      <w:tr w:rsidR="00295318" w:rsidRPr="0020591B" w14:paraId="286BFDF6" w14:textId="77777777" w:rsidTr="00A30342">
        <w:tc>
          <w:tcPr>
            <w:tcW w:w="0" w:type="auto"/>
          </w:tcPr>
          <w:p w14:paraId="1790B48F" w14:textId="77777777" w:rsidR="005A5FB2" w:rsidRPr="005A5FB2" w:rsidRDefault="005A5FB2" w:rsidP="00730CCB">
            <w:pPr>
              <w:jc w:val="left"/>
            </w:pPr>
            <w:r w:rsidRPr="005A5FB2">
              <w:t>Role</w:t>
            </w:r>
          </w:p>
        </w:tc>
        <w:tc>
          <w:tcPr>
            <w:tcW w:w="0" w:type="auto"/>
          </w:tcPr>
          <w:p w14:paraId="256B8221" w14:textId="77777777" w:rsidR="005A5FB2" w:rsidRPr="005A5FB2" w:rsidRDefault="005A5FB2" w:rsidP="00730CCB">
            <w:pPr>
              <w:jc w:val="left"/>
            </w:pPr>
            <w:r w:rsidRPr="005A5FB2">
              <w:t>Core responsibility</w:t>
            </w:r>
          </w:p>
        </w:tc>
      </w:tr>
      <w:tr w:rsidR="00295318" w:rsidRPr="0020591B" w14:paraId="68461373" w14:textId="77777777" w:rsidTr="00A30342">
        <w:tc>
          <w:tcPr>
            <w:tcW w:w="0" w:type="auto"/>
          </w:tcPr>
          <w:p w14:paraId="51FA9544" w14:textId="77777777" w:rsidR="005A5FB2" w:rsidRPr="005A5FB2" w:rsidRDefault="005A5FB2" w:rsidP="00730CCB">
            <w:pPr>
              <w:jc w:val="left"/>
            </w:pPr>
            <w:r w:rsidRPr="005A5FB2">
              <w:t>Managing Director</w:t>
            </w:r>
          </w:p>
        </w:tc>
        <w:tc>
          <w:tcPr>
            <w:tcW w:w="0" w:type="auto"/>
          </w:tcPr>
          <w:p w14:paraId="153D35CF" w14:textId="77777777" w:rsidR="005A5FB2" w:rsidRPr="005A5FB2" w:rsidRDefault="005A5FB2" w:rsidP="00730CCB">
            <w:pPr>
              <w:jc w:val="left"/>
            </w:pPr>
            <w:r w:rsidRPr="005A5FB2">
              <w:t>Strategy, governance, finance oversight</w:t>
            </w:r>
          </w:p>
        </w:tc>
      </w:tr>
      <w:tr w:rsidR="00295318" w:rsidRPr="0020591B" w14:paraId="5EBD09BB" w14:textId="77777777" w:rsidTr="00A30342">
        <w:tc>
          <w:tcPr>
            <w:tcW w:w="0" w:type="auto"/>
          </w:tcPr>
          <w:p w14:paraId="63650708" w14:textId="77777777" w:rsidR="005A5FB2" w:rsidRPr="005A5FB2" w:rsidRDefault="005A5FB2" w:rsidP="00730CCB">
            <w:pPr>
              <w:jc w:val="left"/>
            </w:pPr>
            <w:r w:rsidRPr="005A5FB2">
              <w:t>Head of Operations &amp; Logistics</w:t>
            </w:r>
          </w:p>
        </w:tc>
        <w:tc>
          <w:tcPr>
            <w:tcW w:w="0" w:type="auto"/>
          </w:tcPr>
          <w:p w14:paraId="35CB9918" w14:textId="77777777" w:rsidR="005A5FB2" w:rsidRPr="005A5FB2" w:rsidRDefault="005A5FB2" w:rsidP="00730CCB">
            <w:pPr>
              <w:jc w:val="left"/>
            </w:pPr>
            <w:r w:rsidRPr="005A5FB2">
              <w:t>Routing, delivery windows, rider/vendor management</w:t>
            </w:r>
          </w:p>
        </w:tc>
      </w:tr>
      <w:tr w:rsidR="00295318" w:rsidRPr="0020591B" w14:paraId="2C482F46" w14:textId="77777777" w:rsidTr="00A30342">
        <w:tc>
          <w:tcPr>
            <w:tcW w:w="0" w:type="auto"/>
          </w:tcPr>
          <w:p w14:paraId="152B26E0" w14:textId="48BD9D3B" w:rsidR="005A5FB2" w:rsidRPr="005A5FB2" w:rsidRDefault="005A5FB2" w:rsidP="00730CCB">
            <w:pPr>
              <w:jc w:val="left"/>
            </w:pPr>
            <w:r w:rsidRPr="005A5FB2">
              <w:t xml:space="preserve">Head Chef </w:t>
            </w:r>
            <w:r w:rsidR="00730CCB" w:rsidRPr="0020591B">
              <w:t>-</w:t>
            </w:r>
            <w:r w:rsidRPr="005A5FB2">
              <w:t xml:space="preserve"> Vegetarian Base</w:t>
            </w:r>
          </w:p>
        </w:tc>
        <w:tc>
          <w:tcPr>
            <w:tcW w:w="0" w:type="auto"/>
          </w:tcPr>
          <w:p w14:paraId="337F0DFB" w14:textId="77777777" w:rsidR="005A5FB2" w:rsidRPr="005A5FB2" w:rsidRDefault="005A5FB2" w:rsidP="00730CCB">
            <w:pPr>
              <w:jc w:val="left"/>
            </w:pPr>
            <w:r w:rsidRPr="005A5FB2">
              <w:t>Menu execution, prep discipline, yields</w:t>
            </w:r>
          </w:p>
        </w:tc>
      </w:tr>
      <w:tr w:rsidR="00295318" w:rsidRPr="0020591B" w14:paraId="5511B9B0" w14:textId="77777777" w:rsidTr="00A30342">
        <w:tc>
          <w:tcPr>
            <w:tcW w:w="0" w:type="auto"/>
          </w:tcPr>
          <w:p w14:paraId="684A6925" w14:textId="65757335" w:rsidR="005A5FB2" w:rsidRPr="005A5FB2" w:rsidRDefault="005A5FB2" w:rsidP="00730CCB">
            <w:pPr>
              <w:jc w:val="left"/>
            </w:pPr>
            <w:r w:rsidRPr="005A5FB2">
              <w:t xml:space="preserve">Head Chef </w:t>
            </w:r>
            <w:r w:rsidR="00730CCB" w:rsidRPr="0020591B">
              <w:t>-</w:t>
            </w:r>
            <w:r w:rsidRPr="005A5FB2">
              <w:t xml:space="preserve"> Free-from+Vegan Site</w:t>
            </w:r>
          </w:p>
        </w:tc>
        <w:tc>
          <w:tcPr>
            <w:tcW w:w="0" w:type="auto"/>
          </w:tcPr>
          <w:p w14:paraId="09B08CAF" w14:textId="77777777" w:rsidR="005A5FB2" w:rsidRPr="005A5FB2" w:rsidRDefault="005A5FB2" w:rsidP="00730CCB">
            <w:pPr>
              <w:jc w:val="left"/>
            </w:pPr>
            <w:r w:rsidRPr="005A5FB2">
              <w:t>Allergen-controlled production, audits, training</w:t>
            </w:r>
          </w:p>
        </w:tc>
      </w:tr>
      <w:tr w:rsidR="00295318" w:rsidRPr="0020591B" w14:paraId="1233174A" w14:textId="77777777" w:rsidTr="00A30342">
        <w:tc>
          <w:tcPr>
            <w:tcW w:w="0" w:type="auto"/>
          </w:tcPr>
          <w:p w14:paraId="240D83E9" w14:textId="77777777" w:rsidR="005A5FB2" w:rsidRPr="005A5FB2" w:rsidRDefault="005A5FB2" w:rsidP="00730CCB">
            <w:pPr>
              <w:jc w:val="left"/>
            </w:pPr>
            <w:r w:rsidRPr="005A5FB2">
              <w:t>Meat Finishing Lead</w:t>
            </w:r>
          </w:p>
        </w:tc>
        <w:tc>
          <w:tcPr>
            <w:tcW w:w="0" w:type="auto"/>
          </w:tcPr>
          <w:p w14:paraId="358A357F" w14:textId="77777777" w:rsidR="005A5FB2" w:rsidRPr="005A5FB2" w:rsidRDefault="005A5FB2" w:rsidP="00730CCB">
            <w:pPr>
              <w:jc w:val="left"/>
            </w:pPr>
            <w:r w:rsidRPr="005A5FB2">
              <w:t>One-way finishing station, segregation, hot-hold</w:t>
            </w:r>
          </w:p>
        </w:tc>
      </w:tr>
      <w:tr w:rsidR="00295318" w:rsidRPr="0020591B" w14:paraId="2E0D5ADA" w14:textId="77777777" w:rsidTr="00A30342">
        <w:tc>
          <w:tcPr>
            <w:tcW w:w="0" w:type="auto"/>
          </w:tcPr>
          <w:p w14:paraId="4D1136AB" w14:textId="77777777" w:rsidR="005A5FB2" w:rsidRPr="005A5FB2" w:rsidRDefault="005A5FB2" w:rsidP="00730CCB">
            <w:pPr>
              <w:jc w:val="left"/>
            </w:pPr>
            <w:r w:rsidRPr="005A5FB2">
              <w:t>Food Safety &amp; Compliance Manager</w:t>
            </w:r>
          </w:p>
        </w:tc>
        <w:tc>
          <w:tcPr>
            <w:tcW w:w="0" w:type="auto"/>
          </w:tcPr>
          <w:p w14:paraId="286B0E39" w14:textId="77777777" w:rsidR="005A5FB2" w:rsidRPr="005A5FB2" w:rsidRDefault="005A5FB2" w:rsidP="00730CCB">
            <w:pPr>
              <w:jc w:val="left"/>
            </w:pPr>
            <w:r w:rsidRPr="005A5FB2">
              <w:t>HACCP, records, inspections, incident response</w:t>
            </w:r>
          </w:p>
        </w:tc>
      </w:tr>
      <w:tr w:rsidR="00295318" w:rsidRPr="0020591B" w14:paraId="62797A90" w14:textId="77777777" w:rsidTr="00A30342">
        <w:tc>
          <w:tcPr>
            <w:tcW w:w="0" w:type="auto"/>
          </w:tcPr>
          <w:p w14:paraId="5163353C" w14:textId="77777777" w:rsidR="005A5FB2" w:rsidRPr="005A5FB2" w:rsidRDefault="005A5FB2" w:rsidP="00730CCB">
            <w:pPr>
              <w:jc w:val="left"/>
            </w:pPr>
            <w:r w:rsidRPr="005A5FB2">
              <w:t>Digital &amp; Data Lead</w:t>
            </w:r>
          </w:p>
        </w:tc>
        <w:tc>
          <w:tcPr>
            <w:tcW w:w="0" w:type="auto"/>
          </w:tcPr>
          <w:p w14:paraId="65FE290B" w14:textId="77777777" w:rsidR="005A5FB2" w:rsidRPr="005A5FB2" w:rsidRDefault="005A5FB2" w:rsidP="00730CCB">
            <w:pPr>
              <w:jc w:val="left"/>
            </w:pPr>
            <w:r w:rsidRPr="005A5FB2">
              <w:t>App and web, coupon ledger, analytics</w:t>
            </w:r>
          </w:p>
        </w:tc>
      </w:tr>
      <w:tr w:rsidR="00295318" w:rsidRPr="0020591B" w14:paraId="7A283E94" w14:textId="77777777" w:rsidTr="00A30342">
        <w:tc>
          <w:tcPr>
            <w:tcW w:w="0" w:type="auto"/>
          </w:tcPr>
          <w:p w14:paraId="695FD1E8" w14:textId="77777777" w:rsidR="005A5FB2" w:rsidRPr="005A5FB2" w:rsidRDefault="005A5FB2" w:rsidP="00730CCB">
            <w:pPr>
              <w:jc w:val="left"/>
            </w:pPr>
            <w:r w:rsidRPr="005A5FB2">
              <w:t>Customer Care &amp; IVR Lead</w:t>
            </w:r>
          </w:p>
        </w:tc>
        <w:tc>
          <w:tcPr>
            <w:tcW w:w="0" w:type="auto"/>
          </w:tcPr>
          <w:p w14:paraId="1C04AB31" w14:textId="77777777" w:rsidR="005A5FB2" w:rsidRPr="005A5FB2" w:rsidRDefault="005A5FB2" w:rsidP="00730CCB">
            <w:pPr>
              <w:jc w:val="left"/>
            </w:pPr>
            <w:r w:rsidRPr="005A5FB2">
              <w:t>Phone/IVR scripts, SMS repeat flows, refunds</w:t>
            </w:r>
          </w:p>
        </w:tc>
      </w:tr>
      <w:tr w:rsidR="00295318" w:rsidRPr="0020591B" w14:paraId="444E4DE2" w14:textId="77777777" w:rsidTr="00A30342">
        <w:tc>
          <w:tcPr>
            <w:tcW w:w="0" w:type="auto"/>
          </w:tcPr>
          <w:p w14:paraId="74F5B46A" w14:textId="77777777" w:rsidR="005A5FB2" w:rsidRPr="005A5FB2" w:rsidRDefault="005A5FB2" w:rsidP="00730CCB">
            <w:pPr>
              <w:jc w:val="left"/>
            </w:pPr>
            <w:r w:rsidRPr="005A5FB2">
              <w:t>Finance &amp; Admin</w:t>
            </w:r>
          </w:p>
        </w:tc>
        <w:tc>
          <w:tcPr>
            <w:tcW w:w="0" w:type="auto"/>
          </w:tcPr>
          <w:p w14:paraId="11174211" w14:textId="77777777" w:rsidR="005A5FB2" w:rsidRPr="005A5FB2" w:rsidRDefault="005A5FB2" w:rsidP="00730CCB">
            <w:pPr>
              <w:jc w:val="left"/>
            </w:pPr>
            <w:r w:rsidRPr="005A5FB2">
              <w:t>Payables, payroll, filings, insurance</w:t>
            </w:r>
          </w:p>
        </w:tc>
      </w:tr>
    </w:tbl>
    <w:p w14:paraId="4D1DE252" w14:textId="77777777" w:rsidR="005A5FB2" w:rsidRPr="0020591B" w:rsidRDefault="005A5FB2" w:rsidP="00FA10AB"/>
    <w:p w14:paraId="7113896A" w14:textId="77777777" w:rsidR="005A5FB2" w:rsidRPr="0020591B" w:rsidRDefault="005A5FB2" w:rsidP="00FA10AB"/>
    <w:p w14:paraId="2A3C0C80" w14:textId="77777777" w:rsidR="005A5FB2" w:rsidRPr="0020591B" w:rsidRDefault="005A5FB2" w:rsidP="00FA10AB"/>
    <w:p w14:paraId="289AD308" w14:textId="5A9C44D9" w:rsidR="005A5FB2" w:rsidRPr="0020591B" w:rsidRDefault="005A5FB2">
      <w:pPr>
        <w:spacing w:before="0" w:after="160" w:line="278" w:lineRule="auto"/>
        <w:jc w:val="left"/>
      </w:pPr>
      <w:r w:rsidRPr="0020591B">
        <w:br w:type="page"/>
      </w:r>
    </w:p>
    <w:p w14:paraId="332B7176" w14:textId="77777777" w:rsidR="005A5FB2" w:rsidRPr="00F5510B" w:rsidRDefault="005A5FB2" w:rsidP="005A5FB2">
      <w:r w:rsidRPr="00F5510B">
        <w:rPr>
          <w:b/>
          <w:bCs/>
        </w:rPr>
        <w:t>Table B: Indicative start-up budget (ex-VAT)</w:t>
      </w:r>
    </w:p>
    <w:tbl>
      <w:tblPr>
        <w:tblStyle w:val="TableGrid"/>
        <w:tblW w:w="0" w:type="auto"/>
        <w:tblLook w:val="04A0" w:firstRow="1" w:lastRow="0" w:firstColumn="1" w:lastColumn="0" w:noHBand="0" w:noVBand="1"/>
      </w:tblPr>
      <w:tblGrid>
        <w:gridCol w:w="6100"/>
        <w:gridCol w:w="1396"/>
      </w:tblGrid>
      <w:tr w:rsidR="00295318" w:rsidRPr="0020591B" w14:paraId="08B66F44" w14:textId="77777777" w:rsidTr="00A30342">
        <w:tc>
          <w:tcPr>
            <w:tcW w:w="0" w:type="auto"/>
          </w:tcPr>
          <w:p w14:paraId="2A055953" w14:textId="77777777" w:rsidR="005A5FB2" w:rsidRPr="0020591B" w:rsidRDefault="005A5FB2" w:rsidP="00A30342">
            <w:r w:rsidRPr="0020591B">
              <w:t>Item</w:t>
            </w:r>
          </w:p>
        </w:tc>
        <w:tc>
          <w:tcPr>
            <w:tcW w:w="0" w:type="auto"/>
          </w:tcPr>
          <w:p w14:paraId="2A408837" w14:textId="77777777" w:rsidR="005A5FB2" w:rsidRPr="0020591B" w:rsidRDefault="005A5FB2" w:rsidP="00A30342">
            <w:r w:rsidRPr="0020591B">
              <w:t>Estimate (£)</w:t>
            </w:r>
          </w:p>
        </w:tc>
      </w:tr>
      <w:tr w:rsidR="00295318" w:rsidRPr="0020591B" w14:paraId="6ECE8DE3" w14:textId="77777777" w:rsidTr="00A30342">
        <w:tc>
          <w:tcPr>
            <w:tcW w:w="0" w:type="auto"/>
          </w:tcPr>
          <w:p w14:paraId="59D7298A" w14:textId="77777777" w:rsidR="005A5FB2" w:rsidRPr="0020591B" w:rsidRDefault="005A5FB2" w:rsidP="00A30342">
            <w:r w:rsidRPr="0020591B">
              <w:t>Main vegetarian kitchen fit-out &amp; equipment</w:t>
            </w:r>
          </w:p>
        </w:tc>
        <w:tc>
          <w:tcPr>
            <w:tcW w:w="0" w:type="auto"/>
          </w:tcPr>
          <w:p w14:paraId="2E6188EC" w14:textId="77777777" w:rsidR="005A5FB2" w:rsidRPr="0020591B" w:rsidRDefault="005A5FB2" w:rsidP="00A30342">
            <w:pPr>
              <w:jc w:val="right"/>
            </w:pPr>
            <w:r w:rsidRPr="0020591B">
              <w:t>60,000</w:t>
            </w:r>
          </w:p>
        </w:tc>
      </w:tr>
      <w:tr w:rsidR="00295318" w:rsidRPr="0020591B" w14:paraId="4CB6015C" w14:textId="77777777" w:rsidTr="00A30342">
        <w:tc>
          <w:tcPr>
            <w:tcW w:w="0" w:type="auto"/>
          </w:tcPr>
          <w:p w14:paraId="05263A99" w14:textId="77777777" w:rsidR="005A5FB2" w:rsidRPr="0020591B" w:rsidRDefault="005A5FB2" w:rsidP="00A30342">
            <w:r w:rsidRPr="0020591B">
              <w:t>Free-from+Vegan dedicated kitchen fit-out &amp; equipment</w:t>
            </w:r>
          </w:p>
        </w:tc>
        <w:tc>
          <w:tcPr>
            <w:tcW w:w="0" w:type="auto"/>
          </w:tcPr>
          <w:p w14:paraId="26A2C03F" w14:textId="77777777" w:rsidR="005A5FB2" w:rsidRPr="0020591B" w:rsidRDefault="005A5FB2" w:rsidP="00A30342">
            <w:pPr>
              <w:jc w:val="right"/>
            </w:pPr>
            <w:r w:rsidRPr="0020591B">
              <w:t>60,000</w:t>
            </w:r>
          </w:p>
        </w:tc>
      </w:tr>
      <w:tr w:rsidR="00295318" w:rsidRPr="0020591B" w14:paraId="012797E4" w14:textId="77777777" w:rsidTr="00A30342">
        <w:tc>
          <w:tcPr>
            <w:tcW w:w="0" w:type="auto"/>
          </w:tcPr>
          <w:p w14:paraId="7D5F0368" w14:textId="77777777" w:rsidR="005A5FB2" w:rsidRPr="0020591B" w:rsidRDefault="005A5FB2" w:rsidP="00A30342">
            <w:r w:rsidRPr="0020591B">
              <w:t>Meat finishing station equipment</w:t>
            </w:r>
          </w:p>
        </w:tc>
        <w:tc>
          <w:tcPr>
            <w:tcW w:w="0" w:type="auto"/>
          </w:tcPr>
          <w:p w14:paraId="41129695" w14:textId="77777777" w:rsidR="005A5FB2" w:rsidRPr="0020591B" w:rsidRDefault="005A5FB2" w:rsidP="00A30342">
            <w:pPr>
              <w:jc w:val="right"/>
            </w:pPr>
            <w:r w:rsidRPr="0020591B">
              <w:t>15,000</w:t>
            </w:r>
          </w:p>
        </w:tc>
      </w:tr>
      <w:tr w:rsidR="00295318" w:rsidRPr="0020591B" w14:paraId="43D16C91" w14:textId="77777777" w:rsidTr="00A30342">
        <w:tc>
          <w:tcPr>
            <w:tcW w:w="0" w:type="auto"/>
          </w:tcPr>
          <w:p w14:paraId="66FABD6C" w14:textId="77777777" w:rsidR="005A5FB2" w:rsidRPr="0020591B" w:rsidRDefault="005A5FB2" w:rsidP="00A30342">
            <w:r w:rsidRPr="0020591B">
              <w:t>IT, app and integrations (ordering, coupon ledger, driver app)</w:t>
            </w:r>
          </w:p>
        </w:tc>
        <w:tc>
          <w:tcPr>
            <w:tcW w:w="0" w:type="auto"/>
          </w:tcPr>
          <w:p w14:paraId="3C41CFE6" w14:textId="77777777" w:rsidR="005A5FB2" w:rsidRPr="0020591B" w:rsidRDefault="005A5FB2" w:rsidP="00A30342">
            <w:pPr>
              <w:jc w:val="right"/>
            </w:pPr>
            <w:r w:rsidRPr="0020591B">
              <w:t>40,000</w:t>
            </w:r>
          </w:p>
        </w:tc>
      </w:tr>
      <w:tr w:rsidR="00295318" w:rsidRPr="0020591B" w14:paraId="1B271918" w14:textId="77777777" w:rsidTr="00A30342">
        <w:tc>
          <w:tcPr>
            <w:tcW w:w="0" w:type="auto"/>
          </w:tcPr>
          <w:p w14:paraId="543ED17D" w14:textId="77777777" w:rsidR="005A5FB2" w:rsidRPr="0020591B" w:rsidRDefault="005A5FB2" w:rsidP="00A30342">
            <w:r w:rsidRPr="0020591B">
              <w:t>Branding, menu design, launch marketing</w:t>
            </w:r>
          </w:p>
        </w:tc>
        <w:tc>
          <w:tcPr>
            <w:tcW w:w="0" w:type="auto"/>
          </w:tcPr>
          <w:p w14:paraId="08F787F3" w14:textId="77777777" w:rsidR="005A5FB2" w:rsidRPr="0020591B" w:rsidRDefault="005A5FB2" w:rsidP="00A30342">
            <w:pPr>
              <w:jc w:val="right"/>
            </w:pPr>
            <w:r w:rsidRPr="0020591B">
              <w:t>25,000</w:t>
            </w:r>
          </w:p>
        </w:tc>
      </w:tr>
      <w:tr w:rsidR="00295318" w:rsidRPr="0020591B" w14:paraId="678D54FD" w14:textId="77777777" w:rsidTr="00A30342">
        <w:tc>
          <w:tcPr>
            <w:tcW w:w="0" w:type="auto"/>
          </w:tcPr>
          <w:p w14:paraId="45FA80D0" w14:textId="77777777" w:rsidR="005A5FB2" w:rsidRPr="0020591B" w:rsidRDefault="005A5FB2" w:rsidP="00A30342">
            <w:r w:rsidRPr="0020591B">
              <w:t>Recruitment and training (qualified hires)</w:t>
            </w:r>
          </w:p>
        </w:tc>
        <w:tc>
          <w:tcPr>
            <w:tcW w:w="0" w:type="auto"/>
          </w:tcPr>
          <w:p w14:paraId="362C9643" w14:textId="77777777" w:rsidR="005A5FB2" w:rsidRPr="0020591B" w:rsidRDefault="005A5FB2" w:rsidP="00A30342">
            <w:pPr>
              <w:jc w:val="right"/>
            </w:pPr>
            <w:r w:rsidRPr="0020591B">
              <w:t>10,000</w:t>
            </w:r>
          </w:p>
        </w:tc>
      </w:tr>
      <w:tr w:rsidR="00295318" w:rsidRPr="0020591B" w14:paraId="2016F2D0" w14:textId="77777777" w:rsidTr="00A30342">
        <w:tc>
          <w:tcPr>
            <w:tcW w:w="0" w:type="auto"/>
          </w:tcPr>
          <w:p w14:paraId="34026725" w14:textId="77777777" w:rsidR="005A5FB2" w:rsidRPr="0020591B" w:rsidRDefault="005A5FB2" w:rsidP="00A30342">
            <w:r w:rsidRPr="0020591B">
              <w:t>Insurance, legal and compliance set-up</w:t>
            </w:r>
          </w:p>
        </w:tc>
        <w:tc>
          <w:tcPr>
            <w:tcW w:w="0" w:type="auto"/>
          </w:tcPr>
          <w:p w14:paraId="5B3BCC3C" w14:textId="77777777" w:rsidR="005A5FB2" w:rsidRPr="0020591B" w:rsidRDefault="005A5FB2" w:rsidP="00A30342">
            <w:pPr>
              <w:jc w:val="right"/>
            </w:pPr>
            <w:r w:rsidRPr="0020591B">
              <w:t>10,000</w:t>
            </w:r>
          </w:p>
        </w:tc>
      </w:tr>
      <w:tr w:rsidR="00295318" w:rsidRPr="0020591B" w14:paraId="3408E38E" w14:textId="77777777" w:rsidTr="00A30342">
        <w:tc>
          <w:tcPr>
            <w:tcW w:w="0" w:type="auto"/>
          </w:tcPr>
          <w:p w14:paraId="2B6DE750" w14:textId="77777777" w:rsidR="005A5FB2" w:rsidRPr="0020591B" w:rsidRDefault="005A5FB2" w:rsidP="00A30342">
            <w:r w:rsidRPr="0020591B">
              <w:t>Reusable tins and scanning (see Table C)</w:t>
            </w:r>
          </w:p>
        </w:tc>
        <w:tc>
          <w:tcPr>
            <w:tcW w:w="0" w:type="auto"/>
          </w:tcPr>
          <w:p w14:paraId="324FA20F" w14:textId="77777777" w:rsidR="005A5FB2" w:rsidRPr="0020591B" w:rsidRDefault="005A5FB2" w:rsidP="00A30342">
            <w:pPr>
              <w:jc w:val="right"/>
            </w:pPr>
            <w:r w:rsidRPr="0020591B">
              <w:t>4,000</w:t>
            </w:r>
          </w:p>
        </w:tc>
      </w:tr>
      <w:tr w:rsidR="00295318" w:rsidRPr="0020591B" w14:paraId="21D00177" w14:textId="77777777" w:rsidTr="00A30342">
        <w:tc>
          <w:tcPr>
            <w:tcW w:w="0" w:type="auto"/>
          </w:tcPr>
          <w:p w14:paraId="540E8AB6" w14:textId="77777777" w:rsidR="005A5FB2" w:rsidRPr="0020591B" w:rsidRDefault="005A5FB2" w:rsidP="00A30342">
            <w:r w:rsidRPr="0020591B">
              <w:t>Working capital (initial inventory, wages, delivery floats)</w:t>
            </w:r>
          </w:p>
        </w:tc>
        <w:tc>
          <w:tcPr>
            <w:tcW w:w="0" w:type="auto"/>
          </w:tcPr>
          <w:p w14:paraId="4CEC56F0" w14:textId="77777777" w:rsidR="005A5FB2" w:rsidRPr="0020591B" w:rsidRDefault="005A5FB2" w:rsidP="00A30342">
            <w:pPr>
              <w:jc w:val="right"/>
            </w:pPr>
            <w:r w:rsidRPr="0020591B">
              <w:t>30,000</w:t>
            </w:r>
          </w:p>
        </w:tc>
      </w:tr>
      <w:tr w:rsidR="00295318" w:rsidRPr="0020591B" w14:paraId="6CCB4A09" w14:textId="77777777" w:rsidTr="00A30342">
        <w:tc>
          <w:tcPr>
            <w:tcW w:w="0" w:type="auto"/>
          </w:tcPr>
          <w:p w14:paraId="43D5089F" w14:textId="77777777" w:rsidR="005A5FB2" w:rsidRPr="0020591B" w:rsidRDefault="005A5FB2" w:rsidP="00A30342">
            <w:r w:rsidRPr="0020591B">
              <w:t>Contingency (10% of subtotal)</w:t>
            </w:r>
          </w:p>
        </w:tc>
        <w:tc>
          <w:tcPr>
            <w:tcW w:w="0" w:type="auto"/>
          </w:tcPr>
          <w:p w14:paraId="5EB8A629" w14:textId="77777777" w:rsidR="005A5FB2" w:rsidRPr="0020591B" w:rsidRDefault="005A5FB2" w:rsidP="00A30342">
            <w:pPr>
              <w:jc w:val="right"/>
            </w:pPr>
            <w:r w:rsidRPr="0020591B">
              <w:t>25,400</w:t>
            </w:r>
          </w:p>
        </w:tc>
      </w:tr>
      <w:tr w:rsidR="00295318" w:rsidRPr="0020591B" w14:paraId="625713B6" w14:textId="77777777" w:rsidTr="00A30342">
        <w:tc>
          <w:tcPr>
            <w:tcW w:w="0" w:type="auto"/>
          </w:tcPr>
          <w:p w14:paraId="4DE41EA0" w14:textId="77777777" w:rsidR="005A5FB2" w:rsidRPr="0020591B" w:rsidRDefault="005A5FB2" w:rsidP="00A30342">
            <w:r w:rsidRPr="0020591B">
              <w:t>Total</w:t>
            </w:r>
          </w:p>
        </w:tc>
        <w:tc>
          <w:tcPr>
            <w:tcW w:w="0" w:type="auto"/>
          </w:tcPr>
          <w:p w14:paraId="4377B492" w14:textId="77777777" w:rsidR="005A5FB2" w:rsidRPr="0020591B" w:rsidRDefault="005A5FB2" w:rsidP="00A30342">
            <w:pPr>
              <w:jc w:val="right"/>
            </w:pPr>
            <w:r w:rsidRPr="0020591B">
              <w:t>279,400</w:t>
            </w:r>
          </w:p>
        </w:tc>
      </w:tr>
    </w:tbl>
    <w:p w14:paraId="21443C86" w14:textId="77777777" w:rsidR="005A5FB2" w:rsidRPr="0020591B" w:rsidRDefault="005A5FB2" w:rsidP="00FA10AB"/>
    <w:p w14:paraId="27C21195" w14:textId="77777777" w:rsidR="005A5FB2" w:rsidRPr="0020591B" w:rsidRDefault="005A5FB2" w:rsidP="005A5FB2">
      <w:pPr>
        <w:rPr>
          <w:b/>
          <w:bCs/>
        </w:rPr>
      </w:pPr>
      <w:r w:rsidRPr="0020591B">
        <w:rPr>
          <w:b/>
          <w:bCs/>
        </w:rPr>
        <w:t>Table C: Tins calculation and sensitivity (3,000 pieces)</w:t>
      </w:r>
    </w:p>
    <w:tbl>
      <w:tblPr>
        <w:tblStyle w:val="TableGrid"/>
        <w:tblW w:w="0" w:type="auto"/>
        <w:tblLook w:val="04A0" w:firstRow="1" w:lastRow="0" w:firstColumn="1" w:lastColumn="0" w:noHBand="0" w:noVBand="1"/>
      </w:tblPr>
      <w:tblGrid>
        <w:gridCol w:w="3509"/>
        <w:gridCol w:w="3407"/>
      </w:tblGrid>
      <w:tr w:rsidR="00295318" w:rsidRPr="0020591B" w14:paraId="217AA60F" w14:textId="77777777" w:rsidTr="00A30342">
        <w:tc>
          <w:tcPr>
            <w:tcW w:w="0" w:type="auto"/>
          </w:tcPr>
          <w:p w14:paraId="460E154D" w14:textId="77777777" w:rsidR="005A5FB2" w:rsidRPr="0020591B" w:rsidRDefault="005A5FB2" w:rsidP="00A30342">
            <w:r w:rsidRPr="0020591B">
              <w:t>Assumption</w:t>
            </w:r>
          </w:p>
        </w:tc>
        <w:tc>
          <w:tcPr>
            <w:tcW w:w="0" w:type="auto"/>
          </w:tcPr>
          <w:p w14:paraId="2553F8C0" w14:textId="77777777" w:rsidR="005A5FB2" w:rsidRPr="0020591B" w:rsidRDefault="005A5FB2" w:rsidP="00A30342">
            <w:r w:rsidRPr="0020591B">
              <w:t>Value</w:t>
            </w:r>
          </w:p>
        </w:tc>
      </w:tr>
      <w:tr w:rsidR="00295318" w:rsidRPr="0020591B" w14:paraId="3EB47A2D" w14:textId="77777777" w:rsidTr="00A30342">
        <w:tc>
          <w:tcPr>
            <w:tcW w:w="0" w:type="auto"/>
          </w:tcPr>
          <w:p w14:paraId="79414BC9" w14:textId="77777777" w:rsidR="005A5FB2" w:rsidRPr="0020591B" w:rsidRDefault="005A5FB2" w:rsidP="00A30342">
            <w:r w:rsidRPr="0020591B">
              <w:t>Tin inventory</w:t>
            </w:r>
          </w:p>
        </w:tc>
        <w:tc>
          <w:tcPr>
            <w:tcW w:w="0" w:type="auto"/>
          </w:tcPr>
          <w:p w14:paraId="59056304" w14:textId="77777777" w:rsidR="005A5FB2" w:rsidRPr="0020591B" w:rsidRDefault="005A5FB2" w:rsidP="00A30342">
            <w:pPr>
              <w:jc w:val="right"/>
            </w:pPr>
            <w:r w:rsidRPr="0020591B">
              <w:t>3,000 units</w:t>
            </w:r>
          </w:p>
        </w:tc>
      </w:tr>
      <w:tr w:rsidR="00295318" w:rsidRPr="0020591B" w14:paraId="5DC1520D" w14:textId="77777777" w:rsidTr="00A30342">
        <w:tc>
          <w:tcPr>
            <w:tcW w:w="0" w:type="auto"/>
          </w:tcPr>
          <w:p w14:paraId="2CBFF581" w14:textId="77777777" w:rsidR="005A5FB2" w:rsidRPr="0020591B" w:rsidRDefault="005A5FB2" w:rsidP="00A30342">
            <w:r w:rsidRPr="0020591B">
              <w:t>Unit cost ceiling range</w:t>
            </w:r>
          </w:p>
        </w:tc>
        <w:tc>
          <w:tcPr>
            <w:tcW w:w="0" w:type="auto"/>
          </w:tcPr>
          <w:p w14:paraId="5B3A1194" w14:textId="4E88CE04" w:rsidR="005A5FB2" w:rsidRPr="0020591B" w:rsidRDefault="005A5FB2" w:rsidP="00A30342">
            <w:pPr>
              <w:jc w:val="right"/>
            </w:pPr>
            <w:r w:rsidRPr="0020591B">
              <w:t>£0.20</w:t>
            </w:r>
            <w:r w:rsidR="00730CCB" w:rsidRPr="0020591B">
              <w:t>-</w:t>
            </w:r>
            <w:r w:rsidRPr="0020591B">
              <w:t>£1.00 per tin</w:t>
            </w:r>
          </w:p>
        </w:tc>
      </w:tr>
      <w:tr w:rsidR="00295318" w:rsidRPr="0020591B" w14:paraId="4BF47A50" w14:textId="77777777" w:rsidTr="00A30342">
        <w:tc>
          <w:tcPr>
            <w:tcW w:w="0" w:type="auto"/>
          </w:tcPr>
          <w:p w14:paraId="5C759D27" w14:textId="77777777" w:rsidR="005A5FB2" w:rsidRPr="0020591B" w:rsidRDefault="005A5FB2" w:rsidP="00A30342">
            <w:r w:rsidRPr="0020591B">
              <w:t>QR label &amp; misc per tin</w:t>
            </w:r>
          </w:p>
        </w:tc>
        <w:tc>
          <w:tcPr>
            <w:tcW w:w="0" w:type="auto"/>
          </w:tcPr>
          <w:p w14:paraId="271AD89B" w14:textId="7598BD41" w:rsidR="005A5FB2" w:rsidRPr="0020591B" w:rsidRDefault="005A5FB2" w:rsidP="00A30342">
            <w:pPr>
              <w:jc w:val="right"/>
            </w:pPr>
            <w:r w:rsidRPr="0020591B">
              <w:t>£0.10</w:t>
            </w:r>
          </w:p>
        </w:tc>
      </w:tr>
      <w:tr w:rsidR="00295318" w:rsidRPr="0020591B" w14:paraId="19D11829" w14:textId="77777777" w:rsidTr="00A30342">
        <w:tc>
          <w:tcPr>
            <w:tcW w:w="0" w:type="auto"/>
          </w:tcPr>
          <w:p w14:paraId="7D053E41" w14:textId="77777777" w:rsidR="005A5FB2" w:rsidRPr="0020591B" w:rsidRDefault="005A5FB2" w:rsidP="00A30342">
            <w:r w:rsidRPr="0020591B">
              <w:t>Total at £0.20</w:t>
            </w:r>
          </w:p>
        </w:tc>
        <w:tc>
          <w:tcPr>
            <w:tcW w:w="0" w:type="auto"/>
          </w:tcPr>
          <w:p w14:paraId="4D3232BB" w14:textId="77777777" w:rsidR="005A5FB2" w:rsidRPr="0020591B" w:rsidRDefault="005A5FB2" w:rsidP="00A30342">
            <w:pPr>
              <w:jc w:val="right"/>
            </w:pPr>
            <w:r w:rsidRPr="0020591B">
              <w:t>3,000 * (£0.20 + £0.10) = £900</w:t>
            </w:r>
          </w:p>
        </w:tc>
      </w:tr>
      <w:tr w:rsidR="00295318" w:rsidRPr="0020591B" w14:paraId="76534365" w14:textId="77777777" w:rsidTr="00A30342">
        <w:tc>
          <w:tcPr>
            <w:tcW w:w="0" w:type="auto"/>
          </w:tcPr>
          <w:p w14:paraId="0598A9C6" w14:textId="77777777" w:rsidR="005A5FB2" w:rsidRPr="0020591B" w:rsidRDefault="005A5FB2" w:rsidP="00A30342">
            <w:r w:rsidRPr="0020591B">
              <w:t>Total at £0.50</w:t>
            </w:r>
          </w:p>
        </w:tc>
        <w:tc>
          <w:tcPr>
            <w:tcW w:w="0" w:type="auto"/>
          </w:tcPr>
          <w:p w14:paraId="4CB5D257" w14:textId="77777777" w:rsidR="005A5FB2" w:rsidRPr="0020591B" w:rsidRDefault="005A5FB2" w:rsidP="00A30342">
            <w:pPr>
              <w:jc w:val="right"/>
            </w:pPr>
            <w:r w:rsidRPr="0020591B">
              <w:t>3,000 * (£0.50 + £0.10) = £1,800</w:t>
            </w:r>
          </w:p>
        </w:tc>
      </w:tr>
      <w:tr w:rsidR="00295318" w:rsidRPr="0020591B" w14:paraId="349EDA2F" w14:textId="77777777" w:rsidTr="00A30342">
        <w:tc>
          <w:tcPr>
            <w:tcW w:w="0" w:type="auto"/>
          </w:tcPr>
          <w:p w14:paraId="734D7A31" w14:textId="77777777" w:rsidR="005A5FB2" w:rsidRPr="0020591B" w:rsidRDefault="005A5FB2" w:rsidP="00A30342">
            <w:r w:rsidRPr="0020591B">
              <w:t>Total at £1.00</w:t>
            </w:r>
          </w:p>
        </w:tc>
        <w:tc>
          <w:tcPr>
            <w:tcW w:w="0" w:type="auto"/>
          </w:tcPr>
          <w:p w14:paraId="7E55976B" w14:textId="77777777" w:rsidR="005A5FB2" w:rsidRPr="0020591B" w:rsidRDefault="005A5FB2" w:rsidP="00A30342">
            <w:pPr>
              <w:jc w:val="right"/>
            </w:pPr>
            <w:r w:rsidRPr="0020591B">
              <w:t>3,000 * (£1.00 + £0.10) = £3,300</w:t>
            </w:r>
          </w:p>
        </w:tc>
      </w:tr>
      <w:tr w:rsidR="00295318" w:rsidRPr="0020591B" w14:paraId="1A0C9719" w14:textId="77777777" w:rsidTr="00A30342">
        <w:tc>
          <w:tcPr>
            <w:tcW w:w="0" w:type="auto"/>
          </w:tcPr>
          <w:p w14:paraId="4D250FB8" w14:textId="77777777" w:rsidR="005A5FB2" w:rsidRPr="0020591B" w:rsidRDefault="005A5FB2" w:rsidP="00A30342">
            <w:r w:rsidRPr="0020591B">
              <w:t>Scanner &amp; small spares allowance</w:t>
            </w:r>
          </w:p>
        </w:tc>
        <w:tc>
          <w:tcPr>
            <w:tcW w:w="0" w:type="auto"/>
          </w:tcPr>
          <w:p w14:paraId="21D8ED19" w14:textId="77777777" w:rsidR="005A5FB2" w:rsidRPr="0020591B" w:rsidRDefault="005A5FB2" w:rsidP="00A30342">
            <w:pPr>
              <w:jc w:val="right"/>
            </w:pPr>
            <w:r w:rsidRPr="0020591B">
              <w:t>£700</w:t>
            </w:r>
          </w:p>
        </w:tc>
      </w:tr>
      <w:tr w:rsidR="00295318" w:rsidRPr="0020591B" w14:paraId="5C38ECB1" w14:textId="77777777" w:rsidTr="00A30342">
        <w:tc>
          <w:tcPr>
            <w:tcW w:w="0" w:type="auto"/>
          </w:tcPr>
          <w:p w14:paraId="700D6AB4" w14:textId="77777777" w:rsidR="005A5FB2" w:rsidRPr="0020591B" w:rsidRDefault="005A5FB2" w:rsidP="00A30342">
            <w:r w:rsidRPr="0020591B">
              <w:t>Budget line used in Table 1</w:t>
            </w:r>
          </w:p>
        </w:tc>
        <w:tc>
          <w:tcPr>
            <w:tcW w:w="0" w:type="auto"/>
          </w:tcPr>
          <w:p w14:paraId="4DC36650" w14:textId="77777777" w:rsidR="005A5FB2" w:rsidRPr="0020591B" w:rsidRDefault="005A5FB2" w:rsidP="00A30342">
            <w:pPr>
              <w:jc w:val="right"/>
            </w:pPr>
            <w:r w:rsidRPr="0020591B">
              <w:t>£4,000</w:t>
            </w:r>
          </w:p>
        </w:tc>
      </w:tr>
    </w:tbl>
    <w:p w14:paraId="69EB6422" w14:textId="77777777" w:rsidR="005A5FB2" w:rsidRPr="00295318" w:rsidRDefault="005A5FB2" w:rsidP="00730CCB">
      <w:pPr>
        <w:rPr>
          <w:lang w:val="hu-HU"/>
        </w:rPr>
      </w:pPr>
    </w:p>
    <w:sectPr w:rsidR="005A5FB2" w:rsidRPr="00295318" w:rsidSect="00165858">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0F9DB" w14:textId="77777777" w:rsidR="00B93E67" w:rsidRPr="0020591B" w:rsidRDefault="00B93E67" w:rsidP="00165858">
      <w:pPr>
        <w:spacing w:before="0" w:line="240" w:lineRule="auto"/>
      </w:pPr>
      <w:r w:rsidRPr="0020591B">
        <w:separator/>
      </w:r>
    </w:p>
  </w:endnote>
  <w:endnote w:type="continuationSeparator" w:id="0">
    <w:p w14:paraId="09C0797E" w14:textId="77777777" w:rsidR="00B93E67" w:rsidRPr="0020591B" w:rsidRDefault="00B93E67" w:rsidP="00165858">
      <w:pPr>
        <w:spacing w:before="0" w:line="240" w:lineRule="auto"/>
      </w:pPr>
      <w:r w:rsidRPr="0020591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2781138"/>
      <w:docPartObj>
        <w:docPartGallery w:val="Page Numbers (Bottom of Page)"/>
        <w:docPartUnique/>
      </w:docPartObj>
    </w:sdtPr>
    <w:sdtEndPr/>
    <w:sdtContent>
      <w:p w14:paraId="3536CBDB" w14:textId="4C92367C" w:rsidR="00165858" w:rsidRPr="0020591B" w:rsidRDefault="00165858" w:rsidP="00165858">
        <w:pPr>
          <w:pStyle w:val="Footer"/>
          <w:jc w:val="right"/>
        </w:pPr>
        <w:r w:rsidRPr="0020591B">
          <w:fldChar w:fldCharType="begin"/>
        </w:r>
        <w:r w:rsidRPr="0020591B">
          <w:instrText>PAGE   \* MERGEFORMAT</w:instrText>
        </w:r>
        <w:r w:rsidRPr="0020591B">
          <w:fldChar w:fldCharType="separate"/>
        </w:r>
        <w:r w:rsidRPr="0020591B">
          <w:t>2</w:t>
        </w:r>
        <w:r w:rsidRPr="0020591B">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C47BF" w14:textId="77777777" w:rsidR="00B93E67" w:rsidRPr="0020591B" w:rsidRDefault="00B93E67" w:rsidP="00165858">
      <w:pPr>
        <w:spacing w:before="0" w:line="240" w:lineRule="auto"/>
      </w:pPr>
      <w:r w:rsidRPr="0020591B">
        <w:separator/>
      </w:r>
    </w:p>
  </w:footnote>
  <w:footnote w:type="continuationSeparator" w:id="0">
    <w:p w14:paraId="405C90EC" w14:textId="77777777" w:rsidR="00B93E67" w:rsidRPr="0020591B" w:rsidRDefault="00B93E67" w:rsidP="00165858">
      <w:pPr>
        <w:spacing w:before="0" w:line="240" w:lineRule="auto"/>
      </w:pPr>
      <w:r w:rsidRPr="0020591B">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10AB"/>
    <w:rsid w:val="00006796"/>
    <w:rsid w:val="00006D86"/>
    <w:rsid w:val="00013304"/>
    <w:rsid w:val="00025C4E"/>
    <w:rsid w:val="000D3CBA"/>
    <w:rsid w:val="0010345C"/>
    <w:rsid w:val="00106CF2"/>
    <w:rsid w:val="00150E97"/>
    <w:rsid w:val="001529DB"/>
    <w:rsid w:val="0016404F"/>
    <w:rsid w:val="00165858"/>
    <w:rsid w:val="0017697E"/>
    <w:rsid w:val="001B02FD"/>
    <w:rsid w:val="001B0F6F"/>
    <w:rsid w:val="001C41F6"/>
    <w:rsid w:val="001C546D"/>
    <w:rsid w:val="001C7B17"/>
    <w:rsid w:val="001D3BA0"/>
    <w:rsid w:val="001E26A2"/>
    <w:rsid w:val="001F372A"/>
    <w:rsid w:val="002030B8"/>
    <w:rsid w:val="0020591B"/>
    <w:rsid w:val="0021404D"/>
    <w:rsid w:val="00217677"/>
    <w:rsid w:val="0023201A"/>
    <w:rsid w:val="00246001"/>
    <w:rsid w:val="0026159E"/>
    <w:rsid w:val="00295318"/>
    <w:rsid w:val="002A09D4"/>
    <w:rsid w:val="002E673C"/>
    <w:rsid w:val="002F5EC0"/>
    <w:rsid w:val="00300298"/>
    <w:rsid w:val="00365701"/>
    <w:rsid w:val="00367E94"/>
    <w:rsid w:val="003924D1"/>
    <w:rsid w:val="003B0287"/>
    <w:rsid w:val="003B6DCC"/>
    <w:rsid w:val="003D2185"/>
    <w:rsid w:val="003E04EB"/>
    <w:rsid w:val="00400005"/>
    <w:rsid w:val="00400E23"/>
    <w:rsid w:val="004658A7"/>
    <w:rsid w:val="00497C6D"/>
    <w:rsid w:val="004B1355"/>
    <w:rsid w:val="004C4664"/>
    <w:rsid w:val="004C5024"/>
    <w:rsid w:val="004F62F1"/>
    <w:rsid w:val="005020FB"/>
    <w:rsid w:val="005338B9"/>
    <w:rsid w:val="005525AE"/>
    <w:rsid w:val="00552B7A"/>
    <w:rsid w:val="00595D81"/>
    <w:rsid w:val="0059756A"/>
    <w:rsid w:val="005A5FB2"/>
    <w:rsid w:val="005B2029"/>
    <w:rsid w:val="005D3858"/>
    <w:rsid w:val="005F770C"/>
    <w:rsid w:val="006717D5"/>
    <w:rsid w:val="006A62C9"/>
    <w:rsid w:val="006E1730"/>
    <w:rsid w:val="007177A2"/>
    <w:rsid w:val="00726D43"/>
    <w:rsid w:val="00730CCB"/>
    <w:rsid w:val="00752E7F"/>
    <w:rsid w:val="007741A1"/>
    <w:rsid w:val="0079192F"/>
    <w:rsid w:val="007C7152"/>
    <w:rsid w:val="007D2CC9"/>
    <w:rsid w:val="007E6A47"/>
    <w:rsid w:val="007F7E0C"/>
    <w:rsid w:val="00853134"/>
    <w:rsid w:val="0086149B"/>
    <w:rsid w:val="008C3B65"/>
    <w:rsid w:val="008C4BA7"/>
    <w:rsid w:val="008E1E35"/>
    <w:rsid w:val="00925E16"/>
    <w:rsid w:val="00926765"/>
    <w:rsid w:val="0093655A"/>
    <w:rsid w:val="009416FE"/>
    <w:rsid w:val="00966071"/>
    <w:rsid w:val="009D27FE"/>
    <w:rsid w:val="009E077E"/>
    <w:rsid w:val="009E0DDB"/>
    <w:rsid w:val="00A00FD0"/>
    <w:rsid w:val="00A370CE"/>
    <w:rsid w:val="00A610C1"/>
    <w:rsid w:val="00B11470"/>
    <w:rsid w:val="00B41011"/>
    <w:rsid w:val="00B93E67"/>
    <w:rsid w:val="00BB30F5"/>
    <w:rsid w:val="00BB6B53"/>
    <w:rsid w:val="00BC3BA8"/>
    <w:rsid w:val="00BD2A54"/>
    <w:rsid w:val="00C23162"/>
    <w:rsid w:val="00C72FF6"/>
    <w:rsid w:val="00CD0C97"/>
    <w:rsid w:val="00DA52FF"/>
    <w:rsid w:val="00DC2119"/>
    <w:rsid w:val="00E014D9"/>
    <w:rsid w:val="00E10BAE"/>
    <w:rsid w:val="00E366A9"/>
    <w:rsid w:val="00F5510B"/>
    <w:rsid w:val="00F953DA"/>
    <w:rsid w:val="00FA10AB"/>
    <w:rsid w:val="00FA37CF"/>
    <w:rsid w:val="00FC487A"/>
    <w:rsid w:val="00FD6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5E7A72"/>
  <w15:chartTrackingRefBased/>
  <w15:docId w15:val="{BC65932D-6AE7-421E-B3A2-0C0F53F94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5FB2"/>
    <w:pPr>
      <w:spacing w:before="120" w:after="0" w:line="360" w:lineRule="auto"/>
      <w:jc w:val="both"/>
    </w:pPr>
    <w:rPr>
      <w:rFonts w:ascii="Times New Roman" w:hAnsi="Times New Roman" w:cs="Times New Roman"/>
      <w:noProof/>
    </w:rPr>
  </w:style>
  <w:style w:type="paragraph" w:styleId="Heading1">
    <w:name w:val="heading 1"/>
    <w:basedOn w:val="Normal"/>
    <w:next w:val="Normal"/>
    <w:link w:val="Heading1Char"/>
    <w:uiPriority w:val="9"/>
    <w:qFormat/>
    <w:rsid w:val="00FA10AB"/>
    <w:pPr>
      <w:outlineLvl w:val="0"/>
    </w:pPr>
    <w:rPr>
      <w:b/>
      <w:bCs/>
      <w:sz w:val="36"/>
      <w:szCs w:val="36"/>
    </w:rPr>
  </w:style>
  <w:style w:type="paragraph" w:styleId="Heading2">
    <w:name w:val="heading 2"/>
    <w:basedOn w:val="Heading1"/>
    <w:next w:val="Normal"/>
    <w:link w:val="Heading2Char"/>
    <w:uiPriority w:val="9"/>
    <w:unhideWhenUsed/>
    <w:qFormat/>
    <w:rsid w:val="00FA10AB"/>
    <w:pPr>
      <w:outlineLvl w:val="1"/>
    </w:pPr>
    <w:rPr>
      <w:sz w:val="28"/>
      <w:szCs w:val="28"/>
    </w:rPr>
  </w:style>
  <w:style w:type="paragraph" w:styleId="Heading3">
    <w:name w:val="heading 3"/>
    <w:basedOn w:val="Normal"/>
    <w:next w:val="Normal"/>
    <w:link w:val="Heading3Char"/>
    <w:uiPriority w:val="9"/>
    <w:semiHidden/>
    <w:unhideWhenUsed/>
    <w:qFormat/>
    <w:rsid w:val="00FA10A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10A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A10A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A10AB"/>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A10AB"/>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A10AB"/>
    <w:pPr>
      <w:keepNext/>
      <w:keepLines/>
      <w:spacing w:before="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A10AB"/>
    <w:pPr>
      <w:keepNext/>
      <w:keepLines/>
      <w:spacing w:before="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10AB"/>
    <w:rPr>
      <w:rFonts w:ascii="Times New Roman" w:hAnsi="Times New Roman" w:cs="Times New Roman"/>
      <w:b/>
      <w:bCs/>
      <w:noProof/>
      <w:sz w:val="36"/>
      <w:szCs w:val="36"/>
    </w:rPr>
  </w:style>
  <w:style w:type="character" w:customStyle="1" w:styleId="Heading2Char">
    <w:name w:val="Heading 2 Char"/>
    <w:basedOn w:val="DefaultParagraphFont"/>
    <w:link w:val="Heading2"/>
    <w:uiPriority w:val="9"/>
    <w:rsid w:val="00FA10AB"/>
    <w:rPr>
      <w:rFonts w:ascii="Times New Roman" w:hAnsi="Times New Roman" w:cs="Times New Roman"/>
      <w:b/>
      <w:bCs/>
      <w:noProof/>
      <w:sz w:val="28"/>
      <w:szCs w:val="28"/>
    </w:rPr>
  </w:style>
  <w:style w:type="character" w:customStyle="1" w:styleId="Heading3Char">
    <w:name w:val="Heading 3 Char"/>
    <w:basedOn w:val="DefaultParagraphFont"/>
    <w:link w:val="Heading3"/>
    <w:uiPriority w:val="9"/>
    <w:semiHidden/>
    <w:rsid w:val="00FA10AB"/>
    <w:rPr>
      <w:rFonts w:eastAsiaTheme="majorEastAsia" w:cstheme="majorBidi"/>
      <w:noProof/>
      <w:color w:val="0F4761" w:themeColor="accent1" w:themeShade="BF"/>
      <w:sz w:val="28"/>
      <w:szCs w:val="28"/>
    </w:rPr>
  </w:style>
  <w:style w:type="character" w:customStyle="1" w:styleId="Heading4Char">
    <w:name w:val="Heading 4 Char"/>
    <w:basedOn w:val="DefaultParagraphFont"/>
    <w:link w:val="Heading4"/>
    <w:uiPriority w:val="9"/>
    <w:semiHidden/>
    <w:rsid w:val="00FA10AB"/>
    <w:rPr>
      <w:rFonts w:eastAsiaTheme="majorEastAsia" w:cstheme="majorBidi"/>
      <w:i/>
      <w:iCs/>
      <w:noProof/>
      <w:color w:val="0F4761" w:themeColor="accent1" w:themeShade="BF"/>
    </w:rPr>
  </w:style>
  <w:style w:type="character" w:customStyle="1" w:styleId="Heading5Char">
    <w:name w:val="Heading 5 Char"/>
    <w:basedOn w:val="DefaultParagraphFont"/>
    <w:link w:val="Heading5"/>
    <w:uiPriority w:val="9"/>
    <w:semiHidden/>
    <w:rsid w:val="00FA10AB"/>
    <w:rPr>
      <w:rFonts w:eastAsiaTheme="majorEastAsia" w:cstheme="majorBidi"/>
      <w:noProof/>
      <w:color w:val="0F4761" w:themeColor="accent1" w:themeShade="BF"/>
    </w:rPr>
  </w:style>
  <w:style w:type="character" w:customStyle="1" w:styleId="Heading6Char">
    <w:name w:val="Heading 6 Char"/>
    <w:basedOn w:val="DefaultParagraphFont"/>
    <w:link w:val="Heading6"/>
    <w:uiPriority w:val="9"/>
    <w:semiHidden/>
    <w:rsid w:val="00FA10AB"/>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FA10AB"/>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FA10AB"/>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FA10AB"/>
    <w:rPr>
      <w:rFonts w:eastAsiaTheme="majorEastAsia" w:cstheme="majorBidi"/>
      <w:noProof/>
      <w:color w:val="272727" w:themeColor="text1" w:themeTint="D8"/>
    </w:rPr>
  </w:style>
  <w:style w:type="paragraph" w:styleId="Title">
    <w:name w:val="Title"/>
    <w:basedOn w:val="Normal"/>
    <w:next w:val="Normal"/>
    <w:link w:val="TitleChar"/>
    <w:uiPriority w:val="10"/>
    <w:qFormat/>
    <w:rsid w:val="00FA10AB"/>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10AB"/>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FA10AB"/>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10AB"/>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FA10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A10AB"/>
    <w:rPr>
      <w:rFonts w:ascii="Times New Roman" w:hAnsi="Times New Roman" w:cs="Times New Roman"/>
      <w:i/>
      <w:iCs/>
      <w:noProof/>
      <w:color w:val="404040" w:themeColor="text1" w:themeTint="BF"/>
    </w:rPr>
  </w:style>
  <w:style w:type="paragraph" w:styleId="ListParagraph">
    <w:name w:val="List Paragraph"/>
    <w:basedOn w:val="Normal"/>
    <w:uiPriority w:val="34"/>
    <w:qFormat/>
    <w:rsid w:val="00FA10AB"/>
    <w:pPr>
      <w:ind w:left="720"/>
      <w:contextualSpacing/>
    </w:pPr>
  </w:style>
  <w:style w:type="character" w:styleId="IntenseEmphasis">
    <w:name w:val="Intense Emphasis"/>
    <w:basedOn w:val="DefaultParagraphFont"/>
    <w:uiPriority w:val="21"/>
    <w:qFormat/>
    <w:rsid w:val="00FA10AB"/>
    <w:rPr>
      <w:i/>
      <w:iCs/>
      <w:color w:val="0F4761" w:themeColor="accent1" w:themeShade="BF"/>
    </w:rPr>
  </w:style>
  <w:style w:type="paragraph" w:styleId="IntenseQuote">
    <w:name w:val="Intense Quote"/>
    <w:basedOn w:val="Normal"/>
    <w:next w:val="Normal"/>
    <w:link w:val="IntenseQuoteChar"/>
    <w:uiPriority w:val="30"/>
    <w:qFormat/>
    <w:rsid w:val="00FA10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10AB"/>
    <w:rPr>
      <w:rFonts w:ascii="Times New Roman" w:hAnsi="Times New Roman" w:cs="Times New Roman"/>
      <w:i/>
      <w:iCs/>
      <w:noProof/>
      <w:color w:val="0F4761" w:themeColor="accent1" w:themeShade="BF"/>
    </w:rPr>
  </w:style>
  <w:style w:type="character" w:styleId="IntenseReference">
    <w:name w:val="Intense Reference"/>
    <w:basedOn w:val="DefaultParagraphFont"/>
    <w:uiPriority w:val="32"/>
    <w:qFormat/>
    <w:rsid w:val="00FA10AB"/>
    <w:rPr>
      <w:b/>
      <w:bCs/>
      <w:smallCaps/>
      <w:color w:val="0F4761" w:themeColor="accent1" w:themeShade="BF"/>
      <w:spacing w:val="5"/>
    </w:rPr>
  </w:style>
  <w:style w:type="paragraph" w:styleId="TOCHeading">
    <w:name w:val="TOC Heading"/>
    <w:basedOn w:val="Heading1"/>
    <w:next w:val="Normal"/>
    <w:uiPriority w:val="39"/>
    <w:unhideWhenUsed/>
    <w:qFormat/>
    <w:rsid w:val="00FA10AB"/>
    <w:pPr>
      <w:keepNext/>
      <w:keepLines/>
      <w:spacing w:before="240" w:line="259" w:lineRule="auto"/>
      <w:jc w:val="left"/>
      <w:outlineLvl w:val="9"/>
    </w:pPr>
    <w:rPr>
      <w:rFonts w:asciiTheme="majorHAnsi" w:eastAsiaTheme="majorEastAsia" w:hAnsiTheme="majorHAnsi" w:cstheme="majorBidi"/>
      <w:b w:val="0"/>
      <w:bCs w:val="0"/>
      <w:noProof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FA10AB"/>
    <w:pPr>
      <w:spacing w:after="100"/>
    </w:pPr>
  </w:style>
  <w:style w:type="character" w:styleId="Hyperlink">
    <w:name w:val="Hyperlink"/>
    <w:basedOn w:val="DefaultParagraphFont"/>
    <w:uiPriority w:val="99"/>
    <w:unhideWhenUsed/>
    <w:rsid w:val="00FA10AB"/>
    <w:rPr>
      <w:color w:val="467886" w:themeColor="hyperlink"/>
      <w:u w:val="single"/>
    </w:rPr>
  </w:style>
  <w:style w:type="character" w:styleId="UnresolvedMention">
    <w:name w:val="Unresolved Mention"/>
    <w:basedOn w:val="DefaultParagraphFont"/>
    <w:uiPriority w:val="99"/>
    <w:semiHidden/>
    <w:unhideWhenUsed/>
    <w:rsid w:val="00926765"/>
    <w:rPr>
      <w:color w:val="605E5C"/>
      <w:shd w:val="clear" w:color="auto" w:fill="E1DFDD"/>
    </w:rPr>
  </w:style>
  <w:style w:type="table" w:styleId="TableGrid">
    <w:name w:val="Table Grid"/>
    <w:basedOn w:val="TableNormal"/>
    <w:uiPriority w:val="39"/>
    <w:rsid w:val="00F551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2F5EC0"/>
    <w:pPr>
      <w:spacing w:after="100"/>
      <w:ind w:left="240"/>
    </w:pPr>
  </w:style>
  <w:style w:type="character" w:styleId="FollowedHyperlink">
    <w:name w:val="FollowedHyperlink"/>
    <w:basedOn w:val="DefaultParagraphFont"/>
    <w:uiPriority w:val="99"/>
    <w:semiHidden/>
    <w:unhideWhenUsed/>
    <w:rsid w:val="00F953DA"/>
    <w:rPr>
      <w:color w:val="96607D" w:themeColor="followedHyperlink"/>
      <w:u w:val="single"/>
    </w:rPr>
  </w:style>
  <w:style w:type="paragraph" w:styleId="Header">
    <w:name w:val="header"/>
    <w:basedOn w:val="Normal"/>
    <w:link w:val="HeaderChar"/>
    <w:uiPriority w:val="99"/>
    <w:unhideWhenUsed/>
    <w:rsid w:val="00165858"/>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65858"/>
    <w:rPr>
      <w:rFonts w:ascii="Times New Roman" w:hAnsi="Times New Roman" w:cs="Times New Roman"/>
      <w:noProof/>
    </w:rPr>
  </w:style>
  <w:style w:type="paragraph" w:styleId="Footer">
    <w:name w:val="footer"/>
    <w:basedOn w:val="Normal"/>
    <w:link w:val="FooterChar"/>
    <w:uiPriority w:val="99"/>
    <w:unhideWhenUsed/>
    <w:rsid w:val="00165858"/>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65858"/>
    <w:rPr>
      <w:rFonts w:ascii="Times New Roman" w:hAnsi="Times New Roman" w:cs="Times New Roman"/>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843216-71FF-4C0D-B89E-5541DC4C66A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4234</Words>
  <Characters>25743</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Saleem</dc:creator>
  <cp:keywords/>
  <dc:description/>
  <cp:lastModifiedBy>Yasmin Saleem</cp:lastModifiedBy>
  <cp:revision>2</cp:revision>
  <dcterms:created xsi:type="dcterms:W3CDTF">2025-10-24T09:12:00Z</dcterms:created>
  <dcterms:modified xsi:type="dcterms:W3CDTF">2025-10-24T09:12:00Z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44da45a7-f960-48c5-9968-919db97872a1</vt:lpwstr>
  </property>
</Properties>
</file>