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Bdr>
          <w:top w:color="ffffff" w:space="0" w:sz="8" w:val="single"/>
          <w:left w:color="ffffff" w:space="0" w:sz="8" w:val="single"/>
          <w:bottom w:color="ffffff" w:space="0" w:sz="8" w:val="single"/>
          <w:right w:color="ffffff" w:space="0" w:sz="8" w:val="single"/>
        </w:pBdr>
        <w:shd w:fill="ffffff" w:val="clear"/>
        <w:spacing w:after="240" w:line="390" w:lineRule="auto"/>
        <w:jc w:val="center"/>
        <w:rPr>
          <w:rFonts w:ascii="Roboto" w:cs="Roboto" w:eastAsia="Roboto" w:hAnsi="Roboto"/>
          <w:b w:val="1"/>
          <w:bCs w:val="1"/>
          <w:highlight w:val="white"/>
        </w:rPr>
      </w:pPr>
      <w:r w:rsidDel="00000000" w:rsidR="00000000" w:rsidRPr="00000000">
        <w:rPr>
          <w:rFonts w:ascii="Roboto" w:cs="Roboto" w:eastAsia="Roboto" w:hAnsi="Roboto"/>
          <w:b w:val="1"/>
          <w:bCs w:val="1"/>
          <w:highlight w:val="white"/>
          <w:rtl w:val="0"/>
        </w:rPr>
        <w:t xml:space="preserve">assignment :</w:t>
      </w:r>
    </w:p>
    <w:p w:rsidR="00000000" w:rsidDel="00000000" w:rsidP="00000000" w:rsidRDefault="00000000" w:rsidRPr="00000000" w14:paraId="00000002">
      <w:pPr>
        <w:pBdr>
          <w:top w:color="ffffff" w:space="0" w:sz="8" w:val="single"/>
          <w:left w:color="ffffff" w:space="0" w:sz="8" w:val="single"/>
          <w:bottom w:color="ffffff" w:space="0" w:sz="8" w:val="single"/>
          <w:right w:color="ffffff" w:space="0" w:sz="8" w:val="single"/>
        </w:pBdr>
        <w:shd w:fill="ffffff" w:val="clear"/>
        <w:spacing w:after="240" w:line="390" w:lineRule="auto"/>
        <w:jc w:val="center"/>
        <w:rPr>
          <w:rFonts w:ascii="Roboto" w:cs="Roboto" w:eastAsia="Roboto" w:hAnsi="Roboto"/>
          <w:b w:val="1"/>
          <w:bCs w:val="1"/>
          <w:highlight w:val="white"/>
        </w:rPr>
      </w:pPr>
      <w:r w:rsidDel="00000000" w:rsidR="00000000" w:rsidRPr="00000000">
        <w:rPr>
          <w:rFonts w:ascii="Roboto" w:cs="Roboto" w:eastAsia="Roboto" w:hAnsi="Roboto"/>
          <w:b w:val="1"/>
          <w:bCs w:val="1"/>
          <w:highlight w:val="white"/>
          <w:rtl w:val="0"/>
        </w:rPr>
        <w:t xml:space="preserve">Understanding and Engaging in the Customer Experience (5012))(BMSK5012)</w:t>
      </w:r>
      <w:r w:rsidDel="00000000" w:rsidR="00000000" w:rsidRPr="00000000">
        <w:rPr>
          <w:rtl w:val="0"/>
        </w:rPr>
      </w:r>
    </w:p>
    <w:p w:rsidR="00000000" w:rsidDel="00000000" w:rsidP="00000000" w:rsidRDefault="00000000" w:rsidRPr="00000000" w14:paraId="00000003">
      <w:pPr>
        <w:pBdr>
          <w:top w:color="ffffff" w:space="0" w:sz="8" w:val="single"/>
          <w:left w:color="ffffff" w:space="0" w:sz="8" w:val="single"/>
          <w:bottom w:color="ffffff" w:space="0" w:sz="8" w:val="single"/>
          <w:right w:color="ffffff" w:space="0" w:sz="8" w:val="single"/>
        </w:pBdr>
        <w:shd w:fill="ffffff" w:val="clear"/>
        <w:spacing w:after="240" w:line="390" w:lineRule="auto"/>
        <w:jc w:val="center"/>
        <w:rPr>
          <w:rFonts w:ascii="Roboto" w:cs="Roboto" w:eastAsia="Roboto" w:hAnsi="Roboto"/>
          <w:b w:val="1"/>
          <w:bCs w:val="1"/>
          <w:highlight w:val="white"/>
        </w:rPr>
      </w:pPr>
      <w:r w:rsidDel="00000000" w:rsidR="00000000" w:rsidRPr="00000000">
        <w:rPr>
          <w:rFonts w:ascii="Roboto" w:cs="Roboto" w:eastAsia="Roboto" w:hAnsi="Roboto"/>
          <w:b w:val="1"/>
          <w:bCs w:val="1"/>
          <w:highlight w:val="white"/>
          <w:rtl w:val="0"/>
        </w:rPr>
        <w:t xml:space="preserve">Word count: 4026</w:t>
      </w:r>
    </w:p>
    <w:p w:rsidR="00000000" w:rsidDel="00000000" w:rsidP="00000000" w:rsidRDefault="00000000" w:rsidRPr="00000000" w14:paraId="00000004">
      <w:pPr>
        <w:pBdr>
          <w:top w:color="ffffff" w:space="0" w:sz="8" w:val="single"/>
          <w:left w:color="ffffff" w:space="0" w:sz="8" w:val="single"/>
          <w:bottom w:color="ffffff" w:space="0" w:sz="8" w:val="single"/>
          <w:right w:color="ffffff" w:space="0" w:sz="8" w:val="single"/>
        </w:pBdr>
        <w:shd w:fill="ffffff" w:val="clear"/>
        <w:spacing w:after="240" w:line="390" w:lineRule="auto"/>
        <w:jc w:val="center"/>
        <w:rPr>
          <w:rFonts w:ascii="Roboto" w:cs="Roboto" w:eastAsia="Roboto" w:hAnsi="Roboto"/>
          <w:b w:val="1"/>
          <w:bCs w:val="1"/>
          <w:highlight w:val="white"/>
        </w:rPr>
      </w:pPr>
      <w:r w:rsidDel="00000000" w:rsidR="00000000" w:rsidRPr="00000000">
        <w:rPr>
          <w:rFonts w:ascii="Roboto" w:cs="Roboto" w:eastAsia="Roboto" w:hAnsi="Roboto"/>
          <w:b w:val="1"/>
          <w:bCs w:val="1"/>
          <w:highlight w:val="white"/>
          <w:rtl w:val="0"/>
        </w:rPr>
        <w:t xml:space="preserve">Submission date: 01/08/2026</w:t>
      </w:r>
    </w:p>
    <w:p w:rsidR="00000000" w:rsidDel="00000000" w:rsidP="00000000" w:rsidRDefault="00000000" w:rsidRPr="00000000" w14:paraId="00000005">
      <w:pPr>
        <w:pBdr>
          <w:top w:color="ffffff" w:space="0" w:sz="8" w:val="single"/>
          <w:left w:color="ffffff" w:space="0" w:sz="8" w:val="single"/>
          <w:bottom w:color="ffffff" w:space="0" w:sz="8" w:val="single"/>
          <w:right w:color="ffffff" w:space="0" w:sz="8" w:val="single"/>
        </w:pBdr>
        <w:shd w:fill="ffffff" w:val="clear"/>
        <w:spacing w:after="240" w:line="390" w:lineRule="auto"/>
        <w:jc w:val="center"/>
        <w:rPr>
          <w:rFonts w:ascii="Roboto" w:cs="Roboto" w:eastAsia="Roboto" w:hAnsi="Roboto"/>
          <w:b w:val="1"/>
          <w:bCs w:val="1"/>
          <w:highlight w:val="white"/>
        </w:rPr>
      </w:pPr>
      <w:r w:rsidDel="00000000" w:rsidR="00000000" w:rsidRPr="00000000">
        <w:rPr>
          <w:rFonts w:ascii="Roboto" w:cs="Roboto" w:eastAsia="Roboto" w:hAnsi="Roboto"/>
          <w:b w:val="1"/>
          <w:bCs w:val="1"/>
          <w:highlight w:val="white"/>
          <w:rtl w:val="0"/>
        </w:rPr>
        <w:t xml:space="preserve">author : Jack Harper</w:t>
      </w:r>
    </w:p>
    <w:p w:rsidR="00000000" w:rsidDel="00000000" w:rsidP="00000000" w:rsidRDefault="00000000" w:rsidRPr="00000000" w14:paraId="00000006">
      <w:pPr>
        <w:pBdr>
          <w:top w:color="ffffff" w:space="0" w:sz="8" w:val="single"/>
          <w:left w:color="ffffff" w:space="0" w:sz="8" w:val="single"/>
          <w:bottom w:color="ffffff" w:space="0" w:sz="8" w:val="single"/>
          <w:right w:color="ffffff" w:space="0" w:sz="8" w:val="single"/>
        </w:pBdr>
        <w:shd w:fill="ffffff" w:val="clear"/>
        <w:spacing w:after="240" w:line="390" w:lineRule="auto"/>
        <w:jc w:val="center"/>
        <w:rPr>
          <w:rFonts w:ascii="Roboto" w:cs="Roboto" w:eastAsia="Roboto" w:hAnsi="Roboto"/>
          <w:b w:val="1"/>
          <w:bCs w:val="1"/>
          <w:highlight w:val="white"/>
        </w:rPr>
      </w:pPr>
      <w:r w:rsidDel="00000000" w:rsidR="00000000" w:rsidRPr="00000000">
        <w:rPr>
          <w:rFonts w:ascii="Roboto" w:cs="Roboto" w:eastAsia="Roboto" w:hAnsi="Roboto"/>
          <w:b w:val="1"/>
          <w:bCs w:val="1"/>
          <w:highlight w:val="white"/>
          <w:rtl w:val="0"/>
        </w:rPr>
        <w:t xml:space="preserve">Customer Lifecycle Management and Quality Processes in Multi-Drop Courier Operations: A Critical Analysis of Customer Value and Loyalty</w:t>
      </w:r>
    </w:p>
    <w:p w:rsidR="00000000" w:rsidDel="00000000" w:rsidP="00000000" w:rsidRDefault="00000000" w:rsidRPr="00000000" w14:paraId="00000007">
      <w:pPr>
        <w:pBdr>
          <w:top w:color="ffffff" w:space="0" w:sz="8" w:val="single"/>
          <w:left w:color="ffffff" w:space="0" w:sz="8" w:val="single"/>
          <w:bottom w:color="ffffff" w:space="0" w:sz="8" w:val="single"/>
          <w:right w:color="ffffff" w:space="0" w:sz="8" w:val="single"/>
        </w:pBdr>
        <w:shd w:fill="ffffff" w:val="clear"/>
        <w:spacing w:line="390" w:lineRule="auto"/>
        <w:rPr>
          <w:rFonts w:ascii="Roboto" w:cs="Roboto" w:eastAsia="Roboto" w:hAnsi="Roboto"/>
          <w:sz w:val="20"/>
          <w:szCs w:val="20"/>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08">
      <w:pPr>
        <w:pBdr>
          <w:top w:color="ffffff" w:space="0" w:sz="8" w:val="single"/>
          <w:left w:color="ffffff" w:space="0" w:sz="8" w:val="single"/>
          <w:bottom w:color="ffffff" w:space="0" w:sz="8" w:val="single"/>
          <w:right w:color="ffffff" w:space="0" w:sz="8" w:val="single"/>
        </w:pBdr>
        <w:shd w:fill="ffffff" w:val="clear"/>
        <w:spacing w:after="240" w:line="390" w:lineRule="auto"/>
        <w:jc w:val="center"/>
        <w:rPr>
          <w:rFonts w:ascii="Roboto" w:cs="Roboto" w:eastAsia="Roboto" w:hAnsi="Roboto"/>
          <w:b w:val="1"/>
          <w:bCs w:val="1"/>
          <w:sz w:val="24"/>
          <w:szCs w:val="24"/>
          <w:highlight w:val="white"/>
        </w:rPr>
      </w:pPr>
      <w:r w:rsidDel="00000000" w:rsidR="00000000" w:rsidRPr="00000000">
        <w:rPr>
          <w:rFonts w:ascii="Roboto" w:cs="Roboto" w:eastAsia="Roboto" w:hAnsi="Roboto"/>
          <w:b w:val="1"/>
          <w:bCs w:val="1"/>
          <w:sz w:val="24"/>
          <w:szCs w:val="24"/>
          <w:highlight w:val="white"/>
          <w:rtl w:val="0"/>
        </w:rPr>
        <w:t xml:space="preserve">Table of Contents</w:t>
      </w:r>
    </w:p>
    <w:p w:rsidR="00000000" w:rsidDel="00000000" w:rsidP="00000000" w:rsidRDefault="00000000" w:rsidRPr="00000000" w14:paraId="00000009">
      <w:pPr>
        <w:numPr>
          <w:ilvl w:val="0"/>
          <w:numId w:val="3"/>
        </w:numPr>
        <w:pBdr>
          <w:top w:color="ffffff" w:space="0" w:sz="8" w:val="single"/>
          <w:left w:color="ffffff" w:space="0" w:sz="8" w:val="single"/>
          <w:bottom w:color="ffffff" w:space="0" w:sz="8" w:val="single"/>
          <w:right w:color="ffffff" w:space="0" w:sz="8" w:val="single"/>
          <w:between w:color="auto" w:space="0" w:sz="0" w:val="none"/>
        </w:pBdr>
        <w:shd w:fill="ffffff" w:val="clear"/>
        <w:spacing w:after="0" w:afterAutospacing="0" w:line="390" w:lineRule="auto"/>
        <w:ind w:left="720" w:hanging="360"/>
        <w:rPr>
          <w:b w:val="1"/>
          <w:bCs w:val="1"/>
          <w:sz w:val="20"/>
          <w:szCs w:val="20"/>
          <w:highlight w:val="white"/>
        </w:rPr>
      </w:pPr>
      <w:r w:rsidDel="00000000" w:rsidR="00000000" w:rsidRPr="00000000">
        <w:rPr>
          <w:rFonts w:ascii="Roboto" w:cs="Roboto" w:eastAsia="Roboto" w:hAnsi="Roboto"/>
          <w:b w:val="1"/>
          <w:bCs w:val="1"/>
          <w:sz w:val="20"/>
          <w:szCs w:val="20"/>
          <w:highlight w:val="white"/>
          <w:rtl w:val="0"/>
        </w:rPr>
        <w:t xml:space="preserve">Executive Summary</w:t>
      </w:r>
    </w:p>
    <w:p w:rsidR="00000000" w:rsidDel="00000000" w:rsidP="00000000" w:rsidRDefault="00000000" w:rsidRPr="00000000" w14:paraId="0000000A">
      <w:pPr>
        <w:numPr>
          <w:ilvl w:val="0"/>
          <w:numId w:val="3"/>
        </w:numPr>
        <w:pBdr>
          <w:top w:color="ffffff" w:space="0" w:sz="8" w:val="single"/>
          <w:left w:color="ffffff" w:space="0" w:sz="8" w:val="single"/>
          <w:bottom w:color="ffffff" w:space="0" w:sz="8" w:val="single"/>
          <w:right w:color="ffffff" w:space="0" w:sz="8" w:val="single"/>
          <w:between w:color="auto" w:space="0" w:sz="0" w:val="none"/>
        </w:pBdr>
        <w:shd w:fill="ffffff" w:val="clear"/>
        <w:spacing w:after="0" w:afterAutospacing="0" w:line="390" w:lineRule="auto"/>
        <w:ind w:left="720" w:hanging="360"/>
        <w:rPr>
          <w:b w:val="1"/>
          <w:bCs w:val="1"/>
          <w:sz w:val="20"/>
          <w:szCs w:val="20"/>
          <w:highlight w:val="white"/>
        </w:rPr>
      </w:pPr>
      <w:r w:rsidDel="00000000" w:rsidR="00000000" w:rsidRPr="00000000">
        <w:rPr>
          <w:rFonts w:ascii="Roboto" w:cs="Roboto" w:eastAsia="Roboto" w:hAnsi="Roboto"/>
          <w:b w:val="1"/>
          <w:bCs w:val="1"/>
          <w:sz w:val="20"/>
          <w:szCs w:val="20"/>
          <w:highlight w:val="white"/>
          <w:rtl w:val="0"/>
        </w:rPr>
        <w:t xml:space="preserve">Introduction</w:t>
      </w:r>
    </w:p>
    <w:p w:rsidR="00000000" w:rsidDel="00000000" w:rsidP="00000000" w:rsidRDefault="00000000" w:rsidRPr="00000000" w14:paraId="0000000B">
      <w:pPr>
        <w:numPr>
          <w:ilvl w:val="0"/>
          <w:numId w:val="3"/>
        </w:numPr>
        <w:pBdr>
          <w:top w:color="ffffff" w:space="0" w:sz="8" w:val="single"/>
          <w:left w:color="ffffff" w:space="0" w:sz="8" w:val="single"/>
          <w:bottom w:color="ffffff" w:space="0" w:sz="8" w:val="single"/>
          <w:right w:color="ffffff" w:space="0" w:sz="8" w:val="single"/>
          <w:between w:color="auto" w:space="0" w:sz="0" w:val="none"/>
        </w:pBdr>
        <w:shd w:fill="ffffff" w:val="clear"/>
        <w:spacing w:after="0" w:afterAutospacing="0" w:line="390" w:lineRule="auto"/>
        <w:ind w:left="720" w:hanging="360"/>
        <w:rPr>
          <w:b w:val="1"/>
          <w:bCs w:val="1"/>
          <w:sz w:val="20"/>
          <w:szCs w:val="20"/>
          <w:highlight w:val="white"/>
        </w:rPr>
      </w:pPr>
      <w:r w:rsidDel="00000000" w:rsidR="00000000" w:rsidRPr="00000000">
        <w:rPr>
          <w:rFonts w:ascii="Roboto" w:cs="Roboto" w:eastAsia="Roboto" w:hAnsi="Roboto"/>
          <w:b w:val="1"/>
          <w:bCs w:val="1"/>
          <w:sz w:val="20"/>
          <w:szCs w:val="20"/>
          <w:highlight w:val="white"/>
          <w:rtl w:val="0"/>
        </w:rPr>
        <w:t xml:space="preserve">Theoretical Framework and Contextualisation</w:t>
      </w:r>
    </w:p>
    <w:p w:rsidR="00000000" w:rsidDel="00000000" w:rsidP="00000000" w:rsidRDefault="00000000" w:rsidRPr="00000000" w14:paraId="0000000C">
      <w:pPr>
        <w:numPr>
          <w:ilvl w:val="0"/>
          <w:numId w:val="3"/>
        </w:numPr>
        <w:pBdr>
          <w:top w:color="ffffff" w:space="0" w:sz="8" w:val="single"/>
          <w:left w:color="ffffff" w:space="0" w:sz="8" w:val="single"/>
          <w:bottom w:color="ffffff" w:space="0" w:sz="8" w:val="single"/>
          <w:right w:color="ffffff" w:space="0" w:sz="8" w:val="single"/>
          <w:between w:color="auto" w:space="0" w:sz="0" w:val="none"/>
        </w:pBdr>
        <w:shd w:fill="ffffff" w:val="clear"/>
        <w:spacing w:after="0" w:afterAutospacing="0" w:line="390" w:lineRule="auto"/>
        <w:ind w:left="720" w:hanging="360"/>
        <w:rPr>
          <w:b w:val="1"/>
          <w:bCs w:val="1"/>
          <w:sz w:val="20"/>
          <w:szCs w:val="20"/>
          <w:highlight w:val="white"/>
        </w:rPr>
      </w:pPr>
      <w:r w:rsidDel="00000000" w:rsidR="00000000" w:rsidRPr="00000000">
        <w:rPr>
          <w:rFonts w:ascii="Roboto" w:cs="Roboto" w:eastAsia="Roboto" w:hAnsi="Roboto"/>
          <w:b w:val="1"/>
          <w:bCs w:val="1"/>
          <w:sz w:val="20"/>
          <w:szCs w:val="20"/>
          <w:highlight w:val="white"/>
          <w:rtl w:val="0"/>
        </w:rPr>
        <w:t xml:space="preserve">Customer Lifecycle Analysis in Multi-Drop Courier Operations</w:t>
        <w:br w:type="textWrapping"/>
      </w:r>
      <w:r w:rsidDel="00000000" w:rsidR="00000000" w:rsidRPr="00000000">
        <w:rPr>
          <w:rFonts w:ascii="Roboto" w:cs="Roboto" w:eastAsia="Roboto" w:hAnsi="Roboto"/>
          <w:sz w:val="20"/>
          <w:szCs w:val="20"/>
          <w:highlight w:val="white"/>
          <w:rtl w:val="0"/>
        </w:rPr>
        <w:t xml:space="preserve">4.1 Acquisition Phase</w:t>
        <w:br w:type="textWrapping"/>
        <w:t xml:space="preserve">4.2 Development Phase</w:t>
        <w:br w:type="textWrapping"/>
        <w:t xml:space="preserve">4.3 Retention Phase</w:t>
        <w:br w:type="textWrapping"/>
        <w:t xml:space="preserve">4.4 Decline and Recovery</w:t>
      </w:r>
    </w:p>
    <w:p w:rsidR="00000000" w:rsidDel="00000000" w:rsidP="00000000" w:rsidRDefault="00000000" w:rsidRPr="00000000" w14:paraId="0000000D">
      <w:pPr>
        <w:numPr>
          <w:ilvl w:val="0"/>
          <w:numId w:val="3"/>
        </w:numPr>
        <w:pBdr>
          <w:top w:color="ffffff" w:space="0" w:sz="8" w:val="single"/>
          <w:left w:color="ffffff" w:space="0" w:sz="8" w:val="single"/>
          <w:bottom w:color="ffffff" w:space="0" w:sz="8" w:val="single"/>
          <w:right w:color="ffffff" w:space="0" w:sz="8" w:val="single"/>
          <w:between w:color="auto" w:space="0" w:sz="0" w:val="none"/>
        </w:pBdr>
        <w:shd w:fill="ffffff" w:val="clear"/>
        <w:spacing w:after="0" w:afterAutospacing="0" w:line="390" w:lineRule="auto"/>
        <w:ind w:left="720" w:hanging="360"/>
        <w:rPr>
          <w:b w:val="1"/>
          <w:bCs w:val="1"/>
          <w:sz w:val="20"/>
          <w:szCs w:val="20"/>
          <w:highlight w:val="white"/>
        </w:rPr>
      </w:pPr>
      <w:r w:rsidDel="00000000" w:rsidR="00000000" w:rsidRPr="00000000">
        <w:rPr>
          <w:rFonts w:ascii="Roboto" w:cs="Roboto" w:eastAsia="Roboto" w:hAnsi="Roboto"/>
          <w:b w:val="1"/>
          <w:bCs w:val="1"/>
          <w:sz w:val="20"/>
          <w:szCs w:val="20"/>
          <w:highlight w:val="white"/>
          <w:rtl w:val="0"/>
        </w:rPr>
        <w:t xml:space="preserve">Quality Processes and Their Implications for Customer Value</w:t>
        <w:br w:type="textWrapping"/>
      </w:r>
      <w:r w:rsidDel="00000000" w:rsidR="00000000" w:rsidRPr="00000000">
        <w:rPr>
          <w:rFonts w:ascii="Roboto" w:cs="Roboto" w:eastAsia="Roboto" w:hAnsi="Roboto"/>
          <w:sz w:val="20"/>
          <w:szCs w:val="20"/>
          <w:highlight w:val="white"/>
          <w:rtl w:val="0"/>
        </w:rPr>
        <w:t xml:space="preserve">5.1 Service Quality Frameworks in Courier Operations</w:t>
        <w:br w:type="textWrapping"/>
        <w:t xml:space="preserve">5.2 Total Quality Management and Continuous Improvement</w:t>
        <w:br w:type="textWrapping"/>
        <w:t xml:space="preserve">5.3 Lean Principles and Waste Reduction</w:t>
      </w:r>
    </w:p>
    <w:p w:rsidR="00000000" w:rsidDel="00000000" w:rsidP="00000000" w:rsidRDefault="00000000" w:rsidRPr="00000000" w14:paraId="0000000E">
      <w:pPr>
        <w:numPr>
          <w:ilvl w:val="0"/>
          <w:numId w:val="3"/>
        </w:numPr>
        <w:pBdr>
          <w:top w:color="ffffff" w:space="0" w:sz="8" w:val="single"/>
          <w:left w:color="ffffff" w:space="0" w:sz="8" w:val="single"/>
          <w:bottom w:color="ffffff" w:space="0" w:sz="8" w:val="single"/>
          <w:right w:color="ffffff" w:space="0" w:sz="8" w:val="single"/>
          <w:between w:color="auto" w:space="0" w:sz="0" w:val="none"/>
        </w:pBdr>
        <w:shd w:fill="ffffff" w:val="clear"/>
        <w:spacing w:after="0" w:afterAutospacing="0" w:line="390" w:lineRule="auto"/>
        <w:ind w:left="720" w:hanging="360"/>
        <w:rPr>
          <w:b w:val="1"/>
          <w:bCs w:val="1"/>
          <w:sz w:val="20"/>
          <w:szCs w:val="20"/>
          <w:highlight w:val="white"/>
        </w:rPr>
      </w:pPr>
      <w:r w:rsidDel="00000000" w:rsidR="00000000" w:rsidRPr="00000000">
        <w:rPr>
          <w:rFonts w:ascii="Roboto" w:cs="Roboto" w:eastAsia="Roboto" w:hAnsi="Roboto"/>
          <w:b w:val="1"/>
          <w:bCs w:val="1"/>
          <w:sz w:val="20"/>
          <w:szCs w:val="20"/>
          <w:highlight w:val="white"/>
          <w:rtl w:val="0"/>
        </w:rPr>
        <w:t xml:space="preserve">Direct and Indirect Customer Value Metrics</w:t>
        <w:br w:type="textWrapping"/>
      </w:r>
      <w:r w:rsidDel="00000000" w:rsidR="00000000" w:rsidRPr="00000000">
        <w:rPr>
          <w:rFonts w:ascii="Roboto" w:cs="Roboto" w:eastAsia="Roboto" w:hAnsi="Roboto"/>
          <w:sz w:val="20"/>
          <w:szCs w:val="20"/>
          <w:highlight w:val="white"/>
          <w:rtl w:val="0"/>
        </w:rPr>
        <w:t xml:space="preserve">6.1 Direct Value Metrics</w:t>
        <w:br w:type="textWrapping"/>
        <w:t xml:space="preserve">6.2 Indirect Value Metrics</w:t>
      </w:r>
    </w:p>
    <w:p w:rsidR="00000000" w:rsidDel="00000000" w:rsidP="00000000" w:rsidRDefault="00000000" w:rsidRPr="00000000" w14:paraId="0000000F">
      <w:pPr>
        <w:numPr>
          <w:ilvl w:val="0"/>
          <w:numId w:val="3"/>
        </w:numPr>
        <w:pBdr>
          <w:top w:color="ffffff" w:space="0" w:sz="8" w:val="single"/>
          <w:left w:color="ffffff" w:space="0" w:sz="8" w:val="single"/>
          <w:bottom w:color="ffffff" w:space="0" w:sz="8" w:val="single"/>
          <w:right w:color="ffffff" w:space="0" w:sz="8" w:val="single"/>
          <w:between w:color="auto" w:space="0" w:sz="0" w:val="none"/>
        </w:pBdr>
        <w:shd w:fill="ffffff" w:val="clear"/>
        <w:spacing w:after="0" w:afterAutospacing="0" w:line="390" w:lineRule="auto"/>
        <w:ind w:left="720" w:hanging="360"/>
        <w:rPr>
          <w:b w:val="1"/>
          <w:bCs w:val="1"/>
          <w:sz w:val="20"/>
          <w:szCs w:val="20"/>
          <w:highlight w:val="white"/>
        </w:rPr>
      </w:pPr>
      <w:r w:rsidDel="00000000" w:rsidR="00000000" w:rsidRPr="00000000">
        <w:rPr>
          <w:rFonts w:ascii="Roboto" w:cs="Roboto" w:eastAsia="Roboto" w:hAnsi="Roboto"/>
          <w:b w:val="1"/>
          <w:bCs w:val="1"/>
          <w:sz w:val="20"/>
          <w:szCs w:val="20"/>
          <w:highlight w:val="white"/>
          <w:rtl w:val="0"/>
        </w:rPr>
        <w:t xml:space="preserve">Customer Centrality and Segmentation</w:t>
        <w:br w:type="textWrapping"/>
      </w:r>
      <w:r w:rsidDel="00000000" w:rsidR="00000000" w:rsidRPr="00000000">
        <w:rPr>
          <w:rFonts w:ascii="Roboto" w:cs="Roboto" w:eastAsia="Roboto" w:hAnsi="Roboto"/>
          <w:sz w:val="20"/>
          <w:szCs w:val="20"/>
          <w:highlight w:val="white"/>
          <w:rtl w:val="0"/>
        </w:rPr>
        <w:t xml:space="preserve">7.1 The Strategic Imperative of Customer Centrality</w:t>
        <w:br w:type="textWrapping"/>
        <w:t xml:space="preserve">7.2 Segmentation Strategies</w:t>
      </w:r>
    </w:p>
    <w:p w:rsidR="00000000" w:rsidDel="00000000" w:rsidP="00000000" w:rsidRDefault="00000000" w:rsidRPr="00000000" w14:paraId="00000010">
      <w:pPr>
        <w:numPr>
          <w:ilvl w:val="0"/>
          <w:numId w:val="3"/>
        </w:numPr>
        <w:pBdr>
          <w:top w:color="ffffff" w:space="0" w:sz="8" w:val="single"/>
          <w:left w:color="ffffff" w:space="0" w:sz="8" w:val="single"/>
          <w:bottom w:color="ffffff" w:space="0" w:sz="8" w:val="single"/>
          <w:right w:color="ffffff" w:space="0" w:sz="8" w:val="single"/>
          <w:between w:color="auto" w:space="0" w:sz="0" w:val="none"/>
        </w:pBdr>
        <w:shd w:fill="ffffff" w:val="clear"/>
        <w:spacing w:after="0" w:afterAutospacing="0" w:line="390" w:lineRule="auto"/>
        <w:ind w:left="720" w:hanging="360"/>
        <w:rPr>
          <w:b w:val="1"/>
          <w:bCs w:val="1"/>
          <w:sz w:val="20"/>
          <w:szCs w:val="20"/>
          <w:highlight w:val="white"/>
        </w:rPr>
      </w:pPr>
      <w:r w:rsidDel="00000000" w:rsidR="00000000" w:rsidRPr="00000000">
        <w:rPr>
          <w:rFonts w:ascii="Roboto" w:cs="Roboto" w:eastAsia="Roboto" w:hAnsi="Roboto"/>
          <w:b w:val="1"/>
          <w:bCs w:val="1"/>
          <w:sz w:val="20"/>
          <w:szCs w:val="20"/>
          <w:highlight w:val="white"/>
          <w:rtl w:val="0"/>
        </w:rPr>
        <w:t xml:space="preserve">Managing Customer Expectations</w:t>
      </w:r>
    </w:p>
    <w:p w:rsidR="00000000" w:rsidDel="00000000" w:rsidP="00000000" w:rsidRDefault="00000000" w:rsidRPr="00000000" w14:paraId="00000011">
      <w:pPr>
        <w:numPr>
          <w:ilvl w:val="0"/>
          <w:numId w:val="3"/>
        </w:numPr>
        <w:pBdr>
          <w:top w:color="ffffff" w:space="0" w:sz="8" w:val="single"/>
          <w:left w:color="ffffff" w:space="0" w:sz="8" w:val="single"/>
          <w:bottom w:color="ffffff" w:space="0" w:sz="8" w:val="single"/>
          <w:right w:color="ffffff" w:space="0" w:sz="8" w:val="single"/>
          <w:between w:color="auto" w:space="0" w:sz="0" w:val="none"/>
        </w:pBdr>
        <w:shd w:fill="ffffff" w:val="clear"/>
        <w:spacing w:after="0" w:afterAutospacing="0" w:line="390" w:lineRule="auto"/>
        <w:ind w:left="720" w:hanging="360"/>
        <w:rPr>
          <w:b w:val="1"/>
          <w:bCs w:val="1"/>
          <w:sz w:val="20"/>
          <w:szCs w:val="20"/>
          <w:highlight w:val="white"/>
        </w:rPr>
      </w:pPr>
      <w:r w:rsidDel="00000000" w:rsidR="00000000" w:rsidRPr="00000000">
        <w:rPr>
          <w:rFonts w:ascii="Roboto" w:cs="Roboto" w:eastAsia="Roboto" w:hAnsi="Roboto"/>
          <w:b w:val="1"/>
          <w:bCs w:val="1"/>
          <w:sz w:val="20"/>
          <w:szCs w:val="20"/>
          <w:highlight w:val="white"/>
          <w:rtl w:val="0"/>
        </w:rPr>
        <w:t xml:space="preserve">Critical Synthesis and Evaluation</w:t>
      </w:r>
    </w:p>
    <w:p w:rsidR="00000000" w:rsidDel="00000000" w:rsidP="00000000" w:rsidRDefault="00000000" w:rsidRPr="00000000" w14:paraId="00000012">
      <w:pPr>
        <w:numPr>
          <w:ilvl w:val="0"/>
          <w:numId w:val="3"/>
        </w:numPr>
        <w:pBdr>
          <w:top w:color="ffffff" w:space="0" w:sz="8" w:val="single"/>
          <w:left w:color="ffffff" w:space="0" w:sz="8" w:val="single"/>
          <w:bottom w:color="ffffff" w:space="0" w:sz="8" w:val="single"/>
          <w:right w:color="ffffff" w:space="0" w:sz="8" w:val="single"/>
          <w:between w:color="auto" w:space="0" w:sz="0" w:val="none"/>
        </w:pBdr>
        <w:shd w:fill="ffffff" w:val="clear"/>
        <w:spacing w:after="0" w:afterAutospacing="0" w:line="390" w:lineRule="auto"/>
        <w:ind w:left="720" w:hanging="360"/>
        <w:rPr>
          <w:b w:val="1"/>
          <w:bCs w:val="1"/>
          <w:sz w:val="20"/>
          <w:szCs w:val="20"/>
          <w:highlight w:val="white"/>
        </w:rPr>
      </w:pPr>
      <w:r w:rsidDel="00000000" w:rsidR="00000000" w:rsidRPr="00000000">
        <w:rPr>
          <w:rFonts w:ascii="Roboto" w:cs="Roboto" w:eastAsia="Roboto" w:hAnsi="Roboto"/>
          <w:b w:val="1"/>
          <w:bCs w:val="1"/>
          <w:sz w:val="20"/>
          <w:szCs w:val="20"/>
          <w:highlight w:val="white"/>
          <w:rtl w:val="0"/>
        </w:rPr>
        <w:t xml:space="preserve">Recommendations</w:t>
      </w:r>
    </w:p>
    <w:p w:rsidR="00000000" w:rsidDel="00000000" w:rsidP="00000000" w:rsidRDefault="00000000" w:rsidRPr="00000000" w14:paraId="00000013">
      <w:pPr>
        <w:numPr>
          <w:ilvl w:val="0"/>
          <w:numId w:val="3"/>
        </w:numPr>
        <w:pBdr>
          <w:top w:color="ffffff" w:space="0" w:sz="8" w:val="single"/>
          <w:left w:color="ffffff" w:space="0" w:sz="8" w:val="single"/>
          <w:bottom w:color="ffffff" w:space="0" w:sz="8" w:val="single"/>
          <w:right w:color="ffffff" w:space="0" w:sz="8" w:val="single"/>
          <w:between w:color="auto" w:space="0" w:sz="0" w:val="none"/>
        </w:pBdr>
        <w:shd w:fill="ffffff" w:val="clear"/>
        <w:spacing w:after="240" w:line="390" w:lineRule="auto"/>
        <w:ind w:left="720" w:hanging="360"/>
        <w:rPr>
          <w:b w:val="1"/>
          <w:bCs w:val="1"/>
          <w:sz w:val="20"/>
          <w:szCs w:val="20"/>
          <w:highlight w:val="white"/>
        </w:rPr>
      </w:pPr>
      <w:r w:rsidDel="00000000" w:rsidR="00000000" w:rsidRPr="00000000">
        <w:rPr>
          <w:rFonts w:ascii="Roboto" w:cs="Roboto" w:eastAsia="Roboto" w:hAnsi="Roboto"/>
          <w:b w:val="1"/>
          <w:bCs w:val="1"/>
          <w:sz w:val="20"/>
          <w:szCs w:val="20"/>
          <w:highlight w:val="white"/>
          <w:rtl w:val="0"/>
        </w:rPr>
        <w:t xml:space="preserve">Conclusion</w:t>
        <w:br w:type="textWrapping"/>
        <w:t xml:space="preserve">References</w:t>
      </w:r>
    </w:p>
    <w:p w:rsidR="00000000" w:rsidDel="00000000" w:rsidP="00000000" w:rsidRDefault="00000000" w:rsidRPr="00000000" w14:paraId="00000014">
      <w:pPr>
        <w:pBdr>
          <w:top w:color="ffffff" w:space="0" w:sz="8" w:val="single"/>
          <w:left w:color="ffffff" w:space="0" w:sz="8" w:val="single"/>
          <w:bottom w:color="ffffff" w:space="0" w:sz="8" w:val="single"/>
          <w:right w:color="ffffff" w:space="0" w:sz="8" w:val="single"/>
        </w:pBdr>
        <w:shd w:fill="ffffff" w:val="clear"/>
        <w:spacing w:line="390" w:lineRule="auto"/>
        <w:rPr>
          <w:rFonts w:ascii="Roboto" w:cs="Roboto" w:eastAsia="Roboto" w:hAnsi="Roboto"/>
          <w:sz w:val="20"/>
          <w:szCs w:val="20"/>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15">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b w:val="1"/>
          <w:bCs w:val="1"/>
          <w:sz w:val="20"/>
          <w:szCs w:val="20"/>
          <w:highlight w:val="white"/>
        </w:rPr>
      </w:pPr>
      <w:r w:rsidDel="00000000" w:rsidR="00000000" w:rsidRPr="00000000">
        <w:rPr>
          <w:rFonts w:ascii="Roboto" w:cs="Roboto" w:eastAsia="Roboto" w:hAnsi="Roboto"/>
          <w:b w:val="1"/>
          <w:bCs w:val="1"/>
          <w:sz w:val="20"/>
          <w:szCs w:val="20"/>
          <w:highlight w:val="white"/>
          <w:rtl w:val="0"/>
        </w:rPr>
        <w:t xml:space="preserve">1. Executive Summary</w:t>
      </w:r>
    </w:p>
    <w:p w:rsidR="00000000" w:rsidDel="00000000" w:rsidP="00000000" w:rsidRDefault="00000000" w:rsidRPr="00000000" w14:paraId="00000016">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sz w:val="20"/>
          <w:szCs w:val="20"/>
          <w:highlight w:val="white"/>
          <w:rtl w:val="0"/>
        </w:rPr>
        <w:t xml:space="preserve">This report critically examines the customer lifecycle within multi-drop courier organisations, analysing Customer Relationship Management (CRM) from acquisition through to retention and recovery. Grounded in established service quality and relationship marketing theories, the report evaluates how quality processes influence customer value and shape customer expectations in the high-velocity logistics sector. Multi-drop courier operations face distinct challenges: delivery density optimisation, time-window adherence, failed delivery management, and the balancing of cost efficiency against service excellence. This analysis demonstrates that maximising customer value requires an integrated approach combining lifecycle-stage-specific CRM strategies, rigorous quality management frameworks, and sophisticated segmentation methodologies. The report critically evaluates direct and indirect value metrics, argues for the strategic imperative of customer centrality, and proposes that loyalty in courier services emerges not from transactional efficiency alone but from the consistent management of expectations across diverse customer segments. Recommendations centre on the adoption of Total Quality Management (TQM) principles, dynamic segmentation models, and technology-enabled expectation management to build sustainable competitive advantage.</w:t>
      </w:r>
    </w:p>
    <w:p w:rsidR="00000000" w:rsidDel="00000000" w:rsidP="00000000" w:rsidRDefault="00000000" w:rsidRPr="00000000" w14:paraId="00000017">
      <w:pPr>
        <w:pBdr>
          <w:top w:color="ffffff" w:space="0" w:sz="8" w:val="single"/>
          <w:left w:color="ffffff" w:space="0" w:sz="8" w:val="single"/>
          <w:bottom w:color="ffffff" w:space="0" w:sz="8" w:val="single"/>
          <w:right w:color="ffffff" w:space="0" w:sz="8" w:val="single"/>
        </w:pBdr>
        <w:shd w:fill="ffffff" w:val="clear"/>
        <w:spacing w:line="390" w:lineRule="auto"/>
        <w:rPr>
          <w:rFonts w:ascii="Roboto" w:cs="Roboto" w:eastAsia="Roboto" w:hAnsi="Roboto"/>
          <w:sz w:val="20"/>
          <w:szCs w:val="20"/>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18">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b w:val="1"/>
          <w:bCs w:val="1"/>
          <w:sz w:val="20"/>
          <w:szCs w:val="20"/>
          <w:highlight w:val="white"/>
        </w:rPr>
      </w:pPr>
      <w:r w:rsidDel="00000000" w:rsidR="00000000" w:rsidRPr="00000000">
        <w:rPr>
          <w:rFonts w:ascii="Roboto" w:cs="Roboto" w:eastAsia="Roboto" w:hAnsi="Roboto"/>
          <w:b w:val="1"/>
          <w:bCs w:val="1"/>
          <w:sz w:val="20"/>
          <w:szCs w:val="20"/>
          <w:highlight w:val="white"/>
          <w:rtl w:val="0"/>
        </w:rPr>
        <w:t xml:space="preserve">2. Introduction</w:t>
      </w:r>
    </w:p>
    <w:p w:rsidR="00000000" w:rsidDel="00000000" w:rsidP="00000000" w:rsidRDefault="00000000" w:rsidRPr="00000000" w14:paraId="00000019">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sz w:val="20"/>
          <w:szCs w:val="20"/>
          <w:highlight w:val="white"/>
          <w:rtl w:val="0"/>
        </w:rPr>
        <w:t xml:space="preserve">The multi-drop courier sector constitutes a critical node within contemporary supply chain networks, facilitating business-to-business (B2B), business-to-consumer (B2C), and increasingly, consumer-to-consumer (C2C) exchanges (Savelsbergh and Van Woensel, 2016). Characterised by high-volume, low-margin operations with significant last-mile delivery costs, organisations within this sector face the persistent challenge of delivering value while maintaining operational viability (Gevaers, Van de Voorde and Vanelslander, 2014). Customer expectations have evolved substantially; same-day delivery windows, real-time tracking, and flexible redelivery options have shifted from competitive differentiators to baseline requirements (Verma, Singh and Kumar, 2019). Consequently, understanding the customer lifecycle and its intersection with organisational quality processes has become paramount for strategic survival.</w:t>
      </w:r>
    </w:p>
    <w:p w:rsidR="00000000" w:rsidDel="00000000" w:rsidP="00000000" w:rsidRDefault="00000000" w:rsidRPr="00000000" w14:paraId="0000001A">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sz w:val="20"/>
          <w:szCs w:val="20"/>
          <w:highlight w:val="white"/>
          <w:rtl w:val="0"/>
        </w:rPr>
        <w:t xml:space="preserve">This report presents a comprehensive analysis of customer lifecycle management within a multi-drop courier organisation. It examines CRM processes from initial customer acquisition through development, retention, and potential recovery phases. The analysis incorporates direct and indirect customer value metrics, evaluates the principle of customer centrality, and explores segmentation strategies relevant to heterogeneous courier clientele. Crucially, this examination is grounded against the organisation's quality processes, evaluating their implications for customer value creation and expectation management. The report draws upon service quality models, relationship marketing theory, and supply chain management literature to construct a critical, evidence-based evaluation appropriate for Level 5 academic standards.</w:t>
      </w:r>
    </w:p>
    <w:p w:rsidR="00000000" w:rsidDel="00000000" w:rsidP="00000000" w:rsidRDefault="00000000" w:rsidRPr="00000000" w14:paraId="0000001B">
      <w:pPr>
        <w:pBdr>
          <w:top w:color="ffffff" w:space="0" w:sz="8" w:val="single"/>
          <w:left w:color="ffffff" w:space="0" w:sz="8" w:val="single"/>
          <w:bottom w:color="ffffff" w:space="0" w:sz="8" w:val="single"/>
          <w:right w:color="ffffff" w:space="0" w:sz="8" w:val="single"/>
        </w:pBdr>
        <w:shd w:fill="ffffff" w:val="clear"/>
        <w:spacing w:line="390" w:lineRule="auto"/>
        <w:rPr>
          <w:rFonts w:ascii="Roboto" w:cs="Roboto" w:eastAsia="Roboto" w:hAnsi="Roboto"/>
          <w:sz w:val="20"/>
          <w:szCs w:val="20"/>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1C">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b w:val="1"/>
          <w:bCs w:val="1"/>
          <w:sz w:val="20"/>
          <w:szCs w:val="20"/>
          <w:highlight w:val="white"/>
        </w:rPr>
      </w:pPr>
      <w:r w:rsidDel="00000000" w:rsidR="00000000" w:rsidRPr="00000000">
        <w:rPr>
          <w:rFonts w:ascii="Roboto" w:cs="Roboto" w:eastAsia="Roboto" w:hAnsi="Roboto"/>
          <w:b w:val="1"/>
          <w:bCs w:val="1"/>
          <w:sz w:val="20"/>
          <w:szCs w:val="20"/>
          <w:highlight w:val="white"/>
          <w:rtl w:val="0"/>
        </w:rPr>
        <w:t xml:space="preserve">3. Theoretical Framework </w:t>
      </w:r>
    </w:p>
    <w:p w:rsidR="00000000" w:rsidDel="00000000" w:rsidP="00000000" w:rsidRDefault="00000000" w:rsidRPr="00000000" w14:paraId="0000001D">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sz w:val="20"/>
          <w:szCs w:val="20"/>
          <w:highlight w:val="white"/>
          <w:rtl w:val="0"/>
        </w:rPr>
        <w:t xml:space="preserve">To analyse the customer lifecycle effectively, one must first establish the theoretical foundations upon which CRM and service quality rest. Payne and Frow (2005) propose a strategic framework conceptualising CRM as a cross-functional, process-oriented approach to creating and maintaining relationships with carefully selected customers. This framework is particularly pertinent to multi-drop courier operations, where relationship value varies significantly between high-volume B2B contracts and fragmented B2C transactions. The authors identify four core pillars: strategy development, value creation, multi-channel integration, and performance assessment. For courier organisations, this translates into aligning delivery network capacity with customer profitability profiles while integrating digital and physical touchpoints.</w:t>
      </w:r>
    </w:p>
    <w:p w:rsidR="00000000" w:rsidDel="00000000" w:rsidP="00000000" w:rsidRDefault="00000000" w:rsidRPr="00000000" w14:paraId="0000001E">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sz w:val="20"/>
          <w:szCs w:val="20"/>
          <w:highlight w:val="white"/>
          <w:rtl w:val="0"/>
        </w:rPr>
        <w:t xml:space="preserve">Complementing this, the Service-Profit Chain model proposed by Heskett et al. (1994) establishes the internal linkages between employee satisfaction, service quality, customer loyalty, and profitability. In courier operations, where frontline drivers represent the primary human touchpoint, this model assumes critical importance. Employee capability and motivation directly influence delivery accuracy and customer interaction quality, thereby affecting perceived service value and subsequent loyalty behaviours. However, the model has faced criticism for its linear simplification of complex service interactions; subsequent research suggests moderating variables including customer heterogeneity and situational factors may disrupt the proposed causal chain (Zeithaml, Bitner and Gremler, 2018).</w:t>
      </w:r>
    </w:p>
    <w:p w:rsidR="00000000" w:rsidDel="00000000" w:rsidP="00000000" w:rsidRDefault="00000000" w:rsidRPr="00000000" w14:paraId="0000001F">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sz w:val="20"/>
          <w:szCs w:val="20"/>
          <w:highlight w:val="white"/>
          <w:rtl w:val="0"/>
        </w:rPr>
        <w:t xml:space="preserve">Expectation management theory, rooted in Oliver's (1980) Expectation-Confirmation Paradigm, provides further analytical utility. Customer satisfaction emerges from the disconfirmation paradigm—whether performance exceeds, meets, or falls below expectations. In multi-drop courier services, expectations are multifaceted: temporal (delivery windows), procedural (tracking transparency), and interactional (driver professionalism). The complexity lies in the fact that expectations are dynamic, influenced by prior experiences, competitor offerings, and explicit service promises (Buttle, 2009). Consequently, organisations must manage not merely service delivery but the expectation formation process itself.</w:t>
      </w:r>
    </w:p>
    <w:p w:rsidR="00000000" w:rsidDel="00000000" w:rsidP="00000000" w:rsidRDefault="00000000" w:rsidRPr="00000000" w14:paraId="00000020">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sz w:val="20"/>
          <w:szCs w:val="20"/>
          <w:highlight w:val="white"/>
          <w:rtl w:val="0"/>
        </w:rPr>
        <w:t xml:space="preserve">Quality processes within logistics contexts traditionally draw from Total Quality Management (TQM) and Lean Six Sigma methodologies. Deming (1986) emphasises continuous improvement through statistical process control and systemic thinking, while Juran (1988) prioritises fitness for purpose and the cost of quality. For multi-drop operations, quality manifests in first-time delivery rates, damage incidence, route adherence, and communication accuracy. However, as this report will argue, operational quality metrics do not automatically translate to perceived customer value; the gap between objective service performance and subjective customer evaluation remains a critical tension.</w:t>
      </w:r>
    </w:p>
    <w:p w:rsidR="00000000" w:rsidDel="00000000" w:rsidP="00000000" w:rsidRDefault="00000000" w:rsidRPr="00000000" w14:paraId="00000021">
      <w:pPr>
        <w:pBdr>
          <w:top w:color="ffffff" w:space="0" w:sz="8" w:val="single"/>
          <w:left w:color="ffffff" w:space="0" w:sz="8" w:val="single"/>
          <w:bottom w:color="ffffff" w:space="0" w:sz="8" w:val="single"/>
          <w:right w:color="ffffff" w:space="0" w:sz="8" w:val="single"/>
        </w:pBdr>
        <w:shd w:fill="ffffff" w:val="clear"/>
        <w:spacing w:line="390" w:lineRule="auto"/>
        <w:rPr>
          <w:rFonts w:ascii="Roboto" w:cs="Roboto" w:eastAsia="Roboto" w:hAnsi="Roboto"/>
          <w:sz w:val="20"/>
          <w:szCs w:val="20"/>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22">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b w:val="1"/>
          <w:bCs w:val="1"/>
          <w:sz w:val="20"/>
          <w:szCs w:val="20"/>
          <w:highlight w:val="white"/>
        </w:rPr>
      </w:pPr>
      <w:r w:rsidDel="00000000" w:rsidR="00000000" w:rsidRPr="00000000">
        <w:rPr>
          <w:rFonts w:ascii="Roboto" w:cs="Roboto" w:eastAsia="Roboto" w:hAnsi="Roboto"/>
          <w:b w:val="1"/>
          <w:bCs w:val="1"/>
          <w:sz w:val="20"/>
          <w:szCs w:val="20"/>
          <w:highlight w:val="white"/>
          <w:rtl w:val="0"/>
        </w:rPr>
        <w:t xml:space="preserve">4. Customer Lifecycle Analysis in Multi-Drop Courier Operations</w:t>
      </w:r>
    </w:p>
    <w:p w:rsidR="00000000" w:rsidDel="00000000" w:rsidP="00000000" w:rsidRDefault="00000000" w:rsidRPr="00000000" w14:paraId="00000023">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b w:val="1"/>
          <w:bCs w:val="1"/>
          <w:sz w:val="20"/>
          <w:szCs w:val="20"/>
          <w:highlight w:val="white"/>
        </w:rPr>
      </w:pPr>
      <w:r w:rsidDel="00000000" w:rsidR="00000000" w:rsidRPr="00000000">
        <w:rPr>
          <w:rFonts w:ascii="Roboto" w:cs="Roboto" w:eastAsia="Roboto" w:hAnsi="Roboto"/>
          <w:b w:val="1"/>
          <w:bCs w:val="1"/>
          <w:sz w:val="20"/>
          <w:szCs w:val="20"/>
          <w:highlight w:val="white"/>
          <w:rtl w:val="0"/>
        </w:rPr>
        <w:t xml:space="preserve">4.1 Acquisition Phase</w:t>
      </w:r>
    </w:p>
    <w:p w:rsidR="00000000" w:rsidDel="00000000" w:rsidP="00000000" w:rsidRDefault="00000000" w:rsidRPr="00000000" w14:paraId="00000024">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sz w:val="20"/>
          <w:szCs w:val="20"/>
          <w:highlight w:val="white"/>
          <w:rtl w:val="0"/>
        </w:rPr>
        <w:t xml:space="preserve">The customer lifecycle commences with acquisition, a phase wherein the courier organisation identifies, targets, and secures new customers. In multi-drop contexts, acquisition strategies bifurcate along B2B and B2C lines. B2B acquisition relies upon dedicated sales teams, contract negotiation, and the demonstration of network capacity, reliability, and integration capability with client supply chains (Mentzer et al., 2001). B2C acquisition, conversely, typically occurs through platform partnerships, e-commerce integrations, and direct digital marketing. The cost of acquisition varies dramatically; acquiring a major retail contract involves substantial relationship investment, whereas individual consumers are often acquired through aggregator relationships with minimal marginal cost.</w:t>
      </w:r>
    </w:p>
    <w:p w:rsidR="00000000" w:rsidDel="00000000" w:rsidP="00000000" w:rsidRDefault="00000000" w:rsidRPr="00000000" w14:paraId="00000025">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sz w:val="20"/>
          <w:szCs w:val="20"/>
          <w:highlight w:val="white"/>
          <w:rtl w:val="0"/>
        </w:rPr>
        <w:t xml:space="preserve">From a CRM perspective, acquisition efficiency depends upon targeting customers with favourable lifetime value potential rather than maximising volume indiscriminately (Kumar and Reinartz, 2016). Reinartz and Kumar (2003) caution against the assumption that loyal customers are invariably profitable; in courier operations, customers demanding excessive redelivery attempts, remote location delivery, or complex handling requirements may generate negative value despite high retention rates. Therefore, acquisition must incorporate predictive value modelling. The limitation of this approach, however, lies in data availability for new prospects; lifetime value projections rely heavily on proxy variables and segment averages, potentially introducing acquisition bias.</w:t>
      </w:r>
    </w:p>
    <w:p w:rsidR="00000000" w:rsidDel="00000000" w:rsidP="00000000" w:rsidRDefault="00000000" w:rsidRPr="00000000" w14:paraId="00000026">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b w:val="1"/>
          <w:bCs w:val="1"/>
          <w:sz w:val="20"/>
          <w:szCs w:val="20"/>
          <w:highlight w:val="white"/>
        </w:rPr>
      </w:pPr>
      <w:r w:rsidDel="00000000" w:rsidR="00000000" w:rsidRPr="00000000">
        <w:rPr>
          <w:rFonts w:ascii="Roboto" w:cs="Roboto" w:eastAsia="Roboto" w:hAnsi="Roboto"/>
          <w:b w:val="1"/>
          <w:bCs w:val="1"/>
          <w:sz w:val="20"/>
          <w:szCs w:val="20"/>
          <w:highlight w:val="white"/>
          <w:rtl w:val="0"/>
        </w:rPr>
        <w:t xml:space="preserve">4.2 Development Phase</w:t>
      </w:r>
    </w:p>
    <w:p w:rsidR="00000000" w:rsidDel="00000000" w:rsidP="00000000" w:rsidRDefault="00000000" w:rsidRPr="00000000" w14:paraId="00000027">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sz w:val="20"/>
          <w:szCs w:val="20"/>
          <w:highlight w:val="white"/>
          <w:rtl w:val="0"/>
        </w:rPr>
        <w:t xml:space="preserve">Following acquisition, the development phase focuses on deepening the customer relationship and expanding share-of-wallet. For B2B courier clients, development involves service customisation—dedicated fleet allocation, tailored reporting, API integration with client warehouse management systems, and collaborative route planning (Stank, Keller and Daugherty, 2001). B2C development is more constrained due to the transactional nature of interactions, though opportunities exist through premium service tiers, subscription delivery models, and loyalty programmes.</w:t>
      </w:r>
    </w:p>
    <w:p w:rsidR="00000000" w:rsidDel="00000000" w:rsidP="00000000" w:rsidRDefault="00000000" w:rsidRPr="00000000" w14:paraId="00000028">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sz w:val="20"/>
          <w:szCs w:val="20"/>
          <w:highlight w:val="white"/>
          <w:rtl w:val="0"/>
        </w:rPr>
        <w:t xml:space="preserve">Development phase CRM must address the transition from transactional to relational exchange. Morgan and Hunt (1994) argue that relationship commitment and trust develop through shared values, communication quality, and perceived relationship benefits. In courier operations, trust formation depends critically upon consistency; repeated on-time, damage-free deliveries with proactive communication build relational capital. Conversely, service variability erodes trust rapidly. The development phase therefore demands rigorous process standardisation alongside flexibility for high-value accounts. A critical tension emerges here: multi-drop operations achieve efficiency through route consolidation and delivery density, yet development-phase customisation may disrupt optimal routing algorithms. Organisations must consequently evaluate whether development investments yield sufficient value increment to justify operational complexity.</w:t>
      </w:r>
    </w:p>
    <w:p w:rsidR="00000000" w:rsidDel="00000000" w:rsidP="00000000" w:rsidRDefault="00000000" w:rsidRPr="00000000" w14:paraId="00000029">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b w:val="1"/>
          <w:bCs w:val="1"/>
          <w:sz w:val="20"/>
          <w:szCs w:val="20"/>
          <w:highlight w:val="white"/>
        </w:rPr>
      </w:pPr>
      <w:r w:rsidDel="00000000" w:rsidR="00000000" w:rsidRPr="00000000">
        <w:rPr>
          <w:rFonts w:ascii="Roboto" w:cs="Roboto" w:eastAsia="Roboto" w:hAnsi="Roboto"/>
          <w:b w:val="1"/>
          <w:bCs w:val="1"/>
          <w:sz w:val="20"/>
          <w:szCs w:val="20"/>
          <w:highlight w:val="white"/>
          <w:rtl w:val="0"/>
        </w:rPr>
        <w:t xml:space="preserve">4.3 Retention Phase</w:t>
      </w:r>
    </w:p>
    <w:p w:rsidR="00000000" w:rsidDel="00000000" w:rsidP="00000000" w:rsidRDefault="00000000" w:rsidRPr="00000000" w14:paraId="0000002A">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sz w:val="20"/>
          <w:szCs w:val="20"/>
          <w:highlight w:val="white"/>
          <w:rtl w:val="0"/>
        </w:rPr>
        <w:t xml:space="preserve">Retention represents the mature phase of the customer lifecycle and, for multi-drop couriers, the primary determinant of profitability. Retention economics are compelling; existing customers require lower acquisition expenditure, exhibit higher tolerance for minor service variations, and provide predictable revenue streams (Buttle, 2009). However, retention in courier services is complicated by low switching barriers and the commoditisation of standard delivery offerings. Customers frequently utilise multiple carriers simultaneously, making exclusive loyalty rare.</w:t>
      </w:r>
    </w:p>
    <w:p w:rsidR="00000000" w:rsidDel="00000000" w:rsidP="00000000" w:rsidRDefault="00000000" w:rsidRPr="00000000" w14:paraId="0000002B">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sz w:val="20"/>
          <w:szCs w:val="20"/>
          <w:highlight w:val="white"/>
          <w:rtl w:val="0"/>
        </w:rPr>
        <w:t xml:space="preserve">Effective retention strategies must move beyond price competition toward value-based stickiness. This encompasses service reliability, relationship management quality, and technological integration. Frow and Payne (2007) advocate for "customer management" rather than generic retention, emphasising differentiated treatment based on strategic value. For courier organisations, this implies that high-volume B2B clients receive dedicated account management and service level agreements (SLAs), while lower-value B2C customers are retained through digital self-service efficiency and consistent baseline performance. The risk of this differentiated approach lies in perceived inequity; B2C customers aware of premium B2B treatment may evaluate their service experience more negatively, highlighting the need for transparent service tiering.</w:t>
      </w:r>
    </w:p>
    <w:p w:rsidR="00000000" w:rsidDel="00000000" w:rsidP="00000000" w:rsidRDefault="00000000" w:rsidRPr="00000000" w14:paraId="0000002C">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b w:val="1"/>
          <w:bCs w:val="1"/>
          <w:sz w:val="20"/>
          <w:szCs w:val="20"/>
          <w:highlight w:val="white"/>
        </w:rPr>
      </w:pPr>
      <w:r w:rsidDel="00000000" w:rsidR="00000000" w:rsidRPr="00000000">
        <w:rPr>
          <w:rFonts w:ascii="Roboto" w:cs="Roboto" w:eastAsia="Roboto" w:hAnsi="Roboto"/>
          <w:b w:val="1"/>
          <w:bCs w:val="1"/>
          <w:sz w:val="20"/>
          <w:szCs w:val="20"/>
          <w:highlight w:val="white"/>
          <w:rtl w:val="0"/>
        </w:rPr>
        <w:t xml:space="preserve">4.4 Decline and Recovery</w:t>
      </w:r>
    </w:p>
    <w:p w:rsidR="00000000" w:rsidDel="00000000" w:rsidP="00000000" w:rsidRDefault="00000000" w:rsidRPr="00000000" w14:paraId="0000002D">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sz w:val="20"/>
          <w:szCs w:val="20"/>
          <w:highlight w:val="white"/>
          <w:rtl w:val="0"/>
        </w:rPr>
        <w:t xml:space="preserve">Customer relationships inevitably enter decline through competitive switching, changing requirements, or service dissatisfaction. In multi-drop courier operations, decline signals include shipment volume reduction, complaint escalation, contract renegotiation demands, or account dormancy. Recovery interventions—often termed "win-back" strategies—must identify decline root causes accurately. Service failure-driven decline requires apology, restitution, and process correction; price-driven decline may necessitate contract restructuring or value rearticulation.</w:t>
      </w:r>
    </w:p>
    <w:p w:rsidR="00000000" w:rsidDel="00000000" w:rsidP="00000000" w:rsidRDefault="00000000" w:rsidRPr="00000000" w14:paraId="0000002E">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sz w:val="20"/>
          <w:szCs w:val="20"/>
          <w:highlight w:val="white"/>
          <w:rtl w:val="0"/>
        </w:rPr>
        <w:t xml:space="preserve">The recovery phase offers a paradoxical opportunity. Research suggests that customers experiencing effective service recovery may exhibit higher loyalty than those who never experienced failure, termed the "service recovery paradox" (Zeithaml, Bitner and Gremler, 2018). However, this paradox is conditional upon the severity and perceived controllability of the initial failure. In courier contexts, a minor delay with proactive communication may strengthen relationships, whereas a catastrophic delivery failure (loss of high-value goods) typically produces irreversible damage regardless of recovery effort. Organisations must therefore calibrate recovery resource allocation against failure severity and customer strategic value.</w:t>
      </w:r>
    </w:p>
    <w:p w:rsidR="00000000" w:rsidDel="00000000" w:rsidP="00000000" w:rsidRDefault="00000000" w:rsidRPr="00000000" w14:paraId="0000002F">
      <w:pPr>
        <w:pBdr>
          <w:top w:color="ffffff" w:space="0" w:sz="8" w:val="single"/>
          <w:left w:color="ffffff" w:space="0" w:sz="8" w:val="single"/>
          <w:bottom w:color="ffffff" w:space="0" w:sz="8" w:val="single"/>
          <w:right w:color="ffffff" w:space="0" w:sz="8" w:val="single"/>
        </w:pBdr>
        <w:shd w:fill="ffffff" w:val="clear"/>
        <w:spacing w:line="390" w:lineRule="auto"/>
        <w:rPr>
          <w:rFonts w:ascii="Roboto" w:cs="Roboto" w:eastAsia="Roboto" w:hAnsi="Roboto"/>
          <w:sz w:val="20"/>
          <w:szCs w:val="20"/>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0">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b w:val="1"/>
          <w:bCs w:val="1"/>
          <w:sz w:val="20"/>
          <w:szCs w:val="20"/>
          <w:highlight w:val="white"/>
        </w:rPr>
      </w:pPr>
      <w:r w:rsidDel="00000000" w:rsidR="00000000" w:rsidRPr="00000000">
        <w:rPr>
          <w:rFonts w:ascii="Roboto" w:cs="Roboto" w:eastAsia="Roboto" w:hAnsi="Roboto"/>
          <w:b w:val="1"/>
          <w:bCs w:val="1"/>
          <w:sz w:val="20"/>
          <w:szCs w:val="20"/>
          <w:highlight w:val="white"/>
          <w:rtl w:val="0"/>
        </w:rPr>
        <w:t xml:space="preserve">5. Quality Processes and Their Implications for Customer Value</w:t>
      </w:r>
    </w:p>
    <w:p w:rsidR="00000000" w:rsidDel="00000000" w:rsidP="00000000" w:rsidRDefault="00000000" w:rsidRPr="00000000" w14:paraId="00000031">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b w:val="1"/>
          <w:bCs w:val="1"/>
          <w:sz w:val="20"/>
          <w:szCs w:val="20"/>
          <w:highlight w:val="white"/>
        </w:rPr>
      </w:pPr>
      <w:r w:rsidDel="00000000" w:rsidR="00000000" w:rsidRPr="00000000">
        <w:rPr>
          <w:rFonts w:ascii="Roboto" w:cs="Roboto" w:eastAsia="Roboto" w:hAnsi="Roboto"/>
          <w:b w:val="1"/>
          <w:bCs w:val="1"/>
          <w:sz w:val="20"/>
          <w:szCs w:val="20"/>
          <w:highlight w:val="white"/>
          <w:rtl w:val="0"/>
        </w:rPr>
        <w:t xml:space="preserve">5.1 Service Quality Frameworks in Courier Operations</w:t>
      </w:r>
    </w:p>
    <w:p w:rsidR="00000000" w:rsidDel="00000000" w:rsidP="00000000" w:rsidRDefault="00000000" w:rsidRPr="00000000" w14:paraId="00000032">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sz w:val="20"/>
          <w:szCs w:val="20"/>
          <w:highlight w:val="white"/>
          <w:rtl w:val="0"/>
        </w:rPr>
        <w:t xml:space="preserve">Quality processes within multi-drop courier organisations must be examined through service quality lenses. The SERVQUAL model, developed by Parasuraman, Zeithaml and Berry (1988), identifies five dimensions: tangibles, reliability, responsiveness, assurance, and empathy. Applied to courier services, tangibles encompass vehicle presentation, packaging materials, and digital interface design. Reliability—the most heavily weighted dimension in logistics—concerns consistent, accurate delivery within promised timeframes. Responsiveness reflects the organisation's capacity to handle enquiries, complaints, and special requests promptly. Assurance relates to driver competence, security protocols, and organisational credibility. Empathy, often challenging in high-volume operations, manifests through flexible delivery options and personalised communication.</w:t>
      </w:r>
    </w:p>
    <w:p w:rsidR="00000000" w:rsidDel="00000000" w:rsidP="00000000" w:rsidRDefault="00000000" w:rsidRPr="00000000" w14:paraId="00000033">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sz w:val="20"/>
          <w:szCs w:val="20"/>
          <w:highlight w:val="white"/>
          <w:rtl w:val="0"/>
        </w:rPr>
        <w:t xml:space="preserve">The SERVQUAL gap model posits that perceived quality emerges from the discrepancy between customer expectations and perceptions. In multi-drop operations, several gaps warrant attention. Gap 1 (consumer expectation-management perception gap) arises when management underestimates customer emphasis on communication transparency versus pure speed. Gap 3 (service quality specifications-service delivery gap) reflects operational failures—drivers deviating from routes, mis-scanned packages, or inadequate handling training. Gap 5 (expected service-perceived service gap) represents the cumulative customer evaluation.</w:t>
      </w:r>
    </w:p>
    <w:p w:rsidR="00000000" w:rsidDel="00000000" w:rsidP="00000000" w:rsidRDefault="00000000" w:rsidRPr="00000000" w14:paraId="00000034">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sz w:val="20"/>
          <w:szCs w:val="20"/>
          <w:highlight w:val="white"/>
          <w:rtl w:val="0"/>
        </w:rPr>
        <w:t xml:space="preserve">Critically, SERVQUAL has attracted methodological criticism regarding its expectancy-disconfirmation operationalisation and the ambiguity of expectations measurement (Buttle, 2009). Alternative frameworks such as SERVPERF (performance-only measurement) may offer greater predictive validity in courier contexts where customers hold fluid, experience-adjusted expectations. Nevertheless, the dimensional structure of SERVQUAL remains analytically valuable for diagnosing quality shortfalls systematically.</w:t>
      </w:r>
    </w:p>
    <w:p w:rsidR="00000000" w:rsidDel="00000000" w:rsidP="00000000" w:rsidRDefault="00000000" w:rsidRPr="00000000" w14:paraId="00000035">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b w:val="1"/>
          <w:bCs w:val="1"/>
          <w:sz w:val="20"/>
          <w:szCs w:val="20"/>
          <w:highlight w:val="white"/>
        </w:rPr>
      </w:pPr>
      <w:r w:rsidDel="00000000" w:rsidR="00000000" w:rsidRPr="00000000">
        <w:rPr>
          <w:rFonts w:ascii="Roboto" w:cs="Roboto" w:eastAsia="Roboto" w:hAnsi="Roboto"/>
          <w:b w:val="1"/>
          <w:bCs w:val="1"/>
          <w:sz w:val="20"/>
          <w:szCs w:val="20"/>
          <w:highlight w:val="white"/>
          <w:rtl w:val="0"/>
        </w:rPr>
        <w:t xml:space="preserve">5.2 Total Quality Management and Continuous Improvement</w:t>
      </w:r>
    </w:p>
    <w:p w:rsidR="00000000" w:rsidDel="00000000" w:rsidP="00000000" w:rsidRDefault="00000000" w:rsidRPr="00000000" w14:paraId="00000036">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sz w:val="20"/>
          <w:szCs w:val="20"/>
          <w:highlight w:val="white"/>
          <w:rtl w:val="0"/>
        </w:rPr>
        <w:t xml:space="preserve">TQM principles, rooted in Deming's (1986) philosophy of continuous improvement and Juran's (1988) quality trilogy (planning, control, improvement), provide the structural foundation for courier quality processes. In multi-drop operations, TQM manifests through: standardised operating procedures for collection, sortation, line-haul, and delivery; statistical process control for on-time performance and damage rates; employee empowerment initiatives enabling drivers to resolve delivery exceptions autonomously; and cross-functional quality circles addressing systemic failure patterns.</w:t>
      </w:r>
    </w:p>
    <w:p w:rsidR="00000000" w:rsidDel="00000000" w:rsidP="00000000" w:rsidRDefault="00000000" w:rsidRPr="00000000" w14:paraId="00000037">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sz w:val="20"/>
          <w:szCs w:val="20"/>
          <w:highlight w:val="white"/>
          <w:rtl w:val="0"/>
        </w:rPr>
        <w:t xml:space="preserve">The implication for customer value is substantial. TQM-driven process reliability reduces delivery variance, thereby increasing the probability of expectation confirmation. Consistent service performance builds trust, a critical relational asset identified by Morgan and Hunt (1994). Furthermore, TQM's emphasis on prevention over inspection reduces failure costs—redelivery expenses, claims processing, and reputation damage—thereby improving the cost-to-serve ratio and enabling competitive pricing or reinvestment in service enhancement.</w:t>
      </w:r>
    </w:p>
    <w:p w:rsidR="00000000" w:rsidDel="00000000" w:rsidP="00000000" w:rsidRDefault="00000000" w:rsidRPr="00000000" w14:paraId="00000038">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sz w:val="20"/>
          <w:szCs w:val="20"/>
          <w:highlight w:val="white"/>
          <w:rtl w:val="0"/>
        </w:rPr>
        <w:t xml:space="preserve">However, TQM implementation in courier operations faces structural challenges. The distributed nature of delivery networks, high employee turnover among drivers, and the pressure between delivery speed and quality create implementation friction. Deming's (1986) emphasis on reducing variation may conflict with customer demands for increasingly personalised delivery options. Moreover, TQM's internal focus risks neglecting the external customer perspective; process conformance does not guarantee value perception alignment. The organisation must therefore integrate TQM with customer-centric quality definitions rather than treating operational metrics as sufficient proxies for customer value.</w:t>
      </w:r>
    </w:p>
    <w:p w:rsidR="00000000" w:rsidDel="00000000" w:rsidP="00000000" w:rsidRDefault="00000000" w:rsidRPr="00000000" w14:paraId="00000039">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b w:val="1"/>
          <w:bCs w:val="1"/>
          <w:sz w:val="20"/>
          <w:szCs w:val="20"/>
          <w:highlight w:val="white"/>
        </w:rPr>
      </w:pPr>
      <w:r w:rsidDel="00000000" w:rsidR="00000000" w:rsidRPr="00000000">
        <w:rPr>
          <w:rFonts w:ascii="Roboto" w:cs="Roboto" w:eastAsia="Roboto" w:hAnsi="Roboto"/>
          <w:b w:val="1"/>
          <w:bCs w:val="1"/>
          <w:sz w:val="20"/>
          <w:szCs w:val="20"/>
          <w:highlight w:val="white"/>
          <w:rtl w:val="0"/>
        </w:rPr>
        <w:t xml:space="preserve">5.3 Lean Principles and Waste Reduction</w:t>
      </w:r>
    </w:p>
    <w:p w:rsidR="00000000" w:rsidDel="00000000" w:rsidP="00000000" w:rsidRDefault="00000000" w:rsidRPr="00000000" w14:paraId="0000003A">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sz w:val="20"/>
          <w:szCs w:val="20"/>
          <w:highlight w:val="white"/>
          <w:rtl w:val="0"/>
        </w:rPr>
        <w:t xml:space="preserve">Lean methodology, derived from Toyota Production System principles and popularised in Western management practice by Womack and Jones (2003), targets the elimination of muda (waste) across value streams. In courier operations, waste categories include: transportation waste (inefficient routing, empty running); inventory waste (packages dwelling excessively in sortation hubs); motion waste (driver inefficiency at delivery points); and defect waste (failed deliveries, mis-sorts, damages). Lean tools—value stream mapping, 5S workplace organisation, standardised work—enhance operational flow and capacity utilisation.</w:t>
      </w:r>
    </w:p>
    <w:p w:rsidR="00000000" w:rsidDel="00000000" w:rsidP="00000000" w:rsidRDefault="00000000" w:rsidRPr="00000000" w14:paraId="0000003B">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sz w:val="20"/>
          <w:szCs w:val="20"/>
          <w:highlight w:val="white"/>
          <w:rtl w:val="0"/>
        </w:rPr>
        <w:t xml:space="preserve">For the customer, Lean improvements translate into faster throughput, lower costs, and reduced error rates. However, an uncritical Lean focus risks dehumanising service interactions. Driver pressure to minimise dwell time at delivery points may reduce interaction quality, eroding the empathy dimension of service quality. Furthermore, excessive Lean standardisation may constrain the operational flexibility required for premium service tiers. The implication is that Lean must be applied selectively, with clear distinction between value-adding activities (customer-facing flexibility) and non-value-adding waste (redundant processing).</w:t>
      </w:r>
    </w:p>
    <w:p w:rsidR="00000000" w:rsidDel="00000000" w:rsidP="00000000" w:rsidRDefault="00000000" w:rsidRPr="00000000" w14:paraId="0000003C">
      <w:pPr>
        <w:pBdr>
          <w:top w:color="ffffff" w:space="0" w:sz="8" w:val="single"/>
          <w:left w:color="ffffff" w:space="0" w:sz="8" w:val="single"/>
          <w:bottom w:color="ffffff" w:space="0" w:sz="8" w:val="single"/>
          <w:right w:color="ffffff" w:space="0" w:sz="8" w:val="single"/>
        </w:pBdr>
        <w:shd w:fill="ffffff" w:val="clear"/>
        <w:spacing w:line="390" w:lineRule="auto"/>
        <w:rPr>
          <w:rFonts w:ascii="Roboto" w:cs="Roboto" w:eastAsia="Roboto" w:hAnsi="Roboto"/>
          <w:sz w:val="20"/>
          <w:szCs w:val="20"/>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D">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b w:val="1"/>
          <w:bCs w:val="1"/>
          <w:sz w:val="20"/>
          <w:szCs w:val="20"/>
          <w:highlight w:val="white"/>
        </w:rPr>
      </w:pPr>
      <w:r w:rsidDel="00000000" w:rsidR="00000000" w:rsidRPr="00000000">
        <w:rPr>
          <w:rFonts w:ascii="Roboto" w:cs="Roboto" w:eastAsia="Roboto" w:hAnsi="Roboto"/>
          <w:b w:val="1"/>
          <w:bCs w:val="1"/>
          <w:sz w:val="20"/>
          <w:szCs w:val="20"/>
          <w:highlight w:val="white"/>
          <w:rtl w:val="0"/>
        </w:rPr>
        <w:t xml:space="preserve">6. Direct and Indirect Customer Value Metrics</w:t>
      </w:r>
    </w:p>
    <w:p w:rsidR="00000000" w:rsidDel="00000000" w:rsidP="00000000" w:rsidRDefault="00000000" w:rsidRPr="00000000" w14:paraId="0000003E">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sz w:val="20"/>
          <w:szCs w:val="20"/>
          <w:highlight w:val="white"/>
          <w:rtl w:val="0"/>
        </w:rPr>
        <w:t xml:space="preserve">Customer value assessment requires multidimensional measurement encompassing direct financial contributions and indirect relational benefits. Rust, Lemon and Zeithaml (2004) argue that marketing accountability demands metrics linking customer attitudes and behaviours to financial outcomes, a principle equally applicable to courier CRM.</w:t>
      </w:r>
    </w:p>
    <w:p w:rsidR="00000000" w:rsidDel="00000000" w:rsidP="00000000" w:rsidRDefault="00000000" w:rsidRPr="00000000" w14:paraId="0000003F">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b w:val="1"/>
          <w:bCs w:val="1"/>
          <w:sz w:val="20"/>
          <w:szCs w:val="20"/>
          <w:highlight w:val="white"/>
        </w:rPr>
      </w:pPr>
      <w:r w:rsidDel="00000000" w:rsidR="00000000" w:rsidRPr="00000000">
        <w:rPr>
          <w:rFonts w:ascii="Roboto" w:cs="Roboto" w:eastAsia="Roboto" w:hAnsi="Roboto"/>
          <w:b w:val="1"/>
          <w:bCs w:val="1"/>
          <w:sz w:val="20"/>
          <w:szCs w:val="20"/>
          <w:highlight w:val="white"/>
          <w:rtl w:val="0"/>
        </w:rPr>
        <w:t xml:space="preserve">6.1 Direct Value Metrics</w:t>
      </w:r>
    </w:p>
    <w:p w:rsidR="00000000" w:rsidDel="00000000" w:rsidP="00000000" w:rsidRDefault="00000000" w:rsidRPr="00000000" w14:paraId="00000040">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sz w:val="20"/>
          <w:szCs w:val="20"/>
          <w:highlight w:val="white"/>
          <w:rtl w:val="0"/>
        </w:rPr>
        <w:t xml:space="preserve">Direct value metrics quantify the explicit revenue and profit contribution attributable to individual customers or segments. In multi-drop courier operations, these include: shipment revenue (volume multiplied by rate per parcel); account profitability (revenue minus attributable costs including collection, line-haul, delivery attempts, and customer service); and Customer Lifetime Value (CLV), projecting future profit streams discounted to present value (Reinartz and Kumar, 2003). CLV modelling enables strategic resource allocation, identifying which customer relationships warrant development investment versus maintenance or divestment.</w:t>
      </w:r>
    </w:p>
    <w:p w:rsidR="00000000" w:rsidDel="00000000" w:rsidP="00000000" w:rsidRDefault="00000000" w:rsidRPr="00000000" w14:paraId="00000041">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sz w:val="20"/>
          <w:szCs w:val="20"/>
          <w:highlight w:val="white"/>
          <w:rtl w:val="0"/>
        </w:rPr>
        <w:t xml:space="preserve">Direct metrics also encompass retention economics: cost-to-acquire, cost-to-serve, and churn rates. For courier organisations, cost-to-serve varies significantly by delivery density; customers in remote locations or with complex access requirements generate higher delivery costs per parcel. Without granular direct value measurement, organisations risk cross-subsidisation wherein profitable urban B2C deliveries subsidise unprofitable rural services, or high-volume B2B contracts receive inadequate margin protection.</w:t>
      </w:r>
    </w:p>
    <w:p w:rsidR="00000000" w:rsidDel="00000000" w:rsidP="00000000" w:rsidRDefault="00000000" w:rsidRPr="00000000" w14:paraId="00000042">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b w:val="1"/>
          <w:bCs w:val="1"/>
          <w:sz w:val="20"/>
          <w:szCs w:val="20"/>
          <w:highlight w:val="white"/>
        </w:rPr>
      </w:pPr>
      <w:r w:rsidDel="00000000" w:rsidR="00000000" w:rsidRPr="00000000">
        <w:rPr>
          <w:rFonts w:ascii="Roboto" w:cs="Roboto" w:eastAsia="Roboto" w:hAnsi="Roboto"/>
          <w:b w:val="1"/>
          <w:bCs w:val="1"/>
          <w:sz w:val="20"/>
          <w:szCs w:val="20"/>
          <w:highlight w:val="white"/>
          <w:rtl w:val="0"/>
        </w:rPr>
        <w:t xml:space="preserve">6.2 Indirect Value Metrics</w:t>
      </w:r>
    </w:p>
    <w:p w:rsidR="00000000" w:rsidDel="00000000" w:rsidP="00000000" w:rsidRDefault="00000000" w:rsidRPr="00000000" w14:paraId="00000043">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sz w:val="20"/>
          <w:szCs w:val="20"/>
          <w:highlight w:val="white"/>
          <w:rtl w:val="0"/>
        </w:rPr>
        <w:t xml:space="preserve">Indirect value metrics capture relational and reputational contributions not immediately visible in transaction records. These include: referral value (new customers acquired through recommendation); informational value (customer feedback driving process improvement); and network value (customers whose delivery density improves route efficiency for other accounts). In multi-drop operations, a B2B client consolidating multiple suppliers' goods into single collection points generates positive network externalities by increasing collection density.</w:t>
      </w:r>
    </w:p>
    <w:p w:rsidR="00000000" w:rsidDel="00000000" w:rsidP="00000000" w:rsidRDefault="00000000" w:rsidRPr="00000000" w14:paraId="00000044">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sz w:val="20"/>
          <w:szCs w:val="20"/>
          <w:highlight w:val="white"/>
          <w:rtl w:val="0"/>
        </w:rPr>
        <w:t xml:space="preserve">Additionally, customer satisfaction scores, Net Promoter Score (NPS), and complaint patterns serve as leading indicators of future behavioural intentions. While satisfaction does not guarantee loyalty in low-switching-cost environments, dissatisfaction reliably predicts defection (Oliver, 1980). Indirect metrics also encompass brand equity effects; consistent service quality across numerous touchpoints builds sector reputation, reducing future acquisition costs and supporting premium pricing power.</w:t>
      </w:r>
    </w:p>
    <w:p w:rsidR="00000000" w:rsidDel="00000000" w:rsidP="00000000" w:rsidRDefault="00000000" w:rsidRPr="00000000" w14:paraId="00000045">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sz w:val="20"/>
          <w:szCs w:val="20"/>
          <w:highlight w:val="white"/>
          <w:rtl w:val="0"/>
        </w:rPr>
        <w:t xml:space="preserve">The critical evaluation of value metrics reveals a measurement tension. Direct metrics, while financially rigorous, often rely on arbitrary cost allocation methods in shared delivery networks. Indirect metrics, though strategically insightful, frequently lack causal attribution to financial outcomes. The organisation must therefore adopt balanced scorecard approaches integrating both dimensions, recognising that over-reliance on direct metrics may lead to underinvestment in relational development, while excessive focus on satisfaction proxies may obscure profitability erosion.</w:t>
      </w:r>
    </w:p>
    <w:p w:rsidR="00000000" w:rsidDel="00000000" w:rsidP="00000000" w:rsidRDefault="00000000" w:rsidRPr="00000000" w14:paraId="00000046">
      <w:pPr>
        <w:pBdr>
          <w:top w:color="ffffff" w:space="0" w:sz="8" w:val="single"/>
          <w:left w:color="ffffff" w:space="0" w:sz="8" w:val="single"/>
          <w:bottom w:color="ffffff" w:space="0" w:sz="8" w:val="single"/>
          <w:right w:color="ffffff" w:space="0" w:sz="8" w:val="single"/>
        </w:pBdr>
        <w:shd w:fill="ffffff" w:val="clear"/>
        <w:spacing w:line="390" w:lineRule="auto"/>
        <w:rPr>
          <w:rFonts w:ascii="Roboto" w:cs="Roboto" w:eastAsia="Roboto" w:hAnsi="Roboto"/>
          <w:sz w:val="20"/>
          <w:szCs w:val="20"/>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47">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b w:val="1"/>
          <w:bCs w:val="1"/>
          <w:sz w:val="20"/>
          <w:szCs w:val="20"/>
          <w:highlight w:val="white"/>
        </w:rPr>
      </w:pPr>
      <w:r w:rsidDel="00000000" w:rsidR="00000000" w:rsidRPr="00000000">
        <w:rPr>
          <w:rFonts w:ascii="Roboto" w:cs="Roboto" w:eastAsia="Roboto" w:hAnsi="Roboto"/>
          <w:b w:val="1"/>
          <w:bCs w:val="1"/>
          <w:sz w:val="20"/>
          <w:szCs w:val="20"/>
          <w:highlight w:val="white"/>
          <w:rtl w:val="0"/>
        </w:rPr>
        <w:t xml:space="preserve">7. Customer Centrality and Segmentation</w:t>
      </w:r>
    </w:p>
    <w:p w:rsidR="00000000" w:rsidDel="00000000" w:rsidP="00000000" w:rsidRDefault="00000000" w:rsidRPr="00000000" w14:paraId="00000048">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b w:val="1"/>
          <w:bCs w:val="1"/>
          <w:sz w:val="20"/>
          <w:szCs w:val="20"/>
          <w:highlight w:val="white"/>
        </w:rPr>
      </w:pPr>
      <w:r w:rsidDel="00000000" w:rsidR="00000000" w:rsidRPr="00000000">
        <w:rPr>
          <w:rFonts w:ascii="Roboto" w:cs="Roboto" w:eastAsia="Roboto" w:hAnsi="Roboto"/>
          <w:b w:val="1"/>
          <w:bCs w:val="1"/>
          <w:sz w:val="20"/>
          <w:szCs w:val="20"/>
          <w:highlight w:val="white"/>
          <w:rtl w:val="0"/>
        </w:rPr>
        <w:t xml:space="preserve">7.1 The Strategic Imperative of Customer Centrality</w:t>
      </w:r>
    </w:p>
    <w:p w:rsidR="00000000" w:rsidDel="00000000" w:rsidP="00000000" w:rsidRDefault="00000000" w:rsidRPr="00000000" w14:paraId="00000049">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sz w:val="20"/>
          <w:szCs w:val="20"/>
          <w:highlight w:val="white"/>
          <w:rtl w:val="0"/>
        </w:rPr>
        <w:t xml:space="preserve">Customer centrality—the orientation of organisational strategy, culture, and processes around customer needs—represents a foundational CRM principle. Gronroos (2004) argues that service-dominant logic necessitates co-creation of value, wherein customers are active participants rather than passive recipients. In multi-drop courier operations, customer centrality manifests through: flexible delivery windows accommodating recipient availability; self-service redelivery scheduling; real-time tracking transparency; and proactive exception management.</w:t>
      </w:r>
    </w:p>
    <w:p w:rsidR="00000000" w:rsidDel="00000000" w:rsidP="00000000" w:rsidRDefault="00000000" w:rsidRPr="00000000" w14:paraId="0000004A">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sz w:val="20"/>
          <w:szCs w:val="20"/>
          <w:highlight w:val="white"/>
          <w:rtl w:val="0"/>
        </w:rPr>
        <w:t xml:space="preserve">However, achieving genuine customer centrality confronts operational realities. Multi-drop efficiency depends upon route optimisation algorithms prioritising density and temporal constraints over individual preference accommodation. The organisation faces a strategic choice: standardise service to maximise operational efficiency, or customise to maximise individual customer value. This tension is not merely operational but philosophical. A production-oriented mindset treats customers as outputs to be processed; a customer-centric mindset treats each delivery as a value-creation opportunity (Payne and Frow, 2005).</w:t>
      </w:r>
    </w:p>
    <w:p w:rsidR="00000000" w:rsidDel="00000000" w:rsidP="00000000" w:rsidRDefault="00000000" w:rsidRPr="00000000" w14:paraId="0000004B">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sz w:val="20"/>
          <w:szCs w:val="20"/>
          <w:highlight w:val="white"/>
          <w:rtl w:val="0"/>
        </w:rPr>
        <w:t xml:space="preserve">The argument advanced here is that customer centrality in courier operations requires </w:t>
      </w:r>
      <w:r w:rsidDel="00000000" w:rsidR="00000000" w:rsidRPr="00000000">
        <w:rPr>
          <w:rFonts w:ascii="Roboto" w:cs="Roboto" w:eastAsia="Roboto" w:hAnsi="Roboto"/>
          <w:i w:val="1"/>
          <w:iCs w:val="1"/>
          <w:sz w:val="20"/>
          <w:szCs w:val="20"/>
          <w:highlight w:val="white"/>
          <w:rtl w:val="0"/>
        </w:rPr>
        <w:t xml:space="preserve">strategic</w:t>
      </w:r>
      <w:r w:rsidDel="00000000" w:rsidR="00000000" w:rsidRPr="00000000">
        <w:rPr>
          <w:rFonts w:ascii="Roboto" w:cs="Roboto" w:eastAsia="Roboto" w:hAnsi="Roboto"/>
          <w:sz w:val="20"/>
          <w:szCs w:val="20"/>
          <w:highlight w:val="white"/>
          <w:rtl w:val="0"/>
        </w:rPr>
        <w:t xml:space="preserve"> rather than </w:t>
      </w:r>
      <w:r w:rsidDel="00000000" w:rsidR="00000000" w:rsidRPr="00000000">
        <w:rPr>
          <w:rFonts w:ascii="Roboto" w:cs="Roboto" w:eastAsia="Roboto" w:hAnsi="Roboto"/>
          <w:i w:val="1"/>
          <w:iCs w:val="1"/>
          <w:sz w:val="20"/>
          <w:szCs w:val="20"/>
          <w:highlight w:val="white"/>
          <w:rtl w:val="0"/>
        </w:rPr>
        <w:t xml:space="preserve">universal</w:t>
      </w:r>
      <w:r w:rsidDel="00000000" w:rsidR="00000000" w:rsidRPr="00000000">
        <w:rPr>
          <w:rFonts w:ascii="Roboto" w:cs="Roboto" w:eastAsia="Roboto" w:hAnsi="Roboto"/>
          <w:sz w:val="20"/>
          <w:szCs w:val="20"/>
          <w:highlight w:val="white"/>
          <w:rtl w:val="0"/>
        </w:rPr>
        <w:t xml:space="preserve"> customisation. Not all customers warrant equal customisation investment; centrality implies understanding and responding to differentiated needs proportionally. This aligns with the service-profit chain logic: employee capability and system flexibility must be directed toward high-value relationship segments while maintaining reliable baseline service for transactional customers.</w:t>
      </w:r>
    </w:p>
    <w:p w:rsidR="00000000" w:rsidDel="00000000" w:rsidP="00000000" w:rsidRDefault="00000000" w:rsidRPr="00000000" w14:paraId="0000004C">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b w:val="1"/>
          <w:bCs w:val="1"/>
          <w:sz w:val="20"/>
          <w:szCs w:val="20"/>
          <w:highlight w:val="white"/>
        </w:rPr>
      </w:pPr>
      <w:r w:rsidDel="00000000" w:rsidR="00000000" w:rsidRPr="00000000">
        <w:rPr>
          <w:rFonts w:ascii="Roboto" w:cs="Roboto" w:eastAsia="Roboto" w:hAnsi="Roboto"/>
          <w:b w:val="1"/>
          <w:bCs w:val="1"/>
          <w:sz w:val="20"/>
          <w:szCs w:val="20"/>
          <w:highlight w:val="white"/>
          <w:rtl w:val="0"/>
        </w:rPr>
        <w:t xml:space="preserve">7.2 Segmentation Strategies</w:t>
      </w:r>
    </w:p>
    <w:p w:rsidR="00000000" w:rsidDel="00000000" w:rsidP="00000000" w:rsidRDefault="00000000" w:rsidRPr="00000000" w14:paraId="0000004D">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sz w:val="20"/>
          <w:szCs w:val="20"/>
          <w:highlight w:val="white"/>
          <w:rtl w:val="0"/>
        </w:rPr>
        <w:t xml:space="preserve">Effective CRM depends upon meaningful segmentation enabling differentiated value propositions. Traditional demographic segmentation (company size, industry sector, geographic location) provides initial structure but insufficient behavioural insight. For multi-drop couriers, more sophisticated segmentation frameworks include:</w:t>
      </w:r>
    </w:p>
    <w:p w:rsidR="00000000" w:rsidDel="00000000" w:rsidP="00000000" w:rsidRDefault="00000000" w:rsidRPr="00000000" w14:paraId="0000004E">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i w:val="1"/>
          <w:iCs w:val="1"/>
          <w:sz w:val="20"/>
          <w:szCs w:val="20"/>
          <w:highlight w:val="white"/>
          <w:rtl w:val="0"/>
        </w:rPr>
        <w:t xml:space="preserve">Value-Based Segmentation:</w:t>
      </w:r>
      <w:r w:rsidDel="00000000" w:rsidR="00000000" w:rsidRPr="00000000">
        <w:rPr>
          <w:rFonts w:ascii="Roboto" w:cs="Roboto" w:eastAsia="Roboto" w:hAnsi="Roboto"/>
          <w:sz w:val="20"/>
          <w:szCs w:val="20"/>
          <w:highlight w:val="white"/>
          <w:rtl w:val="0"/>
        </w:rPr>
        <w:t xml:space="preserve"> Categorising customers by current and potential lifetime value. High-value segments receive dedicated account management, SLA guarantees, and priority capacity allocation. Low-value segments are served through efficient standardised channels. This approach maximises return on CRM investment but risks neglecting customers with high potential but low current value.</w:t>
      </w:r>
    </w:p>
    <w:p w:rsidR="00000000" w:rsidDel="00000000" w:rsidP="00000000" w:rsidRDefault="00000000" w:rsidRPr="00000000" w14:paraId="0000004F">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i w:val="1"/>
          <w:iCs w:val="1"/>
          <w:sz w:val="20"/>
          <w:szCs w:val="20"/>
          <w:highlight w:val="white"/>
          <w:rtl w:val="0"/>
        </w:rPr>
        <w:t xml:space="preserve">Behavioural Segmentation:</w:t>
      </w:r>
      <w:r w:rsidDel="00000000" w:rsidR="00000000" w:rsidRPr="00000000">
        <w:rPr>
          <w:rFonts w:ascii="Roboto" w:cs="Roboto" w:eastAsia="Roboto" w:hAnsi="Roboto"/>
          <w:sz w:val="20"/>
          <w:szCs w:val="20"/>
          <w:highlight w:val="white"/>
          <w:rtl w:val="0"/>
        </w:rPr>
        <w:t xml:space="preserve"> Grouping customers by shipping patterns, delivery preferences, and service interaction histories. "Convenience seekers" prioritise flexible collection points; "precision seekers" demand exact time windows; "cost minimisers" accept longer delivery windows for reduced rates. Behavioural segmentation enables service design alignment but requires substantial data analytics capability.</w:t>
      </w:r>
    </w:p>
    <w:p w:rsidR="00000000" w:rsidDel="00000000" w:rsidP="00000000" w:rsidRDefault="00000000" w:rsidRPr="00000000" w14:paraId="00000050">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i w:val="1"/>
          <w:iCs w:val="1"/>
          <w:sz w:val="20"/>
          <w:szCs w:val="20"/>
          <w:highlight w:val="white"/>
          <w:rtl w:val="0"/>
        </w:rPr>
        <w:t xml:space="preserve">Needs-Based Segmentation:</w:t>
      </w:r>
      <w:r w:rsidDel="00000000" w:rsidR="00000000" w:rsidRPr="00000000">
        <w:rPr>
          <w:rFonts w:ascii="Roboto" w:cs="Roboto" w:eastAsia="Roboto" w:hAnsi="Roboto"/>
          <w:sz w:val="20"/>
          <w:szCs w:val="20"/>
          <w:highlight w:val="white"/>
          <w:rtl w:val="0"/>
        </w:rPr>
        <w:t xml:space="preserve"> Identifying customers by underlying logistical requirements. E-commerce retailers require integration with order management systems and returns handling; pharmaceutical clients require temperature-controlled chain-of-custody processes; document services require same-day certainty. Needs-based segmentation directly informs service portfolio design.</w:t>
      </w:r>
    </w:p>
    <w:p w:rsidR="00000000" w:rsidDel="00000000" w:rsidP="00000000" w:rsidRDefault="00000000" w:rsidRPr="00000000" w14:paraId="00000051">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i w:val="1"/>
          <w:iCs w:val="1"/>
          <w:sz w:val="20"/>
          <w:szCs w:val="20"/>
          <w:highlight w:val="white"/>
          <w:rtl w:val="0"/>
        </w:rPr>
        <w:t xml:space="preserve">RFM Analysis (Recency, Frequency, Monetary):</w:t>
      </w:r>
      <w:r w:rsidDel="00000000" w:rsidR="00000000" w:rsidRPr="00000000">
        <w:rPr>
          <w:rFonts w:ascii="Roboto" w:cs="Roboto" w:eastAsia="Roboto" w:hAnsi="Roboto"/>
          <w:sz w:val="20"/>
          <w:szCs w:val="20"/>
          <w:highlight w:val="white"/>
          <w:rtl w:val="0"/>
        </w:rPr>
        <w:t xml:space="preserve"> A classic direct marketing tool applicable to B2C courier relationships. High recency, frequency, and monetary value customers represent core retention priorities. Declining RFM scores trigger intervention workflows.</w:t>
      </w:r>
    </w:p>
    <w:p w:rsidR="00000000" w:rsidDel="00000000" w:rsidP="00000000" w:rsidRDefault="00000000" w:rsidRPr="00000000" w14:paraId="00000052">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sz w:val="20"/>
          <w:szCs w:val="20"/>
          <w:highlight w:val="white"/>
          <w:rtl w:val="0"/>
        </w:rPr>
        <w:t xml:space="preserve">The critical evaluation of segmentation reveals implementation complexities. Over-segmentation fragments operational focus and increases complexity costs. Under-segmentation fails to capture meaningful heterogeneity. Furthermore, segmentation must remain dynamic; customer needs evolve, and static segment assignments become inaccurate. The organisation should therefore implement periodic segment validation and migration pathways allowing customers to move between service tiers as their value or requirements change.</w:t>
      </w:r>
    </w:p>
    <w:p w:rsidR="00000000" w:rsidDel="00000000" w:rsidP="00000000" w:rsidRDefault="00000000" w:rsidRPr="00000000" w14:paraId="00000053">
      <w:pPr>
        <w:pBdr>
          <w:top w:color="ffffff" w:space="0" w:sz="8" w:val="single"/>
          <w:left w:color="ffffff" w:space="0" w:sz="8" w:val="single"/>
          <w:bottom w:color="ffffff" w:space="0" w:sz="8" w:val="single"/>
          <w:right w:color="ffffff" w:space="0" w:sz="8" w:val="single"/>
        </w:pBdr>
        <w:shd w:fill="ffffff" w:val="clear"/>
        <w:spacing w:line="390" w:lineRule="auto"/>
        <w:rPr>
          <w:rFonts w:ascii="Roboto" w:cs="Roboto" w:eastAsia="Roboto" w:hAnsi="Roboto"/>
          <w:sz w:val="20"/>
          <w:szCs w:val="20"/>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54">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b w:val="1"/>
          <w:bCs w:val="1"/>
          <w:sz w:val="20"/>
          <w:szCs w:val="20"/>
          <w:highlight w:val="white"/>
        </w:rPr>
      </w:pPr>
      <w:r w:rsidDel="00000000" w:rsidR="00000000" w:rsidRPr="00000000">
        <w:rPr>
          <w:rFonts w:ascii="Roboto" w:cs="Roboto" w:eastAsia="Roboto" w:hAnsi="Roboto"/>
          <w:b w:val="1"/>
          <w:bCs w:val="1"/>
          <w:sz w:val="20"/>
          <w:szCs w:val="20"/>
          <w:highlight w:val="white"/>
          <w:rtl w:val="0"/>
        </w:rPr>
        <w:t xml:space="preserve">8. Managing Customer Expectations</w:t>
      </w:r>
    </w:p>
    <w:p w:rsidR="00000000" w:rsidDel="00000000" w:rsidP="00000000" w:rsidRDefault="00000000" w:rsidRPr="00000000" w14:paraId="00000055">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sz w:val="20"/>
          <w:szCs w:val="20"/>
          <w:highlight w:val="white"/>
          <w:rtl w:val="0"/>
        </w:rPr>
        <w:t xml:space="preserve">Expectation management represents the critical interface between operational capability and customer satisfaction. As established, satisfaction is a function of disconfirmation; therefore, managing expectations is as strategically important as managing performance (Oliver, 1980).</w:t>
      </w:r>
    </w:p>
    <w:p w:rsidR="00000000" w:rsidDel="00000000" w:rsidP="00000000" w:rsidRDefault="00000000" w:rsidRPr="00000000" w14:paraId="00000056">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sz w:val="20"/>
          <w:szCs w:val="20"/>
          <w:highlight w:val="white"/>
          <w:rtl w:val="0"/>
        </w:rPr>
        <w:t xml:space="preserve">In multi-drop courier services, expectation management operates across multiple channels and stages. At the pre-transaction stage, marketing communications, website promises, and sales representations establish baseline expectations. Accuracy here is paramount; over-promising delivery speed or tracking granularity to secure business creates inevitable disconfirmation. The organisation must ensure sales incentives align with operational reality.</w:t>
      </w:r>
    </w:p>
    <w:p w:rsidR="00000000" w:rsidDel="00000000" w:rsidP="00000000" w:rsidRDefault="00000000" w:rsidRPr="00000000" w14:paraId="00000057">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sz w:val="20"/>
          <w:szCs w:val="20"/>
          <w:highlight w:val="white"/>
          <w:rtl w:val="0"/>
        </w:rPr>
        <w:t xml:space="preserve">During service delivery, expectation management shifts to execution and communication. Real-time tracking systems manage temporal expectations by providing visibility into delivery progression. Proactive notifications regarding delays—coupled with revised delivery estimates—enable cognitive adjustment before negative disconfirmation occurs. Research indicates that customers forgive delays communicated transparently more readily than unexplained failures (Zeithaml, Bitner and Gremler, 2018).</w:t>
      </w:r>
    </w:p>
    <w:p w:rsidR="00000000" w:rsidDel="00000000" w:rsidP="00000000" w:rsidRDefault="00000000" w:rsidRPr="00000000" w14:paraId="00000058">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sz w:val="20"/>
          <w:szCs w:val="20"/>
          <w:highlight w:val="white"/>
          <w:rtl w:val="0"/>
        </w:rPr>
        <w:t xml:space="preserve">Post-transaction, expectation management involves claims handling, feedback solicitation, and service recovery. The organisation must establish clear, accessible policies regarding loss, damage, and delay compensation. Ambiguity in policy creates expectation uncertainty, generating dissatisfaction even when outcomes are favourable.</w:t>
      </w:r>
    </w:p>
    <w:p w:rsidR="00000000" w:rsidDel="00000000" w:rsidP="00000000" w:rsidRDefault="00000000" w:rsidRPr="00000000" w14:paraId="00000059">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sz w:val="20"/>
          <w:szCs w:val="20"/>
          <w:highlight w:val="white"/>
          <w:rtl w:val="0"/>
        </w:rPr>
        <w:t xml:space="preserve">A critical weakness in many courier operations is the asymmetry between B2B and B2C expectation management. B2B clients typically negotiate detailed SLAs with penalty clauses and escalation protocols, creating explicit, measurable expectations. B2C customers, however, often encounter vague service promises ("next day delivery") without qualification regarding remote areas, attempted delivery policies, or liability limitations. This expectation asymmetry produces disproportionate dissatisfaction among B2C customers when standard operational constraints manifest. The organisation must therefore invest in clearer B2C communication architecture, ensuring expectations are realistic without becoming so conservative that competitive appeal is lost.</w:t>
      </w:r>
    </w:p>
    <w:p w:rsidR="00000000" w:rsidDel="00000000" w:rsidP="00000000" w:rsidRDefault="00000000" w:rsidRPr="00000000" w14:paraId="0000005A">
      <w:pPr>
        <w:pBdr>
          <w:top w:color="ffffff" w:space="0" w:sz="8" w:val="single"/>
          <w:left w:color="ffffff" w:space="0" w:sz="8" w:val="single"/>
          <w:bottom w:color="ffffff" w:space="0" w:sz="8" w:val="single"/>
          <w:right w:color="ffffff" w:space="0" w:sz="8" w:val="single"/>
        </w:pBdr>
        <w:shd w:fill="ffffff" w:val="clear"/>
        <w:spacing w:line="390" w:lineRule="auto"/>
        <w:rPr>
          <w:rFonts w:ascii="Roboto" w:cs="Roboto" w:eastAsia="Roboto" w:hAnsi="Roboto"/>
          <w:sz w:val="20"/>
          <w:szCs w:val="20"/>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5B">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b w:val="1"/>
          <w:bCs w:val="1"/>
          <w:sz w:val="20"/>
          <w:szCs w:val="20"/>
          <w:highlight w:val="white"/>
        </w:rPr>
      </w:pPr>
      <w:r w:rsidDel="00000000" w:rsidR="00000000" w:rsidRPr="00000000">
        <w:rPr>
          <w:rFonts w:ascii="Roboto" w:cs="Roboto" w:eastAsia="Roboto" w:hAnsi="Roboto"/>
          <w:b w:val="1"/>
          <w:bCs w:val="1"/>
          <w:sz w:val="20"/>
          <w:szCs w:val="20"/>
          <w:highlight w:val="white"/>
          <w:rtl w:val="0"/>
        </w:rPr>
        <w:t xml:space="preserve">9. Critical Synthesis and Evaluation</w:t>
      </w:r>
    </w:p>
    <w:p w:rsidR="00000000" w:rsidDel="00000000" w:rsidP="00000000" w:rsidRDefault="00000000" w:rsidRPr="00000000" w14:paraId="0000005C">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sz w:val="20"/>
          <w:szCs w:val="20"/>
          <w:highlight w:val="white"/>
          <w:rtl w:val="0"/>
        </w:rPr>
        <w:t xml:space="preserve">This analysis reveals several interconnected tensions within multi-drop courier customer lifecycle management. First, the tension between operational efficiency and customer customisation is inescapable. Multi-drop economics depend upon delivery density and route optimisation, yet CRM theory advocates differentiated treatment based on relationship value and customer needs. The resolution lies not in choosing one pole but in strategic tiering: leveraging technology and process design to deliver reliable baseline service efficiently while reserving human and operational flexibility for high-value relationship segments. This approach acknowledges the service-profit chain insight that employee capability and system flexibility must be directed where returns are greatest.</w:t>
      </w:r>
    </w:p>
    <w:p w:rsidR="00000000" w:rsidDel="00000000" w:rsidP="00000000" w:rsidRDefault="00000000" w:rsidRPr="00000000" w14:paraId="0000005D">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sz w:val="20"/>
          <w:szCs w:val="20"/>
          <w:highlight w:val="white"/>
          <w:rtl w:val="0"/>
        </w:rPr>
        <w:t xml:space="preserve">Second, the relationship between objective quality and perceived value is non-linear. TQM and Lean frameworks improve operational reliability, yet customer value perception depends additionally upon communication quality, expectation calibration, and relational history. An organisation may achieve exemplary on-time performance metrics while failing to build loyalty if customers perceive indifference during interactions. This suggests quality processes must incorporate "soft" dimensions—communication protocols, empowerment guidelines, and empathy training—alongside "hard" process metrics.</w:t>
      </w:r>
    </w:p>
    <w:p w:rsidR="00000000" w:rsidDel="00000000" w:rsidP="00000000" w:rsidRDefault="00000000" w:rsidRPr="00000000" w14:paraId="0000005E">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sz w:val="20"/>
          <w:szCs w:val="20"/>
          <w:highlight w:val="white"/>
          <w:rtl w:val="0"/>
        </w:rPr>
        <w:t xml:space="preserve">Third, segmentation and customer centrality must be reconciled. Customer centrality does not imply treating all customers identically; rather, it demands understanding diverse customer needs and responding proportionally. Segmentation enables this proportional response. However, the organisation must guard against segment-based service discrimination that violates fairness norms. Transparent tiering—clearly communicated service levels with explicit value propositions—mitigates perceived inequity.</w:t>
      </w:r>
    </w:p>
    <w:p w:rsidR="00000000" w:rsidDel="00000000" w:rsidP="00000000" w:rsidRDefault="00000000" w:rsidRPr="00000000" w14:paraId="0000005F">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sz w:val="20"/>
          <w:szCs w:val="20"/>
          <w:highlight w:val="white"/>
          <w:rtl w:val="0"/>
        </w:rPr>
        <w:t xml:space="preserve">Fourth, the measurement of customer value remains imperfect. Direct metrics provide financial rigour but may miss network effects and relational externalities. Indirect metrics offer strategic insight but lack definitive financial linkage. The organisation should adopt an integrated measurement framework, recognising that CLV calculations must incorporate referral probabilities and learning effects where feasible, while satisfaction measurement must be tied to behavioural outcomes rather than treated as an end in itself.</w:t>
      </w:r>
    </w:p>
    <w:p w:rsidR="00000000" w:rsidDel="00000000" w:rsidP="00000000" w:rsidRDefault="00000000" w:rsidRPr="00000000" w14:paraId="00000060">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sz w:val="20"/>
          <w:szCs w:val="20"/>
          <w:highlight w:val="white"/>
          <w:rtl w:val="0"/>
        </w:rPr>
        <w:t xml:space="preserve">Finally, expectation management emerges as the critical moderating variable between operational performance and customer satisfaction. Even superior operational performance fails if expectations are inflated beyond delivery capability. Conversely, modest performance may satisfy if expectations are appropriately calibrated. This places communication strategy and sales governance at the heart of CRM effectiveness, not merely as marketing functions but as integral components of the service delivery system.</w:t>
      </w:r>
    </w:p>
    <w:p w:rsidR="00000000" w:rsidDel="00000000" w:rsidP="00000000" w:rsidRDefault="00000000" w:rsidRPr="00000000" w14:paraId="00000061">
      <w:pPr>
        <w:pBdr>
          <w:top w:color="ffffff" w:space="0" w:sz="8" w:val="single"/>
          <w:left w:color="ffffff" w:space="0" w:sz="8" w:val="single"/>
          <w:bottom w:color="ffffff" w:space="0" w:sz="8" w:val="single"/>
          <w:right w:color="ffffff" w:space="0" w:sz="8" w:val="single"/>
        </w:pBdr>
        <w:shd w:fill="ffffff" w:val="clear"/>
        <w:spacing w:line="390" w:lineRule="auto"/>
        <w:rPr>
          <w:rFonts w:ascii="Roboto" w:cs="Roboto" w:eastAsia="Roboto" w:hAnsi="Roboto"/>
          <w:sz w:val="20"/>
          <w:szCs w:val="20"/>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62">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b w:val="1"/>
          <w:bCs w:val="1"/>
          <w:sz w:val="20"/>
          <w:szCs w:val="20"/>
          <w:highlight w:val="white"/>
        </w:rPr>
      </w:pPr>
      <w:r w:rsidDel="00000000" w:rsidR="00000000" w:rsidRPr="00000000">
        <w:rPr>
          <w:rFonts w:ascii="Roboto" w:cs="Roboto" w:eastAsia="Roboto" w:hAnsi="Roboto"/>
          <w:b w:val="1"/>
          <w:bCs w:val="1"/>
          <w:sz w:val="20"/>
          <w:szCs w:val="20"/>
          <w:highlight w:val="white"/>
          <w:rtl w:val="0"/>
        </w:rPr>
        <w:t xml:space="preserve">10. Recommendations</w:t>
      </w:r>
    </w:p>
    <w:p w:rsidR="00000000" w:rsidDel="00000000" w:rsidP="00000000" w:rsidRDefault="00000000" w:rsidRPr="00000000" w14:paraId="00000063">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sz w:val="20"/>
          <w:szCs w:val="20"/>
          <w:highlight w:val="white"/>
          <w:rtl w:val="0"/>
        </w:rPr>
        <w:t xml:space="preserve">Based upon the foregoing analysis, the following strategic recommendations are proposed:</w:t>
      </w:r>
    </w:p>
    <w:p w:rsidR="00000000" w:rsidDel="00000000" w:rsidP="00000000" w:rsidRDefault="00000000" w:rsidRPr="00000000" w14:paraId="00000064">
      <w:pPr>
        <w:numPr>
          <w:ilvl w:val="0"/>
          <w:numId w:val="1"/>
        </w:numPr>
        <w:pBdr>
          <w:top w:color="ffffff" w:space="0" w:sz="8" w:val="single"/>
          <w:left w:color="ffffff" w:space="0" w:sz="8" w:val="single"/>
          <w:bottom w:color="ffffff" w:space="0" w:sz="8" w:val="single"/>
          <w:right w:color="ffffff" w:space="0" w:sz="8" w:val="single"/>
          <w:between w:color="auto" w:space="0" w:sz="0" w:val="none"/>
        </w:pBdr>
        <w:shd w:fill="ffffff" w:val="clear"/>
        <w:spacing w:after="0" w:afterAutospacing="0" w:line="390" w:lineRule="auto"/>
        <w:ind w:left="720" w:hanging="360"/>
        <w:rPr>
          <w:sz w:val="20"/>
          <w:szCs w:val="20"/>
          <w:highlight w:val="white"/>
        </w:rPr>
      </w:pPr>
      <w:r w:rsidDel="00000000" w:rsidR="00000000" w:rsidRPr="00000000">
        <w:rPr>
          <w:rFonts w:ascii="Roboto" w:cs="Roboto" w:eastAsia="Roboto" w:hAnsi="Roboto"/>
          <w:sz w:val="20"/>
          <w:szCs w:val="20"/>
          <w:highlight w:val="white"/>
          <w:rtl w:val="0"/>
        </w:rPr>
        <w:t xml:space="preserve">Implement Dynamic Value-Based Segmentation: Move beyond static customer categorisations to dynamic segmentation models incorporating real-time CLV, behavioural patterns, and service requirements. Allocate CRM resources proportionally, ensuring high-value relationships receive dedicated management while maintaining efficient self-service channels for transactional customers.</w:t>
      </w:r>
    </w:p>
    <w:p w:rsidR="00000000" w:rsidDel="00000000" w:rsidP="00000000" w:rsidRDefault="00000000" w:rsidRPr="00000000" w14:paraId="00000065">
      <w:pPr>
        <w:numPr>
          <w:ilvl w:val="0"/>
          <w:numId w:val="1"/>
        </w:numPr>
        <w:pBdr>
          <w:top w:color="ffffff" w:space="0" w:sz="8" w:val="single"/>
          <w:left w:color="ffffff" w:space="0" w:sz="8" w:val="single"/>
          <w:bottom w:color="ffffff" w:space="0" w:sz="8" w:val="single"/>
          <w:right w:color="ffffff" w:space="0" w:sz="8" w:val="single"/>
          <w:between w:color="auto" w:space="0" w:sz="0" w:val="none"/>
        </w:pBdr>
        <w:shd w:fill="ffffff" w:val="clear"/>
        <w:spacing w:after="0" w:afterAutospacing="0" w:line="390" w:lineRule="auto"/>
        <w:ind w:left="720" w:hanging="360"/>
        <w:rPr>
          <w:sz w:val="20"/>
          <w:szCs w:val="20"/>
          <w:highlight w:val="white"/>
        </w:rPr>
      </w:pPr>
      <w:r w:rsidDel="00000000" w:rsidR="00000000" w:rsidRPr="00000000">
        <w:rPr>
          <w:rFonts w:ascii="Roboto" w:cs="Roboto" w:eastAsia="Roboto" w:hAnsi="Roboto"/>
          <w:sz w:val="20"/>
          <w:szCs w:val="20"/>
          <w:highlight w:val="white"/>
          <w:rtl w:val="0"/>
        </w:rPr>
        <w:t xml:space="preserve">Integrate TQM with Customer-Defined Quality: Supplement internal operational metrics with regular customer-perceived quality measurement using adapted SERVQUAL or SERVPERF instruments. Align quality improvement priorities with customer-valued dimensions rather than purely internally focused efficiency indicators.</w:t>
      </w:r>
    </w:p>
    <w:p w:rsidR="00000000" w:rsidDel="00000000" w:rsidP="00000000" w:rsidRDefault="00000000" w:rsidRPr="00000000" w14:paraId="00000066">
      <w:pPr>
        <w:numPr>
          <w:ilvl w:val="0"/>
          <w:numId w:val="1"/>
        </w:numPr>
        <w:pBdr>
          <w:top w:color="ffffff" w:space="0" w:sz="8" w:val="single"/>
          <w:left w:color="ffffff" w:space="0" w:sz="8" w:val="single"/>
          <w:bottom w:color="ffffff" w:space="0" w:sz="8" w:val="single"/>
          <w:right w:color="ffffff" w:space="0" w:sz="8" w:val="single"/>
          <w:between w:color="auto" w:space="0" w:sz="0" w:val="none"/>
        </w:pBdr>
        <w:shd w:fill="ffffff" w:val="clear"/>
        <w:spacing w:after="0" w:afterAutospacing="0" w:line="390" w:lineRule="auto"/>
        <w:ind w:left="720" w:hanging="360"/>
        <w:rPr>
          <w:sz w:val="20"/>
          <w:szCs w:val="20"/>
          <w:highlight w:val="white"/>
        </w:rPr>
      </w:pPr>
      <w:r w:rsidDel="00000000" w:rsidR="00000000" w:rsidRPr="00000000">
        <w:rPr>
          <w:rFonts w:ascii="Roboto" w:cs="Roboto" w:eastAsia="Roboto" w:hAnsi="Roboto"/>
          <w:sz w:val="20"/>
          <w:szCs w:val="20"/>
          <w:highlight w:val="white"/>
          <w:rtl w:val="0"/>
        </w:rPr>
        <w:t xml:space="preserve">Invest in Expectation Architecture: Develop explicit, tiered service level communications for all customer segments. Ensure sales and marketing messages are validated against operational capability. Implement proactive delay management systems that communicate exceptions before customer discovery.</w:t>
      </w:r>
    </w:p>
    <w:p w:rsidR="00000000" w:rsidDel="00000000" w:rsidP="00000000" w:rsidRDefault="00000000" w:rsidRPr="00000000" w14:paraId="00000067">
      <w:pPr>
        <w:numPr>
          <w:ilvl w:val="0"/>
          <w:numId w:val="1"/>
        </w:numPr>
        <w:pBdr>
          <w:top w:color="ffffff" w:space="0" w:sz="8" w:val="single"/>
          <w:left w:color="ffffff" w:space="0" w:sz="8" w:val="single"/>
          <w:bottom w:color="ffffff" w:space="0" w:sz="8" w:val="single"/>
          <w:right w:color="ffffff" w:space="0" w:sz="8" w:val="single"/>
          <w:between w:color="auto" w:space="0" w:sz="0" w:val="none"/>
        </w:pBdr>
        <w:shd w:fill="ffffff" w:val="clear"/>
        <w:spacing w:after="0" w:afterAutospacing="0" w:line="390" w:lineRule="auto"/>
        <w:ind w:left="720" w:hanging="360"/>
        <w:rPr>
          <w:sz w:val="20"/>
          <w:szCs w:val="20"/>
          <w:highlight w:val="white"/>
        </w:rPr>
      </w:pPr>
      <w:r w:rsidDel="00000000" w:rsidR="00000000" w:rsidRPr="00000000">
        <w:rPr>
          <w:rFonts w:ascii="Roboto" w:cs="Roboto" w:eastAsia="Roboto" w:hAnsi="Roboto"/>
          <w:sz w:val="20"/>
          <w:szCs w:val="20"/>
          <w:highlight w:val="white"/>
          <w:rtl w:val="0"/>
        </w:rPr>
        <w:t xml:space="preserve">Empower Frontline Employees: Extend driver empowerment to resolve delivery exceptions autonomously within defined parameters. This enhances the empathy dimension of service quality while reducing escalation costs. Support empowerment with training and mobile technology enabling real-time decision-making.</w:t>
      </w:r>
    </w:p>
    <w:p w:rsidR="00000000" w:rsidDel="00000000" w:rsidP="00000000" w:rsidRDefault="00000000" w:rsidRPr="00000000" w14:paraId="00000068">
      <w:pPr>
        <w:numPr>
          <w:ilvl w:val="0"/>
          <w:numId w:val="1"/>
        </w:numPr>
        <w:pBdr>
          <w:top w:color="ffffff" w:space="0" w:sz="8" w:val="single"/>
          <w:left w:color="ffffff" w:space="0" w:sz="8" w:val="single"/>
          <w:bottom w:color="ffffff" w:space="0" w:sz="8" w:val="single"/>
          <w:right w:color="ffffff" w:space="0" w:sz="8" w:val="single"/>
          <w:between w:color="auto" w:space="0" w:sz="0" w:val="none"/>
        </w:pBdr>
        <w:shd w:fill="ffffff" w:val="clear"/>
        <w:spacing w:after="240" w:line="390" w:lineRule="auto"/>
        <w:ind w:left="720" w:hanging="360"/>
        <w:rPr>
          <w:sz w:val="20"/>
          <w:szCs w:val="20"/>
          <w:highlight w:val="white"/>
        </w:rPr>
      </w:pPr>
      <w:r w:rsidDel="00000000" w:rsidR="00000000" w:rsidRPr="00000000">
        <w:rPr>
          <w:rFonts w:ascii="Roboto" w:cs="Roboto" w:eastAsia="Roboto" w:hAnsi="Roboto"/>
          <w:sz w:val="20"/>
          <w:szCs w:val="20"/>
          <w:highlight w:val="white"/>
          <w:rtl w:val="0"/>
        </w:rPr>
        <w:t xml:space="preserve">Develop Balanced Value Metrics: Construct an integrated scorecard combining direct profitability measures with indirect relational indicators. Link satisfaction and NPS scores to behavioural and financial outcomes through longitudinal analysis, ensuring metrics drive genuine value creation rather than superficial activity.</w:t>
      </w:r>
    </w:p>
    <w:p w:rsidR="00000000" w:rsidDel="00000000" w:rsidP="00000000" w:rsidRDefault="00000000" w:rsidRPr="00000000" w14:paraId="00000069">
      <w:pPr>
        <w:pBdr>
          <w:top w:color="ffffff" w:space="0" w:sz="8" w:val="single"/>
          <w:left w:color="ffffff" w:space="0" w:sz="8" w:val="single"/>
          <w:bottom w:color="ffffff" w:space="0" w:sz="8" w:val="single"/>
          <w:right w:color="ffffff" w:space="0" w:sz="8" w:val="single"/>
        </w:pBdr>
        <w:shd w:fill="ffffff" w:val="clear"/>
        <w:spacing w:line="390" w:lineRule="auto"/>
        <w:rPr>
          <w:rFonts w:ascii="Roboto" w:cs="Roboto" w:eastAsia="Roboto" w:hAnsi="Roboto"/>
          <w:sz w:val="20"/>
          <w:szCs w:val="20"/>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6A">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b w:val="1"/>
          <w:bCs w:val="1"/>
          <w:sz w:val="20"/>
          <w:szCs w:val="20"/>
          <w:highlight w:val="white"/>
        </w:rPr>
      </w:pPr>
      <w:r w:rsidDel="00000000" w:rsidR="00000000" w:rsidRPr="00000000">
        <w:rPr>
          <w:rFonts w:ascii="Roboto" w:cs="Roboto" w:eastAsia="Roboto" w:hAnsi="Roboto"/>
          <w:b w:val="1"/>
          <w:bCs w:val="1"/>
          <w:sz w:val="20"/>
          <w:szCs w:val="20"/>
          <w:highlight w:val="white"/>
          <w:rtl w:val="0"/>
        </w:rPr>
        <w:t xml:space="preserve">11. Conclusion</w:t>
      </w:r>
    </w:p>
    <w:p w:rsidR="00000000" w:rsidDel="00000000" w:rsidP="00000000" w:rsidRDefault="00000000" w:rsidRPr="00000000" w14:paraId="0000006B">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sz w:val="20"/>
          <w:szCs w:val="20"/>
          <w:highlight w:val="white"/>
          <w:rtl w:val="0"/>
        </w:rPr>
        <w:t xml:space="preserve">This report has critically analysed the customer lifecycle within multi-drop courier operations, examining CRM from acquisition through retention and recovery. Through integration of service quality theory, relationship marketing principles, and supply chain management frameworks, the analysis demonstrates that maximising customer value requires more than operational efficiency. Quality processes—whether TQM, Lean, or service quality frameworks—provide necessary but insufficient conditions for loyalty. The critical factor is the management of customer expectations across diverse segments, grounded in genuine customer centrality and enabled by sophisticated segmentation. Multi-drop courier organisations operate within challenging economic constraints where delivery density and cost control remain vital. However, sustainable competitive advantage emerges from the ability to deliver consistent, communicated, and contextually appropriate value across the entire customer lifecycle. Future success depends upon the organisation's capacity to balance operational discipline with relational intelligence, treating each delivery not merely as a logistical transaction but as an opportunity to affirm or erode customer trust.</w:t>
      </w:r>
    </w:p>
    <w:p w:rsidR="00000000" w:rsidDel="00000000" w:rsidP="00000000" w:rsidRDefault="00000000" w:rsidRPr="00000000" w14:paraId="0000006C">
      <w:pPr>
        <w:pBdr>
          <w:top w:color="ffffff" w:space="0" w:sz="8" w:val="single"/>
          <w:left w:color="ffffff" w:space="0" w:sz="8" w:val="single"/>
          <w:bottom w:color="ffffff" w:space="0" w:sz="8" w:val="single"/>
          <w:right w:color="ffffff" w:space="0" w:sz="8" w:val="single"/>
        </w:pBdr>
        <w:shd w:fill="ffffff" w:val="clear"/>
        <w:spacing w:line="390" w:lineRule="auto"/>
        <w:rPr>
          <w:rFonts w:ascii="Roboto" w:cs="Roboto" w:eastAsia="Roboto" w:hAnsi="Roboto"/>
          <w:sz w:val="20"/>
          <w:szCs w:val="20"/>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6D">
      <w:pPr>
        <w:pBdr>
          <w:top w:color="ffffff" w:space="0" w:sz="8" w:val="single"/>
          <w:left w:color="ffffff" w:space="0" w:sz="8" w:val="single"/>
          <w:bottom w:color="ffffff" w:space="0" w:sz="8" w:val="single"/>
          <w:right w:color="ffffff" w:space="0" w:sz="8" w:val="single"/>
        </w:pBdr>
        <w:shd w:fill="ffffff" w:val="clear"/>
        <w:spacing w:after="240" w:line="390" w:lineRule="auto"/>
        <w:rPr>
          <w:rFonts w:ascii="Roboto" w:cs="Roboto" w:eastAsia="Roboto" w:hAnsi="Roboto"/>
          <w:sz w:val="20"/>
          <w:szCs w:val="20"/>
          <w:highlight w:val="white"/>
        </w:rPr>
      </w:pPr>
      <w:r w:rsidDel="00000000" w:rsidR="00000000" w:rsidRPr="00000000">
        <w:rPr>
          <w:rFonts w:ascii="Roboto" w:cs="Roboto" w:eastAsia="Roboto" w:hAnsi="Roboto"/>
          <w:sz w:val="20"/>
          <w:szCs w:val="20"/>
          <w:highlight w:val="white"/>
          <w:rtl w:val="0"/>
        </w:rPr>
        <w:t xml:space="preserve">References </w:t>
      </w:r>
    </w:p>
    <w:p w:rsidR="00000000" w:rsidDel="00000000" w:rsidP="00000000" w:rsidRDefault="00000000" w:rsidRPr="00000000" w14:paraId="0000006E">
      <w:pPr>
        <w:numPr>
          <w:ilvl w:val="0"/>
          <w:numId w:val="4"/>
        </w:numPr>
        <w:pBdr>
          <w:top w:color="ffffff" w:space="0" w:sz="8" w:val="single"/>
          <w:left w:color="ffffff" w:space="0" w:sz="8" w:val="single"/>
          <w:bottom w:color="ffffff" w:space="0" w:sz="8" w:val="single"/>
          <w:right w:color="ffffff" w:space="0" w:sz="8" w:val="single"/>
          <w:between w:color="auto" w:space="0" w:sz="0" w:val="none"/>
        </w:pBdr>
        <w:shd w:fill="ffffff" w:val="clear"/>
        <w:spacing w:after="0" w:afterAutospacing="0" w:line="390" w:lineRule="auto"/>
        <w:ind w:left="720" w:hanging="360"/>
        <w:rPr>
          <w:i w:val="1"/>
          <w:iCs w:val="1"/>
          <w:sz w:val="20"/>
          <w:szCs w:val="20"/>
          <w:highlight w:val="white"/>
        </w:rPr>
      </w:pPr>
      <w:r w:rsidDel="00000000" w:rsidR="00000000" w:rsidRPr="00000000">
        <w:rPr>
          <w:rFonts w:ascii="Roboto" w:cs="Roboto" w:eastAsia="Roboto" w:hAnsi="Roboto"/>
          <w:i w:val="1"/>
          <w:iCs w:val="1"/>
          <w:sz w:val="20"/>
          <w:szCs w:val="20"/>
          <w:highlight w:val="white"/>
          <w:rtl w:val="0"/>
        </w:rPr>
        <w:t xml:space="preserve">Savelsbergh, M.W.P. and Van Woensel, T. (2016) 'City logistics: challenges and opportunities', Transportation Science, 50(2), pp. 579-590.</w:t>
      </w:r>
    </w:p>
    <w:p w:rsidR="00000000" w:rsidDel="00000000" w:rsidP="00000000" w:rsidRDefault="00000000" w:rsidRPr="00000000" w14:paraId="0000006F">
      <w:pPr>
        <w:numPr>
          <w:ilvl w:val="0"/>
          <w:numId w:val="4"/>
        </w:numPr>
        <w:pBdr>
          <w:top w:color="ffffff" w:space="0" w:sz="8" w:val="single"/>
          <w:left w:color="ffffff" w:space="0" w:sz="8" w:val="single"/>
          <w:bottom w:color="ffffff" w:space="0" w:sz="8" w:val="single"/>
          <w:right w:color="ffffff" w:space="0" w:sz="8" w:val="single"/>
          <w:between w:color="auto" w:space="0" w:sz="0" w:val="none"/>
        </w:pBdr>
        <w:shd w:fill="ffffff" w:val="clear"/>
        <w:spacing w:after="0" w:afterAutospacing="0" w:line="390" w:lineRule="auto"/>
        <w:ind w:left="720" w:hanging="360"/>
        <w:rPr>
          <w:i w:val="1"/>
          <w:iCs w:val="1"/>
          <w:sz w:val="20"/>
          <w:szCs w:val="20"/>
          <w:highlight w:val="white"/>
        </w:rPr>
      </w:pPr>
      <w:r w:rsidDel="00000000" w:rsidR="00000000" w:rsidRPr="00000000">
        <w:rPr>
          <w:rFonts w:ascii="Roboto" w:cs="Roboto" w:eastAsia="Roboto" w:hAnsi="Roboto"/>
          <w:i w:val="1"/>
          <w:iCs w:val="1"/>
          <w:sz w:val="20"/>
          <w:szCs w:val="20"/>
          <w:highlight w:val="white"/>
          <w:rtl w:val="0"/>
        </w:rPr>
        <w:t xml:space="preserve">Gevaers, R., Van de Voorde, E. and Vanelslander, T. (2014) 'Cost modelling and simulation of last-mile characteristics in an innovative B2C supply chain environment with implications on urban areas and cities', Procedia-Social and Behavioral Sciences, 125, pp. 398-411.</w:t>
      </w:r>
    </w:p>
    <w:p w:rsidR="00000000" w:rsidDel="00000000" w:rsidP="00000000" w:rsidRDefault="00000000" w:rsidRPr="00000000" w14:paraId="00000070">
      <w:pPr>
        <w:numPr>
          <w:ilvl w:val="0"/>
          <w:numId w:val="2"/>
        </w:numPr>
        <w:pBdr>
          <w:top w:color="ffffff" w:space="0" w:sz="8" w:val="single"/>
          <w:left w:color="ffffff" w:space="0" w:sz="8" w:val="single"/>
          <w:bottom w:color="ffffff" w:space="0" w:sz="8" w:val="single"/>
          <w:right w:color="ffffff" w:space="0" w:sz="8" w:val="single"/>
          <w:between w:color="auto" w:space="0" w:sz="0" w:val="none"/>
        </w:pBdr>
        <w:shd w:fill="ffffff" w:val="clear"/>
        <w:spacing w:after="0" w:afterAutospacing="0" w:line="390" w:lineRule="auto"/>
        <w:ind w:left="720" w:hanging="360"/>
        <w:rPr>
          <w:i w:val="1"/>
          <w:iCs w:val="1"/>
          <w:sz w:val="20"/>
          <w:szCs w:val="20"/>
          <w:highlight w:val="white"/>
        </w:rPr>
      </w:pPr>
      <w:r w:rsidDel="00000000" w:rsidR="00000000" w:rsidRPr="00000000">
        <w:rPr>
          <w:rFonts w:ascii="Roboto" w:cs="Roboto" w:eastAsia="Roboto" w:hAnsi="Roboto"/>
          <w:i w:val="1"/>
          <w:iCs w:val="1"/>
          <w:sz w:val="20"/>
          <w:szCs w:val="20"/>
          <w:highlight w:val="white"/>
          <w:rtl w:val="0"/>
        </w:rPr>
        <w:t xml:space="preserve">Verma, H., Singh, S. and Kumar, A. (2019) 'Last mile delivery: a systematic literature review', International Journal of Logistics Research and Applications, 22(4), pp. 398-418.</w:t>
      </w:r>
    </w:p>
    <w:p w:rsidR="00000000" w:rsidDel="00000000" w:rsidP="00000000" w:rsidRDefault="00000000" w:rsidRPr="00000000" w14:paraId="00000071">
      <w:pPr>
        <w:numPr>
          <w:ilvl w:val="0"/>
          <w:numId w:val="2"/>
        </w:numPr>
        <w:pBdr>
          <w:top w:color="ffffff" w:space="0" w:sz="8" w:val="single"/>
          <w:left w:color="ffffff" w:space="0" w:sz="8" w:val="single"/>
          <w:bottom w:color="ffffff" w:space="0" w:sz="8" w:val="single"/>
          <w:right w:color="ffffff" w:space="0" w:sz="8" w:val="single"/>
          <w:between w:color="auto" w:space="0" w:sz="0" w:val="none"/>
        </w:pBdr>
        <w:shd w:fill="ffffff" w:val="clear"/>
        <w:spacing w:after="0" w:afterAutospacing="0" w:line="390" w:lineRule="auto"/>
        <w:ind w:left="720" w:hanging="360"/>
        <w:rPr>
          <w:i w:val="1"/>
          <w:iCs w:val="1"/>
          <w:sz w:val="20"/>
          <w:szCs w:val="20"/>
          <w:highlight w:val="white"/>
        </w:rPr>
      </w:pPr>
      <w:r w:rsidDel="00000000" w:rsidR="00000000" w:rsidRPr="00000000">
        <w:rPr>
          <w:rFonts w:ascii="Roboto" w:cs="Roboto" w:eastAsia="Roboto" w:hAnsi="Roboto"/>
          <w:i w:val="1"/>
          <w:iCs w:val="1"/>
          <w:sz w:val="20"/>
          <w:szCs w:val="20"/>
          <w:highlight w:val="white"/>
          <w:rtl w:val="0"/>
        </w:rPr>
        <w:t xml:space="preserve">Payne, A. and Frow, P. (2005) 'A strategic framework for customer relationship management', Journal of Marketing, 69(4), pp. 167-176.</w:t>
      </w:r>
    </w:p>
    <w:p w:rsidR="00000000" w:rsidDel="00000000" w:rsidP="00000000" w:rsidRDefault="00000000" w:rsidRPr="00000000" w14:paraId="00000072">
      <w:pPr>
        <w:numPr>
          <w:ilvl w:val="0"/>
          <w:numId w:val="2"/>
        </w:numPr>
        <w:pBdr>
          <w:top w:color="ffffff" w:space="0" w:sz="8" w:val="single"/>
          <w:left w:color="ffffff" w:space="0" w:sz="8" w:val="single"/>
          <w:bottom w:color="ffffff" w:space="0" w:sz="8" w:val="single"/>
          <w:right w:color="ffffff" w:space="0" w:sz="8" w:val="single"/>
          <w:between w:color="auto" w:space="0" w:sz="0" w:val="none"/>
        </w:pBdr>
        <w:shd w:fill="ffffff" w:val="clear"/>
        <w:spacing w:after="0" w:afterAutospacing="0" w:line="390" w:lineRule="auto"/>
        <w:ind w:left="720" w:hanging="360"/>
        <w:rPr>
          <w:i w:val="1"/>
          <w:iCs w:val="1"/>
          <w:sz w:val="20"/>
          <w:szCs w:val="20"/>
          <w:highlight w:val="white"/>
        </w:rPr>
      </w:pPr>
      <w:r w:rsidDel="00000000" w:rsidR="00000000" w:rsidRPr="00000000">
        <w:rPr>
          <w:rFonts w:ascii="Roboto" w:cs="Roboto" w:eastAsia="Roboto" w:hAnsi="Roboto"/>
          <w:i w:val="1"/>
          <w:iCs w:val="1"/>
          <w:sz w:val="20"/>
          <w:szCs w:val="20"/>
          <w:highlight w:val="white"/>
          <w:rtl w:val="0"/>
        </w:rPr>
        <w:t xml:space="preserve">Heskett, J.L., Jones, T.O., Loveman, G.W., Sasser, W.E. and Schlesinger, L.A. (1994) 'Putting the service-profit chain to work', Harvard Business Review, 72(2), pp. 164-174.</w:t>
      </w:r>
    </w:p>
    <w:p w:rsidR="00000000" w:rsidDel="00000000" w:rsidP="00000000" w:rsidRDefault="00000000" w:rsidRPr="00000000" w14:paraId="00000073">
      <w:pPr>
        <w:numPr>
          <w:ilvl w:val="0"/>
          <w:numId w:val="2"/>
        </w:numPr>
        <w:pBdr>
          <w:top w:color="ffffff" w:space="0" w:sz="8" w:val="single"/>
          <w:left w:color="ffffff" w:space="0" w:sz="8" w:val="single"/>
          <w:bottom w:color="ffffff" w:space="0" w:sz="8" w:val="single"/>
          <w:right w:color="ffffff" w:space="0" w:sz="8" w:val="single"/>
          <w:between w:color="auto" w:space="0" w:sz="0" w:val="none"/>
        </w:pBdr>
        <w:shd w:fill="ffffff" w:val="clear"/>
        <w:spacing w:after="0" w:afterAutospacing="0" w:line="390" w:lineRule="auto"/>
        <w:ind w:left="720" w:hanging="360"/>
        <w:rPr>
          <w:i w:val="1"/>
          <w:iCs w:val="1"/>
          <w:sz w:val="20"/>
          <w:szCs w:val="20"/>
          <w:highlight w:val="white"/>
        </w:rPr>
      </w:pPr>
      <w:r w:rsidDel="00000000" w:rsidR="00000000" w:rsidRPr="00000000">
        <w:rPr>
          <w:rFonts w:ascii="Roboto" w:cs="Roboto" w:eastAsia="Roboto" w:hAnsi="Roboto"/>
          <w:i w:val="1"/>
          <w:iCs w:val="1"/>
          <w:sz w:val="20"/>
          <w:szCs w:val="20"/>
          <w:highlight w:val="white"/>
          <w:rtl w:val="0"/>
        </w:rPr>
        <w:t xml:space="preserve">Zeithaml, V.A., Bitner, M.J. and Gremler, D.D. (2018) Services Marketing: Integrating Customer Focus Across the Firm. 7th edn. New York: McGraw-Hill Education.</w:t>
      </w:r>
    </w:p>
    <w:p w:rsidR="00000000" w:rsidDel="00000000" w:rsidP="00000000" w:rsidRDefault="00000000" w:rsidRPr="00000000" w14:paraId="00000074">
      <w:pPr>
        <w:numPr>
          <w:ilvl w:val="0"/>
          <w:numId w:val="2"/>
        </w:numPr>
        <w:pBdr>
          <w:top w:color="ffffff" w:space="0" w:sz="8" w:val="single"/>
          <w:left w:color="ffffff" w:space="0" w:sz="8" w:val="single"/>
          <w:bottom w:color="ffffff" w:space="0" w:sz="8" w:val="single"/>
          <w:right w:color="ffffff" w:space="0" w:sz="8" w:val="single"/>
          <w:between w:color="auto" w:space="0" w:sz="0" w:val="none"/>
        </w:pBdr>
        <w:shd w:fill="ffffff" w:val="clear"/>
        <w:spacing w:after="0" w:afterAutospacing="0" w:line="390" w:lineRule="auto"/>
        <w:ind w:left="720" w:hanging="360"/>
        <w:rPr>
          <w:i w:val="1"/>
          <w:iCs w:val="1"/>
          <w:sz w:val="20"/>
          <w:szCs w:val="20"/>
          <w:highlight w:val="white"/>
        </w:rPr>
      </w:pPr>
      <w:r w:rsidDel="00000000" w:rsidR="00000000" w:rsidRPr="00000000">
        <w:rPr>
          <w:rFonts w:ascii="Roboto" w:cs="Roboto" w:eastAsia="Roboto" w:hAnsi="Roboto"/>
          <w:i w:val="1"/>
          <w:iCs w:val="1"/>
          <w:sz w:val="20"/>
          <w:szCs w:val="20"/>
          <w:highlight w:val="white"/>
          <w:rtl w:val="0"/>
        </w:rPr>
        <w:t xml:space="preserve">Oliver, R.L. (1980) 'A cognitive model of the antecedents and consequences of satisfaction decisions', Journal of Marketing Research, 17(4), pp. 460-469.</w:t>
      </w:r>
    </w:p>
    <w:p w:rsidR="00000000" w:rsidDel="00000000" w:rsidP="00000000" w:rsidRDefault="00000000" w:rsidRPr="00000000" w14:paraId="00000075">
      <w:pPr>
        <w:numPr>
          <w:ilvl w:val="0"/>
          <w:numId w:val="2"/>
        </w:numPr>
        <w:pBdr>
          <w:top w:color="ffffff" w:space="0" w:sz="8" w:val="single"/>
          <w:left w:color="ffffff" w:space="0" w:sz="8" w:val="single"/>
          <w:bottom w:color="ffffff" w:space="0" w:sz="8" w:val="single"/>
          <w:right w:color="ffffff" w:space="0" w:sz="8" w:val="single"/>
          <w:between w:color="auto" w:space="0" w:sz="0" w:val="none"/>
        </w:pBdr>
        <w:shd w:fill="ffffff" w:val="clear"/>
        <w:spacing w:after="0" w:afterAutospacing="0" w:line="390" w:lineRule="auto"/>
        <w:ind w:left="720" w:hanging="360"/>
        <w:rPr>
          <w:i w:val="1"/>
          <w:iCs w:val="1"/>
          <w:sz w:val="20"/>
          <w:szCs w:val="20"/>
          <w:highlight w:val="white"/>
        </w:rPr>
      </w:pPr>
      <w:r w:rsidDel="00000000" w:rsidR="00000000" w:rsidRPr="00000000">
        <w:rPr>
          <w:rFonts w:ascii="Roboto" w:cs="Roboto" w:eastAsia="Roboto" w:hAnsi="Roboto"/>
          <w:i w:val="1"/>
          <w:iCs w:val="1"/>
          <w:sz w:val="20"/>
          <w:szCs w:val="20"/>
          <w:highlight w:val="white"/>
          <w:rtl w:val="0"/>
        </w:rPr>
        <w:t xml:space="preserve">Buttle, F. (2009) Customer Relationship Management: Concepts and Technologies. 2nd edn. Oxford: Butterworth-Heinemann.</w:t>
      </w:r>
    </w:p>
    <w:p w:rsidR="00000000" w:rsidDel="00000000" w:rsidP="00000000" w:rsidRDefault="00000000" w:rsidRPr="00000000" w14:paraId="00000076">
      <w:pPr>
        <w:numPr>
          <w:ilvl w:val="0"/>
          <w:numId w:val="2"/>
        </w:numPr>
        <w:pBdr>
          <w:top w:color="ffffff" w:space="0" w:sz="8" w:val="single"/>
          <w:left w:color="ffffff" w:space="0" w:sz="8" w:val="single"/>
          <w:bottom w:color="ffffff" w:space="0" w:sz="8" w:val="single"/>
          <w:right w:color="ffffff" w:space="0" w:sz="8" w:val="single"/>
          <w:between w:color="auto" w:space="0" w:sz="0" w:val="none"/>
        </w:pBdr>
        <w:shd w:fill="ffffff" w:val="clear"/>
        <w:spacing w:after="0" w:afterAutospacing="0" w:line="390" w:lineRule="auto"/>
        <w:ind w:left="720" w:hanging="360"/>
        <w:rPr>
          <w:i w:val="1"/>
          <w:iCs w:val="1"/>
          <w:sz w:val="20"/>
          <w:szCs w:val="20"/>
          <w:highlight w:val="white"/>
        </w:rPr>
      </w:pPr>
      <w:r w:rsidDel="00000000" w:rsidR="00000000" w:rsidRPr="00000000">
        <w:rPr>
          <w:rFonts w:ascii="Roboto" w:cs="Roboto" w:eastAsia="Roboto" w:hAnsi="Roboto"/>
          <w:i w:val="1"/>
          <w:iCs w:val="1"/>
          <w:sz w:val="20"/>
          <w:szCs w:val="20"/>
          <w:highlight w:val="white"/>
          <w:rtl w:val="0"/>
        </w:rPr>
        <w:t xml:space="preserve">Deming, W.E. (1986) Out of the Crisis. Cambridge, MA: MIT Press.</w:t>
      </w:r>
    </w:p>
    <w:p w:rsidR="00000000" w:rsidDel="00000000" w:rsidP="00000000" w:rsidRDefault="00000000" w:rsidRPr="00000000" w14:paraId="00000077">
      <w:pPr>
        <w:numPr>
          <w:ilvl w:val="0"/>
          <w:numId w:val="2"/>
        </w:numPr>
        <w:pBdr>
          <w:top w:color="ffffff" w:space="0" w:sz="8" w:val="single"/>
          <w:left w:color="ffffff" w:space="0" w:sz="8" w:val="single"/>
          <w:bottom w:color="ffffff" w:space="0" w:sz="8" w:val="single"/>
          <w:right w:color="ffffff" w:space="0" w:sz="8" w:val="single"/>
          <w:between w:color="auto" w:space="0" w:sz="0" w:val="none"/>
        </w:pBdr>
        <w:shd w:fill="ffffff" w:val="clear"/>
        <w:spacing w:after="0" w:afterAutospacing="0" w:line="390" w:lineRule="auto"/>
        <w:ind w:left="720" w:hanging="360"/>
        <w:rPr>
          <w:i w:val="1"/>
          <w:iCs w:val="1"/>
          <w:sz w:val="20"/>
          <w:szCs w:val="20"/>
          <w:highlight w:val="white"/>
        </w:rPr>
      </w:pPr>
      <w:r w:rsidDel="00000000" w:rsidR="00000000" w:rsidRPr="00000000">
        <w:rPr>
          <w:rFonts w:ascii="Roboto" w:cs="Roboto" w:eastAsia="Roboto" w:hAnsi="Roboto"/>
          <w:i w:val="1"/>
          <w:iCs w:val="1"/>
          <w:sz w:val="20"/>
          <w:szCs w:val="20"/>
          <w:highlight w:val="white"/>
          <w:rtl w:val="0"/>
        </w:rPr>
        <w:t xml:space="preserve">Juran, J.M. (1988) Juran on Planning for Quality. New York: Free Press.</w:t>
      </w:r>
    </w:p>
    <w:p w:rsidR="00000000" w:rsidDel="00000000" w:rsidP="00000000" w:rsidRDefault="00000000" w:rsidRPr="00000000" w14:paraId="00000078">
      <w:pPr>
        <w:numPr>
          <w:ilvl w:val="0"/>
          <w:numId w:val="2"/>
        </w:numPr>
        <w:pBdr>
          <w:top w:color="ffffff" w:space="0" w:sz="8" w:val="single"/>
          <w:left w:color="ffffff" w:space="0" w:sz="8" w:val="single"/>
          <w:bottom w:color="ffffff" w:space="0" w:sz="8" w:val="single"/>
          <w:right w:color="ffffff" w:space="0" w:sz="8" w:val="single"/>
          <w:between w:color="auto" w:space="0" w:sz="0" w:val="none"/>
        </w:pBdr>
        <w:shd w:fill="ffffff" w:val="clear"/>
        <w:spacing w:after="0" w:afterAutospacing="0" w:line="390" w:lineRule="auto"/>
        <w:ind w:left="720" w:hanging="360"/>
        <w:rPr>
          <w:i w:val="1"/>
          <w:iCs w:val="1"/>
          <w:sz w:val="20"/>
          <w:szCs w:val="20"/>
          <w:highlight w:val="white"/>
        </w:rPr>
      </w:pPr>
      <w:r w:rsidDel="00000000" w:rsidR="00000000" w:rsidRPr="00000000">
        <w:rPr>
          <w:rFonts w:ascii="Roboto" w:cs="Roboto" w:eastAsia="Roboto" w:hAnsi="Roboto"/>
          <w:i w:val="1"/>
          <w:iCs w:val="1"/>
          <w:sz w:val="20"/>
          <w:szCs w:val="20"/>
          <w:highlight w:val="white"/>
          <w:rtl w:val="0"/>
        </w:rPr>
        <w:t xml:space="preserve">Mentzer, J.T., DeWitt, W., Keebler, J.S., Min, S., Nix, N.W., Smith, C.D. and Zacharia, Z.G. (2001) 'Defining supply chain management', Journal of Business Logistics, 22(2), pp. 1-25.</w:t>
      </w:r>
    </w:p>
    <w:p w:rsidR="00000000" w:rsidDel="00000000" w:rsidP="00000000" w:rsidRDefault="00000000" w:rsidRPr="00000000" w14:paraId="00000079">
      <w:pPr>
        <w:numPr>
          <w:ilvl w:val="0"/>
          <w:numId w:val="2"/>
        </w:numPr>
        <w:pBdr>
          <w:top w:color="ffffff" w:space="0" w:sz="8" w:val="single"/>
          <w:left w:color="ffffff" w:space="0" w:sz="8" w:val="single"/>
          <w:bottom w:color="ffffff" w:space="0" w:sz="8" w:val="single"/>
          <w:right w:color="ffffff" w:space="0" w:sz="8" w:val="single"/>
          <w:between w:color="auto" w:space="0" w:sz="0" w:val="none"/>
        </w:pBdr>
        <w:shd w:fill="ffffff" w:val="clear"/>
        <w:spacing w:after="0" w:afterAutospacing="0" w:line="390" w:lineRule="auto"/>
        <w:ind w:left="720" w:hanging="360"/>
        <w:rPr>
          <w:i w:val="1"/>
          <w:iCs w:val="1"/>
          <w:sz w:val="20"/>
          <w:szCs w:val="20"/>
          <w:highlight w:val="white"/>
        </w:rPr>
      </w:pPr>
      <w:r w:rsidDel="00000000" w:rsidR="00000000" w:rsidRPr="00000000">
        <w:rPr>
          <w:rFonts w:ascii="Roboto" w:cs="Roboto" w:eastAsia="Roboto" w:hAnsi="Roboto"/>
          <w:i w:val="1"/>
          <w:iCs w:val="1"/>
          <w:sz w:val="20"/>
          <w:szCs w:val="20"/>
          <w:highlight w:val="white"/>
          <w:rtl w:val="0"/>
        </w:rPr>
        <w:t xml:space="preserve">Kumar, V. and Reinartz, W. (2016) Creating Enduring Customer Value. Cambridge, MA: Marketing Science Institute.</w:t>
      </w:r>
    </w:p>
    <w:p w:rsidR="00000000" w:rsidDel="00000000" w:rsidP="00000000" w:rsidRDefault="00000000" w:rsidRPr="00000000" w14:paraId="0000007A">
      <w:pPr>
        <w:numPr>
          <w:ilvl w:val="0"/>
          <w:numId w:val="2"/>
        </w:numPr>
        <w:pBdr>
          <w:top w:color="ffffff" w:space="0" w:sz="8" w:val="single"/>
          <w:left w:color="ffffff" w:space="0" w:sz="8" w:val="single"/>
          <w:bottom w:color="ffffff" w:space="0" w:sz="8" w:val="single"/>
          <w:right w:color="ffffff" w:space="0" w:sz="8" w:val="single"/>
          <w:between w:color="auto" w:space="0" w:sz="0" w:val="none"/>
        </w:pBdr>
        <w:shd w:fill="ffffff" w:val="clear"/>
        <w:spacing w:after="0" w:afterAutospacing="0" w:line="390" w:lineRule="auto"/>
        <w:ind w:left="720" w:hanging="360"/>
        <w:rPr>
          <w:i w:val="1"/>
          <w:iCs w:val="1"/>
          <w:sz w:val="20"/>
          <w:szCs w:val="20"/>
          <w:highlight w:val="white"/>
        </w:rPr>
      </w:pPr>
      <w:r w:rsidDel="00000000" w:rsidR="00000000" w:rsidRPr="00000000">
        <w:rPr>
          <w:rFonts w:ascii="Roboto" w:cs="Roboto" w:eastAsia="Roboto" w:hAnsi="Roboto"/>
          <w:i w:val="1"/>
          <w:iCs w:val="1"/>
          <w:sz w:val="20"/>
          <w:szCs w:val="20"/>
          <w:highlight w:val="white"/>
          <w:rtl w:val="0"/>
        </w:rPr>
        <w:t xml:space="preserve">Reinartz, W. and Kumar, V. (2003) 'The impact of customer relationship characteristics on profitable lifetime duration', Journal of Marketing, 67(1), pp. 77-99.</w:t>
      </w:r>
    </w:p>
    <w:p w:rsidR="00000000" w:rsidDel="00000000" w:rsidP="00000000" w:rsidRDefault="00000000" w:rsidRPr="00000000" w14:paraId="0000007B">
      <w:pPr>
        <w:numPr>
          <w:ilvl w:val="0"/>
          <w:numId w:val="2"/>
        </w:numPr>
        <w:pBdr>
          <w:top w:color="ffffff" w:space="0" w:sz="8" w:val="single"/>
          <w:left w:color="ffffff" w:space="0" w:sz="8" w:val="single"/>
          <w:bottom w:color="ffffff" w:space="0" w:sz="8" w:val="single"/>
          <w:right w:color="ffffff" w:space="0" w:sz="8" w:val="single"/>
          <w:between w:color="auto" w:space="0" w:sz="0" w:val="none"/>
        </w:pBdr>
        <w:shd w:fill="ffffff" w:val="clear"/>
        <w:spacing w:after="0" w:afterAutospacing="0" w:line="390" w:lineRule="auto"/>
        <w:ind w:left="720" w:hanging="360"/>
        <w:rPr>
          <w:i w:val="1"/>
          <w:iCs w:val="1"/>
          <w:sz w:val="20"/>
          <w:szCs w:val="20"/>
          <w:highlight w:val="white"/>
        </w:rPr>
      </w:pPr>
      <w:r w:rsidDel="00000000" w:rsidR="00000000" w:rsidRPr="00000000">
        <w:rPr>
          <w:rFonts w:ascii="Roboto" w:cs="Roboto" w:eastAsia="Roboto" w:hAnsi="Roboto"/>
          <w:i w:val="1"/>
          <w:iCs w:val="1"/>
          <w:sz w:val="20"/>
          <w:szCs w:val="20"/>
          <w:highlight w:val="white"/>
          <w:rtl w:val="0"/>
        </w:rPr>
        <w:t xml:space="preserve">Stank, T.P., Keller, S.B. and Daugherty, P.J. (2001) 'Supply chain collaboration and logistical service performance', Journal of Business Logistics, 22(1), pp. 29-48.</w:t>
      </w:r>
    </w:p>
    <w:p w:rsidR="00000000" w:rsidDel="00000000" w:rsidP="00000000" w:rsidRDefault="00000000" w:rsidRPr="00000000" w14:paraId="0000007C">
      <w:pPr>
        <w:numPr>
          <w:ilvl w:val="0"/>
          <w:numId w:val="2"/>
        </w:numPr>
        <w:pBdr>
          <w:top w:color="ffffff" w:space="0" w:sz="8" w:val="single"/>
          <w:left w:color="ffffff" w:space="0" w:sz="8" w:val="single"/>
          <w:bottom w:color="ffffff" w:space="0" w:sz="8" w:val="single"/>
          <w:right w:color="ffffff" w:space="0" w:sz="8" w:val="single"/>
          <w:between w:color="auto" w:space="0" w:sz="0" w:val="none"/>
        </w:pBdr>
        <w:shd w:fill="ffffff" w:val="clear"/>
        <w:spacing w:after="0" w:afterAutospacing="0" w:line="390" w:lineRule="auto"/>
        <w:ind w:left="720" w:hanging="360"/>
        <w:rPr>
          <w:i w:val="1"/>
          <w:iCs w:val="1"/>
          <w:sz w:val="20"/>
          <w:szCs w:val="20"/>
          <w:highlight w:val="white"/>
        </w:rPr>
      </w:pPr>
      <w:r w:rsidDel="00000000" w:rsidR="00000000" w:rsidRPr="00000000">
        <w:rPr>
          <w:rFonts w:ascii="Roboto" w:cs="Roboto" w:eastAsia="Roboto" w:hAnsi="Roboto"/>
          <w:i w:val="1"/>
          <w:iCs w:val="1"/>
          <w:sz w:val="20"/>
          <w:szCs w:val="20"/>
          <w:highlight w:val="white"/>
          <w:rtl w:val="0"/>
        </w:rPr>
        <w:t xml:space="preserve">Morgan, R.M. and Hunt, S.D. (1994) 'The commitment-trust theory of relationship marketing', Journal of Marketing, 58(3), pp. 20-38.</w:t>
      </w:r>
    </w:p>
    <w:p w:rsidR="00000000" w:rsidDel="00000000" w:rsidP="00000000" w:rsidRDefault="00000000" w:rsidRPr="00000000" w14:paraId="0000007D">
      <w:pPr>
        <w:numPr>
          <w:ilvl w:val="0"/>
          <w:numId w:val="2"/>
        </w:numPr>
        <w:pBdr>
          <w:top w:color="ffffff" w:space="0" w:sz="8" w:val="single"/>
          <w:left w:color="ffffff" w:space="0" w:sz="8" w:val="single"/>
          <w:bottom w:color="ffffff" w:space="0" w:sz="8" w:val="single"/>
          <w:right w:color="ffffff" w:space="0" w:sz="8" w:val="single"/>
          <w:between w:color="auto" w:space="0" w:sz="0" w:val="none"/>
        </w:pBdr>
        <w:shd w:fill="ffffff" w:val="clear"/>
        <w:spacing w:after="0" w:afterAutospacing="0" w:line="390" w:lineRule="auto"/>
        <w:ind w:left="720" w:hanging="360"/>
        <w:rPr>
          <w:i w:val="1"/>
          <w:iCs w:val="1"/>
          <w:sz w:val="20"/>
          <w:szCs w:val="20"/>
          <w:highlight w:val="white"/>
        </w:rPr>
      </w:pPr>
      <w:r w:rsidDel="00000000" w:rsidR="00000000" w:rsidRPr="00000000">
        <w:rPr>
          <w:rFonts w:ascii="Roboto" w:cs="Roboto" w:eastAsia="Roboto" w:hAnsi="Roboto"/>
          <w:i w:val="1"/>
          <w:iCs w:val="1"/>
          <w:sz w:val="20"/>
          <w:szCs w:val="20"/>
          <w:highlight w:val="white"/>
          <w:rtl w:val="0"/>
        </w:rPr>
        <w:t xml:space="preserve">Frow, P. and Payne, A. (2007) 'Towards the "perfect" customer management', Journal of Marketing Management, 23(5-6), pp. 493-513.</w:t>
      </w:r>
    </w:p>
    <w:p w:rsidR="00000000" w:rsidDel="00000000" w:rsidP="00000000" w:rsidRDefault="00000000" w:rsidRPr="00000000" w14:paraId="0000007E">
      <w:pPr>
        <w:numPr>
          <w:ilvl w:val="0"/>
          <w:numId w:val="2"/>
        </w:numPr>
        <w:pBdr>
          <w:top w:color="ffffff" w:space="0" w:sz="8" w:val="single"/>
          <w:left w:color="ffffff" w:space="0" w:sz="8" w:val="single"/>
          <w:bottom w:color="ffffff" w:space="0" w:sz="8" w:val="single"/>
          <w:right w:color="ffffff" w:space="0" w:sz="8" w:val="single"/>
          <w:between w:color="auto" w:space="0" w:sz="0" w:val="none"/>
        </w:pBdr>
        <w:shd w:fill="ffffff" w:val="clear"/>
        <w:spacing w:after="0" w:afterAutospacing="0" w:line="390" w:lineRule="auto"/>
        <w:ind w:left="720" w:hanging="360"/>
        <w:rPr>
          <w:i w:val="1"/>
          <w:iCs w:val="1"/>
          <w:sz w:val="20"/>
          <w:szCs w:val="20"/>
          <w:highlight w:val="white"/>
        </w:rPr>
      </w:pPr>
      <w:r w:rsidDel="00000000" w:rsidR="00000000" w:rsidRPr="00000000">
        <w:rPr>
          <w:rFonts w:ascii="Roboto" w:cs="Roboto" w:eastAsia="Roboto" w:hAnsi="Roboto"/>
          <w:i w:val="1"/>
          <w:iCs w:val="1"/>
          <w:sz w:val="20"/>
          <w:szCs w:val="20"/>
          <w:highlight w:val="white"/>
          <w:rtl w:val="0"/>
        </w:rPr>
        <w:t xml:space="preserve">Parasuraman, A., Zeithaml, V.A. and Berry, L.L. (1988) 'SERVQUAL: a multiple-item scale for measuring consumer perceptions of service quality', Journal of Retailing, 64(1), pp. 12-40.</w:t>
      </w:r>
    </w:p>
    <w:p w:rsidR="00000000" w:rsidDel="00000000" w:rsidP="00000000" w:rsidRDefault="00000000" w:rsidRPr="00000000" w14:paraId="0000007F">
      <w:pPr>
        <w:numPr>
          <w:ilvl w:val="0"/>
          <w:numId w:val="2"/>
        </w:numPr>
        <w:pBdr>
          <w:top w:color="ffffff" w:space="0" w:sz="8" w:val="single"/>
          <w:left w:color="ffffff" w:space="0" w:sz="8" w:val="single"/>
          <w:bottom w:color="ffffff" w:space="0" w:sz="8" w:val="single"/>
          <w:right w:color="ffffff" w:space="0" w:sz="8" w:val="single"/>
          <w:between w:color="auto" w:space="0" w:sz="0" w:val="none"/>
        </w:pBdr>
        <w:shd w:fill="ffffff" w:val="clear"/>
        <w:spacing w:after="0" w:afterAutospacing="0" w:line="390" w:lineRule="auto"/>
        <w:ind w:left="720" w:hanging="360"/>
        <w:rPr>
          <w:i w:val="1"/>
          <w:iCs w:val="1"/>
          <w:sz w:val="20"/>
          <w:szCs w:val="20"/>
          <w:highlight w:val="white"/>
        </w:rPr>
      </w:pPr>
      <w:r w:rsidDel="00000000" w:rsidR="00000000" w:rsidRPr="00000000">
        <w:rPr>
          <w:rFonts w:ascii="Roboto" w:cs="Roboto" w:eastAsia="Roboto" w:hAnsi="Roboto"/>
          <w:i w:val="1"/>
          <w:iCs w:val="1"/>
          <w:sz w:val="20"/>
          <w:szCs w:val="20"/>
          <w:highlight w:val="white"/>
          <w:rtl w:val="0"/>
        </w:rPr>
        <w:t xml:space="preserve">Womack, J.P. and Jones, D.T. (2003) Lean Thinking: Banish Waste and Create Wealth in Your Corporation. New York: Free Press.</w:t>
      </w:r>
    </w:p>
    <w:p w:rsidR="00000000" w:rsidDel="00000000" w:rsidP="00000000" w:rsidRDefault="00000000" w:rsidRPr="00000000" w14:paraId="00000080">
      <w:pPr>
        <w:numPr>
          <w:ilvl w:val="0"/>
          <w:numId w:val="2"/>
        </w:numPr>
        <w:pBdr>
          <w:top w:color="ffffff" w:space="0" w:sz="8" w:val="single"/>
          <w:left w:color="ffffff" w:space="0" w:sz="8" w:val="single"/>
          <w:bottom w:color="ffffff" w:space="0" w:sz="8" w:val="single"/>
          <w:right w:color="ffffff" w:space="0" w:sz="8" w:val="single"/>
          <w:between w:color="auto" w:space="0" w:sz="0" w:val="none"/>
        </w:pBdr>
        <w:shd w:fill="ffffff" w:val="clear"/>
        <w:spacing w:after="0" w:afterAutospacing="0" w:line="390" w:lineRule="auto"/>
        <w:ind w:left="720" w:hanging="360"/>
        <w:rPr>
          <w:i w:val="1"/>
          <w:iCs w:val="1"/>
          <w:sz w:val="20"/>
          <w:szCs w:val="20"/>
          <w:highlight w:val="white"/>
        </w:rPr>
      </w:pPr>
      <w:r w:rsidDel="00000000" w:rsidR="00000000" w:rsidRPr="00000000">
        <w:rPr>
          <w:rFonts w:ascii="Roboto" w:cs="Roboto" w:eastAsia="Roboto" w:hAnsi="Roboto"/>
          <w:i w:val="1"/>
          <w:iCs w:val="1"/>
          <w:sz w:val="20"/>
          <w:szCs w:val="20"/>
          <w:highlight w:val="white"/>
          <w:rtl w:val="0"/>
        </w:rPr>
        <w:t xml:space="preserve">Rust, R.T., Lemon, K.N. and Zeithaml, V.A. (2004) 'Return on marketing: using customer equity to focus marketing strategy', Journal of Marketing, 68(1), pp. 109-127.</w:t>
      </w:r>
    </w:p>
    <w:p w:rsidR="00000000" w:rsidDel="00000000" w:rsidP="00000000" w:rsidRDefault="00000000" w:rsidRPr="00000000" w14:paraId="00000081">
      <w:pPr>
        <w:numPr>
          <w:ilvl w:val="0"/>
          <w:numId w:val="2"/>
        </w:numPr>
        <w:pBdr>
          <w:top w:color="ffffff" w:space="0" w:sz="8" w:val="single"/>
          <w:left w:color="ffffff" w:space="0" w:sz="8" w:val="single"/>
          <w:bottom w:color="ffffff" w:space="0" w:sz="8" w:val="single"/>
          <w:right w:color="ffffff" w:space="0" w:sz="8" w:val="single"/>
          <w:between w:color="auto" w:space="0" w:sz="0" w:val="none"/>
        </w:pBdr>
        <w:shd w:fill="ffffff" w:val="clear"/>
        <w:spacing w:line="390" w:lineRule="auto"/>
        <w:ind w:left="720" w:hanging="360"/>
        <w:rPr>
          <w:i w:val="1"/>
          <w:iCs w:val="1"/>
          <w:sz w:val="20"/>
          <w:szCs w:val="20"/>
          <w:highlight w:val="white"/>
        </w:rPr>
      </w:pPr>
      <w:r w:rsidDel="00000000" w:rsidR="00000000" w:rsidRPr="00000000">
        <w:rPr>
          <w:rFonts w:ascii="Roboto" w:cs="Roboto" w:eastAsia="Roboto" w:hAnsi="Roboto"/>
          <w:i w:val="1"/>
          <w:iCs w:val="1"/>
          <w:sz w:val="20"/>
          <w:szCs w:val="20"/>
          <w:highlight w:val="white"/>
          <w:rtl w:val="0"/>
        </w:rPr>
        <w:t xml:space="preserve">Gronroos, C. (2004) 'The relationship marketing process: communication, interaction, dialogue, value', Journal of Business and Industrial Marketing, 19(2), pp. 99-113.</w:t>
      </w:r>
    </w:p>
    <w:p w:rsidR="00000000" w:rsidDel="00000000" w:rsidP="00000000" w:rsidRDefault="00000000" w:rsidRPr="00000000" w14:paraId="00000082">
      <w:pPr>
        <w:pBdr>
          <w:top w:color="ffffff" w:space="0" w:sz="8" w:val="single"/>
          <w:left w:color="ffffff" w:space="0" w:sz="8" w:val="single"/>
          <w:bottom w:color="ffffff" w:space="0" w:sz="8" w:val="single"/>
          <w:right w:color="ffffff" w:space="0" w:sz="8" w:val="single"/>
        </w:pBdr>
        <w:shd w:fill="ffffff" w:val="clear"/>
        <w:spacing w:line="390" w:lineRule="auto"/>
        <w:rPr>
          <w:rFonts w:ascii="Roboto" w:cs="Roboto" w:eastAsia="Roboto" w:hAnsi="Roboto"/>
          <w:b w:val="1"/>
          <w:bCs w:val="1"/>
          <w:i w:val="1"/>
          <w:iCs w:val="1"/>
          <w:sz w:val="24"/>
          <w:szCs w:val="24"/>
          <w:highlight w:val="white"/>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rFonts w:ascii="Roboto" w:cs="Roboto" w:eastAsia="Roboto" w:hAnsi="Roboto"/>
        <w:b w:val="0"/>
        <w:bCs w:val="0"/>
        <w:i w:val="0"/>
        <w:iCs w:val="0"/>
        <w:smallCaps w:val="0"/>
        <w:sz w:val="21"/>
        <w:szCs w:val="21"/>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lvl w:ilvl="0">
      <w:start w:val="3"/>
      <w:numFmt w:val="decimal"/>
      <w:lvlText w:val="%1."/>
      <w:lvlJc w:val="left"/>
      <w:pPr>
        <w:ind w:left="720" w:hanging="360"/>
      </w:pPr>
      <w:rPr>
        <w:rFonts w:ascii="Roboto" w:cs="Roboto" w:eastAsia="Roboto" w:hAnsi="Roboto"/>
        <w:b w:val="0"/>
        <w:bCs w:val="0"/>
        <w:i w:val="0"/>
        <w:iCs w:val="0"/>
        <w:smallCaps w:val="0"/>
        <w:sz w:val="21"/>
        <w:szCs w:val="21"/>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lvl w:ilvl="0">
      <w:start w:val="1"/>
      <w:numFmt w:val="decimal"/>
      <w:lvlText w:val="%1."/>
      <w:lvlJc w:val="left"/>
      <w:pPr>
        <w:ind w:left="720" w:hanging="360"/>
      </w:pPr>
      <w:rPr>
        <w:rFonts w:ascii="Roboto" w:cs="Roboto" w:eastAsia="Roboto" w:hAnsi="Roboto"/>
        <w:b w:val="0"/>
        <w:bCs w:val="0"/>
        <w:i w:val="0"/>
        <w:iCs w:val="0"/>
        <w:smallCaps w:val="0"/>
        <w:sz w:val="21"/>
        <w:szCs w:val="21"/>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lvl w:ilvl="0">
      <w:start w:val="1"/>
      <w:numFmt w:val="decimal"/>
      <w:lvlText w:val="%1."/>
      <w:lvlJc w:val="left"/>
      <w:pPr>
        <w:ind w:left="720" w:hanging="360"/>
      </w:pPr>
      <w:rPr>
        <w:rFonts w:ascii="Roboto" w:cs="Roboto" w:eastAsia="Roboto" w:hAnsi="Roboto"/>
        <w:b w:val="0"/>
        <w:bCs w:val="0"/>
        <w:i w:val="0"/>
        <w:iCs w:val="0"/>
        <w:smallCaps w:val="0"/>
        <w:sz w:val="21"/>
        <w:szCs w:val="21"/>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