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58E94" w14:textId="016B8D26" w:rsidR="00C27C69" w:rsidRPr="00C27C69" w:rsidRDefault="00C27C69" w:rsidP="00C27C69">
      <w:pPr>
        <w:spacing w:line="360" w:lineRule="auto"/>
        <w:jc w:val="center"/>
        <w:rPr>
          <w:rFonts w:ascii="Times New Roman" w:hAnsi="Times New Roman" w:cs="Times New Roman"/>
          <w:b/>
          <w:sz w:val="32"/>
          <w:szCs w:val="32"/>
        </w:rPr>
      </w:pPr>
      <w:r w:rsidRPr="00C27C69">
        <w:rPr>
          <w:rFonts w:ascii="Times New Roman" w:hAnsi="Times New Roman" w:cs="Times New Roman"/>
          <w:b/>
          <w:sz w:val="32"/>
          <w:szCs w:val="32"/>
        </w:rPr>
        <w:t>Managing People</w:t>
      </w:r>
    </w:p>
    <w:p w14:paraId="6411AEFE" w14:textId="77777777" w:rsidR="00C27C69" w:rsidRPr="00C27C69" w:rsidRDefault="00C27C69" w:rsidP="00C27C69">
      <w:pPr>
        <w:spacing w:line="360" w:lineRule="auto"/>
        <w:jc w:val="center"/>
        <w:rPr>
          <w:rFonts w:ascii="Times New Roman" w:hAnsi="Times New Roman" w:cs="Times New Roman"/>
          <w:b/>
          <w:sz w:val="32"/>
          <w:szCs w:val="32"/>
        </w:rPr>
      </w:pPr>
      <w:r w:rsidRPr="00C27C69">
        <w:rPr>
          <w:rFonts w:ascii="Times New Roman" w:hAnsi="Times New Roman" w:cs="Times New Roman"/>
          <w:b/>
          <w:sz w:val="32"/>
          <w:szCs w:val="32"/>
        </w:rPr>
        <w:t>Submission Date:</w:t>
      </w:r>
    </w:p>
    <w:p w14:paraId="32266783" w14:textId="4AE2FF5E" w:rsidR="00C27C69" w:rsidRDefault="00C27C69" w:rsidP="00C27C69">
      <w:pPr>
        <w:spacing w:line="360" w:lineRule="auto"/>
        <w:jc w:val="center"/>
        <w:rPr>
          <w:rFonts w:ascii="Times New Roman" w:hAnsi="Times New Roman" w:cs="Times New Roman"/>
          <w:b/>
          <w:sz w:val="24"/>
          <w:szCs w:val="24"/>
        </w:rPr>
      </w:pPr>
      <w:r w:rsidRPr="00C27C69">
        <w:rPr>
          <w:rFonts w:ascii="Times New Roman" w:hAnsi="Times New Roman" w:cs="Times New Roman"/>
          <w:b/>
          <w:sz w:val="32"/>
          <w:szCs w:val="32"/>
        </w:rPr>
        <w:t>Student ID:</w:t>
      </w:r>
      <w:r>
        <w:rPr>
          <w:rFonts w:ascii="Times New Roman" w:hAnsi="Times New Roman" w:cs="Times New Roman"/>
          <w:b/>
          <w:sz w:val="24"/>
          <w:szCs w:val="24"/>
        </w:rPr>
        <w:br w:type="page"/>
      </w:r>
    </w:p>
    <w:p w14:paraId="00000002" w14:textId="0AF9F486"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lastRenderedPageBreak/>
        <w:t>Executive summary</w:t>
      </w:r>
    </w:p>
    <w:p w14:paraId="00000003"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In this assignment, the discussion was mainly based on the British Gas company actualizing the fire or rehiring strategy on their employees and its impact on their business growth, development, and employee engagement policies. The fire or rehire definition was discussed in terms of the company in the UK labour market. Then the strategy's effect on the employees was discussed. The costs of managing staff were the constant factor in every organisation that was scrutinised thoroughly over the report because the company wanted their business sustainability in the competitive market. The employee engagement of the company was very much influenced by the above-mentioned strategy. So the reward offerings and the working practices were changed due to balance in the work environment as well. The approaches taken by the  British Gas company to implement the fire and rehiring strategy were discussed with a detailed evaluation. Besides, the employees' relation with the employers, and employee engagement in terms of the consultation and communications with the HR management and the employers were changed in terms of the above-mentioned strategy implementation. Different types of diversity were created in the work environment of the company and it was managed by the human resource management to maintain the sustainability of the business growth. Besides, managing the staff, the sustainable health, work environment, and safety of them in the company were also importantly assessed for developing the wellness and risks issues.</w:t>
      </w:r>
    </w:p>
    <w:p w14:paraId="00000004" w14:textId="77777777" w:rsidR="00FE2243" w:rsidRPr="009E2365" w:rsidRDefault="00000000" w:rsidP="009E2365">
      <w:pPr>
        <w:pStyle w:val="Normal1"/>
        <w:spacing w:before="240" w:line="360" w:lineRule="auto"/>
        <w:jc w:val="both"/>
        <w:rPr>
          <w:rFonts w:ascii="Times New Roman" w:eastAsia="Times New Roman" w:hAnsi="Times New Roman" w:cs="Times New Roman"/>
          <w:sz w:val="24"/>
          <w:szCs w:val="24"/>
        </w:rPr>
      </w:pPr>
      <w:r w:rsidRPr="009E2365">
        <w:rPr>
          <w:rFonts w:ascii="Times New Roman" w:eastAsia="Times New Roman" w:hAnsi="Times New Roman" w:cs="Times New Roman"/>
          <w:sz w:val="24"/>
          <w:szCs w:val="24"/>
        </w:rPr>
        <w:t xml:space="preserve"> </w:t>
      </w:r>
    </w:p>
    <w:p w14:paraId="00000005" w14:textId="77777777" w:rsidR="00FE2243" w:rsidRPr="009E2365" w:rsidRDefault="00FE2243" w:rsidP="009E2365">
      <w:pPr>
        <w:pStyle w:val="Normal1"/>
        <w:spacing w:line="360" w:lineRule="auto"/>
        <w:jc w:val="both"/>
        <w:rPr>
          <w:rFonts w:ascii="Times New Roman" w:hAnsi="Times New Roman" w:cs="Times New Roman"/>
          <w:b/>
          <w:sz w:val="24"/>
          <w:szCs w:val="24"/>
        </w:rPr>
      </w:pPr>
    </w:p>
    <w:p w14:paraId="00000006" w14:textId="77777777" w:rsidR="00FE2243" w:rsidRPr="009E2365" w:rsidRDefault="00FE2243" w:rsidP="009E2365">
      <w:pPr>
        <w:pStyle w:val="Normal1"/>
        <w:spacing w:line="360" w:lineRule="auto"/>
        <w:jc w:val="both"/>
        <w:rPr>
          <w:rFonts w:ascii="Times New Roman" w:hAnsi="Times New Roman" w:cs="Times New Roman"/>
          <w:sz w:val="24"/>
          <w:szCs w:val="24"/>
        </w:rPr>
      </w:pPr>
    </w:p>
    <w:p w14:paraId="098C4824" w14:textId="77777777" w:rsidR="009E2365" w:rsidRDefault="009E2365">
      <w:pPr>
        <w:rPr>
          <w:rFonts w:ascii="Times New Roman" w:hAnsi="Times New Roman" w:cs="Times New Roman"/>
          <w:b/>
          <w:sz w:val="24"/>
          <w:szCs w:val="24"/>
        </w:rPr>
      </w:pPr>
      <w:r>
        <w:rPr>
          <w:rFonts w:ascii="Times New Roman" w:hAnsi="Times New Roman" w:cs="Times New Roman"/>
          <w:b/>
          <w:sz w:val="24"/>
          <w:szCs w:val="24"/>
        </w:rPr>
        <w:br w:type="page"/>
      </w:r>
    </w:p>
    <w:sdt>
      <w:sdtPr>
        <w:id w:val="-27876270"/>
        <w:docPartObj>
          <w:docPartGallery w:val="Table of Contents"/>
          <w:docPartUnique/>
        </w:docPartObj>
      </w:sdtPr>
      <w:sdtEndPr>
        <w:rPr>
          <w:rFonts w:ascii="Arial" w:eastAsia="Arial" w:hAnsi="Arial" w:cs="Arial"/>
          <w:b/>
          <w:bCs/>
          <w:noProof/>
          <w:color w:val="auto"/>
          <w:sz w:val="22"/>
          <w:szCs w:val="22"/>
          <w:lang w:val=""/>
        </w:rPr>
      </w:sdtEndPr>
      <w:sdtContent>
        <w:p w14:paraId="1B1DB491" w14:textId="735E2E87" w:rsidR="001E0B13" w:rsidRPr="001E0B13" w:rsidRDefault="001E0B13" w:rsidP="001E0B13">
          <w:pPr>
            <w:pStyle w:val="TOCHeading"/>
            <w:spacing w:line="360" w:lineRule="auto"/>
            <w:jc w:val="center"/>
            <w:rPr>
              <w:rFonts w:ascii="Times New Roman" w:hAnsi="Times New Roman" w:cs="Times New Roman"/>
              <w:b/>
              <w:bCs/>
              <w:color w:val="auto"/>
              <w:sz w:val="24"/>
              <w:szCs w:val="24"/>
            </w:rPr>
          </w:pPr>
          <w:r w:rsidRPr="001E0B13">
            <w:rPr>
              <w:rFonts w:ascii="Times New Roman" w:hAnsi="Times New Roman" w:cs="Times New Roman"/>
              <w:b/>
              <w:bCs/>
              <w:color w:val="auto"/>
              <w:sz w:val="24"/>
              <w:szCs w:val="24"/>
            </w:rPr>
            <w:t>Table of Contents</w:t>
          </w:r>
        </w:p>
        <w:p w14:paraId="0ECFF432" w14:textId="360ED5B8"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r w:rsidRPr="001E0B13">
            <w:rPr>
              <w:rFonts w:ascii="Times New Roman" w:hAnsi="Times New Roman" w:cs="Times New Roman"/>
              <w:sz w:val="24"/>
              <w:szCs w:val="24"/>
            </w:rPr>
            <w:fldChar w:fldCharType="begin"/>
          </w:r>
          <w:r w:rsidRPr="001E0B13">
            <w:rPr>
              <w:rFonts w:ascii="Times New Roman" w:hAnsi="Times New Roman" w:cs="Times New Roman"/>
              <w:sz w:val="24"/>
              <w:szCs w:val="24"/>
            </w:rPr>
            <w:instrText xml:space="preserve"> TOC \o "1-3" \h \z \u </w:instrText>
          </w:r>
          <w:r w:rsidRPr="001E0B13">
            <w:rPr>
              <w:rFonts w:ascii="Times New Roman" w:hAnsi="Times New Roman" w:cs="Times New Roman"/>
              <w:sz w:val="24"/>
              <w:szCs w:val="24"/>
            </w:rPr>
            <w:fldChar w:fldCharType="separate"/>
          </w:r>
          <w:hyperlink w:anchor="_Toc132225147" w:history="1">
            <w:r w:rsidRPr="001E0B13">
              <w:rPr>
                <w:rStyle w:val="Hyperlink"/>
                <w:rFonts w:ascii="Times New Roman" w:hAnsi="Times New Roman" w:cs="Times New Roman"/>
                <w:noProof/>
                <w:sz w:val="24"/>
                <w:szCs w:val="24"/>
              </w:rPr>
              <w:t>Introduction</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_Toc132225147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5</w:t>
            </w:r>
            <w:r w:rsidRPr="001E0B13">
              <w:rPr>
                <w:rFonts w:ascii="Times New Roman" w:hAnsi="Times New Roman" w:cs="Times New Roman"/>
                <w:noProof/>
                <w:webHidden/>
                <w:sz w:val="24"/>
                <w:szCs w:val="24"/>
              </w:rPr>
              <w:fldChar w:fldCharType="end"/>
            </w:r>
          </w:hyperlink>
        </w:p>
        <w:p w14:paraId="5AD7D198" w14:textId="7CD979AE"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hyperlink w:anchor="_Toc132225148" w:history="1">
            <w:r w:rsidRPr="001E0B13">
              <w:rPr>
                <w:rStyle w:val="Hyperlink"/>
                <w:rFonts w:ascii="Times New Roman" w:hAnsi="Times New Roman" w:cs="Times New Roman"/>
                <w:noProof/>
                <w:sz w:val="24"/>
                <w:szCs w:val="24"/>
              </w:rPr>
              <w:t>Practice of "fire and rehire" in the UK labour market</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_Toc132225148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5</w:t>
            </w:r>
            <w:r w:rsidRPr="001E0B13">
              <w:rPr>
                <w:rFonts w:ascii="Times New Roman" w:hAnsi="Times New Roman" w:cs="Times New Roman"/>
                <w:noProof/>
                <w:webHidden/>
                <w:sz w:val="24"/>
                <w:szCs w:val="24"/>
              </w:rPr>
              <w:fldChar w:fldCharType="end"/>
            </w:r>
          </w:hyperlink>
        </w:p>
        <w:p w14:paraId="24908D3C" w14:textId="40BDE541"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hyperlink w:anchor="_Toc132225149" w:history="1">
            <w:r w:rsidRPr="001E0B13">
              <w:rPr>
                <w:rStyle w:val="Hyperlink"/>
                <w:rFonts w:ascii="Times New Roman" w:hAnsi="Times New Roman" w:cs="Times New Roman"/>
                <w:noProof/>
                <w:sz w:val="24"/>
                <w:szCs w:val="24"/>
              </w:rPr>
              <w:t>Legal Implications of changing contractual employment terms</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_Toc132225149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10</w:t>
            </w:r>
            <w:r w:rsidRPr="001E0B13">
              <w:rPr>
                <w:rFonts w:ascii="Times New Roman" w:hAnsi="Times New Roman" w:cs="Times New Roman"/>
                <w:noProof/>
                <w:webHidden/>
                <w:sz w:val="24"/>
                <w:szCs w:val="24"/>
              </w:rPr>
              <w:fldChar w:fldCharType="end"/>
            </w:r>
          </w:hyperlink>
        </w:p>
        <w:p w14:paraId="5887088B" w14:textId="0930F80C"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hyperlink w:anchor="_Toc132225150" w:history="1">
            <w:r w:rsidRPr="001E0B13">
              <w:rPr>
                <w:rStyle w:val="Hyperlink"/>
                <w:rFonts w:ascii="Times New Roman" w:hAnsi="Times New Roman" w:cs="Times New Roman"/>
                <w:noProof/>
                <w:sz w:val="24"/>
                <w:szCs w:val="24"/>
              </w:rPr>
              <w:t>Employee engagement</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_Toc132225150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13</w:t>
            </w:r>
            <w:r w:rsidRPr="001E0B13">
              <w:rPr>
                <w:rFonts w:ascii="Times New Roman" w:hAnsi="Times New Roman" w:cs="Times New Roman"/>
                <w:noProof/>
                <w:webHidden/>
                <w:sz w:val="24"/>
                <w:szCs w:val="24"/>
              </w:rPr>
              <w:fldChar w:fldCharType="end"/>
            </w:r>
          </w:hyperlink>
        </w:p>
        <w:p w14:paraId="4F5F9CDA" w14:textId="15636152"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hyperlink w:anchor="_Toc132225151" w:history="1">
            <w:r w:rsidRPr="001E0B13">
              <w:rPr>
                <w:rStyle w:val="Hyperlink"/>
                <w:rFonts w:ascii="Times New Roman" w:hAnsi="Times New Roman" w:cs="Times New Roman"/>
                <w:noProof/>
                <w:sz w:val="24"/>
                <w:szCs w:val="24"/>
              </w:rPr>
              <w:t>Evaluate HR involvement</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_Toc132225151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17</w:t>
            </w:r>
            <w:r w:rsidRPr="001E0B13">
              <w:rPr>
                <w:rFonts w:ascii="Times New Roman" w:hAnsi="Times New Roman" w:cs="Times New Roman"/>
                <w:noProof/>
                <w:webHidden/>
                <w:sz w:val="24"/>
                <w:szCs w:val="24"/>
              </w:rPr>
              <w:fldChar w:fldCharType="end"/>
            </w:r>
          </w:hyperlink>
        </w:p>
        <w:p w14:paraId="221147AA" w14:textId="23344857"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hyperlink w:anchor="_Toc132225152" w:history="1">
            <w:r w:rsidRPr="001E0B13">
              <w:rPr>
                <w:rStyle w:val="Hyperlink"/>
                <w:rFonts w:ascii="Times New Roman" w:hAnsi="Times New Roman" w:cs="Times New Roman"/>
                <w:noProof/>
                <w:sz w:val="24"/>
                <w:szCs w:val="24"/>
              </w:rPr>
              <w:t>Conclusion</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_Toc132225152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21</w:t>
            </w:r>
            <w:r w:rsidRPr="001E0B13">
              <w:rPr>
                <w:rFonts w:ascii="Times New Roman" w:hAnsi="Times New Roman" w:cs="Times New Roman"/>
                <w:noProof/>
                <w:webHidden/>
                <w:sz w:val="24"/>
                <w:szCs w:val="24"/>
              </w:rPr>
              <w:fldChar w:fldCharType="end"/>
            </w:r>
          </w:hyperlink>
        </w:p>
        <w:p w14:paraId="0BF710E3" w14:textId="04DD26A4" w:rsidR="001E0B13" w:rsidRPr="001E0B13" w:rsidRDefault="001E0B13" w:rsidP="001E0B13">
          <w:pPr>
            <w:pStyle w:val="TOC1"/>
            <w:tabs>
              <w:tab w:val="right" w:leader="dot" w:pos="9019"/>
            </w:tabs>
            <w:spacing w:line="360" w:lineRule="auto"/>
            <w:jc w:val="both"/>
            <w:rPr>
              <w:rFonts w:ascii="Times New Roman" w:hAnsi="Times New Roman" w:cs="Times New Roman"/>
              <w:noProof/>
              <w:sz w:val="24"/>
              <w:szCs w:val="24"/>
            </w:rPr>
          </w:pPr>
          <w:hyperlink w:anchor="_Toc132225153" w:history="1">
            <w:r w:rsidRPr="001E0B13">
              <w:rPr>
                <w:rStyle w:val="Hyperlink"/>
                <w:rFonts w:ascii="Times New Roman" w:hAnsi="Times New Roman" w:cs="Times New Roman"/>
                <w:noProof/>
                <w:sz w:val="24"/>
                <w:szCs w:val="24"/>
              </w:rPr>
              <w:t>Reference List</w:t>
            </w:r>
            <w:r w:rsidRPr="001E0B13">
              <w:rPr>
                <w:rFonts w:ascii="Times New Roman" w:hAnsi="Times New Roman" w:cs="Times New Roman"/>
                <w:noProof/>
                <w:webHidden/>
                <w:sz w:val="24"/>
                <w:szCs w:val="24"/>
              </w:rPr>
              <w:tab/>
            </w:r>
            <w:r w:rsidRPr="001E0B13">
              <w:rPr>
                <w:rFonts w:ascii="Times New Roman" w:hAnsi="Times New Roman" w:cs="Times New Roman"/>
                <w:noProof/>
                <w:webHidden/>
                <w:sz w:val="24"/>
                <w:szCs w:val="24"/>
              </w:rPr>
              <w:fldChar w:fldCharType="begin"/>
            </w:r>
            <w:r w:rsidRPr="001E0B13">
              <w:rPr>
                <w:rFonts w:ascii="Times New Roman" w:hAnsi="Times New Roman" w:cs="Times New Roman"/>
                <w:noProof/>
                <w:webHidden/>
                <w:sz w:val="24"/>
                <w:szCs w:val="24"/>
              </w:rPr>
              <w:instrText xml:space="preserve"> PAGEREF _Toc132225153 \h </w:instrText>
            </w:r>
            <w:r w:rsidRPr="001E0B13">
              <w:rPr>
                <w:rFonts w:ascii="Times New Roman" w:hAnsi="Times New Roman" w:cs="Times New Roman"/>
                <w:noProof/>
                <w:webHidden/>
                <w:sz w:val="24"/>
                <w:szCs w:val="24"/>
              </w:rPr>
            </w:r>
            <w:r w:rsidRPr="001E0B13">
              <w:rPr>
                <w:rFonts w:ascii="Times New Roman" w:hAnsi="Times New Roman" w:cs="Times New Roman"/>
                <w:noProof/>
                <w:webHidden/>
                <w:sz w:val="24"/>
                <w:szCs w:val="24"/>
              </w:rPr>
              <w:fldChar w:fldCharType="separate"/>
            </w:r>
            <w:r w:rsidRPr="001E0B13">
              <w:rPr>
                <w:rFonts w:ascii="Times New Roman" w:hAnsi="Times New Roman" w:cs="Times New Roman"/>
                <w:noProof/>
                <w:webHidden/>
                <w:sz w:val="24"/>
                <w:szCs w:val="24"/>
              </w:rPr>
              <w:t>22</w:t>
            </w:r>
            <w:r w:rsidRPr="001E0B13">
              <w:rPr>
                <w:rFonts w:ascii="Times New Roman" w:hAnsi="Times New Roman" w:cs="Times New Roman"/>
                <w:noProof/>
                <w:webHidden/>
                <w:sz w:val="24"/>
                <w:szCs w:val="24"/>
              </w:rPr>
              <w:fldChar w:fldCharType="end"/>
            </w:r>
          </w:hyperlink>
        </w:p>
        <w:p w14:paraId="5DA4CFD4" w14:textId="332025FD" w:rsidR="001E0B13" w:rsidRDefault="001E0B13" w:rsidP="001E0B13">
          <w:pPr>
            <w:spacing w:line="360" w:lineRule="auto"/>
            <w:jc w:val="both"/>
          </w:pPr>
          <w:r w:rsidRPr="001E0B13">
            <w:rPr>
              <w:rFonts w:ascii="Times New Roman" w:hAnsi="Times New Roman" w:cs="Times New Roman"/>
              <w:b/>
              <w:bCs/>
              <w:noProof/>
              <w:sz w:val="24"/>
              <w:szCs w:val="24"/>
            </w:rPr>
            <w:fldChar w:fldCharType="end"/>
          </w:r>
        </w:p>
      </w:sdtContent>
    </w:sdt>
    <w:p w14:paraId="49109C06" w14:textId="77777777" w:rsidR="00C27C69" w:rsidRDefault="00C27C69">
      <w:pPr>
        <w:rPr>
          <w:rFonts w:ascii="Times New Roman" w:hAnsi="Times New Roman" w:cs="Times New Roman"/>
          <w:b/>
          <w:sz w:val="24"/>
          <w:szCs w:val="24"/>
        </w:rPr>
      </w:pPr>
      <w:r>
        <w:rPr>
          <w:rFonts w:ascii="Times New Roman" w:hAnsi="Times New Roman" w:cs="Times New Roman"/>
          <w:b/>
          <w:sz w:val="24"/>
          <w:szCs w:val="24"/>
        </w:rPr>
        <w:br w:type="page"/>
      </w:r>
    </w:p>
    <w:p w14:paraId="1633CD04" w14:textId="07CC994A" w:rsidR="00FD6692" w:rsidRDefault="00FD6692" w:rsidP="00FD6692">
      <w:pPr>
        <w:pStyle w:val="TableofFigures"/>
        <w:tabs>
          <w:tab w:val="right" w:leader="dot" w:pos="9019"/>
        </w:tabs>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Figure</w:t>
      </w:r>
    </w:p>
    <w:p w14:paraId="5DC5B30F" w14:textId="20D493B8"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r w:rsidRPr="00FD6692">
        <w:rPr>
          <w:rFonts w:ascii="Times New Roman" w:hAnsi="Times New Roman" w:cs="Times New Roman"/>
          <w:b/>
          <w:sz w:val="24"/>
          <w:szCs w:val="24"/>
        </w:rPr>
        <w:fldChar w:fldCharType="begin"/>
      </w:r>
      <w:r w:rsidRPr="00FD6692">
        <w:rPr>
          <w:rFonts w:ascii="Times New Roman" w:hAnsi="Times New Roman" w:cs="Times New Roman"/>
          <w:b/>
          <w:sz w:val="24"/>
          <w:szCs w:val="24"/>
        </w:rPr>
        <w:instrText xml:space="preserve"> TOC \h \z \c "Figure" </w:instrText>
      </w:r>
      <w:r w:rsidRPr="00FD6692">
        <w:rPr>
          <w:rFonts w:ascii="Times New Roman" w:hAnsi="Times New Roman" w:cs="Times New Roman"/>
          <w:b/>
          <w:sz w:val="24"/>
          <w:szCs w:val="24"/>
        </w:rPr>
        <w:fldChar w:fldCharType="separate"/>
      </w:r>
      <w:hyperlink w:anchor="_Toc132225008" w:history="1">
        <w:r w:rsidRPr="00FD6692">
          <w:rPr>
            <w:rStyle w:val="Hyperlink"/>
            <w:rFonts w:ascii="Times New Roman" w:hAnsi="Times New Roman" w:cs="Times New Roman"/>
            <w:noProof/>
            <w:sz w:val="24"/>
            <w:szCs w:val="24"/>
          </w:rPr>
          <w:t>Figure 1: Fire and Re-hire</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_Toc132225008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6</w:t>
        </w:r>
        <w:r w:rsidRPr="00FD6692">
          <w:rPr>
            <w:rFonts w:ascii="Times New Roman" w:hAnsi="Times New Roman" w:cs="Times New Roman"/>
            <w:noProof/>
            <w:webHidden/>
            <w:sz w:val="24"/>
            <w:szCs w:val="24"/>
          </w:rPr>
          <w:fldChar w:fldCharType="end"/>
        </w:r>
      </w:hyperlink>
    </w:p>
    <w:p w14:paraId="04732217" w14:textId="1E5C3B14"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09" w:history="1">
        <w:r w:rsidRPr="00FD6692">
          <w:rPr>
            <w:rStyle w:val="Hyperlink"/>
            <w:rFonts w:ascii="Times New Roman" w:hAnsi="Times New Roman" w:cs="Times New Roman"/>
            <w:noProof/>
            <w:sz w:val="24"/>
            <w:szCs w:val="24"/>
          </w:rPr>
          <w:t>Figure 2: British Gas</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_Toc132225009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8</w:t>
        </w:r>
        <w:r w:rsidRPr="00FD6692">
          <w:rPr>
            <w:rFonts w:ascii="Times New Roman" w:hAnsi="Times New Roman" w:cs="Times New Roman"/>
            <w:noProof/>
            <w:webHidden/>
            <w:sz w:val="24"/>
            <w:szCs w:val="24"/>
          </w:rPr>
          <w:fldChar w:fldCharType="end"/>
        </w:r>
      </w:hyperlink>
    </w:p>
    <w:p w14:paraId="4FEF8573" w14:textId="3FE4F9CA"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10" w:history="1">
        <w:r w:rsidRPr="00FD6692">
          <w:rPr>
            <w:rStyle w:val="Hyperlink"/>
            <w:rFonts w:ascii="Times New Roman" w:hAnsi="Times New Roman" w:cs="Times New Roman"/>
            <w:noProof/>
            <w:sz w:val="24"/>
            <w:szCs w:val="24"/>
          </w:rPr>
          <w:t>Figure 3: HRM Strategies</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_Toc132225010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9</w:t>
        </w:r>
        <w:r w:rsidRPr="00FD6692">
          <w:rPr>
            <w:rFonts w:ascii="Times New Roman" w:hAnsi="Times New Roman" w:cs="Times New Roman"/>
            <w:noProof/>
            <w:webHidden/>
            <w:sz w:val="24"/>
            <w:szCs w:val="24"/>
          </w:rPr>
          <w:fldChar w:fldCharType="end"/>
        </w:r>
      </w:hyperlink>
    </w:p>
    <w:p w14:paraId="32DF765A" w14:textId="2941313E"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11" w:history="1">
        <w:r w:rsidRPr="00FD6692">
          <w:rPr>
            <w:rStyle w:val="Hyperlink"/>
            <w:rFonts w:ascii="Times New Roman" w:hAnsi="Times New Roman" w:cs="Times New Roman"/>
            <w:noProof/>
            <w:sz w:val="24"/>
            <w:szCs w:val="24"/>
          </w:rPr>
          <w:t>Figure 4: Contractual employment terms</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_Toc132225011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11</w:t>
        </w:r>
        <w:r w:rsidRPr="00FD6692">
          <w:rPr>
            <w:rFonts w:ascii="Times New Roman" w:hAnsi="Times New Roman" w:cs="Times New Roman"/>
            <w:noProof/>
            <w:webHidden/>
            <w:sz w:val="24"/>
            <w:szCs w:val="24"/>
          </w:rPr>
          <w:fldChar w:fldCharType="end"/>
        </w:r>
      </w:hyperlink>
    </w:p>
    <w:p w14:paraId="41CC31E9" w14:textId="55C6DBF8"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12" w:history="1">
        <w:r w:rsidRPr="00FD6692">
          <w:rPr>
            <w:rStyle w:val="Hyperlink"/>
            <w:rFonts w:ascii="Times New Roman" w:hAnsi="Times New Roman" w:cs="Times New Roman"/>
            <w:noProof/>
            <w:sz w:val="24"/>
            <w:szCs w:val="24"/>
          </w:rPr>
          <w:t>Figure 5: Employment Acts in UK</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_Toc132225012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12</w:t>
        </w:r>
        <w:r w:rsidRPr="00FD6692">
          <w:rPr>
            <w:rFonts w:ascii="Times New Roman" w:hAnsi="Times New Roman" w:cs="Times New Roman"/>
            <w:noProof/>
            <w:webHidden/>
            <w:sz w:val="24"/>
            <w:szCs w:val="24"/>
          </w:rPr>
          <w:fldChar w:fldCharType="end"/>
        </w:r>
      </w:hyperlink>
    </w:p>
    <w:p w14:paraId="51A3A1F8" w14:textId="1C5CBCE2"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13" w:history="1">
        <w:r w:rsidRPr="00FD6692">
          <w:rPr>
            <w:rStyle w:val="Hyperlink"/>
            <w:rFonts w:ascii="Times New Roman" w:hAnsi="Times New Roman" w:cs="Times New Roman"/>
            <w:noProof/>
            <w:sz w:val="24"/>
            <w:szCs w:val="24"/>
          </w:rPr>
          <w:t>Figure 6: Stop Fire and Re-hire</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_Toc132225013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14</w:t>
        </w:r>
        <w:r w:rsidRPr="00FD6692">
          <w:rPr>
            <w:rFonts w:ascii="Times New Roman" w:hAnsi="Times New Roman" w:cs="Times New Roman"/>
            <w:noProof/>
            <w:webHidden/>
            <w:sz w:val="24"/>
            <w:szCs w:val="24"/>
          </w:rPr>
          <w:fldChar w:fldCharType="end"/>
        </w:r>
      </w:hyperlink>
    </w:p>
    <w:p w14:paraId="0D897745" w14:textId="614963A5"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14" w:history="1">
        <w:r w:rsidRPr="00FD6692">
          <w:rPr>
            <w:rStyle w:val="Hyperlink"/>
            <w:rFonts w:ascii="Times New Roman" w:hAnsi="Times New Roman" w:cs="Times New Roman"/>
            <w:noProof/>
            <w:sz w:val="24"/>
            <w:szCs w:val="24"/>
          </w:rPr>
          <w:t>Figure 7: HR Involvment</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_Toc132225014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18</w:t>
        </w:r>
        <w:r w:rsidRPr="00FD6692">
          <w:rPr>
            <w:rFonts w:ascii="Times New Roman" w:hAnsi="Times New Roman" w:cs="Times New Roman"/>
            <w:noProof/>
            <w:webHidden/>
            <w:sz w:val="24"/>
            <w:szCs w:val="24"/>
          </w:rPr>
          <w:fldChar w:fldCharType="end"/>
        </w:r>
      </w:hyperlink>
    </w:p>
    <w:p w14:paraId="6DB1532D" w14:textId="5F8246AB" w:rsidR="00FD6692" w:rsidRPr="00FD6692" w:rsidRDefault="00FD6692" w:rsidP="00FD6692">
      <w:pPr>
        <w:pStyle w:val="TableofFigures"/>
        <w:tabs>
          <w:tab w:val="right" w:leader="dot" w:pos="9019"/>
        </w:tabs>
        <w:spacing w:line="360" w:lineRule="auto"/>
        <w:jc w:val="both"/>
        <w:rPr>
          <w:rFonts w:ascii="Times New Roman" w:hAnsi="Times New Roman" w:cs="Times New Roman"/>
          <w:noProof/>
          <w:sz w:val="24"/>
          <w:szCs w:val="24"/>
        </w:rPr>
      </w:pPr>
      <w:hyperlink w:anchor="_Toc132225015" w:history="1">
        <w:r w:rsidRPr="00FD6692">
          <w:rPr>
            <w:rStyle w:val="Hyperlink"/>
            <w:rFonts w:ascii="Times New Roman" w:hAnsi="Times New Roman" w:cs="Times New Roman"/>
            <w:noProof/>
            <w:sz w:val="24"/>
            <w:szCs w:val="24"/>
          </w:rPr>
          <w:t>Figure 8: Federated Model</w:t>
        </w:r>
        <w:r w:rsidRPr="00FD6692">
          <w:rPr>
            <w:rFonts w:ascii="Times New Roman" w:hAnsi="Times New Roman" w:cs="Times New Roman"/>
            <w:noProof/>
            <w:webHidden/>
            <w:sz w:val="24"/>
            <w:szCs w:val="24"/>
          </w:rPr>
          <w:tab/>
        </w:r>
        <w:r w:rsidRPr="00FD6692">
          <w:rPr>
            <w:rFonts w:ascii="Times New Roman" w:hAnsi="Times New Roman" w:cs="Times New Roman"/>
            <w:noProof/>
            <w:webHidden/>
            <w:sz w:val="24"/>
            <w:szCs w:val="24"/>
          </w:rPr>
          <w:fldChar w:fldCharType="begin"/>
        </w:r>
        <w:r w:rsidRPr="00FD6692">
          <w:rPr>
            <w:rFonts w:ascii="Times New Roman" w:hAnsi="Times New Roman" w:cs="Times New Roman"/>
            <w:noProof/>
            <w:webHidden/>
            <w:sz w:val="24"/>
            <w:szCs w:val="24"/>
          </w:rPr>
          <w:instrText xml:space="preserve"> PAGEREF _Toc132225015 \h </w:instrText>
        </w:r>
        <w:r w:rsidRPr="00FD6692">
          <w:rPr>
            <w:rFonts w:ascii="Times New Roman" w:hAnsi="Times New Roman" w:cs="Times New Roman"/>
            <w:noProof/>
            <w:webHidden/>
            <w:sz w:val="24"/>
            <w:szCs w:val="24"/>
          </w:rPr>
        </w:r>
        <w:r w:rsidRPr="00FD6692">
          <w:rPr>
            <w:rFonts w:ascii="Times New Roman" w:hAnsi="Times New Roman" w:cs="Times New Roman"/>
            <w:noProof/>
            <w:webHidden/>
            <w:sz w:val="24"/>
            <w:szCs w:val="24"/>
          </w:rPr>
          <w:fldChar w:fldCharType="separate"/>
        </w:r>
        <w:r w:rsidRPr="00FD6692">
          <w:rPr>
            <w:rFonts w:ascii="Times New Roman" w:hAnsi="Times New Roman" w:cs="Times New Roman"/>
            <w:noProof/>
            <w:webHidden/>
            <w:sz w:val="24"/>
            <w:szCs w:val="24"/>
          </w:rPr>
          <w:t>19</w:t>
        </w:r>
        <w:r w:rsidRPr="00FD6692">
          <w:rPr>
            <w:rFonts w:ascii="Times New Roman" w:hAnsi="Times New Roman" w:cs="Times New Roman"/>
            <w:noProof/>
            <w:webHidden/>
            <w:sz w:val="24"/>
            <w:szCs w:val="24"/>
          </w:rPr>
          <w:fldChar w:fldCharType="end"/>
        </w:r>
      </w:hyperlink>
    </w:p>
    <w:p w14:paraId="018BAD6B" w14:textId="46D0DFA1" w:rsidR="00C27C69" w:rsidRDefault="00FD6692" w:rsidP="00FD6692">
      <w:pPr>
        <w:spacing w:line="360" w:lineRule="auto"/>
        <w:jc w:val="both"/>
        <w:rPr>
          <w:rFonts w:ascii="Times New Roman" w:hAnsi="Times New Roman" w:cs="Times New Roman"/>
          <w:b/>
          <w:sz w:val="24"/>
          <w:szCs w:val="24"/>
        </w:rPr>
      </w:pPr>
      <w:r w:rsidRPr="00FD6692">
        <w:rPr>
          <w:rFonts w:ascii="Times New Roman" w:hAnsi="Times New Roman" w:cs="Times New Roman"/>
          <w:b/>
          <w:sz w:val="24"/>
          <w:szCs w:val="24"/>
        </w:rPr>
        <w:fldChar w:fldCharType="end"/>
      </w:r>
      <w:r w:rsidR="00C27C69">
        <w:rPr>
          <w:rFonts w:ascii="Times New Roman" w:hAnsi="Times New Roman" w:cs="Times New Roman"/>
          <w:b/>
          <w:sz w:val="24"/>
          <w:szCs w:val="24"/>
        </w:rPr>
        <w:br w:type="page"/>
      </w:r>
    </w:p>
    <w:p w14:paraId="00000007" w14:textId="1D3E7E9A" w:rsidR="00FE2243" w:rsidRPr="009E2365" w:rsidRDefault="00000000" w:rsidP="00FD6692">
      <w:pPr>
        <w:pStyle w:val="Heading1"/>
      </w:pPr>
      <w:bookmarkStart w:id="0" w:name="_Toc132225147"/>
      <w:r w:rsidRPr="009E2365">
        <w:lastRenderedPageBreak/>
        <w:t>Introduction</w:t>
      </w:r>
      <w:bookmarkEnd w:id="0"/>
      <w:r w:rsidRPr="009E2365">
        <w:t xml:space="preserve"> </w:t>
      </w:r>
    </w:p>
    <w:p w14:paraId="00000008"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This report is about the discussion of managing staff in the UK labour market in terms of the particular company named British Gas. The costs of managing the staff in any organisation are considered a constant factor because every organisation would like to retain its position in the competitive market. In this assignment, the reward strategies and working practices will be scrutinised for the British Gas company as well as the other relevant organisations which are using the ‘fire and rehire’ strategy. Here the fire and rehire strategy will be defined with the specific instances of the relevant organisations and the concerned company. The approaches taken by the organisations to implement the strategy will be discussed with detailed evaluations. Moreover, the employees' relations, and employee engagement in the company in terms of the contract, consultation, and communications with HR and the authority have been assessed in this report. The fire and rehire strategy has to face a large number of employment issues in developing their business and it has been affected by the international, environmental, ethical, and sustainability of the organisations they have faced. All the mentioned criteria will be discussed in the report and the HrM practices used in these situations also.</w:t>
      </w:r>
    </w:p>
    <w:p w14:paraId="0000000A" w14:textId="485DD16F" w:rsidR="00FE2243" w:rsidRPr="009E2365" w:rsidRDefault="00FD6692" w:rsidP="00FD6692">
      <w:pPr>
        <w:pStyle w:val="Heading1"/>
      </w:pPr>
      <w:bookmarkStart w:id="1" w:name="_Toc132225148"/>
      <w:r>
        <w:t>P</w:t>
      </w:r>
      <w:r w:rsidR="00000000" w:rsidRPr="009E2365">
        <w:t>ractice of "fire and rehire" in the UK labour market</w:t>
      </w:r>
      <w:bookmarkEnd w:id="1"/>
      <w:r w:rsidR="00000000" w:rsidRPr="009E2365">
        <w:t xml:space="preserve">  </w:t>
      </w:r>
    </w:p>
    <w:p w14:paraId="0000000D" w14:textId="6EC67791" w:rsidR="00FE2243" w:rsidRPr="009E2365" w:rsidRDefault="00000000" w:rsidP="001762D9">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The fire and hire tactic refers to the action of dismissing an employee and the rehire action refers to the hiring of an employee for a new position. It is a new term that is not the most favourable for only the individual. This tactic is taken by the manager or HR of the authority so that the people get the chance to meet their </w:t>
      </w:r>
      <w:r w:rsidRPr="001762D9">
        <w:rPr>
          <w:rFonts w:ascii="Times New Roman" w:hAnsi="Times New Roman" w:cs="Times New Roman"/>
        </w:rPr>
        <w:t>goals</w:t>
      </w:r>
      <w:r w:rsidR="001762D9" w:rsidRPr="001762D9">
        <w:rPr>
          <w:rFonts w:ascii="Times New Roman" w:hAnsi="Times New Roman" w:cs="Times New Roman"/>
        </w:rPr>
        <w:t xml:space="preserve"> (</w:t>
      </w:r>
      <w:r w:rsidR="001762D9" w:rsidRPr="001762D9">
        <w:rPr>
          <w:rFonts w:ascii="Times New Roman" w:hAnsi="Times New Roman" w:cs="Times New Roman"/>
          <w:shd w:val="clear" w:color="auto" w:fill="FFFFFF"/>
        </w:rPr>
        <w:t xml:space="preserve">Belizón and Kieran, </w:t>
      </w:r>
      <w:r w:rsidR="001762D9">
        <w:rPr>
          <w:rFonts w:ascii="Times New Roman" w:hAnsi="Times New Roman" w:cs="Times New Roman"/>
          <w:shd w:val="clear" w:color="auto" w:fill="FFFFFF"/>
        </w:rPr>
        <w:t>2</w:t>
      </w:r>
      <w:r w:rsidR="001762D9" w:rsidRPr="001762D9">
        <w:rPr>
          <w:rFonts w:ascii="Times New Roman" w:hAnsi="Times New Roman" w:cs="Times New Roman"/>
          <w:shd w:val="clear" w:color="auto" w:fill="FFFFFF"/>
        </w:rPr>
        <w:t>022</w:t>
      </w:r>
      <w:r w:rsidR="001762D9" w:rsidRPr="001762D9">
        <w:rPr>
          <w:rFonts w:ascii="Times New Roman" w:hAnsi="Times New Roman" w:cs="Times New Roman"/>
          <w:shd w:val="clear" w:color="auto" w:fill="FFFFFF"/>
        </w:rPr>
        <w:t>)</w:t>
      </w:r>
      <w:r w:rsidRPr="001762D9">
        <w:rPr>
          <w:rFonts w:ascii="Times New Roman" w:hAnsi="Times New Roman" w:cs="Times New Roman"/>
        </w:rPr>
        <w:t>.</w:t>
      </w:r>
      <w:r w:rsidRPr="009E2365">
        <w:rPr>
          <w:rFonts w:ascii="Times New Roman" w:hAnsi="Times New Roman" w:cs="Times New Roman"/>
          <w:sz w:val="24"/>
          <w:szCs w:val="24"/>
        </w:rPr>
        <w:t xml:space="preserve"> Later the management authority fired them for the benefit of the rest of the team. There are many reasons behind these hires and the fire tactics like revealing secrets, dishonesty, and breaking the rule of the company. Not only that poor performance on the job field, and harassing, or disrupting the workers is also reasonable cause for this tactic. There are many types of hiring and fire tactics that are used by various organizations. </w:t>
      </w:r>
    </w:p>
    <w:p w14:paraId="0000000E"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Fire and rehire tactics within the UK labour market</w:t>
      </w:r>
    </w:p>
    <w:p w14:paraId="0000000F"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fire and hiring practices are associated with the requirement and the dismissal activities. In these tactics, the requirement, retention, turnover, and dismissal activities are included. In the UK there are many planning and strategies which are used for the requirement, retention, dismissal, and turnover process.</w:t>
      </w:r>
    </w:p>
    <w:p w14:paraId="00000010"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lastRenderedPageBreak/>
        <w:t>Varying employment contract</w:t>
      </w:r>
    </w:p>
    <w:p w14:paraId="00000011"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contract of employment is the relationship between the employee and the employer according to the HRM (</w:t>
      </w:r>
      <w:r w:rsidRPr="009E2365">
        <w:rPr>
          <w:rFonts w:ascii="Times New Roman" w:hAnsi="Times New Roman" w:cs="Times New Roman"/>
          <w:sz w:val="24"/>
          <w:szCs w:val="24"/>
          <w:highlight w:val="white"/>
        </w:rPr>
        <w:t>Cottle, 2021)</w:t>
      </w:r>
      <w:r w:rsidRPr="009E2365">
        <w:rPr>
          <w:rFonts w:ascii="Times New Roman" w:hAnsi="Times New Roman" w:cs="Times New Roman"/>
          <w:sz w:val="24"/>
          <w:szCs w:val="24"/>
        </w:rPr>
        <w:t xml:space="preserve">. There are many types of various ways which are included in the act of the employment contrast. Many contracts create many terms and clauses which certainly occurred for the employment contract. </w:t>
      </w:r>
    </w:p>
    <w:p w14:paraId="00000012"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Rearrangement and the dismissal</w:t>
      </w:r>
    </w:p>
    <w:p w14:paraId="00000013" w14:textId="77777777" w:rsidR="00FE2243"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If the employer is unable to reach their agreement which is related to the employee, then they decide to dismiss them from that position by noticing and also offer them the new work as the new employee term. This practice is not unlawful and many statutory protections are relevant. For the dismissing and the rehiring act, many steps may be followed by the employer. Before rehiring an employee, the employer should follow the legal and proper procedure of rehiring strategy. Not only that they must give enough time for their notice (</w:t>
      </w:r>
      <w:r w:rsidRPr="009E2365">
        <w:rPr>
          <w:rFonts w:ascii="Times New Roman" w:hAnsi="Times New Roman" w:cs="Times New Roman"/>
          <w:sz w:val="24"/>
          <w:szCs w:val="24"/>
          <w:highlight w:val="white"/>
        </w:rPr>
        <w:t>Shohaieb et al., 2022)</w:t>
      </w:r>
      <w:r w:rsidRPr="009E2365">
        <w:rPr>
          <w:rFonts w:ascii="Times New Roman" w:hAnsi="Times New Roman" w:cs="Times New Roman"/>
          <w:sz w:val="24"/>
          <w:szCs w:val="24"/>
        </w:rPr>
        <w:t>. There are many legal protections which are associated with the dismissal process like the protection which is against wrongful dismissal. Not only that but unfair dismissal is also considered as the legal protection for that process.</w:t>
      </w:r>
    </w:p>
    <w:p w14:paraId="54EEEF54" w14:textId="77777777" w:rsidR="00C27C69" w:rsidRDefault="00C27C69" w:rsidP="00C27C69">
      <w:pPr>
        <w:pStyle w:val="Normal1"/>
        <w:keepNext/>
        <w:spacing w:before="240" w:line="360" w:lineRule="auto"/>
        <w:jc w:val="center"/>
      </w:pPr>
      <w:r>
        <w:rPr>
          <w:noProof/>
        </w:rPr>
        <w:drawing>
          <wp:inline distT="0" distB="0" distL="0" distR="0" wp14:anchorId="76312494" wp14:editId="351644AC">
            <wp:extent cx="5276850" cy="2968338"/>
            <wp:effectExtent l="0" t="0" r="0" b="3810"/>
            <wp:docPr id="566272874" name="Picture 1" descr="Fire-and-rehire: What is it and why is it controversial?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and-rehire: What is it and why is it controversial? - BBC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3855" cy="2972278"/>
                    </a:xfrm>
                    <a:prstGeom prst="rect">
                      <a:avLst/>
                    </a:prstGeom>
                    <a:noFill/>
                    <a:ln>
                      <a:noFill/>
                    </a:ln>
                  </pic:spPr>
                </pic:pic>
              </a:graphicData>
            </a:graphic>
          </wp:inline>
        </w:drawing>
      </w:r>
    </w:p>
    <w:p w14:paraId="7D78144F" w14:textId="3DA50A55" w:rsidR="00C27C69" w:rsidRPr="00FD6692" w:rsidRDefault="00C27C69" w:rsidP="00FD6692">
      <w:pPr>
        <w:pStyle w:val="Caption"/>
        <w:spacing w:line="360" w:lineRule="auto"/>
        <w:jc w:val="center"/>
        <w:rPr>
          <w:rFonts w:ascii="Times New Roman" w:hAnsi="Times New Roman" w:cs="Times New Roman"/>
          <w:i w:val="0"/>
          <w:iCs w:val="0"/>
          <w:color w:val="auto"/>
          <w:sz w:val="36"/>
          <w:szCs w:val="36"/>
        </w:rPr>
      </w:pPr>
      <w:bookmarkStart w:id="2" w:name="_Toc132225008"/>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00267877" w:rsidRPr="00FD6692">
        <w:rPr>
          <w:rFonts w:ascii="Times New Roman" w:hAnsi="Times New Roman" w:cs="Times New Roman"/>
          <w:i w:val="0"/>
          <w:iCs w:val="0"/>
          <w:noProof/>
          <w:color w:val="auto"/>
          <w:sz w:val="24"/>
          <w:szCs w:val="24"/>
        </w:rPr>
        <w:t>1</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w:t>
      </w:r>
      <w:r w:rsidR="00C577AA" w:rsidRPr="00FD6692">
        <w:rPr>
          <w:rFonts w:ascii="Times New Roman" w:hAnsi="Times New Roman" w:cs="Times New Roman"/>
          <w:i w:val="0"/>
          <w:iCs w:val="0"/>
          <w:color w:val="auto"/>
          <w:sz w:val="24"/>
          <w:szCs w:val="24"/>
        </w:rPr>
        <w:t xml:space="preserve"> </w:t>
      </w:r>
      <w:r w:rsidRPr="00FD6692">
        <w:rPr>
          <w:rFonts w:ascii="Times New Roman" w:hAnsi="Times New Roman" w:cs="Times New Roman"/>
          <w:i w:val="0"/>
          <w:iCs w:val="0"/>
          <w:color w:val="auto"/>
          <w:sz w:val="24"/>
          <w:szCs w:val="24"/>
        </w:rPr>
        <w:t>Fire and Re-hire</w:t>
      </w:r>
      <w:bookmarkEnd w:id="2"/>
    </w:p>
    <w:p w14:paraId="604D2AD4" w14:textId="23014EA6" w:rsidR="00C27C69" w:rsidRPr="009E2365" w:rsidRDefault="00C27C69" w:rsidP="00C27C69">
      <w:pPr>
        <w:pStyle w:val="Normal1"/>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9E2365">
        <w:rPr>
          <w:rFonts w:ascii="Times New Roman" w:hAnsi="Times New Roman" w:cs="Times New Roman"/>
          <w:sz w:val="24"/>
          <w:szCs w:val="24"/>
          <w:highlight w:val="white"/>
        </w:rPr>
        <w:t>Shohaieb et al., 2022)</w:t>
      </w:r>
    </w:p>
    <w:p w14:paraId="00000014"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lastRenderedPageBreak/>
        <w:t>Employees who are working under their employees for more than two years must be protected from unfair dismissal according to the Right Act of Employment, 1996. The dismissal process will be unfair when there is clear evidence or reason against the activity of the employees. Wrongful dismissal is associated with action when the employer decides to dismiss the employee on the breach of the contract. This wrongful dismissal is an act that is considered illegal.</w:t>
      </w:r>
    </w:p>
    <w:p w14:paraId="00000015"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Diversity management</w:t>
      </w:r>
    </w:p>
    <w:p w14:paraId="00000016" w14:textId="5237D903"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sz w:val="24"/>
          <w:szCs w:val="24"/>
        </w:rPr>
        <w:t>There are many different approaches and strategies used in this diversity management in the UK.</w:t>
      </w:r>
      <w:r w:rsidR="009E2365">
        <w:rPr>
          <w:rFonts w:ascii="Times New Roman" w:hAnsi="Times New Roman" w:cs="Times New Roman"/>
          <w:sz w:val="24"/>
          <w:szCs w:val="24"/>
        </w:rPr>
        <w:t xml:space="preserve"> </w:t>
      </w:r>
      <w:r w:rsidRPr="009E2365">
        <w:rPr>
          <w:rFonts w:ascii="Times New Roman" w:hAnsi="Times New Roman" w:cs="Times New Roman"/>
          <w:sz w:val="24"/>
          <w:szCs w:val="24"/>
        </w:rPr>
        <w:t>Diversity management is affected in the including, investing, and engaging fields.  The main four approaches which are followed by this management are identifying the blind, inclusive differentiation, equitable transformation, and assimilation</w:t>
      </w:r>
      <w:r w:rsidR="009E2365">
        <w:rPr>
          <w:rFonts w:ascii="Times New Roman" w:hAnsi="Times New Roman" w:cs="Times New Roman"/>
          <w:sz w:val="24"/>
          <w:szCs w:val="24"/>
        </w:rPr>
        <w:t xml:space="preserve"> (</w:t>
      </w:r>
      <w:r w:rsidR="009E2365" w:rsidRPr="009E2365">
        <w:rPr>
          <w:rFonts w:ascii="Times New Roman" w:hAnsi="Times New Roman" w:cs="Times New Roman"/>
          <w:sz w:val="24"/>
          <w:szCs w:val="24"/>
          <w:highlight w:val="white"/>
        </w:rPr>
        <w:t>Dashper and Finkel,</w:t>
      </w:r>
      <w:r w:rsidR="009E2365">
        <w:rPr>
          <w:rFonts w:ascii="Times New Roman" w:hAnsi="Times New Roman" w:cs="Times New Roman"/>
          <w:sz w:val="24"/>
          <w:szCs w:val="24"/>
          <w:highlight w:val="white"/>
        </w:rPr>
        <w:t xml:space="preserve"> </w:t>
      </w:r>
      <w:r w:rsidR="009E2365" w:rsidRPr="009E2365">
        <w:rPr>
          <w:rFonts w:ascii="Times New Roman" w:hAnsi="Times New Roman" w:cs="Times New Roman"/>
          <w:sz w:val="24"/>
          <w:szCs w:val="24"/>
          <w:highlight w:val="white"/>
        </w:rPr>
        <w:t>2020, August</w:t>
      </w:r>
      <w:r w:rsidR="009E2365">
        <w:rPr>
          <w:rFonts w:ascii="Times New Roman" w:hAnsi="Times New Roman" w:cs="Times New Roman"/>
          <w:sz w:val="24"/>
          <w:szCs w:val="24"/>
        </w:rPr>
        <w:t>)</w:t>
      </w:r>
      <w:r w:rsidRPr="009E2365">
        <w:rPr>
          <w:rFonts w:ascii="Times New Roman" w:hAnsi="Times New Roman" w:cs="Times New Roman"/>
          <w:sz w:val="24"/>
          <w:szCs w:val="24"/>
        </w:rPr>
        <w:t>.</w:t>
      </w:r>
      <w:r w:rsidR="001762D9">
        <w:rPr>
          <w:rFonts w:ascii="Times New Roman" w:hAnsi="Times New Roman" w:cs="Times New Roman"/>
          <w:sz w:val="24"/>
          <w:szCs w:val="24"/>
        </w:rPr>
        <w:t xml:space="preserve"> </w:t>
      </w:r>
      <w:r w:rsidRPr="009E2365">
        <w:rPr>
          <w:rFonts w:ascii="Times New Roman" w:hAnsi="Times New Roman" w:cs="Times New Roman"/>
          <w:sz w:val="24"/>
          <w:szCs w:val="24"/>
        </w:rPr>
        <w:t>There are many structures and plans which are followed in the UK in that management field developing the hiring plans and the process. Another important structure is to give the opportunities to employees on training and hiring opportunities.</w:t>
      </w:r>
      <w:r w:rsidRPr="009E2365">
        <w:rPr>
          <w:rFonts w:ascii="Times New Roman" w:hAnsi="Times New Roman" w:cs="Times New Roman"/>
          <w:b/>
          <w:sz w:val="24"/>
          <w:szCs w:val="24"/>
        </w:rPr>
        <w:t xml:space="preserve"> </w:t>
      </w:r>
    </w:p>
    <w:p w14:paraId="00000018" w14:textId="7F43C76A"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The approach was taken by the British gas company </w:t>
      </w:r>
    </w:p>
    <w:p w14:paraId="00000019" w14:textId="77777777" w:rsidR="00FE2243"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fire and the rehire strategy is also forcefully displayed by British Gas among their employees or the engineers. They offer this new contract to them besides the option of dismissal (</w:t>
      </w:r>
      <w:r w:rsidRPr="009E2365">
        <w:rPr>
          <w:rFonts w:ascii="Times New Roman" w:hAnsi="Times New Roman" w:cs="Times New Roman"/>
          <w:sz w:val="24"/>
          <w:szCs w:val="24"/>
          <w:highlight w:val="white"/>
        </w:rPr>
        <w:t>Simon, 2022)</w:t>
      </w:r>
      <w:r w:rsidRPr="009E2365">
        <w:rPr>
          <w:rFonts w:ascii="Times New Roman" w:hAnsi="Times New Roman" w:cs="Times New Roman"/>
          <w:sz w:val="24"/>
          <w:szCs w:val="24"/>
        </w:rPr>
        <w:t>. This strategy is refused by the 1000 engineers because they are not able to accept this contract. Some of the engineers also sign in their new contract but the management authority of British Gas calculate 2% of employees are denied to accept these changes.</w:t>
      </w:r>
    </w:p>
    <w:p w14:paraId="38F81C0C" w14:textId="5951A41E" w:rsidR="00C577AA" w:rsidRDefault="00C577AA" w:rsidP="00C577AA">
      <w:pPr>
        <w:pStyle w:val="Normal1"/>
        <w:spacing w:before="240" w:line="360" w:lineRule="auto"/>
        <w:jc w:val="center"/>
        <w:rPr>
          <w:rFonts w:ascii="Times New Roman" w:hAnsi="Times New Roman" w:cs="Times New Roman"/>
          <w:sz w:val="24"/>
          <w:szCs w:val="24"/>
        </w:rPr>
      </w:pPr>
      <w:r>
        <w:rPr>
          <w:noProof/>
        </w:rPr>
        <w:lastRenderedPageBreak/>
        <w:drawing>
          <wp:inline distT="0" distB="0" distL="0" distR="0" wp14:anchorId="13DBD63E" wp14:editId="271EF91A">
            <wp:extent cx="4276725" cy="2938620"/>
            <wp:effectExtent l="0" t="0" r="0" b="0"/>
            <wp:docPr id="1186653511" name="Picture 2" descr="The UK's controversial 'fire and rehire' practi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K's controversial 'fire and rehire' practices, expla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82427" cy="2942538"/>
                    </a:xfrm>
                    <a:prstGeom prst="rect">
                      <a:avLst/>
                    </a:prstGeom>
                    <a:noFill/>
                    <a:ln>
                      <a:noFill/>
                    </a:ln>
                  </pic:spPr>
                </pic:pic>
              </a:graphicData>
            </a:graphic>
          </wp:inline>
        </w:drawing>
      </w:r>
    </w:p>
    <w:p w14:paraId="4743767C" w14:textId="6723B9E2" w:rsidR="00C577AA" w:rsidRPr="00FD6692" w:rsidRDefault="00C577AA" w:rsidP="00FD6692">
      <w:pPr>
        <w:pStyle w:val="Caption"/>
        <w:spacing w:line="360" w:lineRule="auto"/>
        <w:jc w:val="center"/>
        <w:rPr>
          <w:rFonts w:ascii="Times New Roman" w:hAnsi="Times New Roman" w:cs="Times New Roman"/>
          <w:i w:val="0"/>
          <w:iCs w:val="0"/>
          <w:color w:val="auto"/>
          <w:sz w:val="36"/>
          <w:szCs w:val="36"/>
        </w:rPr>
      </w:pPr>
      <w:bookmarkStart w:id="3" w:name="_Toc132225009"/>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00267877" w:rsidRPr="00FD6692">
        <w:rPr>
          <w:rFonts w:ascii="Times New Roman" w:hAnsi="Times New Roman" w:cs="Times New Roman"/>
          <w:i w:val="0"/>
          <w:iCs w:val="0"/>
          <w:noProof/>
          <w:color w:val="auto"/>
          <w:sz w:val="24"/>
          <w:szCs w:val="24"/>
        </w:rPr>
        <w:t>2</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British Gas</w:t>
      </w:r>
      <w:bookmarkEnd w:id="3"/>
    </w:p>
    <w:p w14:paraId="619C2A13" w14:textId="2CC5F1B1" w:rsidR="00C577AA" w:rsidRPr="009E2365" w:rsidRDefault="00C577AA" w:rsidP="00C577AA">
      <w:pPr>
        <w:pStyle w:val="Normal1"/>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9E2365">
        <w:rPr>
          <w:rFonts w:ascii="Times New Roman" w:hAnsi="Times New Roman" w:cs="Times New Roman"/>
          <w:sz w:val="24"/>
          <w:szCs w:val="24"/>
          <w:highlight w:val="white"/>
        </w:rPr>
        <w:t>Simon, 2022)</w:t>
      </w:r>
    </w:p>
    <w:p w14:paraId="0000001A"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Recruitment strategy </w:t>
      </w:r>
    </w:p>
    <w:p w14:paraId="2B40A8DE" w14:textId="77777777" w:rsidR="00C27C69"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British Gas company follows many types of requirement strategies for their employees. These strategies ultimately help the company to develop its management structure which helps to increase its ultimate goal. Maintaining the expedition of their business they increase their workforce which works on the customer demand. At the end of 2022, the British Gas Company situated its British gas academy (</w:t>
      </w:r>
      <w:r w:rsidRPr="009E2365">
        <w:rPr>
          <w:rFonts w:ascii="Times New Roman" w:hAnsi="Times New Roman" w:cs="Times New Roman"/>
          <w:sz w:val="24"/>
          <w:szCs w:val="24"/>
          <w:highlight w:val="white"/>
        </w:rPr>
        <w:t>Raven-Gregg et al., 2021)</w:t>
      </w:r>
      <w:r w:rsidRPr="009E2365">
        <w:rPr>
          <w:rFonts w:ascii="Times New Roman" w:hAnsi="Times New Roman" w:cs="Times New Roman"/>
          <w:sz w:val="24"/>
          <w:szCs w:val="24"/>
        </w:rPr>
        <w:t xml:space="preserve">. This academy mainly put focus on the development of the training facilities of the employees which majorly improves the requirement strategy of that company in the UK. </w:t>
      </w:r>
      <w:r w:rsidR="00194370">
        <w:rPr>
          <w:rFonts w:ascii="Times New Roman" w:hAnsi="Times New Roman" w:cs="Times New Roman"/>
          <w:sz w:val="24"/>
          <w:szCs w:val="24"/>
        </w:rPr>
        <w:t>I</w:t>
      </w:r>
      <w:r w:rsidRPr="009E2365">
        <w:rPr>
          <w:rFonts w:ascii="Times New Roman" w:hAnsi="Times New Roman" w:cs="Times New Roman"/>
          <w:sz w:val="24"/>
          <w:szCs w:val="24"/>
        </w:rPr>
        <w:t xml:space="preserve">n the basis of workforce planning the company maintains an action plan for their requirement criteria. In the requirement platform in the UK the British gas company maintains various sides like the employees must be fluent in the various languages. Because there is a need for employees to communicate with many types of people. So, </w:t>
      </w:r>
      <w:r w:rsidR="00194370">
        <w:rPr>
          <w:rFonts w:ascii="Times New Roman" w:hAnsi="Times New Roman" w:cs="Times New Roman"/>
          <w:sz w:val="24"/>
          <w:szCs w:val="24"/>
        </w:rPr>
        <w:t xml:space="preserve">considering the </w:t>
      </w:r>
      <w:r w:rsidRPr="009E2365">
        <w:rPr>
          <w:rFonts w:ascii="Times New Roman" w:hAnsi="Times New Roman" w:cs="Times New Roman"/>
          <w:sz w:val="24"/>
          <w:szCs w:val="24"/>
        </w:rPr>
        <w:t>languages English</w:t>
      </w:r>
      <w:r w:rsidR="00194370">
        <w:rPr>
          <w:rFonts w:ascii="Times New Roman" w:hAnsi="Times New Roman" w:cs="Times New Roman"/>
          <w:sz w:val="24"/>
          <w:szCs w:val="24"/>
        </w:rPr>
        <w:t xml:space="preserve"> is considered as first priority</w:t>
      </w:r>
      <w:r w:rsidRPr="009E2365">
        <w:rPr>
          <w:rFonts w:ascii="Times New Roman" w:hAnsi="Times New Roman" w:cs="Times New Roman"/>
          <w:sz w:val="24"/>
          <w:szCs w:val="24"/>
        </w:rPr>
        <w:t>. The British gas company also follows another important factor in their requirement strategy, which is more involving female engineers. Because female engineers attract more male customers which is more beneficial for their company.</w:t>
      </w:r>
    </w:p>
    <w:p w14:paraId="0000001C" w14:textId="005448A5" w:rsidR="00FE2243" w:rsidRDefault="00C577AA" w:rsidP="00C577AA">
      <w:pPr>
        <w:pStyle w:val="Normal1"/>
        <w:spacing w:before="240"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C739CB0" wp14:editId="0CBFFF18">
            <wp:extent cx="4762500" cy="2781300"/>
            <wp:effectExtent l="0" t="0" r="0" b="19050"/>
            <wp:docPr id="19701900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0384090" w14:textId="51BD2874" w:rsidR="0018495E" w:rsidRPr="00FD6692" w:rsidRDefault="0018495E" w:rsidP="00FD6692">
      <w:pPr>
        <w:pStyle w:val="Caption"/>
        <w:spacing w:line="360" w:lineRule="auto"/>
        <w:jc w:val="center"/>
        <w:rPr>
          <w:rFonts w:ascii="Times New Roman" w:hAnsi="Times New Roman" w:cs="Times New Roman"/>
          <w:i w:val="0"/>
          <w:iCs w:val="0"/>
          <w:color w:val="auto"/>
          <w:sz w:val="36"/>
          <w:szCs w:val="36"/>
        </w:rPr>
      </w:pPr>
      <w:bookmarkStart w:id="4" w:name="_Toc132225010"/>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00267877" w:rsidRPr="00FD6692">
        <w:rPr>
          <w:rFonts w:ascii="Times New Roman" w:hAnsi="Times New Roman" w:cs="Times New Roman"/>
          <w:i w:val="0"/>
          <w:iCs w:val="0"/>
          <w:noProof/>
          <w:color w:val="auto"/>
          <w:sz w:val="24"/>
          <w:szCs w:val="24"/>
        </w:rPr>
        <w:t>3</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HRM Strategies</w:t>
      </w:r>
      <w:bookmarkEnd w:id="4"/>
    </w:p>
    <w:p w14:paraId="605B0B0A" w14:textId="563812DB" w:rsidR="00C577AA" w:rsidRPr="009E2365" w:rsidRDefault="00C577AA" w:rsidP="00C577AA">
      <w:pPr>
        <w:pStyle w:val="Normal1"/>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0000001D"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Rehiring contract</w:t>
      </w:r>
    </w:p>
    <w:p w14:paraId="0000001E"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employer of the British Gas company decided to fire the employees from their position and want to rehire them on some other contractual terms. This fire and the rehire of the British gas company is considered an illegal term according to the employer until the employees can maintain them on the new contractual term (</w:t>
      </w:r>
      <w:r w:rsidRPr="009E2365">
        <w:rPr>
          <w:rFonts w:ascii="Times New Roman" w:hAnsi="Times New Roman" w:cs="Times New Roman"/>
          <w:sz w:val="24"/>
          <w:szCs w:val="24"/>
          <w:highlight w:val="white"/>
        </w:rPr>
        <w:t>Cini et al., 2022)</w:t>
      </w:r>
      <w:r w:rsidRPr="009E2365">
        <w:rPr>
          <w:rFonts w:ascii="Times New Roman" w:hAnsi="Times New Roman" w:cs="Times New Roman"/>
          <w:sz w:val="24"/>
          <w:szCs w:val="24"/>
        </w:rPr>
        <w:t>. Though this system is considered an illegal one, the rehiring strategy is used for the employee's benefit, because it helps them to continue their work. It also helps to decrease the number of firing tactics and the employees continue their work on the other section. With this strategy, the ultimate growth of the business of the British Gas company has increased day by day. This way they maintain their structure of employees issues and the overall impact based on a diversity management system (</w:t>
      </w:r>
      <w:r w:rsidRPr="009E2365">
        <w:rPr>
          <w:rFonts w:ascii="Times New Roman" w:hAnsi="Times New Roman" w:cs="Times New Roman"/>
          <w:sz w:val="24"/>
          <w:szCs w:val="24"/>
          <w:highlight w:val="white"/>
        </w:rPr>
        <w:t>López-Andreu and Rubery, 2021)</w:t>
      </w:r>
      <w:r w:rsidRPr="009E2365">
        <w:rPr>
          <w:rFonts w:ascii="Times New Roman" w:hAnsi="Times New Roman" w:cs="Times New Roman"/>
          <w:sz w:val="24"/>
          <w:szCs w:val="24"/>
        </w:rPr>
        <w:t>. The rehiring concept is far better than the fire or the dismissing concept which put an effect on the company.</w:t>
      </w:r>
    </w:p>
    <w:p w14:paraId="00000020" w14:textId="587B3833"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Retension of employee</w:t>
      </w:r>
    </w:p>
    <w:p w14:paraId="00000021"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The retention of customers is the most essential thing for the company when they lose approximately 400,00 customers. The British Gas company also follows this rule for the improvement of their business under HRM. It is the biggest homely energy supplier company in the UK. the company holds its customers and maintains various things it designed many new types of affordable tariffs. Employer often changes their new tactics or strategies for their </w:t>
      </w:r>
      <w:r w:rsidRPr="009E2365">
        <w:rPr>
          <w:rFonts w:ascii="Times New Roman" w:hAnsi="Times New Roman" w:cs="Times New Roman"/>
          <w:sz w:val="24"/>
          <w:szCs w:val="24"/>
        </w:rPr>
        <w:lastRenderedPageBreak/>
        <w:t>employees (</w:t>
      </w:r>
      <w:r w:rsidRPr="009E2365">
        <w:rPr>
          <w:rFonts w:ascii="Times New Roman" w:hAnsi="Times New Roman" w:cs="Times New Roman"/>
          <w:sz w:val="24"/>
          <w:szCs w:val="24"/>
          <w:highlight w:val="white"/>
        </w:rPr>
        <w:t>Bryan, 2021)</w:t>
      </w:r>
      <w:r w:rsidRPr="009E2365">
        <w:rPr>
          <w:rFonts w:ascii="Times New Roman" w:hAnsi="Times New Roman" w:cs="Times New Roman"/>
          <w:sz w:val="24"/>
          <w:szCs w:val="24"/>
        </w:rPr>
        <w:t xml:space="preserve">. Because many of these changes or transitions affect the motive of the employees which put an effect on the company also. After consulting with the employees both individually or in a group, if there may occur the result against the new tactics, this must be changed. If the approx 20 employees are against this new tactic, this must be changeable, which rule is followed by British Gas. </w:t>
      </w:r>
    </w:p>
    <w:p w14:paraId="00000028" w14:textId="77777777" w:rsidR="00FE2243" w:rsidRPr="009E2365" w:rsidRDefault="00000000" w:rsidP="001E0B13">
      <w:pPr>
        <w:pStyle w:val="Heading1"/>
      </w:pPr>
      <w:bookmarkStart w:id="5" w:name="_Toc132225149"/>
      <w:r w:rsidRPr="009E2365">
        <w:t>Legal Implications of changing contractual employment terms</w:t>
      </w:r>
      <w:bookmarkEnd w:id="5"/>
    </w:p>
    <w:p w14:paraId="00000029"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Contractual employment terms </w:t>
      </w:r>
    </w:p>
    <w:p w14:paraId="0000002B" w14:textId="2210CD90" w:rsidR="00FE2243"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The contractual employment terms cover an agreement between the employees and the employers. This is agreed upon by the two that confirms there is a mutual trust and understanding between them through which they can only make reasonable and lawful demands to each other</w:t>
      </w:r>
      <w:r w:rsidR="009E2365">
        <w:rPr>
          <w:rFonts w:ascii="Times New Roman" w:hAnsi="Times New Roman" w:cs="Times New Roman"/>
          <w:sz w:val="24"/>
          <w:szCs w:val="24"/>
        </w:rPr>
        <w:t xml:space="preserve"> (</w:t>
      </w:r>
      <w:r w:rsidR="009E2365" w:rsidRPr="009E2365">
        <w:rPr>
          <w:rFonts w:ascii="Times New Roman" w:hAnsi="Times New Roman" w:cs="Times New Roman"/>
          <w:sz w:val="24"/>
          <w:szCs w:val="24"/>
          <w:highlight w:val="white"/>
        </w:rPr>
        <w:t>Hussain</w:t>
      </w:r>
      <w:r w:rsidR="009E2365">
        <w:rPr>
          <w:rFonts w:ascii="Times New Roman" w:hAnsi="Times New Roman" w:cs="Times New Roman"/>
          <w:sz w:val="24"/>
          <w:szCs w:val="24"/>
        </w:rPr>
        <w:t xml:space="preserve"> et al., 2020)</w:t>
      </w:r>
      <w:r w:rsidRPr="009E2365">
        <w:rPr>
          <w:rFonts w:ascii="Times New Roman" w:hAnsi="Times New Roman" w:cs="Times New Roman"/>
          <w:sz w:val="24"/>
          <w:szCs w:val="24"/>
        </w:rPr>
        <w:t>. An employment contract is the foundation of building a strong relationship and is a written and verbal form that includes various terms and conditions related to the work schedule and policies of the specific company. The employment contracts mostly cover a detailed description of the payments, job description, termination-related rules, and regulations and most importantly it starts with the mutual agreement process. Acceptance of the contract is the promise given by the employees to the higher authority of the company. The issue started when the above-mentioned company British Gas had implemented extra work pressure by raising the work time of its employees without paying the incentives</w:t>
      </w:r>
      <w:r w:rsidR="00466FAC">
        <w:rPr>
          <w:rFonts w:ascii="Times New Roman" w:hAnsi="Times New Roman" w:cs="Times New Roman"/>
          <w:sz w:val="24"/>
          <w:szCs w:val="24"/>
        </w:rPr>
        <w:t xml:space="preserve"> (</w:t>
      </w:r>
      <w:r w:rsidR="00466FAC" w:rsidRPr="00466FAC">
        <w:rPr>
          <w:rFonts w:ascii="Times New Roman" w:hAnsi="Times New Roman" w:cs="Times New Roman"/>
          <w:color w:val="000000"/>
          <w:sz w:val="24"/>
          <w:szCs w:val="24"/>
        </w:rPr>
        <w:t>Rosenblatt</w:t>
      </w:r>
      <w:r w:rsidR="00466FAC">
        <w:rPr>
          <w:rFonts w:ascii="Times New Roman" w:hAnsi="Times New Roman" w:cs="Times New Roman"/>
          <w:color w:val="000000"/>
          <w:sz w:val="24"/>
          <w:szCs w:val="24"/>
        </w:rPr>
        <w:t>, 2021)</w:t>
      </w:r>
      <w:r w:rsidRPr="009E2365">
        <w:rPr>
          <w:rFonts w:ascii="Times New Roman" w:hAnsi="Times New Roman" w:cs="Times New Roman"/>
          <w:sz w:val="24"/>
          <w:szCs w:val="24"/>
        </w:rPr>
        <w:t>. Some dispute arises among the boiler engineers and the employers of that particular company based on breaking their contractual employment terms in 2021.</w:t>
      </w:r>
      <w:r w:rsidR="001B5FE1">
        <w:rPr>
          <w:rFonts w:ascii="Times New Roman" w:hAnsi="Times New Roman" w:cs="Times New Roman"/>
          <w:sz w:val="24"/>
          <w:szCs w:val="24"/>
        </w:rPr>
        <w:t xml:space="preserve"> </w:t>
      </w:r>
      <w:r w:rsidRPr="009E2365">
        <w:rPr>
          <w:rFonts w:ascii="Times New Roman" w:hAnsi="Times New Roman" w:cs="Times New Roman"/>
          <w:sz w:val="24"/>
          <w:szCs w:val="24"/>
        </w:rPr>
        <w:t>Several key causes are there like the nondisclosure rule, clear mention of work time, the details about the holidays, and pension-related information. Other restrictive covenants that are also included in contractual employment are non-poaching, non-solicitation, non-compete rules, and clauses that help both the employees and the employers.</w:t>
      </w:r>
    </w:p>
    <w:p w14:paraId="72B42CB6" w14:textId="6C5A39C3" w:rsidR="007A31EF" w:rsidRDefault="007A31EF" w:rsidP="007A31EF">
      <w:pPr>
        <w:pStyle w:val="Normal1"/>
        <w:spacing w:line="360" w:lineRule="auto"/>
        <w:jc w:val="center"/>
        <w:rPr>
          <w:rFonts w:ascii="Times New Roman" w:hAnsi="Times New Roman" w:cs="Times New Roman"/>
          <w:sz w:val="24"/>
          <w:szCs w:val="24"/>
        </w:rPr>
      </w:pPr>
      <w:r>
        <w:rPr>
          <w:noProof/>
        </w:rPr>
        <w:lastRenderedPageBreak/>
        <w:drawing>
          <wp:inline distT="0" distB="0" distL="0" distR="0" wp14:anchorId="72B57371" wp14:editId="7344F4F4">
            <wp:extent cx="3971925" cy="3364853"/>
            <wp:effectExtent l="0" t="0" r="0" b="7620"/>
            <wp:docPr id="790600934" name="Picture 6" descr="Employment Contract Management - tracking 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ployment Contract Management - tracking vis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79237" cy="3371047"/>
                    </a:xfrm>
                    <a:prstGeom prst="rect">
                      <a:avLst/>
                    </a:prstGeom>
                    <a:noFill/>
                    <a:ln>
                      <a:noFill/>
                    </a:ln>
                  </pic:spPr>
                </pic:pic>
              </a:graphicData>
            </a:graphic>
          </wp:inline>
        </w:drawing>
      </w:r>
    </w:p>
    <w:p w14:paraId="4A29F2FF" w14:textId="77777777" w:rsidR="007A31EF" w:rsidRDefault="007A31EF" w:rsidP="007A31EF">
      <w:pPr>
        <w:pStyle w:val="Normal1"/>
        <w:spacing w:line="360" w:lineRule="auto"/>
        <w:jc w:val="center"/>
        <w:rPr>
          <w:rFonts w:ascii="Times New Roman" w:hAnsi="Times New Roman" w:cs="Times New Roman"/>
          <w:sz w:val="24"/>
          <w:szCs w:val="24"/>
        </w:rPr>
      </w:pPr>
    </w:p>
    <w:p w14:paraId="4B0D1669" w14:textId="12014F44" w:rsidR="007A31EF" w:rsidRPr="00FD6692" w:rsidRDefault="007A31EF" w:rsidP="00FD6692">
      <w:pPr>
        <w:pStyle w:val="Caption"/>
        <w:spacing w:line="360" w:lineRule="auto"/>
        <w:jc w:val="center"/>
        <w:rPr>
          <w:rFonts w:ascii="Times New Roman" w:hAnsi="Times New Roman" w:cs="Times New Roman"/>
          <w:i w:val="0"/>
          <w:iCs w:val="0"/>
          <w:color w:val="auto"/>
          <w:sz w:val="36"/>
          <w:szCs w:val="36"/>
        </w:rPr>
      </w:pPr>
      <w:bookmarkStart w:id="6" w:name="_Toc132225011"/>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00267877" w:rsidRPr="00FD6692">
        <w:rPr>
          <w:rFonts w:ascii="Times New Roman" w:hAnsi="Times New Roman" w:cs="Times New Roman"/>
          <w:i w:val="0"/>
          <w:iCs w:val="0"/>
          <w:noProof/>
          <w:color w:val="auto"/>
          <w:sz w:val="24"/>
          <w:szCs w:val="24"/>
        </w:rPr>
        <w:t>4</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Contractual employment terms</w:t>
      </w:r>
      <w:bookmarkEnd w:id="6"/>
    </w:p>
    <w:p w14:paraId="5020DD73" w14:textId="0CB65CA6" w:rsidR="007A31EF" w:rsidRPr="009E2365" w:rsidRDefault="007A31EF" w:rsidP="007A31EF">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466FAC">
        <w:rPr>
          <w:rFonts w:ascii="Times New Roman" w:hAnsi="Times New Roman" w:cs="Times New Roman"/>
          <w:color w:val="000000"/>
          <w:sz w:val="24"/>
          <w:szCs w:val="24"/>
        </w:rPr>
        <w:t>Rosenblatt</w:t>
      </w:r>
      <w:r>
        <w:rPr>
          <w:rFonts w:ascii="Times New Roman" w:hAnsi="Times New Roman" w:cs="Times New Roman"/>
          <w:color w:val="000000"/>
          <w:sz w:val="24"/>
          <w:szCs w:val="24"/>
        </w:rPr>
        <w:t>, 2021)</w:t>
      </w:r>
    </w:p>
    <w:p w14:paraId="0000002C"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Contractual employment acts in the UK market</w:t>
      </w:r>
    </w:p>
    <w:p w14:paraId="0000002D" w14:textId="77777777" w:rsidR="00FE2243"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British Gas is a well-known energy service provider in the UK which helps their customers to be energy efficient at their place. They mostly supply boilers, electricity, and gas to households in the UK. Centrica, Transco, and BG group were formed from this cooperation in 1997 and these contractual employment issues started when the employees of Centrica decided not to sign the new employment contract. The employer of any company breaches the employment contracts by increasing the work timing, and deduction of the decided wages, and here this company British Gas forced their employees to work overtime which was not in the contractual employment acts of the UK (</w:t>
      </w:r>
      <w:r w:rsidRPr="009E2365">
        <w:rPr>
          <w:rFonts w:ascii="Times New Roman" w:hAnsi="Times New Roman" w:cs="Times New Roman"/>
          <w:sz w:val="24"/>
          <w:szCs w:val="24"/>
          <w:highlight w:val="white"/>
        </w:rPr>
        <w:t>Farina et al., 2021)</w:t>
      </w:r>
      <w:r w:rsidRPr="009E2365">
        <w:rPr>
          <w:rFonts w:ascii="Times New Roman" w:hAnsi="Times New Roman" w:cs="Times New Roman"/>
          <w:sz w:val="24"/>
          <w:szCs w:val="24"/>
        </w:rPr>
        <w:t>. They were also forced to work under the new contract without any objections. The employees of Centrica decided to resign in this critical situation rather than work under the new regulations. Some multiple employment acts of the UK need to be discussed to understand the reason for the disputes between the boiler engineers and the management authority of British Gas.</w:t>
      </w:r>
    </w:p>
    <w:p w14:paraId="2A78D062" w14:textId="6595DAAB" w:rsidR="007A31EF" w:rsidRDefault="007A31EF" w:rsidP="007A31EF">
      <w:pPr>
        <w:pStyle w:val="Normal1"/>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0F2B447" wp14:editId="746D4463">
            <wp:extent cx="5486400" cy="1495425"/>
            <wp:effectExtent l="19050" t="0" r="19050" b="0"/>
            <wp:docPr id="2036107732"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81A781F" w14:textId="23FA77DA" w:rsidR="007A31EF" w:rsidRPr="00FD6692" w:rsidRDefault="007A31EF" w:rsidP="00FD6692">
      <w:pPr>
        <w:pStyle w:val="Caption"/>
        <w:spacing w:line="360" w:lineRule="auto"/>
        <w:jc w:val="center"/>
        <w:rPr>
          <w:rFonts w:ascii="Times New Roman" w:hAnsi="Times New Roman" w:cs="Times New Roman"/>
          <w:i w:val="0"/>
          <w:iCs w:val="0"/>
          <w:color w:val="auto"/>
          <w:sz w:val="36"/>
          <w:szCs w:val="36"/>
        </w:rPr>
      </w:pPr>
      <w:bookmarkStart w:id="7" w:name="_Toc132225012"/>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00267877" w:rsidRPr="00FD6692">
        <w:rPr>
          <w:rFonts w:ascii="Times New Roman" w:hAnsi="Times New Roman" w:cs="Times New Roman"/>
          <w:i w:val="0"/>
          <w:iCs w:val="0"/>
          <w:noProof/>
          <w:color w:val="auto"/>
          <w:sz w:val="24"/>
          <w:szCs w:val="24"/>
        </w:rPr>
        <w:t>5</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Employment Acts in UK</w:t>
      </w:r>
      <w:bookmarkEnd w:id="7"/>
    </w:p>
    <w:p w14:paraId="5A4C9F1B" w14:textId="7705103E" w:rsidR="007A31EF" w:rsidRPr="009E2365" w:rsidRDefault="007A31EF" w:rsidP="007A31EF">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0000002E"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Employment Rights Act 1996</w:t>
      </w:r>
    </w:p>
    <w:p w14:paraId="0000002F" w14:textId="2333DCC4"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ERA of 1996 of the UK  organises a set of rules for the employees that any company should follow to protect the rights of the people of the nation UK. These rights have the power to save employees in some critical situations like unfair dismissal, redundancy, and parental leave (</w:t>
      </w:r>
      <w:r w:rsidRPr="009E2365">
        <w:rPr>
          <w:rFonts w:ascii="Times New Roman" w:hAnsi="Times New Roman" w:cs="Times New Roman"/>
          <w:sz w:val="24"/>
          <w:szCs w:val="24"/>
          <w:highlight w:val="white"/>
        </w:rPr>
        <w:t>Davies et al., 2022)</w:t>
      </w:r>
      <w:r w:rsidRPr="009E2365">
        <w:rPr>
          <w:rFonts w:ascii="Times New Roman" w:hAnsi="Times New Roman" w:cs="Times New Roman"/>
          <w:sz w:val="24"/>
          <w:szCs w:val="24"/>
        </w:rPr>
        <w:t xml:space="preserve">. The act confirms that it is the right of the employees to know the necessary employment terms of the company. The key factors that are already set are to protect the dignity and rights of every employee by providing the actual reason for dismissal from work. The cause of the unfair dismissal along with the redundancy payments is also included in this Employment rights act. There are also some subsequent amendments to favour the employees in their workplace that are like a parental holiday, working flexible hours and employer insolvency.     </w:t>
      </w:r>
    </w:p>
    <w:p w14:paraId="00000030"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Agency workers regulations 2010</w:t>
      </w:r>
    </w:p>
    <w:p w14:paraId="00000031" w14:textId="26D635ED"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This law involves the rights of the people without facing any discrimination in the payment and recruitment process. AWR 2010 forces employers to pay the same wages and provide similar work time to agency workers. This law is working as a process of protection of the rights and any employment contract that is already signed by any company with its employees</w:t>
      </w:r>
      <w:r w:rsidR="00FB3864">
        <w:rPr>
          <w:rFonts w:ascii="Times New Roman" w:hAnsi="Times New Roman" w:cs="Times New Roman"/>
          <w:sz w:val="24"/>
          <w:szCs w:val="24"/>
        </w:rPr>
        <w:t xml:space="preserve"> (</w:t>
      </w:r>
      <w:r w:rsidR="00FB3864" w:rsidRPr="009E2365">
        <w:rPr>
          <w:rFonts w:ascii="Times New Roman" w:hAnsi="Times New Roman" w:cs="Times New Roman"/>
          <w:sz w:val="24"/>
          <w:szCs w:val="24"/>
          <w:highlight w:val="white"/>
        </w:rPr>
        <w:t>Jonsen</w:t>
      </w:r>
      <w:r w:rsidR="00FB3864">
        <w:rPr>
          <w:rFonts w:ascii="Times New Roman" w:hAnsi="Times New Roman" w:cs="Times New Roman"/>
          <w:sz w:val="24"/>
          <w:szCs w:val="24"/>
        </w:rPr>
        <w:t xml:space="preserve"> et al., 2021)</w:t>
      </w:r>
      <w:r w:rsidRPr="009E2365">
        <w:rPr>
          <w:rFonts w:ascii="Times New Roman" w:hAnsi="Times New Roman" w:cs="Times New Roman"/>
          <w:sz w:val="24"/>
          <w:szCs w:val="24"/>
        </w:rPr>
        <w:t>. This employment contractual act helps most of the employees in the UK to protect their dignity in the workplace. It also assists the employees to move from their old employers to the new recruiters by maintaining all the necessary liabilities.</w:t>
      </w:r>
      <w:r w:rsidRPr="009E2365">
        <w:rPr>
          <w:rFonts w:ascii="Times New Roman" w:hAnsi="Times New Roman" w:cs="Times New Roman"/>
          <w:sz w:val="24"/>
          <w:szCs w:val="24"/>
        </w:rPr>
        <w:tab/>
      </w:r>
    </w:p>
    <w:p w14:paraId="00000032"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Minimum wage act 1998</w:t>
      </w:r>
    </w:p>
    <w:p w14:paraId="00000033"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This MWA 1998 secures the employees and the workers by forcing the management authority of any company to provide a minimum wage to all the employees in their organisations. This was the first legislation that offered a guarantee of minimum payment to the employees in their workplace. The amount of payment on a per-hour basis is also set by the government of the UK to establish and save the professional dignity and rights of every human being. This MWA </w:t>
      </w:r>
      <w:r w:rsidRPr="009E2365">
        <w:rPr>
          <w:rFonts w:ascii="Times New Roman" w:hAnsi="Times New Roman" w:cs="Times New Roman"/>
          <w:sz w:val="24"/>
          <w:szCs w:val="24"/>
        </w:rPr>
        <w:lastRenderedPageBreak/>
        <w:t xml:space="preserve">of 1998 also offers the right to the people of the UK to take their recruiters to the court if they are not ready to pay their wages based on their work time.     </w:t>
      </w:r>
    </w:p>
    <w:p w14:paraId="00000034"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Acts used by British gas </w:t>
      </w:r>
    </w:p>
    <w:p w14:paraId="00000035" w14:textId="5BCA0096"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The above-mentioned company British Gas adopted some significant changes in its management process which deeply impacted the growth of the business. The employees are the core factors that control productivity which is directly interlinked to the overall sustainability of the company. Their notorious step to increase the timings of the work and not providing similar and appropriate wages to the people causes a haphazard condition among the employees. The authority of the company British Gas had forced their employees to work under the new terms and regulations but it was not easy for the employees to work extra without proper payment.</w:t>
      </w:r>
      <w:r w:rsidR="00466FAC">
        <w:rPr>
          <w:rFonts w:ascii="Times New Roman" w:hAnsi="Times New Roman" w:cs="Times New Roman"/>
          <w:sz w:val="24"/>
          <w:szCs w:val="24"/>
        </w:rPr>
        <w:t xml:space="preserve"> </w:t>
      </w:r>
      <w:r w:rsidRPr="009E2365">
        <w:rPr>
          <w:rFonts w:ascii="Times New Roman" w:hAnsi="Times New Roman" w:cs="Times New Roman"/>
          <w:sz w:val="24"/>
          <w:szCs w:val="24"/>
        </w:rPr>
        <w:t>Some of the disgruntled engineers signed the contracts but about 500 employees were not ready to accept the reformed contract. The authority decided to fire the people who were not ready to accept their new rules and started the fire and rehiring process. It can be assured that in this context the employers of the British Gas company had breached the governmental rules of the UK related to the employment contract of the employees.</w:t>
      </w:r>
    </w:p>
    <w:p w14:paraId="00000036"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The company British Gas had maintained multiple acts at the time of appointing their employees like the Minimum wage act, and the Employment Right Act. From the very beginning, it was a famous organisation that maintained all the governmental rules and policies that are directly related to employee satisfaction (</w:t>
      </w:r>
      <w:r w:rsidRPr="009E2365">
        <w:rPr>
          <w:rFonts w:ascii="Times New Roman" w:hAnsi="Times New Roman" w:cs="Times New Roman"/>
          <w:sz w:val="24"/>
          <w:szCs w:val="24"/>
          <w:highlight w:val="white"/>
        </w:rPr>
        <w:t>Wang et al., 2021)</w:t>
      </w:r>
      <w:r w:rsidRPr="009E2365">
        <w:rPr>
          <w:rFonts w:ascii="Times New Roman" w:hAnsi="Times New Roman" w:cs="Times New Roman"/>
          <w:sz w:val="24"/>
          <w:szCs w:val="24"/>
        </w:rPr>
        <w:t>. However, after the continuous strike of the engineers it was discovered clearly that they violated the rules of these acts by not providing the appropriate money to their employees. The Employment Right Act covers the situation when an employee faces problems related to dismissal or payment-related issues and provides specific laws for the violation of this particular act. The unlawful dismissal of this company, British Gas, and its fire and rehiring process causes a problematic situation in the time of managing its productivity. The ERA of 1996 is the updated version of the traditional labour law protecting the rights of payment and unlawful hiring process of any company in the UK. They also breach the Minimum wages act by not providing their incentives on the time of uplifting their work timing</w:t>
      </w:r>
    </w:p>
    <w:p w14:paraId="00000039" w14:textId="442367B4" w:rsidR="00FE2243" w:rsidRPr="009E2365" w:rsidRDefault="00000000" w:rsidP="001E0B13">
      <w:pPr>
        <w:pStyle w:val="Heading1"/>
      </w:pPr>
      <w:bookmarkStart w:id="8" w:name="_Toc132225150"/>
      <w:r w:rsidRPr="009E2365">
        <w:t>Employee engagement</w:t>
      </w:r>
      <w:bookmarkEnd w:id="8"/>
      <w:r w:rsidRPr="009E2365">
        <w:t xml:space="preserve"> </w:t>
      </w:r>
    </w:p>
    <w:p w14:paraId="0000003B" w14:textId="3F73C06C" w:rsidR="00FE2243"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Employee engagement defines the concept under human resource management, which follows the level of dedication and enthusiasm that an employee feels while doing their job role. The engagement of the employees critically influences the business growth of the particular </w:t>
      </w:r>
      <w:r w:rsidRPr="009E2365">
        <w:rPr>
          <w:rFonts w:ascii="Times New Roman" w:hAnsi="Times New Roman" w:cs="Times New Roman"/>
          <w:sz w:val="24"/>
          <w:szCs w:val="24"/>
        </w:rPr>
        <w:lastRenderedPageBreak/>
        <w:t>company, it depends on the employees' morale and satisfaction also. Human resource management and employers enhance employee engagement by using effective communication levels, discussing career development, and offering promotions and rewards for their excellent achievement of the job role (</w:t>
      </w:r>
      <w:r w:rsidRPr="009E2365">
        <w:rPr>
          <w:rFonts w:ascii="Times New Roman" w:hAnsi="Times New Roman" w:cs="Times New Roman"/>
          <w:sz w:val="24"/>
          <w:szCs w:val="24"/>
          <w:highlight w:val="white"/>
        </w:rPr>
        <w:t>Dagilyte et al., 2022)</w:t>
      </w:r>
      <w:r w:rsidRPr="009E2365">
        <w:rPr>
          <w:rFonts w:ascii="Times New Roman" w:hAnsi="Times New Roman" w:cs="Times New Roman"/>
          <w:sz w:val="24"/>
          <w:szCs w:val="24"/>
        </w:rPr>
        <w:t>. The HR management can enhance employee engagement by frequently informing them about the organisation's performance at the level of other competitors and how they have to work to sustain their better performance. The company has to make them feel valued and respected in their work environment through the proper and maintained communication level with them.</w:t>
      </w:r>
      <w:r w:rsidR="00466FAC">
        <w:rPr>
          <w:rFonts w:ascii="Times New Roman" w:hAnsi="Times New Roman" w:cs="Times New Roman"/>
          <w:sz w:val="24"/>
          <w:szCs w:val="24"/>
        </w:rPr>
        <w:t xml:space="preserve"> </w:t>
      </w:r>
      <w:r w:rsidRPr="009E2365">
        <w:rPr>
          <w:rFonts w:ascii="Times New Roman" w:hAnsi="Times New Roman" w:cs="Times New Roman"/>
          <w:sz w:val="24"/>
          <w:szCs w:val="24"/>
        </w:rPr>
        <w:t xml:space="preserve">The fire and rehire contract of the British Gas company impact employee engagement and relations with employers that create many changes in their work environment. The HRM strategy develops practices regarding the sustainable health of the company, safety, environmental issues, and wellness issues and risks that may be created due to contract actualisation. </w:t>
      </w:r>
    </w:p>
    <w:p w14:paraId="289E38BE" w14:textId="149B457D" w:rsidR="007A31EF" w:rsidRDefault="007A31EF" w:rsidP="007A31EF">
      <w:pPr>
        <w:pStyle w:val="Normal1"/>
        <w:spacing w:before="240" w:line="360" w:lineRule="auto"/>
        <w:jc w:val="center"/>
        <w:rPr>
          <w:rFonts w:ascii="Times New Roman" w:hAnsi="Times New Roman" w:cs="Times New Roman"/>
          <w:sz w:val="24"/>
          <w:szCs w:val="24"/>
        </w:rPr>
      </w:pPr>
      <w:r>
        <w:rPr>
          <w:noProof/>
        </w:rPr>
        <w:drawing>
          <wp:inline distT="0" distB="0" distL="0" distR="0" wp14:anchorId="66A00203" wp14:editId="76E05B67">
            <wp:extent cx="4867275" cy="3346016"/>
            <wp:effectExtent l="0" t="0" r="0" b="6985"/>
            <wp:docPr id="692874503" name="Picture 12" descr="It's Time to Outlaw Fire and Re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t's Time to Outlaw Fire and Rehir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75948" cy="3351978"/>
                    </a:xfrm>
                    <a:prstGeom prst="rect">
                      <a:avLst/>
                    </a:prstGeom>
                    <a:noFill/>
                    <a:ln>
                      <a:noFill/>
                    </a:ln>
                  </pic:spPr>
                </pic:pic>
              </a:graphicData>
            </a:graphic>
          </wp:inline>
        </w:drawing>
      </w:r>
    </w:p>
    <w:p w14:paraId="0A1B992B" w14:textId="55E531E0" w:rsidR="007A31EF" w:rsidRPr="00FD6692" w:rsidRDefault="00267877" w:rsidP="00FD6692">
      <w:pPr>
        <w:pStyle w:val="Caption"/>
        <w:spacing w:line="360" w:lineRule="auto"/>
        <w:jc w:val="center"/>
        <w:rPr>
          <w:rFonts w:ascii="Times New Roman" w:hAnsi="Times New Roman" w:cs="Times New Roman"/>
          <w:i w:val="0"/>
          <w:iCs w:val="0"/>
          <w:color w:val="auto"/>
          <w:sz w:val="36"/>
          <w:szCs w:val="36"/>
        </w:rPr>
      </w:pPr>
      <w:bookmarkStart w:id="9" w:name="_Toc132225013"/>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Pr="00FD6692">
        <w:rPr>
          <w:rFonts w:ascii="Times New Roman" w:hAnsi="Times New Roman" w:cs="Times New Roman"/>
          <w:i w:val="0"/>
          <w:iCs w:val="0"/>
          <w:noProof/>
          <w:color w:val="auto"/>
          <w:sz w:val="24"/>
          <w:szCs w:val="24"/>
        </w:rPr>
        <w:t>6</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Stop Fire and Re-hire</w:t>
      </w:r>
      <w:bookmarkEnd w:id="9"/>
    </w:p>
    <w:p w14:paraId="3D03DB32" w14:textId="30A1B141" w:rsidR="007A31EF" w:rsidRPr="009E2365" w:rsidRDefault="007A31EF" w:rsidP="007A31EF">
      <w:pPr>
        <w:pStyle w:val="Normal1"/>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9E2365">
        <w:rPr>
          <w:rFonts w:ascii="Times New Roman" w:hAnsi="Times New Roman" w:cs="Times New Roman"/>
          <w:sz w:val="24"/>
          <w:szCs w:val="24"/>
          <w:highlight w:val="white"/>
        </w:rPr>
        <w:t>Dagilyte et al., 2022</w:t>
      </w:r>
      <w:r>
        <w:rPr>
          <w:rFonts w:ascii="Times New Roman" w:hAnsi="Times New Roman" w:cs="Times New Roman"/>
          <w:sz w:val="24"/>
          <w:szCs w:val="24"/>
        </w:rPr>
        <w:t>)</w:t>
      </w:r>
    </w:p>
    <w:p w14:paraId="0000003C" w14:textId="1D4E4E0B"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Changes regarding employee engagement </w:t>
      </w:r>
    </w:p>
    <w:p w14:paraId="0000003D"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The fire and rehire strategy refers to the rules that relate to hiring employees after getting them fired. The employers, after dismissing the employees' terms of not accepting the new contract that the company has to impose on them, rehire those employees who accept the new </w:t>
      </w:r>
      <w:r w:rsidRPr="009E2365">
        <w:rPr>
          <w:rFonts w:ascii="Times New Roman" w:hAnsi="Times New Roman" w:cs="Times New Roman"/>
          <w:sz w:val="24"/>
          <w:szCs w:val="24"/>
        </w:rPr>
        <w:lastRenderedPageBreak/>
        <w:t>contractual terms (</w:t>
      </w:r>
      <w:r w:rsidRPr="009E2365">
        <w:rPr>
          <w:rFonts w:ascii="Times New Roman" w:hAnsi="Times New Roman" w:cs="Times New Roman"/>
          <w:sz w:val="24"/>
          <w:szCs w:val="24"/>
          <w:highlight w:val="white"/>
        </w:rPr>
        <w:t>Dobbins,  2022)</w:t>
      </w:r>
      <w:r w:rsidRPr="009E2365">
        <w:rPr>
          <w:rFonts w:ascii="Times New Roman" w:hAnsi="Times New Roman" w:cs="Times New Roman"/>
          <w:sz w:val="24"/>
          <w:szCs w:val="24"/>
        </w:rPr>
        <w:t>. The new contracts are less favorable for the employees so they do not want to follow them.</w:t>
      </w:r>
    </w:p>
    <w:p w14:paraId="0000003E" w14:textId="7777777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In the British gas company, the employers have forced their employees to accept the new contracts, that is they have to work for longer times without additional pay and the new contract is not accepted by several employees of the company. Thousands of British Gas Boiler engineers have refused to accept the new changes in their employee engagement. As a result, British Gas has imposed the strategy of firing or rehiring the employees. The strategy has forced them either to accept the contracts or they would be dismissed. Many employees, though dissatisfied, have signed the new contract. On the other hand, Centrica, owning British Gas, has confirmed that around 2% of the employees have not accepted the new contract and have been dismissed (</w:t>
      </w:r>
      <w:r w:rsidRPr="009E2365">
        <w:rPr>
          <w:rFonts w:ascii="Times New Roman" w:hAnsi="Times New Roman" w:cs="Times New Roman"/>
          <w:sz w:val="24"/>
          <w:szCs w:val="24"/>
          <w:highlight w:val="white"/>
        </w:rPr>
        <w:t>Mazzucato, 2022)</w:t>
      </w:r>
      <w:r w:rsidRPr="009E2365">
        <w:rPr>
          <w:rFonts w:ascii="Times New Roman" w:hAnsi="Times New Roman" w:cs="Times New Roman"/>
          <w:sz w:val="24"/>
          <w:szCs w:val="24"/>
        </w:rPr>
        <w:t>. This situation creates several changes in the employment engagement policies of the company.</w:t>
      </w:r>
    </w:p>
    <w:p w14:paraId="0000003F"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Employee contract and relations</w:t>
      </w:r>
    </w:p>
    <w:p w14:paraId="00000040" w14:textId="108A27D8"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firing and rehiring process means the rearrangement of the employees in a particular company. The British gas company has rearranged their employees with the use of a fire and rehire strategy that affects the relations between the employees and the employers. Most of the employees have become dissatisfied, though they have signed the new contract. The contract is to work overtime without additional payment. This contract has forced the employees into their job roles (</w:t>
      </w:r>
      <w:r w:rsidRPr="009E2365">
        <w:rPr>
          <w:rFonts w:ascii="Times New Roman" w:hAnsi="Times New Roman" w:cs="Times New Roman"/>
          <w:sz w:val="24"/>
          <w:szCs w:val="24"/>
          <w:highlight w:val="white"/>
        </w:rPr>
        <w:t>Harrison et al., 2022)</w:t>
      </w:r>
      <w:r w:rsidRPr="009E2365">
        <w:rPr>
          <w:rFonts w:ascii="Times New Roman" w:hAnsi="Times New Roman" w:cs="Times New Roman"/>
          <w:sz w:val="24"/>
          <w:szCs w:val="24"/>
        </w:rPr>
        <w:t xml:space="preserve">. That does not give them job satisfaction, it also affects their performance. The company follows the fire and rehire process generally when they are not capable of reducing the workload in terms of the increased costs. Moreover, if the company stands on the pressing and urgent requirement of reducing benefits costs and salary improvement of the employees for their business survival, then they have to be bound to follow the strategy. All these terms, the British Gas company may have faced so that they have to follow fire or rehiring in managing their staff. </w:t>
      </w:r>
    </w:p>
    <w:p w14:paraId="00000041" w14:textId="77777777"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Communication and consultation</w:t>
      </w:r>
    </w:p>
    <w:p w14:paraId="00000042" w14:textId="6096B427"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The employers and the HR manager have to follow the frequent communication level with their employees to develop their performance and better growth in employee job satisfaction. They, whenever needed, consult with their employees to get their innovative ideas that may increase their performance level that develops the business growth as well. High communication levels and consulting with their workers regularly are very important practices in employee </w:t>
      </w:r>
      <w:r w:rsidRPr="009E2365">
        <w:rPr>
          <w:rFonts w:ascii="Times New Roman" w:hAnsi="Times New Roman" w:cs="Times New Roman"/>
          <w:sz w:val="24"/>
          <w:szCs w:val="24"/>
        </w:rPr>
        <w:lastRenderedPageBreak/>
        <w:t>engagement policies (</w:t>
      </w:r>
      <w:r w:rsidRPr="009E2365">
        <w:rPr>
          <w:rFonts w:ascii="Times New Roman" w:hAnsi="Times New Roman" w:cs="Times New Roman"/>
          <w:sz w:val="24"/>
          <w:szCs w:val="24"/>
          <w:highlight w:val="white"/>
        </w:rPr>
        <w:t>Black, 2021)</w:t>
      </w:r>
      <w:r w:rsidRPr="009E2365">
        <w:rPr>
          <w:rFonts w:ascii="Times New Roman" w:hAnsi="Times New Roman" w:cs="Times New Roman"/>
          <w:sz w:val="24"/>
          <w:szCs w:val="24"/>
        </w:rPr>
        <w:t xml:space="preserve">. The British Gas company manages their employees to recover their dissatisfaction and get their best performance in developing their business growth, through proper and advanced ways of communication. There have to come new changes in their communication and consultation level with their employees. The previous environment of the fire or rehire process and the latest environment of the workplace do not remain the same. This is a big change in the company that the employers and also the HR management authority have understood. The number of staff has decreased, so the work pressure has increased for the individual workers. Being the Boiler engineers of the British Gas company, the employees have to remain most of the time in a hot environment. So the engagement policy through communication and consultation requires the understanding process of their workplace environment problem. </w:t>
      </w:r>
    </w:p>
    <w:p w14:paraId="00000044" w14:textId="6BB05CB9" w:rsidR="00FE2243" w:rsidRPr="009E2365" w:rsidRDefault="00000000" w:rsidP="009E2365">
      <w:pPr>
        <w:pStyle w:val="Normal1"/>
        <w:spacing w:before="240"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Potential impact regarding the changes in employee engagement </w:t>
      </w:r>
    </w:p>
    <w:p w14:paraId="5CBADD92" w14:textId="4B68F869" w:rsid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The significant changes in employee engagement of the British Gas company, due to the fire or rehire strategy, have faced significant and potential impacts in their employee engagement policies that are discussed here with relevant surroundings.</w:t>
      </w:r>
      <w:r w:rsidR="009E2365">
        <w:rPr>
          <w:rFonts w:ascii="Times New Roman" w:hAnsi="Times New Roman" w:cs="Times New Roman"/>
          <w:sz w:val="24"/>
          <w:szCs w:val="24"/>
        </w:rPr>
        <w:t xml:space="preserve"> </w:t>
      </w:r>
      <w:r w:rsidRPr="009E2365">
        <w:rPr>
          <w:rFonts w:ascii="Times New Roman" w:hAnsi="Times New Roman" w:cs="Times New Roman"/>
          <w:sz w:val="24"/>
          <w:szCs w:val="24"/>
        </w:rPr>
        <w:t>The employee engagement of the British Gas company has faced some potential risk factors in terms of the sustainable health of the business, the safety of the relations between the employees and the employers, workplace environmental issues, and the wellness issues of developing the business.</w:t>
      </w:r>
      <w:r w:rsidR="009E2365">
        <w:rPr>
          <w:rFonts w:ascii="Times New Roman" w:hAnsi="Times New Roman" w:cs="Times New Roman"/>
          <w:sz w:val="24"/>
          <w:szCs w:val="24"/>
        </w:rPr>
        <w:t xml:space="preserve"> </w:t>
      </w:r>
      <w:r w:rsidRPr="009E2365">
        <w:rPr>
          <w:rFonts w:ascii="Times New Roman" w:hAnsi="Times New Roman" w:cs="Times New Roman"/>
          <w:sz w:val="24"/>
          <w:szCs w:val="24"/>
        </w:rPr>
        <w:t>The main challenge of firing and rehiring the employees means it dismisses many employees which may lead to claims of unfair dismissal and it may have very potential risks that affect their business (</w:t>
      </w:r>
      <w:r w:rsidRPr="009E2365">
        <w:rPr>
          <w:rFonts w:ascii="Times New Roman" w:hAnsi="Times New Roman" w:cs="Times New Roman"/>
          <w:sz w:val="24"/>
          <w:szCs w:val="24"/>
          <w:highlight w:val="white"/>
        </w:rPr>
        <w:t>Shackleton, 2022)</w:t>
      </w:r>
      <w:r w:rsidRPr="009E2365">
        <w:rPr>
          <w:rFonts w:ascii="Times New Roman" w:hAnsi="Times New Roman" w:cs="Times New Roman"/>
          <w:sz w:val="24"/>
          <w:szCs w:val="24"/>
        </w:rPr>
        <w:t>. The firing and rehiring people process generally should take a minimum of 30 to 90 days of consultation period respectively before the first discharge takes place. However, having difficulties in financial conditions British Gas may not have followed the rules in employment engagement policy. So</w:t>
      </w:r>
      <w:r w:rsidR="00194370">
        <w:rPr>
          <w:rFonts w:ascii="Times New Roman" w:hAnsi="Times New Roman" w:cs="Times New Roman"/>
          <w:sz w:val="24"/>
          <w:szCs w:val="24"/>
        </w:rPr>
        <w:t>,</w:t>
      </w:r>
      <w:r w:rsidRPr="009E2365">
        <w:rPr>
          <w:rFonts w:ascii="Times New Roman" w:hAnsi="Times New Roman" w:cs="Times New Roman"/>
          <w:sz w:val="24"/>
          <w:szCs w:val="24"/>
        </w:rPr>
        <w:t xml:space="preserve"> it causes a disgruntled situation in the workplace of the employees. </w:t>
      </w:r>
    </w:p>
    <w:p w14:paraId="0000004A" w14:textId="75192FFA" w:rsidR="00FE2243" w:rsidRPr="009E2365" w:rsidRDefault="00000000" w:rsidP="009E2365">
      <w:pPr>
        <w:pStyle w:val="Normal1"/>
        <w:spacing w:before="240" w:line="360" w:lineRule="auto"/>
        <w:jc w:val="both"/>
        <w:rPr>
          <w:rFonts w:ascii="Times New Roman" w:hAnsi="Times New Roman" w:cs="Times New Roman"/>
          <w:sz w:val="24"/>
          <w:szCs w:val="24"/>
        </w:rPr>
      </w:pPr>
      <w:r w:rsidRPr="009E2365">
        <w:rPr>
          <w:rFonts w:ascii="Times New Roman" w:hAnsi="Times New Roman" w:cs="Times New Roman"/>
          <w:sz w:val="24"/>
          <w:szCs w:val="24"/>
        </w:rPr>
        <w:t>Furthermore, the number of existing employees after rearranging them has reduced, so the work environment gets heavy pressure from individual employees in their workload and they face difficulties to achieve their goals. They do not get the additional payment for overtime in terms of the new contract. That also affects the safety of employee engagement and they can strike against the company due to breaching the general rules of employee engagement. That affects the sustainability of the company and tier business.</w:t>
      </w:r>
      <w:r w:rsidR="009E2365">
        <w:rPr>
          <w:rFonts w:ascii="Times New Roman" w:hAnsi="Times New Roman" w:cs="Times New Roman"/>
          <w:sz w:val="24"/>
          <w:szCs w:val="24"/>
        </w:rPr>
        <w:t xml:space="preserve"> </w:t>
      </w:r>
      <w:r w:rsidRPr="009E2365">
        <w:rPr>
          <w:rFonts w:ascii="Times New Roman" w:hAnsi="Times New Roman" w:cs="Times New Roman"/>
          <w:sz w:val="24"/>
          <w:szCs w:val="24"/>
        </w:rPr>
        <w:t xml:space="preserve">The wellness of the company is also influenced by the above-mentioned rearranging process of employees. The employees would </w:t>
      </w:r>
      <w:r w:rsidRPr="009E2365">
        <w:rPr>
          <w:rFonts w:ascii="Times New Roman" w:hAnsi="Times New Roman" w:cs="Times New Roman"/>
          <w:sz w:val="24"/>
          <w:szCs w:val="24"/>
        </w:rPr>
        <w:lastRenderedPageBreak/>
        <w:t>not want frequent communication with their employers in the sense that they may give more pressure on work while communicating with them. They also have their personal life, child care responsibilities (</w:t>
      </w:r>
      <w:r w:rsidRPr="009E2365">
        <w:rPr>
          <w:rFonts w:ascii="Times New Roman" w:hAnsi="Times New Roman" w:cs="Times New Roman"/>
          <w:sz w:val="24"/>
          <w:szCs w:val="24"/>
          <w:highlight w:val="white"/>
        </w:rPr>
        <w:t>Ngoc Su et al., 2021)</w:t>
      </w:r>
      <w:r w:rsidRPr="009E2365">
        <w:rPr>
          <w:rFonts w:ascii="Times New Roman" w:hAnsi="Times New Roman" w:cs="Times New Roman"/>
          <w:sz w:val="24"/>
          <w:szCs w:val="24"/>
        </w:rPr>
        <w:t xml:space="preserve">. That also affects this contract and the unfair dismissal of other employees. So the employee engagement policy gets more difficult to manage the employees and give them job satisfaction simultaneously. </w:t>
      </w:r>
    </w:p>
    <w:p w14:paraId="0000004E" w14:textId="1CC805B4" w:rsidR="00FE2243" w:rsidRPr="009E2365" w:rsidRDefault="00000000" w:rsidP="001E0B13">
      <w:pPr>
        <w:pStyle w:val="Heading1"/>
      </w:pPr>
      <w:bookmarkStart w:id="10" w:name="_Toc132225151"/>
      <w:r w:rsidRPr="009E2365">
        <w:t>Evaluate HR involvement</w:t>
      </w:r>
      <w:bookmarkEnd w:id="10"/>
      <w:r w:rsidRPr="009E2365">
        <w:t xml:space="preserve"> </w:t>
      </w:r>
    </w:p>
    <w:p w14:paraId="0000004F"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Contemporary employment relations </w:t>
      </w:r>
    </w:p>
    <w:p w14:paraId="00000050"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Contemporary employment relations consider current improvements in the relations of the employees, described as how the relationships between employees of an organisation are experienced, overseen and contested. Furthermore, fire and rehire is a legal ancient strategy that refers to when the employees are fired by the employers and rehired according to new terms and conditions (</w:t>
      </w:r>
      <w:r w:rsidRPr="009E2365">
        <w:rPr>
          <w:rFonts w:ascii="Times New Roman" w:hAnsi="Times New Roman" w:cs="Times New Roman"/>
          <w:sz w:val="24"/>
          <w:szCs w:val="24"/>
          <w:highlight w:val="white"/>
        </w:rPr>
        <w:t>Cruddas,  2022)</w:t>
      </w:r>
      <w:r w:rsidRPr="009E2365">
        <w:rPr>
          <w:rFonts w:ascii="Times New Roman" w:hAnsi="Times New Roman" w:cs="Times New Roman"/>
          <w:sz w:val="24"/>
          <w:szCs w:val="24"/>
        </w:rPr>
        <w:t>. British Gas disposed of the fire and rehire strategy that is forcing the employees to be left with two choices accepting the new term of the contract or being terminated. Around 7000 employees participate in strike action after having the threat of being sacked by the organisation. Moreover, a huge number of employees lose their occupations when they disagree with the new terms and conditions of the fire and rehire scheme imposed by British Gas. With the application of this new policy, this organisation confronts several issues such as conflicts, hour and wage issues, annual leave disputes, attendance and timekeeping issues, and many more. An HR department of an organisation is responsible to resolve all the organisational issues by implementing effective HRM strategies to gain continuous development for the company.</w:t>
      </w:r>
    </w:p>
    <w:p w14:paraId="00000051"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 xml:space="preserve">HR involvement </w:t>
      </w:r>
    </w:p>
    <w:p w14:paraId="00000052" w14:textId="77777777" w:rsidR="00FE2243"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HR of an organisation is responsible for managing employees along with maintaining good bonding among employees to achieve further success for the organisation (</w:t>
      </w:r>
      <w:r w:rsidRPr="009E2365">
        <w:rPr>
          <w:rFonts w:ascii="Times New Roman" w:hAnsi="Times New Roman" w:cs="Times New Roman"/>
          <w:sz w:val="24"/>
          <w:szCs w:val="24"/>
          <w:highlight w:val="white"/>
        </w:rPr>
        <w:t>Crossdale et al., 2022)</w:t>
      </w:r>
      <w:r w:rsidRPr="009E2365">
        <w:rPr>
          <w:rFonts w:ascii="Times New Roman" w:hAnsi="Times New Roman" w:cs="Times New Roman"/>
          <w:sz w:val="24"/>
          <w:szCs w:val="24"/>
        </w:rPr>
        <w:t>. Due to the changes in terms and conditions of recruitment, several long-running issues have been created in British Gas. An HR team performs efficiently to manage contemporary employment relations issues.</w:t>
      </w:r>
    </w:p>
    <w:p w14:paraId="2A68FEC0" w14:textId="199004AD" w:rsidR="00267877" w:rsidRDefault="00267877" w:rsidP="00267877">
      <w:pPr>
        <w:pStyle w:val="Normal1"/>
        <w:spacing w:line="360" w:lineRule="auto"/>
        <w:jc w:val="center"/>
        <w:rPr>
          <w:rFonts w:ascii="Times New Roman" w:hAnsi="Times New Roman" w:cs="Times New Roman"/>
          <w:sz w:val="24"/>
          <w:szCs w:val="24"/>
        </w:rPr>
      </w:pPr>
      <w:r>
        <w:rPr>
          <w:noProof/>
        </w:rPr>
        <w:lastRenderedPageBreak/>
        <w:drawing>
          <wp:inline distT="0" distB="0" distL="0" distR="0" wp14:anchorId="3D544809" wp14:editId="3D17753C">
            <wp:extent cx="5733415" cy="1583055"/>
            <wp:effectExtent l="0" t="0" r="635" b="0"/>
            <wp:docPr id="441087359" name="Picture 13" descr="High‐involvement human resource practices and their impact on  organizational ambidexterity: The mediating role of employees' ambidextrous  behaviors - Al‐Agry - 2021 - Global Business and Organizational Excellence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gh‐involvement human resource practices and their impact on  organizational ambidexterity: The mediating role of employees' ambidextrous  behaviors - Al‐Agry - 2021 - Global Business and Organizational Excellence  - Wiley Online Librar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3415" cy="1583055"/>
                    </a:xfrm>
                    <a:prstGeom prst="rect">
                      <a:avLst/>
                    </a:prstGeom>
                    <a:noFill/>
                    <a:ln>
                      <a:noFill/>
                    </a:ln>
                  </pic:spPr>
                </pic:pic>
              </a:graphicData>
            </a:graphic>
          </wp:inline>
        </w:drawing>
      </w:r>
    </w:p>
    <w:p w14:paraId="425D2750" w14:textId="1F402D23" w:rsidR="00267877" w:rsidRPr="00FD6692" w:rsidRDefault="00267877" w:rsidP="00FD6692">
      <w:pPr>
        <w:pStyle w:val="Caption"/>
        <w:spacing w:line="360" w:lineRule="auto"/>
        <w:jc w:val="center"/>
        <w:rPr>
          <w:rFonts w:ascii="Times New Roman" w:hAnsi="Times New Roman" w:cs="Times New Roman"/>
          <w:i w:val="0"/>
          <w:iCs w:val="0"/>
          <w:color w:val="auto"/>
          <w:sz w:val="36"/>
          <w:szCs w:val="36"/>
        </w:rPr>
      </w:pPr>
      <w:bookmarkStart w:id="11" w:name="_Toc132225014"/>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Pr="00FD6692">
        <w:rPr>
          <w:rFonts w:ascii="Times New Roman" w:hAnsi="Times New Roman" w:cs="Times New Roman"/>
          <w:i w:val="0"/>
          <w:iCs w:val="0"/>
          <w:noProof/>
          <w:color w:val="auto"/>
          <w:sz w:val="24"/>
          <w:szCs w:val="24"/>
        </w:rPr>
        <w:t>7</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HR Involvment</w:t>
      </w:r>
      <w:bookmarkEnd w:id="11"/>
    </w:p>
    <w:p w14:paraId="1AC88509" w14:textId="1C82712A" w:rsidR="00267877" w:rsidRPr="009E2365" w:rsidRDefault="00267877" w:rsidP="00267877">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9E2365">
        <w:rPr>
          <w:rFonts w:ascii="Times New Roman" w:hAnsi="Times New Roman" w:cs="Times New Roman"/>
          <w:sz w:val="24"/>
          <w:szCs w:val="24"/>
          <w:highlight w:val="white"/>
        </w:rPr>
        <w:t>Crossdale et al., 2022)</w:t>
      </w:r>
    </w:p>
    <w:p w14:paraId="00000053"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Conflict Management</w:t>
      </w:r>
    </w:p>
    <w:p w14:paraId="00000054"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The application of the fire and rehire policy by British Gas, a renowned energy service provider in the United Kingdom, has caused several conflicts. Considering a system that allows employees along with employers to effectively communication, HR can avoid misunderstandings (</w:t>
      </w:r>
      <w:r w:rsidRPr="009E2365">
        <w:rPr>
          <w:rFonts w:ascii="Times New Roman" w:hAnsi="Times New Roman" w:cs="Times New Roman"/>
          <w:sz w:val="24"/>
          <w:szCs w:val="24"/>
          <w:highlight w:val="white"/>
        </w:rPr>
        <w:t>Hickland et al., 2020)</w:t>
      </w:r>
      <w:r w:rsidRPr="009E2365">
        <w:rPr>
          <w:rFonts w:ascii="Times New Roman" w:hAnsi="Times New Roman" w:cs="Times New Roman"/>
          <w:sz w:val="24"/>
          <w:szCs w:val="24"/>
        </w:rPr>
        <w:t>. With the use of this system, HR can make sure that the employees of British Gas feel that their problems are always heard by the authority.</w:t>
      </w:r>
    </w:p>
    <w:p w14:paraId="00000055"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Safety in the Workplace</w:t>
      </w:r>
    </w:p>
    <w:p w14:paraId="00000056"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Promoting safety in the organisation is important to produce a sustainable healthy work environment. An efficient human resource department requires ensuring that all equipment of safety is used properly along with implementing adequate security measurements. The Human Resources of this organisation in the UK make sure that the workers are not facing too much work pressure due to so many overtime shifts (</w:t>
      </w:r>
      <w:r w:rsidRPr="009E2365">
        <w:rPr>
          <w:rFonts w:ascii="Times New Roman" w:hAnsi="Times New Roman" w:cs="Times New Roman"/>
          <w:sz w:val="24"/>
          <w:szCs w:val="24"/>
          <w:highlight w:val="white"/>
        </w:rPr>
        <w:t>Goodwin,  2020)</w:t>
      </w:r>
      <w:r w:rsidRPr="009E2365">
        <w:rPr>
          <w:rFonts w:ascii="Times New Roman" w:hAnsi="Times New Roman" w:cs="Times New Roman"/>
          <w:sz w:val="24"/>
          <w:szCs w:val="24"/>
        </w:rPr>
        <w:t>. They implement some software for tracking schedules to provide breaks to the employees. Additionally, this procedure allows the reduction of overtime in the context of designing a work environment that is unsafe for the workers.</w:t>
      </w:r>
    </w:p>
    <w:p w14:paraId="00000057"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Hour and Wage Issue</w:t>
      </w:r>
    </w:p>
    <w:p w14:paraId="00000058" w14:textId="5C6CB0C5"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One of the most important issues of British Gas, created by contemporary employment relations is the hour and wage issue. By motivating employees to keep track of and also manage their schedule HR can avoid wage and hour issues (</w:t>
      </w:r>
      <w:r w:rsidRPr="009E2365">
        <w:rPr>
          <w:rFonts w:ascii="Times New Roman" w:hAnsi="Times New Roman" w:cs="Times New Roman"/>
          <w:sz w:val="24"/>
          <w:szCs w:val="24"/>
          <w:highlight w:val="white"/>
        </w:rPr>
        <w:t>Kinsella</w:t>
      </w:r>
      <w:r w:rsidR="00BD488D">
        <w:rPr>
          <w:rFonts w:ascii="Times New Roman" w:hAnsi="Times New Roman" w:cs="Times New Roman"/>
          <w:sz w:val="24"/>
          <w:szCs w:val="24"/>
          <w:highlight w:val="white"/>
        </w:rPr>
        <w:t xml:space="preserve"> et al</w:t>
      </w:r>
      <w:r w:rsidRPr="009E2365">
        <w:rPr>
          <w:rFonts w:ascii="Times New Roman" w:hAnsi="Times New Roman" w:cs="Times New Roman"/>
          <w:sz w:val="24"/>
          <w:szCs w:val="24"/>
          <w:highlight w:val="white"/>
        </w:rPr>
        <w:t>., 2022)</w:t>
      </w:r>
      <w:r w:rsidRPr="009E2365">
        <w:rPr>
          <w:rFonts w:ascii="Times New Roman" w:hAnsi="Times New Roman" w:cs="Times New Roman"/>
          <w:sz w:val="24"/>
          <w:szCs w:val="24"/>
        </w:rPr>
        <w:t>. With this process, unnecessary work pressure and overtime scheduling can be prevented. Avoiding these issues allow British Gas to ensure that their workers perform accurate jobs with the right pay grade.</w:t>
      </w:r>
    </w:p>
    <w:p w14:paraId="00000059"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Attendance and Timekeeping Issue</w:t>
      </w:r>
    </w:p>
    <w:p w14:paraId="0000005A"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Attendance issues along with timekeeping issues are very common in British Gas, a well-known energy service provider in the UK. Utilizing developed technologies, the human resources of this organisation can allow their employees for keeping track of their time and </w:t>
      </w:r>
      <w:r w:rsidRPr="009E2365">
        <w:rPr>
          <w:rFonts w:ascii="Times New Roman" w:hAnsi="Times New Roman" w:cs="Times New Roman"/>
          <w:sz w:val="24"/>
          <w:szCs w:val="24"/>
        </w:rPr>
        <w:lastRenderedPageBreak/>
        <w:t>also share opinions about their issues related to attendance (</w:t>
      </w:r>
      <w:r w:rsidRPr="009E2365">
        <w:rPr>
          <w:rFonts w:ascii="Times New Roman" w:hAnsi="Times New Roman" w:cs="Times New Roman"/>
          <w:sz w:val="24"/>
          <w:szCs w:val="24"/>
          <w:highlight w:val="white"/>
        </w:rPr>
        <w:t>Hughes, 2021)</w:t>
      </w:r>
      <w:r w:rsidRPr="009E2365">
        <w:rPr>
          <w:rFonts w:ascii="Times New Roman" w:hAnsi="Times New Roman" w:cs="Times New Roman"/>
          <w:sz w:val="24"/>
          <w:szCs w:val="24"/>
        </w:rPr>
        <w:t>. Furthermore, this is useful to reduce the possibilities for conflict along with providing British Gas a handy advantage.</w:t>
      </w:r>
    </w:p>
    <w:p w14:paraId="0000005B"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Managing Diversity</w:t>
      </w:r>
    </w:p>
    <w:p w14:paraId="0000005C"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Diversity management is another noteworthy involvement of HR. As British Gas contains a workforce of different national origins as well as different backgrounds, HR requires to imply various strategies to manage the diversity within the organization. For managing diversity in British Gas in the UK, HR needs to communicate with the employees frequently and also provide consultation to satisfy the employees (</w:t>
      </w:r>
      <w:r w:rsidRPr="009E2365">
        <w:rPr>
          <w:rFonts w:ascii="Times New Roman" w:hAnsi="Times New Roman" w:cs="Times New Roman"/>
          <w:sz w:val="24"/>
          <w:szCs w:val="24"/>
          <w:highlight w:val="white"/>
        </w:rPr>
        <w:t>Mousa et al., 2020)</w:t>
      </w:r>
      <w:r w:rsidRPr="009E2365">
        <w:rPr>
          <w:rFonts w:ascii="Times New Roman" w:hAnsi="Times New Roman" w:cs="Times New Roman"/>
          <w:sz w:val="24"/>
          <w:szCs w:val="24"/>
        </w:rPr>
        <w:t>. Additionally, with proper consultation and guidance employees of this organisation can gain motivation to upgrade their performance for further betterment.</w:t>
      </w:r>
    </w:p>
    <w:p w14:paraId="0000005D"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Annual Leave Disputes</w:t>
      </w:r>
    </w:p>
    <w:p w14:paraId="0000005E"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Due to several terms and conditions employees of British Gas are not conscious of the leave policy of the organisation. With the consideration of leave management, allow the HR of the organisation to form a transparent and legal leave policy that reduces disputes (</w:t>
      </w:r>
      <w:r w:rsidRPr="009E2365">
        <w:rPr>
          <w:rFonts w:ascii="Times New Roman" w:hAnsi="Times New Roman" w:cs="Times New Roman"/>
          <w:sz w:val="24"/>
          <w:szCs w:val="24"/>
          <w:highlight w:val="white"/>
        </w:rPr>
        <w:t>Maldonado and Nieuwenhuis, 2019)</w:t>
      </w:r>
      <w:r w:rsidRPr="009E2365">
        <w:rPr>
          <w:rFonts w:ascii="Times New Roman" w:hAnsi="Times New Roman" w:cs="Times New Roman"/>
          <w:sz w:val="24"/>
          <w:szCs w:val="24"/>
        </w:rPr>
        <w:t>. Providing easy access to the employees may help to create sustainable ethics for British Gas. Free conversation between HR and employees regarding leave requests along with leave adjustment also produces a work-friendly environment.</w:t>
      </w:r>
    </w:p>
    <w:p w14:paraId="0000005F"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The traditional model of human resource management</w:t>
      </w:r>
    </w:p>
    <w:p w14:paraId="00000060" w14:textId="77777777" w:rsidR="00FE2243"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Several traditional human resource models are implemented in HR management in the United Kingdom. British Gas of the United Kingdom is a well-known energy service provider that helps its consumers to receive sufficient energy in their area. Most of the clients of this organisation are from households in the UK with the requirement of electricity, gas along with boilers. For solving the issues and producing sustainability in international, environmental along with ethical aspects of British Gas, human resources follow the</w:t>
      </w:r>
      <w:r w:rsidRPr="009E2365">
        <w:rPr>
          <w:rFonts w:ascii="Times New Roman" w:hAnsi="Times New Roman" w:cs="Times New Roman"/>
          <w:b/>
          <w:sz w:val="24"/>
          <w:szCs w:val="24"/>
        </w:rPr>
        <w:t xml:space="preserve"> federated model</w:t>
      </w:r>
      <w:r w:rsidRPr="009E2365">
        <w:rPr>
          <w:rFonts w:ascii="Times New Roman" w:hAnsi="Times New Roman" w:cs="Times New Roman"/>
          <w:sz w:val="24"/>
          <w:szCs w:val="24"/>
        </w:rPr>
        <w:t>. This completely decentralized HR functioning model operates independently. Implementing this traditional HR model, this organisation and its HR department perform a coordination role with a lot of service delivery.</w:t>
      </w:r>
    </w:p>
    <w:p w14:paraId="34F37505" w14:textId="4A5B60FE" w:rsidR="00267877" w:rsidRDefault="00267877" w:rsidP="00267877">
      <w:pPr>
        <w:pStyle w:val="Normal1"/>
        <w:spacing w:line="360" w:lineRule="auto"/>
        <w:jc w:val="center"/>
        <w:rPr>
          <w:rFonts w:ascii="Times New Roman" w:hAnsi="Times New Roman" w:cs="Times New Roman"/>
          <w:sz w:val="24"/>
          <w:szCs w:val="24"/>
        </w:rPr>
      </w:pPr>
      <w:r>
        <w:rPr>
          <w:noProof/>
        </w:rPr>
        <w:lastRenderedPageBreak/>
        <w:drawing>
          <wp:inline distT="0" distB="0" distL="0" distR="0" wp14:anchorId="00D491C9" wp14:editId="0CCB3CC2">
            <wp:extent cx="5733415" cy="2056765"/>
            <wp:effectExtent l="0" t="0" r="635" b="635"/>
            <wp:docPr id="255348156" name="Picture 14" descr="What is Standard Causal Model of 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Standard Causal Model of HR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3415" cy="2056765"/>
                    </a:xfrm>
                    <a:prstGeom prst="rect">
                      <a:avLst/>
                    </a:prstGeom>
                    <a:noFill/>
                    <a:ln>
                      <a:noFill/>
                    </a:ln>
                  </pic:spPr>
                </pic:pic>
              </a:graphicData>
            </a:graphic>
          </wp:inline>
        </w:drawing>
      </w:r>
    </w:p>
    <w:p w14:paraId="05AE3B01" w14:textId="55761369" w:rsidR="00267877" w:rsidRPr="00FD6692" w:rsidRDefault="00267877" w:rsidP="00FD6692">
      <w:pPr>
        <w:pStyle w:val="Caption"/>
        <w:spacing w:line="360" w:lineRule="auto"/>
        <w:jc w:val="center"/>
        <w:rPr>
          <w:rFonts w:ascii="Times New Roman" w:hAnsi="Times New Roman" w:cs="Times New Roman"/>
          <w:i w:val="0"/>
          <w:iCs w:val="0"/>
          <w:color w:val="auto"/>
          <w:sz w:val="36"/>
          <w:szCs w:val="36"/>
        </w:rPr>
      </w:pPr>
      <w:bookmarkStart w:id="12" w:name="_Toc132225015"/>
      <w:r w:rsidRPr="00FD6692">
        <w:rPr>
          <w:rFonts w:ascii="Times New Roman" w:hAnsi="Times New Roman" w:cs="Times New Roman"/>
          <w:i w:val="0"/>
          <w:iCs w:val="0"/>
          <w:color w:val="auto"/>
          <w:sz w:val="24"/>
          <w:szCs w:val="24"/>
        </w:rPr>
        <w:t xml:space="preserve">Figure </w:t>
      </w:r>
      <w:r w:rsidRPr="00FD6692">
        <w:rPr>
          <w:rFonts w:ascii="Times New Roman" w:hAnsi="Times New Roman" w:cs="Times New Roman"/>
          <w:i w:val="0"/>
          <w:iCs w:val="0"/>
          <w:color w:val="auto"/>
          <w:sz w:val="24"/>
          <w:szCs w:val="24"/>
        </w:rPr>
        <w:fldChar w:fldCharType="begin"/>
      </w:r>
      <w:r w:rsidRPr="00FD6692">
        <w:rPr>
          <w:rFonts w:ascii="Times New Roman" w:hAnsi="Times New Roman" w:cs="Times New Roman"/>
          <w:i w:val="0"/>
          <w:iCs w:val="0"/>
          <w:color w:val="auto"/>
          <w:sz w:val="24"/>
          <w:szCs w:val="24"/>
        </w:rPr>
        <w:instrText xml:space="preserve"> SEQ Figure \* ARABIC </w:instrText>
      </w:r>
      <w:r w:rsidRPr="00FD6692">
        <w:rPr>
          <w:rFonts w:ascii="Times New Roman" w:hAnsi="Times New Roman" w:cs="Times New Roman"/>
          <w:i w:val="0"/>
          <w:iCs w:val="0"/>
          <w:color w:val="auto"/>
          <w:sz w:val="24"/>
          <w:szCs w:val="24"/>
        </w:rPr>
        <w:fldChar w:fldCharType="separate"/>
      </w:r>
      <w:r w:rsidRPr="00FD6692">
        <w:rPr>
          <w:rFonts w:ascii="Times New Roman" w:hAnsi="Times New Roman" w:cs="Times New Roman"/>
          <w:i w:val="0"/>
          <w:iCs w:val="0"/>
          <w:noProof/>
          <w:color w:val="auto"/>
          <w:sz w:val="24"/>
          <w:szCs w:val="24"/>
        </w:rPr>
        <w:t>8</w:t>
      </w:r>
      <w:r w:rsidRPr="00FD6692">
        <w:rPr>
          <w:rFonts w:ascii="Times New Roman" w:hAnsi="Times New Roman" w:cs="Times New Roman"/>
          <w:i w:val="0"/>
          <w:iCs w:val="0"/>
          <w:color w:val="auto"/>
          <w:sz w:val="24"/>
          <w:szCs w:val="24"/>
        </w:rPr>
        <w:fldChar w:fldCharType="end"/>
      </w:r>
      <w:r w:rsidRPr="00FD6692">
        <w:rPr>
          <w:rFonts w:ascii="Times New Roman" w:hAnsi="Times New Roman" w:cs="Times New Roman"/>
          <w:i w:val="0"/>
          <w:iCs w:val="0"/>
          <w:color w:val="auto"/>
          <w:sz w:val="24"/>
          <w:szCs w:val="24"/>
        </w:rPr>
        <w:t>: Federated Model</w:t>
      </w:r>
      <w:bookmarkEnd w:id="12"/>
    </w:p>
    <w:p w14:paraId="70C89009" w14:textId="67C48C8F" w:rsidR="00267877" w:rsidRPr="009E2365" w:rsidRDefault="00267877" w:rsidP="00267877">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9E2365">
        <w:rPr>
          <w:rFonts w:ascii="Times New Roman" w:hAnsi="Times New Roman" w:cs="Times New Roman"/>
          <w:sz w:val="24"/>
          <w:szCs w:val="24"/>
          <w:highlight w:val="white"/>
        </w:rPr>
        <w:t>Bertola et al., 2023</w:t>
      </w:r>
      <w:r>
        <w:rPr>
          <w:rFonts w:ascii="Times New Roman" w:hAnsi="Times New Roman" w:cs="Times New Roman"/>
          <w:sz w:val="24"/>
          <w:szCs w:val="24"/>
        </w:rPr>
        <w:t>)</w:t>
      </w:r>
    </w:p>
    <w:p w14:paraId="00000061"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Major advantages of this traditional HRM model have enhanced accountability, and ownership as human resources of British Gas is discovered within the various business units of this organisation (</w:t>
      </w:r>
      <w:r w:rsidRPr="009E2365">
        <w:rPr>
          <w:rFonts w:ascii="Times New Roman" w:hAnsi="Times New Roman" w:cs="Times New Roman"/>
          <w:sz w:val="24"/>
          <w:szCs w:val="24"/>
          <w:highlight w:val="white"/>
        </w:rPr>
        <w:t>Mo et al., 2022)</w:t>
      </w:r>
      <w:r w:rsidRPr="009E2365">
        <w:rPr>
          <w:rFonts w:ascii="Times New Roman" w:hAnsi="Times New Roman" w:cs="Times New Roman"/>
          <w:sz w:val="24"/>
          <w:szCs w:val="24"/>
        </w:rPr>
        <w:t xml:space="preserve">. It also provides elasticity while influencing scale with the help of standardisation and also better and developed technologies. </w:t>
      </w:r>
    </w:p>
    <w:p w14:paraId="00000062"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Enhance accountability and ownership</w:t>
      </w:r>
    </w:p>
    <w:p w14:paraId="00000063"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The model proposes accountability along with ownership and within every federation of British Gas, HR is noticed as a function. Implementing this model allows the HR of British Gas to reduce sustainability issues. Enhanced accountability and ownership allow all the employees of this organisation to be more skilled (</w:t>
      </w:r>
      <w:r w:rsidRPr="009E2365">
        <w:rPr>
          <w:rFonts w:ascii="Times New Roman" w:hAnsi="Times New Roman" w:cs="Times New Roman"/>
          <w:sz w:val="24"/>
          <w:szCs w:val="24"/>
          <w:highlight w:val="white"/>
        </w:rPr>
        <w:t>Bertola et al., 2023)</w:t>
      </w:r>
      <w:r w:rsidRPr="009E2365">
        <w:rPr>
          <w:rFonts w:ascii="Times New Roman" w:hAnsi="Times New Roman" w:cs="Times New Roman"/>
          <w:sz w:val="24"/>
          <w:szCs w:val="24"/>
        </w:rPr>
        <w:t>. It also boosts the confidence of the employees and also makes them realise that their contribution is an important part of the further growth of British Gas. Besides, with increased ownership, the human resource department provides diversified along with challenging tasks which ensure the growth of the employees as well as the betterment of British Gas.</w:t>
      </w:r>
    </w:p>
    <w:p w14:paraId="00000064"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Flexible and adaptable</w:t>
      </w:r>
    </w:p>
    <w:p w14:paraId="00000065"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This traditional human resource management model is adaptable and also flexible to this organisation. Employees, HR, as well as the employers of this organisation, can identify the issues and the appropriate solutions easily by using this model (</w:t>
      </w:r>
      <w:r w:rsidRPr="009E2365">
        <w:rPr>
          <w:rFonts w:ascii="Times New Roman" w:hAnsi="Times New Roman" w:cs="Times New Roman"/>
          <w:sz w:val="24"/>
          <w:szCs w:val="24"/>
          <w:highlight w:val="white"/>
        </w:rPr>
        <w:t>Sang et al., 2022)</w:t>
      </w:r>
      <w:r w:rsidRPr="009E2365">
        <w:rPr>
          <w:rFonts w:ascii="Times New Roman" w:hAnsi="Times New Roman" w:cs="Times New Roman"/>
          <w:sz w:val="24"/>
          <w:szCs w:val="24"/>
        </w:rPr>
        <w:t>. As this model is flexible to the requirements of the organisation it helps HR to convey ideas to the workers easily (</w:t>
      </w:r>
      <w:r w:rsidRPr="009E2365">
        <w:rPr>
          <w:rFonts w:ascii="Times New Roman" w:hAnsi="Times New Roman" w:cs="Times New Roman"/>
          <w:sz w:val="24"/>
          <w:szCs w:val="24"/>
          <w:highlight w:val="white"/>
        </w:rPr>
        <w:t>O’Sullivan et al., 2021)</w:t>
      </w:r>
      <w:r w:rsidRPr="009E2365">
        <w:rPr>
          <w:rFonts w:ascii="Times New Roman" w:hAnsi="Times New Roman" w:cs="Times New Roman"/>
          <w:sz w:val="24"/>
          <w:szCs w:val="24"/>
        </w:rPr>
        <w:t>. That helps employees to be confident about their work process. Additionally, the adaptability of this traditional model requires less period to be applied. HR can design faster learning processes with the help of the flexibility of this traditional model.</w:t>
      </w:r>
    </w:p>
    <w:p w14:paraId="00000066"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b/>
          <w:sz w:val="24"/>
          <w:szCs w:val="24"/>
        </w:rPr>
        <w:t>Influence scale</w:t>
      </w:r>
    </w:p>
    <w:p w14:paraId="00000067" w14:textId="575E7E3B"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lastRenderedPageBreak/>
        <w:t>The federated model still influences scale via allotted technologies along with sharing genuine costs between the organisation to save money (</w:t>
      </w:r>
      <w:r w:rsidRPr="009E2365">
        <w:rPr>
          <w:rFonts w:ascii="Times New Roman" w:hAnsi="Times New Roman" w:cs="Times New Roman"/>
          <w:sz w:val="24"/>
          <w:szCs w:val="24"/>
          <w:highlight w:val="white"/>
        </w:rPr>
        <w:t>Wright, 2022)</w:t>
      </w:r>
      <w:r w:rsidRPr="009E2365">
        <w:rPr>
          <w:rFonts w:ascii="Times New Roman" w:hAnsi="Times New Roman" w:cs="Times New Roman"/>
          <w:sz w:val="24"/>
          <w:szCs w:val="24"/>
        </w:rPr>
        <w:t>. HR can achieve the ability to access different improved technologies.</w:t>
      </w:r>
      <w:r w:rsidR="00267877">
        <w:rPr>
          <w:rFonts w:ascii="Times New Roman" w:hAnsi="Times New Roman" w:cs="Times New Roman"/>
          <w:sz w:val="24"/>
          <w:szCs w:val="24"/>
        </w:rPr>
        <w:t xml:space="preserve"> </w:t>
      </w:r>
      <w:r w:rsidRPr="009E2365">
        <w:rPr>
          <w:rFonts w:ascii="Times New Roman" w:hAnsi="Times New Roman" w:cs="Times New Roman"/>
          <w:sz w:val="24"/>
          <w:szCs w:val="24"/>
        </w:rPr>
        <w:t>Moreover, sharing genuine costs helps to set transparency among the workers of the renowned energy service provider of the United Kingdom.</w:t>
      </w:r>
    </w:p>
    <w:p w14:paraId="0000006A" w14:textId="018F8B81" w:rsidR="00FE2243" w:rsidRPr="009E2365" w:rsidRDefault="00000000" w:rsidP="001E0B13">
      <w:pPr>
        <w:pStyle w:val="Heading1"/>
      </w:pPr>
      <w:bookmarkStart w:id="13" w:name="_Toc132225152"/>
      <w:r w:rsidRPr="009E2365">
        <w:t>Conclusion</w:t>
      </w:r>
      <w:bookmarkEnd w:id="13"/>
    </w:p>
    <w:p w14:paraId="0000006B" w14:textId="77777777" w:rsidR="00FE2243" w:rsidRPr="009E2365" w:rsidRDefault="00000000" w:rsidP="009E2365">
      <w:pPr>
        <w:pStyle w:val="Normal1"/>
        <w:spacing w:line="360" w:lineRule="auto"/>
        <w:jc w:val="both"/>
        <w:rPr>
          <w:rFonts w:ascii="Times New Roman" w:hAnsi="Times New Roman" w:cs="Times New Roman"/>
          <w:sz w:val="24"/>
          <w:szCs w:val="24"/>
        </w:rPr>
      </w:pPr>
      <w:r w:rsidRPr="009E2365">
        <w:rPr>
          <w:rFonts w:ascii="Times New Roman" w:hAnsi="Times New Roman" w:cs="Times New Roman"/>
          <w:sz w:val="24"/>
          <w:szCs w:val="24"/>
        </w:rPr>
        <w:t>The company British Gas had faced a tremendous controversy related to their changes in the employment terms and conditions years back. Their long disputes with the boiler engineers resulted in several strikes in their company that caused issues in generating their revenues and profitability from the gas business. The professional relationship between the employers and the employees is very significant to manage the long-term sustainability of any company and these unlawful steps provoke the engineers to start a strike against the company. The rights of the employees are very significant to protect and secure the above-mentioned company and breaches of the contractual employment terms can cause severe changes in the productivity of every individual employee. From this assignment, it can be concluded that the company needs to adopt some significant changes in its decision-making process by involving the HRM and HRW. The rights that are already set in the employment rights of the UK government to secure employee rights in every business need to be followed carefully. The fire and rehire strategy of this British gas company have impacted badly the employees and that is the reason that the company faces significant controversies which affect its reputation in the UK business market.</w:t>
      </w:r>
    </w:p>
    <w:p w14:paraId="0000006C" w14:textId="77777777" w:rsidR="00FE2243" w:rsidRPr="009E2365" w:rsidRDefault="00000000" w:rsidP="009E2365">
      <w:pPr>
        <w:pStyle w:val="Normal1"/>
        <w:spacing w:before="240" w:after="240" w:line="360" w:lineRule="auto"/>
        <w:jc w:val="both"/>
        <w:rPr>
          <w:rFonts w:ascii="Times New Roman" w:hAnsi="Times New Roman" w:cs="Times New Roman"/>
          <w:sz w:val="24"/>
          <w:szCs w:val="24"/>
        </w:rPr>
      </w:pPr>
      <w:r w:rsidRPr="009E2365">
        <w:rPr>
          <w:rFonts w:ascii="Times New Roman" w:hAnsi="Times New Roman" w:cs="Times New Roman"/>
          <w:sz w:val="24"/>
          <w:szCs w:val="24"/>
        </w:rPr>
        <w:t xml:space="preserve"> </w:t>
      </w:r>
    </w:p>
    <w:p w14:paraId="0000006D" w14:textId="77777777" w:rsidR="00FE2243" w:rsidRPr="009E2365" w:rsidRDefault="00000000" w:rsidP="009E2365">
      <w:pPr>
        <w:pStyle w:val="Normal1"/>
        <w:spacing w:line="360" w:lineRule="auto"/>
        <w:jc w:val="both"/>
        <w:rPr>
          <w:rFonts w:ascii="Times New Roman" w:hAnsi="Times New Roman" w:cs="Times New Roman"/>
          <w:b/>
          <w:sz w:val="24"/>
          <w:szCs w:val="24"/>
        </w:rPr>
      </w:pPr>
      <w:r w:rsidRPr="009E2365">
        <w:rPr>
          <w:rFonts w:ascii="Times New Roman" w:hAnsi="Times New Roman" w:cs="Times New Roman"/>
          <w:sz w:val="24"/>
          <w:szCs w:val="24"/>
        </w:rPr>
        <w:t xml:space="preserve"> </w:t>
      </w:r>
    </w:p>
    <w:p w14:paraId="0000006E" w14:textId="77777777" w:rsidR="00FE2243" w:rsidRPr="009E2365" w:rsidRDefault="00FE2243" w:rsidP="009E2365">
      <w:pPr>
        <w:pStyle w:val="Normal1"/>
        <w:spacing w:line="360" w:lineRule="auto"/>
        <w:jc w:val="both"/>
        <w:rPr>
          <w:rFonts w:ascii="Times New Roman" w:hAnsi="Times New Roman" w:cs="Times New Roman"/>
          <w:b/>
          <w:sz w:val="24"/>
          <w:szCs w:val="24"/>
        </w:rPr>
      </w:pPr>
    </w:p>
    <w:p w14:paraId="1C49086C" w14:textId="77777777" w:rsidR="009E2365" w:rsidRDefault="009E2365">
      <w:pPr>
        <w:rPr>
          <w:rFonts w:ascii="Times New Roman" w:hAnsi="Times New Roman" w:cs="Times New Roman"/>
          <w:b/>
          <w:sz w:val="24"/>
          <w:szCs w:val="24"/>
        </w:rPr>
      </w:pPr>
      <w:r>
        <w:rPr>
          <w:rFonts w:ascii="Times New Roman" w:hAnsi="Times New Roman" w:cs="Times New Roman"/>
          <w:b/>
          <w:sz w:val="24"/>
          <w:szCs w:val="24"/>
        </w:rPr>
        <w:br w:type="page"/>
      </w:r>
    </w:p>
    <w:p w14:paraId="0000006F" w14:textId="7AE7738E" w:rsidR="00FE2243" w:rsidRPr="009E2365" w:rsidRDefault="00000000" w:rsidP="001E0B13">
      <w:pPr>
        <w:pStyle w:val="Heading1"/>
      </w:pPr>
      <w:bookmarkStart w:id="14" w:name="_Toc132225153"/>
      <w:r w:rsidRPr="009E2365">
        <w:lastRenderedPageBreak/>
        <w:t>Reference List</w:t>
      </w:r>
      <w:bookmarkEnd w:id="14"/>
      <w:r w:rsidRPr="009E2365">
        <w:t xml:space="preserve"> </w:t>
      </w:r>
    </w:p>
    <w:p w14:paraId="2ECE8B3C" w14:textId="49B98C76" w:rsidR="00194370" w:rsidRPr="00194370" w:rsidRDefault="00194370" w:rsidP="00BD488D">
      <w:pPr>
        <w:spacing w:line="360" w:lineRule="auto"/>
        <w:jc w:val="both"/>
        <w:rPr>
          <w:rFonts w:ascii="Times New Roman" w:hAnsi="Times New Roman" w:cs="Times New Roman"/>
          <w:sz w:val="24"/>
          <w:szCs w:val="24"/>
          <w:highlight w:val="white"/>
        </w:rPr>
      </w:pPr>
      <w:r w:rsidRPr="00194370">
        <w:rPr>
          <w:rFonts w:ascii="Times New Roman" w:hAnsi="Times New Roman" w:cs="Times New Roman"/>
          <w:sz w:val="24"/>
          <w:szCs w:val="24"/>
          <w:shd w:val="clear" w:color="auto" w:fill="FFFFFF"/>
        </w:rPr>
        <w:t>Belizón, M.J. and Kieran, S., 2022. Human resources analytics: A legitimacy process. </w:t>
      </w:r>
      <w:r w:rsidRPr="00194370">
        <w:rPr>
          <w:rFonts w:ascii="Times New Roman" w:hAnsi="Times New Roman" w:cs="Times New Roman"/>
          <w:i/>
          <w:iCs/>
          <w:sz w:val="24"/>
          <w:szCs w:val="24"/>
          <w:shd w:val="clear" w:color="auto" w:fill="FFFFFF"/>
        </w:rPr>
        <w:t>Human Resource Management Journal</w:t>
      </w:r>
      <w:r w:rsidRPr="00194370">
        <w:rPr>
          <w:rFonts w:ascii="Times New Roman" w:hAnsi="Times New Roman" w:cs="Times New Roman"/>
          <w:sz w:val="24"/>
          <w:szCs w:val="24"/>
          <w:shd w:val="clear" w:color="auto" w:fill="FFFFFF"/>
        </w:rPr>
        <w:t>, </w:t>
      </w:r>
      <w:r w:rsidRPr="00194370">
        <w:rPr>
          <w:rFonts w:ascii="Times New Roman" w:hAnsi="Times New Roman" w:cs="Times New Roman"/>
          <w:i/>
          <w:iCs/>
          <w:sz w:val="24"/>
          <w:szCs w:val="24"/>
          <w:shd w:val="clear" w:color="auto" w:fill="FFFFFF"/>
        </w:rPr>
        <w:t>32</w:t>
      </w:r>
      <w:r w:rsidRPr="00194370">
        <w:rPr>
          <w:rFonts w:ascii="Times New Roman" w:hAnsi="Times New Roman" w:cs="Times New Roman"/>
          <w:sz w:val="24"/>
          <w:szCs w:val="24"/>
          <w:shd w:val="clear" w:color="auto" w:fill="FFFFFF"/>
        </w:rPr>
        <w:t>(3), pp.603-630.</w:t>
      </w:r>
      <w:r w:rsidRPr="00194370">
        <w:rPr>
          <w:rFonts w:ascii="Times New Roman" w:hAnsi="Times New Roman" w:cs="Times New Roman"/>
          <w:sz w:val="24"/>
          <w:szCs w:val="24"/>
          <w:shd w:val="clear" w:color="auto" w:fill="FFFFFF"/>
        </w:rPr>
        <w:t xml:space="preserve"> Available at: </w:t>
      </w:r>
      <w:hyperlink r:id="rId24" w:history="1">
        <w:r w:rsidRPr="00194370">
          <w:rPr>
            <w:rStyle w:val="Hyperlink"/>
            <w:rFonts w:ascii="Times New Roman" w:hAnsi="Times New Roman" w:cs="Times New Roman"/>
            <w:sz w:val="24"/>
            <w:szCs w:val="24"/>
            <w:shd w:val="clear" w:color="auto" w:fill="FFFFFF"/>
          </w:rPr>
          <w:t>https://onlinelibrary.wiley.com/doi/pdf/10.1111/1748-8583.12417</w:t>
        </w:r>
      </w:hyperlink>
      <w:r w:rsidRPr="00194370">
        <w:rPr>
          <w:rFonts w:ascii="Times New Roman" w:hAnsi="Times New Roman" w:cs="Times New Roman"/>
          <w:color w:val="222222"/>
          <w:sz w:val="20"/>
          <w:szCs w:val="20"/>
          <w:shd w:val="clear" w:color="auto" w:fill="FFFFFF"/>
        </w:rPr>
        <w:t xml:space="preserve"> </w:t>
      </w:r>
    </w:p>
    <w:p w14:paraId="3EE4D0C5" w14:textId="52DACBF0"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Bertola, G., Blau, F.D. and Kahn, L.M., 2023. Labor market institutions and demographic employment patterns. In Global Labour in Distress, Volume II: Earnings,(In) decent Work and Institutions (pp. 477-527). Cham: Springer International Publishing. Available at: </w:t>
      </w:r>
      <w:hyperlink r:id="rId25">
        <w:r w:rsidRPr="00BD488D">
          <w:rPr>
            <w:rStyle w:val="Hyperlink"/>
            <w:rFonts w:ascii="Times New Roman" w:hAnsi="Times New Roman" w:cs="Times New Roman"/>
            <w:sz w:val="24"/>
            <w:szCs w:val="24"/>
            <w:highlight w:val="white"/>
          </w:rPr>
          <w:t>https://www.nber.org/system/files/working_papers/w9043/w9043.pdf</w:t>
        </w:r>
      </w:hyperlink>
    </w:p>
    <w:p w14:paraId="6B29EA75"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Black, E.L., 2021. The Reset: Connecting Internal Crisis Communication Strategy with Post-Pandemic Remote Worker Populations through an Employee Engagement Framework. Liberty University. Available at: </w:t>
      </w:r>
      <w:hyperlink r:id="rId26">
        <w:r w:rsidRPr="00BD488D">
          <w:rPr>
            <w:rStyle w:val="Hyperlink"/>
            <w:rFonts w:ascii="Times New Roman" w:hAnsi="Times New Roman" w:cs="Times New Roman"/>
            <w:sz w:val="24"/>
            <w:szCs w:val="24"/>
            <w:highlight w:val="white"/>
          </w:rPr>
          <w:t>https://digitalcommons.liberty.edu/cgi/viewcontent.cgi?article=4084&amp;context=doctoral</w:t>
        </w:r>
      </w:hyperlink>
    </w:p>
    <w:p w14:paraId="19708DC9" w14:textId="38D0EAE4" w:rsidR="00466FAC" w:rsidRPr="00466FAC" w:rsidRDefault="00466FAC" w:rsidP="00466FAC">
      <w:pPr>
        <w:pStyle w:val="NormalWeb"/>
        <w:spacing w:before="0" w:beforeAutospacing="0" w:after="0" w:afterAutospacing="0" w:line="360" w:lineRule="auto"/>
        <w:jc w:val="both"/>
        <w:rPr>
          <w:color w:val="000000"/>
          <w:sz w:val="27"/>
          <w:szCs w:val="27"/>
        </w:rPr>
      </w:pPr>
      <w:r w:rsidRPr="00466FAC">
        <w:rPr>
          <w:color w:val="000000"/>
        </w:rPr>
        <w:t>Rosenblatt.</w:t>
      </w:r>
      <w:r w:rsidRPr="00466FAC">
        <w:rPr>
          <w:color w:val="000000"/>
        </w:rPr>
        <w:t>,</w:t>
      </w:r>
      <w:r w:rsidRPr="00466FAC">
        <w:rPr>
          <w:color w:val="000000"/>
        </w:rPr>
        <w:t xml:space="preserve"> (2021). </w:t>
      </w:r>
      <w:r w:rsidRPr="00466FAC">
        <w:rPr>
          <w:i/>
          <w:iCs/>
          <w:color w:val="000000"/>
        </w:rPr>
        <w:t>British Gas ‘fire and rehire’ boiler engineers resulting in mass dismissals – Unfair Dismissal?</w:t>
      </w:r>
      <w:r w:rsidRPr="00466FAC">
        <w:rPr>
          <w:color w:val="000000"/>
        </w:rPr>
        <w:t xml:space="preserve"> [online] Available at: </w:t>
      </w:r>
      <w:hyperlink r:id="rId27" w:history="1">
        <w:r w:rsidRPr="00466FAC">
          <w:rPr>
            <w:rStyle w:val="Hyperlink"/>
          </w:rPr>
          <w:t>https://www.rosenblatt-law.co.uk/insight/british-gas-fire-and-rehire-boiler-engineers-resulting-in-mass-dismissals-unfair-dismissal/</w:t>
        </w:r>
      </w:hyperlink>
      <w:r w:rsidRPr="00466FAC">
        <w:rPr>
          <w:color w:val="000000"/>
        </w:rPr>
        <w:t>.</w:t>
      </w:r>
      <w:r w:rsidRPr="00466FAC">
        <w:rPr>
          <w:color w:val="000000"/>
          <w:sz w:val="27"/>
          <w:szCs w:val="27"/>
        </w:rPr>
        <w:t xml:space="preserve"> </w:t>
      </w:r>
    </w:p>
    <w:p w14:paraId="27F200C0" w14:textId="31042F12" w:rsidR="009E2365" w:rsidRPr="00BD488D" w:rsidRDefault="00466FAC" w:rsidP="00466FAC">
      <w:pPr>
        <w:pStyle w:val="NormalWeb"/>
        <w:rPr>
          <w:highlight w:val="white"/>
        </w:rPr>
      </w:pPr>
      <w:r>
        <w:rPr>
          <w:rFonts w:ascii="Calibri" w:hAnsi="Calibri" w:cs="Calibri"/>
          <w:color w:val="000000"/>
          <w:sz w:val="27"/>
          <w:szCs w:val="27"/>
        </w:rPr>
        <w:t>‌</w:t>
      </w:r>
      <w:r w:rsidR="009E2365" w:rsidRPr="00BD488D">
        <w:rPr>
          <w:highlight w:val="white"/>
        </w:rPr>
        <w:t xml:space="preserve">Bryan, P., 2021. The future of the union. Renewal (0968252X), 29(2). Available at: </w:t>
      </w:r>
      <w:hyperlink r:id="rId28">
        <w:r w:rsidR="009E2365" w:rsidRPr="00BD488D">
          <w:rPr>
            <w:rStyle w:val="Hyperlink"/>
            <w:highlight w:val="white"/>
          </w:rPr>
          <w:t>https://renewal.org.uk/wp-content/uploads/2021/07/10-Renewal-29.2_Bryan.pdf</w:t>
        </w:r>
      </w:hyperlink>
    </w:p>
    <w:p w14:paraId="0A137B41"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Cini, L., Maccarrone, V. and Tassinari, A., 2022. With or without U (nions)? Understanding the diversity of gig workers’ organizing practices in Italy and the UK. European Journal of Industrial Relations, 28(3), pp.341-362. Available at: </w:t>
      </w:r>
      <w:hyperlink r:id="rId29">
        <w:r w:rsidRPr="00BD488D">
          <w:rPr>
            <w:rStyle w:val="Hyperlink"/>
            <w:rFonts w:ascii="Times New Roman" w:hAnsi="Times New Roman" w:cs="Times New Roman"/>
            <w:sz w:val="24"/>
            <w:szCs w:val="24"/>
            <w:highlight w:val="white"/>
          </w:rPr>
          <w:t>https://journals.sagepub.com/doi/pdf/10.1177/09596801211052531</w:t>
        </w:r>
      </w:hyperlink>
    </w:p>
    <w:p w14:paraId="286C1441"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Cottle, D., 2021. Improving students’ mathematical skills in secondary science: ideas from mathematics pedagogy. School Science Review, 102(381), pp.61-64. Available at: </w:t>
      </w:r>
      <w:hyperlink r:id="rId30">
        <w:r w:rsidRPr="00BD488D">
          <w:rPr>
            <w:rStyle w:val="Hyperlink"/>
            <w:rFonts w:ascii="Times New Roman" w:hAnsi="Times New Roman" w:cs="Times New Roman"/>
            <w:sz w:val="24"/>
            <w:szCs w:val="24"/>
            <w:highlight w:val="white"/>
          </w:rPr>
          <w:t>http://pure-oai.bham.ac.uk/ws/files/136165217/SSR_June_2021_61_64_Cottle.pdf</w:t>
        </w:r>
      </w:hyperlink>
    </w:p>
    <w:p w14:paraId="5551B876"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Crossdale, R., Foster, L. and Walker, A., 2022. Comparative Report on the National Policies and Political-Economic Context of Germany, Poland, Sweden, and the UK. Linköping University Electronic Press. Available at: </w:t>
      </w:r>
      <w:hyperlink r:id="rId31">
        <w:r w:rsidRPr="00BD488D">
          <w:rPr>
            <w:rStyle w:val="Hyperlink"/>
            <w:rFonts w:ascii="Times New Roman" w:hAnsi="Times New Roman" w:cs="Times New Roman"/>
            <w:sz w:val="24"/>
            <w:szCs w:val="24"/>
            <w:highlight w:val="white"/>
          </w:rPr>
          <w:t>https://www.diva-portal.org/smash/get/diva2:1654429/FULLTEXT01.pdf</w:t>
        </w:r>
      </w:hyperlink>
    </w:p>
    <w:p w14:paraId="3B1E5F35"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Cruddas, J., 2022. The Political Economy Of Left And Right Populism. National Institute Economic Review, 259, pp.10-19. Available at: </w:t>
      </w:r>
      <w:hyperlink r:id="rId32">
        <w:r w:rsidRPr="00BD488D">
          <w:rPr>
            <w:rStyle w:val="Hyperlink"/>
            <w:rFonts w:ascii="Times New Roman" w:hAnsi="Times New Roman" w:cs="Times New Roman"/>
            <w:sz w:val="24"/>
            <w:szCs w:val="24"/>
            <w:highlight w:val="white"/>
          </w:rPr>
          <w:t>https://web.archive.org/web/20220611094219id_/https://www.cambridge.org/core/services/aop-cambridge-</w:t>
        </w:r>
        <w:r w:rsidRPr="00BD488D">
          <w:rPr>
            <w:rStyle w:val="Hyperlink"/>
            <w:rFonts w:ascii="Times New Roman" w:hAnsi="Times New Roman" w:cs="Times New Roman"/>
            <w:sz w:val="24"/>
            <w:szCs w:val="24"/>
            <w:highlight w:val="white"/>
          </w:rPr>
          <w:lastRenderedPageBreak/>
          <w:t>core/content/view/AD632019F642D143CC06A5EECAA6E468/S0027950122000060a.pdf/div-class-title-the-political-economy-of-left-and-right-populism-div.pdf</w:t>
        </w:r>
      </w:hyperlink>
    </w:p>
    <w:p w14:paraId="17375404" w14:textId="77777777" w:rsidR="009E2365" w:rsidRPr="00BD488D" w:rsidRDefault="009E2365" w:rsidP="00BD488D">
      <w:pPr>
        <w:spacing w:line="360" w:lineRule="auto"/>
        <w:jc w:val="both"/>
        <w:rPr>
          <w:rFonts w:ascii="Times New Roman" w:hAnsi="Times New Roman" w:cs="Times New Roman"/>
          <w:sz w:val="24"/>
          <w:szCs w:val="24"/>
        </w:rPr>
      </w:pPr>
      <w:r w:rsidRPr="00BD488D">
        <w:rPr>
          <w:rFonts w:ascii="Times New Roman" w:hAnsi="Times New Roman" w:cs="Times New Roman"/>
          <w:sz w:val="24"/>
          <w:szCs w:val="24"/>
          <w:highlight w:val="white"/>
        </w:rPr>
        <w:t xml:space="preserve">Dagilyte, E., Drydakis, N., Gillin, N., Greenfields, M., Noble, A., Paraskevopoulou, A. and Smith, D.M., 2022. Submission to the Business, Energy and Industrial Strategy Committee’s Inquiry ‘Post-pandemic economic growth: UK labour markets’. Available at: </w:t>
      </w:r>
      <w:hyperlink r:id="rId33">
        <w:r w:rsidRPr="00BD488D">
          <w:rPr>
            <w:rStyle w:val="Hyperlink"/>
            <w:rFonts w:ascii="Times New Roman" w:hAnsi="Times New Roman" w:cs="Times New Roman"/>
            <w:sz w:val="24"/>
            <w:szCs w:val="24"/>
            <w:highlight w:val="white"/>
          </w:rPr>
          <w:t>https://arro.anglia.ac.uk/id/eprint/707752/6/Dagilyte_et_al_2022.pdf</w:t>
        </w:r>
      </w:hyperlink>
    </w:p>
    <w:p w14:paraId="409ED62D" w14:textId="1D845C03"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Dashper, K. and Finkel, R., (2020, August). Accessibility, diversity, and inclusion in the UK meetings industry. In Journal of Convention &amp; Event Tourism (Vol. 21, No. 4, pp. 283-307). Routledge. Available at: </w:t>
      </w:r>
      <w:hyperlink r:id="rId34">
        <w:r w:rsidRPr="00BD488D">
          <w:rPr>
            <w:rStyle w:val="Hyperlink"/>
            <w:rFonts w:ascii="Times New Roman" w:hAnsi="Times New Roman" w:cs="Times New Roman"/>
            <w:sz w:val="24"/>
            <w:szCs w:val="24"/>
            <w:highlight w:val="white"/>
          </w:rPr>
          <w:t>https://eresearch.qmu.ac.uk/bitstream/handle/20.500.12289/10683/10683.pdf?sequence=1&amp;isAllowed=n</w:t>
        </w:r>
      </w:hyperlink>
    </w:p>
    <w:p w14:paraId="288B4315"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Davies, J.M., Brighton, L.J., Reedy, F. and Bajwah, S., 2022. Maternity provision, contract status, and likelihood of returning to work: Evidence from research intensive universities in the UK. Gender, Work &amp; Organization, 29(5), pp.1495-1510. Available at: </w:t>
      </w:r>
      <w:hyperlink r:id="rId35">
        <w:r w:rsidRPr="00BD488D">
          <w:rPr>
            <w:rStyle w:val="Hyperlink"/>
            <w:rFonts w:ascii="Times New Roman" w:hAnsi="Times New Roman" w:cs="Times New Roman"/>
            <w:sz w:val="24"/>
            <w:szCs w:val="24"/>
            <w:highlight w:val="white"/>
          </w:rPr>
          <w:t>https://onlinelibrary.wiley.com/doi/pdf/10.1111/gwao.12843</w:t>
        </w:r>
      </w:hyperlink>
    </w:p>
    <w:p w14:paraId="01994217"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Dobbins, T., 2022. Good work: policy and research on the quality of work in the UK. available at: </w:t>
      </w:r>
      <w:hyperlink r:id="rId36">
        <w:r w:rsidRPr="00BD488D">
          <w:rPr>
            <w:rStyle w:val="Hyperlink"/>
            <w:rFonts w:ascii="Times New Roman" w:hAnsi="Times New Roman" w:cs="Times New Roman"/>
            <w:sz w:val="24"/>
            <w:szCs w:val="24"/>
            <w:highlight w:val="white"/>
          </w:rPr>
          <w:t>http://pure-oai.bham.ac.uk/ws/portalfiles/portal/180159610/CBP_9561_Dobbins_Good_Work.pdf</w:t>
        </w:r>
      </w:hyperlink>
    </w:p>
    <w:p w14:paraId="6F892E71"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Farina, E., Green, C. and McVicar, D., 2021. Are Estimates of Non‐Standard Employment Wage Penalties Robust to Different Wage Measures? The Case of Zero‐hour Contracts in the UK. Industrial Relations: A Journal of Economy and Society, 60(3), pp.370-399. Available at: https://onlinelibrary.wiley.com/doi/pdfdirect/10.1111/irel.12284</w:t>
      </w:r>
    </w:p>
    <w:p w14:paraId="0D8C8069"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Goodwin, J., 2020. The employee voice of older local government workers: a critical perspective (Doctoral dissertation, Sheffield Hallam University). Available at: </w:t>
      </w:r>
      <w:hyperlink r:id="rId37">
        <w:r w:rsidRPr="00BD488D">
          <w:rPr>
            <w:rStyle w:val="Hyperlink"/>
            <w:rFonts w:ascii="Times New Roman" w:hAnsi="Times New Roman" w:cs="Times New Roman"/>
            <w:sz w:val="24"/>
            <w:szCs w:val="24"/>
            <w:highlight w:val="white"/>
          </w:rPr>
          <w:t>https://shura.shu.ac.uk/28658/1/Goodwin_2020_PhD_EmployeeVoiceOlder_edited.pdf</w:t>
        </w:r>
      </w:hyperlink>
    </w:p>
    <w:p w14:paraId="6226E654"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Harrison, D., Procter, S. and McKinlay, A., 2022. Engineering Futures. Available at: </w:t>
      </w:r>
      <w:hyperlink r:id="rId38">
        <w:r w:rsidRPr="00BD488D">
          <w:rPr>
            <w:rStyle w:val="Hyperlink"/>
            <w:rFonts w:ascii="Times New Roman" w:hAnsi="Times New Roman" w:cs="Times New Roman"/>
            <w:sz w:val="24"/>
            <w:szCs w:val="24"/>
            <w:highlight w:val="white"/>
          </w:rPr>
          <w:t>https://ferryfoundation.org.uk/wp-content/uploads/2023/01/Engineering-Futures-Stage-1-Report.pdf</w:t>
        </w:r>
      </w:hyperlink>
    </w:p>
    <w:p w14:paraId="095F0879"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Hickland, E., Cullinane, N., Dobbins, T., Dundon, T. and Donaghey, J., 2020. Employer silencing in a context of voice regulations: Case studies of non‐compliance. Human Resource Management Journal, 30(4), pp.537-552. Available at: </w:t>
      </w:r>
      <w:hyperlink r:id="rId39">
        <w:r w:rsidRPr="00BD488D">
          <w:rPr>
            <w:rStyle w:val="Hyperlink"/>
            <w:rFonts w:ascii="Times New Roman" w:hAnsi="Times New Roman" w:cs="Times New Roman"/>
            <w:sz w:val="24"/>
            <w:szCs w:val="24"/>
            <w:highlight w:val="white"/>
          </w:rPr>
          <w:t>https://onlinelibrary.wiley.com/doi/pdf/10.1111/1748-8583.12285</w:t>
        </w:r>
      </w:hyperlink>
    </w:p>
    <w:p w14:paraId="1DD4C946"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lastRenderedPageBreak/>
        <w:t xml:space="preserve">Hughes, S.M., 2021. “Wait for a permanent contract”: The temporal politics of (in) fertility as an early career researcher. Environment and Planning C: Politics and Space, 39(8), pp.1725-1736. Available at: </w:t>
      </w:r>
      <w:hyperlink r:id="rId40">
        <w:r w:rsidRPr="00BD488D">
          <w:rPr>
            <w:rStyle w:val="Hyperlink"/>
            <w:rFonts w:ascii="Times New Roman" w:hAnsi="Times New Roman" w:cs="Times New Roman"/>
            <w:sz w:val="24"/>
            <w:szCs w:val="24"/>
            <w:highlight w:val="white"/>
          </w:rPr>
          <w:t>https://journals.sagepub.com/doi/pdf/10.1177/2399654421994852</w:t>
        </w:r>
      </w:hyperlink>
    </w:p>
    <w:p w14:paraId="073A4891"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Hussain, B., Sheikh, A., Timmons, S., Stickley, T. and Repper, J., 2020. Workforce diversity, diversity training and ethnic minorities: The case of the UK National Health Service. International Journal of Cross Cultural Management, 20(2), pp.201-221. Available at: </w:t>
      </w:r>
      <w:hyperlink r:id="rId41">
        <w:r w:rsidRPr="00BD488D">
          <w:rPr>
            <w:rStyle w:val="Hyperlink"/>
            <w:rFonts w:ascii="Times New Roman" w:hAnsi="Times New Roman" w:cs="Times New Roman"/>
            <w:sz w:val="24"/>
            <w:szCs w:val="24"/>
            <w:highlight w:val="white"/>
          </w:rPr>
          <w:t>https://nottingham-repository.worktribe.com/index.php/preview/4619790/16607%20%281%29.pdf</w:t>
        </w:r>
      </w:hyperlink>
    </w:p>
    <w:p w14:paraId="61FE96C0"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Jonsen, K., Point, S., Kelan, E.K. and Grieble, A., 2021. Diversity and inclusion branding: a five-country comparison of corporate websites. The International Journal of Human Resource Management, 32(3), pp.616-649. Available at: </w:t>
      </w:r>
      <w:hyperlink r:id="rId42">
        <w:r w:rsidRPr="00BD488D">
          <w:rPr>
            <w:rStyle w:val="Hyperlink"/>
            <w:rFonts w:ascii="Times New Roman" w:hAnsi="Times New Roman" w:cs="Times New Roman"/>
            <w:sz w:val="24"/>
            <w:szCs w:val="24"/>
            <w:highlight w:val="white"/>
          </w:rPr>
          <w:t>https://dspace.lib.cranfield.ac.uk/bitstream/handle/1826/13862/Diversity_branding-2017.pdf?sequence=1</w:t>
        </w:r>
      </w:hyperlink>
    </w:p>
    <w:p w14:paraId="7EEA26CD"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Kinsella, P., Williams, S., Scott, P. and Fontinha, R., 2022. Varying degrees of boundarylessness? The careers of self-employed and directly employed ICT professionals in the UK and Germany. The International Journal of Human Resource Management, 33(8), pp.1696-1717. Available at: </w:t>
      </w:r>
      <w:hyperlink r:id="rId43">
        <w:r w:rsidRPr="00BD488D">
          <w:rPr>
            <w:rStyle w:val="Hyperlink"/>
            <w:rFonts w:ascii="Times New Roman" w:hAnsi="Times New Roman" w:cs="Times New Roman"/>
            <w:sz w:val="24"/>
            <w:szCs w:val="24"/>
            <w:highlight w:val="white"/>
          </w:rPr>
          <w:t>https://centaur.reading.ac.uk/93439/3/19Oct2020IJHRM%20resubmission%20%E2%80%93%20OCT%202020%20Final%20Word%20Version%20%281%29.pdf</w:t>
        </w:r>
      </w:hyperlink>
    </w:p>
    <w:p w14:paraId="77DF8B9E"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López-Andreu, M. and Rubery, J., 2021. Austerity and women’s employment trajectories in Spain and the UK: A comparison of two flexible labour markets. Economic and Industrial Democracy, 42(2), pp.289-313. Available at: </w:t>
      </w:r>
      <w:hyperlink r:id="rId44">
        <w:r w:rsidRPr="00BD488D">
          <w:rPr>
            <w:rStyle w:val="Hyperlink"/>
            <w:rFonts w:ascii="Times New Roman" w:hAnsi="Times New Roman" w:cs="Times New Roman"/>
            <w:sz w:val="24"/>
            <w:szCs w:val="24"/>
            <w:highlight w:val="white"/>
          </w:rPr>
          <w:t>https://eprints.ncl.ac.uk/file_store/production/270493/F576CC81-6267-454A-B6DD-6B58D0F2B53E.pdf</w:t>
        </w:r>
      </w:hyperlink>
    </w:p>
    <w:p w14:paraId="55FC240F"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Maldonado, L.C. and Nieuwenhuis, R., 2019. Single parents in context. Future Child, 5, pp.75-96. Available at: </w:t>
      </w:r>
      <w:hyperlink r:id="rId45">
        <w:r w:rsidRPr="00BD488D">
          <w:rPr>
            <w:rStyle w:val="Hyperlink"/>
            <w:rFonts w:ascii="Times New Roman" w:hAnsi="Times New Roman" w:cs="Times New Roman"/>
            <w:sz w:val="24"/>
            <w:szCs w:val="24"/>
            <w:highlight w:val="white"/>
          </w:rPr>
          <w:t>https://www.researchgate.net/profile/Rense-Nieuwenhuis/publication/332678628_Single_Parents_in_Context/links/5cdfbd35a6fdccc9ddb953a3/Single-Parents-in-Context.pdf</w:t>
        </w:r>
      </w:hyperlink>
    </w:p>
    <w:p w14:paraId="4500306F"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Mazzucato, M., 2022. Inclusive and sustainable British Columbia. Available at: </w:t>
      </w:r>
      <w:hyperlink r:id="rId46">
        <w:r w:rsidRPr="00BD488D">
          <w:rPr>
            <w:rStyle w:val="Hyperlink"/>
            <w:rFonts w:ascii="Times New Roman" w:hAnsi="Times New Roman" w:cs="Times New Roman"/>
            <w:sz w:val="24"/>
            <w:szCs w:val="24"/>
            <w:highlight w:val="white"/>
          </w:rPr>
          <w:t>https://www.ucl.ac.uk/bartlett/public-purpose/sites/bartlett_public_purpose/files/ucl-iipp-british-columbia-report-2022.pdf</w:t>
        </w:r>
      </w:hyperlink>
    </w:p>
    <w:p w14:paraId="334EFC20"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Mo, F., Haddadi, H., Katevas, K., Marin, E., Perino, D. and Kourtellis, N., 2022. Ppfl: Enhancing privacy in federated learning with confidential computing. GetMobile: Mobile </w:t>
      </w:r>
      <w:r w:rsidRPr="00BD488D">
        <w:rPr>
          <w:rFonts w:ascii="Times New Roman" w:hAnsi="Times New Roman" w:cs="Times New Roman"/>
          <w:sz w:val="24"/>
          <w:szCs w:val="24"/>
          <w:highlight w:val="white"/>
        </w:rPr>
        <w:lastRenderedPageBreak/>
        <w:t xml:space="preserve">Computing and Communications, 25(4), pp.35-38. Available at: </w:t>
      </w:r>
      <w:hyperlink r:id="rId47">
        <w:r w:rsidRPr="00BD488D">
          <w:rPr>
            <w:rStyle w:val="Hyperlink"/>
            <w:rFonts w:ascii="Times New Roman" w:hAnsi="Times New Roman" w:cs="Times New Roman"/>
            <w:sz w:val="24"/>
            <w:szCs w:val="24"/>
            <w:highlight w:val="white"/>
          </w:rPr>
          <w:t>https://mofanv.github.io/papers/ppfl_2022.pdf</w:t>
        </w:r>
      </w:hyperlink>
    </w:p>
    <w:p w14:paraId="782B1D61"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Mousa, M., Massoud, H.K. and Ayoubi, R.M., 2020. Gender, diversity management perceptions, workplace happiness and organisational citizenship behaviour. Employee Relations: The International Journal, 42(6), pp.1249-1269. Available at: </w:t>
      </w:r>
      <w:hyperlink r:id="rId48">
        <w:r w:rsidRPr="00BD488D">
          <w:rPr>
            <w:rStyle w:val="Hyperlink"/>
            <w:rFonts w:ascii="Times New Roman" w:hAnsi="Times New Roman" w:cs="Times New Roman"/>
            <w:sz w:val="24"/>
            <w:szCs w:val="24"/>
            <w:highlight w:val="white"/>
          </w:rPr>
          <w:t>https://www.researchgate.net/profile/Mohamed-Mousa-19/publication/341401854_Gender_diversity_management_perceptions_workplace_happiness_and_organisational_citizenship_behaviour/links/607cb46d907dcf667bab48e2/Gender-diversity-management-perceptions-workplace-happiness-and-organisational-citizenship-behaviour.pdf</w:t>
        </w:r>
      </w:hyperlink>
      <w:r w:rsidRPr="00BD488D">
        <w:rPr>
          <w:rFonts w:ascii="Times New Roman" w:hAnsi="Times New Roman" w:cs="Times New Roman"/>
          <w:sz w:val="24"/>
          <w:szCs w:val="24"/>
          <w:highlight w:val="white"/>
        </w:rPr>
        <w:t xml:space="preserve"> </w:t>
      </w:r>
    </w:p>
    <w:p w14:paraId="29131690"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Ngoc Su, D., Luc Tra, D., Thi Huynh, H.M., Nguyen, H.H.T. and O’Mahony, B., 2021. Enhancing resilience in the Covid-19 crisis: lessons from human resource management practices in Vietnam. Current Issues in Tourism, 24(22), pp.3189-3205. Available at: </w:t>
      </w:r>
      <w:hyperlink r:id="rId49">
        <w:r w:rsidRPr="00BD488D">
          <w:rPr>
            <w:rStyle w:val="Hyperlink"/>
            <w:rFonts w:ascii="Times New Roman" w:hAnsi="Times New Roman" w:cs="Times New Roman"/>
            <w:sz w:val="24"/>
            <w:szCs w:val="24"/>
            <w:highlight w:val="white"/>
          </w:rPr>
          <w:t>https://gala.gre.ac.uk/id/eprint/33941/1/33941_NGUYEN_Enhancing_resilience_in_the_C19_crisis.pdf</w:t>
        </w:r>
      </w:hyperlink>
    </w:p>
    <w:p w14:paraId="5C5563C2"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O’Sullivan, M., Lavelle, J., Turner, T., McMahon, J., Murphy, C., Ryan, L. and Gunnigle, P., 2021. Employer-led flexibility, working time uncertainty, and trade union responses: The case of academics, teachers and school secretaries in Ireland. Journal of Industrial Relations, 63(1), pp.49-72. Available at: </w:t>
      </w:r>
      <w:hyperlink r:id="rId50">
        <w:r w:rsidRPr="00BD488D">
          <w:rPr>
            <w:rStyle w:val="Hyperlink"/>
            <w:rFonts w:ascii="Times New Roman" w:hAnsi="Times New Roman" w:cs="Times New Roman"/>
            <w:sz w:val="24"/>
            <w:szCs w:val="24"/>
            <w:highlight w:val="white"/>
          </w:rPr>
          <w:t>https://journals.sagepub.com/doi/pdf/10.1177/0022185620960198</w:t>
        </w:r>
      </w:hyperlink>
    </w:p>
    <w:p w14:paraId="52E0F453"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Raven-Gregg, T., Wood, F. and Shepherd, V., 2021. Effectiveness of participant recruitment strategies for critical care trials: a systematic review and narrative synthesis. Clinical Trials, 18(4), pp.436-448. Available at: </w:t>
      </w:r>
      <w:hyperlink r:id="rId51">
        <w:r w:rsidRPr="00BD488D">
          <w:rPr>
            <w:rStyle w:val="Hyperlink"/>
            <w:rFonts w:ascii="Times New Roman" w:hAnsi="Times New Roman" w:cs="Times New Roman"/>
            <w:sz w:val="24"/>
            <w:szCs w:val="24"/>
            <w:highlight w:val="white"/>
          </w:rPr>
          <w:t>https://orca.cardiff.ac.uk/id/eprint/138200/7/Critical_care_recruitment_strategies_paper_POST%20PRINT.pdf</w:t>
        </w:r>
      </w:hyperlink>
    </w:p>
    <w:p w14:paraId="1B09EEBE"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Sang, K., Calvard, T. and Remnant, J., 2022. Disability and academic careers: Using the social relational model to reveal the role of human resource management practices in creating disability. Work, Employment and Society, 36(4), pp.722-740. Available at: </w:t>
      </w:r>
      <w:hyperlink r:id="rId52">
        <w:r w:rsidRPr="00BD488D">
          <w:rPr>
            <w:rStyle w:val="Hyperlink"/>
            <w:rFonts w:ascii="Times New Roman" w:hAnsi="Times New Roman" w:cs="Times New Roman"/>
            <w:sz w:val="24"/>
            <w:szCs w:val="24"/>
            <w:highlight w:val="white"/>
          </w:rPr>
          <w:t>https://journals.sagepub.com/doi/pdf/10.1177/0950017021993737</w:t>
        </w:r>
      </w:hyperlink>
      <w:r w:rsidRPr="00BD488D">
        <w:rPr>
          <w:rFonts w:ascii="Times New Roman" w:hAnsi="Times New Roman" w:cs="Times New Roman"/>
          <w:sz w:val="24"/>
          <w:szCs w:val="24"/>
          <w:highlight w:val="white"/>
        </w:rPr>
        <w:t xml:space="preserve"> </w:t>
      </w:r>
    </w:p>
    <w:p w14:paraId="6718B9A6"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Shackleton, L., 2022. Summertime Blues: Unions, strikes and the law in 2022. Institute of Economic Affairs Monographs, Forthcoming, IEA Briefing Paper. Available at: </w:t>
      </w:r>
      <w:hyperlink r:id="rId53">
        <w:r w:rsidRPr="00BD488D">
          <w:rPr>
            <w:rStyle w:val="Hyperlink"/>
            <w:rFonts w:ascii="Times New Roman" w:hAnsi="Times New Roman" w:cs="Times New Roman"/>
            <w:sz w:val="24"/>
            <w:szCs w:val="24"/>
            <w:highlight w:val="white"/>
          </w:rPr>
          <w:t>https://iea.org.uk/wp-content/uploads/2022/07/SUMMERTIME-BLUES-TRADE-UNIONS.pdf</w:t>
        </w:r>
      </w:hyperlink>
    </w:p>
    <w:p w14:paraId="3A971236"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Shohaieb, D., Elmarzouky, M. and Albitar, K., 2022. Corporate governance and diversity management: evidence from a disclosure perspective. International Journal of Accounting &amp; </w:t>
      </w:r>
      <w:r w:rsidRPr="00BD488D">
        <w:rPr>
          <w:rFonts w:ascii="Times New Roman" w:hAnsi="Times New Roman" w:cs="Times New Roman"/>
          <w:sz w:val="24"/>
          <w:szCs w:val="24"/>
          <w:highlight w:val="white"/>
        </w:rPr>
        <w:lastRenderedPageBreak/>
        <w:t xml:space="preserve">Information Management, (ahead-of-print). Available at: </w:t>
      </w:r>
      <w:hyperlink r:id="rId54">
        <w:r w:rsidRPr="00BD488D">
          <w:rPr>
            <w:rStyle w:val="Hyperlink"/>
            <w:rFonts w:ascii="Times New Roman" w:hAnsi="Times New Roman" w:cs="Times New Roman"/>
            <w:sz w:val="24"/>
            <w:szCs w:val="24"/>
            <w:highlight w:val="white"/>
          </w:rPr>
          <w:t>https://eprints.kingston.ac.uk/id/eprint/51779/1/Elmarzouky-M-51779-AAM-1.pdf</w:t>
        </w:r>
      </w:hyperlink>
    </w:p>
    <w:p w14:paraId="50A27397"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Simon, A., 2022, August. Temporary employment and poverty persistence: the case of UK and Germany. In French Stata Users' Group Meetings 2022 (No. 07). Stata Users Group. Available at: </w:t>
      </w:r>
      <w:hyperlink r:id="rId55">
        <w:r w:rsidRPr="00BD488D">
          <w:rPr>
            <w:rStyle w:val="Hyperlink"/>
            <w:rFonts w:ascii="Times New Roman" w:hAnsi="Times New Roman" w:cs="Times New Roman"/>
            <w:sz w:val="24"/>
            <w:szCs w:val="24"/>
            <w:highlight w:val="white"/>
          </w:rPr>
          <w:t>https://www.stata.com/meeting/france22/slides/France22_Simon1.pdf</w:t>
        </w:r>
      </w:hyperlink>
    </w:p>
    <w:p w14:paraId="033936C2" w14:textId="77777777" w:rsidR="009E2365" w:rsidRPr="00BD488D"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Wang, S., Coutts, A., Burchell, B., Kamerāde, D. and Balderson, U., 2021. Can active labour market programmes emulate the mental health benefits of regular paid employment? Longitudinal evidence from the United Kingdom. Work, Employment and Society, 35(3), pp.545-565. Available at: </w:t>
      </w:r>
      <w:hyperlink r:id="rId56">
        <w:r w:rsidRPr="00BD488D">
          <w:rPr>
            <w:rStyle w:val="Hyperlink"/>
            <w:rFonts w:ascii="Times New Roman" w:hAnsi="Times New Roman" w:cs="Times New Roman"/>
            <w:sz w:val="24"/>
            <w:szCs w:val="24"/>
            <w:highlight w:val="white"/>
          </w:rPr>
          <w:t>https://journals.sagepub.com/doi/pdf/10.1177/0950017020946664</w:t>
        </w:r>
      </w:hyperlink>
    </w:p>
    <w:p w14:paraId="44F66E38" w14:textId="7C6F5D4B" w:rsidR="00267877" w:rsidRDefault="009E2365" w:rsidP="00BD488D">
      <w:pPr>
        <w:spacing w:line="360" w:lineRule="auto"/>
        <w:jc w:val="both"/>
        <w:rPr>
          <w:rFonts w:ascii="Times New Roman" w:hAnsi="Times New Roman" w:cs="Times New Roman"/>
          <w:sz w:val="24"/>
          <w:szCs w:val="24"/>
          <w:highlight w:val="white"/>
        </w:rPr>
      </w:pPr>
      <w:r w:rsidRPr="00BD488D">
        <w:rPr>
          <w:rFonts w:ascii="Times New Roman" w:hAnsi="Times New Roman" w:cs="Times New Roman"/>
          <w:sz w:val="24"/>
          <w:szCs w:val="24"/>
          <w:highlight w:val="white"/>
        </w:rPr>
        <w:t xml:space="preserve">Wright, K., 2022. 'Architecture of regulation and regulatory agencies' in UK Regulation after Brexit revisited, UK in a Changing Europe. Available at: </w:t>
      </w:r>
      <w:hyperlink r:id="rId57">
        <w:r w:rsidRPr="00BD488D">
          <w:rPr>
            <w:rStyle w:val="Hyperlink"/>
            <w:rFonts w:ascii="Times New Roman" w:hAnsi="Times New Roman" w:cs="Times New Roman"/>
            <w:sz w:val="24"/>
            <w:szCs w:val="24"/>
            <w:highlight w:val="white"/>
          </w:rPr>
          <w:t>https://eprints.whiterose.ac.uk/193249/1/UK_Regulation_After_Brexit_Revisited.pdf</w:t>
        </w:r>
      </w:hyperlink>
    </w:p>
    <w:p w14:paraId="575AF7E9" w14:textId="77777777" w:rsidR="00267877" w:rsidRDefault="00267877">
      <w:pPr>
        <w:rPr>
          <w:rFonts w:ascii="Times New Roman" w:hAnsi="Times New Roman" w:cs="Times New Roman"/>
          <w:sz w:val="24"/>
          <w:szCs w:val="24"/>
          <w:highlight w:val="white"/>
        </w:rPr>
      </w:pPr>
      <w:r>
        <w:rPr>
          <w:rFonts w:ascii="Times New Roman" w:hAnsi="Times New Roman" w:cs="Times New Roman"/>
          <w:sz w:val="24"/>
          <w:szCs w:val="24"/>
          <w:highlight w:val="white"/>
        </w:rPr>
        <w:br w:type="page"/>
      </w:r>
    </w:p>
    <w:p w14:paraId="0AABD0A1" w14:textId="2B5F62E5" w:rsidR="009E2365" w:rsidRDefault="00267877" w:rsidP="00BD488D">
      <w:pPr>
        <w:spacing w:line="360" w:lineRule="auto"/>
        <w:jc w:val="both"/>
        <w:rPr>
          <w:rFonts w:ascii="Times New Roman" w:hAnsi="Times New Roman" w:cs="Times New Roman"/>
          <w:b/>
          <w:bCs/>
          <w:sz w:val="24"/>
          <w:szCs w:val="24"/>
          <w:highlight w:val="white"/>
        </w:rPr>
      </w:pPr>
      <w:r w:rsidRPr="00267877">
        <w:rPr>
          <w:rFonts w:ascii="Times New Roman" w:hAnsi="Times New Roman" w:cs="Times New Roman"/>
          <w:b/>
          <w:bCs/>
          <w:sz w:val="24"/>
          <w:szCs w:val="24"/>
          <w:highlight w:val="white"/>
        </w:rPr>
        <w:lastRenderedPageBreak/>
        <w:t>Appendix</w:t>
      </w:r>
    </w:p>
    <w:p w14:paraId="1052724B" w14:textId="05F72CEB" w:rsidR="00267877" w:rsidRDefault="00267877" w:rsidP="00267877">
      <w:pPr>
        <w:spacing w:line="360" w:lineRule="auto"/>
        <w:jc w:val="center"/>
        <w:rPr>
          <w:rFonts w:ascii="Times New Roman" w:hAnsi="Times New Roman" w:cs="Times New Roman"/>
          <w:b/>
          <w:bCs/>
          <w:sz w:val="24"/>
          <w:szCs w:val="24"/>
          <w:highlight w:val="white"/>
        </w:rPr>
      </w:pPr>
      <w:r>
        <w:rPr>
          <w:noProof/>
        </w:rPr>
        <w:drawing>
          <wp:inline distT="0" distB="0" distL="0" distR="0" wp14:anchorId="30AA4150" wp14:editId="6BF330E8">
            <wp:extent cx="5733415" cy="3225165"/>
            <wp:effectExtent l="0" t="0" r="635" b="0"/>
            <wp:docPr id="1117531638" name="Picture 15" descr="Labour MPs renew calls to outlaw 'fire and rehire' as British Gas workers  sacked – Labour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abour MPs renew calls to outlaw 'fire and rehire' as British Gas workers  sacked – LabourLis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2CC783D4" w14:textId="5B11ECEF" w:rsidR="00267877" w:rsidRPr="00267877" w:rsidRDefault="00267877" w:rsidP="00267877">
      <w:pPr>
        <w:spacing w:line="360" w:lineRule="auto"/>
        <w:jc w:val="center"/>
        <w:rPr>
          <w:rFonts w:ascii="Times New Roman" w:hAnsi="Times New Roman" w:cs="Times New Roman"/>
          <w:b/>
          <w:bCs/>
          <w:sz w:val="24"/>
          <w:szCs w:val="24"/>
          <w:highlight w:val="white"/>
        </w:rPr>
      </w:pPr>
      <w:r>
        <w:rPr>
          <w:rFonts w:ascii="Times New Roman" w:hAnsi="Times New Roman" w:cs="Times New Roman"/>
          <w:b/>
          <w:bCs/>
          <w:sz w:val="24"/>
          <w:szCs w:val="24"/>
          <w:highlight w:val="white"/>
        </w:rPr>
        <w:t>Figure: Stop fire and re-hire</w:t>
      </w:r>
    </w:p>
    <w:p w14:paraId="00000095" w14:textId="77777777" w:rsidR="00FE2243" w:rsidRPr="009E2365" w:rsidRDefault="00FE2243" w:rsidP="00466FAC">
      <w:pPr>
        <w:pStyle w:val="Normal1"/>
        <w:spacing w:line="360" w:lineRule="auto"/>
        <w:jc w:val="both"/>
        <w:rPr>
          <w:rFonts w:ascii="Times New Roman" w:hAnsi="Times New Roman" w:cs="Times New Roman"/>
          <w:sz w:val="24"/>
          <w:szCs w:val="24"/>
          <w:highlight w:val="white"/>
        </w:rPr>
      </w:pPr>
    </w:p>
    <w:p w14:paraId="00000096" w14:textId="77777777" w:rsidR="00FE2243" w:rsidRPr="009E2365" w:rsidRDefault="00FE2243" w:rsidP="009E2365">
      <w:pPr>
        <w:pStyle w:val="Normal1"/>
        <w:spacing w:line="360" w:lineRule="auto"/>
        <w:ind w:left="720"/>
        <w:jc w:val="both"/>
        <w:rPr>
          <w:rFonts w:ascii="Times New Roman" w:hAnsi="Times New Roman" w:cs="Times New Roman"/>
          <w:sz w:val="24"/>
          <w:szCs w:val="24"/>
          <w:highlight w:val="white"/>
        </w:rPr>
      </w:pPr>
    </w:p>
    <w:p w14:paraId="00000097" w14:textId="77777777" w:rsidR="00FE2243" w:rsidRPr="009E2365" w:rsidRDefault="00FE2243" w:rsidP="009E2365">
      <w:pPr>
        <w:pStyle w:val="Normal1"/>
        <w:spacing w:line="360" w:lineRule="auto"/>
        <w:jc w:val="both"/>
        <w:rPr>
          <w:rFonts w:ascii="Times New Roman" w:hAnsi="Times New Roman" w:cs="Times New Roman"/>
          <w:b/>
          <w:sz w:val="24"/>
          <w:szCs w:val="24"/>
        </w:rPr>
      </w:pPr>
    </w:p>
    <w:sectPr w:rsidR="00FE2243" w:rsidRPr="009E2365">
      <w:footerReference w:type="default" r:id="rId5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46F2E" w14:textId="77777777" w:rsidR="002E024B" w:rsidRDefault="002E024B">
      <w:pPr>
        <w:spacing w:line="240" w:lineRule="auto"/>
      </w:pPr>
      <w:r>
        <w:separator/>
      </w:r>
    </w:p>
  </w:endnote>
  <w:endnote w:type="continuationSeparator" w:id="0">
    <w:p w14:paraId="403872E4" w14:textId="77777777" w:rsidR="002E024B" w:rsidRDefault="002E02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996092"/>
      <w:docPartObj>
        <w:docPartGallery w:val="Page Numbers (Bottom of Page)"/>
        <w:docPartUnique/>
      </w:docPartObj>
    </w:sdtPr>
    <w:sdtContent>
      <w:sdt>
        <w:sdtPr>
          <w:id w:val="-1769616900"/>
          <w:docPartObj>
            <w:docPartGallery w:val="Page Numbers (Top of Page)"/>
            <w:docPartUnique/>
          </w:docPartObj>
        </w:sdtPr>
        <w:sdtContent>
          <w:p w14:paraId="2BF2DF7C" w14:textId="6CC552D3" w:rsidR="00C27C69" w:rsidRDefault="00C27C6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0000098" w14:textId="77777777" w:rsidR="00FE2243" w:rsidRDefault="00FE2243">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C9A84" w14:textId="77777777" w:rsidR="002E024B" w:rsidRDefault="002E024B">
      <w:pPr>
        <w:spacing w:line="240" w:lineRule="auto"/>
      </w:pPr>
      <w:r>
        <w:separator/>
      </w:r>
    </w:p>
  </w:footnote>
  <w:footnote w:type="continuationSeparator" w:id="0">
    <w:p w14:paraId="3328D22F" w14:textId="77777777" w:rsidR="002E024B" w:rsidRDefault="002E02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3B423"/>
    <w:multiLevelType w:val="hybridMultilevel"/>
    <w:tmpl w:val="00000000"/>
    <w:lvl w:ilvl="0" w:tplc="AF12E032">
      <w:start w:val="1"/>
      <w:numFmt w:val="decimal"/>
      <w:lvlText w:val="%1."/>
      <w:lvlJc w:val="left"/>
      <w:pPr>
        <w:ind w:left="720" w:hanging="360"/>
      </w:pPr>
      <w:rPr>
        <w:u w:val="none"/>
      </w:rPr>
    </w:lvl>
    <w:lvl w:ilvl="1" w:tplc="86609478">
      <w:start w:val="1"/>
      <w:numFmt w:val="lowerLetter"/>
      <w:lvlText w:val="%2."/>
      <w:lvlJc w:val="left"/>
      <w:pPr>
        <w:ind w:left="1440" w:hanging="360"/>
      </w:pPr>
      <w:rPr>
        <w:u w:val="none"/>
      </w:rPr>
    </w:lvl>
    <w:lvl w:ilvl="2" w:tplc="37704576">
      <w:start w:val="1"/>
      <w:numFmt w:val="lowerRoman"/>
      <w:lvlText w:val="%3."/>
      <w:lvlJc w:val="right"/>
      <w:pPr>
        <w:ind w:left="2160" w:hanging="360"/>
      </w:pPr>
      <w:rPr>
        <w:u w:val="none"/>
      </w:rPr>
    </w:lvl>
    <w:lvl w:ilvl="3" w:tplc="0BD43DA8">
      <w:start w:val="1"/>
      <w:numFmt w:val="decimal"/>
      <w:lvlText w:val="%4."/>
      <w:lvlJc w:val="left"/>
      <w:pPr>
        <w:ind w:left="2880" w:hanging="360"/>
      </w:pPr>
      <w:rPr>
        <w:u w:val="none"/>
      </w:rPr>
    </w:lvl>
    <w:lvl w:ilvl="4" w:tplc="E3188CF0">
      <w:start w:val="1"/>
      <w:numFmt w:val="lowerLetter"/>
      <w:lvlText w:val="%5."/>
      <w:lvlJc w:val="left"/>
      <w:pPr>
        <w:ind w:left="3600" w:hanging="360"/>
      </w:pPr>
      <w:rPr>
        <w:u w:val="none"/>
      </w:rPr>
    </w:lvl>
    <w:lvl w:ilvl="5" w:tplc="5C7464AA">
      <w:start w:val="1"/>
      <w:numFmt w:val="lowerRoman"/>
      <w:lvlText w:val="%6."/>
      <w:lvlJc w:val="right"/>
      <w:pPr>
        <w:ind w:left="4320" w:hanging="360"/>
      </w:pPr>
      <w:rPr>
        <w:u w:val="none"/>
      </w:rPr>
    </w:lvl>
    <w:lvl w:ilvl="6" w:tplc="4E8CD94E">
      <w:start w:val="1"/>
      <w:numFmt w:val="decimal"/>
      <w:lvlText w:val="%7."/>
      <w:lvlJc w:val="left"/>
      <w:pPr>
        <w:ind w:left="5040" w:hanging="360"/>
      </w:pPr>
      <w:rPr>
        <w:u w:val="none"/>
      </w:rPr>
    </w:lvl>
    <w:lvl w:ilvl="7" w:tplc="4152554E">
      <w:start w:val="1"/>
      <w:numFmt w:val="lowerLetter"/>
      <w:lvlText w:val="%8."/>
      <w:lvlJc w:val="left"/>
      <w:pPr>
        <w:ind w:left="5760" w:hanging="360"/>
      </w:pPr>
      <w:rPr>
        <w:u w:val="none"/>
      </w:rPr>
    </w:lvl>
    <w:lvl w:ilvl="8" w:tplc="247054A6">
      <w:start w:val="1"/>
      <w:numFmt w:val="lowerRoman"/>
      <w:lvlText w:val="%9."/>
      <w:lvlJc w:val="right"/>
      <w:pPr>
        <w:ind w:left="6480" w:hanging="360"/>
      </w:pPr>
      <w:rPr>
        <w:u w:val="none"/>
      </w:rPr>
    </w:lvl>
  </w:abstractNum>
  <w:abstractNum w:abstractNumId="1" w15:restartNumberingAfterBreak="0">
    <w:nsid w:val="77570AD2"/>
    <w:multiLevelType w:val="hybridMultilevel"/>
    <w:tmpl w:val="9FEA50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88114675">
    <w:abstractNumId w:val="0"/>
  </w:num>
  <w:num w:numId="2" w16cid:durableId="725689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243"/>
    <w:rsid w:val="001762D9"/>
    <w:rsid w:val="0018495E"/>
    <w:rsid w:val="00194370"/>
    <w:rsid w:val="001B5FE1"/>
    <w:rsid w:val="001E0B13"/>
    <w:rsid w:val="00267877"/>
    <w:rsid w:val="002E024B"/>
    <w:rsid w:val="00466FAC"/>
    <w:rsid w:val="007A31EF"/>
    <w:rsid w:val="009E2365"/>
    <w:rsid w:val="00BD488D"/>
    <w:rsid w:val="00C16A95"/>
    <w:rsid w:val="00C27C69"/>
    <w:rsid w:val="00C577AA"/>
    <w:rsid w:val="00FB3864"/>
    <w:rsid w:val="00FD6692"/>
    <w:rsid w:val="00FE22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B9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D669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9E2365"/>
    <w:rPr>
      <w:color w:val="0000FF" w:themeColor="hyperlink"/>
      <w:u w:val="single"/>
    </w:rPr>
  </w:style>
  <w:style w:type="paragraph" w:styleId="ListParagraph">
    <w:name w:val="List Paragraph"/>
    <w:basedOn w:val="Normal"/>
    <w:uiPriority w:val="34"/>
    <w:qFormat/>
    <w:rsid w:val="009E2365"/>
    <w:pPr>
      <w:ind w:left="720"/>
      <w:contextualSpacing/>
    </w:pPr>
  </w:style>
  <w:style w:type="paragraph" w:styleId="NormalWeb">
    <w:name w:val="Normal (Web)"/>
    <w:basedOn w:val="Normal"/>
    <w:uiPriority w:val="99"/>
    <w:unhideWhenUsed/>
    <w:rsid w:val="00466FA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UnresolvedMention">
    <w:name w:val="Unresolved Mention"/>
    <w:basedOn w:val="DefaultParagraphFont"/>
    <w:uiPriority w:val="99"/>
    <w:semiHidden/>
    <w:unhideWhenUsed/>
    <w:rsid w:val="00466FAC"/>
    <w:rPr>
      <w:color w:val="605E5C"/>
      <w:shd w:val="clear" w:color="auto" w:fill="E1DFDD"/>
    </w:rPr>
  </w:style>
  <w:style w:type="paragraph" w:styleId="Header">
    <w:name w:val="header"/>
    <w:basedOn w:val="Normal"/>
    <w:link w:val="HeaderChar"/>
    <w:uiPriority w:val="99"/>
    <w:unhideWhenUsed/>
    <w:rsid w:val="00C27C69"/>
    <w:pPr>
      <w:tabs>
        <w:tab w:val="center" w:pos="4513"/>
        <w:tab w:val="right" w:pos="9026"/>
      </w:tabs>
      <w:spacing w:line="240" w:lineRule="auto"/>
    </w:pPr>
  </w:style>
  <w:style w:type="character" w:customStyle="1" w:styleId="HeaderChar">
    <w:name w:val="Header Char"/>
    <w:basedOn w:val="DefaultParagraphFont"/>
    <w:link w:val="Header"/>
    <w:uiPriority w:val="99"/>
    <w:rsid w:val="00C27C69"/>
  </w:style>
  <w:style w:type="paragraph" w:styleId="Footer">
    <w:name w:val="footer"/>
    <w:basedOn w:val="Normal"/>
    <w:link w:val="FooterChar"/>
    <w:uiPriority w:val="99"/>
    <w:unhideWhenUsed/>
    <w:rsid w:val="00C27C69"/>
    <w:pPr>
      <w:tabs>
        <w:tab w:val="center" w:pos="4513"/>
        <w:tab w:val="right" w:pos="9026"/>
      </w:tabs>
      <w:spacing w:line="240" w:lineRule="auto"/>
    </w:pPr>
  </w:style>
  <w:style w:type="character" w:customStyle="1" w:styleId="FooterChar">
    <w:name w:val="Footer Char"/>
    <w:basedOn w:val="DefaultParagraphFont"/>
    <w:link w:val="Footer"/>
    <w:uiPriority w:val="99"/>
    <w:rsid w:val="00C27C69"/>
  </w:style>
  <w:style w:type="paragraph" w:styleId="Caption">
    <w:name w:val="caption"/>
    <w:basedOn w:val="Normal"/>
    <w:next w:val="Normal"/>
    <w:uiPriority w:val="35"/>
    <w:unhideWhenUsed/>
    <w:qFormat/>
    <w:rsid w:val="00C27C69"/>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FD6692"/>
  </w:style>
  <w:style w:type="paragraph" w:styleId="TOCHeading">
    <w:name w:val="TOC Heading"/>
    <w:basedOn w:val="Heading1"/>
    <w:next w:val="Normal"/>
    <w:uiPriority w:val="39"/>
    <w:unhideWhenUsed/>
    <w:qFormat/>
    <w:rsid w:val="001E0B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E0B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0408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hyperlink" Target="https://digitalcommons.liberty.edu/cgi/viewcontent.cgi?article=4084&amp;context=doctoral" TargetMode="External"/><Relationship Id="rId39" Type="http://schemas.openxmlformats.org/officeDocument/2006/relationships/hyperlink" Target="https://onlinelibrary.wiley.com/doi/pdf/10.1111/1748-8583.12285" TargetMode="External"/><Relationship Id="rId21" Type="http://schemas.openxmlformats.org/officeDocument/2006/relationships/image" Target="media/image4.jpeg"/><Relationship Id="rId34" Type="http://schemas.openxmlformats.org/officeDocument/2006/relationships/hyperlink" Target="https://eresearch.qmu.ac.uk/bitstream/handle/20.500.12289/10683/10683.pdf?sequence=1&amp;isAllowed=n" TargetMode="External"/><Relationship Id="rId42" Type="http://schemas.openxmlformats.org/officeDocument/2006/relationships/hyperlink" Target="https://dspace.lib.cranfield.ac.uk/bitstream/handle/1826/13862/Diversity_branding-2017.pdf?sequence=1" TargetMode="External"/><Relationship Id="rId47" Type="http://schemas.openxmlformats.org/officeDocument/2006/relationships/hyperlink" Target="https://mofanv.github.io/papers/ppfl_2022.pdf" TargetMode="External"/><Relationship Id="rId50" Type="http://schemas.openxmlformats.org/officeDocument/2006/relationships/hyperlink" Target="https://journals.sagepub.com/doi/pdf/10.1177/0022185620960198" TargetMode="External"/><Relationship Id="rId55" Type="http://schemas.openxmlformats.org/officeDocument/2006/relationships/hyperlink" Target="https://www.stata.com/meeting/france22/slides/France22_Simon1.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journals.sagepub.com/doi/pdf/10.1177/09596801211052531" TargetMode="External"/><Relationship Id="rId41" Type="http://schemas.openxmlformats.org/officeDocument/2006/relationships/hyperlink" Target="https://nottingham-repository.worktribe.com/index.php/preview/4619790/16607%20%281%29.pdf" TargetMode="External"/><Relationship Id="rId54" Type="http://schemas.openxmlformats.org/officeDocument/2006/relationships/hyperlink" Target="https://eprints.kingston.ac.uk/id/eprint/51779/1/Elmarzouky-M-51779-AAM-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onlinelibrary.wiley.com/doi/pdf/10.1111/1748-8583.12417" TargetMode="External"/><Relationship Id="rId32" Type="http://schemas.openxmlformats.org/officeDocument/2006/relationships/hyperlink" Target="https://web.archive.org/web/20220611094219id_/https://www.cambridge.org/core/services/aop-cambridge-core/content/view/AD632019F642D143CC06A5EECAA6E468/S0027950122000060a.pdf/div-class-title-the-political-economy-of-left-and-right-populism-div.pdf" TargetMode="External"/><Relationship Id="rId37" Type="http://schemas.openxmlformats.org/officeDocument/2006/relationships/hyperlink" Target="https://shura.shu.ac.uk/28658/1/Goodwin_2020_PhD_EmployeeVoiceOlder_edited.pdf" TargetMode="External"/><Relationship Id="rId40" Type="http://schemas.openxmlformats.org/officeDocument/2006/relationships/hyperlink" Target="https://journals.sagepub.com/doi/pdf/10.1177/2399654421994852" TargetMode="External"/><Relationship Id="rId45" Type="http://schemas.openxmlformats.org/officeDocument/2006/relationships/hyperlink" Target="https://www.researchgate.net/profile/Rense-Nieuwenhuis/publication/332678628_Single_Parents_in_Context/links/5cdfbd35a6fdccc9ddb953a3/Single-Parents-in-Context.pdf" TargetMode="External"/><Relationship Id="rId53" Type="http://schemas.openxmlformats.org/officeDocument/2006/relationships/hyperlink" Target="https://iea.org.uk/wp-content/uploads/2022/07/SUMMERTIME-BLUES-TRADE-UNIONS.pdf" TargetMode="External"/><Relationship Id="rId58"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hyperlink" Target="https://renewal.org.uk/wp-content/uploads/2021/07/10-Renewal-29.2_Bryan.pdf" TargetMode="External"/><Relationship Id="rId36" Type="http://schemas.openxmlformats.org/officeDocument/2006/relationships/hyperlink" Target="http://pure-oai.bham.ac.uk/ws/portalfiles/portal/180159610/CBP_9561_Dobbins_Good_Work.pdf" TargetMode="External"/><Relationship Id="rId49" Type="http://schemas.openxmlformats.org/officeDocument/2006/relationships/hyperlink" Target="https://gala.gre.ac.uk/id/eprint/33941/1/33941_NGUYEN_Enhancing_resilience_in_the_C19_crisis.pdf" TargetMode="External"/><Relationship Id="rId57" Type="http://schemas.openxmlformats.org/officeDocument/2006/relationships/hyperlink" Target="https://eprints.whiterose.ac.uk/193249/1/UK_Regulation_After_Brexit_Revisited.pdf" TargetMode="External"/><Relationship Id="rId61"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diagramColors" Target="diagrams/colors2.xml"/><Relationship Id="rId31" Type="http://schemas.openxmlformats.org/officeDocument/2006/relationships/hyperlink" Target="https://www.diva-portal.org/smash/get/diva2:1654429/FULLTEXT01.pdf" TargetMode="External"/><Relationship Id="rId44" Type="http://schemas.openxmlformats.org/officeDocument/2006/relationships/hyperlink" Target="https://eprints.ncl.ac.uk/file_store/production/270493/F576CC81-6267-454A-B6DD-6B58D0F2B53E.pdf" TargetMode="External"/><Relationship Id="rId52" Type="http://schemas.openxmlformats.org/officeDocument/2006/relationships/hyperlink" Target="https://journals.sagepub.com/doi/pdf/10.1177/0950017021993737"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image" Target="media/image5.jpeg"/><Relationship Id="rId27" Type="http://schemas.openxmlformats.org/officeDocument/2006/relationships/hyperlink" Target="https://www.rosenblatt-law.co.uk/insight/british-gas-fire-and-rehire-boiler-engineers-resulting-in-mass-dismissals-unfair-dismissal/" TargetMode="External"/><Relationship Id="rId30" Type="http://schemas.openxmlformats.org/officeDocument/2006/relationships/hyperlink" Target="http://pure-oai.bham.ac.uk/ws/files/136165217/SSR_June_2021_61_64_Cottle.pdf" TargetMode="External"/><Relationship Id="rId35" Type="http://schemas.openxmlformats.org/officeDocument/2006/relationships/hyperlink" Target="https://onlinelibrary.wiley.com/doi/pdf/10.1111/gwao.12843" TargetMode="External"/><Relationship Id="rId43" Type="http://schemas.openxmlformats.org/officeDocument/2006/relationships/hyperlink" Target="https://centaur.reading.ac.uk/93439/3/19Oct2020IJHRM%20resubmission%20%E2%80%93%20OCT%202020%20Final%20Word%20Version%20%281%29.pdf" TargetMode="External"/><Relationship Id="rId48" Type="http://schemas.openxmlformats.org/officeDocument/2006/relationships/hyperlink" Target="https://www.researchgate.net/profile/Mohamed-Mousa-19/publication/341401854_Gender_diversity_management_perceptions_workplace_happiness_and_organisational_citizenship_behaviour/links/607cb46d907dcf667bab48e2/Gender-diversity-management-perceptions-workplace-happiness-and-organisational-citizenship-behaviour.pdf" TargetMode="External"/><Relationship Id="rId56" Type="http://schemas.openxmlformats.org/officeDocument/2006/relationships/hyperlink" Target="https://journals.sagepub.com/doi/pdf/10.1177/0950017020946664" TargetMode="External"/><Relationship Id="rId8" Type="http://schemas.openxmlformats.org/officeDocument/2006/relationships/image" Target="media/image1.jpeg"/><Relationship Id="rId51" Type="http://schemas.openxmlformats.org/officeDocument/2006/relationships/hyperlink" Target="https://orca.cardiff.ac.uk/id/eprint/138200/7/Critical_care_recruitment_strategies_paper_POST%20PRINT.pdf"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hyperlink" Target="https://www.nber.org/system/files/working_papers/w9043/w9043.pdf" TargetMode="External"/><Relationship Id="rId33" Type="http://schemas.openxmlformats.org/officeDocument/2006/relationships/hyperlink" Target="https://arro.anglia.ac.uk/id/eprint/707752/6/Dagilyte_et_al_2022.pdf" TargetMode="External"/><Relationship Id="rId38" Type="http://schemas.openxmlformats.org/officeDocument/2006/relationships/hyperlink" Target="https://ferryfoundation.org.uk/wp-content/uploads/2023/01/Engineering-Futures-Stage-1-Report.pdf" TargetMode="External"/><Relationship Id="rId46" Type="http://schemas.openxmlformats.org/officeDocument/2006/relationships/hyperlink" Target="https://www.ucl.ac.uk/bartlett/public-purpose/sites/bartlett_public_purpose/files/ucl-iipp-british-columbia-report-2022.pdf" TargetMode="External"/><Relationship Id="rId59"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D096B6-810B-40A1-9F26-DA9E5CEA3F10}" type="doc">
      <dgm:prSet loTypeId="urn:microsoft.com/office/officeart/2005/8/layout/pyramid1" loCatId="pyramid" qsTypeId="urn:microsoft.com/office/officeart/2005/8/quickstyle/simple1" qsCatId="simple" csTypeId="urn:microsoft.com/office/officeart/2005/8/colors/accent1_2" csCatId="accent1" phldr="1"/>
      <dgm:spPr/>
    </dgm:pt>
    <dgm:pt modelId="{FA7B0F49-3474-4055-878A-461EC96CF97A}">
      <dgm:prSet phldrT="[Text]" custT="1"/>
      <dgm:spPr/>
      <dgm:t>
        <a:bodyPr/>
        <a:lstStyle/>
        <a:p>
          <a:r>
            <a:rPr lang="en-IN" sz="1200" b="1">
              <a:latin typeface="Times New Roman" panose="02020603050405020304" pitchFamily="18" charset="0"/>
              <a:cs typeface="Times New Roman" panose="02020603050405020304" pitchFamily="18" charset="0"/>
            </a:rPr>
            <a:t>Recruitmnet </a:t>
          </a:r>
        </a:p>
      </dgm:t>
    </dgm:pt>
    <dgm:pt modelId="{0785FB9D-7AAE-4D1F-97D6-ACCC7E0195E4}" type="parTrans" cxnId="{AE9F2E28-C45E-4C2C-9DEB-6DDCD727004F}">
      <dgm:prSet/>
      <dgm:spPr/>
      <dgm:t>
        <a:bodyPr/>
        <a:lstStyle/>
        <a:p>
          <a:endParaRPr lang="en-IN" sz="1200"/>
        </a:p>
      </dgm:t>
    </dgm:pt>
    <dgm:pt modelId="{0E11FE85-9A9D-432A-9F1B-0113CA812E91}" type="sibTrans" cxnId="{AE9F2E28-C45E-4C2C-9DEB-6DDCD727004F}">
      <dgm:prSet/>
      <dgm:spPr/>
      <dgm:t>
        <a:bodyPr/>
        <a:lstStyle/>
        <a:p>
          <a:endParaRPr lang="en-IN" sz="1200"/>
        </a:p>
      </dgm:t>
    </dgm:pt>
    <dgm:pt modelId="{8DA03CB8-5C98-438D-A036-1BE643E8B969}">
      <dgm:prSet phldrT="[Text]" custT="1"/>
      <dgm:spPr/>
      <dgm:t>
        <a:bodyPr/>
        <a:lstStyle/>
        <a:p>
          <a:r>
            <a:rPr lang="en-IN" sz="1200" b="1">
              <a:latin typeface="Times New Roman" panose="02020603050405020304" pitchFamily="18" charset="0"/>
              <a:cs typeface="Times New Roman" panose="02020603050405020304" pitchFamily="18" charset="0"/>
            </a:rPr>
            <a:t>Re-hire</a:t>
          </a:r>
        </a:p>
      </dgm:t>
    </dgm:pt>
    <dgm:pt modelId="{BFB6191B-ACC1-4A64-8E82-DEA42249839C}" type="parTrans" cxnId="{38AD4CBF-7AD9-4A47-AF42-8FD082D3759B}">
      <dgm:prSet/>
      <dgm:spPr/>
      <dgm:t>
        <a:bodyPr/>
        <a:lstStyle/>
        <a:p>
          <a:endParaRPr lang="en-IN" sz="1200"/>
        </a:p>
      </dgm:t>
    </dgm:pt>
    <dgm:pt modelId="{DD3B69EE-7AEE-4262-A634-765E89E20802}" type="sibTrans" cxnId="{38AD4CBF-7AD9-4A47-AF42-8FD082D3759B}">
      <dgm:prSet/>
      <dgm:spPr/>
      <dgm:t>
        <a:bodyPr/>
        <a:lstStyle/>
        <a:p>
          <a:endParaRPr lang="en-IN" sz="1200"/>
        </a:p>
      </dgm:t>
    </dgm:pt>
    <dgm:pt modelId="{C6297607-9BC7-4EB3-8665-6B1CC9006E7A}">
      <dgm:prSet phldrT="[Text]" custT="1"/>
      <dgm:spPr/>
      <dgm:t>
        <a:bodyPr/>
        <a:lstStyle/>
        <a:p>
          <a:r>
            <a:rPr lang="en-IN" sz="1200" b="1">
              <a:latin typeface="Times New Roman" panose="02020603050405020304" pitchFamily="18" charset="0"/>
              <a:cs typeface="Times New Roman" panose="02020603050405020304" pitchFamily="18" charset="0"/>
            </a:rPr>
            <a:t>Retension</a:t>
          </a:r>
        </a:p>
      </dgm:t>
    </dgm:pt>
    <dgm:pt modelId="{547A6961-44A5-490D-AE54-9F8B23B6289E}" type="parTrans" cxnId="{3A7C3E73-D679-4A35-8378-B8B60EFED1DD}">
      <dgm:prSet/>
      <dgm:spPr/>
      <dgm:t>
        <a:bodyPr/>
        <a:lstStyle/>
        <a:p>
          <a:endParaRPr lang="en-IN" sz="1200"/>
        </a:p>
      </dgm:t>
    </dgm:pt>
    <dgm:pt modelId="{C2D8141C-A56C-435C-B90E-1060EA22A4A1}" type="sibTrans" cxnId="{3A7C3E73-D679-4A35-8378-B8B60EFED1DD}">
      <dgm:prSet/>
      <dgm:spPr/>
      <dgm:t>
        <a:bodyPr/>
        <a:lstStyle/>
        <a:p>
          <a:endParaRPr lang="en-IN" sz="1200"/>
        </a:p>
      </dgm:t>
    </dgm:pt>
    <dgm:pt modelId="{B678DC41-DE18-4D9B-B236-D0D24D81F2AA}" type="pres">
      <dgm:prSet presAssocID="{DFD096B6-810B-40A1-9F26-DA9E5CEA3F10}" presName="Name0" presStyleCnt="0">
        <dgm:presLayoutVars>
          <dgm:dir/>
          <dgm:animLvl val="lvl"/>
          <dgm:resizeHandles val="exact"/>
        </dgm:presLayoutVars>
      </dgm:prSet>
      <dgm:spPr/>
    </dgm:pt>
    <dgm:pt modelId="{E671A609-31CF-4179-84C9-AC34730F8942}" type="pres">
      <dgm:prSet presAssocID="{FA7B0F49-3474-4055-878A-461EC96CF97A}" presName="Name8" presStyleCnt="0"/>
      <dgm:spPr/>
    </dgm:pt>
    <dgm:pt modelId="{C49B8AA9-BE51-4767-8CA6-2185CD3695E4}" type="pres">
      <dgm:prSet presAssocID="{FA7B0F49-3474-4055-878A-461EC96CF97A}" presName="level" presStyleLbl="node1" presStyleIdx="0" presStyleCnt="3" custScaleX="96221" custScaleY="64104">
        <dgm:presLayoutVars>
          <dgm:chMax val="1"/>
          <dgm:bulletEnabled val="1"/>
        </dgm:presLayoutVars>
      </dgm:prSet>
      <dgm:spPr/>
    </dgm:pt>
    <dgm:pt modelId="{187F6550-CBCF-4CED-93A4-A12BC5D0A994}" type="pres">
      <dgm:prSet presAssocID="{FA7B0F49-3474-4055-878A-461EC96CF97A}" presName="levelTx" presStyleLbl="revTx" presStyleIdx="0" presStyleCnt="0">
        <dgm:presLayoutVars>
          <dgm:chMax val="1"/>
          <dgm:bulletEnabled val="1"/>
        </dgm:presLayoutVars>
      </dgm:prSet>
      <dgm:spPr/>
    </dgm:pt>
    <dgm:pt modelId="{B0525533-917A-4F3B-A5FC-D2FEE24E6C83}" type="pres">
      <dgm:prSet presAssocID="{8DA03CB8-5C98-438D-A036-1BE643E8B969}" presName="Name8" presStyleCnt="0"/>
      <dgm:spPr/>
    </dgm:pt>
    <dgm:pt modelId="{FAD3D43D-A429-4969-9CB4-829BD3E1176C}" type="pres">
      <dgm:prSet presAssocID="{8DA03CB8-5C98-438D-A036-1BE643E8B969}" presName="level" presStyleLbl="node1" presStyleIdx="1" presStyleCnt="3" custScaleX="76599" custScaleY="43478">
        <dgm:presLayoutVars>
          <dgm:chMax val="1"/>
          <dgm:bulletEnabled val="1"/>
        </dgm:presLayoutVars>
      </dgm:prSet>
      <dgm:spPr/>
    </dgm:pt>
    <dgm:pt modelId="{00165392-29F0-4965-990E-7235D19748BF}" type="pres">
      <dgm:prSet presAssocID="{8DA03CB8-5C98-438D-A036-1BE643E8B969}" presName="levelTx" presStyleLbl="revTx" presStyleIdx="0" presStyleCnt="0">
        <dgm:presLayoutVars>
          <dgm:chMax val="1"/>
          <dgm:bulletEnabled val="1"/>
        </dgm:presLayoutVars>
      </dgm:prSet>
      <dgm:spPr/>
    </dgm:pt>
    <dgm:pt modelId="{45B71C4B-4EC5-45EE-9793-799DFBB5B5DE}" type="pres">
      <dgm:prSet presAssocID="{C6297607-9BC7-4EB3-8665-6B1CC9006E7A}" presName="Name8" presStyleCnt="0"/>
      <dgm:spPr/>
    </dgm:pt>
    <dgm:pt modelId="{13C8FE31-49B9-4306-B078-A00A1AD6BE05}" type="pres">
      <dgm:prSet presAssocID="{C6297607-9BC7-4EB3-8665-6B1CC9006E7A}" presName="level" presStyleLbl="node1" presStyleIdx="2" presStyleCnt="3" custScaleX="82000" custScaleY="49768">
        <dgm:presLayoutVars>
          <dgm:chMax val="1"/>
          <dgm:bulletEnabled val="1"/>
        </dgm:presLayoutVars>
      </dgm:prSet>
      <dgm:spPr/>
    </dgm:pt>
    <dgm:pt modelId="{020859D8-63FE-4AA5-A995-6B5DB87BB86C}" type="pres">
      <dgm:prSet presAssocID="{C6297607-9BC7-4EB3-8665-6B1CC9006E7A}" presName="levelTx" presStyleLbl="revTx" presStyleIdx="0" presStyleCnt="0">
        <dgm:presLayoutVars>
          <dgm:chMax val="1"/>
          <dgm:bulletEnabled val="1"/>
        </dgm:presLayoutVars>
      </dgm:prSet>
      <dgm:spPr/>
    </dgm:pt>
  </dgm:ptLst>
  <dgm:cxnLst>
    <dgm:cxn modelId="{AE9F2E28-C45E-4C2C-9DEB-6DDCD727004F}" srcId="{DFD096B6-810B-40A1-9F26-DA9E5CEA3F10}" destId="{FA7B0F49-3474-4055-878A-461EC96CF97A}" srcOrd="0" destOrd="0" parTransId="{0785FB9D-7AAE-4D1F-97D6-ACCC7E0195E4}" sibTransId="{0E11FE85-9A9D-432A-9F1B-0113CA812E91}"/>
    <dgm:cxn modelId="{CBC83B29-B8CD-4DC1-A1AA-0C9BC0F1D14F}" type="presOf" srcId="{C6297607-9BC7-4EB3-8665-6B1CC9006E7A}" destId="{13C8FE31-49B9-4306-B078-A00A1AD6BE05}" srcOrd="0" destOrd="0" presId="urn:microsoft.com/office/officeart/2005/8/layout/pyramid1"/>
    <dgm:cxn modelId="{F4A7565E-6ED7-46C0-9DFB-CDB255097396}" type="presOf" srcId="{8DA03CB8-5C98-438D-A036-1BE643E8B969}" destId="{00165392-29F0-4965-990E-7235D19748BF}" srcOrd="1" destOrd="0" presId="urn:microsoft.com/office/officeart/2005/8/layout/pyramid1"/>
    <dgm:cxn modelId="{B0C88D52-9890-4609-B4A2-DFC3D327814D}" type="presOf" srcId="{FA7B0F49-3474-4055-878A-461EC96CF97A}" destId="{187F6550-CBCF-4CED-93A4-A12BC5D0A994}" srcOrd="1" destOrd="0" presId="urn:microsoft.com/office/officeart/2005/8/layout/pyramid1"/>
    <dgm:cxn modelId="{3A7C3E73-D679-4A35-8378-B8B60EFED1DD}" srcId="{DFD096B6-810B-40A1-9F26-DA9E5CEA3F10}" destId="{C6297607-9BC7-4EB3-8665-6B1CC9006E7A}" srcOrd="2" destOrd="0" parTransId="{547A6961-44A5-490D-AE54-9F8B23B6289E}" sibTransId="{C2D8141C-A56C-435C-B90E-1060EA22A4A1}"/>
    <dgm:cxn modelId="{B569B557-6FFC-40B6-9554-535D7520AEF3}" type="presOf" srcId="{8DA03CB8-5C98-438D-A036-1BE643E8B969}" destId="{FAD3D43D-A429-4969-9CB4-829BD3E1176C}" srcOrd="0" destOrd="0" presId="urn:microsoft.com/office/officeart/2005/8/layout/pyramid1"/>
    <dgm:cxn modelId="{34A3A985-8C4E-4418-AAD0-663BE8CDCEFE}" type="presOf" srcId="{DFD096B6-810B-40A1-9F26-DA9E5CEA3F10}" destId="{B678DC41-DE18-4D9B-B236-D0D24D81F2AA}" srcOrd="0" destOrd="0" presId="urn:microsoft.com/office/officeart/2005/8/layout/pyramid1"/>
    <dgm:cxn modelId="{38AD4CBF-7AD9-4A47-AF42-8FD082D3759B}" srcId="{DFD096B6-810B-40A1-9F26-DA9E5CEA3F10}" destId="{8DA03CB8-5C98-438D-A036-1BE643E8B969}" srcOrd="1" destOrd="0" parTransId="{BFB6191B-ACC1-4A64-8E82-DEA42249839C}" sibTransId="{DD3B69EE-7AEE-4262-A634-765E89E20802}"/>
    <dgm:cxn modelId="{1F4034C1-8FBE-4307-AD3A-66F0E6DB2A81}" type="presOf" srcId="{FA7B0F49-3474-4055-878A-461EC96CF97A}" destId="{C49B8AA9-BE51-4767-8CA6-2185CD3695E4}" srcOrd="0" destOrd="0" presId="urn:microsoft.com/office/officeart/2005/8/layout/pyramid1"/>
    <dgm:cxn modelId="{CD0762D7-603D-43CF-84CF-6627284405B4}" type="presOf" srcId="{C6297607-9BC7-4EB3-8665-6B1CC9006E7A}" destId="{020859D8-63FE-4AA5-A995-6B5DB87BB86C}" srcOrd="1" destOrd="0" presId="urn:microsoft.com/office/officeart/2005/8/layout/pyramid1"/>
    <dgm:cxn modelId="{A086A218-7841-400F-ABE2-147E53E1DA73}" type="presParOf" srcId="{B678DC41-DE18-4D9B-B236-D0D24D81F2AA}" destId="{E671A609-31CF-4179-84C9-AC34730F8942}" srcOrd="0" destOrd="0" presId="urn:microsoft.com/office/officeart/2005/8/layout/pyramid1"/>
    <dgm:cxn modelId="{17F3FF7F-FED1-4643-9B98-9513B741C725}" type="presParOf" srcId="{E671A609-31CF-4179-84C9-AC34730F8942}" destId="{C49B8AA9-BE51-4767-8CA6-2185CD3695E4}" srcOrd="0" destOrd="0" presId="urn:microsoft.com/office/officeart/2005/8/layout/pyramid1"/>
    <dgm:cxn modelId="{1E6435B3-9A5D-4592-8763-A7F557C76857}" type="presParOf" srcId="{E671A609-31CF-4179-84C9-AC34730F8942}" destId="{187F6550-CBCF-4CED-93A4-A12BC5D0A994}" srcOrd="1" destOrd="0" presId="urn:microsoft.com/office/officeart/2005/8/layout/pyramid1"/>
    <dgm:cxn modelId="{911EA2D9-0F75-45C9-9922-2C57DF658040}" type="presParOf" srcId="{B678DC41-DE18-4D9B-B236-D0D24D81F2AA}" destId="{B0525533-917A-4F3B-A5FC-D2FEE24E6C83}" srcOrd="1" destOrd="0" presId="urn:microsoft.com/office/officeart/2005/8/layout/pyramid1"/>
    <dgm:cxn modelId="{84964412-4019-4511-AB8C-E5B09B7AA060}" type="presParOf" srcId="{B0525533-917A-4F3B-A5FC-D2FEE24E6C83}" destId="{FAD3D43D-A429-4969-9CB4-829BD3E1176C}" srcOrd="0" destOrd="0" presId="urn:microsoft.com/office/officeart/2005/8/layout/pyramid1"/>
    <dgm:cxn modelId="{DB9DC95D-D3F3-4A79-8C6D-F8117B542849}" type="presParOf" srcId="{B0525533-917A-4F3B-A5FC-D2FEE24E6C83}" destId="{00165392-29F0-4965-990E-7235D19748BF}" srcOrd="1" destOrd="0" presId="urn:microsoft.com/office/officeart/2005/8/layout/pyramid1"/>
    <dgm:cxn modelId="{281DEB95-FB66-4CB5-8AF1-99CF9015E877}" type="presParOf" srcId="{B678DC41-DE18-4D9B-B236-D0D24D81F2AA}" destId="{45B71C4B-4EC5-45EE-9793-799DFBB5B5DE}" srcOrd="2" destOrd="0" presId="urn:microsoft.com/office/officeart/2005/8/layout/pyramid1"/>
    <dgm:cxn modelId="{2CE1B294-DA2B-43DC-8722-B0955F20D6C4}" type="presParOf" srcId="{45B71C4B-4EC5-45EE-9793-799DFBB5B5DE}" destId="{13C8FE31-49B9-4306-B078-A00A1AD6BE05}" srcOrd="0" destOrd="0" presId="urn:microsoft.com/office/officeart/2005/8/layout/pyramid1"/>
    <dgm:cxn modelId="{E3828B2E-8CCB-457B-82BE-3C9CD4425755}" type="presParOf" srcId="{45B71C4B-4EC5-45EE-9793-799DFBB5B5DE}" destId="{020859D8-63FE-4AA5-A995-6B5DB87BB86C}" srcOrd="1" destOrd="0" presId="urn:microsoft.com/office/officeart/2005/8/layout/pyramid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40CFA22-B776-49AC-9079-78D7F487ABF1}" type="doc">
      <dgm:prSet loTypeId="urn:microsoft.com/office/officeart/2005/8/layout/process1" loCatId="process" qsTypeId="urn:microsoft.com/office/officeart/2005/8/quickstyle/simple1" qsCatId="simple" csTypeId="urn:microsoft.com/office/officeart/2005/8/colors/accent1_2" csCatId="accent1" phldr="1"/>
      <dgm:spPr/>
    </dgm:pt>
    <dgm:pt modelId="{95520326-BE3D-45C4-8397-FCA456CDB179}">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Employment Rights Act 1996</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EB14661D-931C-4FAB-96CC-1434BC6AFD29}" type="parTrans" cxnId="{7B4B0F85-3854-4D22-A5CF-E88FDC42DF99}">
      <dgm:prSet/>
      <dgm:spPr/>
      <dgm:t>
        <a:bodyPr/>
        <a:lstStyle/>
        <a:p>
          <a:endParaRPr lang="en-IN"/>
        </a:p>
      </dgm:t>
    </dgm:pt>
    <dgm:pt modelId="{9640C5F8-E6AB-486F-B98D-AB3B4EAB1EFC}" type="sibTrans" cxnId="{7B4B0F85-3854-4D22-A5CF-E88FDC42DF99}">
      <dgm:prSet/>
      <dgm:spPr/>
      <dgm:t>
        <a:bodyPr/>
        <a:lstStyle/>
        <a:p>
          <a:endParaRPr lang="en-IN"/>
        </a:p>
      </dgm:t>
    </dgm:pt>
    <dgm:pt modelId="{81FD5967-A65B-4A66-BA91-3BD492D76867}">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Agency workers regulations 2010</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6DA2D5BB-E6B0-41C2-A584-EFD9E848BCF2}" type="parTrans" cxnId="{4BA23B42-FE35-4949-82EB-FBA1CDBEDC08}">
      <dgm:prSet/>
      <dgm:spPr/>
      <dgm:t>
        <a:bodyPr/>
        <a:lstStyle/>
        <a:p>
          <a:endParaRPr lang="en-IN"/>
        </a:p>
      </dgm:t>
    </dgm:pt>
    <dgm:pt modelId="{329808B8-3F65-4B30-B611-F77EDD08C16E}" type="sibTrans" cxnId="{4BA23B42-FE35-4949-82EB-FBA1CDBEDC08}">
      <dgm:prSet/>
      <dgm:spPr/>
      <dgm:t>
        <a:bodyPr/>
        <a:lstStyle/>
        <a:p>
          <a:endParaRPr lang="en-IN"/>
        </a:p>
      </dgm:t>
    </dgm:pt>
    <dgm:pt modelId="{BC87F645-E545-4CB5-8CBF-88D5C99E72F3}">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Minimum wage act 1998</a:t>
          </a:r>
          <a:endParaRPr lang="en-IN">
            <a:solidFill>
              <a:sysClr val="windowText" lastClr="000000"/>
            </a:solidFill>
            <a:latin typeface="Times New Roman" panose="02020603050405020304" pitchFamily="18" charset="0"/>
            <a:cs typeface="Times New Roman" panose="02020603050405020304" pitchFamily="18" charset="0"/>
          </a:endParaRPr>
        </a:p>
      </dgm:t>
    </dgm:pt>
    <dgm:pt modelId="{AD3F405D-74DD-4044-9776-2A28828E99B2}" type="parTrans" cxnId="{487EDBBC-AA0C-4E27-80AE-F4F908768293}">
      <dgm:prSet/>
      <dgm:spPr/>
      <dgm:t>
        <a:bodyPr/>
        <a:lstStyle/>
        <a:p>
          <a:endParaRPr lang="en-IN"/>
        </a:p>
      </dgm:t>
    </dgm:pt>
    <dgm:pt modelId="{ADDA2430-96C8-42E3-833B-21229004247E}" type="sibTrans" cxnId="{487EDBBC-AA0C-4E27-80AE-F4F908768293}">
      <dgm:prSet/>
      <dgm:spPr/>
      <dgm:t>
        <a:bodyPr/>
        <a:lstStyle/>
        <a:p>
          <a:endParaRPr lang="en-IN"/>
        </a:p>
      </dgm:t>
    </dgm:pt>
    <dgm:pt modelId="{A65A32FE-F506-45F9-8103-71FE9F941474}" type="pres">
      <dgm:prSet presAssocID="{540CFA22-B776-49AC-9079-78D7F487ABF1}" presName="Name0" presStyleCnt="0">
        <dgm:presLayoutVars>
          <dgm:dir/>
          <dgm:resizeHandles val="exact"/>
        </dgm:presLayoutVars>
      </dgm:prSet>
      <dgm:spPr/>
    </dgm:pt>
    <dgm:pt modelId="{35E59507-8A4E-4628-BAD7-327E0EC69E5C}" type="pres">
      <dgm:prSet presAssocID="{95520326-BE3D-45C4-8397-FCA456CDB179}" presName="node" presStyleLbl="node1" presStyleIdx="0" presStyleCnt="3">
        <dgm:presLayoutVars>
          <dgm:bulletEnabled val="1"/>
        </dgm:presLayoutVars>
      </dgm:prSet>
      <dgm:spPr/>
    </dgm:pt>
    <dgm:pt modelId="{4D2AA250-432F-4B9C-BFC6-15BF52686297}" type="pres">
      <dgm:prSet presAssocID="{9640C5F8-E6AB-486F-B98D-AB3B4EAB1EFC}" presName="sibTrans" presStyleLbl="sibTrans2D1" presStyleIdx="0" presStyleCnt="2"/>
      <dgm:spPr/>
    </dgm:pt>
    <dgm:pt modelId="{F4BA5243-1269-459B-9151-72B06321B7F3}" type="pres">
      <dgm:prSet presAssocID="{9640C5F8-E6AB-486F-B98D-AB3B4EAB1EFC}" presName="connectorText" presStyleLbl="sibTrans2D1" presStyleIdx="0" presStyleCnt="2"/>
      <dgm:spPr/>
    </dgm:pt>
    <dgm:pt modelId="{D1C4BD71-DAF6-405B-AE30-61BEDC4A44D2}" type="pres">
      <dgm:prSet presAssocID="{81FD5967-A65B-4A66-BA91-3BD492D76867}" presName="node" presStyleLbl="node1" presStyleIdx="1" presStyleCnt="3">
        <dgm:presLayoutVars>
          <dgm:bulletEnabled val="1"/>
        </dgm:presLayoutVars>
      </dgm:prSet>
      <dgm:spPr/>
    </dgm:pt>
    <dgm:pt modelId="{E93E18C3-A4E6-4E11-ACCB-5D0CB6E41262}" type="pres">
      <dgm:prSet presAssocID="{329808B8-3F65-4B30-B611-F77EDD08C16E}" presName="sibTrans" presStyleLbl="sibTrans2D1" presStyleIdx="1" presStyleCnt="2"/>
      <dgm:spPr/>
    </dgm:pt>
    <dgm:pt modelId="{E850F9CE-A8B7-40AF-9288-85035B4E405E}" type="pres">
      <dgm:prSet presAssocID="{329808B8-3F65-4B30-B611-F77EDD08C16E}" presName="connectorText" presStyleLbl="sibTrans2D1" presStyleIdx="1" presStyleCnt="2"/>
      <dgm:spPr/>
    </dgm:pt>
    <dgm:pt modelId="{E037E34F-98E7-4D7B-957B-89BD07ABFDD0}" type="pres">
      <dgm:prSet presAssocID="{BC87F645-E545-4CB5-8CBF-88D5C99E72F3}" presName="node" presStyleLbl="node1" presStyleIdx="2" presStyleCnt="3">
        <dgm:presLayoutVars>
          <dgm:bulletEnabled val="1"/>
        </dgm:presLayoutVars>
      </dgm:prSet>
      <dgm:spPr/>
    </dgm:pt>
  </dgm:ptLst>
  <dgm:cxnLst>
    <dgm:cxn modelId="{5B543E0B-9A9C-425F-8528-9B91313B7DAE}" type="presOf" srcId="{9640C5F8-E6AB-486F-B98D-AB3B4EAB1EFC}" destId="{4D2AA250-432F-4B9C-BFC6-15BF52686297}" srcOrd="0" destOrd="0" presId="urn:microsoft.com/office/officeart/2005/8/layout/process1"/>
    <dgm:cxn modelId="{A55E0D0D-BE66-4084-AD96-D8056A0567A5}" type="presOf" srcId="{540CFA22-B776-49AC-9079-78D7F487ABF1}" destId="{A65A32FE-F506-45F9-8103-71FE9F941474}" srcOrd="0" destOrd="0" presId="urn:microsoft.com/office/officeart/2005/8/layout/process1"/>
    <dgm:cxn modelId="{EC970621-FF85-4742-82C9-7C61463CCBBC}" type="presOf" srcId="{9640C5F8-E6AB-486F-B98D-AB3B4EAB1EFC}" destId="{F4BA5243-1269-459B-9151-72B06321B7F3}" srcOrd="1" destOrd="0" presId="urn:microsoft.com/office/officeart/2005/8/layout/process1"/>
    <dgm:cxn modelId="{952AE331-7683-4B7F-AB54-5A0DE77FD783}" type="presOf" srcId="{329808B8-3F65-4B30-B611-F77EDD08C16E}" destId="{E93E18C3-A4E6-4E11-ACCB-5D0CB6E41262}" srcOrd="0" destOrd="0" presId="urn:microsoft.com/office/officeart/2005/8/layout/process1"/>
    <dgm:cxn modelId="{4BA23B42-FE35-4949-82EB-FBA1CDBEDC08}" srcId="{540CFA22-B776-49AC-9079-78D7F487ABF1}" destId="{81FD5967-A65B-4A66-BA91-3BD492D76867}" srcOrd="1" destOrd="0" parTransId="{6DA2D5BB-E6B0-41C2-A584-EFD9E848BCF2}" sibTransId="{329808B8-3F65-4B30-B611-F77EDD08C16E}"/>
    <dgm:cxn modelId="{7B4B0F85-3854-4D22-A5CF-E88FDC42DF99}" srcId="{540CFA22-B776-49AC-9079-78D7F487ABF1}" destId="{95520326-BE3D-45C4-8397-FCA456CDB179}" srcOrd="0" destOrd="0" parTransId="{EB14661D-931C-4FAB-96CC-1434BC6AFD29}" sibTransId="{9640C5F8-E6AB-486F-B98D-AB3B4EAB1EFC}"/>
    <dgm:cxn modelId="{D721D488-9C8E-4329-9EE8-4E2B92C3E563}" type="presOf" srcId="{329808B8-3F65-4B30-B611-F77EDD08C16E}" destId="{E850F9CE-A8B7-40AF-9288-85035B4E405E}" srcOrd="1" destOrd="0" presId="urn:microsoft.com/office/officeart/2005/8/layout/process1"/>
    <dgm:cxn modelId="{75BD94A4-E37B-4655-8445-8E8FF1434813}" type="presOf" srcId="{95520326-BE3D-45C4-8397-FCA456CDB179}" destId="{35E59507-8A4E-4628-BAD7-327E0EC69E5C}" srcOrd="0" destOrd="0" presId="urn:microsoft.com/office/officeart/2005/8/layout/process1"/>
    <dgm:cxn modelId="{487EDBBC-AA0C-4E27-80AE-F4F908768293}" srcId="{540CFA22-B776-49AC-9079-78D7F487ABF1}" destId="{BC87F645-E545-4CB5-8CBF-88D5C99E72F3}" srcOrd="2" destOrd="0" parTransId="{AD3F405D-74DD-4044-9776-2A28828E99B2}" sibTransId="{ADDA2430-96C8-42E3-833B-21229004247E}"/>
    <dgm:cxn modelId="{5F8408BD-A929-4F4D-B525-C3E59A6FE34C}" type="presOf" srcId="{81FD5967-A65B-4A66-BA91-3BD492D76867}" destId="{D1C4BD71-DAF6-405B-AE30-61BEDC4A44D2}" srcOrd="0" destOrd="0" presId="urn:microsoft.com/office/officeart/2005/8/layout/process1"/>
    <dgm:cxn modelId="{D4510FD0-34AA-4825-AFB4-B430F354C198}" type="presOf" srcId="{BC87F645-E545-4CB5-8CBF-88D5C99E72F3}" destId="{E037E34F-98E7-4D7B-957B-89BD07ABFDD0}" srcOrd="0" destOrd="0" presId="urn:microsoft.com/office/officeart/2005/8/layout/process1"/>
    <dgm:cxn modelId="{9C4BE8AE-83F6-4B82-A670-F242A1FF5E28}" type="presParOf" srcId="{A65A32FE-F506-45F9-8103-71FE9F941474}" destId="{35E59507-8A4E-4628-BAD7-327E0EC69E5C}" srcOrd="0" destOrd="0" presId="urn:microsoft.com/office/officeart/2005/8/layout/process1"/>
    <dgm:cxn modelId="{A6AA079B-24B0-4740-89F3-497CFA8F7B14}" type="presParOf" srcId="{A65A32FE-F506-45F9-8103-71FE9F941474}" destId="{4D2AA250-432F-4B9C-BFC6-15BF52686297}" srcOrd="1" destOrd="0" presId="urn:microsoft.com/office/officeart/2005/8/layout/process1"/>
    <dgm:cxn modelId="{FEE062E8-2E30-4EEF-888A-97A3B3902896}" type="presParOf" srcId="{4D2AA250-432F-4B9C-BFC6-15BF52686297}" destId="{F4BA5243-1269-459B-9151-72B06321B7F3}" srcOrd="0" destOrd="0" presId="urn:microsoft.com/office/officeart/2005/8/layout/process1"/>
    <dgm:cxn modelId="{2EB47E71-3F4C-4375-A3F4-D5E536DC9F48}" type="presParOf" srcId="{A65A32FE-F506-45F9-8103-71FE9F941474}" destId="{D1C4BD71-DAF6-405B-AE30-61BEDC4A44D2}" srcOrd="2" destOrd="0" presId="urn:microsoft.com/office/officeart/2005/8/layout/process1"/>
    <dgm:cxn modelId="{8759B54A-FD1D-4082-B52E-41C85F7D071F}" type="presParOf" srcId="{A65A32FE-F506-45F9-8103-71FE9F941474}" destId="{E93E18C3-A4E6-4E11-ACCB-5D0CB6E41262}" srcOrd="3" destOrd="0" presId="urn:microsoft.com/office/officeart/2005/8/layout/process1"/>
    <dgm:cxn modelId="{D46AE21B-BBDD-4FFF-9D7E-E8986232C82D}" type="presParOf" srcId="{E93E18C3-A4E6-4E11-ACCB-5D0CB6E41262}" destId="{E850F9CE-A8B7-40AF-9288-85035B4E405E}" srcOrd="0" destOrd="0" presId="urn:microsoft.com/office/officeart/2005/8/layout/process1"/>
    <dgm:cxn modelId="{B1B71603-2328-4AED-A1F6-C67142B93DFF}" type="presParOf" srcId="{A65A32FE-F506-45F9-8103-71FE9F941474}" destId="{E037E34F-98E7-4D7B-957B-89BD07ABFDD0}" srcOrd="4" destOrd="0" presId="urn:microsoft.com/office/officeart/2005/8/layout/process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9B8AA9-BE51-4767-8CA6-2185CD3695E4}">
      <dsp:nvSpPr>
        <dsp:cNvPr id="0" name=""/>
        <dsp:cNvSpPr/>
      </dsp:nvSpPr>
      <dsp:spPr>
        <a:xfrm>
          <a:off x="1447795" y="0"/>
          <a:ext cx="1866909" cy="1133094"/>
        </a:xfrm>
        <a:prstGeom prst="trapezoid">
          <a:avLst>
            <a:gd name="adj" fmla="val 85616"/>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Recruitmnet </a:t>
          </a:r>
        </a:p>
      </dsp:txBody>
      <dsp:txXfrm>
        <a:off x="1447795" y="0"/>
        <a:ext cx="1866909" cy="1133094"/>
      </dsp:txXfrm>
    </dsp:sp>
    <dsp:sp modelId="{FAD3D43D-A429-4969-9CB4-829BD3E1176C}">
      <dsp:nvSpPr>
        <dsp:cNvPr id="0" name=""/>
        <dsp:cNvSpPr/>
      </dsp:nvSpPr>
      <dsp:spPr>
        <a:xfrm>
          <a:off x="1134150" y="1133094"/>
          <a:ext cx="2494198" cy="768511"/>
        </a:xfrm>
        <a:prstGeom prst="trapezoid">
          <a:avLst>
            <a:gd name="adj" fmla="val 85616"/>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Re-hire</a:t>
          </a:r>
        </a:p>
      </dsp:txBody>
      <dsp:txXfrm>
        <a:off x="1570635" y="1133094"/>
        <a:ext cx="1621228" cy="768511"/>
      </dsp:txXfrm>
    </dsp:sp>
    <dsp:sp modelId="{13C8FE31-49B9-4306-B078-A00A1AD6BE05}">
      <dsp:nvSpPr>
        <dsp:cNvPr id="0" name=""/>
        <dsp:cNvSpPr/>
      </dsp:nvSpPr>
      <dsp:spPr>
        <a:xfrm>
          <a:off x="428625" y="1901606"/>
          <a:ext cx="3905249" cy="879693"/>
        </a:xfrm>
        <a:prstGeom prst="trapezoid">
          <a:avLst>
            <a:gd name="adj" fmla="val 85616"/>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Retension</a:t>
          </a:r>
        </a:p>
      </dsp:txBody>
      <dsp:txXfrm>
        <a:off x="1112043" y="1901606"/>
        <a:ext cx="2538412" cy="8796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E59507-8A4E-4628-BAD7-327E0EC69E5C}">
      <dsp:nvSpPr>
        <dsp:cNvPr id="0" name=""/>
        <dsp:cNvSpPr/>
      </dsp:nvSpPr>
      <dsp:spPr>
        <a:xfrm>
          <a:off x="4822" y="196898"/>
          <a:ext cx="1441251" cy="110162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b="1" kern="1200">
              <a:solidFill>
                <a:sysClr val="windowText" lastClr="000000"/>
              </a:solidFill>
              <a:latin typeface="Times New Roman" panose="02020603050405020304" pitchFamily="18" charset="0"/>
              <a:cs typeface="Times New Roman" panose="02020603050405020304" pitchFamily="18" charset="0"/>
            </a:rPr>
            <a:t>Employment Rights Act 1996</a:t>
          </a:r>
          <a:endParaRPr lang="en-IN" sz="1700" kern="1200">
            <a:solidFill>
              <a:sysClr val="windowText" lastClr="000000"/>
            </a:solidFill>
            <a:latin typeface="Times New Roman" panose="02020603050405020304" pitchFamily="18" charset="0"/>
            <a:cs typeface="Times New Roman" panose="02020603050405020304" pitchFamily="18" charset="0"/>
          </a:endParaRPr>
        </a:p>
      </dsp:txBody>
      <dsp:txXfrm>
        <a:off x="37088" y="229164"/>
        <a:ext cx="1376719" cy="1037096"/>
      </dsp:txXfrm>
    </dsp:sp>
    <dsp:sp modelId="{4D2AA250-432F-4B9C-BFC6-15BF52686297}">
      <dsp:nvSpPr>
        <dsp:cNvPr id="0" name=""/>
        <dsp:cNvSpPr/>
      </dsp:nvSpPr>
      <dsp:spPr>
        <a:xfrm>
          <a:off x="1590198" y="56899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1590198" y="640483"/>
        <a:ext cx="213882" cy="214458"/>
      </dsp:txXfrm>
    </dsp:sp>
    <dsp:sp modelId="{D1C4BD71-DAF6-405B-AE30-61BEDC4A44D2}">
      <dsp:nvSpPr>
        <dsp:cNvPr id="0" name=""/>
        <dsp:cNvSpPr/>
      </dsp:nvSpPr>
      <dsp:spPr>
        <a:xfrm>
          <a:off x="2022574" y="196898"/>
          <a:ext cx="1441251" cy="110162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b="1" kern="1200">
              <a:solidFill>
                <a:sysClr val="windowText" lastClr="000000"/>
              </a:solidFill>
              <a:latin typeface="Times New Roman" panose="02020603050405020304" pitchFamily="18" charset="0"/>
              <a:cs typeface="Times New Roman" panose="02020603050405020304" pitchFamily="18" charset="0"/>
            </a:rPr>
            <a:t>Agency workers regulations 2010</a:t>
          </a:r>
          <a:endParaRPr lang="en-IN" sz="1700" kern="1200">
            <a:solidFill>
              <a:sysClr val="windowText" lastClr="000000"/>
            </a:solidFill>
            <a:latin typeface="Times New Roman" panose="02020603050405020304" pitchFamily="18" charset="0"/>
            <a:cs typeface="Times New Roman" panose="02020603050405020304" pitchFamily="18" charset="0"/>
          </a:endParaRPr>
        </a:p>
      </dsp:txBody>
      <dsp:txXfrm>
        <a:off x="2054840" y="229164"/>
        <a:ext cx="1376719" cy="1037096"/>
      </dsp:txXfrm>
    </dsp:sp>
    <dsp:sp modelId="{E93E18C3-A4E6-4E11-ACCB-5D0CB6E41262}">
      <dsp:nvSpPr>
        <dsp:cNvPr id="0" name=""/>
        <dsp:cNvSpPr/>
      </dsp:nvSpPr>
      <dsp:spPr>
        <a:xfrm>
          <a:off x="3607950" y="56899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IN" sz="1400" kern="1200"/>
        </a:p>
      </dsp:txBody>
      <dsp:txXfrm>
        <a:off x="3607950" y="640483"/>
        <a:ext cx="213882" cy="214458"/>
      </dsp:txXfrm>
    </dsp:sp>
    <dsp:sp modelId="{E037E34F-98E7-4D7B-957B-89BD07ABFDD0}">
      <dsp:nvSpPr>
        <dsp:cNvPr id="0" name=""/>
        <dsp:cNvSpPr/>
      </dsp:nvSpPr>
      <dsp:spPr>
        <a:xfrm>
          <a:off x="4040326" y="196898"/>
          <a:ext cx="1441251" cy="110162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IN" sz="1700" b="1" kern="1200">
              <a:solidFill>
                <a:sysClr val="windowText" lastClr="000000"/>
              </a:solidFill>
              <a:latin typeface="Times New Roman" panose="02020603050405020304" pitchFamily="18" charset="0"/>
              <a:cs typeface="Times New Roman" panose="02020603050405020304" pitchFamily="18" charset="0"/>
            </a:rPr>
            <a:t>Minimum wage act 1998</a:t>
          </a:r>
          <a:endParaRPr lang="en-IN" sz="1700" kern="1200">
            <a:solidFill>
              <a:sysClr val="windowText" lastClr="000000"/>
            </a:solidFill>
            <a:latin typeface="Times New Roman" panose="02020603050405020304" pitchFamily="18" charset="0"/>
            <a:cs typeface="Times New Roman" panose="02020603050405020304" pitchFamily="18" charset="0"/>
          </a:endParaRPr>
        </a:p>
      </dsp:txBody>
      <dsp:txXfrm>
        <a:off x="4072592" y="229164"/>
        <a:ext cx="1376719" cy="103709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D93CC-52DB-4624-866E-5CA9CD3D3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7518</Words>
  <Characters>42855</Characters>
  <DocSecurity>0</DocSecurity>
  <Lines>357</Lines>
  <Paragraphs>100</Paragraphs>
  <ScaleCrop>false</ScaleCrop>
  <Company/>
  <LinksUpToDate>false</LinksUpToDate>
  <CharactersWithSpaces>50273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2023-04-12T15:22:00Z</dcterms:created>
  <dcterms:modified xsi:type="dcterms:W3CDTF">2023-04-12T15:22:00Z</dcterms:modified>
</cp:coreProperties>
</file>