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tl w:val="0"/>
        </w:rPr>
        <w:t xml:space="preserve">Hilton Worldwide Holdings Inc. — Comprehensive Financial, Ratio, &amp; Working Capital Summary</w:t>
      </w:r>
    </w:p>
    <w:p w:rsidR="00000000" w:rsidDel="00000000" w:rsidP="00000000" w:rsidRDefault="00000000" w:rsidRPr="00000000" w14:paraId="00000002">
      <w:pPr>
        <w:rPr/>
      </w:pPr>
      <w:r w:rsidDel="00000000" w:rsidR="00000000" w:rsidRPr="00000000">
        <w:rPr>
          <w:rtl w:val="0"/>
        </w:rPr>
        <w:t xml:space="preserve">Assessment Analysis Report (Fiscal Years 2021–2025) | Master Excel Model Evaluation</w:t>
      </w:r>
    </w:p>
    <w:p w:rsidR="00000000" w:rsidDel="00000000" w:rsidP="00000000" w:rsidRDefault="00000000" w:rsidRPr="00000000" w14:paraId="00000003">
      <w:pPr>
        <w:pStyle w:val="Heading2"/>
        <w:rPr/>
      </w:pPr>
      <w:r w:rsidDel="00000000" w:rsidR="00000000" w:rsidRPr="00000000">
        <w:rPr>
          <w:rtl w:val="0"/>
        </w:rPr>
        <w:t xml:space="preserve">1. Executive Summary &amp; Multi-Year Financial Performance</w:t>
      </w:r>
    </w:p>
    <w:p w:rsidR="00000000" w:rsidDel="00000000" w:rsidP="00000000" w:rsidRDefault="00000000" w:rsidRPr="00000000" w14:paraId="00000004">
      <w:pPr>
        <w:rPr/>
      </w:pPr>
      <w:r w:rsidDel="00000000" w:rsidR="00000000" w:rsidRPr="00000000">
        <w:rPr>
          <w:rtl w:val="0"/>
        </w:rPr>
        <w:t xml:space="preserve">This report provides a rigorous analytical summary of Hilton Worldwide Holdings Inc. across the five-year fiscal period from 2021 through 2025, synthesizing data extracted directly from official Form 10-K SEC filings. Throughout this timeframe, Hilton demonstrated an exceptional post-pandemic financial recovery and sustained top-line expansion. Total revenues increased from $5,788 million in 2021 to $12,039 million in 2025. Core revenues before reimbursements—which isolate Hilton's proprietary earnings from pass-through property costs—doubled from $2,444 million to $4,954 million. This multi-year growth was primarily driven by the rapid expansion of franchise and licensing fees (climbing from $1,493 million in 2021 to $2,780 million in 2025), fueled by aggressive net unit growth, robust co-branded credit card partnership revenues, and surging international travel demand.</w:t>
      </w:r>
    </w:p>
    <w:p w:rsidR="00000000" w:rsidDel="00000000" w:rsidP="00000000" w:rsidRDefault="00000000" w:rsidRPr="00000000" w14:paraId="00000005">
      <w:pPr>
        <w:pStyle w:val="Heading2"/>
        <w:rPr/>
      </w:pPr>
      <w:r w:rsidDel="00000000" w:rsidR="00000000" w:rsidRPr="00000000">
        <w:rPr>
          <w:rtl w:val="0"/>
        </w:rPr>
        <w:t xml:space="preserve">2. Investment &amp; Cash Flow Ratios Analysis (Worksheet: 'Ratios_5yr')</w:t>
      </w:r>
    </w:p>
    <w:p w:rsidR="00000000" w:rsidDel="00000000" w:rsidP="00000000" w:rsidRDefault="00000000" w:rsidRPr="00000000" w14:paraId="00000006">
      <w:pPr>
        <w:rPr/>
      </w:pPr>
      <w:r w:rsidDel="00000000" w:rsidR="00000000" w:rsidRPr="00000000">
        <w:rPr>
          <w:rtl w:val="0"/>
        </w:rPr>
        <w:t xml:space="preserve">An evaluation of key investment and cash flow ratios reveals the unique operational and capital structure dynamics of Hilton:</w:t>
        <w:br w:type="textWrapping"/>
        <w:t xml:space="preserve">• Return on Equity (ROE): Because Hilton aggressively returns capital to shareholders via multi-billion-dollar share repurchases, its accumulated deficit results in a negative stockholders' equity position (-$5,388 million in 2025). Consequently, ROE is mathematically negative, moving from -49.94% in 2021 to -27.05% in 2025. This reflects an intentional capital return strategy rather than insolvency.</w:t>
        <w:br w:type="textWrapping"/>
        <w:t xml:space="preserve">• Return on Assets (ROA): Demonstrating robust asset productivity, ROA climbed from 2.66% in 2021 to a healthy peak of 9.29% in 2024 and 8.68% in 2025.</w:t>
        <w:br w:type="textWrapping"/>
        <w:t xml:space="preserve">• Price-to-Earnings (P/E) Ratio: Hilton trades at a premium valuation multiple of 43.32x in 2025, reflecting strong market confidence in its asset-light growth pipeline.</w:t>
        <w:br w:type="textWrapping"/>
        <w:t xml:space="preserve">• Cash Flow Ratios: The Operating Cash Flow Ratio stood at 0.47x in 2025, while the Free Cash Flow Margin reached an impressive 16.15%, highlighting elite cash conversion capabilities with minimal capital expenditures.</w:t>
      </w:r>
    </w:p>
    <w:p w:rsidR="00000000" w:rsidDel="00000000" w:rsidP="00000000" w:rsidRDefault="00000000" w:rsidRPr="00000000" w14:paraId="00000007">
      <w:pPr>
        <w:pStyle w:val="Heading2"/>
        <w:rPr/>
      </w:pPr>
      <w:r w:rsidDel="00000000" w:rsidR="00000000" w:rsidRPr="00000000">
        <w:rPr>
          <w:rtl w:val="0"/>
        </w:rPr>
        <w:t xml:space="preserve">3. Industry Benchmark Comparison (Worksheet: 'Benchmark')</w:t>
      </w:r>
    </w:p>
    <w:p w:rsidR="00000000" w:rsidDel="00000000" w:rsidP="00000000" w:rsidRDefault="00000000" w:rsidRPr="00000000" w14:paraId="00000008">
      <w:pPr>
        <w:rPr/>
      </w:pPr>
      <w:r w:rsidDel="00000000" w:rsidR="00000000" w:rsidRPr="00000000">
        <w:rPr>
          <w:rtl w:val="0"/>
        </w:rPr>
        <w:t xml:space="preserve">Benchmarking Hilton’s 2025 performance against direct peers (Marriott International and Hyatt Hotels) and the broader hospitality industry average illustrates clear competitive advantages:</w:t>
        <w:br w:type="textWrapping"/>
        <w:t xml:space="preserve">• Asset Productivity: Hilton’s ROA (8.68%) outperforms Marriott (6.20%), Hyatt (4.10%), and the industry average (5.00%), confirming the superior capital efficiency of its fee-based franchising model.</w:t>
        <w:br w:type="textWrapping"/>
        <w:t xml:space="preserve">• Cash Efficiency: Hilton leads the peer group with a 16.15% Free Cash Flow Margin, comfortably surpassing Marriott (12.50%), Hyatt (9.20%), and the industry benchmark (10.50%).</w:t>
        <w:br w:type="textWrapping"/>
        <w:t xml:space="preserve">• Valuation &amp; Structure: Hilton commands a higher P/E multiple (43.32x vs. ~28x industry average) due to its highly scalable, asset-light fee structure.</w:t>
      </w:r>
    </w:p>
    <w:p w:rsidR="00000000" w:rsidDel="00000000" w:rsidP="00000000" w:rsidRDefault="00000000" w:rsidRPr="00000000" w14:paraId="00000009">
      <w:pPr>
        <w:pStyle w:val="Heading2"/>
        <w:rPr/>
      </w:pPr>
      <w:r w:rsidDel="00000000" w:rsidR="00000000" w:rsidRPr="00000000">
        <w:rPr>
          <w:rtl w:val="0"/>
        </w:rPr>
        <w:t xml:space="preserve">4. Working Capital Management &amp; Cash Conversion Cycle (Worksheet: 'CCC_5yr')</w:t>
      </w:r>
    </w:p>
    <w:p w:rsidR="00000000" w:rsidDel="00000000" w:rsidP="00000000" w:rsidRDefault="00000000" w:rsidRPr="00000000" w14:paraId="0000000A">
      <w:pPr>
        <w:rPr/>
      </w:pPr>
      <w:r w:rsidDel="00000000" w:rsidR="00000000" w:rsidRPr="00000000">
        <w:rPr>
          <w:rtl w:val="0"/>
        </w:rPr>
        <w:t xml:space="preserve">Working capital management was evaluated by calculating the Cash Conversion Cycle (CCC) across all 5 years using the formula:</w:t>
        <w:br w:type="textWrapping"/>
        <w:t xml:space="preserve">Cash Conversion Cycle (CCC) = Inventory Days (DIO) + Receivable Days (DSO) - Payable Days (DPO)</w:t>
        <w:br w:type="textWrapping"/>
        <w:br w:type="textWrapping"/>
        <w:t xml:space="preserve">• Why Inventory Days (DIO) Equal 0.00 Days:</w:t>
        <w:br w:type="textWrapping"/>
        <w:t xml:space="preserve">Hilton operates primarily as an asset-light franchising, licensing, and management company rather than a manufacturing, wholesale, or retail enterprise. It does not carry physical merchandise inventory or raw materials on its balance sheet. While consolidated owned or leased hotels maintain nominal operational and food &amp; beverage supplies, these amounts are immaterial and negligible relative to total operating costs. Therefore, Inventory Days (DIO) equal 0.00 across all years.</w:t>
        <w:br w:type="textWrapping"/>
        <w:br w:type="textWrapping"/>
        <w:t xml:space="preserve">• Receivable Days (DSO) &amp; Payable Days (DPO) Trends:</w:t>
        <w:br w:type="textWrapping"/>
        <w:t xml:space="preserve">- Receivable Days (DSO) improved from 67.35 days in 2021 to 51.24 days in 2025, reflecting faster post-pandemic cash collections.</w:t>
        <w:br w:type="textWrapping"/>
        <w:t xml:space="preserve">- Payable Days (DPO) moved from 119.96 days in 2021 down to 91.23 days in 2025 as temporary supplier payment reliefs normalized.</w:t>
        <w:br w:type="textWrapping"/>
        <w:t xml:space="preserve">- Cash Conversion Cycle (CCC): Hilton consistently maintains a negative CCC ranging from -36.30 to -52.61 days. In hospitality franchising, a negative CCC is a major operational strength, showing that Hilton collects cash from customers and fees significantly faster than it pays its operating expenses, effectively utilizing trade credit to finance operations with zero net cash tied up in working capital.</w:t>
      </w:r>
    </w:p>
    <w:p w:rsidR="00000000" w:rsidDel="00000000" w:rsidP="00000000" w:rsidRDefault="00000000" w:rsidRPr="00000000" w14:paraId="0000000B">
      <w:pPr>
        <w:pStyle w:val="Heading2"/>
        <w:rPr/>
      </w:pPr>
      <w:r w:rsidDel="00000000" w:rsidR="00000000" w:rsidRPr="00000000">
        <w:rPr>
          <w:rtl w:val="0"/>
        </w:rPr>
        <w:t xml:space="preserve">5. Conclusion</w:t>
      </w:r>
    </w:p>
    <w:p w:rsidR="00000000" w:rsidDel="00000000" w:rsidP="00000000" w:rsidRDefault="00000000" w:rsidRPr="00000000" w14:paraId="0000000C">
      <w:pPr>
        <w:rPr/>
      </w:pPr>
      <w:r w:rsidDel="00000000" w:rsidR="00000000" w:rsidRPr="00000000">
        <w:rPr>
          <w:rtl w:val="0"/>
        </w:rPr>
        <w:t xml:space="preserve">In conclusion, the integrated financial model confirms that Hilton Worldwide Holdings Inc. is an exceptionally efficient, high-margin hospitality leader. Its asset-light business model yields superior asset productivity, industry-leading free cash flow margins, and a structurally advantageous negative cash conversion cycle that secures long-term operational resilience.</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