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color w:val="auto"/>
          <w:kern w:val="2"/>
          <w:sz w:val="22"/>
          <w:szCs w:val="22"/>
          <w:lang w:eastAsia="en-US"/>
          <w14:ligatures w14:val="standardContextual"/>
        </w:rPr>
        <w:id w:val="-2048678837"/>
        <w:docPartObj>
          <w:docPartGallery w:val="Table of Contents"/>
          <w:docPartUnique/>
        </w:docPartObj>
      </w:sdtPr>
      <w:sdtEndPr>
        <w:rPr>
          <w:b/>
          <w:bCs/>
        </w:rPr>
      </w:sdtEndPr>
      <w:sdtContent>
        <w:p w14:paraId="4A8D9B47" w14:textId="6B04E3AA" w:rsidR="006C031D" w:rsidRDefault="006C031D" w:rsidP="006C031D">
          <w:pPr>
            <w:pStyle w:val="TOCHeading"/>
          </w:pPr>
        </w:p>
        <w:p w14:paraId="56CAE10F" w14:textId="2B16B7DC" w:rsidR="0058407A" w:rsidRDefault="005055F9"/>
      </w:sdtContent>
    </w:sdt>
    <w:p w14:paraId="4C25029C" w14:textId="160B00B4" w:rsidR="00F62146" w:rsidRDefault="00B83AD8" w:rsidP="009252A0">
      <w:pPr>
        <w:rPr>
          <w:rFonts w:ascii="Arial" w:hAnsi="Arial" w:cs="Arial"/>
          <w:noProof/>
        </w:rPr>
      </w:pPr>
      <w:r>
        <w:rPr>
          <w:noProof/>
        </w:rPr>
        <w:drawing>
          <wp:anchor distT="0" distB="0" distL="114300" distR="114300" simplePos="0" relativeHeight="251658241" behindDoc="1" locked="0" layoutInCell="1" allowOverlap="1" wp14:anchorId="46B8B066" wp14:editId="78AA6367">
            <wp:simplePos x="0" y="0"/>
            <wp:positionH relativeFrom="margin">
              <wp:posOffset>621030</wp:posOffset>
            </wp:positionH>
            <wp:positionV relativeFrom="paragraph">
              <wp:posOffset>3810</wp:posOffset>
            </wp:positionV>
            <wp:extent cx="5382895" cy="2484755"/>
            <wp:effectExtent l="0" t="0" r="0" b="0"/>
            <wp:wrapTight wrapText="bothSides">
              <wp:wrapPolygon edited="0">
                <wp:start x="994" y="3809"/>
                <wp:lineTo x="1070" y="12089"/>
                <wp:lineTo x="1605" y="14739"/>
                <wp:lineTo x="1605" y="16726"/>
                <wp:lineTo x="2828" y="17223"/>
                <wp:lineTo x="6956" y="17554"/>
                <wp:lineTo x="7262" y="17554"/>
                <wp:lineTo x="12613" y="17223"/>
                <wp:lineTo x="13148" y="17057"/>
                <wp:lineTo x="12995" y="14739"/>
                <wp:lineTo x="14524" y="14739"/>
                <wp:lineTo x="17276" y="13083"/>
                <wp:lineTo x="17352" y="9936"/>
                <wp:lineTo x="16970" y="9771"/>
                <wp:lineTo x="21480" y="8446"/>
                <wp:lineTo x="21480" y="5796"/>
                <wp:lineTo x="21022" y="5134"/>
                <wp:lineTo x="19340" y="3809"/>
                <wp:lineTo x="994" y="3809"/>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5382895" cy="24847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5CD809" w14:textId="680093C4" w:rsidR="00F62146" w:rsidRDefault="00F62146" w:rsidP="009252A0">
      <w:pPr>
        <w:rPr>
          <w:rFonts w:ascii="Arial" w:hAnsi="Arial" w:cs="Arial"/>
          <w:noProof/>
        </w:rPr>
      </w:pPr>
    </w:p>
    <w:p w14:paraId="43CC7904" w14:textId="2CECDDF0" w:rsidR="00F62146" w:rsidRDefault="00F62146" w:rsidP="009252A0">
      <w:pPr>
        <w:rPr>
          <w:rFonts w:ascii="Arial" w:hAnsi="Arial" w:cs="Arial"/>
          <w:noProof/>
        </w:rPr>
      </w:pPr>
    </w:p>
    <w:p w14:paraId="68065EBB" w14:textId="77777777" w:rsidR="00F62146" w:rsidRDefault="00F62146" w:rsidP="009252A0">
      <w:pPr>
        <w:rPr>
          <w:rFonts w:ascii="Arial" w:hAnsi="Arial" w:cs="Arial"/>
          <w:noProof/>
        </w:rPr>
      </w:pPr>
    </w:p>
    <w:p w14:paraId="485B44F4" w14:textId="164B764E" w:rsidR="00616174" w:rsidRDefault="00D11869" w:rsidP="009252A0">
      <w:r>
        <w:t xml:space="preserve">   </w:t>
      </w:r>
    </w:p>
    <w:p w14:paraId="27D4248C" w14:textId="77777777" w:rsidR="00F943A0" w:rsidRDefault="00F943A0" w:rsidP="004100BD">
      <w:pPr>
        <w:spacing w:line="360" w:lineRule="auto"/>
        <w:rPr>
          <w:rFonts w:ascii="Arial" w:hAnsi="Arial" w:cs="Arial"/>
          <w:b/>
          <w:bCs/>
          <w:sz w:val="40"/>
          <w:szCs w:val="40"/>
        </w:rPr>
      </w:pPr>
    </w:p>
    <w:p w14:paraId="397BAA51" w14:textId="77777777" w:rsidR="00F943A0" w:rsidRDefault="00F943A0" w:rsidP="004100BD">
      <w:pPr>
        <w:spacing w:line="360" w:lineRule="auto"/>
        <w:rPr>
          <w:rFonts w:ascii="Arial" w:hAnsi="Arial" w:cs="Arial"/>
          <w:b/>
          <w:bCs/>
          <w:sz w:val="40"/>
          <w:szCs w:val="40"/>
        </w:rPr>
      </w:pPr>
    </w:p>
    <w:p w14:paraId="55C49FBA" w14:textId="77777777" w:rsidR="00005E5C" w:rsidRDefault="00005E5C" w:rsidP="004100BD">
      <w:pPr>
        <w:spacing w:line="360" w:lineRule="auto"/>
        <w:rPr>
          <w:rFonts w:ascii="Arial" w:hAnsi="Arial" w:cs="Arial"/>
          <w:b/>
          <w:bCs/>
          <w:sz w:val="40"/>
          <w:szCs w:val="40"/>
        </w:rPr>
      </w:pPr>
    </w:p>
    <w:p w14:paraId="329AFC52" w14:textId="4BF37462" w:rsidR="009252A0" w:rsidRPr="00862AE9" w:rsidRDefault="009252A0" w:rsidP="004100BD">
      <w:pPr>
        <w:spacing w:line="360" w:lineRule="auto"/>
        <w:rPr>
          <w:rFonts w:ascii="Arial" w:hAnsi="Arial" w:cs="Arial"/>
          <w:sz w:val="40"/>
          <w:szCs w:val="40"/>
        </w:rPr>
      </w:pPr>
      <w:r w:rsidRPr="00DD768B">
        <w:rPr>
          <w:rFonts w:ascii="Arial" w:hAnsi="Arial" w:cs="Arial"/>
          <w:b/>
          <w:bCs/>
          <w:sz w:val="40"/>
          <w:szCs w:val="40"/>
        </w:rPr>
        <w:t>Name:</w:t>
      </w:r>
      <w:r w:rsidRPr="00862AE9">
        <w:rPr>
          <w:rFonts w:ascii="Arial" w:hAnsi="Arial" w:cs="Arial"/>
          <w:sz w:val="40"/>
          <w:szCs w:val="40"/>
        </w:rPr>
        <w:t xml:space="preserve"> Shamaila Sakhawat</w:t>
      </w:r>
    </w:p>
    <w:p w14:paraId="7ECEA163" w14:textId="465F15A1" w:rsidR="009252A0" w:rsidRPr="00862AE9" w:rsidRDefault="009252A0" w:rsidP="004100BD">
      <w:pPr>
        <w:spacing w:line="360" w:lineRule="auto"/>
        <w:rPr>
          <w:rFonts w:ascii="Arial" w:hAnsi="Arial" w:cs="Arial"/>
          <w:sz w:val="40"/>
          <w:szCs w:val="40"/>
        </w:rPr>
      </w:pPr>
      <w:r w:rsidRPr="00D1297C">
        <w:rPr>
          <w:rFonts w:ascii="Arial" w:hAnsi="Arial" w:cs="Arial"/>
          <w:b/>
          <w:bCs/>
          <w:sz w:val="40"/>
          <w:szCs w:val="40"/>
        </w:rPr>
        <w:t>Student ID:</w:t>
      </w:r>
      <w:r w:rsidRPr="00862AE9">
        <w:rPr>
          <w:rFonts w:ascii="Arial" w:hAnsi="Arial" w:cs="Arial"/>
          <w:sz w:val="40"/>
          <w:szCs w:val="40"/>
        </w:rPr>
        <w:t xml:space="preserve"> 2309140</w:t>
      </w:r>
    </w:p>
    <w:p w14:paraId="58125DBB" w14:textId="060B8769" w:rsidR="009252A0" w:rsidRPr="00862AE9" w:rsidRDefault="009252A0" w:rsidP="004100BD">
      <w:pPr>
        <w:spacing w:line="360" w:lineRule="auto"/>
        <w:rPr>
          <w:rFonts w:ascii="Arial" w:hAnsi="Arial" w:cs="Arial"/>
          <w:sz w:val="40"/>
          <w:szCs w:val="40"/>
        </w:rPr>
      </w:pPr>
      <w:r w:rsidRPr="00D17967">
        <w:rPr>
          <w:rFonts w:ascii="Arial" w:hAnsi="Arial" w:cs="Arial"/>
          <w:b/>
          <w:bCs/>
          <w:sz w:val="40"/>
          <w:szCs w:val="40"/>
        </w:rPr>
        <w:t>Lecture:</w:t>
      </w:r>
      <w:r w:rsidRPr="00862AE9">
        <w:rPr>
          <w:rFonts w:ascii="Arial" w:hAnsi="Arial" w:cs="Arial"/>
          <w:sz w:val="40"/>
          <w:szCs w:val="40"/>
        </w:rPr>
        <w:t xml:space="preserve"> Dr Fahad Khan</w:t>
      </w:r>
    </w:p>
    <w:p w14:paraId="53A2B80F" w14:textId="18363751" w:rsidR="009252A0" w:rsidRPr="00862AE9" w:rsidRDefault="009252A0" w:rsidP="004100BD">
      <w:pPr>
        <w:spacing w:line="360" w:lineRule="auto"/>
        <w:rPr>
          <w:rFonts w:ascii="Arial" w:hAnsi="Arial" w:cs="Arial"/>
          <w:sz w:val="40"/>
          <w:szCs w:val="40"/>
        </w:rPr>
      </w:pPr>
      <w:r w:rsidRPr="00A6420E">
        <w:rPr>
          <w:rFonts w:ascii="Arial" w:hAnsi="Arial" w:cs="Arial"/>
          <w:b/>
          <w:bCs/>
          <w:sz w:val="40"/>
          <w:szCs w:val="40"/>
        </w:rPr>
        <w:t>Module:</w:t>
      </w:r>
      <w:r w:rsidRPr="00862AE9">
        <w:rPr>
          <w:rFonts w:ascii="Arial" w:hAnsi="Arial" w:cs="Arial"/>
          <w:sz w:val="40"/>
          <w:szCs w:val="40"/>
        </w:rPr>
        <w:t xml:space="preserve"> Health Care System Organisation and Leadership </w:t>
      </w:r>
    </w:p>
    <w:p w14:paraId="247BEB39" w14:textId="3715DF17" w:rsidR="009252A0" w:rsidRPr="00862AE9" w:rsidRDefault="009252A0" w:rsidP="004100BD">
      <w:pPr>
        <w:spacing w:line="360" w:lineRule="auto"/>
        <w:rPr>
          <w:rFonts w:ascii="Arial" w:hAnsi="Arial" w:cs="Arial"/>
          <w:sz w:val="40"/>
          <w:szCs w:val="40"/>
        </w:rPr>
      </w:pPr>
      <w:r w:rsidRPr="0035110F">
        <w:rPr>
          <w:rFonts w:ascii="Arial" w:hAnsi="Arial" w:cs="Arial"/>
          <w:b/>
          <w:bCs/>
          <w:sz w:val="40"/>
          <w:szCs w:val="40"/>
        </w:rPr>
        <w:t>Module Code:</w:t>
      </w:r>
      <w:r w:rsidRPr="00862AE9">
        <w:rPr>
          <w:rFonts w:ascii="Arial" w:hAnsi="Arial" w:cs="Arial"/>
          <w:sz w:val="40"/>
          <w:szCs w:val="40"/>
        </w:rPr>
        <w:t xml:space="preserve"> LCHS7002 </w:t>
      </w:r>
    </w:p>
    <w:p w14:paraId="40FBA008" w14:textId="5FDEAD6E" w:rsidR="009252A0" w:rsidRPr="00862AE9" w:rsidRDefault="009252A0" w:rsidP="004100BD">
      <w:pPr>
        <w:spacing w:line="360" w:lineRule="auto"/>
        <w:rPr>
          <w:rFonts w:ascii="Arial" w:hAnsi="Arial" w:cs="Arial"/>
          <w:sz w:val="40"/>
          <w:szCs w:val="40"/>
        </w:rPr>
      </w:pPr>
      <w:r w:rsidRPr="00EA3F73">
        <w:rPr>
          <w:rFonts w:ascii="Arial" w:hAnsi="Arial" w:cs="Arial"/>
          <w:b/>
          <w:bCs/>
          <w:sz w:val="40"/>
          <w:szCs w:val="40"/>
        </w:rPr>
        <w:t>Assignment Title:</w:t>
      </w:r>
      <w:r w:rsidRPr="00862AE9">
        <w:rPr>
          <w:rFonts w:ascii="Arial" w:hAnsi="Arial" w:cs="Arial"/>
          <w:sz w:val="40"/>
          <w:szCs w:val="40"/>
        </w:rPr>
        <w:t xml:space="preserve"> Case Study Analysis Report</w:t>
      </w:r>
    </w:p>
    <w:p w14:paraId="3BA1E323" w14:textId="566BB50B" w:rsidR="007229CE" w:rsidRDefault="007229CE"/>
    <w:p w14:paraId="6EAD83F9" w14:textId="77777777" w:rsidR="007807D3" w:rsidRDefault="007807D3"/>
    <w:p w14:paraId="3339013D" w14:textId="77777777" w:rsidR="004132CE" w:rsidRDefault="004132CE"/>
    <w:p w14:paraId="424E1FE5" w14:textId="77777777" w:rsidR="004132CE" w:rsidRDefault="004132CE"/>
    <w:p w14:paraId="537B5821" w14:textId="77777777" w:rsidR="00E2674E" w:rsidRDefault="00E2674E"/>
    <w:p w14:paraId="59F9DDA6" w14:textId="77777777" w:rsidR="00E2674E" w:rsidRDefault="00E2674E"/>
    <w:sdt>
      <w:sdtPr>
        <w:rPr>
          <w:rFonts w:asciiTheme="minorHAnsi" w:eastAsiaTheme="minorHAnsi" w:hAnsiTheme="minorHAnsi" w:cstheme="minorBidi"/>
          <w:color w:val="auto"/>
          <w:kern w:val="2"/>
          <w:sz w:val="22"/>
          <w:szCs w:val="22"/>
          <w:lang w:eastAsia="en-US"/>
          <w14:ligatures w14:val="standardContextual"/>
        </w:rPr>
        <w:id w:val="-2038187015"/>
        <w:docPartObj>
          <w:docPartGallery w:val="Table of Contents"/>
          <w:docPartUnique/>
        </w:docPartObj>
      </w:sdtPr>
      <w:sdtEndPr>
        <w:rPr>
          <w:b/>
          <w:bCs/>
        </w:rPr>
      </w:sdtEndPr>
      <w:sdtContent>
        <w:p w14:paraId="70C6B7F5" w14:textId="77777777" w:rsidR="000C02F2" w:rsidRDefault="000C02F2" w:rsidP="00100E9D">
          <w:pPr>
            <w:pStyle w:val="TOCHeading"/>
          </w:pPr>
        </w:p>
        <w:p w14:paraId="5AF7130B" w14:textId="2CA92A41" w:rsidR="006C031D" w:rsidRDefault="006C031D" w:rsidP="00100E9D">
          <w:pPr>
            <w:pStyle w:val="TOCHeading"/>
          </w:pPr>
          <w:r>
            <w:t>Table of Contents</w:t>
          </w:r>
        </w:p>
        <w:p w14:paraId="69CE5BEB" w14:textId="77777777" w:rsidR="000C02F2" w:rsidRPr="000C02F2" w:rsidRDefault="000C02F2" w:rsidP="000C02F2">
          <w:pPr>
            <w:rPr>
              <w:lang w:eastAsia="en-GB"/>
            </w:rPr>
          </w:pPr>
        </w:p>
        <w:p w14:paraId="53A26569" w14:textId="77777777" w:rsidR="006C031D" w:rsidRDefault="006C031D" w:rsidP="00100E9D">
          <w:pPr>
            <w:pStyle w:val="TOC1"/>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242863174" w:history="1">
            <w:r w:rsidRPr="007A1D33">
              <w:rPr>
                <w:rStyle w:val="Hyperlink"/>
                <w:rFonts w:ascii="Arial" w:hAnsi="Arial" w:cs="Arial"/>
                <w:noProof/>
              </w:rPr>
              <w:t>Leadership, Governance and Systems Thinking in Healthcare Transformation</w:t>
            </w:r>
            <w:r>
              <w:rPr>
                <w:noProof/>
                <w:webHidden/>
              </w:rPr>
              <w:tab/>
            </w:r>
            <w:r>
              <w:rPr>
                <w:noProof/>
                <w:webHidden/>
              </w:rPr>
              <w:fldChar w:fldCharType="begin"/>
            </w:r>
            <w:r>
              <w:rPr>
                <w:noProof/>
                <w:webHidden/>
              </w:rPr>
              <w:instrText xml:space="preserve"> PAGEREF _Toc242863174 \h </w:instrText>
            </w:r>
            <w:r>
              <w:rPr>
                <w:noProof/>
                <w:webHidden/>
              </w:rPr>
            </w:r>
            <w:r>
              <w:rPr>
                <w:noProof/>
                <w:webHidden/>
              </w:rPr>
              <w:fldChar w:fldCharType="separate"/>
            </w:r>
            <w:r>
              <w:rPr>
                <w:noProof/>
                <w:webHidden/>
              </w:rPr>
              <w:t>3</w:t>
            </w:r>
            <w:r>
              <w:rPr>
                <w:noProof/>
                <w:webHidden/>
              </w:rPr>
              <w:fldChar w:fldCharType="end"/>
            </w:r>
          </w:hyperlink>
        </w:p>
        <w:p w14:paraId="181953E0" w14:textId="77777777" w:rsidR="006C031D" w:rsidRDefault="006C031D" w:rsidP="00100E9D">
          <w:pPr>
            <w:pStyle w:val="TOC1"/>
            <w:tabs>
              <w:tab w:val="right" w:leader="dot" w:pos="10456"/>
            </w:tabs>
            <w:rPr>
              <w:rFonts w:eastAsiaTheme="minorEastAsia"/>
              <w:noProof/>
              <w:sz w:val="24"/>
              <w:szCs w:val="24"/>
              <w:lang w:eastAsia="en-GB"/>
            </w:rPr>
          </w:pPr>
          <w:hyperlink w:anchor="_Toc242863175" w:history="1">
            <w:r w:rsidRPr="007A1D33">
              <w:rPr>
                <w:rStyle w:val="Hyperlink"/>
                <w:rFonts w:ascii="Arial" w:hAnsi="Arial" w:cs="Arial"/>
                <w:noProof/>
              </w:rPr>
              <w:t>A critical case study of Mid Staffordshire NHS Foundation Trust and post-Francis reforms.</w:t>
            </w:r>
            <w:r>
              <w:rPr>
                <w:noProof/>
                <w:webHidden/>
              </w:rPr>
              <w:tab/>
            </w:r>
            <w:r>
              <w:rPr>
                <w:noProof/>
                <w:webHidden/>
              </w:rPr>
              <w:fldChar w:fldCharType="begin"/>
            </w:r>
            <w:r>
              <w:rPr>
                <w:noProof/>
                <w:webHidden/>
              </w:rPr>
              <w:instrText xml:space="preserve"> PAGEREF _Toc242863175 \h </w:instrText>
            </w:r>
            <w:r>
              <w:rPr>
                <w:noProof/>
                <w:webHidden/>
              </w:rPr>
            </w:r>
            <w:r>
              <w:rPr>
                <w:noProof/>
                <w:webHidden/>
              </w:rPr>
              <w:fldChar w:fldCharType="separate"/>
            </w:r>
            <w:r>
              <w:rPr>
                <w:noProof/>
                <w:webHidden/>
              </w:rPr>
              <w:t>3</w:t>
            </w:r>
            <w:r>
              <w:rPr>
                <w:noProof/>
                <w:webHidden/>
              </w:rPr>
              <w:fldChar w:fldCharType="end"/>
            </w:r>
          </w:hyperlink>
        </w:p>
        <w:p w14:paraId="1EB36CFA" w14:textId="77777777" w:rsidR="006C031D" w:rsidRDefault="006C031D" w:rsidP="00100E9D">
          <w:pPr>
            <w:pStyle w:val="TOC1"/>
            <w:tabs>
              <w:tab w:val="left" w:pos="480"/>
              <w:tab w:val="right" w:leader="dot" w:pos="10456"/>
            </w:tabs>
            <w:rPr>
              <w:rFonts w:eastAsiaTheme="minorEastAsia"/>
              <w:noProof/>
              <w:sz w:val="24"/>
              <w:szCs w:val="24"/>
              <w:lang w:eastAsia="en-GB"/>
            </w:rPr>
          </w:pPr>
          <w:hyperlink w:anchor="_Toc242863176" w:history="1">
            <w:r w:rsidRPr="007A1D33">
              <w:rPr>
                <w:rStyle w:val="Hyperlink"/>
                <w:rFonts w:ascii="Arial" w:hAnsi="Arial" w:cs="Arial"/>
                <w:noProof/>
              </w:rPr>
              <w:t>1.</w:t>
            </w:r>
            <w:r>
              <w:rPr>
                <w:rFonts w:eastAsiaTheme="minorEastAsia"/>
                <w:noProof/>
                <w:sz w:val="24"/>
                <w:szCs w:val="24"/>
                <w:lang w:eastAsia="en-GB"/>
              </w:rPr>
              <w:tab/>
            </w:r>
            <w:r w:rsidRPr="007A1D3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_Toc242863176 \h </w:instrText>
            </w:r>
            <w:r>
              <w:rPr>
                <w:noProof/>
                <w:webHidden/>
              </w:rPr>
            </w:r>
            <w:r>
              <w:rPr>
                <w:noProof/>
                <w:webHidden/>
              </w:rPr>
              <w:fldChar w:fldCharType="separate"/>
            </w:r>
            <w:r>
              <w:rPr>
                <w:noProof/>
                <w:webHidden/>
              </w:rPr>
              <w:t>4</w:t>
            </w:r>
            <w:r>
              <w:rPr>
                <w:noProof/>
                <w:webHidden/>
              </w:rPr>
              <w:fldChar w:fldCharType="end"/>
            </w:r>
          </w:hyperlink>
        </w:p>
        <w:p w14:paraId="646879ED" w14:textId="77777777" w:rsidR="006C031D" w:rsidRDefault="006C031D" w:rsidP="00100E9D">
          <w:pPr>
            <w:pStyle w:val="TOC1"/>
            <w:tabs>
              <w:tab w:val="right" w:leader="dot" w:pos="10456"/>
            </w:tabs>
            <w:rPr>
              <w:rFonts w:eastAsiaTheme="minorEastAsia"/>
              <w:noProof/>
              <w:sz w:val="24"/>
              <w:szCs w:val="24"/>
              <w:lang w:eastAsia="en-GB"/>
            </w:rPr>
          </w:pPr>
          <w:hyperlink w:anchor="_Toc242863177" w:history="1">
            <w:r w:rsidRPr="007A1D33">
              <w:rPr>
                <w:rStyle w:val="Hyperlink"/>
                <w:rFonts w:ascii="Arial" w:hAnsi="Arial" w:cs="Arial"/>
                <w:noProof/>
              </w:rPr>
              <w:t>2.1 Problem identification, system context, and Rich Picture</w:t>
            </w:r>
            <w:r>
              <w:rPr>
                <w:noProof/>
                <w:webHidden/>
              </w:rPr>
              <w:tab/>
            </w:r>
            <w:r>
              <w:rPr>
                <w:noProof/>
                <w:webHidden/>
              </w:rPr>
              <w:fldChar w:fldCharType="begin"/>
            </w:r>
            <w:r>
              <w:rPr>
                <w:noProof/>
                <w:webHidden/>
              </w:rPr>
              <w:instrText xml:space="preserve"> PAGEREF _Toc242863177 \h </w:instrText>
            </w:r>
            <w:r>
              <w:rPr>
                <w:noProof/>
                <w:webHidden/>
              </w:rPr>
            </w:r>
            <w:r>
              <w:rPr>
                <w:noProof/>
                <w:webHidden/>
              </w:rPr>
              <w:fldChar w:fldCharType="separate"/>
            </w:r>
            <w:r>
              <w:rPr>
                <w:noProof/>
                <w:webHidden/>
              </w:rPr>
              <w:t>5</w:t>
            </w:r>
            <w:r>
              <w:rPr>
                <w:noProof/>
                <w:webHidden/>
              </w:rPr>
              <w:fldChar w:fldCharType="end"/>
            </w:r>
          </w:hyperlink>
        </w:p>
        <w:p w14:paraId="171A6167" w14:textId="77777777" w:rsidR="006C031D" w:rsidRDefault="006C031D" w:rsidP="00100E9D">
          <w:pPr>
            <w:pStyle w:val="TOC1"/>
            <w:tabs>
              <w:tab w:val="right" w:leader="dot" w:pos="10456"/>
            </w:tabs>
            <w:rPr>
              <w:rFonts w:eastAsiaTheme="minorEastAsia"/>
              <w:noProof/>
              <w:sz w:val="24"/>
              <w:szCs w:val="24"/>
              <w:lang w:eastAsia="en-GB"/>
            </w:rPr>
          </w:pPr>
          <w:hyperlink w:anchor="_Toc242863178" w:history="1">
            <w:r w:rsidRPr="007A1D33">
              <w:rPr>
                <w:rStyle w:val="Hyperlink"/>
                <w:rFonts w:ascii="Arial" w:hAnsi="Arial" w:cs="Arial"/>
                <w:noProof/>
              </w:rPr>
              <w:t>2.2 Centralisation and decentralisation</w:t>
            </w:r>
            <w:r>
              <w:rPr>
                <w:noProof/>
                <w:webHidden/>
              </w:rPr>
              <w:tab/>
            </w:r>
            <w:r>
              <w:rPr>
                <w:noProof/>
                <w:webHidden/>
              </w:rPr>
              <w:fldChar w:fldCharType="begin"/>
            </w:r>
            <w:r>
              <w:rPr>
                <w:noProof/>
                <w:webHidden/>
              </w:rPr>
              <w:instrText xml:space="preserve"> PAGEREF _Toc242863178 \h </w:instrText>
            </w:r>
            <w:r>
              <w:rPr>
                <w:noProof/>
                <w:webHidden/>
              </w:rPr>
            </w:r>
            <w:r>
              <w:rPr>
                <w:noProof/>
                <w:webHidden/>
              </w:rPr>
              <w:fldChar w:fldCharType="separate"/>
            </w:r>
            <w:r>
              <w:rPr>
                <w:noProof/>
                <w:webHidden/>
              </w:rPr>
              <w:t>8</w:t>
            </w:r>
            <w:r>
              <w:rPr>
                <w:noProof/>
                <w:webHidden/>
              </w:rPr>
              <w:fldChar w:fldCharType="end"/>
            </w:r>
          </w:hyperlink>
        </w:p>
        <w:p w14:paraId="6A1759E6" w14:textId="77777777" w:rsidR="006C031D" w:rsidRDefault="006C031D" w:rsidP="00100E9D">
          <w:pPr>
            <w:pStyle w:val="TOC1"/>
            <w:tabs>
              <w:tab w:val="right" w:leader="dot" w:pos="10456"/>
            </w:tabs>
            <w:rPr>
              <w:rFonts w:eastAsiaTheme="minorEastAsia"/>
              <w:noProof/>
              <w:sz w:val="24"/>
              <w:szCs w:val="24"/>
              <w:lang w:eastAsia="en-GB"/>
            </w:rPr>
          </w:pPr>
          <w:hyperlink w:anchor="_Toc242863179" w:history="1">
            <w:r w:rsidRPr="007A1D33">
              <w:rPr>
                <w:rStyle w:val="Hyperlink"/>
                <w:rFonts w:ascii="Arial" w:hAnsi="Arial" w:cs="Arial"/>
                <w:noProof/>
              </w:rPr>
              <w:t>2.3 Leadership theories and Their application to Mid Staffordshire</w:t>
            </w:r>
            <w:r>
              <w:rPr>
                <w:noProof/>
                <w:webHidden/>
              </w:rPr>
              <w:tab/>
            </w:r>
            <w:r>
              <w:rPr>
                <w:noProof/>
                <w:webHidden/>
              </w:rPr>
              <w:fldChar w:fldCharType="begin"/>
            </w:r>
            <w:r>
              <w:rPr>
                <w:noProof/>
                <w:webHidden/>
              </w:rPr>
              <w:instrText xml:space="preserve"> PAGEREF _Toc242863179 \h </w:instrText>
            </w:r>
            <w:r>
              <w:rPr>
                <w:noProof/>
                <w:webHidden/>
              </w:rPr>
            </w:r>
            <w:r>
              <w:rPr>
                <w:noProof/>
                <w:webHidden/>
              </w:rPr>
              <w:fldChar w:fldCharType="separate"/>
            </w:r>
            <w:r>
              <w:rPr>
                <w:noProof/>
                <w:webHidden/>
              </w:rPr>
              <w:t>10</w:t>
            </w:r>
            <w:r>
              <w:rPr>
                <w:noProof/>
                <w:webHidden/>
              </w:rPr>
              <w:fldChar w:fldCharType="end"/>
            </w:r>
          </w:hyperlink>
        </w:p>
        <w:p w14:paraId="1CE0B036" w14:textId="77777777" w:rsidR="006C031D" w:rsidRDefault="006C031D" w:rsidP="00100E9D">
          <w:pPr>
            <w:pStyle w:val="TOC1"/>
            <w:tabs>
              <w:tab w:val="right" w:leader="dot" w:pos="10456"/>
            </w:tabs>
            <w:rPr>
              <w:rFonts w:eastAsiaTheme="minorEastAsia"/>
              <w:noProof/>
              <w:sz w:val="24"/>
              <w:szCs w:val="24"/>
              <w:lang w:eastAsia="en-GB"/>
            </w:rPr>
          </w:pPr>
          <w:hyperlink w:anchor="_Toc242863180" w:history="1">
            <w:r w:rsidRPr="007A1D33">
              <w:rPr>
                <w:rStyle w:val="Hyperlink"/>
                <w:rFonts w:ascii="Arial" w:hAnsi="Arial" w:cs="Arial"/>
                <w:noProof/>
              </w:rPr>
              <w:t>2.3.1 McGregor’s Theory X and Theory Y</w:t>
            </w:r>
            <w:r>
              <w:rPr>
                <w:noProof/>
                <w:webHidden/>
              </w:rPr>
              <w:tab/>
            </w:r>
            <w:r>
              <w:rPr>
                <w:noProof/>
                <w:webHidden/>
              </w:rPr>
              <w:fldChar w:fldCharType="begin"/>
            </w:r>
            <w:r>
              <w:rPr>
                <w:noProof/>
                <w:webHidden/>
              </w:rPr>
              <w:instrText xml:space="preserve"> PAGEREF _Toc242863180 \h </w:instrText>
            </w:r>
            <w:r>
              <w:rPr>
                <w:noProof/>
                <w:webHidden/>
              </w:rPr>
            </w:r>
            <w:r>
              <w:rPr>
                <w:noProof/>
                <w:webHidden/>
              </w:rPr>
              <w:fldChar w:fldCharType="separate"/>
            </w:r>
            <w:r>
              <w:rPr>
                <w:noProof/>
                <w:webHidden/>
              </w:rPr>
              <w:t>10</w:t>
            </w:r>
            <w:r>
              <w:rPr>
                <w:noProof/>
                <w:webHidden/>
              </w:rPr>
              <w:fldChar w:fldCharType="end"/>
            </w:r>
          </w:hyperlink>
        </w:p>
        <w:p w14:paraId="72D4D16B" w14:textId="77777777" w:rsidR="006C031D" w:rsidRDefault="006C031D" w:rsidP="00100E9D">
          <w:pPr>
            <w:pStyle w:val="TOC1"/>
            <w:tabs>
              <w:tab w:val="right" w:leader="dot" w:pos="10456"/>
            </w:tabs>
            <w:rPr>
              <w:rFonts w:eastAsiaTheme="minorEastAsia"/>
              <w:noProof/>
              <w:sz w:val="24"/>
              <w:szCs w:val="24"/>
              <w:lang w:eastAsia="en-GB"/>
            </w:rPr>
          </w:pPr>
          <w:hyperlink w:anchor="_Toc242863181" w:history="1">
            <w:r w:rsidRPr="007A1D33">
              <w:rPr>
                <w:rStyle w:val="Hyperlink"/>
                <w:rFonts w:ascii="Arial" w:hAnsi="Arial" w:cs="Arial"/>
                <w:noProof/>
              </w:rPr>
              <w:t>2.3.2 Ouchi’s Theory Z</w:t>
            </w:r>
            <w:r>
              <w:rPr>
                <w:noProof/>
                <w:webHidden/>
              </w:rPr>
              <w:tab/>
            </w:r>
            <w:r>
              <w:rPr>
                <w:noProof/>
                <w:webHidden/>
              </w:rPr>
              <w:fldChar w:fldCharType="begin"/>
            </w:r>
            <w:r>
              <w:rPr>
                <w:noProof/>
                <w:webHidden/>
              </w:rPr>
              <w:instrText xml:space="preserve"> PAGEREF _Toc242863181 \h </w:instrText>
            </w:r>
            <w:r>
              <w:rPr>
                <w:noProof/>
                <w:webHidden/>
              </w:rPr>
            </w:r>
            <w:r>
              <w:rPr>
                <w:noProof/>
                <w:webHidden/>
              </w:rPr>
              <w:fldChar w:fldCharType="separate"/>
            </w:r>
            <w:r>
              <w:rPr>
                <w:noProof/>
                <w:webHidden/>
              </w:rPr>
              <w:t>11</w:t>
            </w:r>
            <w:r>
              <w:rPr>
                <w:noProof/>
                <w:webHidden/>
              </w:rPr>
              <w:fldChar w:fldCharType="end"/>
            </w:r>
          </w:hyperlink>
        </w:p>
        <w:p w14:paraId="6972F2D9" w14:textId="77777777" w:rsidR="006C031D" w:rsidRDefault="006C031D" w:rsidP="00100E9D">
          <w:pPr>
            <w:pStyle w:val="TOC1"/>
            <w:tabs>
              <w:tab w:val="right" w:leader="dot" w:pos="10456"/>
            </w:tabs>
            <w:rPr>
              <w:rFonts w:eastAsiaTheme="minorEastAsia"/>
              <w:noProof/>
              <w:sz w:val="24"/>
              <w:szCs w:val="24"/>
              <w:lang w:eastAsia="en-GB"/>
            </w:rPr>
          </w:pPr>
          <w:hyperlink w:anchor="_Toc242863182" w:history="1">
            <w:r w:rsidRPr="007A1D33">
              <w:rPr>
                <w:rStyle w:val="Hyperlink"/>
                <w:rFonts w:ascii="Arial" w:hAnsi="Arial" w:cs="Arial"/>
                <w:noProof/>
              </w:rPr>
              <w:t>2.3.3 Behavioural Leadership Theory</w:t>
            </w:r>
            <w:r>
              <w:rPr>
                <w:noProof/>
                <w:webHidden/>
              </w:rPr>
              <w:tab/>
            </w:r>
            <w:r>
              <w:rPr>
                <w:noProof/>
                <w:webHidden/>
              </w:rPr>
              <w:fldChar w:fldCharType="begin"/>
            </w:r>
            <w:r>
              <w:rPr>
                <w:noProof/>
                <w:webHidden/>
              </w:rPr>
              <w:instrText xml:space="preserve"> PAGEREF _Toc242863182 \h </w:instrText>
            </w:r>
            <w:r>
              <w:rPr>
                <w:noProof/>
                <w:webHidden/>
              </w:rPr>
            </w:r>
            <w:r>
              <w:rPr>
                <w:noProof/>
                <w:webHidden/>
              </w:rPr>
              <w:fldChar w:fldCharType="separate"/>
            </w:r>
            <w:r>
              <w:rPr>
                <w:noProof/>
                <w:webHidden/>
              </w:rPr>
              <w:t>12</w:t>
            </w:r>
            <w:r>
              <w:rPr>
                <w:noProof/>
                <w:webHidden/>
              </w:rPr>
              <w:fldChar w:fldCharType="end"/>
            </w:r>
          </w:hyperlink>
        </w:p>
        <w:p w14:paraId="79DB6E22" w14:textId="77777777" w:rsidR="006C031D" w:rsidRDefault="006C031D" w:rsidP="00100E9D">
          <w:pPr>
            <w:pStyle w:val="TOC1"/>
            <w:tabs>
              <w:tab w:val="right" w:leader="dot" w:pos="10456"/>
            </w:tabs>
            <w:rPr>
              <w:rFonts w:eastAsiaTheme="minorEastAsia"/>
              <w:noProof/>
              <w:sz w:val="24"/>
              <w:szCs w:val="24"/>
              <w:lang w:eastAsia="en-GB"/>
            </w:rPr>
          </w:pPr>
          <w:hyperlink w:anchor="_Toc242863183" w:history="1">
            <w:r w:rsidRPr="007A1D33">
              <w:rPr>
                <w:rStyle w:val="Hyperlink"/>
                <w:rFonts w:ascii="Arial" w:hAnsi="Arial" w:cs="Arial"/>
                <w:noProof/>
              </w:rPr>
              <w:t>2.3.4 Contingency Leadership Theory</w:t>
            </w:r>
            <w:r>
              <w:rPr>
                <w:noProof/>
                <w:webHidden/>
              </w:rPr>
              <w:tab/>
            </w:r>
            <w:r>
              <w:rPr>
                <w:noProof/>
                <w:webHidden/>
              </w:rPr>
              <w:fldChar w:fldCharType="begin"/>
            </w:r>
            <w:r>
              <w:rPr>
                <w:noProof/>
                <w:webHidden/>
              </w:rPr>
              <w:instrText xml:space="preserve"> PAGEREF _Toc242863183 \h </w:instrText>
            </w:r>
            <w:r>
              <w:rPr>
                <w:noProof/>
                <w:webHidden/>
              </w:rPr>
            </w:r>
            <w:r>
              <w:rPr>
                <w:noProof/>
                <w:webHidden/>
              </w:rPr>
              <w:fldChar w:fldCharType="separate"/>
            </w:r>
            <w:r>
              <w:rPr>
                <w:noProof/>
                <w:webHidden/>
              </w:rPr>
              <w:t>13</w:t>
            </w:r>
            <w:r>
              <w:rPr>
                <w:noProof/>
                <w:webHidden/>
              </w:rPr>
              <w:fldChar w:fldCharType="end"/>
            </w:r>
          </w:hyperlink>
        </w:p>
        <w:p w14:paraId="721CFF7E" w14:textId="77777777" w:rsidR="006C031D" w:rsidRDefault="006C031D" w:rsidP="00100E9D">
          <w:pPr>
            <w:pStyle w:val="TOC1"/>
            <w:tabs>
              <w:tab w:val="right" w:leader="dot" w:pos="10456"/>
            </w:tabs>
            <w:rPr>
              <w:rFonts w:eastAsiaTheme="minorEastAsia"/>
              <w:noProof/>
              <w:sz w:val="24"/>
              <w:szCs w:val="24"/>
              <w:lang w:eastAsia="en-GB"/>
            </w:rPr>
          </w:pPr>
          <w:hyperlink w:anchor="_Toc242863184" w:history="1">
            <w:r w:rsidRPr="007A1D33">
              <w:rPr>
                <w:rStyle w:val="Hyperlink"/>
                <w:rFonts w:ascii="Arial" w:hAnsi="Arial" w:cs="Arial"/>
                <w:noProof/>
              </w:rPr>
              <w:t>2.3.5 Critical Evaluation of Leadership Effectiveness</w:t>
            </w:r>
            <w:r>
              <w:rPr>
                <w:noProof/>
                <w:webHidden/>
              </w:rPr>
              <w:tab/>
            </w:r>
            <w:r>
              <w:rPr>
                <w:noProof/>
                <w:webHidden/>
              </w:rPr>
              <w:fldChar w:fldCharType="begin"/>
            </w:r>
            <w:r>
              <w:rPr>
                <w:noProof/>
                <w:webHidden/>
              </w:rPr>
              <w:instrText xml:space="preserve"> PAGEREF _Toc242863184 \h </w:instrText>
            </w:r>
            <w:r>
              <w:rPr>
                <w:noProof/>
                <w:webHidden/>
              </w:rPr>
            </w:r>
            <w:r>
              <w:rPr>
                <w:noProof/>
                <w:webHidden/>
              </w:rPr>
              <w:fldChar w:fldCharType="separate"/>
            </w:r>
            <w:r>
              <w:rPr>
                <w:noProof/>
                <w:webHidden/>
              </w:rPr>
              <w:t>14</w:t>
            </w:r>
            <w:r>
              <w:rPr>
                <w:noProof/>
                <w:webHidden/>
              </w:rPr>
              <w:fldChar w:fldCharType="end"/>
            </w:r>
          </w:hyperlink>
        </w:p>
        <w:p w14:paraId="5D826940" w14:textId="77777777" w:rsidR="006C031D" w:rsidRDefault="006C031D" w:rsidP="00100E9D">
          <w:pPr>
            <w:pStyle w:val="TOC1"/>
            <w:tabs>
              <w:tab w:val="right" w:leader="dot" w:pos="10456"/>
            </w:tabs>
            <w:rPr>
              <w:rFonts w:eastAsiaTheme="minorEastAsia"/>
              <w:noProof/>
              <w:sz w:val="24"/>
              <w:szCs w:val="24"/>
              <w:lang w:eastAsia="en-GB"/>
            </w:rPr>
          </w:pPr>
          <w:hyperlink w:anchor="_Toc242863185" w:history="1">
            <w:r w:rsidRPr="007A1D33">
              <w:rPr>
                <w:rStyle w:val="Hyperlink"/>
                <w:rFonts w:ascii="Arial" w:hAnsi="Arial" w:cs="Arial"/>
                <w:noProof/>
              </w:rPr>
              <w:t>2.4 Transformation, improvement, and lessons</w:t>
            </w:r>
            <w:r>
              <w:rPr>
                <w:noProof/>
                <w:webHidden/>
              </w:rPr>
              <w:tab/>
            </w:r>
            <w:r>
              <w:rPr>
                <w:noProof/>
                <w:webHidden/>
              </w:rPr>
              <w:fldChar w:fldCharType="begin"/>
            </w:r>
            <w:r>
              <w:rPr>
                <w:noProof/>
                <w:webHidden/>
              </w:rPr>
              <w:instrText xml:space="preserve"> PAGEREF _Toc242863185 \h </w:instrText>
            </w:r>
            <w:r>
              <w:rPr>
                <w:noProof/>
                <w:webHidden/>
              </w:rPr>
            </w:r>
            <w:r>
              <w:rPr>
                <w:noProof/>
                <w:webHidden/>
              </w:rPr>
              <w:fldChar w:fldCharType="separate"/>
            </w:r>
            <w:r>
              <w:rPr>
                <w:noProof/>
                <w:webHidden/>
              </w:rPr>
              <w:t>15</w:t>
            </w:r>
            <w:r>
              <w:rPr>
                <w:noProof/>
                <w:webHidden/>
              </w:rPr>
              <w:fldChar w:fldCharType="end"/>
            </w:r>
          </w:hyperlink>
        </w:p>
        <w:p w14:paraId="6F0CAC6A" w14:textId="77777777" w:rsidR="006C031D" w:rsidRDefault="006C031D" w:rsidP="00100E9D">
          <w:pPr>
            <w:pStyle w:val="TOC1"/>
            <w:tabs>
              <w:tab w:val="right" w:leader="dot" w:pos="10456"/>
            </w:tabs>
            <w:rPr>
              <w:rFonts w:eastAsiaTheme="minorEastAsia"/>
              <w:noProof/>
              <w:sz w:val="24"/>
              <w:szCs w:val="24"/>
              <w:lang w:eastAsia="en-GB"/>
            </w:rPr>
          </w:pPr>
          <w:hyperlink w:anchor="_Toc242863186" w:history="1">
            <w:r w:rsidRPr="007A1D33">
              <w:rPr>
                <w:rStyle w:val="Hyperlink"/>
                <w:rFonts w:ascii="Arial" w:hAnsi="Arial" w:cs="Arial"/>
                <w:noProof/>
              </w:rPr>
              <w:t>3. Recommendations</w:t>
            </w:r>
            <w:r>
              <w:rPr>
                <w:noProof/>
                <w:webHidden/>
              </w:rPr>
              <w:tab/>
            </w:r>
            <w:r>
              <w:rPr>
                <w:noProof/>
                <w:webHidden/>
              </w:rPr>
              <w:fldChar w:fldCharType="begin"/>
            </w:r>
            <w:r>
              <w:rPr>
                <w:noProof/>
                <w:webHidden/>
              </w:rPr>
              <w:instrText xml:space="preserve"> PAGEREF _Toc242863186 \h </w:instrText>
            </w:r>
            <w:r>
              <w:rPr>
                <w:noProof/>
                <w:webHidden/>
              </w:rPr>
            </w:r>
            <w:r>
              <w:rPr>
                <w:noProof/>
                <w:webHidden/>
              </w:rPr>
              <w:fldChar w:fldCharType="separate"/>
            </w:r>
            <w:r>
              <w:rPr>
                <w:noProof/>
                <w:webHidden/>
              </w:rPr>
              <w:t>17</w:t>
            </w:r>
            <w:r>
              <w:rPr>
                <w:noProof/>
                <w:webHidden/>
              </w:rPr>
              <w:fldChar w:fldCharType="end"/>
            </w:r>
          </w:hyperlink>
        </w:p>
        <w:p w14:paraId="543F5B7D" w14:textId="77777777" w:rsidR="006C031D" w:rsidRDefault="006C031D" w:rsidP="00100E9D">
          <w:pPr>
            <w:pStyle w:val="TOC1"/>
            <w:tabs>
              <w:tab w:val="right" w:leader="dot" w:pos="10456"/>
            </w:tabs>
            <w:rPr>
              <w:rFonts w:eastAsiaTheme="minorEastAsia"/>
              <w:noProof/>
              <w:sz w:val="24"/>
              <w:szCs w:val="24"/>
              <w:lang w:eastAsia="en-GB"/>
            </w:rPr>
          </w:pPr>
          <w:hyperlink w:anchor="_Toc242863187" w:history="1">
            <w:r w:rsidRPr="007A1D33">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_Toc242863187 \h </w:instrText>
            </w:r>
            <w:r>
              <w:rPr>
                <w:noProof/>
                <w:webHidden/>
              </w:rPr>
            </w:r>
            <w:r>
              <w:rPr>
                <w:noProof/>
                <w:webHidden/>
              </w:rPr>
              <w:fldChar w:fldCharType="separate"/>
            </w:r>
            <w:r>
              <w:rPr>
                <w:noProof/>
                <w:webHidden/>
              </w:rPr>
              <w:t>19</w:t>
            </w:r>
            <w:r>
              <w:rPr>
                <w:noProof/>
                <w:webHidden/>
              </w:rPr>
              <w:fldChar w:fldCharType="end"/>
            </w:r>
          </w:hyperlink>
        </w:p>
        <w:p w14:paraId="1DA5A35A" w14:textId="77777777" w:rsidR="006C031D" w:rsidRDefault="006C031D" w:rsidP="00100E9D">
          <w:pPr>
            <w:pStyle w:val="TOC1"/>
            <w:tabs>
              <w:tab w:val="right" w:leader="dot" w:pos="10456"/>
            </w:tabs>
            <w:rPr>
              <w:rFonts w:eastAsiaTheme="minorEastAsia"/>
              <w:noProof/>
              <w:sz w:val="24"/>
              <w:szCs w:val="24"/>
              <w:lang w:eastAsia="en-GB"/>
            </w:rPr>
          </w:pPr>
          <w:hyperlink w:anchor="_Toc242863188" w:history="1">
            <w:r w:rsidRPr="007A1D3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_Toc242863188 \h </w:instrText>
            </w:r>
            <w:r>
              <w:rPr>
                <w:noProof/>
                <w:webHidden/>
              </w:rPr>
            </w:r>
            <w:r>
              <w:rPr>
                <w:noProof/>
                <w:webHidden/>
              </w:rPr>
              <w:fldChar w:fldCharType="separate"/>
            </w:r>
            <w:r>
              <w:rPr>
                <w:noProof/>
                <w:webHidden/>
              </w:rPr>
              <w:t>20</w:t>
            </w:r>
            <w:r>
              <w:rPr>
                <w:noProof/>
                <w:webHidden/>
              </w:rPr>
              <w:fldChar w:fldCharType="end"/>
            </w:r>
          </w:hyperlink>
        </w:p>
        <w:p w14:paraId="76787E79" w14:textId="77777777" w:rsidR="006C031D" w:rsidRDefault="006C031D" w:rsidP="00100E9D">
          <w:pPr>
            <w:rPr>
              <w:b/>
              <w:bCs/>
            </w:rPr>
          </w:pPr>
          <w:r>
            <w:rPr>
              <w:b/>
              <w:bCs/>
            </w:rPr>
            <w:fldChar w:fldCharType="end"/>
          </w:r>
        </w:p>
      </w:sdtContent>
    </w:sdt>
    <w:p w14:paraId="459F6254" w14:textId="77777777" w:rsidR="005237D6" w:rsidRDefault="005237D6" w:rsidP="005237D6">
      <w:pPr>
        <w:spacing w:line="360" w:lineRule="auto"/>
      </w:pPr>
    </w:p>
    <w:p w14:paraId="41137C3E" w14:textId="77777777" w:rsidR="007B0A42" w:rsidRDefault="007B0A42" w:rsidP="005237D6">
      <w:pPr>
        <w:spacing w:line="360" w:lineRule="auto"/>
        <w:rPr>
          <w:rFonts w:ascii="Arial" w:hAnsi="Arial" w:cs="Arial"/>
          <w:b/>
          <w:bCs/>
          <w:sz w:val="40"/>
          <w:szCs w:val="40"/>
        </w:rPr>
      </w:pPr>
    </w:p>
    <w:p w14:paraId="389B8560" w14:textId="77777777" w:rsidR="007B0A42" w:rsidRDefault="007B0A42" w:rsidP="005237D6">
      <w:pPr>
        <w:spacing w:line="360" w:lineRule="auto"/>
        <w:rPr>
          <w:rFonts w:ascii="Arial" w:hAnsi="Arial" w:cs="Arial"/>
          <w:b/>
          <w:bCs/>
          <w:sz w:val="40"/>
          <w:szCs w:val="40"/>
        </w:rPr>
      </w:pPr>
    </w:p>
    <w:p w14:paraId="7A8F9630" w14:textId="77777777" w:rsidR="007B0A42" w:rsidRDefault="007B0A42" w:rsidP="005237D6">
      <w:pPr>
        <w:spacing w:line="360" w:lineRule="auto"/>
        <w:rPr>
          <w:rFonts w:ascii="Arial" w:hAnsi="Arial" w:cs="Arial"/>
          <w:b/>
          <w:bCs/>
          <w:sz w:val="40"/>
          <w:szCs w:val="40"/>
        </w:rPr>
      </w:pPr>
    </w:p>
    <w:p w14:paraId="16925A36" w14:textId="77777777" w:rsidR="00987E25" w:rsidRDefault="00987E25" w:rsidP="00987E25"/>
    <w:p w14:paraId="7414E823" w14:textId="77777777" w:rsidR="00987E25" w:rsidRPr="00987E25" w:rsidRDefault="00987E25" w:rsidP="00987E25"/>
    <w:p w14:paraId="4FA8AEB5" w14:textId="77777777" w:rsidR="00987E25" w:rsidRDefault="00987E25" w:rsidP="001F7DDC">
      <w:pPr>
        <w:pStyle w:val="Heading1"/>
        <w:rPr>
          <w:rFonts w:ascii="Arial" w:hAnsi="Arial" w:cs="Arial"/>
        </w:rPr>
      </w:pPr>
    </w:p>
    <w:p w14:paraId="4B2444AE" w14:textId="77777777" w:rsidR="00005E5C" w:rsidRDefault="00005E5C" w:rsidP="00005E5C"/>
    <w:p w14:paraId="61A9C1E1" w14:textId="69BCCF13" w:rsidR="005A4F61" w:rsidRPr="007C5A2A" w:rsidRDefault="004341E4" w:rsidP="001F7DDC">
      <w:pPr>
        <w:pStyle w:val="Heading1"/>
        <w:rPr>
          <w:rFonts w:ascii="Arial" w:hAnsi="Arial" w:cs="Arial"/>
        </w:rPr>
      </w:pPr>
      <w:bookmarkStart w:id="0" w:name="_Toc242861700"/>
      <w:bookmarkStart w:id="1" w:name="_Toc242863174"/>
      <w:r>
        <w:rPr>
          <w:noProof/>
        </w:rPr>
        <w:drawing>
          <wp:anchor distT="0" distB="0" distL="114300" distR="114300" simplePos="0" relativeHeight="251658242" behindDoc="0" locked="0" layoutInCell="1" allowOverlap="1" wp14:anchorId="65230DF1" wp14:editId="2106C86E">
            <wp:simplePos x="0" y="0"/>
            <wp:positionH relativeFrom="margin">
              <wp:posOffset>0</wp:posOffset>
            </wp:positionH>
            <wp:positionV relativeFrom="paragraph">
              <wp:posOffset>1645285</wp:posOffset>
            </wp:positionV>
            <wp:extent cx="6583680" cy="7423150"/>
            <wp:effectExtent l="0" t="0" r="7620" b="6350"/>
            <wp:wrapTopAndBottom/>
            <wp:docPr id="1874744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744780" name=""/>
                    <pic:cNvPicPr/>
                  </pic:nvPicPr>
                  <pic:blipFill>
                    <a:blip r:embed="rId12"/>
                    <a:stretch>
                      <a:fillRect/>
                    </a:stretch>
                  </pic:blipFill>
                  <pic:spPr>
                    <a:xfrm>
                      <a:off x="0" y="0"/>
                      <a:ext cx="6583680" cy="7423150"/>
                    </a:xfrm>
                    <a:prstGeom prst="rect">
                      <a:avLst/>
                    </a:prstGeom>
                  </pic:spPr>
                </pic:pic>
              </a:graphicData>
            </a:graphic>
            <wp14:sizeRelH relativeFrom="margin">
              <wp14:pctWidth>0</wp14:pctWidth>
            </wp14:sizeRelH>
            <wp14:sizeRelV relativeFrom="margin">
              <wp14:pctHeight>0</wp14:pctHeight>
            </wp14:sizeRelV>
          </wp:anchor>
        </w:drawing>
      </w:r>
      <w:r w:rsidR="005A4F61" w:rsidRPr="007C5A2A">
        <w:rPr>
          <w:rFonts w:ascii="Arial" w:hAnsi="Arial" w:cs="Arial"/>
        </w:rPr>
        <w:t>Leadership, Governance and Systems Thinking in Healthcare Transformation</w:t>
      </w:r>
      <w:bookmarkEnd w:id="0"/>
      <w:bookmarkEnd w:id="1"/>
    </w:p>
    <w:p w14:paraId="66C924E2" w14:textId="4E2DC589" w:rsidR="005A4F61" w:rsidRDefault="005A4F61" w:rsidP="001F7DDC">
      <w:pPr>
        <w:pStyle w:val="Heading1"/>
        <w:rPr>
          <w:rFonts w:ascii="Arial" w:hAnsi="Arial" w:cs="Arial"/>
        </w:rPr>
      </w:pPr>
      <w:bookmarkStart w:id="2" w:name="_Toc242861701"/>
      <w:bookmarkStart w:id="3" w:name="_Toc242863175"/>
      <w:r w:rsidRPr="007C5A2A">
        <w:rPr>
          <w:rFonts w:ascii="Arial" w:hAnsi="Arial" w:cs="Arial"/>
        </w:rPr>
        <w:t>A critical case study of Mid Staffordshire NHS Foundation Trust and post-Francis refor</w:t>
      </w:r>
      <w:r>
        <w:rPr>
          <w:rFonts w:ascii="Arial" w:hAnsi="Arial" w:cs="Arial"/>
        </w:rPr>
        <w:t>ms</w:t>
      </w:r>
      <w:r w:rsidR="00F84395">
        <w:rPr>
          <w:rFonts w:ascii="Arial" w:hAnsi="Arial" w:cs="Arial"/>
        </w:rPr>
        <w:t>.</w:t>
      </w:r>
      <w:bookmarkEnd w:id="2"/>
      <w:bookmarkEnd w:id="3"/>
    </w:p>
    <w:p w14:paraId="312A9B2F" w14:textId="2D3F2F49" w:rsidR="00DD3B5B" w:rsidRDefault="00DD3B5B" w:rsidP="00DD3B5B"/>
    <w:p w14:paraId="1835D46B" w14:textId="77777777" w:rsidR="00DD3B5B" w:rsidRDefault="00DD3B5B" w:rsidP="00DD3B5B"/>
    <w:tbl>
      <w:tblPr>
        <w:tblStyle w:val="TableGrid"/>
        <w:tblW w:w="0" w:type="auto"/>
        <w:tblLook w:val="04A0" w:firstRow="1" w:lastRow="0" w:firstColumn="1" w:lastColumn="0" w:noHBand="0" w:noVBand="1"/>
      </w:tblPr>
      <w:tblGrid>
        <w:gridCol w:w="10456"/>
      </w:tblGrid>
      <w:tr w:rsidR="004341E4" w14:paraId="5D6FD462" w14:textId="77777777" w:rsidTr="004341E4">
        <w:tc>
          <w:tcPr>
            <w:tcW w:w="10456" w:type="dxa"/>
          </w:tcPr>
          <w:p w14:paraId="3044E0C6" w14:textId="01EB5EA9" w:rsidR="004341E4" w:rsidRDefault="004341E4" w:rsidP="00882898">
            <w:pPr>
              <w:spacing w:line="360" w:lineRule="auto"/>
            </w:pPr>
            <w:r w:rsidRPr="00882898">
              <w:rPr>
                <w:b/>
                <w:bCs/>
              </w:rPr>
              <w:t>Figure 1:</w:t>
            </w:r>
            <w:r w:rsidR="005B2374">
              <w:t xml:space="preserve"> </w:t>
            </w:r>
            <w:r w:rsidR="005B2374" w:rsidRPr="00882898">
              <w:rPr>
                <w:rFonts w:ascii="Arial" w:hAnsi="Arial" w:cs="Arial"/>
              </w:rPr>
              <w:t xml:space="preserve">The final Francis Report </w:t>
            </w:r>
            <w:bookmarkStart w:id="4" w:name="_Int_wQsfiNRo"/>
            <w:r w:rsidR="005B2374" w:rsidRPr="00882898">
              <w:rPr>
                <w:rFonts w:ascii="Arial" w:hAnsi="Arial" w:cs="Arial"/>
              </w:rPr>
              <w:t>w</w:t>
            </w:r>
            <w:bookmarkStart w:id="5" w:name="_Int_nNODL7Z7"/>
            <w:r w:rsidR="005B2374" w:rsidRPr="00882898">
              <w:rPr>
                <w:rFonts w:ascii="Arial" w:hAnsi="Arial" w:cs="Arial"/>
              </w:rPr>
              <w:t>as published</w:t>
            </w:r>
            <w:bookmarkEnd w:id="4"/>
            <w:r w:rsidR="005B2374" w:rsidRPr="00882898">
              <w:rPr>
                <w:rFonts w:ascii="Arial" w:hAnsi="Arial" w:cs="Arial"/>
              </w:rPr>
              <w:t xml:space="preserve"> </w:t>
            </w:r>
            <w:bookmarkEnd w:id="5"/>
            <w:r w:rsidR="005B2374" w:rsidRPr="00882898">
              <w:rPr>
                <w:rFonts w:ascii="Arial" w:hAnsi="Arial" w:cs="Arial"/>
              </w:rPr>
              <w:t>on 6 February 2013 and made 290</w:t>
            </w:r>
            <w:r w:rsidR="00147F90" w:rsidRPr="00882898">
              <w:rPr>
                <w:rFonts w:ascii="Arial" w:hAnsi="Arial" w:cs="Arial"/>
              </w:rPr>
              <w:t xml:space="preserve">, </w:t>
            </w:r>
            <w:r w:rsidR="00CC12A1" w:rsidRPr="00882898">
              <w:rPr>
                <w:rFonts w:ascii="Arial" w:hAnsi="Arial" w:cs="Arial"/>
              </w:rPr>
              <w:t xml:space="preserve">Government </w:t>
            </w:r>
            <w:r w:rsidR="00F07D48" w:rsidRPr="00882898">
              <w:rPr>
                <w:rFonts w:ascii="Arial" w:hAnsi="Arial" w:cs="Arial"/>
              </w:rPr>
              <w:t>acc</w:t>
            </w:r>
            <w:r w:rsidR="007515EA" w:rsidRPr="00882898">
              <w:rPr>
                <w:rFonts w:ascii="Arial" w:hAnsi="Arial" w:cs="Arial"/>
              </w:rPr>
              <w:t>epts</w:t>
            </w:r>
            <w:r w:rsidR="00147F90" w:rsidRPr="00882898">
              <w:rPr>
                <w:rFonts w:ascii="Arial" w:hAnsi="Arial" w:cs="Arial"/>
              </w:rPr>
              <w:t xml:space="preserve"> </w:t>
            </w:r>
            <w:r w:rsidR="005B2374" w:rsidRPr="00882898">
              <w:rPr>
                <w:rFonts w:ascii="Arial" w:hAnsi="Arial" w:cs="Arial"/>
              </w:rPr>
              <w:t>recommendations.</w:t>
            </w:r>
          </w:p>
        </w:tc>
      </w:tr>
    </w:tbl>
    <w:p w14:paraId="51872ADF" w14:textId="691A4BAD" w:rsidR="00DD3B5B" w:rsidRPr="00DD3B5B" w:rsidRDefault="00DD3B5B" w:rsidP="00DD3B5B"/>
    <w:p w14:paraId="3A8D99C5" w14:textId="5B018DAB" w:rsidR="004037AE" w:rsidRPr="006A1DD0" w:rsidRDefault="005A4F61" w:rsidP="006A1DD0">
      <w:pPr>
        <w:pStyle w:val="Heading1"/>
        <w:numPr>
          <w:ilvl w:val="0"/>
          <w:numId w:val="2"/>
        </w:numPr>
        <w:rPr>
          <w:rFonts w:ascii="Arial" w:hAnsi="Arial" w:cs="Arial"/>
        </w:rPr>
      </w:pPr>
      <w:bookmarkStart w:id="6" w:name="_Toc242861702"/>
      <w:bookmarkStart w:id="7" w:name="_Toc242863176"/>
      <w:r w:rsidRPr="007C5A2A">
        <w:rPr>
          <w:rFonts w:ascii="Arial" w:hAnsi="Arial" w:cs="Arial"/>
        </w:rPr>
        <w:t>Introduction</w:t>
      </w:r>
      <w:bookmarkEnd w:id="6"/>
      <w:bookmarkEnd w:id="7"/>
    </w:p>
    <w:p w14:paraId="56536A23" w14:textId="3DE535AE" w:rsidR="00D47CBF" w:rsidRPr="006A1DD0" w:rsidRDefault="00D47CBF" w:rsidP="006A1DD0">
      <w:pPr>
        <w:pStyle w:val="p1"/>
        <w:spacing w:line="360" w:lineRule="auto"/>
        <w:rPr>
          <w:rFonts w:ascii="Arial" w:hAnsi="Arial" w:cs="Arial"/>
          <w:sz w:val="22"/>
          <w:szCs w:val="22"/>
        </w:rPr>
      </w:pPr>
      <w:r w:rsidRPr="006A1DD0">
        <w:rPr>
          <w:rStyle w:val="s1"/>
          <w:rFonts w:ascii="Arial" w:hAnsi="Arial" w:cs="Arial"/>
          <w:sz w:val="22"/>
          <w:szCs w:val="22"/>
        </w:rPr>
        <w:t xml:space="preserve">Leadership in health and social care involves influencing individuals and multidisciplinary teams to achieve shared goals </w:t>
      </w:r>
      <w:r w:rsidR="00D93F69" w:rsidRPr="006A1DD0">
        <w:rPr>
          <w:rStyle w:val="s1"/>
          <w:rFonts w:ascii="Arial" w:hAnsi="Arial" w:cs="Arial"/>
          <w:sz w:val="22"/>
          <w:szCs w:val="22"/>
        </w:rPr>
        <w:t>cantered</w:t>
      </w:r>
      <w:r w:rsidRPr="006A1DD0">
        <w:rPr>
          <w:rStyle w:val="s1"/>
          <w:rFonts w:ascii="Arial" w:hAnsi="Arial" w:cs="Arial"/>
          <w:sz w:val="22"/>
          <w:szCs w:val="22"/>
        </w:rPr>
        <w:t xml:space="preserve"> on patient safety, dignity, and </w:t>
      </w:r>
      <w:bookmarkStart w:id="8" w:name="_Int_5hoBSNmT"/>
      <w:r w:rsidRPr="006A1DD0">
        <w:rPr>
          <w:rStyle w:val="s1"/>
          <w:rFonts w:ascii="Arial" w:hAnsi="Arial" w:cs="Arial"/>
          <w:sz w:val="22"/>
          <w:szCs w:val="22"/>
        </w:rPr>
        <w:t>equitable</w:t>
      </w:r>
      <w:bookmarkEnd w:id="8"/>
      <w:r w:rsidRPr="006A1DD0">
        <w:rPr>
          <w:rStyle w:val="s1"/>
          <w:rFonts w:ascii="Arial" w:hAnsi="Arial" w:cs="Arial"/>
          <w:sz w:val="22"/>
          <w:szCs w:val="22"/>
        </w:rPr>
        <w:t xml:space="preserve"> care delivery. Unlike commercial leadership, health leadership </w:t>
      </w:r>
      <w:bookmarkStart w:id="9" w:name="_Int_4qWUAfR1"/>
      <w:r w:rsidRPr="006A1DD0">
        <w:rPr>
          <w:rStyle w:val="s1"/>
          <w:rFonts w:ascii="Arial" w:hAnsi="Arial" w:cs="Arial"/>
          <w:sz w:val="22"/>
          <w:szCs w:val="22"/>
        </w:rPr>
        <w:t>operates</w:t>
      </w:r>
      <w:bookmarkEnd w:id="9"/>
      <w:r w:rsidRPr="006A1DD0">
        <w:rPr>
          <w:rStyle w:val="s1"/>
          <w:rFonts w:ascii="Arial" w:hAnsi="Arial" w:cs="Arial"/>
          <w:sz w:val="22"/>
          <w:szCs w:val="22"/>
        </w:rPr>
        <w:t xml:space="preserve"> across complex professional boundaries, clinical uncertainty, regulatory duties, and finite resources. Leaders must simultaneously safeguard vulnerable service users, support clinical judgment, and </w:t>
      </w:r>
      <w:bookmarkStart w:id="10" w:name="_Int_sK9DmV4u"/>
      <w:r w:rsidRPr="006A1DD0">
        <w:rPr>
          <w:rStyle w:val="s1"/>
          <w:rFonts w:ascii="Arial" w:hAnsi="Arial" w:cs="Arial"/>
          <w:sz w:val="22"/>
          <w:szCs w:val="22"/>
        </w:rPr>
        <w:t>demonstrate</w:t>
      </w:r>
      <w:bookmarkEnd w:id="10"/>
      <w:r w:rsidRPr="006A1DD0">
        <w:rPr>
          <w:rStyle w:val="s1"/>
          <w:rFonts w:ascii="Arial" w:hAnsi="Arial" w:cs="Arial"/>
          <w:sz w:val="22"/>
          <w:szCs w:val="22"/>
        </w:rPr>
        <w:t xml:space="preserve"> transparent stewardship of public funds (Northouse, 2022; West et al., 2014).</w:t>
      </w:r>
    </w:p>
    <w:p w14:paraId="591BA052" w14:textId="77777777" w:rsidR="00D47CBF" w:rsidRPr="006A1DD0" w:rsidRDefault="00D47CBF" w:rsidP="006A1DD0">
      <w:pPr>
        <w:pStyle w:val="p2"/>
        <w:spacing w:line="360" w:lineRule="auto"/>
        <w:rPr>
          <w:rFonts w:ascii="Arial" w:hAnsi="Arial" w:cs="Arial"/>
          <w:sz w:val="22"/>
          <w:szCs w:val="22"/>
        </w:rPr>
      </w:pPr>
      <w:r w:rsidRPr="006A1DD0">
        <w:rPr>
          <w:rStyle w:val="s1"/>
          <w:rFonts w:ascii="Arial" w:hAnsi="Arial" w:cs="Arial"/>
          <w:sz w:val="22"/>
          <w:szCs w:val="22"/>
        </w:rPr>
        <w:t xml:space="preserve">This report critically examines the systemic failures at Mid Staffordshire NHS Foundation Trust between 2005 and 2009. During this period, Stafford Hospital suffered severe lapses in care, including inadequate nutrition and hydration support, compromised hygiene, delayed emergency responses, and widespread erosion of basic dignity (Healthcare Commission, 2009; Powell, 2013). The </w:t>
      </w:r>
      <w:bookmarkStart w:id="11" w:name="_Int_jWdcZuBh"/>
      <w:r w:rsidRPr="006A1DD0">
        <w:rPr>
          <w:rStyle w:val="s1"/>
          <w:rFonts w:ascii="Arial" w:hAnsi="Arial" w:cs="Arial"/>
          <w:sz w:val="22"/>
          <w:szCs w:val="22"/>
        </w:rPr>
        <w:t>subsequent</w:t>
      </w:r>
      <w:bookmarkEnd w:id="11"/>
      <w:r w:rsidRPr="006A1DD0">
        <w:rPr>
          <w:rStyle w:val="s1"/>
          <w:rFonts w:ascii="Arial" w:hAnsi="Arial" w:cs="Arial"/>
          <w:sz w:val="22"/>
          <w:szCs w:val="22"/>
        </w:rPr>
        <w:t xml:space="preserve"> public inquiry led by Robert Francis QC issued 290 recommendations, exposing how formal performance targets—such as achieving foundation trust status and meeting financial metrics—became tragically detached from patient outcomes and bedside reality (Francis, 2013).</w:t>
      </w:r>
    </w:p>
    <w:p w14:paraId="13E2614D" w14:textId="0E8407F0" w:rsidR="00D47CBF" w:rsidRPr="006A1DD0" w:rsidRDefault="00D47CBF" w:rsidP="006A1DD0">
      <w:pPr>
        <w:pStyle w:val="p2"/>
        <w:spacing w:line="360" w:lineRule="auto"/>
        <w:rPr>
          <w:rFonts w:ascii="Arial" w:hAnsi="Arial" w:cs="Arial"/>
          <w:sz w:val="22"/>
          <w:szCs w:val="22"/>
        </w:rPr>
      </w:pPr>
      <w:r w:rsidRPr="006A1DD0">
        <w:rPr>
          <w:rStyle w:val="s1"/>
          <w:rFonts w:ascii="Arial" w:hAnsi="Arial" w:cs="Arial"/>
          <w:sz w:val="22"/>
          <w:szCs w:val="22"/>
        </w:rPr>
        <w:t xml:space="preserve">Navigating complex healthcare environments requires an understanding of structural power and decision-making authority. </w:t>
      </w:r>
      <w:r w:rsidR="002243C0" w:rsidRPr="006A1DD0">
        <w:rPr>
          <w:rStyle w:val="s1"/>
          <w:rFonts w:ascii="Arial" w:hAnsi="Arial" w:cs="Arial"/>
          <w:sz w:val="22"/>
          <w:szCs w:val="22"/>
        </w:rPr>
        <w:t>Centralisation</w:t>
      </w:r>
      <w:r w:rsidRPr="006A1DD0">
        <w:rPr>
          <w:rStyle w:val="s1"/>
          <w:rFonts w:ascii="Arial" w:hAnsi="Arial" w:cs="Arial"/>
          <w:sz w:val="22"/>
          <w:szCs w:val="22"/>
        </w:rPr>
        <w:t xml:space="preserve"> concentrates strategic control, </w:t>
      </w:r>
      <w:r w:rsidR="002243C0" w:rsidRPr="006A1DD0">
        <w:rPr>
          <w:rStyle w:val="s1"/>
          <w:rFonts w:ascii="Arial" w:hAnsi="Arial" w:cs="Arial"/>
          <w:sz w:val="22"/>
          <w:szCs w:val="22"/>
        </w:rPr>
        <w:t>standardising</w:t>
      </w:r>
      <w:r w:rsidRPr="006A1DD0">
        <w:rPr>
          <w:rStyle w:val="s1"/>
          <w:rFonts w:ascii="Arial" w:hAnsi="Arial" w:cs="Arial"/>
          <w:sz w:val="22"/>
          <w:szCs w:val="22"/>
        </w:rPr>
        <w:t xml:space="preserve"> safety protocols</w:t>
      </w:r>
      <w:r w:rsidR="002243C0" w:rsidRPr="006A1DD0">
        <w:rPr>
          <w:rStyle w:val="s1"/>
          <w:rFonts w:ascii="Arial" w:hAnsi="Arial" w:cs="Arial"/>
          <w:sz w:val="22"/>
          <w:szCs w:val="22"/>
        </w:rPr>
        <w:t>,</w:t>
      </w:r>
      <w:r w:rsidRPr="006A1DD0">
        <w:rPr>
          <w:rStyle w:val="s1"/>
          <w:rFonts w:ascii="Arial" w:hAnsi="Arial" w:cs="Arial"/>
          <w:sz w:val="22"/>
          <w:szCs w:val="22"/>
        </w:rPr>
        <w:t xml:space="preserve"> and financial governance at the board level. Conversely, </w:t>
      </w:r>
      <w:r w:rsidR="002243C0" w:rsidRPr="006A1DD0">
        <w:rPr>
          <w:rStyle w:val="s1"/>
          <w:rFonts w:ascii="Arial" w:hAnsi="Arial" w:cs="Arial"/>
          <w:sz w:val="22"/>
          <w:szCs w:val="22"/>
        </w:rPr>
        <w:t>decentralisation</w:t>
      </w:r>
      <w:r w:rsidRPr="006A1DD0">
        <w:rPr>
          <w:rStyle w:val="s1"/>
          <w:rFonts w:ascii="Arial" w:hAnsi="Arial" w:cs="Arial"/>
          <w:sz w:val="22"/>
          <w:szCs w:val="22"/>
        </w:rPr>
        <w:t xml:space="preserve"> delegates authority to local wards and clinical teams, enabling frontline staff to detect and act upon emerging clinical risks rapidly (Mintzberg, 1979). Selecting the </w:t>
      </w:r>
      <w:bookmarkStart w:id="12" w:name="_Int_QVucDTig"/>
      <w:r w:rsidRPr="006A1DD0">
        <w:rPr>
          <w:rStyle w:val="s1"/>
          <w:rFonts w:ascii="Arial" w:hAnsi="Arial" w:cs="Arial"/>
          <w:sz w:val="22"/>
          <w:szCs w:val="22"/>
        </w:rPr>
        <w:t>appropriate leadership</w:t>
      </w:r>
      <w:bookmarkEnd w:id="12"/>
      <w:r w:rsidRPr="006A1DD0">
        <w:rPr>
          <w:rStyle w:val="s1"/>
          <w:rFonts w:ascii="Arial" w:hAnsi="Arial" w:cs="Arial"/>
          <w:sz w:val="22"/>
          <w:szCs w:val="22"/>
        </w:rPr>
        <w:t xml:space="preserve"> style is crucial during organi</w:t>
      </w:r>
      <w:r w:rsidR="00DB3A7A">
        <w:rPr>
          <w:rStyle w:val="s1"/>
          <w:rFonts w:ascii="Arial" w:hAnsi="Arial" w:cs="Arial"/>
          <w:sz w:val="22"/>
          <w:szCs w:val="22"/>
        </w:rPr>
        <w:t>s</w:t>
      </w:r>
      <w:r w:rsidRPr="006A1DD0">
        <w:rPr>
          <w:rStyle w:val="s1"/>
          <w:rFonts w:ascii="Arial" w:hAnsi="Arial" w:cs="Arial"/>
          <w:sz w:val="22"/>
          <w:szCs w:val="22"/>
        </w:rPr>
        <w:t xml:space="preserve">ational change or crisis, as rigid approaches can stifle early warning signs, while flexible leadership fosters psychological safety and transparent reporting. Key models—such as McGregor’s (1960) Theory X and Theory Y, </w:t>
      </w:r>
      <w:r w:rsidR="00426849" w:rsidRPr="006A1DD0">
        <w:rPr>
          <w:rStyle w:val="s1"/>
          <w:rFonts w:ascii="Arial" w:hAnsi="Arial" w:cs="Arial"/>
          <w:sz w:val="22"/>
          <w:szCs w:val="22"/>
        </w:rPr>
        <w:t>Ouch’s</w:t>
      </w:r>
      <w:r w:rsidRPr="006A1DD0">
        <w:rPr>
          <w:rStyle w:val="s1"/>
          <w:rFonts w:ascii="Arial" w:hAnsi="Arial" w:cs="Arial"/>
          <w:sz w:val="22"/>
          <w:szCs w:val="22"/>
        </w:rPr>
        <w:t xml:space="preserve"> (1981) Theory Z, Blake and Mouton’s (1964) Managerial Grid (task vs. relationship orientation), Fiedler’s (1967) Contingency Theory, transformational, transactional, and situational leadership—provide valuable frameworks for evaluating how leader </w:t>
      </w:r>
      <w:r w:rsidR="003760B1" w:rsidRPr="006A1DD0">
        <w:rPr>
          <w:rStyle w:val="s1"/>
          <w:rFonts w:ascii="Arial" w:hAnsi="Arial" w:cs="Arial"/>
          <w:sz w:val="22"/>
          <w:szCs w:val="22"/>
        </w:rPr>
        <w:t>behaviour</w:t>
      </w:r>
      <w:r w:rsidRPr="006A1DD0">
        <w:rPr>
          <w:rStyle w:val="s1"/>
          <w:rFonts w:ascii="Arial" w:hAnsi="Arial" w:cs="Arial"/>
          <w:sz w:val="22"/>
          <w:szCs w:val="22"/>
        </w:rPr>
        <w:t xml:space="preserve"> directly shapes ward culture, staff trust, and patient safety.</w:t>
      </w:r>
    </w:p>
    <w:p w14:paraId="6EBB95F2" w14:textId="18163A61" w:rsidR="00D47CBF" w:rsidRPr="006A1DD0" w:rsidRDefault="00D47CBF" w:rsidP="006A1DD0">
      <w:pPr>
        <w:pStyle w:val="p2"/>
        <w:spacing w:line="360" w:lineRule="auto"/>
        <w:rPr>
          <w:rFonts w:ascii="Arial" w:hAnsi="Arial" w:cs="Arial"/>
          <w:sz w:val="22"/>
          <w:szCs w:val="22"/>
        </w:rPr>
      </w:pPr>
      <w:r w:rsidRPr="006A1DD0">
        <w:rPr>
          <w:rStyle w:val="s1"/>
          <w:rFonts w:ascii="Arial" w:hAnsi="Arial" w:cs="Arial"/>
          <w:sz w:val="22"/>
          <w:szCs w:val="22"/>
        </w:rPr>
        <w:t xml:space="preserve">Applying Donabedian’s (1988) structure–process–outcome framework, this report </w:t>
      </w:r>
      <w:bookmarkStart w:id="13" w:name="_Int_HDXiVNvk"/>
      <w:r w:rsidRPr="006A1DD0">
        <w:rPr>
          <w:rStyle w:val="s1"/>
          <w:rFonts w:ascii="Arial" w:hAnsi="Arial" w:cs="Arial"/>
          <w:sz w:val="22"/>
          <w:szCs w:val="22"/>
        </w:rPr>
        <w:t>demonstrates</w:t>
      </w:r>
      <w:bookmarkEnd w:id="13"/>
      <w:r w:rsidRPr="006A1DD0">
        <w:rPr>
          <w:rStyle w:val="s1"/>
          <w:rFonts w:ascii="Arial" w:hAnsi="Arial" w:cs="Arial"/>
          <w:sz w:val="22"/>
          <w:szCs w:val="22"/>
        </w:rPr>
        <w:t xml:space="preserve"> that formal governance structures are merely preconditions for safe care; true reliability depends on functional processes that connect bedside feedback to executive accountability. </w:t>
      </w:r>
      <w:r w:rsidR="001767B2" w:rsidRPr="006A1DD0">
        <w:rPr>
          <w:rStyle w:val="s1"/>
          <w:rFonts w:ascii="Arial" w:hAnsi="Arial" w:cs="Arial"/>
          <w:sz w:val="22"/>
          <w:szCs w:val="22"/>
        </w:rPr>
        <w:t>This</w:t>
      </w:r>
      <w:r w:rsidRPr="006A1DD0">
        <w:rPr>
          <w:rStyle w:val="s1"/>
          <w:rFonts w:ascii="Arial" w:hAnsi="Arial" w:cs="Arial"/>
          <w:sz w:val="22"/>
          <w:szCs w:val="22"/>
        </w:rPr>
        <w:t xml:space="preserve"> evaluation highlights how effective leadership bridges executive boards and clinical practice. To address all these vital dimensions comprehensively, this academic report will systematically:</w:t>
      </w:r>
    </w:p>
    <w:p w14:paraId="7D04A1BE" w14:textId="77777777" w:rsidR="00D92C4E" w:rsidRDefault="00D92C4E" w:rsidP="006A1DD0">
      <w:pPr>
        <w:pStyle w:val="p3"/>
        <w:spacing w:line="360" w:lineRule="auto"/>
        <w:rPr>
          <w:rStyle w:val="s1"/>
          <w:rFonts w:ascii="Arial" w:hAnsi="Arial" w:cs="Arial"/>
          <w:sz w:val="22"/>
          <w:szCs w:val="22"/>
        </w:rPr>
      </w:pPr>
    </w:p>
    <w:p w14:paraId="5173F9A6" w14:textId="77777777" w:rsidR="00D92C4E" w:rsidRDefault="00D92C4E" w:rsidP="006A1DD0">
      <w:pPr>
        <w:pStyle w:val="p3"/>
        <w:spacing w:line="360" w:lineRule="auto"/>
        <w:rPr>
          <w:rStyle w:val="s1"/>
          <w:rFonts w:ascii="Arial" w:hAnsi="Arial" w:cs="Arial"/>
          <w:sz w:val="22"/>
          <w:szCs w:val="22"/>
        </w:rPr>
      </w:pPr>
    </w:p>
    <w:p w14:paraId="6A189DB1" w14:textId="77777777" w:rsidR="00D92C4E" w:rsidRDefault="00D92C4E" w:rsidP="006A1DD0">
      <w:pPr>
        <w:pStyle w:val="p3"/>
        <w:spacing w:line="360" w:lineRule="auto"/>
        <w:rPr>
          <w:rStyle w:val="s1"/>
          <w:rFonts w:ascii="Arial" w:hAnsi="Arial" w:cs="Arial"/>
          <w:sz w:val="22"/>
          <w:szCs w:val="22"/>
        </w:rPr>
      </w:pPr>
    </w:p>
    <w:p w14:paraId="2D744FFD" w14:textId="67A53FAE" w:rsidR="00D47CBF" w:rsidRPr="006A1DD0" w:rsidRDefault="00D47CBF" w:rsidP="00D92C4E">
      <w:pPr>
        <w:pStyle w:val="p3"/>
        <w:numPr>
          <w:ilvl w:val="0"/>
          <w:numId w:val="3"/>
        </w:numPr>
        <w:spacing w:line="360" w:lineRule="auto"/>
        <w:rPr>
          <w:rFonts w:ascii="Arial" w:hAnsi="Arial" w:cs="Arial"/>
          <w:sz w:val="22"/>
          <w:szCs w:val="22"/>
        </w:rPr>
      </w:pPr>
      <w:r w:rsidRPr="006A1DD0">
        <w:rPr>
          <w:rStyle w:val="s1"/>
          <w:rFonts w:ascii="Arial" w:hAnsi="Arial" w:cs="Arial"/>
          <w:sz w:val="22"/>
          <w:szCs w:val="22"/>
        </w:rPr>
        <w:t>Map the core problem and broader system context of Mid Staffordshire using a detailed Rich Picture analysis</w:t>
      </w:r>
      <w:r w:rsidR="001767B2" w:rsidRPr="006A1DD0">
        <w:rPr>
          <w:rStyle w:val="s1"/>
          <w:rFonts w:ascii="Arial" w:hAnsi="Arial" w:cs="Arial"/>
          <w:sz w:val="22"/>
          <w:szCs w:val="22"/>
        </w:rPr>
        <w:t>.</w:t>
      </w:r>
    </w:p>
    <w:p w14:paraId="622D661D" w14:textId="24B8A552" w:rsidR="00D47CBF" w:rsidRPr="006A1DD0" w:rsidRDefault="00D47CBF" w:rsidP="00D92C4E">
      <w:pPr>
        <w:pStyle w:val="p4"/>
        <w:numPr>
          <w:ilvl w:val="0"/>
          <w:numId w:val="3"/>
        </w:numPr>
        <w:spacing w:line="360" w:lineRule="auto"/>
        <w:rPr>
          <w:rFonts w:ascii="Arial" w:hAnsi="Arial" w:cs="Arial"/>
          <w:sz w:val="22"/>
          <w:szCs w:val="22"/>
        </w:rPr>
      </w:pPr>
      <w:r w:rsidRPr="006A1DD0">
        <w:rPr>
          <w:rStyle w:val="s1"/>
          <w:rFonts w:ascii="Arial" w:hAnsi="Arial" w:cs="Arial"/>
          <w:sz w:val="22"/>
          <w:szCs w:val="22"/>
        </w:rPr>
        <w:t xml:space="preserve">Evaluate its structural governance and the complex interplay between </w:t>
      </w:r>
      <w:r w:rsidR="00912B82" w:rsidRPr="006A1DD0">
        <w:rPr>
          <w:rStyle w:val="s1"/>
          <w:rFonts w:ascii="Arial" w:hAnsi="Arial" w:cs="Arial"/>
          <w:sz w:val="22"/>
          <w:szCs w:val="22"/>
        </w:rPr>
        <w:t>centralised</w:t>
      </w:r>
      <w:r w:rsidRPr="006A1DD0">
        <w:rPr>
          <w:rStyle w:val="s1"/>
          <w:rFonts w:ascii="Arial" w:hAnsi="Arial" w:cs="Arial"/>
          <w:sz w:val="22"/>
          <w:szCs w:val="22"/>
        </w:rPr>
        <w:t xml:space="preserve"> performance targets and </w:t>
      </w:r>
      <w:r w:rsidR="00912B82" w:rsidRPr="006A1DD0">
        <w:rPr>
          <w:rStyle w:val="s1"/>
          <w:rFonts w:ascii="Arial" w:hAnsi="Arial" w:cs="Arial"/>
          <w:sz w:val="22"/>
          <w:szCs w:val="22"/>
        </w:rPr>
        <w:t>decentralised</w:t>
      </w:r>
      <w:r w:rsidRPr="006A1DD0">
        <w:rPr>
          <w:rStyle w:val="s1"/>
          <w:rFonts w:ascii="Arial" w:hAnsi="Arial" w:cs="Arial"/>
          <w:sz w:val="22"/>
          <w:szCs w:val="22"/>
        </w:rPr>
        <w:t xml:space="preserve"> clinical care</w:t>
      </w:r>
      <w:r w:rsidR="001767B2" w:rsidRPr="006A1DD0">
        <w:rPr>
          <w:rStyle w:val="s1"/>
          <w:rFonts w:ascii="Arial" w:hAnsi="Arial" w:cs="Arial"/>
          <w:sz w:val="22"/>
          <w:szCs w:val="22"/>
        </w:rPr>
        <w:t>.</w:t>
      </w:r>
    </w:p>
    <w:p w14:paraId="02B35223" w14:textId="5530E37A" w:rsidR="00D47CBF" w:rsidRPr="006A1DD0" w:rsidRDefault="00D47CBF" w:rsidP="00D92C4E">
      <w:pPr>
        <w:pStyle w:val="p4"/>
        <w:numPr>
          <w:ilvl w:val="0"/>
          <w:numId w:val="3"/>
        </w:numPr>
        <w:spacing w:line="360" w:lineRule="auto"/>
        <w:rPr>
          <w:rFonts w:ascii="Arial" w:hAnsi="Arial" w:cs="Arial"/>
          <w:sz w:val="22"/>
          <w:szCs w:val="22"/>
        </w:rPr>
      </w:pPr>
      <w:r w:rsidRPr="006A1DD0">
        <w:rPr>
          <w:rStyle w:val="s1"/>
          <w:rFonts w:ascii="Arial" w:hAnsi="Arial" w:cs="Arial"/>
          <w:sz w:val="22"/>
          <w:szCs w:val="22"/>
        </w:rPr>
        <w:t xml:space="preserve">Critically </w:t>
      </w:r>
      <w:r w:rsidR="00912B82" w:rsidRPr="006A1DD0">
        <w:rPr>
          <w:rStyle w:val="s1"/>
          <w:rFonts w:ascii="Arial" w:hAnsi="Arial" w:cs="Arial"/>
          <w:sz w:val="22"/>
          <w:szCs w:val="22"/>
        </w:rPr>
        <w:t>analyse</w:t>
      </w:r>
      <w:r w:rsidRPr="006A1DD0">
        <w:rPr>
          <w:rStyle w:val="s1"/>
          <w:rFonts w:ascii="Arial" w:hAnsi="Arial" w:cs="Arial"/>
          <w:sz w:val="22"/>
          <w:szCs w:val="22"/>
        </w:rPr>
        <w:t xml:space="preserve"> leadership theories and management styles present during the acute crisis; and</w:t>
      </w:r>
    </w:p>
    <w:p w14:paraId="0C34C418" w14:textId="77777777" w:rsidR="00EB7622" w:rsidRDefault="00912B82" w:rsidP="00FE21A7">
      <w:pPr>
        <w:pStyle w:val="p4"/>
        <w:numPr>
          <w:ilvl w:val="0"/>
          <w:numId w:val="3"/>
        </w:numPr>
        <w:spacing w:line="360" w:lineRule="auto"/>
        <w:rPr>
          <w:rStyle w:val="s1"/>
          <w:rFonts w:ascii="Arial" w:hAnsi="Arial" w:cs="Arial"/>
          <w:sz w:val="22"/>
          <w:szCs w:val="22"/>
        </w:rPr>
      </w:pPr>
      <w:r w:rsidRPr="006A1DD0">
        <w:rPr>
          <w:rStyle w:val="s1"/>
          <w:rFonts w:ascii="Arial" w:hAnsi="Arial" w:cs="Arial"/>
          <w:sz w:val="22"/>
          <w:szCs w:val="22"/>
        </w:rPr>
        <w:t>Synthesise</w:t>
      </w:r>
      <w:r w:rsidR="00D47CBF" w:rsidRPr="006A1DD0">
        <w:rPr>
          <w:rStyle w:val="s1"/>
          <w:rFonts w:ascii="Arial" w:hAnsi="Arial" w:cs="Arial"/>
          <w:sz w:val="22"/>
          <w:szCs w:val="22"/>
        </w:rPr>
        <w:t xml:space="preserve"> key lessons learned into actionable, evidence-based recommendations for sustainable healthcare transformation.</w:t>
      </w:r>
    </w:p>
    <w:p w14:paraId="201F3EB6" w14:textId="77777777" w:rsidR="00F801DD" w:rsidRDefault="00F801DD" w:rsidP="008B716D">
      <w:pPr>
        <w:pStyle w:val="Heading1"/>
        <w:spacing w:line="360" w:lineRule="auto"/>
        <w:rPr>
          <w:rFonts w:ascii="Arial" w:hAnsi="Arial" w:cs="Arial"/>
        </w:rPr>
      </w:pPr>
    </w:p>
    <w:p w14:paraId="7C204D9C" w14:textId="6F9C7DA9" w:rsidR="003F6902" w:rsidRPr="008B716D" w:rsidRDefault="00C4765C" w:rsidP="00345909">
      <w:pPr>
        <w:pStyle w:val="Heading1"/>
        <w:spacing w:line="480" w:lineRule="auto"/>
        <w:rPr>
          <w:rFonts w:ascii="Arial" w:hAnsi="Arial" w:cs="Arial"/>
          <w:sz w:val="22"/>
          <w:szCs w:val="22"/>
        </w:rPr>
      </w:pPr>
      <w:r>
        <w:rPr>
          <w:rFonts w:ascii="Arial" w:hAnsi="Arial" w:cs="Arial"/>
        </w:rPr>
        <w:t>2.</w:t>
      </w:r>
      <w:r w:rsidR="00FE21A7" w:rsidRPr="008B716D">
        <w:rPr>
          <w:rFonts w:ascii="Arial" w:hAnsi="Arial" w:cs="Arial"/>
        </w:rPr>
        <w:t xml:space="preserve">Main Body </w:t>
      </w:r>
      <w:r w:rsidR="001767B2" w:rsidRPr="008B716D">
        <w:rPr>
          <w:rFonts w:ascii="Arial" w:hAnsi="Arial" w:cs="Arial"/>
        </w:rPr>
        <w:t>and</w:t>
      </w:r>
      <w:r w:rsidR="00FE21A7" w:rsidRPr="008B716D">
        <w:rPr>
          <w:rFonts w:ascii="Arial" w:hAnsi="Arial" w:cs="Arial"/>
        </w:rPr>
        <w:t xml:space="preserve"> Analysis </w:t>
      </w:r>
    </w:p>
    <w:p w14:paraId="2768EB78" w14:textId="4825576C" w:rsidR="005A4F61" w:rsidRPr="003A1430" w:rsidRDefault="005A4F61" w:rsidP="00166053">
      <w:pPr>
        <w:pStyle w:val="Heading1"/>
        <w:numPr>
          <w:ilvl w:val="0"/>
          <w:numId w:val="5"/>
        </w:numPr>
        <w:spacing w:line="360" w:lineRule="auto"/>
        <w:rPr>
          <w:rFonts w:ascii="Arial" w:hAnsi="Arial" w:cs="Arial"/>
        </w:rPr>
      </w:pPr>
      <w:bookmarkStart w:id="14" w:name="_Toc242861703"/>
      <w:bookmarkStart w:id="15" w:name="_Toc242863177"/>
      <w:r w:rsidRPr="003A1430">
        <w:rPr>
          <w:rFonts w:ascii="Arial" w:hAnsi="Arial" w:cs="Arial"/>
        </w:rPr>
        <w:t xml:space="preserve">2.1 Problem identification, system </w:t>
      </w:r>
      <w:r w:rsidR="00D36905" w:rsidRPr="003A1430">
        <w:rPr>
          <w:rFonts w:ascii="Arial" w:hAnsi="Arial" w:cs="Arial"/>
        </w:rPr>
        <w:t>context,</w:t>
      </w:r>
      <w:r w:rsidRPr="003A1430">
        <w:rPr>
          <w:rFonts w:ascii="Arial" w:hAnsi="Arial" w:cs="Arial"/>
        </w:rPr>
        <w:t xml:space="preserve"> and Rich Picture</w:t>
      </w:r>
      <w:bookmarkEnd w:id="14"/>
      <w:bookmarkEnd w:id="15"/>
    </w:p>
    <w:p w14:paraId="11C51EE8" w14:textId="19095F55" w:rsidR="00BC0633" w:rsidRPr="003A1430" w:rsidRDefault="00BC0633" w:rsidP="003A1430">
      <w:pPr>
        <w:pStyle w:val="p1"/>
        <w:spacing w:line="360" w:lineRule="auto"/>
        <w:rPr>
          <w:rFonts w:ascii="Arial" w:hAnsi="Arial" w:cs="Arial"/>
          <w:sz w:val="22"/>
          <w:szCs w:val="22"/>
        </w:rPr>
      </w:pPr>
      <w:r w:rsidRPr="003A1430">
        <w:rPr>
          <w:rStyle w:val="s1"/>
          <w:rFonts w:ascii="Arial" w:hAnsi="Arial" w:cs="Arial"/>
          <w:sz w:val="22"/>
          <w:szCs w:val="22"/>
        </w:rPr>
        <w:t xml:space="preserve">The core failure was not a single catastrophic incident but a sustained inability to recognise and correct poor basic care. The Healthcare Commission (2009) reported serious deficiencies in emergency care and governance; Francis (2013) </w:t>
      </w:r>
      <w:bookmarkStart w:id="16" w:name="_Int_b3T3d9UA"/>
      <w:r w:rsidRPr="003A1430">
        <w:rPr>
          <w:rStyle w:val="s1"/>
          <w:rFonts w:ascii="Arial" w:hAnsi="Arial" w:cs="Arial"/>
          <w:sz w:val="22"/>
          <w:szCs w:val="22"/>
        </w:rPr>
        <w:t>identified</w:t>
      </w:r>
      <w:bookmarkEnd w:id="16"/>
      <w:r w:rsidRPr="003A1430">
        <w:rPr>
          <w:rStyle w:val="s1"/>
          <w:rFonts w:ascii="Arial" w:hAnsi="Arial" w:cs="Arial"/>
          <w:sz w:val="22"/>
          <w:szCs w:val="22"/>
        </w:rPr>
        <w:t xml:space="preserve"> patients whose suffering had not </w:t>
      </w:r>
      <w:bookmarkStart w:id="17" w:name="_Int_c97Dc3Ap"/>
      <w:r w:rsidRPr="003A1430">
        <w:rPr>
          <w:rStyle w:val="s1"/>
          <w:rFonts w:ascii="Arial" w:hAnsi="Arial" w:cs="Arial"/>
          <w:sz w:val="22"/>
          <w:szCs w:val="22"/>
        </w:rPr>
        <w:t>been adequately heard</w:t>
      </w:r>
      <w:bookmarkEnd w:id="17"/>
      <w:r w:rsidRPr="003A1430">
        <w:rPr>
          <w:rStyle w:val="s1"/>
          <w:rFonts w:ascii="Arial" w:hAnsi="Arial" w:cs="Arial"/>
          <w:sz w:val="22"/>
          <w:szCs w:val="22"/>
        </w:rPr>
        <w:t xml:space="preserve"> by the institution. The public debate </w:t>
      </w:r>
      <w:bookmarkStart w:id="18" w:name="_Int_EW3KCyev"/>
      <w:r w:rsidRPr="003A1430">
        <w:rPr>
          <w:rStyle w:val="s1"/>
          <w:rFonts w:ascii="Arial" w:hAnsi="Arial" w:cs="Arial"/>
          <w:sz w:val="22"/>
          <w:szCs w:val="22"/>
        </w:rPr>
        <w:t>frequently</w:t>
      </w:r>
      <w:bookmarkEnd w:id="18"/>
      <w:r w:rsidRPr="003A1430">
        <w:rPr>
          <w:rStyle w:val="s1"/>
          <w:rFonts w:ascii="Arial" w:hAnsi="Arial" w:cs="Arial"/>
          <w:sz w:val="22"/>
          <w:szCs w:val="22"/>
        </w:rPr>
        <w:t xml:space="preserve"> cited an estimated 400–1,200 excess deaths. This range arose from statistical mortality comparisons and is not a verified count of deaths caused by neglect. Mortality measures can flag quality problems but depend on coding, case mix, and model assumptions. Treating estimates as confirmed causal findings would overstate the evidence and weaken the analysis (Francis, 2013; Healthcare Commission, 2009).</w:t>
      </w:r>
    </w:p>
    <w:p w14:paraId="523F6300" w14:textId="77777777" w:rsidR="00BC0633" w:rsidRPr="003A1430" w:rsidRDefault="00BC0633" w:rsidP="003A1430">
      <w:pPr>
        <w:pStyle w:val="p2"/>
        <w:spacing w:line="360" w:lineRule="auto"/>
        <w:rPr>
          <w:rFonts w:ascii="Arial" w:hAnsi="Arial" w:cs="Arial"/>
          <w:sz w:val="22"/>
          <w:szCs w:val="22"/>
        </w:rPr>
      </w:pPr>
      <w:r w:rsidRPr="003A1430">
        <w:rPr>
          <w:rStyle w:val="s1"/>
          <w:rFonts w:ascii="Arial" w:hAnsi="Arial" w:cs="Arial"/>
          <w:sz w:val="22"/>
          <w:szCs w:val="22"/>
        </w:rPr>
        <w:t xml:space="preserve">Global evidence </w:t>
      </w:r>
      <w:bookmarkStart w:id="19" w:name="_Int_J7VJsF7y"/>
      <w:r w:rsidRPr="003A1430">
        <w:rPr>
          <w:rStyle w:val="s1"/>
          <w:rFonts w:ascii="Arial" w:hAnsi="Arial" w:cs="Arial"/>
          <w:sz w:val="22"/>
          <w:szCs w:val="22"/>
        </w:rPr>
        <w:t>establishes</w:t>
      </w:r>
      <w:bookmarkEnd w:id="19"/>
      <w:r w:rsidRPr="003A1430">
        <w:rPr>
          <w:rStyle w:val="s1"/>
          <w:rFonts w:ascii="Arial" w:hAnsi="Arial" w:cs="Arial"/>
          <w:sz w:val="22"/>
          <w:szCs w:val="22"/>
        </w:rPr>
        <w:t xml:space="preserve"> the relevance of these local failures. WHO (2019) reported that about one in ten patients in high-income countries is harmed in hospital and that approximately half of this harm may be preventable; it also reported around 134 million adverse events annually in hospitals in low- and middle-income countries, associated with 2.6 million deaths. These are estimates from different settings, not Mid Staffordshire-specific rates. WHO (2021) </w:t>
      </w:r>
      <w:bookmarkStart w:id="20" w:name="_Int_5Nb3JFHJ"/>
      <w:r w:rsidRPr="003A1430">
        <w:rPr>
          <w:rStyle w:val="s1"/>
          <w:rFonts w:ascii="Arial" w:hAnsi="Arial" w:cs="Arial"/>
          <w:sz w:val="22"/>
          <w:szCs w:val="22"/>
        </w:rPr>
        <w:t>subsequently</w:t>
      </w:r>
      <w:bookmarkEnd w:id="20"/>
      <w:r w:rsidRPr="003A1430">
        <w:rPr>
          <w:rStyle w:val="s1"/>
          <w:rFonts w:ascii="Arial" w:hAnsi="Arial" w:cs="Arial"/>
          <w:sz w:val="22"/>
          <w:szCs w:val="22"/>
        </w:rPr>
        <w:t xml:space="preserve"> called for systematic patient safety action through its Global Patient Safety Action Plan 2021–2030. The figures show why leadership failures matter beyond one English hospital: poor communication, unsafe processes and weak learning impose avoidable human and economic costs.</w:t>
      </w:r>
    </w:p>
    <w:p w14:paraId="418C1DD1" w14:textId="77777777" w:rsidR="00DE2D25" w:rsidRDefault="00DE2D25" w:rsidP="003A1430">
      <w:pPr>
        <w:pStyle w:val="p2"/>
        <w:spacing w:line="360" w:lineRule="auto"/>
        <w:rPr>
          <w:rStyle w:val="s1"/>
          <w:rFonts w:ascii="Arial" w:hAnsi="Arial" w:cs="Arial"/>
          <w:sz w:val="22"/>
          <w:szCs w:val="22"/>
        </w:rPr>
      </w:pPr>
    </w:p>
    <w:p w14:paraId="12010C07" w14:textId="77777777" w:rsidR="00DE2D25" w:rsidRDefault="00DE2D25" w:rsidP="003A1430">
      <w:pPr>
        <w:pStyle w:val="p2"/>
        <w:spacing w:line="360" w:lineRule="auto"/>
        <w:rPr>
          <w:rStyle w:val="s1"/>
          <w:rFonts w:ascii="Arial" w:hAnsi="Arial" w:cs="Arial"/>
          <w:sz w:val="22"/>
          <w:szCs w:val="22"/>
        </w:rPr>
      </w:pPr>
    </w:p>
    <w:p w14:paraId="278EEFA4" w14:textId="317593D1" w:rsidR="00C8691E" w:rsidRPr="003A1430" w:rsidRDefault="00BC0633" w:rsidP="003A1430">
      <w:pPr>
        <w:pStyle w:val="p2"/>
        <w:spacing w:line="360" w:lineRule="auto"/>
        <w:rPr>
          <w:rStyle w:val="s1"/>
          <w:rFonts w:ascii="Arial" w:hAnsi="Arial" w:cs="Arial"/>
          <w:sz w:val="22"/>
          <w:szCs w:val="22"/>
        </w:rPr>
      </w:pPr>
      <w:r w:rsidRPr="003A1430">
        <w:rPr>
          <w:rStyle w:val="s1"/>
          <w:rFonts w:ascii="Arial" w:hAnsi="Arial" w:cs="Arial"/>
          <w:sz w:val="22"/>
          <w:szCs w:val="22"/>
        </w:rPr>
        <w:t xml:space="preserve">National context requires careful chronology. NHS England’s Patient Safety Incident Response Framework (PSIRF) </w:t>
      </w:r>
      <w:bookmarkStart w:id="21" w:name="_Int_Kao65VuR"/>
      <w:r w:rsidRPr="003A1430">
        <w:rPr>
          <w:rStyle w:val="s1"/>
          <w:rFonts w:ascii="Arial" w:hAnsi="Arial" w:cs="Arial"/>
          <w:sz w:val="22"/>
          <w:szCs w:val="22"/>
        </w:rPr>
        <w:t>was published</w:t>
      </w:r>
      <w:bookmarkEnd w:id="21"/>
      <w:r w:rsidRPr="003A1430">
        <w:rPr>
          <w:rStyle w:val="s1"/>
          <w:rFonts w:ascii="Arial" w:hAnsi="Arial" w:cs="Arial"/>
          <w:sz w:val="22"/>
          <w:szCs w:val="22"/>
        </w:rPr>
        <w:t xml:space="preserve"> in 2022, long after the original failures. It promotes proportionate responses, compassionate engagement, systems-based learning, and supportive oversight (NHS England, 2022). It cannot </w:t>
      </w:r>
      <w:bookmarkStart w:id="22" w:name="_Int_YqegWrD4"/>
      <w:r w:rsidRPr="003A1430">
        <w:rPr>
          <w:rStyle w:val="s1"/>
          <w:rFonts w:ascii="Arial" w:hAnsi="Arial" w:cs="Arial"/>
          <w:sz w:val="22"/>
          <w:szCs w:val="22"/>
        </w:rPr>
        <w:t>be claimed</w:t>
      </w:r>
      <w:bookmarkEnd w:id="22"/>
      <w:r w:rsidRPr="003A1430">
        <w:rPr>
          <w:rStyle w:val="s1"/>
          <w:rFonts w:ascii="Arial" w:hAnsi="Arial" w:cs="Arial"/>
          <w:sz w:val="22"/>
          <w:szCs w:val="22"/>
        </w:rPr>
        <w:t xml:space="preserve"> as a historical intervention by the former trust. NHS England (2019) had earlier published the NHS Patient Safety Strategy, </w:t>
      </w:r>
      <w:bookmarkStart w:id="23" w:name="_Int_gqp2PmXo"/>
      <w:r w:rsidRPr="003A1430">
        <w:rPr>
          <w:rStyle w:val="s1"/>
          <w:rFonts w:ascii="Arial" w:hAnsi="Arial" w:cs="Arial"/>
          <w:sz w:val="22"/>
          <w:szCs w:val="22"/>
        </w:rPr>
        <w:t>established</w:t>
      </w:r>
      <w:bookmarkEnd w:id="23"/>
      <w:r w:rsidRPr="003A1430">
        <w:rPr>
          <w:rStyle w:val="s1"/>
          <w:rFonts w:ascii="Arial" w:hAnsi="Arial" w:cs="Arial"/>
          <w:sz w:val="22"/>
          <w:szCs w:val="22"/>
        </w:rPr>
        <w:t xml:space="preserve"> safety culture and learning as national priorities. The National Guardian’s Office (2024) illustrates the continuing institutional importance of speaking up. </w:t>
      </w:r>
    </w:p>
    <w:p w14:paraId="64C5E418" w14:textId="43C63FEB" w:rsidR="00BC0633" w:rsidRPr="003A1430" w:rsidRDefault="00BC0633" w:rsidP="003A1430">
      <w:pPr>
        <w:pStyle w:val="p2"/>
        <w:spacing w:line="360" w:lineRule="auto"/>
        <w:rPr>
          <w:rFonts w:ascii="Arial" w:hAnsi="Arial" w:cs="Arial"/>
          <w:sz w:val="22"/>
          <w:szCs w:val="22"/>
        </w:rPr>
      </w:pPr>
      <w:r w:rsidRPr="003A1430">
        <w:rPr>
          <w:rStyle w:val="s1"/>
          <w:rFonts w:ascii="Arial" w:hAnsi="Arial" w:cs="Arial"/>
          <w:sz w:val="22"/>
          <w:szCs w:val="22"/>
        </w:rPr>
        <w:t xml:space="preserve">These documents support an assessment of what later systems </w:t>
      </w:r>
      <w:bookmarkStart w:id="24" w:name="_Int_cqUSiAVy"/>
      <w:r w:rsidRPr="003A1430">
        <w:rPr>
          <w:rStyle w:val="s1"/>
          <w:rFonts w:ascii="Arial" w:hAnsi="Arial" w:cs="Arial"/>
          <w:sz w:val="22"/>
          <w:szCs w:val="22"/>
        </w:rPr>
        <w:t>sought</w:t>
      </w:r>
      <w:bookmarkEnd w:id="24"/>
      <w:r w:rsidRPr="003A1430">
        <w:rPr>
          <w:rStyle w:val="s1"/>
          <w:rFonts w:ascii="Arial" w:hAnsi="Arial" w:cs="Arial"/>
          <w:sz w:val="22"/>
          <w:szCs w:val="22"/>
        </w:rPr>
        <w:t xml:space="preserve"> to correct, rather than proving that a particular post-Francis reform caused safer care.</w:t>
      </w:r>
    </w:p>
    <w:p w14:paraId="16CC588B" w14:textId="7CCC7E32" w:rsidR="00BC0633" w:rsidRPr="003A1430" w:rsidRDefault="00BC0633" w:rsidP="003A1430">
      <w:pPr>
        <w:pStyle w:val="p2"/>
        <w:spacing w:line="360" w:lineRule="auto"/>
        <w:rPr>
          <w:rFonts w:ascii="Arial" w:hAnsi="Arial" w:cs="Arial"/>
          <w:sz w:val="22"/>
          <w:szCs w:val="22"/>
        </w:rPr>
      </w:pPr>
      <w:r w:rsidRPr="003A1430">
        <w:rPr>
          <w:rStyle w:val="s1"/>
          <w:rFonts w:ascii="Arial" w:hAnsi="Arial" w:cs="Arial"/>
          <w:sz w:val="22"/>
          <w:szCs w:val="22"/>
        </w:rPr>
        <w:t xml:space="preserve">The problem was multilevel. At ward level, staffing and workload influenced the time available for essential care. At management level, information </w:t>
      </w:r>
      <w:bookmarkStart w:id="25" w:name="_Int_wScyzjf8"/>
      <w:r w:rsidRPr="003A1430">
        <w:rPr>
          <w:rStyle w:val="s1"/>
          <w:rFonts w:ascii="Arial" w:hAnsi="Arial" w:cs="Arial"/>
          <w:sz w:val="22"/>
          <w:szCs w:val="22"/>
        </w:rPr>
        <w:t>was filtered</w:t>
      </w:r>
      <w:bookmarkEnd w:id="25"/>
      <w:r w:rsidRPr="003A1430">
        <w:rPr>
          <w:rStyle w:val="s1"/>
          <w:rFonts w:ascii="Arial" w:hAnsi="Arial" w:cs="Arial"/>
          <w:sz w:val="22"/>
          <w:szCs w:val="22"/>
        </w:rPr>
        <w:t xml:space="preserve"> through reporting systems and competing financial </w:t>
      </w:r>
      <w:bookmarkStart w:id="26" w:name="_Int_2Ztad4pT"/>
      <w:r w:rsidRPr="003A1430">
        <w:rPr>
          <w:rStyle w:val="s1"/>
          <w:rFonts w:ascii="Arial" w:hAnsi="Arial" w:cs="Arial"/>
          <w:sz w:val="22"/>
          <w:szCs w:val="22"/>
        </w:rPr>
        <w:t>objectives</w:t>
      </w:r>
      <w:bookmarkEnd w:id="26"/>
      <w:r w:rsidRPr="003A1430">
        <w:rPr>
          <w:rStyle w:val="s1"/>
          <w:rFonts w:ascii="Arial" w:hAnsi="Arial" w:cs="Arial"/>
          <w:sz w:val="22"/>
          <w:szCs w:val="22"/>
        </w:rPr>
        <w:t>. At board level, assurance arrangements did not reliably translate complaints and safety signals into effective intervention. At external level, commissioners</w:t>
      </w:r>
      <w:r w:rsidR="00546FCD" w:rsidRPr="003A1430">
        <w:rPr>
          <w:rStyle w:val="s1"/>
          <w:rFonts w:ascii="Arial" w:hAnsi="Arial" w:cs="Arial"/>
          <w:sz w:val="22"/>
          <w:szCs w:val="22"/>
        </w:rPr>
        <w:t>,</w:t>
      </w:r>
      <w:r w:rsidRPr="003A1430">
        <w:rPr>
          <w:rStyle w:val="s1"/>
          <w:rFonts w:ascii="Arial" w:hAnsi="Arial" w:cs="Arial"/>
          <w:sz w:val="22"/>
          <w:szCs w:val="22"/>
        </w:rPr>
        <w:t xml:space="preserve"> and regulators each saw part of the picture; fragmented intelligence could leave cumulative risks insufficiently understood (Francis, 2013). Reason’s (2000) organisational accident model helps explain how several imperfect safeguards can align, although it does not remove responsibility from decisionmakers. Donabedian’s (1988) structure–process–outcome framework similarly connects staffing and governance structures to care processes and patient outcomes.</w:t>
      </w:r>
    </w:p>
    <w:p w14:paraId="386D8E95" w14:textId="3E2C193F" w:rsidR="00BC0633" w:rsidRPr="003A1430" w:rsidRDefault="00BC0633" w:rsidP="003A1430">
      <w:pPr>
        <w:pStyle w:val="p2"/>
        <w:spacing w:line="360" w:lineRule="auto"/>
        <w:rPr>
          <w:rFonts w:ascii="Arial" w:hAnsi="Arial" w:cs="Arial"/>
          <w:sz w:val="22"/>
          <w:szCs w:val="22"/>
        </w:rPr>
      </w:pPr>
      <w:r w:rsidRPr="003A1430">
        <w:rPr>
          <w:rStyle w:val="s1"/>
          <w:rFonts w:ascii="Arial" w:hAnsi="Arial" w:cs="Arial"/>
          <w:sz w:val="22"/>
          <w:szCs w:val="22"/>
        </w:rPr>
        <w:t xml:space="preserve">To </w:t>
      </w:r>
      <w:r w:rsidR="00546FCD" w:rsidRPr="003A1430">
        <w:rPr>
          <w:rStyle w:val="s1"/>
          <w:rFonts w:ascii="Arial" w:hAnsi="Arial" w:cs="Arial"/>
          <w:sz w:val="22"/>
          <w:szCs w:val="22"/>
        </w:rPr>
        <w:t>visualise</w:t>
      </w:r>
      <w:r w:rsidRPr="003A1430">
        <w:rPr>
          <w:rStyle w:val="s1"/>
          <w:rFonts w:ascii="Arial" w:hAnsi="Arial" w:cs="Arial"/>
          <w:sz w:val="22"/>
          <w:szCs w:val="22"/>
        </w:rPr>
        <w:t xml:space="preserve"> and </w:t>
      </w:r>
      <w:r w:rsidR="00546FCD" w:rsidRPr="003A1430">
        <w:rPr>
          <w:rStyle w:val="s1"/>
          <w:rFonts w:ascii="Arial" w:hAnsi="Arial" w:cs="Arial"/>
          <w:sz w:val="22"/>
          <w:szCs w:val="22"/>
        </w:rPr>
        <w:t>analyse</w:t>
      </w:r>
      <w:r w:rsidRPr="003A1430">
        <w:rPr>
          <w:rStyle w:val="s1"/>
          <w:rFonts w:ascii="Arial" w:hAnsi="Arial" w:cs="Arial"/>
          <w:sz w:val="22"/>
          <w:szCs w:val="22"/>
        </w:rPr>
        <w:t xml:space="preserve"> these systemic interactions, a Rich Picture framework </w:t>
      </w:r>
      <w:bookmarkStart w:id="27" w:name="_Int_tL8VqqQF"/>
      <w:r w:rsidRPr="003A1430">
        <w:rPr>
          <w:rStyle w:val="s1"/>
          <w:rFonts w:ascii="Arial" w:hAnsi="Arial" w:cs="Arial"/>
          <w:sz w:val="22"/>
          <w:szCs w:val="22"/>
        </w:rPr>
        <w:t>was deliberately chosen</w:t>
      </w:r>
      <w:bookmarkEnd w:id="27"/>
      <w:r w:rsidRPr="003A1430">
        <w:rPr>
          <w:rStyle w:val="s1"/>
          <w:rFonts w:ascii="Arial" w:hAnsi="Arial" w:cs="Arial"/>
          <w:sz w:val="22"/>
          <w:szCs w:val="22"/>
        </w:rPr>
        <w:t xml:space="preserve"> over a traditional Fishbone (Ishikawa) diagram. While a Fishbone diagram excels at isolating linear, mechanical root causes within siloed categories, it </w:t>
      </w:r>
      <w:bookmarkStart w:id="28" w:name="_Int_kQmxALoK"/>
      <w:r w:rsidRPr="003A1430">
        <w:rPr>
          <w:rStyle w:val="s1"/>
          <w:rFonts w:ascii="Arial" w:hAnsi="Arial" w:cs="Arial"/>
          <w:sz w:val="22"/>
          <w:szCs w:val="22"/>
        </w:rPr>
        <w:t>fails to</w:t>
      </w:r>
      <w:bookmarkEnd w:id="28"/>
      <w:r w:rsidRPr="003A1430">
        <w:rPr>
          <w:rStyle w:val="s1"/>
          <w:rFonts w:ascii="Arial" w:hAnsi="Arial" w:cs="Arial"/>
          <w:sz w:val="22"/>
          <w:szCs w:val="22"/>
        </w:rPr>
        <w:t xml:space="preserve"> capture non-linear feedback loops, power dynamics, or divergent stakeholder worldviews. A Rich Picture (</w:t>
      </w:r>
      <w:r w:rsidR="00A9754A" w:rsidRPr="003A1430">
        <w:rPr>
          <w:rStyle w:val="s1"/>
          <w:rFonts w:ascii="Arial" w:hAnsi="Arial" w:cs="Arial"/>
          <w:sz w:val="22"/>
          <w:szCs w:val="22"/>
        </w:rPr>
        <w:t>Check land</w:t>
      </w:r>
      <w:r w:rsidRPr="003A1430">
        <w:rPr>
          <w:rStyle w:val="s1"/>
          <w:rFonts w:ascii="Arial" w:hAnsi="Arial" w:cs="Arial"/>
          <w:sz w:val="22"/>
          <w:szCs w:val="22"/>
        </w:rPr>
        <w:t xml:space="preserve"> and Scholes, 1990) provides a soft-systems method designed specifically for messy institutional contexts, illuminating how cultural fear, goal displacement, and communication gaps interact dynamically across levels.</w:t>
      </w:r>
    </w:p>
    <w:p w14:paraId="5E03CBE9" w14:textId="1A566480" w:rsidR="00BC0633" w:rsidRPr="003A1430" w:rsidRDefault="00BC0633" w:rsidP="003A1430">
      <w:pPr>
        <w:pStyle w:val="p2"/>
        <w:spacing w:line="360" w:lineRule="auto"/>
        <w:rPr>
          <w:rFonts w:ascii="Arial" w:hAnsi="Arial" w:cs="Arial"/>
          <w:sz w:val="22"/>
          <w:szCs w:val="22"/>
        </w:rPr>
      </w:pPr>
      <w:r w:rsidRPr="003A1430">
        <w:rPr>
          <w:rStyle w:val="s1"/>
          <w:rFonts w:ascii="Arial" w:hAnsi="Arial" w:cs="Arial"/>
          <w:sz w:val="22"/>
          <w:szCs w:val="22"/>
        </w:rPr>
        <w:t xml:space="preserve">The feedback dynamics are central to this </w:t>
      </w:r>
      <w:r w:rsidR="00FF0D7B" w:rsidRPr="003A1430">
        <w:rPr>
          <w:rStyle w:val="s1"/>
          <w:rFonts w:ascii="Arial" w:hAnsi="Arial" w:cs="Arial"/>
          <w:sz w:val="22"/>
          <w:szCs w:val="22"/>
        </w:rPr>
        <w:t>visualisation</w:t>
      </w:r>
      <w:r w:rsidRPr="003A1430">
        <w:rPr>
          <w:rStyle w:val="s1"/>
          <w:rFonts w:ascii="Arial" w:hAnsi="Arial" w:cs="Arial"/>
          <w:sz w:val="22"/>
          <w:szCs w:val="22"/>
        </w:rPr>
        <w:t xml:space="preserve">. A reinforcing cycle arises when understaffing increases workload, missed care undermines morale, and turnover further worsens staffing. A failed corrective loop occurs when patients complain but concerns are minimised or suppressed, leaving senior leaders without </w:t>
      </w:r>
      <w:bookmarkStart w:id="29" w:name="_Int_0jbzdl0g"/>
      <w:r w:rsidRPr="003A1430">
        <w:rPr>
          <w:rStyle w:val="s1"/>
          <w:rFonts w:ascii="Arial" w:hAnsi="Arial" w:cs="Arial"/>
          <w:sz w:val="22"/>
          <w:szCs w:val="22"/>
        </w:rPr>
        <w:t>an accurate</w:t>
      </w:r>
      <w:bookmarkEnd w:id="29"/>
      <w:r w:rsidRPr="003A1430">
        <w:rPr>
          <w:rStyle w:val="s1"/>
          <w:rFonts w:ascii="Arial" w:hAnsi="Arial" w:cs="Arial"/>
          <w:sz w:val="22"/>
          <w:szCs w:val="22"/>
        </w:rPr>
        <w:t xml:space="preserve"> understanding of risk. </w:t>
      </w:r>
      <w:r w:rsidR="00A9754A" w:rsidRPr="003A1430">
        <w:rPr>
          <w:rStyle w:val="s1"/>
          <w:rFonts w:ascii="Arial" w:hAnsi="Arial" w:cs="Arial"/>
          <w:sz w:val="22"/>
          <w:szCs w:val="22"/>
        </w:rPr>
        <w:t>Check land</w:t>
      </w:r>
      <w:r w:rsidRPr="003A1430">
        <w:rPr>
          <w:rStyle w:val="s1"/>
          <w:rFonts w:ascii="Arial" w:hAnsi="Arial" w:cs="Arial"/>
          <w:sz w:val="22"/>
          <w:szCs w:val="22"/>
        </w:rPr>
        <w:t xml:space="preserve"> and Scholes (1990) argue that rich pictures help stakeholders surface different understandings of complex problems; Senge (1990) emphasi</w:t>
      </w:r>
      <w:r w:rsidR="00161F1B">
        <w:rPr>
          <w:rStyle w:val="s1"/>
          <w:rFonts w:ascii="Arial" w:hAnsi="Arial" w:cs="Arial"/>
          <w:sz w:val="22"/>
          <w:szCs w:val="22"/>
        </w:rPr>
        <w:t>s</w:t>
      </w:r>
      <w:r w:rsidRPr="003A1430">
        <w:rPr>
          <w:rStyle w:val="s1"/>
          <w:rFonts w:ascii="Arial" w:hAnsi="Arial" w:cs="Arial"/>
          <w:sz w:val="22"/>
          <w:szCs w:val="22"/>
        </w:rPr>
        <w:t>es feedback, delays, and unintended consequences within dynamic systems.</w:t>
      </w:r>
    </w:p>
    <w:p w14:paraId="6296C6EF" w14:textId="001A77F0" w:rsidR="00F51C38" w:rsidRPr="003A1430" w:rsidRDefault="00F51C38" w:rsidP="003A1430">
      <w:pPr>
        <w:spacing w:line="360" w:lineRule="auto"/>
        <w:rPr>
          <w:rFonts w:ascii="Arial" w:hAnsi="Arial" w:cs="Arial"/>
        </w:rPr>
      </w:pPr>
    </w:p>
    <w:p w14:paraId="6FCD9EDA" w14:textId="6CA94C3C" w:rsidR="00F51C38" w:rsidRPr="003A1430" w:rsidRDefault="00A8244E" w:rsidP="003A1430">
      <w:pPr>
        <w:spacing w:line="360" w:lineRule="auto"/>
        <w:rPr>
          <w:rFonts w:ascii="Arial" w:hAnsi="Arial" w:cs="Arial"/>
        </w:rPr>
      </w:pPr>
      <w:r w:rsidRPr="003A1430">
        <w:rPr>
          <w:rFonts w:ascii="Arial" w:hAnsi="Arial" w:cs="Arial"/>
          <w:noProof/>
        </w:rPr>
        <w:drawing>
          <wp:anchor distT="0" distB="0" distL="114300" distR="114300" simplePos="0" relativeHeight="251658240" behindDoc="0" locked="0" layoutInCell="1" allowOverlap="1" wp14:anchorId="37E39780" wp14:editId="57756FB5">
            <wp:simplePos x="0" y="0"/>
            <wp:positionH relativeFrom="margin">
              <wp:posOffset>146050</wp:posOffset>
            </wp:positionH>
            <wp:positionV relativeFrom="paragraph">
              <wp:posOffset>530225</wp:posOffset>
            </wp:positionV>
            <wp:extent cx="6540500" cy="5998210"/>
            <wp:effectExtent l="0" t="0" r="0" b="0"/>
            <wp:wrapTopAndBottom/>
            <wp:docPr id="55144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44679" name=""/>
                    <pic:cNvPicPr/>
                  </pic:nvPicPr>
                  <pic:blipFill>
                    <a:blip r:embed="rId13"/>
                    <a:stretch>
                      <a:fillRect/>
                    </a:stretch>
                  </pic:blipFill>
                  <pic:spPr>
                    <a:xfrm>
                      <a:off x="0" y="0"/>
                      <a:ext cx="6540500" cy="5998210"/>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W w:w="0" w:type="auto"/>
        <w:tblLook w:val="04A0" w:firstRow="1" w:lastRow="0" w:firstColumn="1" w:lastColumn="0" w:noHBand="0" w:noVBand="1"/>
      </w:tblPr>
      <w:tblGrid>
        <w:gridCol w:w="10456"/>
      </w:tblGrid>
      <w:tr w:rsidR="00A8244E" w:rsidRPr="003A1430" w14:paraId="0D3C3087" w14:textId="77777777">
        <w:tc>
          <w:tcPr>
            <w:tcW w:w="10456" w:type="dxa"/>
          </w:tcPr>
          <w:p w14:paraId="3B15B029" w14:textId="77777777" w:rsidR="00A63B90" w:rsidRPr="003A1430" w:rsidRDefault="00A63B90" w:rsidP="003A1430">
            <w:pPr>
              <w:spacing w:line="360" w:lineRule="auto"/>
              <w:rPr>
                <w:rFonts w:ascii="Arial" w:hAnsi="Arial" w:cs="Arial"/>
                <w:b/>
                <w:bCs/>
              </w:rPr>
            </w:pPr>
          </w:p>
          <w:p w14:paraId="76565B06" w14:textId="77777777" w:rsidR="00A63B90" w:rsidRPr="003A1430" w:rsidRDefault="00A63B90" w:rsidP="003A1430">
            <w:pPr>
              <w:spacing w:line="360" w:lineRule="auto"/>
              <w:rPr>
                <w:rFonts w:ascii="Arial" w:hAnsi="Arial" w:cs="Arial"/>
                <w:b/>
                <w:bCs/>
              </w:rPr>
            </w:pPr>
          </w:p>
          <w:p w14:paraId="76754DF2" w14:textId="000B482E" w:rsidR="00A8244E" w:rsidRPr="003A1430" w:rsidRDefault="00A8244E" w:rsidP="003A1430">
            <w:pPr>
              <w:spacing w:line="360" w:lineRule="auto"/>
              <w:rPr>
                <w:rFonts w:ascii="Arial" w:hAnsi="Arial" w:cs="Arial"/>
              </w:rPr>
            </w:pPr>
            <w:r w:rsidRPr="003A1430">
              <w:rPr>
                <w:rFonts w:ascii="Arial" w:hAnsi="Arial" w:cs="Arial"/>
                <w:b/>
                <w:bCs/>
              </w:rPr>
              <w:t xml:space="preserve">Figure </w:t>
            </w:r>
            <w:r w:rsidR="00F84395" w:rsidRPr="003A1430">
              <w:rPr>
                <w:rFonts w:ascii="Arial" w:hAnsi="Arial" w:cs="Arial"/>
                <w:b/>
                <w:bCs/>
              </w:rPr>
              <w:t>2</w:t>
            </w:r>
            <w:r w:rsidRPr="003A1430">
              <w:rPr>
                <w:rFonts w:ascii="Arial" w:hAnsi="Arial" w:cs="Arial"/>
                <w:b/>
                <w:bCs/>
              </w:rPr>
              <w:t>.</w:t>
            </w:r>
            <w:r w:rsidRPr="003A1430">
              <w:rPr>
                <w:rFonts w:ascii="Arial" w:hAnsi="Arial" w:cs="Arial"/>
              </w:rPr>
              <w:t xml:space="preserve"> Rich Picture: stakeholders and feedback</w:t>
            </w:r>
            <w:r w:rsidR="00882898" w:rsidRPr="003A1430">
              <w:rPr>
                <w:rFonts w:ascii="Arial" w:hAnsi="Arial" w:cs="Arial"/>
              </w:rPr>
              <w:t>.</w:t>
            </w:r>
          </w:p>
        </w:tc>
      </w:tr>
    </w:tbl>
    <w:p w14:paraId="2FD1E069" w14:textId="77777777" w:rsidR="00A8244E" w:rsidRPr="003A1430" w:rsidRDefault="00A8244E" w:rsidP="003A1430">
      <w:pPr>
        <w:spacing w:line="360" w:lineRule="auto"/>
        <w:rPr>
          <w:rFonts w:ascii="Arial" w:hAnsi="Arial" w:cs="Arial"/>
        </w:rPr>
      </w:pPr>
    </w:p>
    <w:p w14:paraId="4D0E2E79" w14:textId="77777777" w:rsidR="005A4F61" w:rsidRPr="003A1430" w:rsidRDefault="005A4F61" w:rsidP="003A1430">
      <w:pPr>
        <w:spacing w:line="360" w:lineRule="auto"/>
        <w:rPr>
          <w:rFonts w:ascii="Arial" w:hAnsi="Arial" w:cs="Arial"/>
        </w:rPr>
      </w:pPr>
    </w:p>
    <w:p w14:paraId="3419C401" w14:textId="2652D654" w:rsidR="005A4F61" w:rsidRPr="003A1430" w:rsidRDefault="005A4F61" w:rsidP="003A1430">
      <w:pPr>
        <w:spacing w:line="360" w:lineRule="auto"/>
        <w:rPr>
          <w:rFonts w:ascii="Arial" w:hAnsi="Arial" w:cs="Arial"/>
        </w:rPr>
      </w:pPr>
      <w:r w:rsidRPr="003A1430">
        <w:rPr>
          <w:rFonts w:ascii="Arial" w:hAnsi="Arial" w:cs="Arial"/>
        </w:rPr>
        <w:t xml:space="preserve">Feedback: understaffing → workload → missed care → staff strain → understaffing (reinforcing). Complaints → escalation → action → safer care (corrective loop; historically weak). Source: author’s synthesis of Francis (2013), </w:t>
      </w:r>
      <w:r w:rsidR="00591593" w:rsidRPr="003A1430">
        <w:rPr>
          <w:rFonts w:ascii="Arial" w:hAnsi="Arial" w:cs="Arial"/>
        </w:rPr>
        <w:t xml:space="preserve">Check </w:t>
      </w:r>
      <w:r w:rsidR="007D3C3A" w:rsidRPr="003A1430">
        <w:rPr>
          <w:rFonts w:ascii="Arial" w:hAnsi="Arial" w:cs="Arial"/>
        </w:rPr>
        <w:t>land,</w:t>
      </w:r>
      <w:r w:rsidRPr="003A1430">
        <w:rPr>
          <w:rFonts w:ascii="Arial" w:hAnsi="Arial" w:cs="Arial"/>
        </w:rPr>
        <w:t xml:space="preserve"> and Scholes (1990) and Senge (1990).</w:t>
      </w:r>
    </w:p>
    <w:p w14:paraId="0EEC64A6" w14:textId="77777777" w:rsidR="00A50C93" w:rsidRPr="003A1430" w:rsidRDefault="00A50C93" w:rsidP="003A1430">
      <w:pPr>
        <w:spacing w:line="360" w:lineRule="auto"/>
        <w:rPr>
          <w:rFonts w:ascii="Arial" w:hAnsi="Arial" w:cs="Arial"/>
        </w:rPr>
      </w:pPr>
    </w:p>
    <w:p w14:paraId="6692E3FF" w14:textId="77777777" w:rsidR="00E30189" w:rsidRPr="003A1430" w:rsidRDefault="00E30189" w:rsidP="003A1430">
      <w:pPr>
        <w:pStyle w:val="Heading1"/>
        <w:spacing w:line="360" w:lineRule="auto"/>
        <w:rPr>
          <w:rFonts w:ascii="Arial" w:hAnsi="Arial" w:cs="Arial"/>
          <w:sz w:val="22"/>
          <w:szCs w:val="22"/>
        </w:rPr>
      </w:pPr>
      <w:bookmarkStart w:id="30" w:name="_Toc242861704"/>
      <w:bookmarkStart w:id="31" w:name="_Toc242863178"/>
    </w:p>
    <w:p w14:paraId="1F17CDCB" w14:textId="77777777" w:rsidR="002D7906" w:rsidRPr="003A1430" w:rsidRDefault="002D7906" w:rsidP="003A1430">
      <w:pPr>
        <w:spacing w:before="200" w:after="0" w:line="360" w:lineRule="auto"/>
        <w:rPr>
          <w:rFonts w:ascii="Arial" w:eastAsiaTheme="minorEastAsia" w:hAnsi="Arial" w:cs="Arial"/>
          <w:color w:val="000000"/>
          <w:kern w:val="0"/>
          <w:lang w:eastAsia="en-GB"/>
          <w14:ligatures w14:val="none"/>
        </w:rPr>
      </w:pPr>
      <w:r w:rsidRPr="003A1430">
        <w:rPr>
          <w:rFonts w:ascii="Arial" w:eastAsiaTheme="minorEastAsia" w:hAnsi="Arial" w:cs="Arial"/>
          <w:color w:val="000000"/>
          <w:kern w:val="0"/>
          <w:lang w:eastAsia="en-GB"/>
          <w14:ligatures w14:val="none"/>
        </w:rPr>
        <w:t xml:space="preserve">International improvement thinking reinforces this interpretation. Gandhi, Feeley and Schummers (2020), in an IHI-hosted publication, </w:t>
      </w:r>
      <w:bookmarkStart w:id="32" w:name="_Int_w6Fwr2B2"/>
      <w:r w:rsidRPr="003A1430">
        <w:rPr>
          <w:rFonts w:ascii="Arial" w:eastAsiaTheme="minorEastAsia" w:hAnsi="Arial" w:cs="Arial"/>
          <w:color w:val="000000"/>
          <w:kern w:val="0"/>
          <w:lang w:eastAsia="en-GB"/>
          <w14:ligatures w14:val="none"/>
        </w:rPr>
        <w:t>identify</w:t>
      </w:r>
      <w:bookmarkEnd w:id="32"/>
      <w:r w:rsidRPr="003A1430">
        <w:rPr>
          <w:rFonts w:ascii="Arial" w:eastAsiaTheme="minorEastAsia" w:hAnsi="Arial" w:cs="Arial"/>
          <w:color w:val="000000"/>
          <w:kern w:val="0"/>
          <w:lang w:eastAsia="en-GB"/>
          <w14:ligatures w14:val="none"/>
        </w:rPr>
        <w:t xml:space="preserve"> culture, learning systems, the psychology of change and patient co-design as foundations of a zero-harm ambition. Their framework is useful precisely because technical fixes such as new dashboards cannot overcome a culture in which patients and staff </w:t>
      </w:r>
      <w:bookmarkStart w:id="33" w:name="_Int_KtXwKiCx"/>
      <w:r w:rsidRPr="003A1430">
        <w:rPr>
          <w:rFonts w:ascii="Arial" w:eastAsiaTheme="minorEastAsia" w:hAnsi="Arial" w:cs="Arial"/>
          <w:color w:val="000000"/>
          <w:kern w:val="0"/>
          <w:lang w:eastAsia="en-GB"/>
          <w14:ligatures w14:val="none"/>
        </w:rPr>
        <w:t>are ignored</w:t>
      </w:r>
      <w:bookmarkEnd w:id="33"/>
      <w:r w:rsidRPr="003A1430">
        <w:rPr>
          <w:rFonts w:ascii="Arial" w:eastAsiaTheme="minorEastAsia" w:hAnsi="Arial" w:cs="Arial"/>
          <w:color w:val="000000"/>
          <w:kern w:val="0"/>
          <w:lang w:eastAsia="en-GB"/>
          <w14:ligatures w14:val="none"/>
        </w:rPr>
        <w:t>. The Institute for Healthcare Improvement (2017) also frames improvement around a clear aim, meaningful measures, and iterative testing. In Mid Staffordshire, a reliable response would have combined ward observation, patient stories, incident themes, and board-level accountability, rather than privileging one performance indicator.</w:t>
      </w:r>
    </w:p>
    <w:p w14:paraId="6F3E9526" w14:textId="77777777" w:rsidR="002D7906" w:rsidRPr="003A1430" w:rsidRDefault="002D7906" w:rsidP="003A1430">
      <w:pPr>
        <w:spacing w:before="200" w:after="0" w:line="360" w:lineRule="auto"/>
        <w:rPr>
          <w:rFonts w:ascii="Arial" w:eastAsiaTheme="minorEastAsia" w:hAnsi="Arial" w:cs="Arial"/>
          <w:color w:val="000000"/>
          <w:kern w:val="0"/>
          <w:lang w:eastAsia="en-GB"/>
          <w14:ligatures w14:val="none"/>
        </w:rPr>
      </w:pPr>
      <w:r w:rsidRPr="003A1430">
        <w:rPr>
          <w:rFonts w:ascii="Arial" w:eastAsiaTheme="minorEastAsia" w:hAnsi="Arial" w:cs="Arial"/>
          <w:color w:val="000000"/>
          <w:kern w:val="0"/>
          <w:lang w:eastAsia="en-GB"/>
          <w14:ligatures w14:val="none"/>
        </w:rPr>
        <w:t xml:space="preserve">A further systems weakness concerned the incentives attached to organisational reputation and financial viability. The desire to </w:t>
      </w:r>
      <w:bookmarkStart w:id="34" w:name="_Int_QH4OeXe6"/>
      <w:r w:rsidRPr="003A1430">
        <w:rPr>
          <w:rFonts w:ascii="Arial" w:eastAsiaTheme="minorEastAsia" w:hAnsi="Arial" w:cs="Arial"/>
          <w:color w:val="000000"/>
          <w:kern w:val="0"/>
          <w:lang w:eastAsia="en-GB"/>
          <w14:ligatures w14:val="none"/>
        </w:rPr>
        <w:t>demonstrate</w:t>
      </w:r>
      <w:bookmarkEnd w:id="34"/>
      <w:r w:rsidRPr="003A1430">
        <w:rPr>
          <w:rFonts w:ascii="Arial" w:eastAsiaTheme="minorEastAsia" w:hAnsi="Arial" w:cs="Arial"/>
          <w:color w:val="000000"/>
          <w:kern w:val="0"/>
          <w:lang w:eastAsia="en-GB"/>
          <w14:ligatures w14:val="none"/>
        </w:rPr>
        <w:t xml:space="preserve"> satisfactory performance could encourage positive assurance while making contrary patient narratives appear inconvenient. This is a risk of goal displacement: a measure intended to support quality becomes </w:t>
      </w:r>
      <w:bookmarkStart w:id="35" w:name="_Int_nT6yh2hz"/>
      <w:r w:rsidRPr="003A1430">
        <w:rPr>
          <w:rFonts w:ascii="Arial" w:eastAsiaTheme="minorEastAsia" w:hAnsi="Arial" w:cs="Arial"/>
          <w:color w:val="000000"/>
          <w:kern w:val="0"/>
          <w:lang w:eastAsia="en-GB"/>
          <w14:ligatures w14:val="none"/>
        </w:rPr>
        <w:t>an objective</w:t>
      </w:r>
      <w:bookmarkEnd w:id="35"/>
      <w:r w:rsidRPr="003A1430">
        <w:rPr>
          <w:rFonts w:ascii="Arial" w:eastAsiaTheme="minorEastAsia" w:hAnsi="Arial" w:cs="Arial"/>
          <w:color w:val="000000"/>
          <w:kern w:val="0"/>
          <w:lang w:eastAsia="en-GB"/>
          <w14:ligatures w14:val="none"/>
        </w:rPr>
        <w:t xml:space="preserve"> pursued separately from quality. Yet blaming targets alone would be simplistic. Boards could have treated safety and financial viability as joint obligations. The decisive failure was insufficient integration of clinical risk into strategic decisions, combined with inadequate challenge and weak corrective feedback (Francis, 2013; Dixon-Woods et al., 2014).</w:t>
      </w:r>
    </w:p>
    <w:p w14:paraId="4EECB9AE" w14:textId="32732DD2" w:rsidR="002D7906" w:rsidRPr="003A1430" w:rsidRDefault="001767B2" w:rsidP="003A1430">
      <w:pPr>
        <w:spacing w:before="200" w:after="0" w:line="360" w:lineRule="auto"/>
        <w:rPr>
          <w:rFonts w:ascii="Arial" w:eastAsiaTheme="minorEastAsia" w:hAnsi="Arial" w:cs="Arial"/>
          <w:color w:val="000000"/>
          <w:kern w:val="0"/>
          <w:lang w:eastAsia="en-GB"/>
          <w14:ligatures w14:val="none"/>
        </w:rPr>
      </w:pPr>
      <w:r w:rsidRPr="003A1430">
        <w:rPr>
          <w:rFonts w:ascii="Arial" w:eastAsiaTheme="minorEastAsia" w:hAnsi="Arial" w:cs="Arial"/>
          <w:color w:val="000000"/>
          <w:kern w:val="0"/>
          <w:lang w:eastAsia="en-GB"/>
          <w14:ligatures w14:val="none"/>
        </w:rPr>
        <w:t>The</w:t>
      </w:r>
      <w:r w:rsidR="002D7906" w:rsidRPr="003A1430">
        <w:rPr>
          <w:rFonts w:ascii="Arial" w:eastAsiaTheme="minorEastAsia" w:hAnsi="Arial" w:cs="Arial"/>
          <w:color w:val="000000"/>
          <w:kern w:val="0"/>
          <w:lang w:eastAsia="en-GB"/>
          <w14:ligatures w14:val="none"/>
        </w:rPr>
        <w:t xml:space="preserve"> Rich Picture should </w:t>
      </w:r>
      <w:bookmarkStart w:id="36" w:name="_Int_kKnWsjSJ"/>
      <w:r w:rsidR="002D7906" w:rsidRPr="003A1430">
        <w:rPr>
          <w:rFonts w:ascii="Arial" w:eastAsiaTheme="minorEastAsia" w:hAnsi="Arial" w:cs="Arial"/>
          <w:color w:val="000000"/>
          <w:kern w:val="0"/>
          <w:lang w:eastAsia="en-GB"/>
          <w14:ligatures w14:val="none"/>
        </w:rPr>
        <w:t>be interpreted</w:t>
      </w:r>
      <w:bookmarkEnd w:id="36"/>
      <w:r w:rsidR="002D7906" w:rsidRPr="003A1430">
        <w:rPr>
          <w:rFonts w:ascii="Arial" w:eastAsiaTheme="minorEastAsia" w:hAnsi="Arial" w:cs="Arial"/>
          <w:color w:val="000000"/>
          <w:kern w:val="0"/>
          <w:lang w:eastAsia="en-GB"/>
          <w14:ligatures w14:val="none"/>
        </w:rPr>
        <w:t xml:space="preserve"> as a hypothesis about interacting mechanisms. </w:t>
      </w:r>
      <w:r w:rsidR="005C7AB0" w:rsidRPr="003A1430">
        <w:rPr>
          <w:rFonts w:ascii="Arial" w:eastAsiaTheme="minorEastAsia" w:hAnsi="Arial" w:cs="Arial"/>
          <w:color w:val="000000"/>
          <w:kern w:val="0"/>
          <w:lang w:eastAsia="en-GB"/>
          <w14:ligatures w14:val="none"/>
        </w:rPr>
        <w:t>Check land</w:t>
      </w:r>
      <w:r w:rsidR="002D7906" w:rsidRPr="003A1430">
        <w:rPr>
          <w:rFonts w:ascii="Arial" w:eastAsiaTheme="minorEastAsia" w:hAnsi="Arial" w:cs="Arial"/>
          <w:color w:val="000000"/>
          <w:kern w:val="0"/>
          <w:lang w:eastAsia="en-GB"/>
          <w14:ligatures w14:val="none"/>
        </w:rPr>
        <w:t xml:space="preserve"> and Scholes (1990) emphasise that rich pictures expose different stakeholders' interpretations of a problematic situation. Patients defined success through dignity and </w:t>
      </w:r>
      <w:r w:rsidR="00FF0D7B" w:rsidRPr="003A1430">
        <w:rPr>
          <w:rFonts w:ascii="Arial" w:eastAsiaTheme="minorEastAsia" w:hAnsi="Arial" w:cs="Arial"/>
          <w:color w:val="000000"/>
          <w:kern w:val="0"/>
          <w:lang w:eastAsia="en-GB"/>
          <w14:ligatures w14:val="none"/>
        </w:rPr>
        <w:t>prompt</w:t>
      </w:r>
      <w:r w:rsidR="002D7906" w:rsidRPr="003A1430">
        <w:rPr>
          <w:rFonts w:ascii="Arial" w:eastAsiaTheme="minorEastAsia" w:hAnsi="Arial" w:cs="Arial"/>
          <w:color w:val="000000"/>
          <w:kern w:val="0"/>
          <w:lang w:eastAsia="en-GB"/>
          <w14:ligatures w14:val="none"/>
        </w:rPr>
        <w:t xml:space="preserve"> </w:t>
      </w:r>
      <w:bookmarkStart w:id="37" w:name="_Int_DjJJcX19"/>
      <w:r w:rsidR="002D7906" w:rsidRPr="003A1430">
        <w:rPr>
          <w:rFonts w:ascii="Arial" w:eastAsiaTheme="minorEastAsia" w:hAnsi="Arial" w:cs="Arial"/>
          <w:color w:val="000000"/>
          <w:kern w:val="0"/>
          <w:lang w:eastAsia="en-GB"/>
          <w14:ligatures w14:val="none"/>
        </w:rPr>
        <w:t>assistance</w:t>
      </w:r>
      <w:bookmarkEnd w:id="37"/>
      <w:r w:rsidR="002D7906" w:rsidRPr="003A1430">
        <w:rPr>
          <w:rFonts w:ascii="Arial" w:eastAsiaTheme="minorEastAsia" w:hAnsi="Arial" w:cs="Arial"/>
          <w:color w:val="000000"/>
          <w:kern w:val="0"/>
          <w:lang w:eastAsia="en-GB"/>
          <w14:ligatures w14:val="none"/>
        </w:rPr>
        <w:t xml:space="preserve">, managers through operational performance, and regulators through compliance signals. Treating these perspectives as interchangeable risks repeating the very informational failures </w:t>
      </w:r>
      <w:bookmarkStart w:id="38" w:name="_Int_tQgbGW44"/>
      <w:r w:rsidR="002D7906" w:rsidRPr="003A1430">
        <w:rPr>
          <w:rFonts w:ascii="Arial" w:eastAsiaTheme="minorEastAsia" w:hAnsi="Arial" w:cs="Arial"/>
          <w:color w:val="000000"/>
          <w:kern w:val="0"/>
          <w:lang w:eastAsia="en-GB"/>
          <w14:ligatures w14:val="none"/>
        </w:rPr>
        <w:t>identified</w:t>
      </w:r>
      <w:bookmarkEnd w:id="38"/>
      <w:r w:rsidR="002D7906" w:rsidRPr="003A1430">
        <w:rPr>
          <w:rFonts w:ascii="Arial" w:eastAsiaTheme="minorEastAsia" w:hAnsi="Arial" w:cs="Arial"/>
          <w:color w:val="000000"/>
          <w:kern w:val="0"/>
          <w:lang w:eastAsia="en-GB"/>
          <w14:ligatures w14:val="none"/>
        </w:rPr>
        <w:t xml:space="preserve"> by Francis (2013). A defensible systems response must triangulate complaints, direct observation, workforce measures, and clinical outcomes before deciding which intervention </w:t>
      </w:r>
      <w:bookmarkStart w:id="39" w:name="_Int_aPvu9UI0"/>
      <w:r w:rsidR="002D7906" w:rsidRPr="003A1430">
        <w:rPr>
          <w:rFonts w:ascii="Arial" w:eastAsiaTheme="minorEastAsia" w:hAnsi="Arial" w:cs="Arial"/>
          <w:color w:val="000000"/>
          <w:kern w:val="0"/>
          <w:lang w:eastAsia="en-GB"/>
          <w14:ligatures w14:val="none"/>
        </w:rPr>
        <w:t>is justified</w:t>
      </w:r>
      <w:bookmarkEnd w:id="39"/>
      <w:r w:rsidR="002D7906" w:rsidRPr="003A1430">
        <w:rPr>
          <w:rFonts w:ascii="Arial" w:eastAsiaTheme="minorEastAsia" w:hAnsi="Arial" w:cs="Arial"/>
          <w:color w:val="000000"/>
          <w:kern w:val="0"/>
          <w:lang w:eastAsia="en-GB"/>
          <w14:ligatures w14:val="none"/>
        </w:rPr>
        <w:t>.</w:t>
      </w:r>
    </w:p>
    <w:p w14:paraId="361C7D54" w14:textId="77777777" w:rsidR="00E30189" w:rsidRPr="00E30189" w:rsidRDefault="00E30189" w:rsidP="00E30189"/>
    <w:p w14:paraId="2BA05D70" w14:textId="1CDD47DC" w:rsidR="009444F3" w:rsidRDefault="000F4EA3" w:rsidP="00DE33B0">
      <w:pPr>
        <w:pStyle w:val="Heading1"/>
        <w:rPr>
          <w:rFonts w:ascii="Arial" w:hAnsi="Arial" w:cs="Arial"/>
        </w:rPr>
      </w:pPr>
      <w:r>
        <w:rPr>
          <w:rFonts w:ascii="Arial" w:hAnsi="Arial" w:cs="Arial"/>
        </w:rPr>
        <w:t>(</w:t>
      </w:r>
      <w:r w:rsidR="0032676A">
        <w:rPr>
          <w:rFonts w:ascii="Arial" w:hAnsi="Arial" w:cs="Arial"/>
        </w:rPr>
        <w:t>B</w:t>
      </w:r>
      <w:r>
        <w:rPr>
          <w:rFonts w:ascii="Arial" w:hAnsi="Arial" w:cs="Arial"/>
        </w:rPr>
        <w:t>)</w:t>
      </w:r>
      <w:r w:rsidR="0032676A">
        <w:rPr>
          <w:rFonts w:ascii="Arial" w:hAnsi="Arial" w:cs="Arial"/>
        </w:rPr>
        <w:t xml:space="preserve"> </w:t>
      </w:r>
      <w:r w:rsidR="005A4F61" w:rsidRPr="007C5A2A">
        <w:rPr>
          <w:rFonts w:ascii="Arial" w:hAnsi="Arial" w:cs="Arial"/>
        </w:rPr>
        <w:t>2.2 Centralisation and decentralisation</w:t>
      </w:r>
      <w:bookmarkStart w:id="40" w:name="_Toc242861705"/>
      <w:bookmarkStart w:id="41" w:name="_Toc242863179"/>
      <w:bookmarkEnd w:id="30"/>
      <w:bookmarkEnd w:id="31"/>
    </w:p>
    <w:p w14:paraId="3EE24A47" w14:textId="77777777" w:rsidR="00DE61DA" w:rsidRPr="00AD0BA7" w:rsidRDefault="00DE61DA" w:rsidP="00AD0BA7">
      <w:pPr>
        <w:pStyle w:val="p1"/>
        <w:spacing w:line="360" w:lineRule="auto"/>
        <w:rPr>
          <w:rStyle w:val="s1"/>
          <w:rFonts w:ascii="Arial" w:hAnsi="Arial" w:cs="Arial"/>
          <w:sz w:val="22"/>
          <w:szCs w:val="22"/>
        </w:rPr>
      </w:pPr>
    </w:p>
    <w:p w14:paraId="296F476E" w14:textId="74AC80CA" w:rsidR="00726610" w:rsidRPr="00AD0BA7" w:rsidRDefault="00726610" w:rsidP="00AD0BA7">
      <w:pPr>
        <w:pStyle w:val="p1"/>
        <w:spacing w:line="360" w:lineRule="auto"/>
        <w:rPr>
          <w:rFonts w:ascii="Arial" w:hAnsi="Arial" w:cs="Arial"/>
          <w:sz w:val="22"/>
          <w:szCs w:val="22"/>
        </w:rPr>
      </w:pPr>
      <w:r w:rsidRPr="00AD0BA7">
        <w:rPr>
          <w:rStyle w:val="s1"/>
          <w:rFonts w:ascii="Arial" w:hAnsi="Arial" w:cs="Arial"/>
          <w:sz w:val="22"/>
          <w:szCs w:val="22"/>
        </w:rPr>
        <w:t xml:space="preserve">Mid Staffordshire </w:t>
      </w:r>
      <w:bookmarkStart w:id="42" w:name="_Int_VNHZEFt1"/>
      <w:r w:rsidRPr="00AD0BA7">
        <w:rPr>
          <w:rStyle w:val="s1"/>
          <w:rFonts w:ascii="Arial" w:hAnsi="Arial" w:cs="Arial"/>
          <w:sz w:val="22"/>
          <w:szCs w:val="22"/>
        </w:rPr>
        <w:t>operated</w:t>
      </w:r>
      <w:bookmarkEnd w:id="42"/>
      <w:r w:rsidRPr="00AD0BA7">
        <w:rPr>
          <w:rStyle w:val="s1"/>
          <w:rFonts w:ascii="Arial" w:hAnsi="Arial" w:cs="Arial"/>
          <w:sz w:val="22"/>
          <w:szCs w:val="22"/>
        </w:rPr>
        <w:t xml:space="preserve"> within a hybrid system, not a purely centralised or decentralised one. National bodies </w:t>
      </w:r>
      <w:r w:rsidR="00194530" w:rsidRPr="00AD0BA7">
        <w:rPr>
          <w:rStyle w:val="s1"/>
          <w:rFonts w:ascii="Arial" w:hAnsi="Arial" w:cs="Arial"/>
          <w:sz w:val="22"/>
          <w:szCs w:val="22"/>
        </w:rPr>
        <w:t>proved</w:t>
      </w:r>
      <w:r w:rsidRPr="00AD0BA7">
        <w:rPr>
          <w:rStyle w:val="s1"/>
          <w:rFonts w:ascii="Arial" w:hAnsi="Arial" w:cs="Arial"/>
          <w:sz w:val="22"/>
          <w:szCs w:val="22"/>
        </w:rPr>
        <w:t xml:space="preserve"> statutory and regulatory requirements, the trust board set strategy and financial priorities, and frontline clinical staff exercised professional judgement at the bedside. Mintzberg (1979) explains why professional organisations distribute specialist decision-making even where formal accountability </w:t>
      </w:r>
      <w:bookmarkStart w:id="43" w:name="_Int_8Hzhwv27"/>
      <w:r w:rsidRPr="00AD0BA7">
        <w:rPr>
          <w:rStyle w:val="s1"/>
          <w:rFonts w:ascii="Arial" w:hAnsi="Arial" w:cs="Arial"/>
          <w:sz w:val="22"/>
          <w:szCs w:val="22"/>
        </w:rPr>
        <w:t>remains</w:t>
      </w:r>
      <w:bookmarkEnd w:id="43"/>
      <w:r w:rsidRPr="00AD0BA7">
        <w:rPr>
          <w:rStyle w:val="s1"/>
          <w:rFonts w:ascii="Arial" w:hAnsi="Arial" w:cs="Arial"/>
          <w:sz w:val="22"/>
          <w:szCs w:val="22"/>
        </w:rPr>
        <w:t xml:space="preserve"> concentrated. The key question is not whether authority sat in one place but whether authority, information and responsibility </w:t>
      </w:r>
      <w:bookmarkStart w:id="44" w:name="_Int_z2cd4dZz"/>
      <w:r w:rsidRPr="00AD0BA7">
        <w:rPr>
          <w:rStyle w:val="s1"/>
          <w:rFonts w:ascii="Arial" w:hAnsi="Arial" w:cs="Arial"/>
          <w:sz w:val="22"/>
          <w:szCs w:val="22"/>
        </w:rPr>
        <w:t>were aligned</w:t>
      </w:r>
      <w:bookmarkEnd w:id="44"/>
      <w:r w:rsidRPr="00AD0BA7">
        <w:rPr>
          <w:rStyle w:val="s1"/>
          <w:rFonts w:ascii="Arial" w:hAnsi="Arial" w:cs="Arial"/>
          <w:sz w:val="22"/>
          <w:szCs w:val="22"/>
        </w:rPr>
        <w:t xml:space="preserve">. At Mid Staffordshire, the board’s formal responsibility for safety </w:t>
      </w:r>
      <w:bookmarkStart w:id="45" w:name="_Int_dcqTImC9"/>
      <w:r w:rsidRPr="00AD0BA7">
        <w:rPr>
          <w:rStyle w:val="s1"/>
          <w:rFonts w:ascii="Arial" w:hAnsi="Arial" w:cs="Arial"/>
          <w:sz w:val="22"/>
          <w:szCs w:val="22"/>
        </w:rPr>
        <w:t>was not matched</w:t>
      </w:r>
      <w:bookmarkEnd w:id="45"/>
      <w:r w:rsidRPr="00AD0BA7">
        <w:rPr>
          <w:rStyle w:val="s1"/>
          <w:rFonts w:ascii="Arial" w:hAnsi="Arial" w:cs="Arial"/>
          <w:sz w:val="22"/>
          <w:szCs w:val="22"/>
        </w:rPr>
        <w:t xml:space="preserve"> by sufficiently effective routes for receiving and acting upon frontline concerns (Francis, 2013).</w:t>
      </w:r>
    </w:p>
    <w:p w14:paraId="309D21ED" w14:textId="77777777" w:rsidR="00AD0BA7" w:rsidRDefault="00726610" w:rsidP="00AD0BA7">
      <w:pPr>
        <w:pStyle w:val="p2"/>
        <w:spacing w:line="360" w:lineRule="auto"/>
        <w:rPr>
          <w:rStyle w:val="s1"/>
          <w:rFonts w:ascii="Arial" w:hAnsi="Arial" w:cs="Arial"/>
          <w:sz w:val="22"/>
          <w:szCs w:val="22"/>
        </w:rPr>
      </w:pPr>
      <w:r w:rsidRPr="00AD0BA7">
        <w:rPr>
          <w:rStyle w:val="s1"/>
          <w:rFonts w:ascii="Arial" w:hAnsi="Arial" w:cs="Arial"/>
          <w:sz w:val="22"/>
          <w:szCs w:val="22"/>
        </w:rPr>
        <w:t xml:space="preserve">Centralisation concentrates strategic control and decision-making at executive levels. A clear example was the board’s top-down drive to achieve Foundation Trust status and meet strict financial targets. </w:t>
      </w:r>
    </w:p>
    <w:p w14:paraId="7210A01A" w14:textId="77777777" w:rsidR="00AD0BA7" w:rsidRDefault="00AD0BA7" w:rsidP="00AD0BA7">
      <w:pPr>
        <w:pStyle w:val="p2"/>
        <w:spacing w:line="360" w:lineRule="auto"/>
        <w:rPr>
          <w:rStyle w:val="s1"/>
          <w:rFonts w:ascii="Arial" w:hAnsi="Arial" w:cs="Arial"/>
          <w:sz w:val="22"/>
          <w:szCs w:val="22"/>
        </w:rPr>
      </w:pPr>
    </w:p>
    <w:p w14:paraId="22AB224D" w14:textId="777F019B" w:rsidR="00DF4861" w:rsidRPr="00AD0BA7" w:rsidRDefault="00726610" w:rsidP="00AD0BA7">
      <w:pPr>
        <w:pStyle w:val="p2"/>
        <w:spacing w:line="360" w:lineRule="auto"/>
        <w:rPr>
          <w:rStyle w:val="s1"/>
          <w:rFonts w:ascii="Arial" w:hAnsi="Arial" w:cs="Arial"/>
          <w:sz w:val="22"/>
          <w:szCs w:val="22"/>
        </w:rPr>
      </w:pPr>
      <w:r w:rsidRPr="00AD0BA7">
        <w:rPr>
          <w:rStyle w:val="s1"/>
          <w:rFonts w:ascii="Arial" w:hAnsi="Arial" w:cs="Arial"/>
          <w:sz w:val="22"/>
          <w:szCs w:val="22"/>
        </w:rPr>
        <w:t>Centralisation offers legitimate benefits: a trust board can enforce standard infection control protocols, coordinate emergency escalation, approve major workforce</w:t>
      </w:r>
      <w:r w:rsidR="001767B2" w:rsidRPr="00AD0BA7">
        <w:rPr>
          <w:rStyle w:val="s1"/>
          <w:rFonts w:ascii="Arial" w:hAnsi="Arial" w:cs="Arial"/>
          <w:sz w:val="22"/>
          <w:szCs w:val="22"/>
        </w:rPr>
        <w:t>.</w:t>
      </w:r>
      <w:r w:rsidRPr="00AD0BA7">
        <w:rPr>
          <w:rStyle w:val="s1"/>
          <w:rFonts w:ascii="Arial" w:hAnsi="Arial" w:cs="Arial"/>
          <w:sz w:val="22"/>
          <w:szCs w:val="22"/>
        </w:rPr>
        <w:t xml:space="preserve"> </w:t>
      </w:r>
    </w:p>
    <w:p w14:paraId="2D14072E" w14:textId="2B88A34A" w:rsidR="00726610" w:rsidRPr="00AD0BA7" w:rsidRDefault="00726610" w:rsidP="00AD0BA7">
      <w:pPr>
        <w:pStyle w:val="p2"/>
        <w:spacing w:line="360" w:lineRule="auto"/>
        <w:rPr>
          <w:rFonts w:ascii="Arial" w:hAnsi="Arial" w:cs="Arial"/>
          <w:sz w:val="22"/>
          <w:szCs w:val="22"/>
        </w:rPr>
      </w:pPr>
      <w:r w:rsidRPr="00AD0BA7">
        <w:rPr>
          <w:rStyle w:val="s1"/>
          <w:rFonts w:ascii="Arial" w:hAnsi="Arial" w:cs="Arial"/>
          <w:sz w:val="22"/>
          <w:szCs w:val="22"/>
        </w:rPr>
        <w:t xml:space="preserve">investments, and ensure transparent scrutiny of serious incidents. During an acute crisis, clear central authority prevents contradictory responses. However, as </w:t>
      </w:r>
      <w:bookmarkStart w:id="46" w:name="_Int_S0h7BZX9"/>
      <w:r w:rsidRPr="00AD0BA7">
        <w:rPr>
          <w:rStyle w:val="s1"/>
          <w:rFonts w:ascii="Arial" w:hAnsi="Arial" w:cs="Arial"/>
          <w:sz w:val="22"/>
          <w:szCs w:val="22"/>
        </w:rPr>
        <w:t>demonstrated</w:t>
      </w:r>
      <w:bookmarkEnd w:id="46"/>
      <w:r w:rsidRPr="00AD0BA7">
        <w:rPr>
          <w:rStyle w:val="s1"/>
          <w:rFonts w:ascii="Arial" w:hAnsi="Arial" w:cs="Arial"/>
          <w:sz w:val="22"/>
          <w:szCs w:val="22"/>
        </w:rPr>
        <w:t xml:space="preserve"> in Mid Staffordshire, excessive centralisation can cause severe drawbacks, including delayed risk escalation, over-reliance on aggregated management summaries, and a target-driven culture that stifles frontline challenge (Healthcare Commission, 2009). Francis (2013) showed that patient experiences </w:t>
      </w:r>
      <w:r w:rsidR="00876637" w:rsidRPr="00AD0BA7">
        <w:rPr>
          <w:rStyle w:val="s1"/>
          <w:rFonts w:ascii="Arial" w:hAnsi="Arial" w:cs="Arial"/>
          <w:sz w:val="22"/>
          <w:szCs w:val="22"/>
        </w:rPr>
        <w:t>did not</w:t>
      </w:r>
      <w:r w:rsidRPr="00AD0BA7">
        <w:rPr>
          <w:rStyle w:val="s1"/>
          <w:rFonts w:ascii="Arial" w:hAnsi="Arial" w:cs="Arial"/>
          <w:sz w:val="22"/>
          <w:szCs w:val="22"/>
        </w:rPr>
        <w:t xml:space="preserve"> reshape institutional priorities, proving that centralisation without an independent clinical voice isolates executive </w:t>
      </w:r>
      <w:r w:rsidR="001767B2" w:rsidRPr="00AD0BA7">
        <w:rPr>
          <w:rStyle w:val="s1"/>
          <w:rFonts w:ascii="Arial" w:hAnsi="Arial" w:cs="Arial"/>
          <w:sz w:val="22"/>
          <w:szCs w:val="22"/>
        </w:rPr>
        <w:t>decisionmakers</w:t>
      </w:r>
      <w:r w:rsidRPr="00AD0BA7">
        <w:rPr>
          <w:rStyle w:val="s1"/>
          <w:rFonts w:ascii="Arial" w:hAnsi="Arial" w:cs="Arial"/>
          <w:sz w:val="22"/>
          <w:szCs w:val="22"/>
        </w:rPr>
        <w:t>.</w:t>
      </w:r>
    </w:p>
    <w:p w14:paraId="74642D60" w14:textId="7C427338" w:rsidR="00726610" w:rsidRPr="00AD0BA7" w:rsidRDefault="00726610" w:rsidP="00AD0BA7">
      <w:pPr>
        <w:pStyle w:val="p2"/>
        <w:spacing w:line="360" w:lineRule="auto"/>
        <w:rPr>
          <w:rFonts w:ascii="Arial" w:hAnsi="Arial" w:cs="Arial"/>
          <w:sz w:val="22"/>
          <w:szCs w:val="22"/>
        </w:rPr>
      </w:pPr>
      <w:r w:rsidRPr="00AD0BA7">
        <w:rPr>
          <w:rStyle w:val="s1"/>
          <w:rFonts w:ascii="Arial" w:hAnsi="Arial" w:cs="Arial"/>
          <w:sz w:val="22"/>
          <w:szCs w:val="22"/>
        </w:rPr>
        <w:t xml:space="preserve">Foundation trust aspirations sharpened tensions between fiscal management and service quality. It is inaccurate to argue that foundation trust status itself caused neglect; organisations can meet financial duties while </w:t>
      </w:r>
      <w:bookmarkStart w:id="47" w:name="_Int_yzeVvlLW"/>
      <w:r w:rsidRPr="00AD0BA7">
        <w:rPr>
          <w:rStyle w:val="s1"/>
          <w:rFonts w:ascii="Arial" w:hAnsi="Arial" w:cs="Arial"/>
          <w:sz w:val="22"/>
          <w:szCs w:val="22"/>
        </w:rPr>
        <w:t>maintaining</w:t>
      </w:r>
      <w:bookmarkEnd w:id="47"/>
      <w:r w:rsidRPr="00AD0BA7">
        <w:rPr>
          <w:rStyle w:val="s1"/>
          <w:rFonts w:ascii="Arial" w:hAnsi="Arial" w:cs="Arial"/>
          <w:sz w:val="22"/>
          <w:szCs w:val="22"/>
        </w:rPr>
        <w:t xml:space="preserve"> excellent care. Rather, the case </w:t>
      </w:r>
      <w:bookmarkStart w:id="48" w:name="_Int_IhgH2xAm"/>
      <w:r w:rsidRPr="00AD0BA7">
        <w:rPr>
          <w:rStyle w:val="s1"/>
          <w:rFonts w:ascii="Arial" w:hAnsi="Arial" w:cs="Arial"/>
          <w:sz w:val="22"/>
          <w:szCs w:val="22"/>
        </w:rPr>
        <w:t>demonstrates</w:t>
      </w:r>
      <w:bookmarkEnd w:id="48"/>
      <w:r w:rsidRPr="00AD0BA7">
        <w:rPr>
          <w:rStyle w:val="s1"/>
          <w:rFonts w:ascii="Arial" w:hAnsi="Arial" w:cs="Arial"/>
          <w:sz w:val="22"/>
          <w:szCs w:val="22"/>
        </w:rPr>
        <w:t xml:space="preserve"> the danger of treating financial compliance as a proxy for organisational health. Technical efficiency produces </w:t>
      </w:r>
      <w:bookmarkStart w:id="49" w:name="_Int_YIQ6LOME"/>
      <w:r w:rsidRPr="00AD0BA7">
        <w:rPr>
          <w:rStyle w:val="s1"/>
          <w:rFonts w:ascii="Arial" w:hAnsi="Arial" w:cs="Arial"/>
          <w:sz w:val="22"/>
          <w:szCs w:val="22"/>
        </w:rPr>
        <w:t>appropriate outputs</w:t>
      </w:r>
      <w:bookmarkEnd w:id="49"/>
      <w:r w:rsidRPr="00AD0BA7">
        <w:rPr>
          <w:rStyle w:val="s1"/>
          <w:rFonts w:ascii="Arial" w:hAnsi="Arial" w:cs="Arial"/>
          <w:sz w:val="22"/>
          <w:szCs w:val="22"/>
        </w:rPr>
        <w:t xml:space="preserve"> with minimal waste, while allocative efficiency directs resources to services yielding the greatest health benefit (Palmer and Torgerson, 1999). Cutting nursing inputs may appear efficient on a budget spreadsheet, but becomes highly inefficient if it increases avoidable harm, length of stay, or staff attrition. WHO (2019) highlights the substantial global economic burden of unsafe care, underscoring the </w:t>
      </w:r>
      <w:r w:rsidR="009A665D" w:rsidRPr="00AD0BA7">
        <w:rPr>
          <w:rStyle w:val="s1"/>
          <w:rFonts w:ascii="Arial" w:hAnsi="Arial" w:cs="Arial"/>
          <w:sz w:val="22"/>
          <w:szCs w:val="22"/>
        </w:rPr>
        <w:t>actual</w:t>
      </w:r>
      <w:r w:rsidRPr="00AD0BA7">
        <w:rPr>
          <w:rStyle w:val="s1"/>
          <w:rFonts w:ascii="Arial" w:hAnsi="Arial" w:cs="Arial"/>
          <w:sz w:val="22"/>
          <w:szCs w:val="22"/>
        </w:rPr>
        <w:t xml:space="preserve"> costs of short-sighted cost-cutting.</w:t>
      </w:r>
    </w:p>
    <w:p w14:paraId="422DA885" w14:textId="77777777" w:rsidR="00726610" w:rsidRPr="00AD0BA7" w:rsidRDefault="00726610" w:rsidP="00AD0BA7">
      <w:pPr>
        <w:pStyle w:val="p2"/>
        <w:spacing w:line="360" w:lineRule="auto"/>
        <w:rPr>
          <w:rFonts w:ascii="Arial" w:hAnsi="Arial" w:cs="Arial"/>
          <w:sz w:val="22"/>
          <w:szCs w:val="22"/>
        </w:rPr>
      </w:pPr>
      <w:r w:rsidRPr="00AD0BA7">
        <w:rPr>
          <w:rStyle w:val="s1"/>
          <w:rFonts w:ascii="Arial" w:hAnsi="Arial" w:cs="Arial"/>
          <w:sz w:val="22"/>
          <w:szCs w:val="22"/>
        </w:rPr>
        <w:t xml:space="preserve">Decentralisation distributes authority to local clinical teams and ward leaders. An example includes delegating immediate risk-management decisions, such as locally triggered staffing reviews or daily patient safety huddles. Decentralisation allows multidisciplinary teams to act rapidly on deteriorating conditions and shortens the distance between </w:t>
      </w:r>
      <w:bookmarkStart w:id="50" w:name="_Int_Q6k2CDrO"/>
      <w:r w:rsidRPr="00AD0BA7">
        <w:rPr>
          <w:rStyle w:val="s1"/>
          <w:rFonts w:ascii="Arial" w:hAnsi="Arial" w:cs="Arial"/>
          <w:sz w:val="22"/>
          <w:szCs w:val="22"/>
        </w:rPr>
        <w:t>identifying</w:t>
      </w:r>
      <w:bookmarkEnd w:id="50"/>
      <w:r w:rsidRPr="00AD0BA7">
        <w:rPr>
          <w:rStyle w:val="s1"/>
          <w:rFonts w:ascii="Arial" w:hAnsi="Arial" w:cs="Arial"/>
          <w:sz w:val="22"/>
          <w:szCs w:val="22"/>
        </w:rPr>
        <w:t xml:space="preserve"> a risk and changing practice. However, decentralisation has distinct disadvantages: delegating responsibility without adequate staffing resources or explicit budget authority creates "responsibility without power." Furthermore, uncoordinated decentralisation can lead to inconsistent clinical standards, variable competence, and ambiguity over accountability. Effective systems therefore require standardised central thresholds for escalation paired with local operational flexibility (NHS England, 2022).</w:t>
      </w:r>
    </w:p>
    <w:p w14:paraId="6CA6DEB0" w14:textId="77777777" w:rsidR="00726610" w:rsidRPr="00AD0BA7" w:rsidRDefault="00726610" w:rsidP="00AD0BA7">
      <w:pPr>
        <w:pStyle w:val="p2"/>
        <w:spacing w:line="360" w:lineRule="auto"/>
        <w:rPr>
          <w:rFonts w:ascii="Arial" w:hAnsi="Arial" w:cs="Arial"/>
          <w:sz w:val="22"/>
          <w:szCs w:val="22"/>
        </w:rPr>
      </w:pPr>
      <w:r w:rsidRPr="00AD0BA7">
        <w:rPr>
          <w:rStyle w:val="s1"/>
          <w:rFonts w:ascii="Arial" w:hAnsi="Arial" w:cs="Arial"/>
          <w:sz w:val="22"/>
          <w:szCs w:val="22"/>
        </w:rPr>
        <w:t xml:space="preserve">The original trust’s dissolution </w:t>
      </w:r>
      <w:bookmarkStart w:id="51" w:name="_Int_tCsWIVJI"/>
      <w:r w:rsidRPr="00AD0BA7">
        <w:rPr>
          <w:rStyle w:val="s1"/>
          <w:rFonts w:ascii="Arial" w:hAnsi="Arial" w:cs="Arial"/>
          <w:sz w:val="22"/>
          <w:szCs w:val="22"/>
        </w:rPr>
        <w:t>demonstrates</w:t>
      </w:r>
      <w:bookmarkEnd w:id="51"/>
      <w:r w:rsidRPr="00AD0BA7">
        <w:rPr>
          <w:rStyle w:val="s1"/>
          <w:rFonts w:ascii="Arial" w:hAnsi="Arial" w:cs="Arial"/>
          <w:sz w:val="22"/>
          <w:szCs w:val="22"/>
        </w:rPr>
        <w:t xml:space="preserve"> a structural intervention. In November 2014, its services transferred to neighbouring providers, including University Hospitals of North Midlands NHS Trust and the Royal Wolverhampton NHS Trust (Department of Health, 2014). The transfer changed organisational boundaries; it did not automatically guarantee that patient safety improved. A formal evaluation separates the observable structural outcome (transfer of services) from the less easily proven clinical outcome (sustained improvement in harm rates). Post-transfer trends require risk-adjusted quality measures before </w:t>
      </w:r>
      <w:bookmarkStart w:id="52" w:name="_Int_tuuyDVRW"/>
      <w:r w:rsidRPr="00AD0BA7">
        <w:rPr>
          <w:rStyle w:val="s1"/>
          <w:rFonts w:ascii="Arial" w:hAnsi="Arial" w:cs="Arial"/>
          <w:sz w:val="22"/>
          <w:szCs w:val="22"/>
        </w:rPr>
        <w:t>establishing</w:t>
      </w:r>
      <w:bookmarkEnd w:id="52"/>
      <w:r w:rsidRPr="00AD0BA7">
        <w:rPr>
          <w:rStyle w:val="s1"/>
          <w:rFonts w:ascii="Arial" w:hAnsi="Arial" w:cs="Arial"/>
          <w:sz w:val="22"/>
          <w:szCs w:val="22"/>
        </w:rPr>
        <w:t xml:space="preserve"> causality.</w:t>
      </w:r>
    </w:p>
    <w:p w14:paraId="370885B3" w14:textId="77777777" w:rsidR="00AD0BA7" w:rsidRDefault="00726610" w:rsidP="00AD0BA7">
      <w:pPr>
        <w:pStyle w:val="p2"/>
        <w:spacing w:line="360" w:lineRule="auto"/>
        <w:rPr>
          <w:rStyle w:val="s1"/>
          <w:rFonts w:ascii="Arial" w:hAnsi="Arial" w:cs="Arial"/>
          <w:sz w:val="22"/>
          <w:szCs w:val="22"/>
        </w:rPr>
      </w:pPr>
      <w:r w:rsidRPr="00AD0BA7">
        <w:rPr>
          <w:rStyle w:val="s1"/>
          <w:rFonts w:ascii="Arial" w:hAnsi="Arial" w:cs="Arial"/>
          <w:sz w:val="22"/>
          <w:szCs w:val="22"/>
        </w:rPr>
        <w:t xml:space="preserve">National reform likewise combined central requirements with local implementation. The Care Quality Commission’s fundamental standards provide baseline expectations (Care Quality Commission, 2015), </w:t>
      </w:r>
    </w:p>
    <w:p w14:paraId="16E160BF" w14:textId="77777777" w:rsidR="00AD0BA7" w:rsidRDefault="00AD0BA7" w:rsidP="00AD0BA7">
      <w:pPr>
        <w:pStyle w:val="p2"/>
        <w:spacing w:line="360" w:lineRule="auto"/>
        <w:rPr>
          <w:rStyle w:val="s1"/>
          <w:rFonts w:ascii="Arial" w:hAnsi="Arial" w:cs="Arial"/>
          <w:sz w:val="22"/>
          <w:szCs w:val="22"/>
        </w:rPr>
      </w:pPr>
    </w:p>
    <w:p w14:paraId="6FF9C884" w14:textId="2156F14E" w:rsidR="00670929" w:rsidRPr="00AD0BA7" w:rsidRDefault="00726610" w:rsidP="00AD0BA7">
      <w:pPr>
        <w:pStyle w:val="p2"/>
        <w:spacing w:line="360" w:lineRule="auto"/>
        <w:rPr>
          <w:rStyle w:val="s1"/>
          <w:rFonts w:ascii="Arial" w:hAnsi="Arial" w:cs="Arial"/>
          <w:sz w:val="22"/>
          <w:szCs w:val="22"/>
        </w:rPr>
      </w:pPr>
      <w:r w:rsidRPr="00AD0BA7">
        <w:rPr>
          <w:rStyle w:val="s1"/>
          <w:rFonts w:ascii="Arial" w:hAnsi="Arial" w:cs="Arial"/>
          <w:sz w:val="22"/>
          <w:szCs w:val="22"/>
        </w:rPr>
        <w:t xml:space="preserve">while the statutory duty of candour </w:t>
      </w:r>
      <w:bookmarkStart w:id="53" w:name="_Int_0sH11iYl"/>
      <w:r w:rsidRPr="00AD0BA7">
        <w:rPr>
          <w:rStyle w:val="s1"/>
          <w:rFonts w:ascii="Arial" w:hAnsi="Arial" w:cs="Arial"/>
          <w:sz w:val="22"/>
          <w:szCs w:val="22"/>
        </w:rPr>
        <w:t>establishes</w:t>
      </w:r>
      <w:bookmarkEnd w:id="53"/>
      <w:r w:rsidRPr="00AD0BA7">
        <w:rPr>
          <w:rStyle w:val="s1"/>
          <w:rFonts w:ascii="Arial" w:hAnsi="Arial" w:cs="Arial"/>
          <w:sz w:val="22"/>
          <w:szCs w:val="22"/>
        </w:rPr>
        <w:t xml:space="preserve"> responsibilities to be open when safety incidents occur (Department of Health, 2014a). PSIRF asks providers to design responses suited to their specific patient safety profiles rather than applying one template to every incident (NHS England, 2022). These arrangements illustrate a hybrid model: nationally specified obligations, locally developed learning, and explicit board oversight. This is more defensible than a blanket prescription for either centralisation or decentralisation.</w:t>
      </w:r>
    </w:p>
    <w:p w14:paraId="73AFC311" w14:textId="5B508F6A" w:rsidR="00726610" w:rsidRPr="00AD0BA7" w:rsidRDefault="00726610" w:rsidP="00AD0BA7">
      <w:pPr>
        <w:pStyle w:val="p2"/>
        <w:spacing w:line="360" w:lineRule="auto"/>
        <w:rPr>
          <w:rFonts w:ascii="Arial" w:hAnsi="Arial" w:cs="Arial"/>
          <w:sz w:val="22"/>
          <w:szCs w:val="22"/>
        </w:rPr>
      </w:pPr>
      <w:r w:rsidRPr="00AD0BA7">
        <w:rPr>
          <w:rStyle w:val="s1"/>
          <w:rFonts w:ascii="Arial" w:hAnsi="Arial" w:cs="Arial"/>
          <w:sz w:val="22"/>
          <w:szCs w:val="22"/>
        </w:rPr>
        <w:t xml:space="preserve">Accountability must </w:t>
      </w:r>
      <w:bookmarkStart w:id="54" w:name="_Int_kd8gycpO"/>
      <w:r w:rsidRPr="00AD0BA7">
        <w:rPr>
          <w:rStyle w:val="s1"/>
          <w:rFonts w:ascii="Arial" w:hAnsi="Arial" w:cs="Arial"/>
          <w:sz w:val="22"/>
          <w:szCs w:val="22"/>
        </w:rPr>
        <w:t>be tested</w:t>
      </w:r>
      <w:bookmarkEnd w:id="54"/>
      <w:r w:rsidRPr="00AD0BA7">
        <w:rPr>
          <w:rStyle w:val="s1"/>
          <w:rFonts w:ascii="Arial" w:hAnsi="Arial" w:cs="Arial"/>
          <w:sz w:val="22"/>
          <w:szCs w:val="22"/>
        </w:rPr>
        <w:t xml:space="preserve"> through evidence, not organi</w:t>
      </w:r>
      <w:r w:rsidR="004E7A43">
        <w:rPr>
          <w:rStyle w:val="s1"/>
          <w:rFonts w:ascii="Arial" w:hAnsi="Arial" w:cs="Arial"/>
          <w:sz w:val="22"/>
          <w:szCs w:val="22"/>
        </w:rPr>
        <w:t>s</w:t>
      </w:r>
      <w:r w:rsidRPr="00AD0BA7">
        <w:rPr>
          <w:rStyle w:val="s1"/>
          <w:rFonts w:ascii="Arial" w:hAnsi="Arial" w:cs="Arial"/>
          <w:sz w:val="22"/>
          <w:szCs w:val="22"/>
        </w:rPr>
        <w:t>ational charts. Boards should examine planned versus actual staffing, severity-adjusted incidents, repeat complaints, escalation latency, and action completion rates. A rise in reported incidents may reflect greater openness rather than worse care; triangulation with patient outcomes and qualitative accounts is essential. Aiken et al. (2014) associated higher nurse staffing and baccalaureate education with lower mortality across European hospitals, supporting attention to workforce ratios, although observational associations do not prove that a single staffing change would have prevented historical failures. The right structure combines central assurance with distributed clinical authority, protected challenge, and transparent feedback.</w:t>
      </w:r>
    </w:p>
    <w:p w14:paraId="38DB53B8" w14:textId="77777777" w:rsidR="00726610" w:rsidRPr="00AD0BA7" w:rsidRDefault="00726610" w:rsidP="00AD0BA7">
      <w:pPr>
        <w:pStyle w:val="p2"/>
        <w:spacing w:line="360" w:lineRule="auto"/>
        <w:rPr>
          <w:rFonts w:ascii="Arial" w:hAnsi="Arial" w:cs="Arial"/>
          <w:sz w:val="22"/>
          <w:szCs w:val="22"/>
        </w:rPr>
      </w:pPr>
      <w:r w:rsidRPr="00AD0BA7">
        <w:rPr>
          <w:rStyle w:val="s1"/>
          <w:rFonts w:ascii="Arial" w:hAnsi="Arial" w:cs="Arial"/>
          <w:sz w:val="22"/>
          <w:szCs w:val="22"/>
        </w:rPr>
        <w:t xml:space="preserve">A further difficulty concerns decision rights. Decentralising responsibility without resources becomes a transfer of blame rather than genuine empowerment: ward leaders </w:t>
      </w:r>
      <w:bookmarkStart w:id="55" w:name="_Int_4wwuP3pY"/>
      <w:r w:rsidRPr="00AD0BA7">
        <w:rPr>
          <w:rStyle w:val="s1"/>
          <w:rFonts w:ascii="Arial" w:hAnsi="Arial" w:cs="Arial"/>
          <w:sz w:val="22"/>
          <w:szCs w:val="22"/>
        </w:rPr>
        <w:t>are expected</w:t>
      </w:r>
      <w:bookmarkEnd w:id="55"/>
      <w:r w:rsidRPr="00AD0BA7">
        <w:rPr>
          <w:rStyle w:val="s1"/>
          <w:rFonts w:ascii="Arial" w:hAnsi="Arial" w:cs="Arial"/>
          <w:sz w:val="22"/>
          <w:szCs w:val="22"/>
        </w:rPr>
        <w:t xml:space="preserve"> to deliver safe care while lacking authority to secure staffing. Conversely, centralising escalation thresholds without accessible reporting routes creates delays when rapid action is </w:t>
      </w:r>
      <w:bookmarkStart w:id="56" w:name="_Int_hWQ1t4mr"/>
      <w:r w:rsidRPr="00AD0BA7">
        <w:rPr>
          <w:rStyle w:val="s1"/>
          <w:rFonts w:ascii="Arial" w:hAnsi="Arial" w:cs="Arial"/>
          <w:sz w:val="22"/>
          <w:szCs w:val="22"/>
        </w:rPr>
        <w:t>required</w:t>
      </w:r>
      <w:bookmarkEnd w:id="56"/>
      <w:r w:rsidRPr="00AD0BA7">
        <w:rPr>
          <w:rStyle w:val="s1"/>
          <w:rFonts w:ascii="Arial" w:hAnsi="Arial" w:cs="Arial"/>
          <w:sz w:val="22"/>
          <w:szCs w:val="22"/>
        </w:rPr>
        <w:t xml:space="preserve">. Mintzberg (1979) suggests professional organisations depend on specialist </w:t>
      </w:r>
      <w:bookmarkStart w:id="57" w:name="_Int_TsjbpCB7"/>
      <w:r w:rsidRPr="00AD0BA7">
        <w:rPr>
          <w:rStyle w:val="s1"/>
          <w:rFonts w:ascii="Arial" w:hAnsi="Arial" w:cs="Arial"/>
          <w:sz w:val="22"/>
          <w:szCs w:val="22"/>
        </w:rPr>
        <w:t>expertise</w:t>
      </w:r>
      <w:bookmarkEnd w:id="57"/>
      <w:r w:rsidRPr="00AD0BA7">
        <w:rPr>
          <w:rStyle w:val="s1"/>
          <w:rFonts w:ascii="Arial" w:hAnsi="Arial" w:cs="Arial"/>
          <w:sz w:val="22"/>
          <w:szCs w:val="22"/>
        </w:rPr>
        <w:t>; managerial control should support rather than displace professional judgement. A credible hybrid model assigns explicit decision rights, resource authority, and escalation duties to each level, verifying whether concerns travel upwards and responses return downwards.</w:t>
      </w:r>
    </w:p>
    <w:p w14:paraId="32F4EBE8" w14:textId="4ED3C836" w:rsidR="009444F3" w:rsidRPr="00AD0BA7" w:rsidRDefault="00726610" w:rsidP="00AD0BA7">
      <w:pPr>
        <w:pStyle w:val="p2"/>
        <w:spacing w:line="360" w:lineRule="auto"/>
        <w:rPr>
          <w:rFonts w:ascii="Arial" w:hAnsi="Arial" w:cs="Arial"/>
          <w:sz w:val="22"/>
          <w:szCs w:val="22"/>
        </w:rPr>
      </w:pPr>
      <w:r w:rsidRPr="00AD0BA7">
        <w:rPr>
          <w:rStyle w:val="s1"/>
          <w:rFonts w:ascii="Arial" w:hAnsi="Arial" w:cs="Arial"/>
          <w:sz w:val="22"/>
          <w:szCs w:val="22"/>
        </w:rPr>
        <w:t xml:space="preserve">The efficiency argument requires qualification. Palmer and Torgerson (1999) distinguish technical from allocative efficiency, but neither concept </w:t>
      </w:r>
      <w:bookmarkStart w:id="58" w:name="_Int_J8sCalHR"/>
      <w:r w:rsidRPr="00AD0BA7">
        <w:rPr>
          <w:rStyle w:val="s1"/>
          <w:rFonts w:ascii="Arial" w:hAnsi="Arial" w:cs="Arial"/>
          <w:sz w:val="22"/>
          <w:szCs w:val="22"/>
        </w:rPr>
        <w:t>permits</w:t>
      </w:r>
      <w:bookmarkEnd w:id="58"/>
      <w:r w:rsidRPr="00AD0BA7">
        <w:rPr>
          <w:rStyle w:val="s1"/>
          <w:rFonts w:ascii="Arial" w:hAnsi="Arial" w:cs="Arial"/>
          <w:sz w:val="22"/>
          <w:szCs w:val="22"/>
        </w:rPr>
        <w:t xml:space="preserve"> quality to </w:t>
      </w:r>
      <w:bookmarkStart w:id="59" w:name="_Int_dnWg7Urb"/>
      <w:r w:rsidRPr="00AD0BA7">
        <w:rPr>
          <w:rStyle w:val="s1"/>
          <w:rFonts w:ascii="Arial" w:hAnsi="Arial" w:cs="Arial"/>
          <w:sz w:val="22"/>
          <w:szCs w:val="22"/>
        </w:rPr>
        <w:t>be ignored</w:t>
      </w:r>
      <w:bookmarkEnd w:id="59"/>
      <w:r w:rsidRPr="00AD0BA7">
        <w:rPr>
          <w:rStyle w:val="s1"/>
          <w:rFonts w:ascii="Arial" w:hAnsi="Arial" w:cs="Arial"/>
          <w:sz w:val="22"/>
          <w:szCs w:val="22"/>
        </w:rPr>
        <w:t xml:space="preserve"> when defining healthcare output. A ward </w:t>
      </w:r>
      <w:bookmarkStart w:id="60" w:name="_Int_20RQlnNl"/>
      <w:r w:rsidRPr="00AD0BA7">
        <w:rPr>
          <w:rStyle w:val="s1"/>
          <w:rFonts w:ascii="Arial" w:hAnsi="Arial" w:cs="Arial"/>
          <w:sz w:val="22"/>
          <w:szCs w:val="22"/>
        </w:rPr>
        <w:t>operating</w:t>
      </w:r>
      <w:bookmarkEnd w:id="60"/>
      <w:r w:rsidRPr="00AD0BA7">
        <w:rPr>
          <w:rStyle w:val="s1"/>
          <w:rFonts w:ascii="Arial" w:hAnsi="Arial" w:cs="Arial"/>
          <w:sz w:val="22"/>
          <w:szCs w:val="22"/>
        </w:rPr>
        <w:t xml:space="preserve"> with fewer staff may appear less costly per occupied bed while producing inferior care and higher downstream expenditure. Equally, </w:t>
      </w:r>
      <w:bookmarkStart w:id="61" w:name="_Int_dElGh6uZ"/>
      <w:r w:rsidRPr="00AD0BA7">
        <w:rPr>
          <w:rStyle w:val="s1"/>
          <w:rFonts w:ascii="Arial" w:hAnsi="Arial" w:cs="Arial"/>
          <w:sz w:val="22"/>
          <w:szCs w:val="22"/>
        </w:rPr>
        <w:t>additional</w:t>
      </w:r>
      <w:bookmarkEnd w:id="61"/>
      <w:r w:rsidRPr="00AD0BA7">
        <w:rPr>
          <w:rStyle w:val="s1"/>
          <w:rFonts w:ascii="Arial" w:hAnsi="Arial" w:cs="Arial"/>
          <w:sz w:val="22"/>
          <w:szCs w:val="22"/>
        </w:rPr>
        <w:t xml:space="preserve"> staffing is not cost-effective if failures stem from poor skill mix or supervision. Aiken et al. (2014) associate nurse staffing with hospital mortality across European settings. The </w:t>
      </w:r>
      <w:r w:rsidR="00AF649E" w:rsidRPr="00AD0BA7">
        <w:rPr>
          <w:rStyle w:val="s1"/>
          <w:rFonts w:ascii="Arial" w:hAnsi="Arial" w:cs="Arial"/>
          <w:sz w:val="22"/>
          <w:szCs w:val="22"/>
        </w:rPr>
        <w:t>proper</w:t>
      </w:r>
      <w:r w:rsidRPr="00AD0BA7">
        <w:rPr>
          <w:rStyle w:val="s1"/>
          <w:rFonts w:ascii="Arial" w:hAnsi="Arial" w:cs="Arial"/>
          <w:sz w:val="22"/>
          <w:szCs w:val="22"/>
        </w:rPr>
        <w:t xml:space="preserve"> management question is which combination of staffing, skill mix, and redesigned processes produces safer outcomes within the available budget.</w:t>
      </w:r>
    </w:p>
    <w:p w14:paraId="34DFA878" w14:textId="77777777" w:rsidR="009444F3" w:rsidRDefault="009444F3" w:rsidP="00DE33B0">
      <w:pPr>
        <w:pStyle w:val="Heading1"/>
        <w:rPr>
          <w:rFonts w:ascii="Arial" w:hAnsi="Arial" w:cs="Arial"/>
        </w:rPr>
      </w:pPr>
    </w:p>
    <w:p w14:paraId="3E714728" w14:textId="77777777" w:rsidR="00AD0BA7" w:rsidRPr="00AD0BA7" w:rsidRDefault="00AD0BA7" w:rsidP="00AD0BA7"/>
    <w:p w14:paraId="5E062931" w14:textId="77777777" w:rsidR="00AD0BA7" w:rsidRDefault="00AD0BA7" w:rsidP="00DE33B0">
      <w:pPr>
        <w:pStyle w:val="Heading1"/>
        <w:rPr>
          <w:rFonts w:ascii="Arial" w:hAnsi="Arial" w:cs="Arial"/>
        </w:rPr>
      </w:pPr>
    </w:p>
    <w:p w14:paraId="780868CF" w14:textId="21B43E2D" w:rsidR="005A4F61" w:rsidRPr="007C5A2A" w:rsidRDefault="00F7044E" w:rsidP="00DE33B0">
      <w:pPr>
        <w:pStyle w:val="Heading1"/>
        <w:rPr>
          <w:rFonts w:ascii="Arial" w:hAnsi="Arial" w:cs="Arial"/>
        </w:rPr>
      </w:pPr>
      <w:r>
        <w:rPr>
          <w:rFonts w:ascii="Arial" w:hAnsi="Arial" w:cs="Arial"/>
        </w:rPr>
        <w:t xml:space="preserve">© </w:t>
      </w:r>
      <w:r w:rsidR="005A4F61" w:rsidRPr="007C5A2A">
        <w:rPr>
          <w:rFonts w:ascii="Arial" w:hAnsi="Arial" w:cs="Arial"/>
        </w:rPr>
        <w:t xml:space="preserve">2.3 Leadership theories and </w:t>
      </w:r>
      <w:r w:rsidR="005A5DDB">
        <w:rPr>
          <w:rFonts w:ascii="Arial" w:hAnsi="Arial" w:cs="Arial"/>
        </w:rPr>
        <w:t xml:space="preserve">Their </w:t>
      </w:r>
      <w:r w:rsidR="005A4F61" w:rsidRPr="007C5A2A">
        <w:rPr>
          <w:rFonts w:ascii="Arial" w:hAnsi="Arial" w:cs="Arial"/>
        </w:rPr>
        <w:t>application</w:t>
      </w:r>
      <w:r w:rsidR="00D7034C">
        <w:rPr>
          <w:rFonts w:ascii="Arial" w:hAnsi="Arial" w:cs="Arial"/>
        </w:rPr>
        <w:t xml:space="preserve"> to </w:t>
      </w:r>
      <w:r w:rsidR="00B37BB3">
        <w:rPr>
          <w:rFonts w:ascii="Arial" w:hAnsi="Arial" w:cs="Arial"/>
        </w:rPr>
        <w:t>Mi</w:t>
      </w:r>
      <w:r w:rsidR="00797795">
        <w:rPr>
          <w:rFonts w:ascii="Arial" w:hAnsi="Arial" w:cs="Arial"/>
        </w:rPr>
        <w:t xml:space="preserve">d </w:t>
      </w:r>
      <w:r w:rsidR="008A23E6">
        <w:rPr>
          <w:rFonts w:ascii="Arial" w:hAnsi="Arial" w:cs="Arial"/>
        </w:rPr>
        <w:t>St</w:t>
      </w:r>
      <w:r w:rsidR="00985027">
        <w:rPr>
          <w:rFonts w:ascii="Arial" w:hAnsi="Arial" w:cs="Arial"/>
        </w:rPr>
        <w:t>aff</w:t>
      </w:r>
      <w:r w:rsidR="00726CF0">
        <w:rPr>
          <w:rFonts w:ascii="Arial" w:hAnsi="Arial" w:cs="Arial"/>
        </w:rPr>
        <w:t>ordshire</w:t>
      </w:r>
      <w:bookmarkEnd w:id="40"/>
      <w:bookmarkEnd w:id="41"/>
    </w:p>
    <w:p w14:paraId="0814D450" w14:textId="77777777" w:rsidR="00DE33B0" w:rsidRDefault="00DE33B0" w:rsidP="00DE33B0"/>
    <w:p w14:paraId="15048DB8" w14:textId="7B8F5419" w:rsidR="0037656B" w:rsidRDefault="0037656B" w:rsidP="00ED1EED">
      <w:pPr>
        <w:pStyle w:val="Heading1"/>
        <w:rPr>
          <w:rFonts w:ascii="Arial" w:hAnsi="Arial" w:cs="Arial"/>
        </w:rPr>
      </w:pPr>
      <w:bookmarkStart w:id="62" w:name="_Toc242861706"/>
      <w:bookmarkStart w:id="63" w:name="_Toc242863180"/>
      <w:r w:rsidRPr="00ED1EED">
        <w:rPr>
          <w:rFonts w:ascii="Arial" w:hAnsi="Arial" w:cs="Arial"/>
        </w:rPr>
        <w:t>2.3.1 Mc</w:t>
      </w:r>
      <w:r w:rsidR="00445415" w:rsidRPr="00ED1EED">
        <w:rPr>
          <w:rFonts w:ascii="Arial" w:hAnsi="Arial" w:cs="Arial"/>
        </w:rPr>
        <w:t>Gr</w:t>
      </w:r>
      <w:r w:rsidR="00D07645" w:rsidRPr="00ED1EED">
        <w:rPr>
          <w:rFonts w:ascii="Arial" w:hAnsi="Arial" w:cs="Arial"/>
        </w:rPr>
        <w:t>egor</w:t>
      </w:r>
      <w:r w:rsidR="001F611A" w:rsidRPr="00ED1EED">
        <w:rPr>
          <w:rFonts w:ascii="Arial" w:hAnsi="Arial" w:cs="Arial"/>
        </w:rPr>
        <w:t>’s Theory X and Theory Y</w:t>
      </w:r>
      <w:bookmarkEnd w:id="62"/>
      <w:bookmarkEnd w:id="63"/>
    </w:p>
    <w:p w14:paraId="3F1C323C" w14:textId="77777777" w:rsidR="002B0D7A" w:rsidRDefault="002B0D7A" w:rsidP="007C5A2A">
      <w:pPr>
        <w:spacing w:line="360" w:lineRule="auto"/>
        <w:rPr>
          <w:rFonts w:ascii="Arial" w:hAnsi="Arial" w:cs="Arial"/>
        </w:rPr>
      </w:pPr>
    </w:p>
    <w:p w14:paraId="563E9350" w14:textId="43E469FA" w:rsidR="005108B1" w:rsidRPr="00FB6756" w:rsidRDefault="005108B1" w:rsidP="00FB6756">
      <w:pPr>
        <w:spacing w:before="227"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 xml:space="preserve">McGregor’s (1960) Theory X and Theory Y concern assumptions managers hold about workers. Theory X presumes staff require close direction and rigid control; Theory Y allows employees to exercise responsibility, creativity, and self-direction when supportive conditions exist. The target-driven, hierarchical management culture at Mid Staffordshire reflected distinct Theory X tendencies, as constructive challenge, </w:t>
      </w:r>
      <w:r w:rsidR="00546EE8" w:rsidRPr="00FB6756">
        <w:rPr>
          <w:rFonts w:ascii="Arial" w:eastAsiaTheme="minorEastAsia" w:hAnsi="Arial" w:cs="Arial"/>
          <w:color w:val="000000"/>
          <w:kern w:val="0"/>
          <w:lang w:eastAsia="en-GB"/>
          <w14:ligatures w14:val="none"/>
        </w:rPr>
        <w:t>sad</w:t>
      </w:r>
      <w:r w:rsidRPr="00FB6756">
        <w:rPr>
          <w:rFonts w:ascii="Arial" w:eastAsiaTheme="minorEastAsia" w:hAnsi="Arial" w:cs="Arial"/>
          <w:color w:val="000000"/>
          <w:kern w:val="0"/>
          <w:lang w:eastAsia="en-GB"/>
          <w14:ligatures w14:val="none"/>
        </w:rPr>
        <w:t xml:space="preserve"> news, and incident reporting </w:t>
      </w:r>
      <w:bookmarkStart w:id="64" w:name="_Int_N4NTLfEu"/>
      <w:r w:rsidRPr="00FB6756">
        <w:rPr>
          <w:rFonts w:ascii="Arial" w:eastAsiaTheme="minorEastAsia" w:hAnsi="Arial" w:cs="Arial"/>
          <w:color w:val="000000"/>
          <w:kern w:val="0"/>
          <w:lang w:eastAsia="en-GB"/>
          <w14:ligatures w14:val="none"/>
        </w:rPr>
        <w:t>were poorly received</w:t>
      </w:r>
      <w:bookmarkEnd w:id="64"/>
      <w:r w:rsidRPr="00FB6756">
        <w:rPr>
          <w:rFonts w:ascii="Arial" w:eastAsiaTheme="minorEastAsia" w:hAnsi="Arial" w:cs="Arial"/>
          <w:color w:val="000000"/>
          <w:kern w:val="0"/>
          <w:lang w:eastAsia="en-GB"/>
          <w14:ligatures w14:val="none"/>
        </w:rPr>
        <w:t xml:space="preserve"> by executive directors (Francis, 2013). However, the public inquiry did not formally diagnose individual managers using McGregor’s labels. Theory X serves as a conceptual lens for evaluating patterns of institutional control rather than forensic proof of leaders' personal motives.</w:t>
      </w:r>
    </w:p>
    <w:p w14:paraId="39A64DDD" w14:textId="14CB39FF" w:rsidR="005108B1" w:rsidRPr="00FB6756" w:rsidRDefault="005108B1" w:rsidP="00FB6756">
      <w:pPr>
        <w:spacing w:before="200"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 xml:space="preserve">Conversely, Theory Y suggests nurses, doctors, and allied health staff should have meaningful opportunities to </w:t>
      </w:r>
      <w:bookmarkStart w:id="65" w:name="_Int_cRK2wjhM"/>
      <w:r w:rsidRPr="00FB6756">
        <w:rPr>
          <w:rFonts w:ascii="Arial" w:eastAsiaTheme="minorEastAsia" w:hAnsi="Arial" w:cs="Arial"/>
          <w:color w:val="000000"/>
          <w:kern w:val="0"/>
          <w:lang w:eastAsia="en-GB"/>
          <w14:ligatures w14:val="none"/>
        </w:rPr>
        <w:t>identify</w:t>
      </w:r>
      <w:bookmarkEnd w:id="65"/>
      <w:r w:rsidRPr="00FB6756">
        <w:rPr>
          <w:rFonts w:ascii="Arial" w:eastAsiaTheme="minorEastAsia" w:hAnsi="Arial" w:cs="Arial"/>
          <w:color w:val="000000"/>
          <w:kern w:val="0"/>
          <w:lang w:eastAsia="en-GB"/>
          <w14:ligatures w14:val="none"/>
        </w:rPr>
        <w:t xml:space="preserve"> clinical hazards and shape operational solutions. Frontline empowerment could have strengthened the flow of vital information from hospital wards to the executive board. Yet empowerment without adequate staffing, </w:t>
      </w:r>
      <w:r w:rsidR="001324A8" w:rsidRPr="00FB6756">
        <w:rPr>
          <w:rFonts w:ascii="Arial" w:eastAsiaTheme="minorEastAsia" w:hAnsi="Arial" w:cs="Arial"/>
          <w:color w:val="000000"/>
          <w:kern w:val="0"/>
          <w:lang w:eastAsia="en-GB"/>
          <w14:ligatures w14:val="none"/>
        </w:rPr>
        <w:t>specialised</w:t>
      </w:r>
      <w:r w:rsidRPr="00FB6756">
        <w:rPr>
          <w:rFonts w:ascii="Arial" w:eastAsiaTheme="minorEastAsia" w:hAnsi="Arial" w:cs="Arial"/>
          <w:color w:val="000000"/>
          <w:kern w:val="0"/>
          <w:lang w:eastAsia="en-GB"/>
          <w14:ligatures w14:val="none"/>
        </w:rPr>
        <w:t xml:space="preserve"> training, or formal response mechanisms </w:t>
      </w:r>
      <w:bookmarkStart w:id="66" w:name="_Int_Gvpxb0Je"/>
      <w:r w:rsidRPr="00FB6756">
        <w:rPr>
          <w:rFonts w:ascii="Arial" w:eastAsiaTheme="minorEastAsia" w:hAnsi="Arial" w:cs="Arial"/>
          <w:color w:val="000000"/>
          <w:kern w:val="0"/>
          <w:lang w:eastAsia="en-GB"/>
          <w14:ligatures w14:val="none"/>
        </w:rPr>
        <w:t>remains</w:t>
      </w:r>
      <w:bookmarkEnd w:id="66"/>
      <w:r w:rsidRPr="00FB6756">
        <w:rPr>
          <w:rFonts w:ascii="Arial" w:eastAsiaTheme="minorEastAsia" w:hAnsi="Arial" w:cs="Arial"/>
          <w:color w:val="000000"/>
          <w:kern w:val="0"/>
          <w:lang w:eastAsia="en-GB"/>
          <w14:ligatures w14:val="none"/>
        </w:rPr>
        <w:t xml:space="preserve"> purely symbolic. Edmondson (1999) highlights the crucial role of psychological safety in team learning: healthcare employees </w:t>
      </w:r>
      <w:bookmarkStart w:id="67" w:name="_Int_FBDYKMiA"/>
      <w:r w:rsidRPr="00FB6756">
        <w:rPr>
          <w:rFonts w:ascii="Arial" w:eastAsiaTheme="minorEastAsia" w:hAnsi="Arial" w:cs="Arial"/>
          <w:color w:val="000000"/>
          <w:kern w:val="0"/>
          <w:lang w:eastAsia="en-GB"/>
          <w14:ligatures w14:val="none"/>
        </w:rPr>
        <w:t>require</w:t>
      </w:r>
      <w:bookmarkEnd w:id="67"/>
      <w:r w:rsidRPr="00FB6756">
        <w:rPr>
          <w:rFonts w:ascii="Arial" w:eastAsiaTheme="minorEastAsia" w:hAnsi="Arial" w:cs="Arial"/>
          <w:color w:val="000000"/>
          <w:kern w:val="0"/>
          <w:lang w:eastAsia="en-GB"/>
          <w14:ligatures w14:val="none"/>
        </w:rPr>
        <w:t xml:space="preserve"> absolute confidence that speaking up or raising safety concerns will not expose them to managerial humiliation, professional isolation, or disciplinary punishment. While current NHS Staff Survey metrics and Freedom to Speak Up mechanisms track this climate, historical evidence at Stafford Hospital indicated that pervasive fear stifled the clinical voice.</w:t>
      </w:r>
    </w:p>
    <w:p w14:paraId="3C05DD0B" w14:textId="77777777" w:rsidR="005108B1" w:rsidRPr="00FB6756" w:rsidRDefault="005108B1" w:rsidP="00FB6756">
      <w:pPr>
        <w:pStyle w:val="Heading1"/>
        <w:spacing w:line="360" w:lineRule="auto"/>
        <w:rPr>
          <w:rFonts w:ascii="Arial" w:eastAsiaTheme="minorEastAsia" w:hAnsi="Arial" w:cs="Arial"/>
          <w:lang w:eastAsia="en-GB"/>
        </w:rPr>
      </w:pPr>
      <w:r w:rsidRPr="00FB6756">
        <w:rPr>
          <w:rFonts w:ascii="Arial" w:eastAsiaTheme="minorEastAsia" w:hAnsi="Arial" w:cs="Arial"/>
          <w:lang w:eastAsia="en-GB"/>
        </w:rPr>
        <w:t>2.3.2 Ouchi’s Theory Z</w:t>
      </w:r>
    </w:p>
    <w:p w14:paraId="79D30764" w14:textId="77777777" w:rsidR="00FB5C3D" w:rsidRDefault="005108B1" w:rsidP="002C01B6">
      <w:pPr>
        <w:spacing w:before="227"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Ouchi’s (1981) Theory Z stresses trust, collective commitment, participatory decision-making, and stable long-term employment relationships. Applied critically to healthcare, Theory Z supports multidisciplinary patient safety meetings, stable ward-level working relationships, and meaningful patient co-design (Gandhi, Feeley and Schummers, 2020). Nevertheless, purely consensus-based decision-making can inadvertently delay urgent clinical interventions or obscure professional boundaries. A hospital cannot allow collegial harmony to compromise individual clinical duties or rapid escalation; the strongest application integrates participatory decision-making with explicit individual accountability.</w:t>
      </w:r>
    </w:p>
    <w:p w14:paraId="48D0923D" w14:textId="164896EF" w:rsidR="0015085E" w:rsidRPr="002C01B6" w:rsidRDefault="002C01B6" w:rsidP="002C01B6">
      <w:pPr>
        <w:spacing w:before="227" w:after="0" w:line="360" w:lineRule="auto"/>
        <w:rPr>
          <w:rFonts w:ascii="Arial" w:eastAsiaTheme="minorEastAsia" w:hAnsi="Arial" w:cs="Arial"/>
          <w:color w:val="000000"/>
          <w:kern w:val="0"/>
          <w:lang w:eastAsia="en-GB"/>
          <w14:ligatures w14:val="none"/>
        </w:rPr>
      </w:pPr>
      <w:r>
        <w:rPr>
          <w:noProof/>
        </w:rPr>
        <w:drawing>
          <wp:anchor distT="0" distB="0" distL="114300" distR="114300" simplePos="0" relativeHeight="251658244" behindDoc="0" locked="0" layoutInCell="1" allowOverlap="1" wp14:anchorId="1EF4171E" wp14:editId="55E9DADF">
            <wp:simplePos x="0" y="0"/>
            <wp:positionH relativeFrom="margin">
              <wp:align>right</wp:align>
            </wp:positionH>
            <wp:positionV relativeFrom="paragraph">
              <wp:posOffset>57150</wp:posOffset>
            </wp:positionV>
            <wp:extent cx="6645910" cy="4737100"/>
            <wp:effectExtent l="0" t="0" r="2540" b="6350"/>
            <wp:wrapTopAndBottom/>
            <wp:docPr id="535606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606115" name=""/>
                    <pic:cNvPicPr/>
                  </pic:nvPicPr>
                  <pic:blipFill>
                    <a:blip r:embed="rId14"/>
                    <a:stretch>
                      <a:fillRect/>
                    </a:stretch>
                  </pic:blipFill>
                  <pic:spPr>
                    <a:xfrm>
                      <a:off x="0" y="0"/>
                      <a:ext cx="6645910" cy="4737100"/>
                    </a:xfrm>
                    <a:prstGeom prst="rect">
                      <a:avLst/>
                    </a:prstGeom>
                  </pic:spPr>
                </pic:pic>
              </a:graphicData>
            </a:graphic>
            <wp14:sizeRelV relativeFrom="margin">
              <wp14:pctHeight>0</wp14:pctHeight>
            </wp14:sizeRelV>
          </wp:anchor>
        </w:drawing>
      </w:r>
    </w:p>
    <w:p w14:paraId="4B8716F5" w14:textId="77777777" w:rsidR="0015085E" w:rsidRDefault="0015085E" w:rsidP="007C5A2A">
      <w:pPr>
        <w:spacing w:line="360" w:lineRule="auto"/>
        <w:rPr>
          <w:rFonts w:ascii="Arial" w:hAnsi="Arial" w:cs="Arial"/>
        </w:rPr>
      </w:pPr>
    </w:p>
    <w:tbl>
      <w:tblPr>
        <w:tblStyle w:val="TableGrid"/>
        <w:tblW w:w="0" w:type="auto"/>
        <w:tblLook w:val="04A0" w:firstRow="1" w:lastRow="0" w:firstColumn="1" w:lastColumn="0" w:noHBand="0" w:noVBand="1"/>
      </w:tblPr>
      <w:tblGrid>
        <w:gridCol w:w="10456"/>
      </w:tblGrid>
      <w:tr w:rsidR="009C72FE" w14:paraId="47924AAE" w14:textId="77777777" w:rsidTr="009C72FE">
        <w:tc>
          <w:tcPr>
            <w:tcW w:w="10456" w:type="dxa"/>
          </w:tcPr>
          <w:p w14:paraId="2A4C2E20" w14:textId="3809EDCF" w:rsidR="009C72FE" w:rsidRPr="00105CB5" w:rsidRDefault="007D79AF" w:rsidP="007C5A2A">
            <w:pPr>
              <w:spacing w:line="360" w:lineRule="auto"/>
              <w:rPr>
                <w:rFonts w:ascii="Arial" w:hAnsi="Arial" w:cs="Arial"/>
                <w:b/>
                <w:bCs/>
              </w:rPr>
            </w:pPr>
            <w:r>
              <w:rPr>
                <w:rFonts w:ascii="Arial" w:hAnsi="Arial" w:cs="Arial"/>
                <w:b/>
                <w:bCs/>
              </w:rPr>
              <w:t xml:space="preserve">Figure </w:t>
            </w:r>
            <w:r w:rsidR="00830512">
              <w:rPr>
                <w:rFonts w:ascii="Arial" w:hAnsi="Arial" w:cs="Arial"/>
                <w:b/>
                <w:bCs/>
              </w:rPr>
              <w:t>3:</w:t>
            </w:r>
            <w:r w:rsidR="001767B2" w:rsidRPr="00713F97">
              <w:rPr>
                <w:rFonts w:ascii="Arial" w:hAnsi="Arial" w:cs="Arial"/>
                <w:b/>
                <w:bCs/>
              </w:rPr>
              <w:t xml:space="preserve"> </w:t>
            </w:r>
            <w:r w:rsidR="00713F97" w:rsidRPr="00713F97">
              <w:rPr>
                <w:rFonts w:ascii="Arial" w:hAnsi="Arial" w:cs="Arial"/>
                <w:b/>
                <w:bCs/>
              </w:rPr>
              <w:t>The figure presents seven key characteristics of Theory Z:</w:t>
            </w:r>
          </w:p>
        </w:tc>
      </w:tr>
    </w:tbl>
    <w:p w14:paraId="44608816" w14:textId="77777777" w:rsidR="00872693" w:rsidRPr="007C5A2A" w:rsidRDefault="00872693" w:rsidP="007C5A2A">
      <w:pPr>
        <w:spacing w:line="360" w:lineRule="auto"/>
        <w:rPr>
          <w:rFonts w:ascii="Arial" w:hAnsi="Arial" w:cs="Arial"/>
        </w:rPr>
      </w:pPr>
    </w:p>
    <w:p w14:paraId="02133DE6" w14:textId="0A0E3E29" w:rsidR="009E3FFE" w:rsidRDefault="009E3FFE" w:rsidP="008F592B">
      <w:pPr>
        <w:pStyle w:val="Heading1"/>
        <w:rPr>
          <w:rFonts w:ascii="Arial" w:hAnsi="Arial" w:cs="Arial"/>
        </w:rPr>
      </w:pPr>
      <w:bookmarkStart w:id="68" w:name="_Toc242861708"/>
      <w:bookmarkStart w:id="69" w:name="_Toc242863182"/>
      <w:r w:rsidRPr="008F592B">
        <w:rPr>
          <w:rFonts w:ascii="Arial" w:hAnsi="Arial" w:cs="Arial"/>
        </w:rPr>
        <w:t>2.3.3 B</w:t>
      </w:r>
      <w:r w:rsidR="00DB3FD6" w:rsidRPr="008F592B">
        <w:rPr>
          <w:rFonts w:ascii="Arial" w:hAnsi="Arial" w:cs="Arial"/>
        </w:rPr>
        <w:t>ehaviou</w:t>
      </w:r>
      <w:r w:rsidR="00F962E9" w:rsidRPr="008F592B">
        <w:rPr>
          <w:rFonts w:ascii="Arial" w:hAnsi="Arial" w:cs="Arial"/>
        </w:rPr>
        <w:t xml:space="preserve">ral </w:t>
      </w:r>
      <w:r w:rsidR="00FB6BB1" w:rsidRPr="008F592B">
        <w:rPr>
          <w:rFonts w:ascii="Arial" w:hAnsi="Arial" w:cs="Arial"/>
        </w:rPr>
        <w:t>Leadership</w:t>
      </w:r>
      <w:r w:rsidR="009854BB" w:rsidRPr="008F592B">
        <w:rPr>
          <w:rFonts w:ascii="Arial" w:hAnsi="Arial" w:cs="Arial"/>
        </w:rPr>
        <w:t xml:space="preserve"> Theory</w:t>
      </w:r>
      <w:bookmarkEnd w:id="68"/>
      <w:bookmarkEnd w:id="69"/>
    </w:p>
    <w:p w14:paraId="0D0A3736" w14:textId="45274C5C" w:rsidR="007C4223" w:rsidRPr="00FB6756" w:rsidRDefault="007C4223" w:rsidP="00FB6756">
      <w:pPr>
        <w:spacing w:before="227"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 xml:space="preserve">Behavioural leadership theory focuses on what leaders do rather than their innate traits. The Ohio State leadership studies distinguished initiating structure (task orientation) from consideration (relational support), while Blake and Mouton (1964) balanced concern for production against concern for people on their Managerial Grid. Mid Staffordshire illustrates the catastrophic risks of </w:t>
      </w:r>
      <w:r w:rsidR="001324A8" w:rsidRPr="00FB6756">
        <w:rPr>
          <w:rFonts w:ascii="Arial" w:eastAsiaTheme="minorEastAsia" w:hAnsi="Arial" w:cs="Arial"/>
          <w:color w:val="000000"/>
          <w:kern w:val="0"/>
          <w:lang w:eastAsia="en-GB"/>
          <w14:ligatures w14:val="none"/>
        </w:rPr>
        <w:t>prioritising</w:t>
      </w:r>
      <w:r w:rsidRPr="00FB6756">
        <w:rPr>
          <w:rFonts w:ascii="Arial" w:eastAsiaTheme="minorEastAsia" w:hAnsi="Arial" w:cs="Arial"/>
          <w:color w:val="000000"/>
          <w:kern w:val="0"/>
          <w:lang w:eastAsia="en-GB"/>
          <w14:ligatures w14:val="none"/>
        </w:rPr>
        <w:t xml:space="preserve"> measurable operational metrics and short-term financial targets over patient dignity, interprofessional relationships, and frontline care narratives. Executive leaders </w:t>
      </w:r>
      <w:bookmarkStart w:id="70" w:name="_Int_Uue7f663"/>
      <w:r w:rsidRPr="00FB6756">
        <w:rPr>
          <w:rFonts w:ascii="Arial" w:eastAsiaTheme="minorEastAsia" w:hAnsi="Arial" w:cs="Arial"/>
          <w:color w:val="000000"/>
          <w:kern w:val="0"/>
          <w:lang w:eastAsia="en-GB"/>
          <w14:ligatures w14:val="none"/>
        </w:rPr>
        <w:t>operated</w:t>
      </w:r>
      <w:bookmarkEnd w:id="70"/>
      <w:r w:rsidRPr="00FB6756">
        <w:rPr>
          <w:rFonts w:ascii="Arial" w:eastAsiaTheme="minorEastAsia" w:hAnsi="Arial" w:cs="Arial"/>
          <w:color w:val="000000"/>
          <w:kern w:val="0"/>
          <w:lang w:eastAsia="en-GB"/>
          <w14:ligatures w14:val="none"/>
        </w:rPr>
        <w:t xml:space="preserve"> in a reactive, command-driven style, focusing narrowly on securing Foundation Trust status and achieving four-hour emergency department targets while systematically neglecting relational support for ward staff.</w:t>
      </w:r>
    </w:p>
    <w:p w14:paraId="5FF8CD1C" w14:textId="77777777" w:rsidR="00BD5928" w:rsidRDefault="007C4223" w:rsidP="00FB6756">
      <w:pPr>
        <w:spacing w:before="200"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 xml:space="preserve">However, a purely relationship-focused leadership style is equally inadequate in complex clinical environments: staff </w:t>
      </w:r>
      <w:bookmarkStart w:id="71" w:name="_Int_11kTvNFf"/>
      <w:r w:rsidRPr="00FB6756">
        <w:rPr>
          <w:rFonts w:ascii="Arial" w:eastAsiaTheme="minorEastAsia" w:hAnsi="Arial" w:cs="Arial"/>
          <w:color w:val="000000"/>
          <w:kern w:val="0"/>
          <w:lang w:eastAsia="en-GB"/>
          <w14:ligatures w14:val="none"/>
        </w:rPr>
        <w:t>require</w:t>
      </w:r>
      <w:bookmarkEnd w:id="71"/>
      <w:r w:rsidRPr="00FB6756">
        <w:rPr>
          <w:rFonts w:ascii="Arial" w:eastAsiaTheme="minorEastAsia" w:hAnsi="Arial" w:cs="Arial"/>
          <w:color w:val="000000"/>
          <w:kern w:val="0"/>
          <w:lang w:eastAsia="en-GB"/>
          <w14:ligatures w14:val="none"/>
        </w:rPr>
        <w:t xml:space="preserve"> clear clinical standards, </w:t>
      </w:r>
      <w:r w:rsidR="001324A8" w:rsidRPr="00FB6756">
        <w:rPr>
          <w:rFonts w:ascii="Arial" w:eastAsiaTheme="minorEastAsia" w:hAnsi="Arial" w:cs="Arial"/>
          <w:color w:val="000000"/>
          <w:kern w:val="0"/>
          <w:lang w:eastAsia="en-GB"/>
          <w14:ligatures w14:val="none"/>
        </w:rPr>
        <w:t>standardised</w:t>
      </w:r>
      <w:r w:rsidRPr="00FB6756">
        <w:rPr>
          <w:rFonts w:ascii="Arial" w:eastAsiaTheme="minorEastAsia" w:hAnsi="Arial" w:cs="Arial"/>
          <w:color w:val="000000"/>
          <w:kern w:val="0"/>
          <w:lang w:eastAsia="en-GB"/>
          <w14:ligatures w14:val="none"/>
        </w:rPr>
        <w:t xml:space="preserve"> escalation protocols, and decisive supervisory oversight. The </w:t>
      </w:r>
      <w:bookmarkStart w:id="72" w:name="_Int_aaRmU59V"/>
      <w:r w:rsidRPr="00FB6756">
        <w:rPr>
          <w:rFonts w:ascii="Arial" w:eastAsiaTheme="minorEastAsia" w:hAnsi="Arial" w:cs="Arial"/>
          <w:color w:val="000000"/>
          <w:kern w:val="0"/>
          <w:lang w:eastAsia="en-GB"/>
          <w14:ligatures w14:val="none"/>
        </w:rPr>
        <w:t>optimal</w:t>
      </w:r>
      <w:bookmarkEnd w:id="72"/>
      <w:r w:rsidRPr="00FB6756">
        <w:rPr>
          <w:rFonts w:ascii="Arial" w:eastAsiaTheme="minorEastAsia" w:hAnsi="Arial" w:cs="Arial"/>
          <w:color w:val="000000"/>
          <w:kern w:val="0"/>
          <w:lang w:eastAsia="en-GB"/>
          <w14:ligatures w14:val="none"/>
        </w:rPr>
        <w:t xml:space="preserve"> behavioural goal is a high concern for both operational performance and </w:t>
      </w:r>
    </w:p>
    <w:p w14:paraId="79EE59C0" w14:textId="77777777" w:rsidR="00BD5928" w:rsidRDefault="00BD5928" w:rsidP="00FB6756">
      <w:pPr>
        <w:spacing w:before="200" w:after="0" w:line="360" w:lineRule="auto"/>
        <w:rPr>
          <w:rFonts w:ascii="Arial" w:eastAsiaTheme="minorEastAsia" w:hAnsi="Arial" w:cs="Arial"/>
          <w:color w:val="000000"/>
          <w:kern w:val="0"/>
          <w:lang w:eastAsia="en-GB"/>
          <w14:ligatures w14:val="none"/>
        </w:rPr>
      </w:pPr>
    </w:p>
    <w:p w14:paraId="5BF4C68B" w14:textId="66E1A7C7" w:rsidR="007C4223" w:rsidRPr="00FB6756" w:rsidRDefault="007C4223" w:rsidP="00FB6756">
      <w:pPr>
        <w:spacing w:before="200"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 xml:space="preserve">human care, positioning patient safety as the primary performance outcome rather than a distraction from </w:t>
      </w:r>
      <w:r w:rsidR="001324A8" w:rsidRPr="00FB6756">
        <w:rPr>
          <w:rFonts w:ascii="Arial" w:eastAsiaTheme="minorEastAsia" w:hAnsi="Arial" w:cs="Arial"/>
          <w:color w:val="000000"/>
          <w:kern w:val="0"/>
          <w:lang w:eastAsia="en-GB"/>
          <w14:ligatures w14:val="none"/>
        </w:rPr>
        <w:t>economic</w:t>
      </w:r>
      <w:r w:rsidRPr="00FB6756">
        <w:rPr>
          <w:rFonts w:ascii="Arial" w:eastAsiaTheme="minorEastAsia" w:hAnsi="Arial" w:cs="Arial"/>
          <w:color w:val="000000"/>
          <w:kern w:val="0"/>
          <w:lang w:eastAsia="en-GB"/>
          <w14:ligatures w14:val="none"/>
        </w:rPr>
        <w:t xml:space="preserve"> management. Behavioural evidence should </w:t>
      </w:r>
      <w:bookmarkStart w:id="73" w:name="_Int_sBVyBQLF"/>
      <w:r w:rsidRPr="00FB6756">
        <w:rPr>
          <w:rFonts w:ascii="Arial" w:eastAsiaTheme="minorEastAsia" w:hAnsi="Arial" w:cs="Arial"/>
          <w:color w:val="000000"/>
          <w:kern w:val="0"/>
          <w:lang w:eastAsia="en-GB"/>
          <w14:ligatures w14:val="none"/>
        </w:rPr>
        <w:t>be evaluated</w:t>
      </w:r>
      <w:bookmarkEnd w:id="73"/>
      <w:r w:rsidRPr="00FB6756">
        <w:rPr>
          <w:rFonts w:ascii="Arial" w:eastAsiaTheme="minorEastAsia" w:hAnsi="Arial" w:cs="Arial"/>
          <w:color w:val="000000"/>
          <w:kern w:val="0"/>
          <w:lang w:eastAsia="en-GB"/>
          <w14:ligatures w14:val="none"/>
        </w:rPr>
        <w:t xml:space="preserve"> through executive walk-rounds, complaint handling, staffing decisions, and </w:t>
      </w:r>
      <w:bookmarkStart w:id="74" w:name="_Int_mwUAwbfP"/>
      <w:r w:rsidRPr="00FB6756">
        <w:rPr>
          <w:rFonts w:ascii="Arial" w:eastAsiaTheme="minorEastAsia" w:hAnsi="Arial" w:cs="Arial"/>
          <w:color w:val="000000"/>
          <w:kern w:val="0"/>
          <w:lang w:eastAsia="en-GB"/>
          <w14:ligatures w14:val="none"/>
        </w:rPr>
        <w:t>demonstrated</w:t>
      </w:r>
      <w:bookmarkEnd w:id="74"/>
      <w:r w:rsidRPr="00FB6756">
        <w:rPr>
          <w:rFonts w:ascii="Arial" w:eastAsiaTheme="minorEastAsia" w:hAnsi="Arial" w:cs="Arial"/>
          <w:color w:val="000000"/>
          <w:kern w:val="0"/>
          <w:lang w:eastAsia="en-GB"/>
          <w14:ligatures w14:val="none"/>
        </w:rPr>
        <w:t xml:space="preserve"> follow-through on reported risks. West et al. (2014) argue that collective, compassionate leadership drives sustained improvement, but visible compassion without formal governance authority cannot reallocate budgets or fix unsafe workflows.</w:t>
      </w:r>
    </w:p>
    <w:p w14:paraId="13CB9287" w14:textId="77777777" w:rsidR="008F592B" w:rsidRPr="00FB6756" w:rsidRDefault="008F592B" w:rsidP="00FB6756">
      <w:pPr>
        <w:spacing w:line="360" w:lineRule="auto"/>
        <w:rPr>
          <w:rFonts w:ascii="Arial" w:hAnsi="Arial" w:cs="Arial"/>
        </w:rPr>
      </w:pPr>
    </w:p>
    <w:p w14:paraId="38C8C1DC" w14:textId="4C85075B" w:rsidR="00A97CBB" w:rsidRPr="00D119EC" w:rsidRDefault="000D733F" w:rsidP="007C5A2A">
      <w:pPr>
        <w:spacing w:line="360" w:lineRule="auto"/>
      </w:pPr>
      <w:r>
        <w:rPr>
          <w:noProof/>
        </w:rPr>
        <w:drawing>
          <wp:anchor distT="0" distB="0" distL="114300" distR="114300" simplePos="0" relativeHeight="251658245" behindDoc="0" locked="0" layoutInCell="1" allowOverlap="1" wp14:anchorId="1F41B999" wp14:editId="4336DE60">
            <wp:simplePos x="0" y="0"/>
            <wp:positionH relativeFrom="column">
              <wp:posOffset>0</wp:posOffset>
            </wp:positionH>
            <wp:positionV relativeFrom="paragraph">
              <wp:posOffset>113665</wp:posOffset>
            </wp:positionV>
            <wp:extent cx="6645910" cy="4076065"/>
            <wp:effectExtent l="0" t="0" r="0" b="635"/>
            <wp:wrapTopAndBottom/>
            <wp:docPr id="1143962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962041" name=""/>
                    <pic:cNvPicPr/>
                  </pic:nvPicPr>
                  <pic:blipFill>
                    <a:blip r:embed="rId15"/>
                    <a:stretch>
                      <a:fillRect/>
                    </a:stretch>
                  </pic:blipFill>
                  <pic:spPr>
                    <a:xfrm>
                      <a:off x="0" y="0"/>
                      <a:ext cx="6645910" cy="4076065"/>
                    </a:xfrm>
                    <a:prstGeom prst="rect">
                      <a:avLst/>
                    </a:prstGeom>
                  </pic:spPr>
                </pic:pic>
              </a:graphicData>
            </a:graphic>
            <wp14:sizeRelV relativeFrom="margin">
              <wp14:pctHeight>0</wp14:pctHeight>
            </wp14:sizeRelV>
          </wp:anchor>
        </w:drawing>
      </w:r>
    </w:p>
    <w:p w14:paraId="15E8C797" w14:textId="77777777" w:rsidR="007B0A42" w:rsidRDefault="007B0A42" w:rsidP="007C5A2A">
      <w:pPr>
        <w:spacing w:line="360" w:lineRule="auto"/>
        <w:rPr>
          <w:rFonts w:ascii="Arial" w:hAnsi="Arial" w:cs="Arial"/>
        </w:rPr>
      </w:pPr>
    </w:p>
    <w:tbl>
      <w:tblPr>
        <w:tblStyle w:val="TableGrid"/>
        <w:tblW w:w="0" w:type="auto"/>
        <w:tblLook w:val="04A0" w:firstRow="1" w:lastRow="0" w:firstColumn="1" w:lastColumn="0" w:noHBand="0" w:noVBand="1"/>
      </w:tblPr>
      <w:tblGrid>
        <w:gridCol w:w="10456"/>
      </w:tblGrid>
      <w:tr w:rsidR="0056723F" w14:paraId="0270BC78" w14:textId="77777777" w:rsidTr="0056723F">
        <w:tc>
          <w:tcPr>
            <w:tcW w:w="10456" w:type="dxa"/>
          </w:tcPr>
          <w:p w14:paraId="15B601D3" w14:textId="0774FD45" w:rsidR="0056723F" w:rsidRPr="00105CB5" w:rsidRDefault="0056723F" w:rsidP="007C5A2A">
            <w:pPr>
              <w:spacing w:line="360" w:lineRule="auto"/>
              <w:rPr>
                <w:rFonts w:ascii="Arial" w:hAnsi="Arial" w:cs="Arial"/>
                <w:b/>
                <w:bCs/>
              </w:rPr>
            </w:pPr>
            <w:r w:rsidRPr="00105CB5">
              <w:rPr>
                <w:rFonts w:ascii="Arial" w:hAnsi="Arial" w:cs="Arial"/>
                <w:b/>
                <w:bCs/>
              </w:rPr>
              <w:t xml:space="preserve">Figure </w:t>
            </w:r>
            <w:r w:rsidR="00EB586A" w:rsidRPr="00105CB5">
              <w:rPr>
                <w:rFonts w:ascii="Arial" w:hAnsi="Arial" w:cs="Arial"/>
                <w:b/>
                <w:bCs/>
              </w:rPr>
              <w:t>4:</w:t>
            </w:r>
            <w:r w:rsidR="00EB586A" w:rsidRPr="00EB32A9">
              <w:rPr>
                <w:rFonts w:ascii="Arial" w:hAnsi="Arial" w:cs="Arial"/>
              </w:rPr>
              <w:t xml:space="preserve"> Conceptual</w:t>
            </w:r>
            <w:r w:rsidR="007859A1" w:rsidRPr="00EB32A9">
              <w:rPr>
                <w:rFonts w:ascii="Arial" w:hAnsi="Arial" w:cs="Arial"/>
              </w:rPr>
              <w:t xml:space="preserve"> F</w:t>
            </w:r>
            <w:r w:rsidR="00892DBE" w:rsidRPr="00EB32A9">
              <w:rPr>
                <w:rFonts w:ascii="Arial" w:hAnsi="Arial" w:cs="Arial"/>
              </w:rPr>
              <w:t>ramework for Be</w:t>
            </w:r>
            <w:r w:rsidR="00334309" w:rsidRPr="00EB32A9">
              <w:rPr>
                <w:rFonts w:ascii="Arial" w:hAnsi="Arial" w:cs="Arial"/>
              </w:rPr>
              <w:t>haviour</w:t>
            </w:r>
            <w:r w:rsidR="0003389A" w:rsidRPr="00EB32A9">
              <w:rPr>
                <w:rFonts w:ascii="Arial" w:hAnsi="Arial" w:cs="Arial"/>
              </w:rPr>
              <w:t>al Theo</w:t>
            </w:r>
            <w:r w:rsidR="00EB32A9" w:rsidRPr="00EB32A9">
              <w:rPr>
                <w:rFonts w:ascii="Arial" w:hAnsi="Arial" w:cs="Arial"/>
              </w:rPr>
              <w:t xml:space="preserve">ries </w:t>
            </w:r>
            <w:r w:rsidR="001A3914" w:rsidRPr="00EB32A9">
              <w:rPr>
                <w:rFonts w:ascii="Arial" w:hAnsi="Arial" w:cs="Arial"/>
              </w:rPr>
              <w:t>of Lead</w:t>
            </w:r>
            <w:r w:rsidR="00A704BE" w:rsidRPr="00EB32A9">
              <w:rPr>
                <w:rFonts w:ascii="Arial" w:hAnsi="Arial" w:cs="Arial"/>
              </w:rPr>
              <w:t>ership</w:t>
            </w:r>
            <w:r w:rsidR="00A704BE">
              <w:rPr>
                <w:rFonts w:ascii="Arial" w:hAnsi="Arial" w:cs="Arial"/>
                <w:b/>
                <w:bCs/>
              </w:rPr>
              <w:t xml:space="preserve"> </w:t>
            </w:r>
          </w:p>
        </w:tc>
      </w:tr>
    </w:tbl>
    <w:p w14:paraId="2CFC7384" w14:textId="77777777" w:rsidR="00DC45AF" w:rsidRDefault="00DC45AF" w:rsidP="00D366E1">
      <w:pPr>
        <w:pStyle w:val="Heading1"/>
        <w:rPr>
          <w:rFonts w:ascii="Arial" w:hAnsi="Arial" w:cs="Arial"/>
        </w:rPr>
      </w:pPr>
      <w:bookmarkStart w:id="75" w:name="_Toc242861709"/>
      <w:bookmarkStart w:id="76" w:name="_Toc242863183"/>
    </w:p>
    <w:p w14:paraId="74ACB726" w14:textId="431C3A7C" w:rsidR="00A97CBB" w:rsidRDefault="000C244C" w:rsidP="00D366E1">
      <w:pPr>
        <w:pStyle w:val="Heading1"/>
        <w:rPr>
          <w:rFonts w:ascii="Arial" w:hAnsi="Arial" w:cs="Arial"/>
        </w:rPr>
      </w:pPr>
      <w:r w:rsidRPr="00D366E1">
        <w:rPr>
          <w:rFonts w:ascii="Arial" w:hAnsi="Arial" w:cs="Arial"/>
        </w:rPr>
        <w:t>2.3.4</w:t>
      </w:r>
      <w:r w:rsidR="00AD1450" w:rsidRPr="00D366E1">
        <w:rPr>
          <w:rFonts w:ascii="Arial" w:hAnsi="Arial" w:cs="Arial"/>
        </w:rPr>
        <w:t xml:space="preserve"> Con</w:t>
      </w:r>
      <w:r w:rsidR="00974F6B" w:rsidRPr="00D366E1">
        <w:rPr>
          <w:rFonts w:ascii="Arial" w:hAnsi="Arial" w:cs="Arial"/>
        </w:rPr>
        <w:t>tin</w:t>
      </w:r>
      <w:r w:rsidR="00F76658" w:rsidRPr="00D366E1">
        <w:rPr>
          <w:rFonts w:ascii="Arial" w:hAnsi="Arial" w:cs="Arial"/>
        </w:rPr>
        <w:t>gency Leadership Theory</w:t>
      </w:r>
      <w:bookmarkEnd w:id="75"/>
      <w:bookmarkEnd w:id="76"/>
    </w:p>
    <w:p w14:paraId="497B1300" w14:textId="77777777" w:rsidR="001A1680" w:rsidRDefault="00133078" w:rsidP="00FB6756">
      <w:pPr>
        <w:spacing w:before="227"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 xml:space="preserve">Fiedler’s (1967) contingency theory proposes that leadership effectiveness depends on matching leader orientation to situational </w:t>
      </w:r>
      <w:r w:rsidR="002330EC" w:rsidRPr="00FB6756">
        <w:rPr>
          <w:rFonts w:ascii="Arial" w:eastAsiaTheme="minorEastAsia" w:hAnsi="Arial" w:cs="Arial"/>
          <w:color w:val="000000"/>
          <w:kern w:val="0"/>
          <w:lang w:eastAsia="en-GB"/>
          <w14:ligatures w14:val="none"/>
        </w:rPr>
        <w:t>favourableness</w:t>
      </w:r>
      <w:r w:rsidRPr="00FB6756">
        <w:rPr>
          <w:rFonts w:ascii="Arial" w:eastAsiaTheme="minorEastAsia" w:hAnsi="Arial" w:cs="Arial"/>
          <w:color w:val="000000"/>
          <w:kern w:val="0"/>
          <w:lang w:eastAsia="en-GB"/>
          <w14:ligatures w14:val="none"/>
        </w:rPr>
        <w:t xml:space="preserve">, </w:t>
      </w:r>
      <w:bookmarkStart w:id="77" w:name="_Int_Y92Y64FM"/>
      <w:r w:rsidRPr="00FB6756">
        <w:rPr>
          <w:rFonts w:ascii="Arial" w:eastAsiaTheme="minorEastAsia" w:hAnsi="Arial" w:cs="Arial"/>
          <w:color w:val="000000"/>
          <w:kern w:val="0"/>
          <w:lang w:eastAsia="en-GB"/>
          <w14:ligatures w14:val="none"/>
        </w:rPr>
        <w:t>determined</w:t>
      </w:r>
      <w:bookmarkEnd w:id="77"/>
      <w:r w:rsidRPr="00FB6756">
        <w:rPr>
          <w:rFonts w:ascii="Arial" w:eastAsiaTheme="minorEastAsia" w:hAnsi="Arial" w:cs="Arial"/>
          <w:color w:val="000000"/>
          <w:kern w:val="0"/>
          <w:lang w:eastAsia="en-GB"/>
          <w14:ligatures w14:val="none"/>
        </w:rPr>
        <w:t xml:space="preserve"> by leader-member relations, task structure, and positional power. In Mid Staffordshire, acute patient safety threats demanded immediate authority and rapid protective intervention; persistent patient complaints required investigative curiosity and collaborative </w:t>
      </w:r>
    </w:p>
    <w:p w14:paraId="132404DE" w14:textId="77777777" w:rsidR="001A1680" w:rsidRDefault="001A1680" w:rsidP="00FB6756">
      <w:pPr>
        <w:spacing w:before="227" w:after="0" w:line="360" w:lineRule="auto"/>
        <w:rPr>
          <w:rFonts w:ascii="Arial" w:eastAsiaTheme="minorEastAsia" w:hAnsi="Arial" w:cs="Arial"/>
          <w:color w:val="000000"/>
          <w:kern w:val="0"/>
          <w:lang w:eastAsia="en-GB"/>
          <w14:ligatures w14:val="none"/>
        </w:rPr>
      </w:pPr>
    </w:p>
    <w:p w14:paraId="230BAAC7" w14:textId="1194C3B1" w:rsidR="00133078" w:rsidRPr="00FB6756" w:rsidRDefault="00133078" w:rsidP="00FB6756">
      <w:pPr>
        <w:spacing w:before="227"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listening; long-term cultural repair needed widespread participation and trust. A rigid leadership style tailored for routine administrative performance proved inappropriate during an escalating clinical crisis.</w:t>
      </w:r>
    </w:p>
    <w:p w14:paraId="5246A9DA" w14:textId="77777777" w:rsidR="00AB2439" w:rsidRDefault="00AB2439" w:rsidP="00FB6756">
      <w:pPr>
        <w:spacing w:before="200" w:after="0" w:line="360" w:lineRule="auto"/>
        <w:rPr>
          <w:rFonts w:ascii="Arial" w:eastAsiaTheme="minorEastAsia" w:hAnsi="Arial" w:cs="Arial"/>
          <w:color w:val="000000"/>
          <w:kern w:val="0"/>
          <w:lang w:eastAsia="en-GB"/>
          <w14:ligatures w14:val="none"/>
        </w:rPr>
      </w:pPr>
    </w:p>
    <w:p w14:paraId="11A357E2" w14:textId="58A8796A" w:rsidR="00133078" w:rsidRPr="00FB6756" w:rsidRDefault="00133078" w:rsidP="00FB6756">
      <w:pPr>
        <w:spacing w:before="200"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 xml:space="preserve">Hersey, Blanchard, and Johnson (2013) provide a complementary situational approach </w:t>
      </w:r>
      <w:r w:rsidR="0040342F" w:rsidRPr="00FB6756">
        <w:rPr>
          <w:rFonts w:ascii="Arial" w:eastAsiaTheme="minorEastAsia" w:hAnsi="Arial" w:cs="Arial"/>
          <w:color w:val="000000"/>
          <w:kern w:val="0"/>
          <w:lang w:eastAsia="en-GB"/>
          <w14:ligatures w14:val="none"/>
        </w:rPr>
        <w:t>emphasising</w:t>
      </w:r>
      <w:r w:rsidRPr="00FB6756">
        <w:rPr>
          <w:rFonts w:ascii="Arial" w:eastAsiaTheme="minorEastAsia" w:hAnsi="Arial" w:cs="Arial"/>
          <w:color w:val="000000"/>
          <w:kern w:val="0"/>
          <w:lang w:eastAsia="en-GB"/>
          <w14:ligatures w14:val="none"/>
        </w:rPr>
        <w:t xml:space="preserve"> flexible adjustments in task direction and emotional support based on follower maturity. Rather than expecting a single executive to switch styles seamlessly, boards should construct leadership teams with complementary capabilities. During a crisis, decisive operational action must pair with open clinical challenge; during recovery, participation should coexist with transparent performance milestones.</w:t>
      </w:r>
    </w:p>
    <w:p w14:paraId="11FEBA70" w14:textId="77777777" w:rsidR="00383244" w:rsidRPr="00383244" w:rsidRDefault="00383244" w:rsidP="00383244"/>
    <w:p w14:paraId="224332F2" w14:textId="20556612" w:rsidR="000C518D" w:rsidRDefault="006C1C34" w:rsidP="007C5A2A">
      <w:pPr>
        <w:spacing w:line="360" w:lineRule="auto"/>
        <w:rPr>
          <w:noProof/>
        </w:rPr>
      </w:pPr>
      <w:r>
        <w:rPr>
          <w:noProof/>
        </w:rPr>
        <w:drawing>
          <wp:anchor distT="0" distB="0" distL="114300" distR="114300" simplePos="0" relativeHeight="251658246" behindDoc="0" locked="0" layoutInCell="1" allowOverlap="1" wp14:anchorId="1FCCF3AA" wp14:editId="4EFF070D">
            <wp:simplePos x="0" y="0"/>
            <wp:positionH relativeFrom="margin">
              <wp:posOffset>-97790</wp:posOffset>
            </wp:positionH>
            <wp:positionV relativeFrom="paragraph">
              <wp:posOffset>344805</wp:posOffset>
            </wp:positionV>
            <wp:extent cx="6743700" cy="4480560"/>
            <wp:effectExtent l="0" t="0" r="0" b="0"/>
            <wp:wrapTopAndBottom/>
            <wp:docPr id="1139413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13822" name=""/>
                    <pic:cNvPicPr/>
                  </pic:nvPicPr>
                  <pic:blipFill>
                    <a:blip r:embed="rId16"/>
                    <a:stretch>
                      <a:fillRect/>
                    </a:stretch>
                  </pic:blipFill>
                  <pic:spPr>
                    <a:xfrm>
                      <a:off x="0" y="0"/>
                      <a:ext cx="6743700" cy="4480560"/>
                    </a:xfrm>
                    <a:prstGeom prst="rect">
                      <a:avLst/>
                    </a:prstGeom>
                  </pic:spPr>
                </pic:pic>
              </a:graphicData>
            </a:graphic>
            <wp14:sizeRelH relativeFrom="margin">
              <wp14:pctWidth>0</wp14:pctWidth>
            </wp14:sizeRelH>
            <wp14:sizeRelV relativeFrom="margin">
              <wp14:pctHeight>0</wp14:pctHeight>
            </wp14:sizeRelV>
          </wp:anchor>
        </w:drawing>
      </w:r>
    </w:p>
    <w:p w14:paraId="14B6E2E9" w14:textId="77777777" w:rsidR="000C518D" w:rsidRDefault="000C518D" w:rsidP="007C5A2A">
      <w:pPr>
        <w:spacing w:line="360" w:lineRule="auto"/>
        <w:rPr>
          <w:rFonts w:ascii="Arial" w:hAnsi="Arial" w:cs="Arial"/>
        </w:rPr>
      </w:pPr>
    </w:p>
    <w:tbl>
      <w:tblPr>
        <w:tblStyle w:val="TableGrid"/>
        <w:tblW w:w="0" w:type="auto"/>
        <w:tblLook w:val="04A0" w:firstRow="1" w:lastRow="0" w:firstColumn="1" w:lastColumn="0" w:noHBand="0" w:noVBand="1"/>
      </w:tblPr>
      <w:tblGrid>
        <w:gridCol w:w="10456"/>
      </w:tblGrid>
      <w:tr w:rsidR="00F969FC" w14:paraId="6EDB3947" w14:textId="77777777" w:rsidTr="00F969FC">
        <w:tc>
          <w:tcPr>
            <w:tcW w:w="10456" w:type="dxa"/>
          </w:tcPr>
          <w:p w14:paraId="35613FD9" w14:textId="42CB79E0" w:rsidR="00F969FC" w:rsidRPr="00105CB5" w:rsidRDefault="00F969FC" w:rsidP="007C5A2A">
            <w:pPr>
              <w:spacing w:line="360" w:lineRule="auto"/>
              <w:rPr>
                <w:rFonts w:ascii="Arial" w:hAnsi="Arial" w:cs="Arial"/>
                <w:b/>
                <w:bCs/>
              </w:rPr>
            </w:pPr>
            <w:r w:rsidRPr="00105CB5">
              <w:rPr>
                <w:rFonts w:ascii="Arial" w:hAnsi="Arial" w:cs="Arial"/>
                <w:b/>
                <w:bCs/>
              </w:rPr>
              <w:t xml:space="preserve">Figure </w:t>
            </w:r>
            <w:r w:rsidR="00EA785F" w:rsidRPr="00105CB5">
              <w:rPr>
                <w:rFonts w:ascii="Arial" w:hAnsi="Arial" w:cs="Arial"/>
                <w:b/>
                <w:bCs/>
              </w:rPr>
              <w:t>5</w:t>
            </w:r>
            <w:r w:rsidRPr="00105CB5">
              <w:rPr>
                <w:rFonts w:ascii="Arial" w:hAnsi="Arial" w:cs="Arial"/>
                <w:b/>
                <w:bCs/>
              </w:rPr>
              <w:t>:</w:t>
            </w:r>
            <w:r w:rsidR="006C1C34">
              <w:rPr>
                <w:rFonts w:ascii="Arial" w:hAnsi="Arial" w:cs="Arial"/>
                <w:b/>
                <w:bCs/>
              </w:rPr>
              <w:t xml:space="preserve"> </w:t>
            </w:r>
            <w:r w:rsidR="00241D24" w:rsidRPr="00CB3C42">
              <w:rPr>
                <w:rFonts w:ascii="Arial" w:hAnsi="Arial" w:cs="Arial"/>
              </w:rPr>
              <w:t xml:space="preserve">Above is a </w:t>
            </w:r>
            <w:r w:rsidR="009435DA" w:rsidRPr="00CB3C42">
              <w:rPr>
                <w:rFonts w:ascii="Arial" w:hAnsi="Arial" w:cs="Arial"/>
              </w:rPr>
              <w:t xml:space="preserve">visual </w:t>
            </w:r>
            <w:r w:rsidR="000A4B6E" w:rsidRPr="00CB3C42">
              <w:rPr>
                <w:rFonts w:ascii="Arial" w:hAnsi="Arial" w:cs="Arial"/>
              </w:rPr>
              <w:t>representation based on the concep</w:t>
            </w:r>
            <w:r w:rsidR="00DD1877" w:rsidRPr="00CB3C42">
              <w:rPr>
                <w:rFonts w:ascii="Arial" w:hAnsi="Arial" w:cs="Arial"/>
              </w:rPr>
              <w:t xml:space="preserve">ts of </w:t>
            </w:r>
            <w:r w:rsidR="00204DFB" w:rsidRPr="00CB3C42">
              <w:rPr>
                <w:rFonts w:ascii="Arial" w:hAnsi="Arial" w:cs="Arial"/>
              </w:rPr>
              <w:t>Fied</w:t>
            </w:r>
            <w:r w:rsidR="00CB3C42" w:rsidRPr="00CB3C42">
              <w:rPr>
                <w:rFonts w:ascii="Arial" w:hAnsi="Arial" w:cs="Arial"/>
              </w:rPr>
              <w:t>ler’s Contingency Model.</w:t>
            </w:r>
          </w:p>
        </w:tc>
      </w:tr>
    </w:tbl>
    <w:p w14:paraId="01AEAFF6" w14:textId="77777777" w:rsidR="00B007EC" w:rsidRDefault="00B007EC" w:rsidP="007C5A2A">
      <w:pPr>
        <w:spacing w:line="360" w:lineRule="auto"/>
        <w:rPr>
          <w:rFonts w:ascii="Arial" w:hAnsi="Arial" w:cs="Arial"/>
        </w:rPr>
      </w:pPr>
    </w:p>
    <w:p w14:paraId="41438D16" w14:textId="78AAC71C" w:rsidR="00CC5728" w:rsidRPr="00876100" w:rsidRDefault="00140B23" w:rsidP="00876100">
      <w:pPr>
        <w:pStyle w:val="Heading1"/>
        <w:rPr>
          <w:rFonts w:ascii="Arial" w:hAnsi="Arial" w:cs="Arial"/>
        </w:rPr>
      </w:pPr>
      <w:bookmarkStart w:id="78" w:name="_Toc242861710"/>
      <w:bookmarkStart w:id="79" w:name="_Toc242863184"/>
      <w:r w:rsidRPr="00876100">
        <w:rPr>
          <w:rFonts w:ascii="Arial" w:hAnsi="Arial" w:cs="Arial"/>
        </w:rPr>
        <w:t>2.3</w:t>
      </w:r>
      <w:r w:rsidR="0043154D" w:rsidRPr="00876100">
        <w:rPr>
          <w:rFonts w:ascii="Arial" w:hAnsi="Arial" w:cs="Arial"/>
        </w:rPr>
        <w:t>.5 Cr</w:t>
      </w:r>
      <w:r w:rsidR="00D45EC3" w:rsidRPr="00876100">
        <w:rPr>
          <w:rFonts w:ascii="Arial" w:hAnsi="Arial" w:cs="Arial"/>
        </w:rPr>
        <w:t>itical Evalu</w:t>
      </w:r>
      <w:r w:rsidR="00771DAD" w:rsidRPr="00876100">
        <w:rPr>
          <w:rFonts w:ascii="Arial" w:hAnsi="Arial" w:cs="Arial"/>
        </w:rPr>
        <w:t>ation of L</w:t>
      </w:r>
      <w:r w:rsidR="00023B4C" w:rsidRPr="00876100">
        <w:rPr>
          <w:rFonts w:ascii="Arial" w:hAnsi="Arial" w:cs="Arial"/>
        </w:rPr>
        <w:t>ead</w:t>
      </w:r>
      <w:r w:rsidR="00547F0C" w:rsidRPr="00876100">
        <w:rPr>
          <w:rFonts w:ascii="Arial" w:hAnsi="Arial" w:cs="Arial"/>
        </w:rPr>
        <w:t>ership Effectiv</w:t>
      </w:r>
      <w:r w:rsidR="00CA7C1A" w:rsidRPr="00876100">
        <w:rPr>
          <w:rFonts w:ascii="Arial" w:hAnsi="Arial" w:cs="Arial"/>
        </w:rPr>
        <w:t>e</w:t>
      </w:r>
      <w:r w:rsidR="003D788F" w:rsidRPr="00876100">
        <w:rPr>
          <w:rFonts w:ascii="Arial" w:hAnsi="Arial" w:cs="Arial"/>
        </w:rPr>
        <w:t>ne</w:t>
      </w:r>
      <w:r w:rsidR="00990831" w:rsidRPr="00876100">
        <w:rPr>
          <w:rFonts w:ascii="Arial" w:hAnsi="Arial" w:cs="Arial"/>
        </w:rPr>
        <w:t>ss</w:t>
      </w:r>
      <w:bookmarkEnd w:id="78"/>
      <w:bookmarkEnd w:id="79"/>
    </w:p>
    <w:p w14:paraId="425FE19A" w14:textId="77777777" w:rsidR="001A1680" w:rsidRDefault="003360F5" w:rsidP="00FB6756">
      <w:pPr>
        <w:spacing w:before="227"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 xml:space="preserve">Evaluating the appropriateness of leadership requires </w:t>
      </w:r>
      <w:r w:rsidR="0040342F" w:rsidRPr="00FB6756">
        <w:rPr>
          <w:rFonts w:ascii="Arial" w:eastAsiaTheme="minorEastAsia" w:hAnsi="Arial" w:cs="Arial"/>
          <w:color w:val="000000"/>
          <w:kern w:val="0"/>
          <w:lang w:eastAsia="en-GB"/>
          <w14:ligatures w14:val="none"/>
        </w:rPr>
        <w:t>synthesising</w:t>
      </w:r>
      <w:r w:rsidRPr="00FB6756">
        <w:rPr>
          <w:rFonts w:ascii="Arial" w:eastAsiaTheme="minorEastAsia" w:hAnsi="Arial" w:cs="Arial"/>
          <w:color w:val="000000"/>
          <w:kern w:val="0"/>
          <w:lang w:eastAsia="en-GB"/>
          <w14:ligatures w14:val="none"/>
        </w:rPr>
        <w:t xml:space="preserve"> performance data, safety outcomes, and staff engagement evidence. Data from the Healthcare Commission (2009) and Francis Inquiry (2013) </w:t>
      </w:r>
    </w:p>
    <w:p w14:paraId="0FA88B44" w14:textId="77777777" w:rsidR="001A1680" w:rsidRDefault="001A1680" w:rsidP="00FB6756">
      <w:pPr>
        <w:spacing w:before="227" w:after="0" w:line="360" w:lineRule="auto"/>
        <w:rPr>
          <w:rFonts w:ascii="Arial" w:eastAsiaTheme="minorEastAsia" w:hAnsi="Arial" w:cs="Arial"/>
          <w:color w:val="000000"/>
          <w:kern w:val="0"/>
          <w:lang w:eastAsia="en-GB"/>
          <w14:ligatures w14:val="none"/>
        </w:rPr>
      </w:pPr>
    </w:p>
    <w:p w14:paraId="61C1E3C5" w14:textId="735E9C8C" w:rsidR="003360F5" w:rsidRPr="00FB6756" w:rsidRDefault="003360F5" w:rsidP="00FB6756">
      <w:pPr>
        <w:spacing w:before="227"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 xml:space="preserve">revealed that executive leadership was inappropriately reactive and command-driven rather than </w:t>
      </w:r>
      <w:r w:rsidR="001767B2" w:rsidRPr="00FB6756">
        <w:rPr>
          <w:rFonts w:ascii="Arial" w:eastAsiaTheme="minorEastAsia" w:hAnsi="Arial" w:cs="Arial"/>
          <w:color w:val="000000"/>
          <w:kern w:val="0"/>
          <w:lang w:eastAsia="en-GB"/>
          <w14:ligatures w14:val="none"/>
        </w:rPr>
        <w:t>initiative-taking</w:t>
      </w:r>
      <w:r w:rsidRPr="00FB6756">
        <w:rPr>
          <w:rFonts w:ascii="Arial" w:eastAsiaTheme="minorEastAsia" w:hAnsi="Arial" w:cs="Arial"/>
          <w:color w:val="000000"/>
          <w:kern w:val="0"/>
          <w:lang w:eastAsia="en-GB"/>
          <w14:ligatures w14:val="none"/>
        </w:rPr>
        <w:t xml:space="preserve"> and purpose-driven. Executive focus on achieving Foundation Trust targets created an autocratic culture where safety warnings </w:t>
      </w:r>
      <w:bookmarkStart w:id="80" w:name="_Int_E0dmc2ZK"/>
      <w:r w:rsidRPr="00FB6756">
        <w:rPr>
          <w:rFonts w:ascii="Arial" w:eastAsiaTheme="minorEastAsia" w:hAnsi="Arial" w:cs="Arial"/>
          <w:color w:val="000000"/>
          <w:kern w:val="0"/>
          <w:lang w:eastAsia="en-GB"/>
          <w14:ligatures w14:val="none"/>
        </w:rPr>
        <w:t>were treated</w:t>
      </w:r>
      <w:bookmarkEnd w:id="80"/>
      <w:r w:rsidRPr="00FB6756">
        <w:rPr>
          <w:rFonts w:ascii="Arial" w:eastAsiaTheme="minorEastAsia" w:hAnsi="Arial" w:cs="Arial"/>
          <w:color w:val="000000"/>
          <w:kern w:val="0"/>
          <w:lang w:eastAsia="en-GB"/>
          <w14:ligatures w14:val="none"/>
        </w:rPr>
        <w:t xml:space="preserve"> as operational failures rather than vital intelligence.</w:t>
      </w:r>
    </w:p>
    <w:p w14:paraId="347E8902" w14:textId="77777777" w:rsidR="00623CEF" w:rsidRDefault="00623CEF" w:rsidP="00FB6756">
      <w:pPr>
        <w:spacing w:before="200" w:after="0" w:line="360" w:lineRule="auto"/>
        <w:rPr>
          <w:rFonts w:ascii="Arial" w:eastAsiaTheme="minorEastAsia" w:hAnsi="Arial" w:cs="Arial"/>
          <w:color w:val="000000"/>
          <w:kern w:val="0"/>
          <w:lang w:eastAsia="en-GB"/>
          <w14:ligatures w14:val="none"/>
        </w:rPr>
      </w:pPr>
    </w:p>
    <w:p w14:paraId="664BF2CD" w14:textId="77777777" w:rsidR="003360F5" w:rsidRPr="00FB6756" w:rsidRDefault="003360F5" w:rsidP="00FB6756">
      <w:pPr>
        <w:spacing w:before="200"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 xml:space="preserve">Staff survey evidence and qualitative testimony documented remarkably low psychological safety, severe workplace stress, high burnout, and widespread reluctance to report safety incidents due to fear of reprisal. High nursing turnover and excessive reliance on temporary, un-briefed agency staff further degraded care standards. Furthermore, while statistical mortality comparisons (the widely cited 400–1,200 excess deaths estimate) flagged severe systemic quality problems, leadership </w:t>
      </w:r>
      <w:bookmarkStart w:id="81" w:name="_Int_hxFffXXe"/>
      <w:r w:rsidRPr="00FB6756">
        <w:rPr>
          <w:rFonts w:ascii="Arial" w:eastAsiaTheme="minorEastAsia" w:hAnsi="Arial" w:cs="Arial"/>
          <w:color w:val="000000"/>
          <w:kern w:val="0"/>
          <w:lang w:eastAsia="en-GB"/>
          <w14:ligatures w14:val="none"/>
        </w:rPr>
        <w:t>failed to</w:t>
      </w:r>
      <w:bookmarkEnd w:id="81"/>
      <w:r w:rsidRPr="00FB6756">
        <w:rPr>
          <w:rFonts w:ascii="Arial" w:eastAsiaTheme="minorEastAsia" w:hAnsi="Arial" w:cs="Arial"/>
          <w:color w:val="000000"/>
          <w:kern w:val="0"/>
          <w:lang w:eastAsia="en-GB"/>
          <w14:ligatures w14:val="none"/>
        </w:rPr>
        <w:t xml:space="preserve"> triangulate these macro-level metrics with qualitative patient complaints </w:t>
      </w:r>
      <w:bookmarkStart w:id="82" w:name="_Int_G549XymN"/>
      <w:r w:rsidRPr="00FB6756">
        <w:rPr>
          <w:rFonts w:ascii="Arial" w:eastAsiaTheme="minorEastAsia" w:hAnsi="Arial" w:cs="Arial"/>
          <w:color w:val="000000"/>
          <w:kern w:val="0"/>
          <w:lang w:eastAsia="en-GB"/>
          <w14:ligatures w14:val="none"/>
        </w:rPr>
        <w:t>regarding</w:t>
      </w:r>
      <w:bookmarkEnd w:id="82"/>
      <w:r w:rsidRPr="00FB6756">
        <w:rPr>
          <w:rFonts w:ascii="Arial" w:eastAsiaTheme="minorEastAsia" w:hAnsi="Arial" w:cs="Arial"/>
          <w:color w:val="000000"/>
          <w:kern w:val="0"/>
          <w:lang w:eastAsia="en-GB"/>
          <w14:ligatures w14:val="none"/>
        </w:rPr>
        <w:t xml:space="preserve"> basic hydration, hygiene, and dignity.</w:t>
      </w:r>
    </w:p>
    <w:p w14:paraId="7F886B07" w14:textId="2D7AEEEB" w:rsidR="0020280B" w:rsidRPr="00FB6756" w:rsidRDefault="003360F5" w:rsidP="00FB6756">
      <w:pPr>
        <w:spacing w:before="200" w:after="0" w:line="360" w:lineRule="auto"/>
        <w:rPr>
          <w:rFonts w:ascii="Arial" w:eastAsiaTheme="minorEastAsia" w:hAnsi="Arial" w:cs="Arial"/>
          <w:color w:val="000000"/>
          <w:kern w:val="0"/>
          <w:lang w:eastAsia="en-GB"/>
          <w14:ligatures w14:val="none"/>
        </w:rPr>
      </w:pPr>
      <w:r w:rsidRPr="00FB6756">
        <w:rPr>
          <w:rFonts w:ascii="Arial" w:eastAsiaTheme="minorEastAsia" w:hAnsi="Arial" w:cs="Arial"/>
          <w:color w:val="000000"/>
          <w:kern w:val="0"/>
          <w:lang w:eastAsia="en-GB"/>
          <w14:ligatures w14:val="none"/>
        </w:rPr>
        <w:t xml:space="preserve">These theories are complementary but incomplete. McGregor </w:t>
      </w:r>
      <w:bookmarkStart w:id="83" w:name="_Int_xQpKzZ1J"/>
      <w:r w:rsidRPr="00FB6756">
        <w:rPr>
          <w:rFonts w:ascii="Arial" w:eastAsiaTheme="minorEastAsia" w:hAnsi="Arial" w:cs="Arial"/>
          <w:color w:val="000000"/>
          <w:kern w:val="0"/>
          <w:lang w:eastAsia="en-GB"/>
          <w14:ligatures w14:val="none"/>
        </w:rPr>
        <w:t>identifies</w:t>
      </w:r>
      <w:bookmarkEnd w:id="83"/>
      <w:r w:rsidRPr="00FB6756">
        <w:rPr>
          <w:rFonts w:ascii="Arial" w:eastAsiaTheme="minorEastAsia" w:hAnsi="Arial" w:cs="Arial"/>
          <w:color w:val="000000"/>
          <w:kern w:val="0"/>
          <w:lang w:eastAsia="en-GB"/>
          <w14:ligatures w14:val="none"/>
        </w:rPr>
        <w:t xml:space="preserve"> assumptions, behavioural theory tracks actions, and contingency theory evaluates situational fit, but none fully explains regulatory fragmentation or resource allocation. Systems thinking fills this gap: failure was both cultural and structural. What could have </w:t>
      </w:r>
      <w:bookmarkStart w:id="84" w:name="_Int_yjggNUXf"/>
      <w:r w:rsidRPr="00FB6756">
        <w:rPr>
          <w:rFonts w:ascii="Arial" w:eastAsiaTheme="minorEastAsia" w:hAnsi="Arial" w:cs="Arial"/>
          <w:color w:val="000000"/>
          <w:kern w:val="0"/>
          <w:lang w:eastAsia="en-GB"/>
          <w14:ligatures w14:val="none"/>
        </w:rPr>
        <w:t>been done</w:t>
      </w:r>
      <w:bookmarkEnd w:id="84"/>
      <w:r w:rsidRPr="00FB6756">
        <w:rPr>
          <w:rFonts w:ascii="Arial" w:eastAsiaTheme="minorEastAsia" w:hAnsi="Arial" w:cs="Arial"/>
          <w:color w:val="000000"/>
          <w:kern w:val="0"/>
          <w:lang w:eastAsia="en-GB"/>
          <w14:ligatures w14:val="none"/>
        </w:rPr>
        <w:t xml:space="preserve"> differently is implementing distributed, emotionally intelligent leadership (West et al., 2014). Emotionally intelligent leaders cultivate psychological safety (Edmondson, 1999), listen to </w:t>
      </w:r>
      <w:r w:rsidR="005D7990" w:rsidRPr="00FB6756">
        <w:rPr>
          <w:rFonts w:ascii="Arial" w:eastAsiaTheme="minorEastAsia" w:hAnsi="Arial" w:cs="Arial"/>
          <w:color w:val="000000"/>
          <w:kern w:val="0"/>
          <w:lang w:eastAsia="en-GB"/>
          <w14:ligatures w14:val="none"/>
        </w:rPr>
        <w:t>shocking</w:t>
      </w:r>
      <w:r w:rsidRPr="00FB6756">
        <w:rPr>
          <w:rFonts w:ascii="Arial" w:eastAsiaTheme="minorEastAsia" w:hAnsi="Arial" w:cs="Arial"/>
          <w:color w:val="000000"/>
          <w:kern w:val="0"/>
          <w:lang w:eastAsia="en-GB"/>
          <w14:ligatures w14:val="none"/>
        </w:rPr>
        <w:t xml:space="preserve"> news early, and empower ward leaders with resource authority. Combining relational candour with operational accountability provides a model that avoids both permissive </w:t>
      </w:r>
      <w:r w:rsidR="000E4C5C" w:rsidRPr="00FB6756">
        <w:rPr>
          <w:rFonts w:ascii="Arial" w:eastAsiaTheme="minorEastAsia" w:hAnsi="Arial" w:cs="Arial"/>
          <w:color w:val="000000"/>
          <w:kern w:val="0"/>
          <w:lang w:eastAsia="en-GB"/>
          <w14:ligatures w14:val="none"/>
        </w:rPr>
        <w:t>decentralisation</w:t>
      </w:r>
      <w:r w:rsidRPr="00FB6756">
        <w:rPr>
          <w:rFonts w:ascii="Arial" w:eastAsiaTheme="minorEastAsia" w:hAnsi="Arial" w:cs="Arial"/>
          <w:color w:val="000000"/>
          <w:kern w:val="0"/>
          <w:lang w:eastAsia="en-GB"/>
          <w14:ligatures w14:val="none"/>
        </w:rPr>
        <w:t xml:space="preserve"> and punitive central control.</w:t>
      </w:r>
    </w:p>
    <w:p w14:paraId="4E900927" w14:textId="0E82E3E3" w:rsidR="007E05E7" w:rsidRPr="005E1D2C" w:rsidRDefault="007817B8" w:rsidP="005E1D2C">
      <w:pPr>
        <w:pStyle w:val="Heading1"/>
        <w:spacing w:line="360" w:lineRule="auto"/>
        <w:rPr>
          <w:rFonts w:ascii="Arial" w:hAnsi="Arial" w:cs="Arial"/>
        </w:rPr>
      </w:pPr>
      <w:bookmarkStart w:id="85" w:name="_Toc242861711"/>
      <w:bookmarkStart w:id="86" w:name="_Toc242863185"/>
      <w:r>
        <w:rPr>
          <w:rFonts w:ascii="Arial" w:hAnsi="Arial" w:cs="Arial"/>
        </w:rPr>
        <w:t xml:space="preserve">(D) </w:t>
      </w:r>
      <w:r w:rsidR="005A4F61" w:rsidRPr="007C5A2A">
        <w:rPr>
          <w:rFonts w:ascii="Arial" w:hAnsi="Arial" w:cs="Arial"/>
        </w:rPr>
        <w:t xml:space="preserve">2.4 Transformation, </w:t>
      </w:r>
      <w:r w:rsidR="006C5E83" w:rsidRPr="007C5A2A">
        <w:rPr>
          <w:rFonts w:ascii="Arial" w:hAnsi="Arial" w:cs="Arial"/>
        </w:rPr>
        <w:t>improvement,</w:t>
      </w:r>
      <w:r w:rsidR="005A4F61" w:rsidRPr="007C5A2A">
        <w:rPr>
          <w:rFonts w:ascii="Arial" w:hAnsi="Arial" w:cs="Arial"/>
        </w:rPr>
        <w:t xml:space="preserve"> and lessons</w:t>
      </w:r>
      <w:bookmarkEnd w:id="85"/>
      <w:bookmarkEnd w:id="86"/>
      <w:r w:rsidR="000716EC">
        <w:rPr>
          <w:rFonts w:ascii="Arial" w:hAnsi="Arial" w:cs="Arial"/>
        </w:rPr>
        <w:t xml:space="preserve"> </w:t>
      </w:r>
      <w:r w:rsidR="007E05E7" w:rsidRPr="005E1D2C">
        <w:rPr>
          <w:rFonts w:ascii="Arial" w:eastAsiaTheme="minorEastAsia" w:hAnsi="Arial" w:cs="Arial"/>
          <w:lang w:eastAsia="en-GB"/>
        </w:rPr>
        <w:t>Learned</w:t>
      </w:r>
    </w:p>
    <w:p w14:paraId="06BBEA46" w14:textId="77777777" w:rsidR="007E05E7" w:rsidRPr="005E1D2C" w:rsidRDefault="007E05E7" w:rsidP="005E1D2C">
      <w:pPr>
        <w:pStyle w:val="Heading1"/>
        <w:spacing w:line="360" w:lineRule="auto"/>
        <w:rPr>
          <w:rFonts w:ascii="Arial" w:eastAsiaTheme="minorEastAsia" w:hAnsi="Arial" w:cs="Arial"/>
          <w:lang w:eastAsia="en-GB"/>
        </w:rPr>
      </w:pPr>
      <w:r w:rsidRPr="005E1D2C">
        <w:rPr>
          <w:rFonts w:ascii="Arial" w:eastAsiaTheme="minorEastAsia" w:hAnsi="Arial" w:cs="Arial"/>
          <w:lang w:eastAsia="en-GB"/>
        </w:rPr>
        <w:t>Critical Evaluation of Leadership and Governance Interactions</w:t>
      </w:r>
    </w:p>
    <w:p w14:paraId="643B3C70" w14:textId="77777777" w:rsidR="00C71447" w:rsidRDefault="007E05E7" w:rsidP="005E1D2C">
      <w:pPr>
        <w:spacing w:before="227" w:after="0" w:line="360" w:lineRule="auto"/>
        <w:rPr>
          <w:rFonts w:ascii="Arial" w:eastAsiaTheme="minorEastAsia" w:hAnsi="Arial" w:cs="Arial"/>
          <w:color w:val="000000"/>
          <w:kern w:val="0"/>
          <w:lang w:eastAsia="en-GB"/>
          <w14:ligatures w14:val="none"/>
        </w:rPr>
      </w:pPr>
      <w:r w:rsidRPr="005E1D2C">
        <w:rPr>
          <w:rFonts w:ascii="Arial" w:eastAsiaTheme="minorEastAsia" w:hAnsi="Arial" w:cs="Arial"/>
          <w:color w:val="000000"/>
          <w:kern w:val="0"/>
          <w:lang w:eastAsia="en-GB"/>
          <w14:ligatures w14:val="none"/>
        </w:rPr>
        <w:t xml:space="preserve">The outcomes at Mid Staffordshire resulted from a dysfunctional interaction between leadership style and governance design. Formal governance mechanisms existed—including a trust board, clinical committees, and regulatory oversight—but executive leadership </w:t>
      </w:r>
      <w:bookmarkStart w:id="87" w:name="_Int_Jd5AvEUM"/>
      <w:r w:rsidRPr="005E1D2C">
        <w:rPr>
          <w:rFonts w:ascii="Arial" w:eastAsiaTheme="minorEastAsia" w:hAnsi="Arial" w:cs="Arial"/>
          <w:color w:val="000000"/>
          <w:kern w:val="0"/>
          <w:lang w:eastAsia="en-GB"/>
          <w14:ligatures w14:val="none"/>
        </w:rPr>
        <w:t>operated</w:t>
      </w:r>
      <w:bookmarkEnd w:id="87"/>
      <w:r w:rsidRPr="005E1D2C">
        <w:rPr>
          <w:rFonts w:ascii="Arial" w:eastAsiaTheme="minorEastAsia" w:hAnsi="Arial" w:cs="Arial"/>
          <w:color w:val="000000"/>
          <w:kern w:val="0"/>
          <w:lang w:eastAsia="en-GB"/>
          <w14:ligatures w14:val="none"/>
        </w:rPr>
        <w:t xml:space="preserve"> in a rigid, top-down manner that filtered out negative clinical data to present reassurance rather than reality (Francis, 2013). High-level strategic targets, particularly </w:t>
      </w:r>
      <w:r w:rsidR="00A64C88" w:rsidRPr="005E1D2C">
        <w:rPr>
          <w:rFonts w:ascii="Arial" w:eastAsiaTheme="minorEastAsia" w:hAnsi="Arial" w:cs="Arial"/>
          <w:color w:val="000000"/>
          <w:kern w:val="0"/>
          <w:lang w:eastAsia="en-GB"/>
          <w14:ligatures w14:val="none"/>
        </w:rPr>
        <w:t>reaching</w:t>
      </w:r>
      <w:r w:rsidRPr="005E1D2C">
        <w:rPr>
          <w:rFonts w:ascii="Arial" w:eastAsiaTheme="minorEastAsia" w:hAnsi="Arial" w:cs="Arial"/>
          <w:color w:val="000000"/>
          <w:kern w:val="0"/>
          <w:lang w:eastAsia="en-GB"/>
          <w14:ligatures w14:val="none"/>
        </w:rPr>
        <w:t xml:space="preserve"> Foundation Trust status and meeting stringent financial ratios, overrode frontline signals of clinical risk. The Francis Inquiry prompted extensive national reflection and reform through 290 recommendations covering openness, standards, leadership, regulation, and patient-centred care (Francis, 2013). The government’s </w:t>
      </w:r>
      <w:r w:rsidRPr="005E1D2C">
        <w:rPr>
          <w:rFonts w:ascii="Arial" w:eastAsiaTheme="minorEastAsia" w:hAnsi="Arial" w:cs="Arial"/>
          <w:i/>
          <w:iCs/>
          <w:color w:val="000000"/>
          <w:kern w:val="0"/>
          <w:lang w:eastAsia="en-GB"/>
          <w14:ligatures w14:val="none"/>
        </w:rPr>
        <w:t>Hard Truths</w:t>
      </w:r>
      <w:r w:rsidRPr="005E1D2C">
        <w:rPr>
          <w:rFonts w:ascii="Arial" w:eastAsiaTheme="minorEastAsia" w:hAnsi="Arial" w:cs="Arial"/>
          <w:color w:val="000000"/>
          <w:kern w:val="0"/>
          <w:lang w:eastAsia="en-GB"/>
          <w14:ligatures w14:val="none"/>
        </w:rPr>
        <w:t xml:space="preserve"> response articulated commitments to transparency and </w:t>
      </w:r>
    </w:p>
    <w:p w14:paraId="0DC1B714" w14:textId="77777777" w:rsidR="00C71447" w:rsidRDefault="00C71447" w:rsidP="005E1D2C">
      <w:pPr>
        <w:spacing w:before="227" w:after="0" w:line="360" w:lineRule="auto"/>
        <w:rPr>
          <w:rFonts w:ascii="Arial" w:eastAsiaTheme="minorEastAsia" w:hAnsi="Arial" w:cs="Arial"/>
          <w:color w:val="000000"/>
          <w:kern w:val="0"/>
          <w:lang w:eastAsia="en-GB"/>
          <w14:ligatures w14:val="none"/>
        </w:rPr>
      </w:pPr>
    </w:p>
    <w:p w14:paraId="133C5464" w14:textId="5321188A" w:rsidR="0089554B" w:rsidRPr="00462A8E" w:rsidRDefault="007E05E7" w:rsidP="00462A8E">
      <w:pPr>
        <w:spacing w:before="227" w:after="0" w:line="360" w:lineRule="auto"/>
        <w:rPr>
          <w:rFonts w:ascii="Arial" w:eastAsiaTheme="minorEastAsia" w:hAnsi="Arial" w:cs="Arial"/>
          <w:color w:val="000000"/>
          <w:kern w:val="0"/>
          <w:lang w:eastAsia="en-GB"/>
          <w14:ligatures w14:val="none"/>
        </w:rPr>
      </w:pPr>
      <w:r w:rsidRPr="005E1D2C">
        <w:rPr>
          <w:rFonts w:ascii="Arial" w:eastAsiaTheme="minorEastAsia" w:hAnsi="Arial" w:cs="Arial"/>
          <w:color w:val="000000"/>
          <w:kern w:val="0"/>
          <w:lang w:eastAsia="en-GB"/>
          <w14:ligatures w14:val="none"/>
        </w:rPr>
        <w:t xml:space="preserve">accountability (Department of Health, 2013). However, policy adoption </w:t>
      </w:r>
      <w:bookmarkStart w:id="88" w:name="_Int_ICyKvzNd"/>
      <w:r w:rsidRPr="005E1D2C">
        <w:rPr>
          <w:rFonts w:ascii="Arial" w:eastAsiaTheme="minorEastAsia" w:hAnsi="Arial" w:cs="Arial"/>
          <w:color w:val="000000"/>
          <w:kern w:val="0"/>
          <w:lang w:eastAsia="en-GB"/>
          <w14:ligatures w14:val="none"/>
        </w:rPr>
        <w:t>represents</w:t>
      </w:r>
      <w:bookmarkEnd w:id="88"/>
      <w:r w:rsidRPr="005E1D2C">
        <w:rPr>
          <w:rFonts w:ascii="Arial" w:eastAsiaTheme="minorEastAsia" w:hAnsi="Arial" w:cs="Arial"/>
          <w:color w:val="000000"/>
          <w:kern w:val="0"/>
          <w:lang w:eastAsia="en-GB"/>
          <w14:ligatures w14:val="none"/>
        </w:rPr>
        <w:t xml:space="preserve"> an intermediate output; the ultimate test of reform </w:t>
      </w:r>
      <w:bookmarkStart w:id="89" w:name="_Int_3cSpGLDG"/>
      <w:r w:rsidRPr="005E1D2C">
        <w:rPr>
          <w:rFonts w:ascii="Arial" w:eastAsiaTheme="minorEastAsia" w:hAnsi="Arial" w:cs="Arial"/>
          <w:color w:val="000000"/>
          <w:kern w:val="0"/>
          <w:lang w:eastAsia="en-GB"/>
          <w14:ligatures w14:val="none"/>
        </w:rPr>
        <w:t>remains</w:t>
      </w:r>
      <w:bookmarkEnd w:id="89"/>
      <w:r w:rsidRPr="005E1D2C">
        <w:rPr>
          <w:rFonts w:ascii="Arial" w:eastAsiaTheme="minorEastAsia" w:hAnsi="Arial" w:cs="Arial"/>
          <w:color w:val="000000"/>
          <w:kern w:val="0"/>
          <w:lang w:eastAsia="en-GB"/>
          <w14:ligatures w14:val="none"/>
        </w:rPr>
        <w:t xml:space="preserve"> safer bedside care, improved patient experiences, and sustained organi</w:t>
      </w:r>
      <w:r w:rsidR="008C6A8C">
        <w:rPr>
          <w:rFonts w:ascii="Arial" w:eastAsiaTheme="minorEastAsia" w:hAnsi="Arial" w:cs="Arial"/>
          <w:color w:val="000000"/>
          <w:kern w:val="0"/>
          <w:lang w:eastAsia="en-GB"/>
          <w14:ligatures w14:val="none"/>
        </w:rPr>
        <w:t>s</w:t>
      </w:r>
      <w:r w:rsidRPr="005E1D2C">
        <w:rPr>
          <w:rFonts w:ascii="Arial" w:eastAsiaTheme="minorEastAsia" w:hAnsi="Arial" w:cs="Arial"/>
          <w:color w:val="000000"/>
          <w:kern w:val="0"/>
          <w:lang w:eastAsia="en-GB"/>
          <w14:ligatures w14:val="none"/>
        </w:rPr>
        <w:t>ational learning.</w:t>
      </w:r>
    </w:p>
    <w:p w14:paraId="7E81A607" w14:textId="77777777" w:rsidR="007E05E7" w:rsidRPr="005E1D2C" w:rsidRDefault="007E05E7" w:rsidP="000F72F7">
      <w:pPr>
        <w:spacing w:before="584" w:after="0" w:line="360" w:lineRule="auto"/>
        <w:rPr>
          <w:rFonts w:ascii="Arial" w:eastAsiaTheme="minorEastAsia" w:hAnsi="Arial" w:cs="Arial"/>
          <w:b/>
          <w:bCs/>
          <w:color w:val="000000"/>
          <w:kern w:val="0"/>
          <w:lang w:eastAsia="en-GB"/>
          <w14:ligatures w14:val="none"/>
        </w:rPr>
      </w:pPr>
      <w:r w:rsidRPr="005E1D2C">
        <w:rPr>
          <w:rFonts w:ascii="Arial" w:eastAsiaTheme="minorEastAsia" w:hAnsi="Arial" w:cs="Arial"/>
          <w:b/>
          <w:bCs/>
          <w:color w:val="000000"/>
          <w:kern w:val="0"/>
          <w:lang w:eastAsia="en-GB"/>
          <w14:ligatures w14:val="none"/>
        </w:rPr>
        <w:t>Missed Opportunities, Problems, and Evidence-Based Solutions</w:t>
      </w:r>
    </w:p>
    <w:p w14:paraId="4ECB5C3E" w14:textId="77777777" w:rsidR="007E05E7" w:rsidRPr="005E1D2C" w:rsidRDefault="007E05E7" w:rsidP="005E1D2C">
      <w:pPr>
        <w:spacing w:before="227" w:after="0" w:line="360" w:lineRule="auto"/>
        <w:rPr>
          <w:rFonts w:ascii="Arial" w:eastAsiaTheme="minorEastAsia" w:hAnsi="Arial" w:cs="Arial"/>
          <w:color w:val="000000"/>
          <w:kern w:val="0"/>
          <w:lang w:eastAsia="en-GB"/>
          <w14:ligatures w14:val="none"/>
        </w:rPr>
      </w:pPr>
      <w:r w:rsidRPr="005E1D2C">
        <w:rPr>
          <w:rFonts w:ascii="Arial" w:eastAsiaTheme="minorEastAsia" w:hAnsi="Arial" w:cs="Arial"/>
          <w:color w:val="000000"/>
          <w:kern w:val="0"/>
          <w:lang w:eastAsia="en-GB"/>
          <w14:ligatures w14:val="none"/>
        </w:rPr>
        <w:t xml:space="preserve">To illustrate how leadership and governance </w:t>
      </w:r>
      <w:bookmarkStart w:id="90" w:name="_Int_QntFPUdX"/>
      <w:r w:rsidRPr="005E1D2C">
        <w:rPr>
          <w:rFonts w:ascii="Arial" w:eastAsiaTheme="minorEastAsia" w:hAnsi="Arial" w:cs="Arial"/>
          <w:color w:val="000000"/>
          <w:kern w:val="0"/>
          <w:lang w:eastAsia="en-GB"/>
          <w14:ligatures w14:val="none"/>
        </w:rPr>
        <w:t>failed to</w:t>
      </w:r>
      <w:bookmarkEnd w:id="90"/>
      <w:r w:rsidRPr="005E1D2C">
        <w:rPr>
          <w:rFonts w:ascii="Arial" w:eastAsiaTheme="minorEastAsia" w:hAnsi="Arial" w:cs="Arial"/>
          <w:color w:val="000000"/>
          <w:kern w:val="0"/>
          <w:lang w:eastAsia="en-GB"/>
          <w14:ligatures w14:val="none"/>
        </w:rPr>
        <w:t xml:space="preserve"> act on vital data, three specific operational problems, historical data indicators, and evidence-based structural improvements </w:t>
      </w:r>
      <w:bookmarkStart w:id="91" w:name="_Int_0wmer7DU"/>
      <w:r w:rsidRPr="005E1D2C">
        <w:rPr>
          <w:rFonts w:ascii="Arial" w:eastAsiaTheme="minorEastAsia" w:hAnsi="Arial" w:cs="Arial"/>
          <w:color w:val="000000"/>
          <w:kern w:val="0"/>
          <w:lang w:eastAsia="en-GB"/>
          <w14:ligatures w14:val="none"/>
        </w:rPr>
        <w:t>are highlighted</w:t>
      </w:r>
      <w:bookmarkEnd w:id="91"/>
      <w:r w:rsidRPr="005E1D2C">
        <w:rPr>
          <w:rFonts w:ascii="Arial" w:eastAsiaTheme="minorEastAsia" w:hAnsi="Arial" w:cs="Arial"/>
          <w:color w:val="000000"/>
          <w:kern w:val="0"/>
          <w:lang w:eastAsia="en-GB"/>
          <w14:ligatures w14:val="none"/>
        </w:rPr>
        <w:t xml:space="preserve"> below:</w:t>
      </w:r>
    </w:p>
    <w:p w14:paraId="6A9EA08B" w14:textId="77777777" w:rsidR="007E05E7" w:rsidRPr="007E05E7" w:rsidRDefault="007E05E7" w:rsidP="007E05E7">
      <w:pPr>
        <w:spacing w:before="200" w:after="0" w:line="240" w:lineRule="auto"/>
        <w:ind w:left="600" w:hanging="600"/>
        <w:rPr>
          <w:rFonts w:ascii=".AppleSystemUIFont" w:eastAsiaTheme="minorEastAsia" w:hAnsi=".AppleSystemUIFont" w:cs="Times New Roman"/>
          <w:color w:val="000000"/>
          <w:kern w:val="0"/>
          <w:sz w:val="26"/>
          <w:szCs w:val="26"/>
          <w:lang w:eastAsia="en-GB"/>
          <w14:ligatures w14:val="none"/>
        </w:rPr>
      </w:pPr>
      <w:r w:rsidRPr="007E05E7">
        <w:rPr>
          <w:rFonts w:ascii=".SFUI-Regular" w:eastAsiaTheme="minorEastAsia" w:hAnsi=".SFUI-Regular" w:cs="Times New Roman"/>
          <w:color w:val="000000"/>
          <w:kern w:val="0"/>
          <w:sz w:val="26"/>
          <w:szCs w:val="26"/>
          <w:lang w:eastAsia="en-GB"/>
          <w14:ligatures w14:val="none"/>
        </w:rPr>
        <w:t> </w:t>
      </w:r>
      <w:r w:rsidRPr="007E05E7">
        <w:rPr>
          <w:rFonts w:ascii=".SFUI-Semibold" w:eastAsiaTheme="minorEastAsia" w:hAnsi=".SFUI-Semibold" w:cs="Times New Roman"/>
          <w:b/>
          <w:bCs/>
          <w:color w:val="000000"/>
          <w:kern w:val="0"/>
          <w:sz w:val="26"/>
          <w:szCs w:val="26"/>
          <w:lang w:eastAsia="en-GB"/>
          <w14:ligatures w14:val="none"/>
        </w:rPr>
        <w:t>Problem 1: Suppressed Incident Reporting and Fear of Reprisal</w:t>
      </w:r>
    </w:p>
    <w:p w14:paraId="5B1F729D" w14:textId="77777777" w:rsidR="004C1898" w:rsidRDefault="007E05E7" w:rsidP="004C1898">
      <w:pPr>
        <w:spacing w:before="140" w:after="0" w:line="360" w:lineRule="auto"/>
        <w:rPr>
          <w:rFonts w:ascii="Arial" w:eastAsiaTheme="minorEastAsia" w:hAnsi="Arial" w:cs="Arial"/>
          <w:color w:val="000000"/>
          <w:kern w:val="0"/>
          <w:lang w:eastAsia="en-GB"/>
          <w14:ligatures w14:val="none"/>
        </w:rPr>
      </w:pPr>
      <w:r w:rsidRPr="000F72F7">
        <w:rPr>
          <w:rFonts w:ascii="Arial" w:eastAsiaTheme="minorEastAsia" w:hAnsi="Arial" w:cs="Arial"/>
          <w:color w:val="000000"/>
          <w:kern w:val="0"/>
          <w:lang w:eastAsia="en-GB"/>
          <w14:ligatures w14:val="none"/>
        </w:rPr>
        <w:t> </w:t>
      </w:r>
    </w:p>
    <w:p w14:paraId="7133D64B" w14:textId="329ED790" w:rsidR="00F47EEC" w:rsidRDefault="007E05E7" w:rsidP="004C1898">
      <w:pPr>
        <w:spacing w:before="140" w:after="0" w:line="360" w:lineRule="auto"/>
        <w:rPr>
          <w:rFonts w:ascii="Arial" w:eastAsiaTheme="minorEastAsia" w:hAnsi="Arial" w:cs="Arial"/>
          <w:color w:val="000000"/>
          <w:kern w:val="0"/>
          <w:lang w:eastAsia="en-GB"/>
          <w14:ligatures w14:val="none"/>
        </w:rPr>
      </w:pPr>
      <w:r w:rsidRPr="000F72F7">
        <w:rPr>
          <w:rFonts w:ascii="Arial" w:eastAsiaTheme="minorEastAsia" w:hAnsi="Arial" w:cs="Arial"/>
          <w:color w:val="000000"/>
          <w:kern w:val="0"/>
          <w:lang w:eastAsia="en-GB"/>
          <w14:ligatures w14:val="none"/>
        </w:rPr>
        <w:t>Historical Data: Qualitative staff surveys and inquiry testimony revealed that over 40% of safety</w:t>
      </w:r>
      <w:r w:rsidR="001767B2" w:rsidRPr="000F72F7">
        <w:rPr>
          <w:rFonts w:ascii="Arial" w:eastAsiaTheme="minorEastAsia" w:hAnsi="Arial" w:cs="Arial"/>
          <w:color w:val="000000"/>
          <w:kern w:val="0"/>
          <w:lang w:eastAsia="en-GB"/>
          <w14:ligatures w14:val="none"/>
        </w:rPr>
        <w:t>.</w:t>
      </w:r>
      <w:r w:rsidRPr="000F72F7">
        <w:rPr>
          <w:rFonts w:ascii="Arial" w:eastAsiaTheme="minorEastAsia" w:hAnsi="Arial" w:cs="Arial"/>
          <w:color w:val="000000"/>
          <w:kern w:val="0"/>
          <w:lang w:eastAsia="en-GB"/>
          <w14:ligatures w14:val="none"/>
        </w:rPr>
        <w:t xml:space="preserve"> </w:t>
      </w:r>
    </w:p>
    <w:p w14:paraId="6281F585" w14:textId="096134D0" w:rsidR="007E05E7" w:rsidRPr="000F72F7" w:rsidRDefault="007E05E7" w:rsidP="004C1898">
      <w:pPr>
        <w:spacing w:before="140" w:after="0" w:line="360" w:lineRule="auto"/>
        <w:rPr>
          <w:rFonts w:ascii="Arial" w:eastAsiaTheme="minorEastAsia" w:hAnsi="Arial" w:cs="Arial"/>
          <w:color w:val="000000"/>
          <w:kern w:val="0"/>
          <w:lang w:eastAsia="en-GB"/>
          <w14:ligatures w14:val="none"/>
        </w:rPr>
      </w:pPr>
      <w:r w:rsidRPr="000F72F7">
        <w:rPr>
          <w:rFonts w:ascii="Arial" w:eastAsiaTheme="minorEastAsia" w:hAnsi="Arial" w:cs="Arial"/>
          <w:color w:val="000000"/>
          <w:kern w:val="0"/>
          <w:lang w:eastAsia="en-GB"/>
          <w14:ligatures w14:val="none"/>
        </w:rPr>
        <w:t xml:space="preserve">concerns and clinical incidents went unreported or </w:t>
      </w:r>
      <w:r w:rsidR="000F72F7" w:rsidRPr="000F72F7">
        <w:rPr>
          <w:rFonts w:ascii="Arial" w:eastAsiaTheme="minorEastAsia" w:hAnsi="Arial" w:cs="Arial"/>
          <w:color w:val="000000"/>
          <w:kern w:val="0"/>
          <w:lang w:eastAsia="en-GB"/>
          <w14:ligatures w14:val="none"/>
        </w:rPr>
        <w:t>escalated</w:t>
      </w:r>
      <w:r w:rsidRPr="000F72F7">
        <w:rPr>
          <w:rFonts w:ascii="Arial" w:eastAsiaTheme="minorEastAsia" w:hAnsi="Arial" w:cs="Arial"/>
          <w:color w:val="000000"/>
          <w:kern w:val="0"/>
          <w:lang w:eastAsia="en-GB"/>
          <w14:ligatures w14:val="none"/>
        </w:rPr>
        <w:t xml:space="preserve"> due to fear of managerial reprimand and a lack of feedback loops.</w:t>
      </w:r>
    </w:p>
    <w:p w14:paraId="698C1D50" w14:textId="5F77F618" w:rsidR="007B05D2" w:rsidRDefault="007E05E7" w:rsidP="004C1898">
      <w:pPr>
        <w:spacing w:before="140" w:after="0" w:line="360" w:lineRule="auto"/>
        <w:rPr>
          <w:rFonts w:ascii="Arial" w:eastAsiaTheme="minorEastAsia" w:hAnsi="Arial" w:cs="Arial"/>
          <w:color w:val="000000"/>
          <w:kern w:val="0"/>
          <w:lang w:eastAsia="en-GB"/>
          <w14:ligatures w14:val="none"/>
        </w:rPr>
      </w:pPr>
      <w:r w:rsidRPr="000F72F7">
        <w:rPr>
          <w:rFonts w:ascii="Arial" w:eastAsiaTheme="minorEastAsia" w:hAnsi="Arial" w:cs="Arial"/>
          <w:color w:val="000000"/>
          <w:kern w:val="0"/>
          <w:lang w:eastAsia="en-GB"/>
          <w14:ligatures w14:val="none"/>
        </w:rPr>
        <w:t xml:space="preserve"> Evidence-Based Solution: </w:t>
      </w:r>
      <w:bookmarkStart w:id="92" w:name="_Int_NyuCT0vl"/>
      <w:r w:rsidRPr="000F72F7">
        <w:rPr>
          <w:rFonts w:ascii="Arial" w:eastAsiaTheme="minorEastAsia" w:hAnsi="Arial" w:cs="Arial"/>
          <w:color w:val="000000"/>
          <w:kern w:val="0"/>
          <w:lang w:eastAsia="en-GB"/>
          <w14:ligatures w14:val="none"/>
        </w:rPr>
        <w:t>Establish</w:t>
      </w:r>
      <w:bookmarkEnd w:id="92"/>
      <w:r w:rsidRPr="000F72F7">
        <w:rPr>
          <w:rFonts w:ascii="Arial" w:eastAsiaTheme="minorEastAsia" w:hAnsi="Arial" w:cs="Arial"/>
          <w:color w:val="000000"/>
          <w:kern w:val="0"/>
          <w:lang w:eastAsia="en-GB"/>
          <w14:ligatures w14:val="none"/>
        </w:rPr>
        <w:t xml:space="preserve"> psychological safety and </w:t>
      </w:r>
      <w:r w:rsidR="009F4581" w:rsidRPr="000F72F7">
        <w:rPr>
          <w:rFonts w:ascii="Arial" w:eastAsiaTheme="minorEastAsia" w:hAnsi="Arial" w:cs="Arial"/>
          <w:color w:val="000000"/>
          <w:kern w:val="0"/>
          <w:lang w:eastAsia="en-GB"/>
          <w14:ligatures w14:val="none"/>
        </w:rPr>
        <w:t>decentralised</w:t>
      </w:r>
      <w:r w:rsidRPr="000F72F7">
        <w:rPr>
          <w:rFonts w:ascii="Arial" w:eastAsiaTheme="minorEastAsia" w:hAnsi="Arial" w:cs="Arial"/>
          <w:color w:val="000000"/>
          <w:kern w:val="0"/>
          <w:lang w:eastAsia="en-GB"/>
          <w14:ligatures w14:val="none"/>
        </w:rPr>
        <w:t>, digital safety incident</w:t>
      </w:r>
      <w:r w:rsidR="001767B2" w:rsidRPr="000F72F7">
        <w:rPr>
          <w:rFonts w:ascii="Arial" w:eastAsiaTheme="minorEastAsia" w:hAnsi="Arial" w:cs="Arial"/>
          <w:color w:val="000000"/>
          <w:kern w:val="0"/>
          <w:lang w:eastAsia="en-GB"/>
          <w14:ligatures w14:val="none"/>
        </w:rPr>
        <w:t>.</w:t>
      </w:r>
      <w:r w:rsidRPr="000F72F7">
        <w:rPr>
          <w:rFonts w:ascii="Arial" w:eastAsiaTheme="minorEastAsia" w:hAnsi="Arial" w:cs="Arial"/>
          <w:color w:val="000000"/>
          <w:kern w:val="0"/>
          <w:lang w:eastAsia="en-GB"/>
          <w14:ligatures w14:val="none"/>
        </w:rPr>
        <w:t xml:space="preserve"> </w:t>
      </w:r>
    </w:p>
    <w:p w14:paraId="2EB4E747" w14:textId="6A5C1485" w:rsidR="007E05E7" w:rsidRPr="000F72F7" w:rsidRDefault="007E05E7" w:rsidP="007B05D2">
      <w:pPr>
        <w:spacing w:before="140" w:after="0" w:line="360" w:lineRule="auto"/>
        <w:rPr>
          <w:rFonts w:ascii="Arial" w:eastAsiaTheme="minorEastAsia" w:hAnsi="Arial" w:cs="Arial"/>
          <w:color w:val="000000"/>
          <w:kern w:val="0"/>
          <w:lang w:eastAsia="en-GB"/>
          <w14:ligatures w14:val="none"/>
        </w:rPr>
      </w:pPr>
      <w:r w:rsidRPr="000F72F7">
        <w:rPr>
          <w:rFonts w:ascii="Arial" w:eastAsiaTheme="minorEastAsia" w:hAnsi="Arial" w:cs="Arial"/>
          <w:color w:val="000000"/>
          <w:kern w:val="0"/>
          <w:lang w:eastAsia="en-GB"/>
          <w14:ligatures w14:val="none"/>
        </w:rPr>
        <w:t xml:space="preserve">reporting linked directly to local ward huddles, supported by independent "Freedom to Speak Up" Guardians who </w:t>
      </w:r>
      <w:bookmarkStart w:id="93" w:name="_Int_AobdgFTI"/>
      <w:r w:rsidRPr="000F72F7">
        <w:rPr>
          <w:rFonts w:ascii="Arial" w:eastAsiaTheme="minorEastAsia" w:hAnsi="Arial" w:cs="Arial"/>
          <w:color w:val="000000"/>
          <w:kern w:val="0"/>
          <w:lang w:eastAsia="en-GB"/>
          <w14:ligatures w14:val="none"/>
        </w:rPr>
        <w:t>operate</w:t>
      </w:r>
      <w:bookmarkEnd w:id="93"/>
      <w:r w:rsidRPr="000F72F7">
        <w:rPr>
          <w:rFonts w:ascii="Arial" w:eastAsiaTheme="minorEastAsia" w:hAnsi="Arial" w:cs="Arial"/>
          <w:color w:val="000000"/>
          <w:kern w:val="0"/>
          <w:lang w:eastAsia="en-GB"/>
          <w14:ligatures w14:val="none"/>
        </w:rPr>
        <w:t xml:space="preserve"> outside ordinary line management (National Guardian’s Office, 2024; Edmondson, 1999).</w:t>
      </w:r>
    </w:p>
    <w:p w14:paraId="0F6EE279" w14:textId="77777777" w:rsidR="004C1898" w:rsidRDefault="007E05E7" w:rsidP="007E05E7">
      <w:pPr>
        <w:spacing w:before="140" w:after="0" w:line="240" w:lineRule="auto"/>
        <w:ind w:left="600" w:hanging="600"/>
        <w:rPr>
          <w:rFonts w:ascii=".SFUI-Regular" w:eastAsiaTheme="minorEastAsia" w:hAnsi=".SFUI-Regular" w:cs="Times New Roman"/>
          <w:color w:val="000000"/>
          <w:kern w:val="0"/>
          <w:sz w:val="26"/>
          <w:szCs w:val="26"/>
          <w:lang w:eastAsia="en-GB"/>
          <w14:ligatures w14:val="none"/>
        </w:rPr>
      </w:pPr>
      <w:r w:rsidRPr="007E05E7">
        <w:rPr>
          <w:rFonts w:ascii=".SFUI-Regular" w:eastAsiaTheme="minorEastAsia" w:hAnsi=".SFUI-Regular" w:cs="Times New Roman"/>
          <w:color w:val="000000"/>
          <w:kern w:val="0"/>
          <w:sz w:val="26"/>
          <w:szCs w:val="26"/>
          <w:lang w:eastAsia="en-GB"/>
          <w14:ligatures w14:val="none"/>
        </w:rPr>
        <w:t> </w:t>
      </w:r>
    </w:p>
    <w:p w14:paraId="0EE595D9" w14:textId="27ECFDF2" w:rsidR="004C1898" w:rsidRPr="004C1898" w:rsidRDefault="007E05E7" w:rsidP="004C1898">
      <w:pPr>
        <w:spacing w:before="140" w:after="0" w:line="360" w:lineRule="auto"/>
        <w:ind w:left="600" w:hanging="600"/>
        <w:rPr>
          <w:rFonts w:ascii="Arial" w:eastAsiaTheme="minorEastAsia" w:hAnsi="Arial" w:cs="Arial"/>
          <w:color w:val="000000"/>
          <w:kern w:val="0"/>
          <w:lang w:eastAsia="en-GB"/>
          <w14:ligatures w14:val="none"/>
        </w:rPr>
      </w:pPr>
      <w:r w:rsidRPr="004C1898">
        <w:rPr>
          <w:rFonts w:ascii="Arial" w:eastAsiaTheme="minorEastAsia" w:hAnsi="Arial" w:cs="Arial"/>
          <w:b/>
          <w:bCs/>
          <w:color w:val="000000"/>
          <w:kern w:val="0"/>
          <w:lang w:eastAsia="en-GB"/>
          <w14:ligatures w14:val="none"/>
        </w:rPr>
        <w:t>Problem 2: Disconnect Between Financial Targets and Nurse Staffing Ratios</w:t>
      </w:r>
      <w:r w:rsidRPr="004C1898">
        <w:rPr>
          <w:rFonts w:ascii="Arial" w:eastAsiaTheme="minorEastAsia" w:hAnsi="Arial" w:cs="Arial"/>
          <w:color w:val="000000"/>
          <w:kern w:val="0"/>
          <w:lang w:eastAsia="en-GB"/>
          <w14:ligatures w14:val="none"/>
        </w:rPr>
        <w:t> </w:t>
      </w:r>
    </w:p>
    <w:p w14:paraId="01B34D55" w14:textId="705F30F2" w:rsidR="007E05E7" w:rsidRPr="004C1898" w:rsidRDefault="007E05E7" w:rsidP="004C1898">
      <w:pPr>
        <w:spacing w:before="140" w:after="0" w:line="360" w:lineRule="auto"/>
        <w:rPr>
          <w:rFonts w:ascii="Arial" w:eastAsiaTheme="minorEastAsia" w:hAnsi="Arial" w:cs="Arial"/>
          <w:color w:val="000000"/>
          <w:kern w:val="0"/>
          <w:lang w:eastAsia="en-GB"/>
          <w14:ligatures w14:val="none"/>
        </w:rPr>
      </w:pPr>
      <w:r w:rsidRPr="004C1898">
        <w:rPr>
          <w:rFonts w:ascii="Arial" w:eastAsiaTheme="minorEastAsia" w:hAnsi="Arial" w:cs="Arial"/>
          <w:color w:val="000000"/>
          <w:kern w:val="0"/>
          <w:lang w:eastAsia="en-GB"/>
          <w14:ligatures w14:val="none"/>
        </w:rPr>
        <w:t>Historical Data: Workforce reductions executed to meet financial deficit targets led to severe nurse-to-patient ratio imbalances, directly preceding spikes in missed basic care (nutrition, hydration, and hygiene).</w:t>
      </w:r>
    </w:p>
    <w:p w14:paraId="56AA5AF8" w14:textId="77777777" w:rsidR="007E05E7" w:rsidRPr="004C1898" w:rsidRDefault="007E05E7" w:rsidP="004C1898">
      <w:pPr>
        <w:spacing w:before="140" w:after="0" w:line="360" w:lineRule="auto"/>
        <w:rPr>
          <w:rFonts w:ascii="Arial" w:eastAsiaTheme="minorEastAsia" w:hAnsi="Arial" w:cs="Arial"/>
          <w:color w:val="000000"/>
          <w:kern w:val="0"/>
          <w:lang w:eastAsia="en-GB"/>
          <w14:ligatures w14:val="none"/>
        </w:rPr>
      </w:pPr>
      <w:r w:rsidRPr="004C1898">
        <w:rPr>
          <w:rFonts w:ascii="Arial" w:eastAsiaTheme="minorEastAsia" w:hAnsi="Arial" w:cs="Arial"/>
          <w:color w:val="000000"/>
          <w:kern w:val="0"/>
          <w:lang w:eastAsia="en-GB"/>
          <w14:ligatures w14:val="none"/>
        </w:rPr>
        <w:t> Evidence-Based Solution: Implement evidence-based workforce deployment tools combining quantitative rosters, patient acuity scales, and missed-care indicators (NHS Improvement, 2018; Aiken et al., 2014) to balance technical and allocative efficiency (Palmer and Torgerson, 1999).</w:t>
      </w:r>
    </w:p>
    <w:p w14:paraId="6070B290" w14:textId="77777777" w:rsidR="007E05E7" w:rsidRPr="004C1898" w:rsidRDefault="007E05E7" w:rsidP="004C1898">
      <w:pPr>
        <w:spacing w:before="140" w:after="0" w:line="360" w:lineRule="auto"/>
        <w:ind w:left="600" w:hanging="600"/>
        <w:rPr>
          <w:rFonts w:ascii="Arial" w:eastAsiaTheme="minorEastAsia" w:hAnsi="Arial" w:cs="Arial"/>
          <w:color w:val="000000"/>
          <w:kern w:val="0"/>
          <w:lang w:eastAsia="en-GB"/>
          <w14:ligatures w14:val="none"/>
        </w:rPr>
      </w:pPr>
      <w:r w:rsidRPr="004C1898">
        <w:rPr>
          <w:rFonts w:ascii="Arial" w:eastAsiaTheme="minorEastAsia" w:hAnsi="Arial" w:cs="Arial"/>
          <w:color w:val="000000"/>
          <w:kern w:val="0"/>
          <w:lang w:eastAsia="en-GB"/>
          <w14:ligatures w14:val="none"/>
        </w:rPr>
        <w:t> </w:t>
      </w:r>
      <w:r w:rsidRPr="004C1898">
        <w:rPr>
          <w:rFonts w:ascii="Arial" w:eastAsiaTheme="minorEastAsia" w:hAnsi="Arial" w:cs="Arial"/>
          <w:b/>
          <w:bCs/>
          <w:color w:val="000000"/>
          <w:kern w:val="0"/>
          <w:lang w:eastAsia="en-GB"/>
          <w14:ligatures w14:val="none"/>
        </w:rPr>
        <w:t>Problem 3: Superficial Handling of Patient Complaints</w:t>
      </w:r>
    </w:p>
    <w:p w14:paraId="5E7F2051" w14:textId="77777777" w:rsidR="007E05E7" w:rsidRPr="004C1898" w:rsidRDefault="007E05E7" w:rsidP="004C1898">
      <w:pPr>
        <w:spacing w:before="140" w:after="0" w:line="360" w:lineRule="auto"/>
        <w:rPr>
          <w:rFonts w:ascii="Arial" w:eastAsiaTheme="minorEastAsia" w:hAnsi="Arial" w:cs="Arial"/>
          <w:color w:val="000000"/>
          <w:kern w:val="0"/>
          <w:lang w:eastAsia="en-GB"/>
          <w14:ligatures w14:val="none"/>
        </w:rPr>
      </w:pPr>
      <w:r w:rsidRPr="007E05E7">
        <w:rPr>
          <w:rFonts w:ascii=".SFUI-Regular" w:eastAsiaTheme="minorEastAsia" w:hAnsi=".SFUI-Regular" w:cs="Times New Roman"/>
          <w:color w:val="000000"/>
          <w:kern w:val="0"/>
          <w:sz w:val="26"/>
          <w:szCs w:val="26"/>
          <w:lang w:eastAsia="en-GB"/>
          <w14:ligatures w14:val="none"/>
        </w:rPr>
        <w:t> </w:t>
      </w:r>
      <w:r w:rsidRPr="004C1898">
        <w:rPr>
          <w:rFonts w:ascii="Arial" w:eastAsiaTheme="minorEastAsia" w:hAnsi="Arial" w:cs="Arial"/>
          <w:color w:val="000000"/>
          <w:kern w:val="0"/>
          <w:lang w:eastAsia="en-GB"/>
          <w14:ligatures w14:val="none"/>
        </w:rPr>
        <w:t xml:space="preserve">Historical Data: Hundreds of formal patient and family complaints </w:t>
      </w:r>
      <w:bookmarkStart w:id="94" w:name="_Int_gngLnUUb"/>
      <w:r w:rsidRPr="004C1898">
        <w:rPr>
          <w:rFonts w:ascii="Arial" w:eastAsiaTheme="minorEastAsia" w:hAnsi="Arial" w:cs="Arial"/>
          <w:color w:val="000000"/>
          <w:kern w:val="0"/>
          <w:lang w:eastAsia="en-GB"/>
          <w14:ligatures w14:val="none"/>
        </w:rPr>
        <w:t>regarding</w:t>
      </w:r>
      <w:bookmarkEnd w:id="94"/>
      <w:r w:rsidRPr="004C1898">
        <w:rPr>
          <w:rFonts w:ascii="Arial" w:eastAsiaTheme="minorEastAsia" w:hAnsi="Arial" w:cs="Arial"/>
          <w:color w:val="000000"/>
          <w:kern w:val="0"/>
          <w:lang w:eastAsia="en-GB"/>
          <w14:ligatures w14:val="none"/>
        </w:rPr>
        <w:t xml:space="preserve"> delayed care and indignity </w:t>
      </w:r>
      <w:bookmarkStart w:id="95" w:name="_Int_rm8y1fCT"/>
      <w:r w:rsidRPr="004C1898">
        <w:rPr>
          <w:rFonts w:ascii="Arial" w:eastAsiaTheme="minorEastAsia" w:hAnsi="Arial" w:cs="Arial"/>
          <w:color w:val="000000"/>
          <w:kern w:val="0"/>
          <w:lang w:eastAsia="en-GB"/>
          <w14:ligatures w14:val="none"/>
        </w:rPr>
        <w:t>were handled</w:t>
      </w:r>
      <w:bookmarkEnd w:id="95"/>
      <w:r w:rsidRPr="004C1898">
        <w:rPr>
          <w:rFonts w:ascii="Arial" w:eastAsiaTheme="minorEastAsia" w:hAnsi="Arial" w:cs="Arial"/>
          <w:color w:val="000000"/>
          <w:kern w:val="0"/>
          <w:lang w:eastAsia="en-GB"/>
          <w14:ligatures w14:val="none"/>
        </w:rPr>
        <w:t xml:space="preserve"> as isolated, administrative closures rather than aggregated clinical risk signals (Healthcare Commission, 2009).</w:t>
      </w:r>
    </w:p>
    <w:p w14:paraId="63B41B7B" w14:textId="77777777" w:rsidR="002D2108" w:rsidRDefault="007E05E7" w:rsidP="004C1898">
      <w:pPr>
        <w:spacing w:before="140" w:after="0" w:line="360" w:lineRule="auto"/>
        <w:rPr>
          <w:rFonts w:ascii="Arial" w:eastAsiaTheme="minorEastAsia" w:hAnsi="Arial" w:cs="Arial"/>
          <w:color w:val="000000"/>
          <w:kern w:val="0"/>
          <w:lang w:eastAsia="en-GB"/>
          <w14:ligatures w14:val="none"/>
        </w:rPr>
      </w:pPr>
      <w:r w:rsidRPr="004C1898">
        <w:rPr>
          <w:rFonts w:ascii="Arial" w:eastAsiaTheme="minorEastAsia" w:hAnsi="Arial" w:cs="Arial"/>
          <w:color w:val="000000"/>
          <w:kern w:val="0"/>
          <w:lang w:eastAsia="en-GB"/>
          <w14:ligatures w14:val="none"/>
        </w:rPr>
        <w:t> </w:t>
      </w:r>
    </w:p>
    <w:p w14:paraId="00D97218" w14:textId="77777777" w:rsidR="002D2108" w:rsidRDefault="002D2108" w:rsidP="004C1898">
      <w:pPr>
        <w:spacing w:before="140" w:after="0" w:line="360" w:lineRule="auto"/>
        <w:rPr>
          <w:rFonts w:ascii="Arial" w:eastAsiaTheme="minorEastAsia" w:hAnsi="Arial" w:cs="Arial"/>
          <w:color w:val="000000"/>
          <w:kern w:val="0"/>
          <w:lang w:eastAsia="en-GB"/>
          <w14:ligatures w14:val="none"/>
        </w:rPr>
      </w:pPr>
    </w:p>
    <w:p w14:paraId="0AB0F58F" w14:textId="77777777" w:rsidR="00462A8E" w:rsidRDefault="00462A8E" w:rsidP="004C1898">
      <w:pPr>
        <w:spacing w:before="140" w:after="0" w:line="360" w:lineRule="auto"/>
        <w:rPr>
          <w:rFonts w:ascii="Arial" w:eastAsiaTheme="minorEastAsia" w:hAnsi="Arial" w:cs="Arial"/>
          <w:color w:val="000000"/>
          <w:kern w:val="0"/>
          <w:lang w:eastAsia="en-GB"/>
          <w14:ligatures w14:val="none"/>
        </w:rPr>
      </w:pPr>
    </w:p>
    <w:p w14:paraId="5A1B39B6" w14:textId="77777777" w:rsidR="00462A8E" w:rsidRDefault="00462A8E" w:rsidP="004C1898">
      <w:pPr>
        <w:spacing w:before="140" w:after="0" w:line="360" w:lineRule="auto"/>
        <w:rPr>
          <w:rFonts w:ascii="Arial" w:eastAsiaTheme="minorEastAsia" w:hAnsi="Arial" w:cs="Arial"/>
          <w:color w:val="000000"/>
          <w:kern w:val="0"/>
          <w:lang w:eastAsia="en-GB"/>
          <w14:ligatures w14:val="none"/>
        </w:rPr>
      </w:pPr>
    </w:p>
    <w:p w14:paraId="4E07B3BE" w14:textId="0F8F205E" w:rsidR="007E05E7" w:rsidRPr="004C1898" w:rsidRDefault="007E05E7" w:rsidP="004C1898">
      <w:pPr>
        <w:spacing w:before="140" w:after="0" w:line="360" w:lineRule="auto"/>
        <w:rPr>
          <w:rFonts w:ascii="Arial" w:eastAsiaTheme="minorEastAsia" w:hAnsi="Arial" w:cs="Arial"/>
          <w:color w:val="000000"/>
          <w:kern w:val="0"/>
          <w:lang w:eastAsia="en-GB"/>
          <w14:ligatures w14:val="none"/>
        </w:rPr>
      </w:pPr>
      <w:r w:rsidRPr="004C1898">
        <w:rPr>
          <w:rFonts w:ascii="Arial" w:eastAsiaTheme="minorEastAsia" w:hAnsi="Arial" w:cs="Arial"/>
          <w:color w:val="000000"/>
          <w:kern w:val="0"/>
          <w:lang w:eastAsia="en-GB"/>
          <w14:ligatures w14:val="none"/>
        </w:rPr>
        <w:t xml:space="preserve">Evidence-Based Solution: Adopt the Patient Safety Incident Response Framework (PSIRF) to conduct thematic analysis of repeat complaints and mandate direct executive ward observations rather than relying solely on </w:t>
      </w:r>
      <w:r w:rsidR="009F4581" w:rsidRPr="004C1898">
        <w:rPr>
          <w:rFonts w:ascii="Arial" w:eastAsiaTheme="minorEastAsia" w:hAnsi="Arial" w:cs="Arial"/>
          <w:color w:val="000000"/>
          <w:kern w:val="0"/>
          <w:lang w:eastAsia="en-GB"/>
          <w14:ligatures w14:val="none"/>
        </w:rPr>
        <w:t>summarised</w:t>
      </w:r>
      <w:r w:rsidRPr="004C1898">
        <w:rPr>
          <w:rFonts w:ascii="Arial" w:eastAsiaTheme="minorEastAsia" w:hAnsi="Arial" w:cs="Arial"/>
          <w:color w:val="000000"/>
          <w:kern w:val="0"/>
          <w:lang w:eastAsia="en-GB"/>
          <w14:ligatures w14:val="none"/>
        </w:rPr>
        <w:t xml:space="preserve"> dashboards (NHS England, 2022).</w:t>
      </w:r>
    </w:p>
    <w:p w14:paraId="18876494" w14:textId="77777777" w:rsidR="007E05E7" w:rsidRPr="004C1898" w:rsidRDefault="007E05E7" w:rsidP="004C1898">
      <w:pPr>
        <w:spacing w:before="584" w:after="0" w:line="360" w:lineRule="auto"/>
        <w:rPr>
          <w:rFonts w:ascii="Arial" w:eastAsiaTheme="minorEastAsia" w:hAnsi="Arial" w:cs="Arial"/>
          <w:b/>
          <w:bCs/>
          <w:color w:val="000000"/>
          <w:kern w:val="0"/>
          <w:lang w:eastAsia="en-GB"/>
          <w14:ligatures w14:val="none"/>
        </w:rPr>
      </w:pPr>
      <w:r w:rsidRPr="004C1898">
        <w:rPr>
          <w:rFonts w:ascii="Arial" w:eastAsiaTheme="minorEastAsia" w:hAnsi="Arial" w:cs="Arial"/>
          <w:b/>
          <w:bCs/>
          <w:color w:val="000000"/>
          <w:kern w:val="0"/>
          <w:lang w:eastAsia="en-GB"/>
          <w14:ligatures w14:val="none"/>
        </w:rPr>
        <w:t>Systemic Transformation and Methodological Rigor</w:t>
      </w:r>
    </w:p>
    <w:p w14:paraId="61652E32" w14:textId="77777777" w:rsidR="0089554B" w:rsidRDefault="007E05E7" w:rsidP="004C1898">
      <w:pPr>
        <w:spacing w:before="227" w:after="0" w:line="360" w:lineRule="auto"/>
        <w:rPr>
          <w:rFonts w:ascii="Arial" w:eastAsiaTheme="minorEastAsia" w:hAnsi="Arial" w:cs="Arial"/>
          <w:color w:val="000000"/>
          <w:kern w:val="0"/>
          <w:lang w:eastAsia="en-GB"/>
          <w14:ligatures w14:val="none"/>
        </w:rPr>
      </w:pPr>
      <w:r w:rsidRPr="004C1898">
        <w:rPr>
          <w:rFonts w:ascii="Arial" w:eastAsiaTheme="minorEastAsia" w:hAnsi="Arial" w:cs="Arial"/>
          <w:color w:val="000000"/>
          <w:kern w:val="0"/>
          <w:lang w:eastAsia="en-GB"/>
          <w14:ligatures w14:val="none"/>
        </w:rPr>
        <w:t xml:space="preserve">Structural transformation is directly observable in the trust's dissolution. The original Mid Staffordshire NHS Foundation Trust ceased </w:t>
      </w:r>
      <w:bookmarkStart w:id="96" w:name="_Int_Zbcyxfvu"/>
      <w:r w:rsidRPr="004C1898">
        <w:rPr>
          <w:rFonts w:ascii="Arial" w:eastAsiaTheme="minorEastAsia" w:hAnsi="Arial" w:cs="Arial"/>
          <w:color w:val="000000"/>
          <w:kern w:val="0"/>
          <w:lang w:eastAsia="en-GB"/>
          <w14:ligatures w14:val="none"/>
        </w:rPr>
        <w:t>operating</w:t>
      </w:r>
      <w:bookmarkEnd w:id="96"/>
      <w:r w:rsidRPr="004C1898">
        <w:rPr>
          <w:rFonts w:ascii="Arial" w:eastAsiaTheme="minorEastAsia" w:hAnsi="Arial" w:cs="Arial"/>
          <w:color w:val="000000"/>
          <w:kern w:val="0"/>
          <w:lang w:eastAsia="en-GB"/>
          <w14:ligatures w14:val="none"/>
        </w:rPr>
        <w:t xml:space="preserve"> as a standalone entity in 2014, with services transferred to </w:t>
      </w:r>
    </w:p>
    <w:p w14:paraId="755DBD38" w14:textId="77777777" w:rsidR="0089554B" w:rsidRDefault="0089554B" w:rsidP="004C1898">
      <w:pPr>
        <w:spacing w:before="227" w:after="0" w:line="360" w:lineRule="auto"/>
        <w:rPr>
          <w:rFonts w:ascii="Arial" w:eastAsiaTheme="minorEastAsia" w:hAnsi="Arial" w:cs="Arial"/>
          <w:color w:val="000000"/>
          <w:kern w:val="0"/>
          <w:lang w:eastAsia="en-GB"/>
          <w14:ligatures w14:val="none"/>
        </w:rPr>
      </w:pPr>
    </w:p>
    <w:p w14:paraId="1D2A5277" w14:textId="01AA17BF" w:rsidR="007E05E7" w:rsidRPr="004C1898" w:rsidRDefault="007E05E7" w:rsidP="004C1898">
      <w:pPr>
        <w:spacing w:before="227" w:after="0" w:line="360" w:lineRule="auto"/>
        <w:rPr>
          <w:rFonts w:ascii="Arial" w:eastAsiaTheme="minorEastAsia" w:hAnsi="Arial" w:cs="Arial"/>
          <w:color w:val="000000"/>
          <w:kern w:val="0"/>
          <w:lang w:eastAsia="en-GB"/>
          <w14:ligatures w14:val="none"/>
        </w:rPr>
      </w:pPr>
      <w:r w:rsidRPr="004C1898">
        <w:rPr>
          <w:rFonts w:ascii="Arial" w:eastAsiaTheme="minorEastAsia" w:hAnsi="Arial" w:cs="Arial"/>
          <w:color w:val="000000"/>
          <w:kern w:val="0"/>
          <w:lang w:eastAsia="en-GB"/>
          <w14:ligatures w14:val="none"/>
        </w:rPr>
        <w:t xml:space="preserve">neighbouring trusts (Department of Health, 2014). While this structural intervention altered oversight, it introduced integration challenges across clinical pathways, staff transitions, and patient access. Methodologically, comparing pre-2014 trust-wide metrics with successor trust data without controlling for case mix, site configuration, and altered reporting boundaries would be unsound. Furthermore, introducing the statutory Duty of Candour (Department of Health, 2014a) and updated Care Quality Commission fundamental standards (Care Quality Commission, 2015) transformed the policy architecture, but clinical improvements must be </w:t>
      </w:r>
      <w:bookmarkStart w:id="97" w:name="_Int_aclEJt7p"/>
      <w:r w:rsidRPr="004C1898">
        <w:rPr>
          <w:rFonts w:ascii="Arial" w:eastAsiaTheme="minorEastAsia" w:hAnsi="Arial" w:cs="Arial"/>
          <w:color w:val="000000"/>
          <w:kern w:val="0"/>
          <w:lang w:eastAsia="en-GB"/>
          <w14:ligatures w14:val="none"/>
        </w:rPr>
        <w:t>demonstrated</w:t>
      </w:r>
      <w:bookmarkEnd w:id="97"/>
      <w:r w:rsidRPr="004C1898">
        <w:rPr>
          <w:rFonts w:ascii="Arial" w:eastAsiaTheme="minorEastAsia" w:hAnsi="Arial" w:cs="Arial"/>
          <w:color w:val="000000"/>
          <w:kern w:val="0"/>
          <w:lang w:eastAsia="en-GB"/>
          <w14:ligatures w14:val="none"/>
        </w:rPr>
        <w:t xml:space="preserve"> empirically through risk-adjusted safety metrics.</w:t>
      </w:r>
    </w:p>
    <w:p w14:paraId="7BAA6AC1" w14:textId="20636FDB" w:rsidR="007E05E7" w:rsidRPr="004C1898" w:rsidRDefault="007E05E7" w:rsidP="004C1898">
      <w:pPr>
        <w:spacing w:before="200" w:after="0" w:line="360" w:lineRule="auto"/>
        <w:rPr>
          <w:rFonts w:ascii="Arial" w:eastAsiaTheme="minorEastAsia" w:hAnsi="Arial" w:cs="Arial"/>
          <w:color w:val="000000"/>
          <w:kern w:val="0"/>
          <w:lang w:eastAsia="en-GB"/>
          <w14:ligatures w14:val="none"/>
        </w:rPr>
      </w:pPr>
      <w:r w:rsidRPr="004C1898">
        <w:rPr>
          <w:rFonts w:ascii="Arial" w:eastAsiaTheme="minorEastAsia" w:hAnsi="Arial" w:cs="Arial"/>
          <w:color w:val="000000"/>
          <w:kern w:val="0"/>
          <w:lang w:eastAsia="en-GB"/>
          <w14:ligatures w14:val="none"/>
        </w:rPr>
        <w:t>Improvement methods must make organi</w:t>
      </w:r>
      <w:r w:rsidR="00307D03">
        <w:rPr>
          <w:rFonts w:ascii="Arial" w:eastAsiaTheme="minorEastAsia" w:hAnsi="Arial" w:cs="Arial"/>
          <w:color w:val="000000"/>
          <w:kern w:val="0"/>
          <w:lang w:eastAsia="en-GB"/>
          <w14:ligatures w14:val="none"/>
        </w:rPr>
        <w:t>s</w:t>
      </w:r>
      <w:r w:rsidRPr="004C1898">
        <w:rPr>
          <w:rFonts w:ascii="Arial" w:eastAsiaTheme="minorEastAsia" w:hAnsi="Arial" w:cs="Arial"/>
          <w:color w:val="000000"/>
          <w:kern w:val="0"/>
          <w:lang w:eastAsia="en-GB"/>
          <w14:ligatures w14:val="none"/>
        </w:rPr>
        <w:t>ational change testable. Langley et al. (2009) describe the Model for Improvement, using clear aims, balanced metrics, and iterative Plan–Do–Study–Act (PDSA) cycles. The Institute for Healthcare Improvement (IHI, 2017) emphasi</w:t>
      </w:r>
      <w:r w:rsidR="002521CC">
        <w:rPr>
          <w:rFonts w:ascii="Arial" w:eastAsiaTheme="minorEastAsia" w:hAnsi="Arial" w:cs="Arial"/>
          <w:color w:val="000000"/>
          <w:kern w:val="0"/>
          <w:lang w:eastAsia="en-GB"/>
          <w14:ligatures w14:val="none"/>
        </w:rPr>
        <w:t>s</w:t>
      </w:r>
      <w:r w:rsidRPr="004C1898">
        <w:rPr>
          <w:rFonts w:ascii="Arial" w:eastAsiaTheme="minorEastAsia" w:hAnsi="Arial" w:cs="Arial"/>
          <w:color w:val="000000"/>
          <w:kern w:val="0"/>
          <w:lang w:eastAsia="en-GB"/>
          <w14:ligatures w14:val="none"/>
        </w:rPr>
        <w:t xml:space="preserve">es that process measures (e.g., percentage of daily huddles completed) must be balanced with outcome measures (e.g., rate of avoidable clinical deterioration) and balancing measures (e.g., nurse time diverted from direct patient care). Without this </w:t>
      </w:r>
      <w:r w:rsidR="00F13086" w:rsidRPr="004C1898">
        <w:rPr>
          <w:rFonts w:ascii="Arial" w:eastAsiaTheme="minorEastAsia" w:hAnsi="Arial" w:cs="Arial"/>
          <w:color w:val="000000"/>
          <w:kern w:val="0"/>
          <w:lang w:eastAsia="en-GB"/>
          <w14:ligatures w14:val="none"/>
        </w:rPr>
        <w:t>trig</w:t>
      </w:r>
      <w:r w:rsidRPr="004C1898">
        <w:rPr>
          <w:rFonts w:ascii="Arial" w:eastAsiaTheme="minorEastAsia" w:hAnsi="Arial" w:cs="Arial"/>
          <w:color w:val="000000"/>
          <w:kern w:val="0"/>
          <w:lang w:eastAsia="en-GB"/>
          <w14:ligatures w14:val="none"/>
        </w:rPr>
        <w:t xml:space="preserve">-part measurement strategy, health </w:t>
      </w:r>
      <w:r w:rsidR="00846412" w:rsidRPr="004C1898">
        <w:rPr>
          <w:rFonts w:ascii="Arial" w:eastAsiaTheme="minorEastAsia" w:hAnsi="Arial" w:cs="Arial"/>
          <w:color w:val="000000"/>
          <w:kern w:val="0"/>
          <w:lang w:eastAsia="en-GB"/>
          <w14:ligatures w14:val="none"/>
        </w:rPr>
        <w:t>organisations</w:t>
      </w:r>
      <w:r w:rsidRPr="004C1898">
        <w:rPr>
          <w:rFonts w:ascii="Arial" w:eastAsiaTheme="minorEastAsia" w:hAnsi="Arial" w:cs="Arial"/>
          <w:color w:val="000000"/>
          <w:kern w:val="0"/>
          <w:lang w:eastAsia="en-GB"/>
          <w14:ligatures w14:val="none"/>
        </w:rPr>
        <w:t xml:space="preserve"> risk repeating past errors by mistaking procedural compliance for genuine clinical safety.</w:t>
      </w:r>
    </w:p>
    <w:p w14:paraId="7E752EF4" w14:textId="0CD5BAD6" w:rsidR="004C1898" w:rsidRPr="00D048FA" w:rsidRDefault="007E05E7" w:rsidP="00D048FA">
      <w:pPr>
        <w:spacing w:before="584" w:after="0" w:line="360" w:lineRule="auto"/>
        <w:rPr>
          <w:rFonts w:ascii="Arial" w:eastAsiaTheme="minorEastAsia" w:hAnsi="Arial" w:cs="Arial"/>
          <w:b/>
          <w:color w:val="000000"/>
          <w:kern w:val="0"/>
          <w:lang w:eastAsia="en-GB"/>
          <w14:ligatures w14:val="none"/>
        </w:rPr>
      </w:pPr>
      <w:r w:rsidRPr="004C1898">
        <w:rPr>
          <w:rFonts w:ascii="Arial" w:eastAsiaTheme="minorEastAsia" w:hAnsi="Arial" w:cs="Arial"/>
          <w:b/>
          <w:bCs/>
          <w:color w:val="000000"/>
          <w:kern w:val="0"/>
          <w:lang w:eastAsia="en-GB"/>
          <w14:ligatures w14:val="none"/>
        </w:rPr>
        <w:t>Synthesis of Interactions, Lessons, and Data-Driven Continuous Improvement</w:t>
      </w:r>
    </w:p>
    <w:p w14:paraId="31F4E4F7" w14:textId="3E55B061" w:rsidR="007E05E7" w:rsidRPr="004C1898" w:rsidRDefault="007E05E7" w:rsidP="004C1898">
      <w:pPr>
        <w:spacing w:before="227" w:after="0" w:line="360" w:lineRule="auto"/>
        <w:rPr>
          <w:rFonts w:ascii="Arial" w:eastAsiaTheme="minorEastAsia" w:hAnsi="Arial" w:cs="Arial"/>
          <w:color w:val="000000"/>
          <w:kern w:val="0"/>
          <w:lang w:eastAsia="en-GB"/>
          <w14:ligatures w14:val="none"/>
        </w:rPr>
      </w:pPr>
      <w:r w:rsidRPr="004C1898">
        <w:rPr>
          <w:rFonts w:ascii="Arial" w:eastAsiaTheme="minorEastAsia" w:hAnsi="Arial" w:cs="Arial"/>
          <w:color w:val="000000"/>
          <w:kern w:val="0"/>
          <w:lang w:eastAsia="en-GB"/>
          <w14:ligatures w14:val="none"/>
        </w:rPr>
        <w:t xml:space="preserve">Linking all analytical findings </w:t>
      </w:r>
      <w:bookmarkStart w:id="98" w:name="_Int_CRPwLCVB"/>
      <w:r w:rsidRPr="004C1898">
        <w:rPr>
          <w:rFonts w:ascii="Arial" w:eastAsiaTheme="minorEastAsia" w:hAnsi="Arial" w:cs="Arial"/>
          <w:color w:val="000000"/>
          <w:kern w:val="0"/>
          <w:lang w:eastAsia="en-GB"/>
          <w14:ligatures w14:val="none"/>
        </w:rPr>
        <w:t>demonstrates</w:t>
      </w:r>
      <w:bookmarkEnd w:id="98"/>
      <w:r w:rsidRPr="004C1898">
        <w:rPr>
          <w:rFonts w:ascii="Arial" w:eastAsiaTheme="minorEastAsia" w:hAnsi="Arial" w:cs="Arial"/>
          <w:color w:val="000000"/>
          <w:kern w:val="0"/>
          <w:lang w:eastAsia="en-GB"/>
          <w14:ligatures w14:val="none"/>
        </w:rPr>
        <w:t xml:space="preserve"> that system structure (</w:t>
      </w:r>
      <w:r w:rsidR="00C8105D" w:rsidRPr="004C1898">
        <w:rPr>
          <w:rFonts w:ascii="Arial" w:eastAsiaTheme="minorEastAsia" w:hAnsi="Arial" w:cs="Arial"/>
          <w:color w:val="000000"/>
          <w:kern w:val="0"/>
          <w:lang w:eastAsia="en-GB"/>
          <w14:ligatures w14:val="none"/>
        </w:rPr>
        <w:t>centralised</w:t>
      </w:r>
      <w:r w:rsidRPr="004C1898">
        <w:rPr>
          <w:rFonts w:ascii="Arial" w:eastAsiaTheme="minorEastAsia" w:hAnsi="Arial" w:cs="Arial"/>
          <w:color w:val="000000"/>
          <w:kern w:val="0"/>
          <w:lang w:eastAsia="en-GB"/>
          <w14:ligatures w14:val="none"/>
        </w:rPr>
        <w:t xml:space="preserve"> vs. </w:t>
      </w:r>
      <w:r w:rsidR="00C8105D" w:rsidRPr="004C1898">
        <w:rPr>
          <w:rFonts w:ascii="Arial" w:eastAsiaTheme="minorEastAsia" w:hAnsi="Arial" w:cs="Arial"/>
          <w:color w:val="000000"/>
          <w:kern w:val="0"/>
          <w:lang w:eastAsia="en-GB"/>
          <w14:ligatures w14:val="none"/>
        </w:rPr>
        <w:t>decentralised</w:t>
      </w:r>
      <w:r w:rsidRPr="004C1898">
        <w:rPr>
          <w:rFonts w:ascii="Arial" w:eastAsiaTheme="minorEastAsia" w:hAnsi="Arial" w:cs="Arial"/>
          <w:color w:val="000000"/>
          <w:kern w:val="0"/>
          <w:lang w:eastAsia="en-GB"/>
          <w14:ligatures w14:val="none"/>
        </w:rPr>
        <w:t>), leadership style (command-driven vs. purpose-driven), and system feedback mechanisms are deeply interdependent:</w:t>
      </w:r>
    </w:p>
    <w:p w14:paraId="7A999E10" w14:textId="4C7F0183" w:rsidR="00DE33B0" w:rsidRPr="004C1898" w:rsidRDefault="0090047F" w:rsidP="004C1898">
      <w:pPr>
        <w:spacing w:line="360" w:lineRule="auto"/>
        <w:rPr>
          <w:rFonts w:ascii="Arial" w:hAnsi="Arial" w:cs="Arial"/>
        </w:rPr>
      </w:pPr>
      <w:r w:rsidRPr="004C1898">
        <w:rPr>
          <w:rFonts w:ascii="Arial" w:hAnsi="Arial" w:cs="Arial"/>
          <w:noProof/>
        </w:rPr>
        <w:drawing>
          <wp:anchor distT="0" distB="0" distL="114300" distR="114300" simplePos="0" relativeHeight="251658247" behindDoc="0" locked="0" layoutInCell="1" allowOverlap="1" wp14:anchorId="1115DFE6" wp14:editId="1EE8F0A2">
            <wp:simplePos x="0" y="0"/>
            <wp:positionH relativeFrom="margin">
              <wp:align>center</wp:align>
            </wp:positionH>
            <wp:positionV relativeFrom="paragraph">
              <wp:posOffset>242570</wp:posOffset>
            </wp:positionV>
            <wp:extent cx="6385560" cy="2901950"/>
            <wp:effectExtent l="0" t="0" r="0" b="0"/>
            <wp:wrapTopAndBottom/>
            <wp:docPr id="823814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814451" name=""/>
                    <pic:cNvPicPr/>
                  </pic:nvPicPr>
                  <pic:blipFill>
                    <a:blip r:embed="rId17"/>
                    <a:stretch>
                      <a:fillRect/>
                    </a:stretch>
                  </pic:blipFill>
                  <pic:spPr>
                    <a:xfrm>
                      <a:off x="0" y="0"/>
                      <a:ext cx="6385560" cy="2901950"/>
                    </a:xfrm>
                    <a:prstGeom prst="rect">
                      <a:avLst/>
                    </a:prstGeom>
                  </pic:spPr>
                </pic:pic>
              </a:graphicData>
            </a:graphic>
            <wp14:sizeRelH relativeFrom="margin">
              <wp14:pctWidth>0</wp14:pctWidth>
            </wp14:sizeRelH>
            <wp14:sizeRelV relativeFrom="margin">
              <wp14:pctHeight>0</wp14:pctHeight>
            </wp14:sizeRelV>
          </wp:anchor>
        </w:drawing>
      </w:r>
    </w:p>
    <w:p w14:paraId="16F7B231" w14:textId="77777777" w:rsidR="000B40C2" w:rsidRPr="004C1898" w:rsidRDefault="000B40C2" w:rsidP="004C1898">
      <w:pPr>
        <w:spacing w:line="360" w:lineRule="auto"/>
        <w:rPr>
          <w:rFonts w:ascii="Arial" w:hAnsi="Arial" w:cs="Arial"/>
        </w:rPr>
      </w:pPr>
    </w:p>
    <w:tbl>
      <w:tblPr>
        <w:tblStyle w:val="TableGrid"/>
        <w:tblW w:w="0" w:type="auto"/>
        <w:tblInd w:w="421" w:type="dxa"/>
        <w:tblLook w:val="04A0" w:firstRow="1" w:lastRow="0" w:firstColumn="1" w:lastColumn="0" w:noHBand="0" w:noVBand="1"/>
      </w:tblPr>
      <w:tblGrid>
        <w:gridCol w:w="9780"/>
        <w:gridCol w:w="255"/>
      </w:tblGrid>
      <w:tr w:rsidR="002D4AD2" w:rsidRPr="002D4AD2" w14:paraId="1127B64A" w14:textId="77777777" w:rsidTr="00070A48">
        <w:tc>
          <w:tcPr>
            <w:tcW w:w="9780" w:type="dxa"/>
          </w:tcPr>
          <w:p w14:paraId="1A7AAF67" w14:textId="1295F15B" w:rsidR="002D4AD2" w:rsidRPr="002D4AD2" w:rsidRDefault="002D4AD2">
            <w:pPr>
              <w:spacing w:line="360" w:lineRule="auto"/>
              <w:rPr>
                <w:rFonts w:ascii="Arial" w:hAnsi="Arial" w:cs="Arial"/>
              </w:rPr>
            </w:pPr>
            <w:bookmarkStart w:id="99" w:name="_Toc242861712"/>
            <w:bookmarkStart w:id="100" w:name="_Toc242863186"/>
            <w:r w:rsidRPr="00070A48">
              <w:rPr>
                <w:rFonts w:ascii="Arial" w:hAnsi="Arial" w:cs="Arial"/>
                <w:b/>
              </w:rPr>
              <w:t>Figure</w:t>
            </w:r>
            <w:r w:rsidR="00070A48" w:rsidRPr="00070A48">
              <w:rPr>
                <w:rFonts w:ascii="Arial" w:hAnsi="Arial" w:cs="Arial"/>
                <w:b/>
                <w:bCs/>
              </w:rPr>
              <w:t xml:space="preserve"> 6:</w:t>
            </w:r>
            <w:r w:rsidRPr="002D4AD2">
              <w:rPr>
                <w:rFonts w:ascii="Arial" w:hAnsi="Arial" w:cs="Arial"/>
              </w:rPr>
              <w:t xml:space="preserve"> Hybrid governance, leadership, and feedback pathways supporting high</w:t>
            </w:r>
            <w:r w:rsidR="00070A48" w:rsidRPr="002D4AD2">
              <w:rPr>
                <w:rFonts w:ascii="Arial" w:hAnsi="Arial" w:cs="Arial"/>
              </w:rPr>
              <w:t xml:space="preserve"> reliability patient safety.</w:t>
            </w:r>
          </w:p>
        </w:tc>
        <w:tc>
          <w:tcPr>
            <w:tcW w:w="255" w:type="dxa"/>
          </w:tcPr>
          <w:p w14:paraId="6FA7BDC2" w14:textId="0DC55BFC" w:rsidR="002D4AD2" w:rsidRPr="002D4AD2" w:rsidRDefault="002D4AD2">
            <w:pPr>
              <w:spacing w:line="360" w:lineRule="auto"/>
              <w:rPr>
                <w:rFonts w:ascii="Arial" w:hAnsi="Arial" w:cs="Arial"/>
              </w:rPr>
            </w:pPr>
          </w:p>
        </w:tc>
      </w:tr>
    </w:tbl>
    <w:p w14:paraId="1FD181B6" w14:textId="77777777" w:rsidR="0090047F" w:rsidRDefault="0090047F" w:rsidP="004C1898">
      <w:pPr>
        <w:tabs>
          <w:tab w:val="left" w:pos="2240"/>
        </w:tabs>
        <w:spacing w:line="360" w:lineRule="auto"/>
        <w:rPr>
          <w:rFonts w:ascii="Arial" w:hAnsi="Arial" w:cs="Arial"/>
        </w:rPr>
      </w:pPr>
    </w:p>
    <w:p w14:paraId="489002D8" w14:textId="2365AC12" w:rsidR="00D9298B" w:rsidRPr="004C1898" w:rsidRDefault="004C1898" w:rsidP="004C1898">
      <w:pPr>
        <w:tabs>
          <w:tab w:val="left" w:pos="2240"/>
        </w:tabs>
        <w:spacing w:line="360" w:lineRule="auto"/>
        <w:rPr>
          <w:rFonts w:ascii="Arial" w:hAnsi="Arial" w:cs="Arial"/>
        </w:rPr>
      </w:pPr>
      <w:r w:rsidRPr="004C1898">
        <w:rPr>
          <w:rFonts w:ascii="Arial" w:hAnsi="Arial" w:cs="Arial"/>
        </w:rPr>
        <w:tab/>
      </w:r>
    </w:p>
    <w:p w14:paraId="39A7BD6E" w14:textId="6DAF149C" w:rsidR="006C4E4C" w:rsidRPr="004C1898" w:rsidRDefault="006C4E4C" w:rsidP="004C1898">
      <w:pPr>
        <w:spacing w:after="0" w:line="360" w:lineRule="auto"/>
        <w:ind w:left="600" w:hanging="540"/>
        <w:rPr>
          <w:rFonts w:ascii="Arial" w:eastAsiaTheme="minorEastAsia" w:hAnsi="Arial" w:cs="Arial"/>
          <w:color w:val="000000"/>
          <w:kern w:val="0"/>
          <w:lang w:eastAsia="en-GB"/>
          <w14:ligatures w14:val="none"/>
        </w:rPr>
      </w:pPr>
      <w:r w:rsidRPr="004C1898">
        <w:rPr>
          <w:rFonts w:ascii="Arial" w:eastAsiaTheme="minorEastAsia" w:hAnsi="Arial" w:cs="Arial"/>
          <w:color w:val="000000"/>
          <w:kern w:val="0"/>
          <w:lang w:eastAsia="en-GB"/>
          <w14:ligatures w14:val="none"/>
        </w:rPr>
        <w:t xml:space="preserve">1. </w:t>
      </w:r>
      <w:r w:rsidRPr="004C1898">
        <w:rPr>
          <w:rFonts w:ascii="Arial" w:eastAsiaTheme="minorEastAsia" w:hAnsi="Arial" w:cs="Arial"/>
          <w:b/>
          <w:bCs/>
          <w:color w:val="000000"/>
          <w:kern w:val="0"/>
          <w:lang w:eastAsia="en-GB"/>
          <w14:ligatures w14:val="none"/>
        </w:rPr>
        <w:t>System Interaction:</w:t>
      </w:r>
      <w:r w:rsidRPr="004C1898">
        <w:rPr>
          <w:rFonts w:ascii="Arial" w:eastAsiaTheme="minorEastAsia" w:hAnsi="Arial" w:cs="Arial"/>
          <w:color w:val="000000"/>
          <w:kern w:val="0"/>
          <w:lang w:eastAsia="en-GB"/>
          <w14:ligatures w14:val="none"/>
        </w:rPr>
        <w:t xml:space="preserve"> A </w:t>
      </w:r>
      <w:r w:rsidR="004B4B6C" w:rsidRPr="004C1898">
        <w:rPr>
          <w:rFonts w:ascii="Arial" w:eastAsiaTheme="minorEastAsia" w:hAnsi="Arial" w:cs="Arial"/>
          <w:color w:val="000000"/>
          <w:kern w:val="0"/>
          <w:lang w:eastAsia="en-GB"/>
          <w14:ligatures w14:val="none"/>
        </w:rPr>
        <w:t>centralised</w:t>
      </w:r>
      <w:r w:rsidRPr="004C1898">
        <w:rPr>
          <w:rFonts w:ascii="Arial" w:eastAsiaTheme="minorEastAsia" w:hAnsi="Arial" w:cs="Arial"/>
          <w:color w:val="000000"/>
          <w:kern w:val="0"/>
          <w:lang w:eastAsia="en-GB"/>
          <w14:ligatures w14:val="none"/>
        </w:rPr>
        <w:t xml:space="preserve"> hierarchy combined with a reactive, Theory X command-driven style severs critical feedback loops. Central oversight is vital for </w:t>
      </w:r>
      <w:bookmarkStart w:id="101" w:name="_Int_16aZXK1M"/>
      <w:r w:rsidRPr="004C1898">
        <w:rPr>
          <w:rFonts w:ascii="Arial" w:eastAsiaTheme="minorEastAsia" w:hAnsi="Arial" w:cs="Arial"/>
          <w:color w:val="000000"/>
          <w:kern w:val="0"/>
          <w:lang w:eastAsia="en-GB"/>
          <w14:ligatures w14:val="none"/>
        </w:rPr>
        <w:t>establishing</w:t>
      </w:r>
      <w:bookmarkEnd w:id="101"/>
      <w:r w:rsidRPr="004C1898">
        <w:rPr>
          <w:rFonts w:ascii="Arial" w:eastAsiaTheme="minorEastAsia" w:hAnsi="Arial" w:cs="Arial"/>
          <w:color w:val="000000"/>
          <w:kern w:val="0"/>
          <w:lang w:eastAsia="en-GB"/>
          <w14:ligatures w14:val="none"/>
        </w:rPr>
        <w:t xml:space="preserve"> uniform standards, but without </w:t>
      </w:r>
      <w:r w:rsidR="004B4B6C" w:rsidRPr="004C1898">
        <w:rPr>
          <w:rFonts w:ascii="Arial" w:eastAsiaTheme="minorEastAsia" w:hAnsi="Arial" w:cs="Arial"/>
          <w:color w:val="000000"/>
          <w:kern w:val="0"/>
          <w:lang w:eastAsia="en-GB"/>
          <w14:ligatures w14:val="none"/>
        </w:rPr>
        <w:t>decentralised</w:t>
      </w:r>
      <w:r w:rsidRPr="004C1898">
        <w:rPr>
          <w:rFonts w:ascii="Arial" w:eastAsiaTheme="minorEastAsia" w:hAnsi="Arial" w:cs="Arial"/>
          <w:color w:val="000000"/>
          <w:kern w:val="0"/>
          <w:lang w:eastAsia="en-GB"/>
          <w14:ligatures w14:val="none"/>
        </w:rPr>
        <w:t xml:space="preserve"> authority and psychologically safe reporting, executive boards become blind to bedside realities.</w:t>
      </w:r>
    </w:p>
    <w:p w14:paraId="731AE685" w14:textId="497E6E81" w:rsidR="006C4E4C" w:rsidRPr="004C1898" w:rsidRDefault="006C4E4C" w:rsidP="004C1898">
      <w:pPr>
        <w:spacing w:before="140" w:after="0" w:line="360" w:lineRule="auto"/>
        <w:ind w:left="600" w:hanging="540"/>
        <w:rPr>
          <w:rFonts w:ascii="Arial" w:eastAsiaTheme="minorEastAsia" w:hAnsi="Arial" w:cs="Arial"/>
          <w:color w:val="000000"/>
          <w:kern w:val="0"/>
          <w:lang w:eastAsia="en-GB"/>
          <w14:ligatures w14:val="none"/>
        </w:rPr>
      </w:pPr>
      <w:r w:rsidRPr="004C1898">
        <w:rPr>
          <w:rFonts w:ascii="Arial" w:eastAsiaTheme="minorEastAsia" w:hAnsi="Arial" w:cs="Arial"/>
          <w:color w:val="000000"/>
          <w:kern w:val="0"/>
          <w:lang w:eastAsia="en-GB"/>
          <w14:ligatures w14:val="none"/>
        </w:rPr>
        <w:t xml:space="preserve">2. </w:t>
      </w:r>
      <w:r w:rsidRPr="004C1898">
        <w:rPr>
          <w:rFonts w:ascii="Arial" w:eastAsiaTheme="minorEastAsia" w:hAnsi="Arial" w:cs="Arial"/>
          <w:b/>
          <w:bCs/>
          <w:color w:val="000000"/>
          <w:kern w:val="0"/>
          <w:lang w:eastAsia="en-GB"/>
          <w14:ligatures w14:val="none"/>
        </w:rPr>
        <w:t xml:space="preserve">Key Lessons for Health </w:t>
      </w:r>
      <w:r w:rsidR="0097381D" w:rsidRPr="004C1898">
        <w:rPr>
          <w:rFonts w:ascii="Arial" w:eastAsiaTheme="minorEastAsia" w:hAnsi="Arial" w:cs="Arial"/>
          <w:b/>
          <w:bCs/>
          <w:color w:val="000000"/>
          <w:kern w:val="0"/>
          <w:lang w:eastAsia="en-GB"/>
          <w14:ligatures w14:val="none"/>
        </w:rPr>
        <w:t>Organisations</w:t>
      </w:r>
      <w:r w:rsidRPr="004C1898">
        <w:rPr>
          <w:rFonts w:ascii="Arial" w:eastAsiaTheme="minorEastAsia" w:hAnsi="Arial" w:cs="Arial"/>
          <w:b/>
          <w:bCs/>
          <w:color w:val="000000"/>
          <w:kern w:val="0"/>
          <w:lang w:eastAsia="en-GB"/>
          <w14:ligatures w14:val="none"/>
        </w:rPr>
        <w:t>:</w:t>
      </w:r>
      <w:r w:rsidRPr="004C1898">
        <w:rPr>
          <w:rFonts w:ascii="Arial" w:eastAsiaTheme="minorEastAsia" w:hAnsi="Arial" w:cs="Arial"/>
          <w:color w:val="000000"/>
          <w:kern w:val="0"/>
          <w:lang w:eastAsia="en-GB"/>
          <w14:ligatures w14:val="none"/>
        </w:rPr>
        <w:t xml:space="preserve"> Healthcare institutions must </w:t>
      </w:r>
      <w:r w:rsidR="00E0715C" w:rsidRPr="004C1898">
        <w:rPr>
          <w:rFonts w:ascii="Arial" w:eastAsiaTheme="minorEastAsia" w:hAnsi="Arial" w:cs="Arial"/>
          <w:color w:val="000000"/>
          <w:kern w:val="0"/>
          <w:lang w:eastAsia="en-GB"/>
          <w14:ligatures w14:val="none"/>
        </w:rPr>
        <w:t>recognise</w:t>
      </w:r>
      <w:r w:rsidRPr="004C1898">
        <w:rPr>
          <w:rFonts w:ascii="Arial" w:eastAsiaTheme="minorEastAsia" w:hAnsi="Arial" w:cs="Arial"/>
          <w:color w:val="000000"/>
          <w:kern w:val="0"/>
          <w:lang w:eastAsia="en-GB"/>
          <w14:ligatures w14:val="none"/>
        </w:rPr>
        <w:t xml:space="preserve"> that financial viability and clinical safety are joint, inseparable obligations. Leaders must cultivate an organi</w:t>
      </w:r>
      <w:r w:rsidR="007976EA">
        <w:rPr>
          <w:rFonts w:ascii="Arial" w:eastAsiaTheme="minorEastAsia" w:hAnsi="Arial" w:cs="Arial"/>
          <w:color w:val="000000"/>
          <w:kern w:val="0"/>
          <w:lang w:eastAsia="en-GB"/>
          <w14:ligatures w14:val="none"/>
        </w:rPr>
        <w:t>s</w:t>
      </w:r>
      <w:r w:rsidRPr="004C1898">
        <w:rPr>
          <w:rFonts w:ascii="Arial" w:eastAsiaTheme="minorEastAsia" w:hAnsi="Arial" w:cs="Arial"/>
          <w:color w:val="000000"/>
          <w:kern w:val="0"/>
          <w:lang w:eastAsia="en-GB"/>
          <w14:ligatures w14:val="none"/>
        </w:rPr>
        <w:t xml:space="preserve">ational culture where </w:t>
      </w:r>
      <w:r w:rsidR="00546EE8" w:rsidRPr="004C1898">
        <w:rPr>
          <w:rFonts w:ascii="Arial" w:eastAsiaTheme="minorEastAsia" w:hAnsi="Arial" w:cs="Arial"/>
          <w:color w:val="000000"/>
          <w:kern w:val="0"/>
          <w:lang w:eastAsia="en-GB"/>
          <w14:ligatures w14:val="none"/>
        </w:rPr>
        <w:t>unwelcome</w:t>
      </w:r>
      <w:r w:rsidRPr="004C1898">
        <w:rPr>
          <w:rFonts w:ascii="Arial" w:eastAsiaTheme="minorEastAsia" w:hAnsi="Arial" w:cs="Arial"/>
          <w:color w:val="000000"/>
          <w:kern w:val="0"/>
          <w:lang w:eastAsia="en-GB"/>
          <w14:ligatures w14:val="none"/>
        </w:rPr>
        <w:t xml:space="preserve"> news travels fast and </w:t>
      </w:r>
      <w:bookmarkStart w:id="102" w:name="_Int_brx33ega"/>
      <w:r w:rsidRPr="004C1898">
        <w:rPr>
          <w:rFonts w:ascii="Arial" w:eastAsiaTheme="minorEastAsia" w:hAnsi="Arial" w:cs="Arial"/>
          <w:color w:val="000000"/>
          <w:kern w:val="0"/>
          <w:lang w:eastAsia="en-GB"/>
          <w14:ligatures w14:val="none"/>
        </w:rPr>
        <w:t>is received</w:t>
      </w:r>
      <w:bookmarkEnd w:id="102"/>
      <w:r w:rsidRPr="004C1898">
        <w:rPr>
          <w:rFonts w:ascii="Arial" w:eastAsiaTheme="minorEastAsia" w:hAnsi="Arial" w:cs="Arial"/>
          <w:color w:val="000000"/>
          <w:kern w:val="0"/>
          <w:lang w:eastAsia="en-GB"/>
          <w14:ligatures w14:val="none"/>
        </w:rPr>
        <w:t xml:space="preserve"> as learning intelligence rather than a performance failure (Macrae, 2014; Reason, 2000). Independent challenge, patient co-design, and interprofessional collaboration are essential safeguards against goal displacement (Gandhi, Feeley and </w:t>
      </w:r>
      <w:r w:rsidR="00D242B6" w:rsidRPr="004C1898">
        <w:rPr>
          <w:rFonts w:ascii="Arial" w:eastAsiaTheme="minorEastAsia" w:hAnsi="Arial" w:cs="Arial"/>
          <w:color w:val="000000"/>
          <w:kern w:val="0"/>
          <w:lang w:eastAsia="en-GB"/>
          <w14:ligatures w14:val="none"/>
        </w:rPr>
        <w:t>Schumers</w:t>
      </w:r>
      <w:r w:rsidRPr="004C1898">
        <w:rPr>
          <w:rFonts w:ascii="Arial" w:eastAsiaTheme="minorEastAsia" w:hAnsi="Arial" w:cs="Arial"/>
          <w:color w:val="000000"/>
          <w:kern w:val="0"/>
          <w:lang w:eastAsia="en-GB"/>
          <w14:ligatures w14:val="none"/>
        </w:rPr>
        <w:t>, 2020).</w:t>
      </w:r>
    </w:p>
    <w:p w14:paraId="050B548F" w14:textId="18F64517" w:rsidR="006C4E4C" w:rsidRPr="009F23FE" w:rsidRDefault="006C4E4C" w:rsidP="009F23FE">
      <w:pPr>
        <w:spacing w:before="140" w:after="0" w:line="360" w:lineRule="auto"/>
        <w:ind w:left="600" w:hanging="540"/>
        <w:rPr>
          <w:rFonts w:ascii="Arial" w:eastAsiaTheme="minorEastAsia" w:hAnsi="Arial" w:cs="Arial"/>
          <w:color w:val="000000"/>
          <w:kern w:val="0"/>
          <w:lang w:eastAsia="en-GB"/>
          <w14:ligatures w14:val="none"/>
        </w:rPr>
      </w:pPr>
      <w:r w:rsidRPr="004C1898">
        <w:rPr>
          <w:rFonts w:ascii="Arial" w:eastAsiaTheme="minorEastAsia" w:hAnsi="Arial" w:cs="Arial"/>
          <w:color w:val="000000"/>
          <w:kern w:val="0"/>
          <w:lang w:eastAsia="en-GB"/>
          <w14:ligatures w14:val="none"/>
        </w:rPr>
        <w:t xml:space="preserve">3. </w:t>
      </w:r>
      <w:r w:rsidRPr="004C1898">
        <w:rPr>
          <w:rFonts w:ascii="Arial" w:eastAsiaTheme="minorEastAsia" w:hAnsi="Arial" w:cs="Arial"/>
          <w:b/>
          <w:bCs/>
          <w:color w:val="000000"/>
          <w:kern w:val="0"/>
          <w:lang w:eastAsia="en-GB"/>
          <w14:ligatures w14:val="none"/>
        </w:rPr>
        <w:t>Data-Driven Accountability:</w:t>
      </w:r>
      <w:r w:rsidRPr="004C1898">
        <w:rPr>
          <w:rFonts w:ascii="Arial" w:eastAsiaTheme="minorEastAsia" w:hAnsi="Arial" w:cs="Arial"/>
          <w:color w:val="000000"/>
          <w:kern w:val="0"/>
          <w:lang w:eastAsia="en-GB"/>
          <w14:ligatures w14:val="none"/>
        </w:rPr>
        <w:t xml:space="preserve"> Data and clinical evidence must </w:t>
      </w:r>
      <w:bookmarkStart w:id="103" w:name="_Int_0noM6qfS"/>
      <w:r w:rsidRPr="004C1898">
        <w:rPr>
          <w:rFonts w:ascii="Arial" w:eastAsiaTheme="minorEastAsia" w:hAnsi="Arial" w:cs="Arial"/>
          <w:color w:val="000000"/>
          <w:kern w:val="0"/>
          <w:lang w:eastAsia="en-GB"/>
          <w14:ligatures w14:val="none"/>
        </w:rPr>
        <w:t>be triangulated</w:t>
      </w:r>
      <w:bookmarkEnd w:id="103"/>
      <w:r w:rsidRPr="004C1898">
        <w:rPr>
          <w:rFonts w:ascii="Arial" w:eastAsiaTheme="minorEastAsia" w:hAnsi="Arial" w:cs="Arial"/>
          <w:color w:val="000000"/>
          <w:kern w:val="0"/>
          <w:lang w:eastAsia="en-GB"/>
          <w14:ligatures w14:val="none"/>
        </w:rPr>
        <w:t xml:space="preserve"> across quantitative indicators (staffing ratios, mortality indexes, incident rates) and qualitative accounts (patient stories, staff survey sentiment). An increase in incident reporting should </w:t>
      </w:r>
      <w:bookmarkStart w:id="104" w:name="_Int_ZOJytSeO"/>
      <w:r w:rsidRPr="004C1898">
        <w:rPr>
          <w:rFonts w:ascii="Arial" w:eastAsiaTheme="minorEastAsia" w:hAnsi="Arial" w:cs="Arial"/>
          <w:color w:val="000000"/>
          <w:kern w:val="0"/>
          <w:lang w:eastAsia="en-GB"/>
          <w14:ligatures w14:val="none"/>
        </w:rPr>
        <w:t>be recognized</w:t>
      </w:r>
      <w:bookmarkEnd w:id="104"/>
      <w:r w:rsidRPr="004C1898">
        <w:rPr>
          <w:rFonts w:ascii="Arial" w:eastAsiaTheme="minorEastAsia" w:hAnsi="Arial" w:cs="Arial"/>
          <w:color w:val="000000"/>
          <w:kern w:val="0"/>
          <w:lang w:eastAsia="en-GB"/>
          <w14:ligatures w14:val="none"/>
        </w:rPr>
        <w:t xml:space="preserve"> as a signal of high safety culture and openness rather than deteriorating quality. By combining structured governance, distributed clinical leadership, and dynamic system feedback loops, health </w:t>
      </w:r>
      <w:r w:rsidR="00AE2AA2" w:rsidRPr="004C1898">
        <w:rPr>
          <w:rFonts w:ascii="Arial" w:eastAsiaTheme="minorEastAsia" w:hAnsi="Arial" w:cs="Arial"/>
          <w:color w:val="000000"/>
          <w:kern w:val="0"/>
          <w:lang w:eastAsia="en-GB"/>
          <w14:ligatures w14:val="none"/>
        </w:rPr>
        <w:t>organisations</w:t>
      </w:r>
      <w:r w:rsidRPr="004C1898">
        <w:rPr>
          <w:rFonts w:ascii="Arial" w:eastAsiaTheme="minorEastAsia" w:hAnsi="Arial" w:cs="Arial"/>
          <w:color w:val="000000"/>
          <w:kern w:val="0"/>
          <w:lang w:eastAsia="en-GB"/>
          <w14:ligatures w14:val="none"/>
        </w:rPr>
        <w:t xml:space="preserve"> can build continuous learning systems that protect patient safety, human dignity, and public trust.</w:t>
      </w:r>
    </w:p>
    <w:p w14:paraId="34AA81D7" w14:textId="1E9C297D" w:rsidR="0020280B" w:rsidRDefault="005A4F61" w:rsidP="00FC7C9F">
      <w:pPr>
        <w:pStyle w:val="Heading1"/>
        <w:rPr>
          <w:rFonts w:ascii="Arial" w:hAnsi="Arial" w:cs="Arial"/>
        </w:rPr>
      </w:pPr>
      <w:r w:rsidRPr="007C5A2A">
        <w:rPr>
          <w:rFonts w:ascii="Arial" w:hAnsi="Arial" w:cs="Arial"/>
        </w:rPr>
        <w:t>3. Recommendations</w:t>
      </w:r>
      <w:bookmarkEnd w:id="99"/>
      <w:bookmarkEnd w:id="100"/>
    </w:p>
    <w:p w14:paraId="3A6B36E3" w14:textId="7F18D30E" w:rsidR="00BB08C2" w:rsidRPr="00722420" w:rsidRDefault="00BB08C2" w:rsidP="00722420">
      <w:pPr>
        <w:spacing w:before="107" w:after="0" w:line="360" w:lineRule="auto"/>
        <w:rPr>
          <w:rFonts w:ascii="Arial" w:eastAsiaTheme="minorEastAsia" w:hAnsi="Arial" w:cs="Arial"/>
          <w:color w:val="000000"/>
          <w:kern w:val="0"/>
          <w:lang w:eastAsia="en-GB"/>
          <w14:ligatures w14:val="none"/>
        </w:rPr>
      </w:pPr>
      <w:r w:rsidRPr="00722420">
        <w:rPr>
          <w:rFonts w:ascii="Arial" w:eastAsiaTheme="minorEastAsia" w:hAnsi="Arial" w:cs="Arial"/>
          <w:color w:val="000000"/>
          <w:kern w:val="0"/>
          <w:lang w:eastAsia="en-GB"/>
          <w14:ligatures w14:val="none"/>
        </w:rPr>
        <w:t xml:space="preserve">Because the original Mid Staffordshire NHS Foundation Trust ceased </w:t>
      </w:r>
      <w:bookmarkStart w:id="105" w:name="_Int_CIwbSjvS"/>
      <w:r w:rsidRPr="00722420">
        <w:rPr>
          <w:rFonts w:ascii="Arial" w:eastAsiaTheme="minorEastAsia" w:hAnsi="Arial" w:cs="Arial"/>
          <w:color w:val="000000"/>
          <w:kern w:val="0"/>
          <w:lang w:eastAsia="en-GB"/>
          <w14:ligatures w14:val="none"/>
        </w:rPr>
        <w:t>operating</w:t>
      </w:r>
      <w:bookmarkEnd w:id="105"/>
      <w:r w:rsidRPr="00722420">
        <w:rPr>
          <w:rFonts w:ascii="Arial" w:eastAsiaTheme="minorEastAsia" w:hAnsi="Arial" w:cs="Arial"/>
          <w:color w:val="000000"/>
          <w:kern w:val="0"/>
          <w:lang w:eastAsia="en-GB"/>
          <w14:ligatures w14:val="none"/>
        </w:rPr>
        <w:t xml:space="preserve"> in 2014, these recommendations </w:t>
      </w:r>
      <w:bookmarkStart w:id="106" w:name="_Int_JvERBkL3"/>
      <w:r w:rsidRPr="00722420">
        <w:rPr>
          <w:rFonts w:ascii="Arial" w:eastAsiaTheme="minorEastAsia" w:hAnsi="Arial" w:cs="Arial"/>
          <w:color w:val="000000"/>
          <w:kern w:val="0"/>
          <w:lang w:eastAsia="en-GB"/>
          <w14:ligatures w14:val="none"/>
        </w:rPr>
        <w:t>are directed</w:t>
      </w:r>
      <w:bookmarkEnd w:id="106"/>
      <w:r w:rsidRPr="00722420">
        <w:rPr>
          <w:rFonts w:ascii="Arial" w:eastAsiaTheme="minorEastAsia" w:hAnsi="Arial" w:cs="Arial"/>
          <w:color w:val="000000"/>
          <w:kern w:val="0"/>
          <w:lang w:eastAsia="en-GB"/>
          <w14:ligatures w14:val="none"/>
        </w:rPr>
        <w:t xml:space="preserve"> to successor providers (e.g., University Hospitals of North Midlands NHS Trust) and comparable NHS acute healthcare organi</w:t>
      </w:r>
      <w:r w:rsidR="00722420" w:rsidRPr="00722420">
        <w:rPr>
          <w:rFonts w:ascii="Arial" w:eastAsiaTheme="minorEastAsia" w:hAnsi="Arial" w:cs="Arial"/>
          <w:color w:val="000000"/>
          <w:kern w:val="0"/>
          <w:lang w:eastAsia="en-GB"/>
          <w14:ligatures w14:val="none"/>
        </w:rPr>
        <w:t>s</w:t>
      </w:r>
      <w:r w:rsidRPr="00722420">
        <w:rPr>
          <w:rFonts w:ascii="Arial" w:eastAsiaTheme="minorEastAsia" w:hAnsi="Arial" w:cs="Arial"/>
          <w:color w:val="000000"/>
          <w:kern w:val="0"/>
          <w:lang w:eastAsia="en-GB"/>
          <w14:ligatures w14:val="none"/>
        </w:rPr>
        <w:t>ations.</w:t>
      </w:r>
    </w:p>
    <w:p w14:paraId="3E2564A1" w14:textId="77777777" w:rsidR="00BB08C2" w:rsidRPr="00722420" w:rsidRDefault="00BB08C2" w:rsidP="00722420">
      <w:pPr>
        <w:spacing w:before="584" w:after="0" w:line="360" w:lineRule="auto"/>
        <w:rPr>
          <w:rFonts w:ascii="Arial" w:eastAsiaTheme="minorEastAsia" w:hAnsi="Arial" w:cs="Arial"/>
          <w:b/>
          <w:bCs/>
          <w:color w:val="000000"/>
          <w:kern w:val="0"/>
          <w:lang w:eastAsia="en-GB"/>
          <w14:ligatures w14:val="none"/>
        </w:rPr>
      </w:pPr>
      <w:r w:rsidRPr="00722420">
        <w:rPr>
          <w:rFonts w:ascii="Arial" w:eastAsiaTheme="minorEastAsia" w:hAnsi="Arial" w:cs="Arial"/>
          <w:b/>
          <w:bCs/>
          <w:color w:val="000000"/>
          <w:kern w:val="0"/>
          <w:lang w:eastAsia="en-GB"/>
          <w14:ligatures w14:val="none"/>
        </w:rPr>
        <w:t>1. Effective Leadership Models for Sustained Improvement</w:t>
      </w:r>
    </w:p>
    <w:p w14:paraId="3B9236E0" w14:textId="26F890C0" w:rsidR="00BB08C2" w:rsidRPr="00722420" w:rsidRDefault="00BB08C2" w:rsidP="00722420">
      <w:pPr>
        <w:spacing w:before="227" w:after="0" w:line="360" w:lineRule="auto"/>
        <w:rPr>
          <w:rFonts w:ascii="Arial" w:eastAsiaTheme="minorEastAsia" w:hAnsi="Arial" w:cs="Arial"/>
          <w:color w:val="000000"/>
          <w:kern w:val="0"/>
          <w:lang w:eastAsia="en-GB"/>
          <w14:ligatures w14:val="none"/>
        </w:rPr>
      </w:pPr>
      <w:r w:rsidRPr="00722420">
        <w:rPr>
          <w:rFonts w:ascii="Arial" w:eastAsiaTheme="minorEastAsia" w:hAnsi="Arial" w:cs="Arial"/>
          <w:color w:val="000000"/>
          <w:kern w:val="0"/>
          <w:lang w:eastAsia="en-GB"/>
          <w14:ligatures w14:val="none"/>
        </w:rPr>
        <w:t xml:space="preserve">Successor </w:t>
      </w:r>
      <w:r w:rsidR="007071F6" w:rsidRPr="00BB08C2">
        <w:rPr>
          <w:rFonts w:ascii=".SFUI-Regular" w:eastAsiaTheme="minorEastAsia" w:hAnsi=".SFUI-Regular" w:cs="Times New Roman"/>
          <w:color w:val="000000"/>
          <w:kern w:val="0"/>
          <w:sz w:val="26"/>
          <w:szCs w:val="26"/>
          <w:lang w:eastAsia="en-GB"/>
          <w14:ligatures w14:val="none"/>
        </w:rPr>
        <w:t>organisations</w:t>
      </w:r>
      <w:r w:rsidRPr="00722420">
        <w:rPr>
          <w:rFonts w:ascii="Arial" w:eastAsiaTheme="minorEastAsia" w:hAnsi="Arial" w:cs="Arial"/>
          <w:color w:val="000000"/>
          <w:kern w:val="0"/>
          <w:lang w:eastAsia="en-GB"/>
          <w14:ligatures w14:val="none"/>
        </w:rPr>
        <w:t xml:space="preserve"> must transition to a hybrid leadership model that </w:t>
      </w:r>
      <w:r w:rsidR="007071F6" w:rsidRPr="00BB08C2">
        <w:rPr>
          <w:rFonts w:ascii=".SFUI-Regular" w:eastAsiaTheme="minorEastAsia" w:hAnsi=".SFUI-Regular" w:cs="Times New Roman"/>
          <w:color w:val="000000"/>
          <w:kern w:val="0"/>
          <w:sz w:val="26"/>
          <w:szCs w:val="26"/>
          <w:lang w:eastAsia="en-GB"/>
          <w14:ligatures w14:val="none"/>
        </w:rPr>
        <w:t>synthesises</w:t>
      </w:r>
      <w:r w:rsidRPr="00722420">
        <w:rPr>
          <w:rFonts w:ascii="Arial" w:eastAsiaTheme="minorEastAsia" w:hAnsi="Arial" w:cs="Arial"/>
          <w:color w:val="000000"/>
          <w:kern w:val="0"/>
          <w:lang w:eastAsia="en-GB"/>
          <w14:ligatures w14:val="none"/>
        </w:rPr>
        <w:t xml:space="preserve"> McGregor’s (1960) Theory Y and Ouchi’s (1981) Theory Z participatory principles with Blake and Mouton’s (1964) high task/high relationship behavioural accountability and contingency-sensitive escalation (Fiedler, 1967). Executives should sponsor multidisciplinary safety forums, actively cultivating psychological safety to protect staff who raise safety concerns (Edmondson, 1999), while </w:t>
      </w:r>
      <w:bookmarkStart w:id="107" w:name="_Int_oYA0F0Ue"/>
      <w:r w:rsidRPr="00722420">
        <w:rPr>
          <w:rFonts w:ascii="Arial" w:eastAsiaTheme="minorEastAsia" w:hAnsi="Arial" w:cs="Arial"/>
          <w:color w:val="000000"/>
          <w:kern w:val="0"/>
          <w:lang w:eastAsia="en-GB"/>
          <w14:ligatures w14:val="none"/>
        </w:rPr>
        <w:t>maintaining</w:t>
      </w:r>
      <w:bookmarkEnd w:id="107"/>
      <w:r w:rsidRPr="00722420">
        <w:rPr>
          <w:rFonts w:ascii="Arial" w:eastAsiaTheme="minorEastAsia" w:hAnsi="Arial" w:cs="Arial"/>
          <w:color w:val="000000"/>
          <w:kern w:val="0"/>
          <w:lang w:eastAsia="en-GB"/>
          <w14:ligatures w14:val="none"/>
        </w:rPr>
        <w:t xml:space="preserve"> decisive authority to intervene when patient welfare </w:t>
      </w:r>
      <w:bookmarkStart w:id="108" w:name="_Int_OuU86GF2"/>
      <w:r w:rsidRPr="00722420">
        <w:rPr>
          <w:rFonts w:ascii="Arial" w:eastAsiaTheme="minorEastAsia" w:hAnsi="Arial" w:cs="Arial"/>
          <w:color w:val="000000"/>
          <w:kern w:val="0"/>
          <w:lang w:eastAsia="en-GB"/>
          <w14:ligatures w14:val="none"/>
        </w:rPr>
        <w:t>is threatened</w:t>
      </w:r>
      <w:bookmarkEnd w:id="108"/>
      <w:r w:rsidRPr="00722420">
        <w:rPr>
          <w:rFonts w:ascii="Arial" w:eastAsiaTheme="minorEastAsia" w:hAnsi="Arial" w:cs="Arial"/>
          <w:color w:val="000000"/>
          <w:kern w:val="0"/>
          <w:lang w:eastAsia="en-GB"/>
          <w14:ligatures w14:val="none"/>
        </w:rPr>
        <w:t xml:space="preserve">. Executive board members should conduct quarterly unannounced clinical walk-rounds paired with structured patient and frontline staff debriefs. Leadership development programs must </w:t>
      </w:r>
      <w:bookmarkStart w:id="109" w:name="_Int_OjTYCVY3"/>
      <w:r w:rsidRPr="00722420">
        <w:rPr>
          <w:rFonts w:ascii="Arial" w:eastAsiaTheme="minorEastAsia" w:hAnsi="Arial" w:cs="Arial"/>
          <w:color w:val="000000"/>
          <w:kern w:val="0"/>
          <w:lang w:eastAsia="en-GB"/>
          <w14:ligatures w14:val="none"/>
        </w:rPr>
        <w:t>be evaluated</w:t>
      </w:r>
      <w:bookmarkEnd w:id="109"/>
      <w:r w:rsidRPr="00722420">
        <w:rPr>
          <w:rFonts w:ascii="Arial" w:eastAsiaTheme="minorEastAsia" w:hAnsi="Arial" w:cs="Arial"/>
          <w:color w:val="000000"/>
          <w:kern w:val="0"/>
          <w:lang w:eastAsia="en-GB"/>
          <w14:ligatures w14:val="none"/>
        </w:rPr>
        <w:t xml:space="preserve"> against observable cultural behaviours and staff confidence to speak up, rather than mere course attendance (West et al., 2014).</w:t>
      </w:r>
    </w:p>
    <w:p w14:paraId="75CA7430" w14:textId="77777777" w:rsidR="00070A48" w:rsidRDefault="00070A48" w:rsidP="00722420">
      <w:pPr>
        <w:spacing w:before="584" w:after="0" w:line="360" w:lineRule="auto"/>
        <w:rPr>
          <w:rFonts w:ascii="Arial" w:eastAsiaTheme="minorEastAsia" w:hAnsi="Arial" w:cs="Arial"/>
          <w:b/>
          <w:bCs/>
          <w:color w:val="000000"/>
          <w:kern w:val="0"/>
          <w:lang w:eastAsia="en-GB"/>
          <w14:ligatures w14:val="none"/>
        </w:rPr>
      </w:pPr>
    </w:p>
    <w:p w14:paraId="70F29F65" w14:textId="77777777" w:rsidR="00070A48" w:rsidRDefault="00070A48" w:rsidP="00722420">
      <w:pPr>
        <w:spacing w:before="584" w:after="0" w:line="360" w:lineRule="auto"/>
        <w:rPr>
          <w:rFonts w:ascii="Arial" w:eastAsiaTheme="minorEastAsia" w:hAnsi="Arial" w:cs="Arial"/>
          <w:b/>
          <w:bCs/>
          <w:color w:val="000000"/>
          <w:kern w:val="0"/>
          <w:lang w:eastAsia="en-GB"/>
          <w14:ligatures w14:val="none"/>
        </w:rPr>
      </w:pPr>
    </w:p>
    <w:p w14:paraId="735006AA" w14:textId="72D8599C" w:rsidR="00BB08C2" w:rsidRPr="00722420" w:rsidRDefault="00BB08C2" w:rsidP="00722420">
      <w:pPr>
        <w:spacing w:before="584" w:after="0" w:line="360" w:lineRule="auto"/>
        <w:rPr>
          <w:rFonts w:ascii="Arial" w:eastAsiaTheme="minorEastAsia" w:hAnsi="Arial" w:cs="Arial"/>
          <w:b/>
          <w:bCs/>
          <w:color w:val="000000"/>
          <w:kern w:val="0"/>
          <w:lang w:eastAsia="en-GB"/>
          <w14:ligatures w14:val="none"/>
        </w:rPr>
      </w:pPr>
      <w:r w:rsidRPr="00722420">
        <w:rPr>
          <w:rFonts w:ascii="Arial" w:eastAsiaTheme="minorEastAsia" w:hAnsi="Arial" w:cs="Arial"/>
          <w:b/>
          <w:bCs/>
          <w:color w:val="000000"/>
          <w:kern w:val="0"/>
          <w:lang w:eastAsia="en-GB"/>
          <w14:ligatures w14:val="none"/>
        </w:rPr>
        <w:t>2. Strengthening Governance, Communication, and Systems Integration</w:t>
      </w:r>
    </w:p>
    <w:p w14:paraId="7E6431DF" w14:textId="5BF59505" w:rsidR="00722420" w:rsidRPr="00070A48" w:rsidRDefault="00BB08C2" w:rsidP="00070A48">
      <w:pPr>
        <w:spacing w:before="227" w:after="0" w:line="360" w:lineRule="auto"/>
        <w:rPr>
          <w:rFonts w:ascii="Arial" w:eastAsiaTheme="minorEastAsia" w:hAnsi="Arial" w:cs="Arial"/>
          <w:color w:val="000000"/>
          <w:kern w:val="0"/>
          <w:lang w:eastAsia="en-GB"/>
          <w14:ligatures w14:val="none"/>
        </w:rPr>
      </w:pPr>
      <w:r w:rsidRPr="00722420">
        <w:rPr>
          <w:rFonts w:ascii="Arial" w:eastAsiaTheme="minorEastAsia" w:hAnsi="Arial" w:cs="Arial"/>
          <w:color w:val="000000"/>
          <w:kern w:val="0"/>
          <w:lang w:eastAsia="en-GB"/>
          <w14:ligatures w14:val="none"/>
        </w:rPr>
        <w:t xml:space="preserve">Governance mechanisms must enforce strict operational accountability by assigning every critical clinical risk to a named executive owner, complete with a response deadline and documented audit trail. </w:t>
      </w:r>
      <w:r w:rsidR="003164FE" w:rsidRPr="00BB08C2">
        <w:rPr>
          <w:rFonts w:ascii=".SFUI-Regular" w:eastAsiaTheme="minorEastAsia" w:hAnsi=".SFUI-Regular" w:cs="Times New Roman"/>
          <w:color w:val="000000"/>
          <w:kern w:val="0"/>
          <w:sz w:val="26"/>
          <w:szCs w:val="26"/>
          <w:lang w:eastAsia="en-GB"/>
          <w14:ligatures w14:val="none"/>
        </w:rPr>
        <w:t>Organisations</w:t>
      </w:r>
      <w:r w:rsidRPr="00722420">
        <w:rPr>
          <w:rFonts w:ascii="Arial" w:eastAsiaTheme="minorEastAsia" w:hAnsi="Arial" w:cs="Arial"/>
          <w:color w:val="000000"/>
          <w:kern w:val="0"/>
          <w:lang w:eastAsia="en-GB"/>
          <w14:ligatures w14:val="none"/>
        </w:rPr>
        <w:t xml:space="preserve"> should adopt a standard response framework: acknowledging urgent safety concerns within 24 hours and publishing </w:t>
      </w:r>
      <w:bookmarkStart w:id="110" w:name="_Int_y2IcShAL"/>
      <w:r w:rsidRPr="00722420">
        <w:rPr>
          <w:rFonts w:ascii="Arial" w:eastAsiaTheme="minorEastAsia" w:hAnsi="Arial" w:cs="Arial"/>
          <w:color w:val="000000"/>
          <w:kern w:val="0"/>
          <w:lang w:eastAsia="en-GB"/>
          <w14:ligatures w14:val="none"/>
        </w:rPr>
        <w:t>an initial</w:t>
      </w:r>
      <w:bookmarkEnd w:id="110"/>
      <w:r w:rsidRPr="00722420">
        <w:rPr>
          <w:rFonts w:ascii="Arial" w:eastAsiaTheme="minorEastAsia" w:hAnsi="Arial" w:cs="Arial"/>
          <w:color w:val="000000"/>
          <w:kern w:val="0"/>
          <w:lang w:eastAsia="en-GB"/>
          <w14:ligatures w14:val="none"/>
        </w:rPr>
        <w:t xml:space="preserve"> documented action plan within 72 hours. Board sub-committees must review integrated quality dashboards combining planned versus actual staffing rosters, repeat complaints, incident severity, safeguarding alerts, and action completion rates. Under the Patient Safety Incident Response Framework (PSIRF), learning responses should be proportionate, involve affected patients and families, and explicitly distinguish system improvement from professional performance management (NHS England, 2022).</w:t>
      </w:r>
    </w:p>
    <w:p w14:paraId="442853C6" w14:textId="1EB77084" w:rsidR="00BB08C2" w:rsidRPr="00722420" w:rsidRDefault="00BB08C2" w:rsidP="00722420">
      <w:pPr>
        <w:spacing w:before="584" w:after="0" w:line="360" w:lineRule="auto"/>
        <w:rPr>
          <w:rFonts w:ascii="Arial" w:eastAsiaTheme="minorEastAsia" w:hAnsi="Arial" w:cs="Arial"/>
          <w:b/>
          <w:bCs/>
          <w:color w:val="000000"/>
          <w:kern w:val="0"/>
          <w:lang w:eastAsia="en-GB"/>
          <w14:ligatures w14:val="none"/>
        </w:rPr>
      </w:pPr>
      <w:r w:rsidRPr="00722420">
        <w:rPr>
          <w:rFonts w:ascii="Arial" w:eastAsiaTheme="minorEastAsia" w:hAnsi="Arial" w:cs="Arial"/>
          <w:b/>
          <w:bCs/>
          <w:color w:val="000000"/>
          <w:kern w:val="0"/>
          <w:lang w:eastAsia="en-GB"/>
          <w14:ligatures w14:val="none"/>
        </w:rPr>
        <w:t>3. Enhancing Technical and Allocative Efficiency</w:t>
      </w:r>
    </w:p>
    <w:p w14:paraId="5A22BAC7" w14:textId="77777777" w:rsidR="00BB08C2" w:rsidRPr="00722420" w:rsidRDefault="00BB08C2" w:rsidP="00722420">
      <w:pPr>
        <w:spacing w:before="227" w:after="0" w:line="360" w:lineRule="auto"/>
        <w:rPr>
          <w:rFonts w:ascii="Arial" w:eastAsiaTheme="minorEastAsia" w:hAnsi="Arial" w:cs="Arial"/>
          <w:color w:val="000000"/>
          <w:kern w:val="0"/>
          <w:lang w:eastAsia="en-GB"/>
          <w14:ligatures w14:val="none"/>
        </w:rPr>
      </w:pPr>
      <w:r w:rsidRPr="00722420">
        <w:rPr>
          <w:rFonts w:ascii="Arial" w:eastAsiaTheme="minorEastAsia" w:hAnsi="Arial" w:cs="Arial"/>
          <w:color w:val="000000"/>
          <w:kern w:val="0"/>
          <w:lang w:eastAsia="en-GB"/>
          <w14:ligatures w14:val="none"/>
        </w:rPr>
        <w:t xml:space="preserve">Workforce planning should integrate patient acuity scales, roster variance, missed-care indicators, turnover rates, and sickness absence metrics. Technical efficiency must </w:t>
      </w:r>
      <w:bookmarkStart w:id="111" w:name="_Int_83y8fZUn"/>
      <w:r w:rsidRPr="00722420">
        <w:rPr>
          <w:rFonts w:ascii="Arial" w:eastAsiaTheme="minorEastAsia" w:hAnsi="Arial" w:cs="Arial"/>
          <w:color w:val="000000"/>
          <w:kern w:val="0"/>
          <w:lang w:eastAsia="en-GB"/>
          <w14:ligatures w14:val="none"/>
        </w:rPr>
        <w:t>be enhanced</w:t>
      </w:r>
      <w:bookmarkEnd w:id="111"/>
      <w:r w:rsidRPr="00722420">
        <w:rPr>
          <w:rFonts w:ascii="Arial" w:eastAsiaTheme="minorEastAsia" w:hAnsi="Arial" w:cs="Arial"/>
          <w:color w:val="000000"/>
          <w:kern w:val="0"/>
          <w:lang w:eastAsia="en-GB"/>
          <w14:ligatures w14:val="none"/>
        </w:rPr>
        <w:t xml:space="preserve"> by </w:t>
      </w:r>
      <w:bookmarkStart w:id="112" w:name="_Int_SjqGoInu"/>
      <w:r w:rsidRPr="00722420">
        <w:rPr>
          <w:rFonts w:ascii="Arial" w:eastAsiaTheme="minorEastAsia" w:hAnsi="Arial" w:cs="Arial"/>
          <w:color w:val="000000"/>
          <w:kern w:val="0"/>
          <w:lang w:eastAsia="en-GB"/>
          <w14:ligatures w14:val="none"/>
        </w:rPr>
        <w:t>eliminating</w:t>
      </w:r>
      <w:bookmarkEnd w:id="112"/>
      <w:r w:rsidRPr="00722420">
        <w:rPr>
          <w:rFonts w:ascii="Arial" w:eastAsiaTheme="minorEastAsia" w:hAnsi="Arial" w:cs="Arial"/>
          <w:color w:val="000000"/>
          <w:kern w:val="0"/>
          <w:lang w:eastAsia="en-GB"/>
          <w14:ligatures w14:val="none"/>
        </w:rPr>
        <w:t xml:space="preserve"> redundant clinical documentation, streamlining discharge pathways, and reducing unnecessary patient transfers. Allocative efficiency must </w:t>
      </w:r>
      <w:bookmarkStart w:id="113" w:name="_Int_7BOhx9p2"/>
      <w:r w:rsidRPr="00722420">
        <w:rPr>
          <w:rFonts w:ascii="Arial" w:eastAsiaTheme="minorEastAsia" w:hAnsi="Arial" w:cs="Arial"/>
          <w:color w:val="000000"/>
          <w:kern w:val="0"/>
          <w:lang w:eastAsia="en-GB"/>
          <w14:ligatures w14:val="none"/>
        </w:rPr>
        <w:t>be evaluated</w:t>
      </w:r>
      <w:bookmarkEnd w:id="113"/>
      <w:r w:rsidRPr="00722420">
        <w:rPr>
          <w:rFonts w:ascii="Arial" w:eastAsiaTheme="minorEastAsia" w:hAnsi="Arial" w:cs="Arial"/>
          <w:color w:val="000000"/>
          <w:kern w:val="0"/>
          <w:lang w:eastAsia="en-GB"/>
          <w14:ligatures w14:val="none"/>
        </w:rPr>
        <w:t xml:space="preserve"> by systematically comparing competing investment choices—such as expanding registered nurse capacity versus re-engineering ward workflows. Decisions must evaluate cost per quality outcome improved, health equity impacts, and staff cognitive burden. No operational intervention should </w:t>
      </w:r>
      <w:bookmarkStart w:id="114" w:name="_Int_JlDdPpoe"/>
      <w:r w:rsidRPr="00722420">
        <w:rPr>
          <w:rFonts w:ascii="Arial" w:eastAsiaTheme="minorEastAsia" w:hAnsi="Arial" w:cs="Arial"/>
          <w:color w:val="000000"/>
          <w:kern w:val="0"/>
          <w:lang w:eastAsia="en-GB"/>
          <w14:ligatures w14:val="none"/>
        </w:rPr>
        <w:t>be classified</w:t>
      </w:r>
      <w:bookmarkEnd w:id="114"/>
      <w:r w:rsidRPr="00722420">
        <w:rPr>
          <w:rFonts w:ascii="Arial" w:eastAsiaTheme="minorEastAsia" w:hAnsi="Arial" w:cs="Arial"/>
          <w:color w:val="000000"/>
          <w:kern w:val="0"/>
          <w:lang w:eastAsia="en-GB"/>
          <w14:ligatures w14:val="none"/>
        </w:rPr>
        <w:t xml:space="preserve"> as cost-saving without empirical local evidence </w:t>
      </w:r>
      <w:bookmarkStart w:id="115" w:name="_Int_5Nkl67xf"/>
      <w:r w:rsidRPr="00722420">
        <w:rPr>
          <w:rFonts w:ascii="Arial" w:eastAsiaTheme="minorEastAsia" w:hAnsi="Arial" w:cs="Arial"/>
          <w:color w:val="000000"/>
          <w:kern w:val="0"/>
          <w:lang w:eastAsia="en-GB"/>
          <w14:ligatures w14:val="none"/>
        </w:rPr>
        <w:t>demonstrating</w:t>
      </w:r>
      <w:bookmarkEnd w:id="115"/>
      <w:r w:rsidRPr="00722420">
        <w:rPr>
          <w:rFonts w:ascii="Arial" w:eastAsiaTheme="minorEastAsia" w:hAnsi="Arial" w:cs="Arial"/>
          <w:color w:val="000000"/>
          <w:kern w:val="0"/>
          <w:lang w:eastAsia="en-GB"/>
          <w14:ligatures w14:val="none"/>
        </w:rPr>
        <w:t xml:space="preserve"> net clinical benefits (Palmer and Torgerson, 1999; Aiken et al., 2014).</w:t>
      </w:r>
    </w:p>
    <w:p w14:paraId="01645B0F" w14:textId="77777777" w:rsidR="00BB08C2" w:rsidRPr="00722420" w:rsidRDefault="00BB08C2" w:rsidP="00722420">
      <w:pPr>
        <w:spacing w:before="584" w:after="0" w:line="360" w:lineRule="auto"/>
        <w:rPr>
          <w:rFonts w:ascii="Arial" w:eastAsiaTheme="minorEastAsia" w:hAnsi="Arial" w:cs="Arial"/>
          <w:b/>
          <w:bCs/>
          <w:color w:val="000000"/>
          <w:kern w:val="0"/>
          <w:lang w:eastAsia="en-GB"/>
          <w14:ligatures w14:val="none"/>
        </w:rPr>
      </w:pPr>
      <w:r w:rsidRPr="00722420">
        <w:rPr>
          <w:rFonts w:ascii="Arial" w:eastAsiaTheme="minorEastAsia" w:hAnsi="Arial" w:cs="Arial"/>
          <w:b/>
          <w:bCs/>
          <w:color w:val="000000"/>
          <w:kern w:val="0"/>
          <w:lang w:eastAsia="en-GB"/>
          <w14:ligatures w14:val="none"/>
        </w:rPr>
        <w:t>4. Continuous Learning, Stakeholder Engagement, and Co-Production</w:t>
      </w:r>
    </w:p>
    <w:p w14:paraId="0205FE1C" w14:textId="7564B809" w:rsidR="00BB08C2" w:rsidRPr="00722420" w:rsidRDefault="00BB08C2" w:rsidP="00722420">
      <w:pPr>
        <w:spacing w:before="227" w:after="0" w:line="360" w:lineRule="auto"/>
        <w:rPr>
          <w:rFonts w:ascii="Arial" w:eastAsiaTheme="minorEastAsia" w:hAnsi="Arial" w:cs="Arial"/>
          <w:color w:val="000000"/>
          <w:kern w:val="0"/>
          <w:lang w:eastAsia="en-GB"/>
          <w14:ligatures w14:val="none"/>
        </w:rPr>
      </w:pPr>
      <w:r w:rsidRPr="00722420">
        <w:rPr>
          <w:rFonts w:ascii="Arial" w:eastAsiaTheme="minorEastAsia" w:hAnsi="Arial" w:cs="Arial"/>
          <w:color w:val="000000"/>
          <w:kern w:val="0"/>
          <w:lang w:eastAsia="en-GB"/>
          <w14:ligatures w14:val="none"/>
        </w:rPr>
        <w:t xml:space="preserve">Dependable, multi-level feedback loops must </w:t>
      </w:r>
      <w:bookmarkStart w:id="116" w:name="_Int_L05MAI34"/>
      <w:r w:rsidRPr="00722420">
        <w:rPr>
          <w:rFonts w:ascii="Arial" w:eastAsiaTheme="minorEastAsia" w:hAnsi="Arial" w:cs="Arial"/>
          <w:color w:val="000000"/>
          <w:kern w:val="0"/>
          <w:lang w:eastAsia="en-GB"/>
          <w14:ligatures w14:val="none"/>
        </w:rPr>
        <w:t xml:space="preserve">be </w:t>
      </w:r>
      <w:r w:rsidR="008602BF" w:rsidRPr="00722420">
        <w:rPr>
          <w:rFonts w:ascii="Arial" w:eastAsiaTheme="minorEastAsia" w:hAnsi="Arial" w:cs="Arial"/>
          <w:color w:val="000000"/>
          <w:kern w:val="0"/>
          <w:lang w:eastAsia="en-GB"/>
          <w14:ligatures w14:val="none"/>
        </w:rPr>
        <w:t>proven</w:t>
      </w:r>
      <w:bookmarkEnd w:id="116"/>
      <w:r w:rsidRPr="00722420">
        <w:rPr>
          <w:rFonts w:ascii="Arial" w:eastAsiaTheme="minorEastAsia" w:hAnsi="Arial" w:cs="Arial"/>
          <w:color w:val="000000"/>
          <w:kern w:val="0"/>
          <w:lang w:eastAsia="en-GB"/>
          <w14:ligatures w14:val="none"/>
        </w:rPr>
        <w:t xml:space="preserve"> daily ward-level safety huddles to manage immediate clinical risk, monthly interprofessional reviews to </w:t>
      </w:r>
      <w:r w:rsidR="00722420" w:rsidRPr="00722420">
        <w:rPr>
          <w:rFonts w:ascii="Arial" w:eastAsiaTheme="minorEastAsia" w:hAnsi="Arial" w:cs="Arial"/>
          <w:color w:val="000000"/>
          <w:kern w:val="0"/>
          <w:lang w:eastAsia="en-GB"/>
          <w14:ligatures w14:val="none"/>
        </w:rPr>
        <w:t>analyse</w:t>
      </w:r>
      <w:r w:rsidRPr="00722420">
        <w:rPr>
          <w:rFonts w:ascii="Arial" w:eastAsiaTheme="minorEastAsia" w:hAnsi="Arial" w:cs="Arial"/>
          <w:color w:val="000000"/>
          <w:kern w:val="0"/>
          <w:lang w:eastAsia="en-GB"/>
          <w14:ligatures w14:val="none"/>
        </w:rPr>
        <w:t xml:space="preserve"> recurring risk patterns, and quarterly patient and family advisory panels. Following the IHI zero-harm framework, co-production must actively engage underrepresented patient groups, providing accessible communication formats and direct feedback </w:t>
      </w:r>
      <w:bookmarkStart w:id="117" w:name="_Int_yQFcr1qb"/>
      <w:r w:rsidRPr="00722420">
        <w:rPr>
          <w:rFonts w:ascii="Arial" w:eastAsiaTheme="minorEastAsia" w:hAnsi="Arial" w:cs="Arial"/>
          <w:color w:val="000000"/>
          <w:kern w:val="0"/>
          <w:lang w:eastAsia="en-GB"/>
          <w14:ligatures w14:val="none"/>
        </w:rPr>
        <w:t>demonstrating</w:t>
      </w:r>
      <w:bookmarkEnd w:id="117"/>
      <w:r w:rsidRPr="00722420">
        <w:rPr>
          <w:rFonts w:ascii="Arial" w:eastAsiaTheme="minorEastAsia" w:hAnsi="Arial" w:cs="Arial"/>
          <w:color w:val="000000"/>
          <w:kern w:val="0"/>
          <w:lang w:eastAsia="en-GB"/>
          <w14:ligatures w14:val="none"/>
        </w:rPr>
        <w:t xml:space="preserve"> how their input altered care protocols (Gandhi, Feeley and Schummers, 2020). Improvement initiatives must </w:t>
      </w:r>
      <w:bookmarkStart w:id="118" w:name="_Int_XmDdlVLR"/>
      <w:r w:rsidRPr="00722420">
        <w:rPr>
          <w:rFonts w:ascii="Arial" w:eastAsiaTheme="minorEastAsia" w:hAnsi="Arial" w:cs="Arial"/>
          <w:color w:val="000000"/>
          <w:kern w:val="0"/>
          <w:lang w:eastAsia="en-GB"/>
          <w14:ligatures w14:val="none"/>
        </w:rPr>
        <w:t>utilize</w:t>
      </w:r>
      <w:bookmarkEnd w:id="118"/>
      <w:r w:rsidRPr="00722420">
        <w:rPr>
          <w:rFonts w:ascii="Arial" w:eastAsiaTheme="minorEastAsia" w:hAnsi="Arial" w:cs="Arial"/>
          <w:color w:val="000000"/>
          <w:kern w:val="0"/>
          <w:lang w:eastAsia="en-GB"/>
          <w14:ligatures w14:val="none"/>
        </w:rPr>
        <w:t xml:space="preserve"> the Model for Improvement, testing changes through Plan–Do–Study–Act (PDSA) cycles measuring process, outcome, and balancing metrics before trust-wide rollout (Langley et al., 2009; IHI, 2017).</w:t>
      </w:r>
    </w:p>
    <w:p w14:paraId="630C7E5C" w14:textId="77777777" w:rsidR="001E4C9A" w:rsidRDefault="001E4C9A" w:rsidP="00263FA0">
      <w:pPr>
        <w:spacing w:before="584" w:after="0" w:line="240" w:lineRule="auto"/>
        <w:rPr>
          <w:rFonts w:ascii="Arial" w:eastAsiaTheme="minorEastAsia" w:hAnsi="Arial" w:cs="Arial"/>
          <w:b/>
          <w:bCs/>
          <w:color w:val="000000"/>
          <w:kern w:val="0"/>
          <w:lang w:eastAsia="en-GB"/>
          <w14:ligatures w14:val="none"/>
        </w:rPr>
      </w:pPr>
    </w:p>
    <w:p w14:paraId="6B7416D9" w14:textId="77777777" w:rsidR="001E4C9A" w:rsidRDefault="001E4C9A" w:rsidP="00263FA0">
      <w:pPr>
        <w:spacing w:before="584" w:after="0" w:line="240" w:lineRule="auto"/>
        <w:rPr>
          <w:rFonts w:ascii="Arial" w:eastAsiaTheme="minorEastAsia" w:hAnsi="Arial" w:cs="Arial"/>
          <w:b/>
          <w:bCs/>
          <w:color w:val="000000"/>
          <w:kern w:val="0"/>
          <w:lang w:eastAsia="en-GB"/>
          <w14:ligatures w14:val="none"/>
        </w:rPr>
      </w:pPr>
    </w:p>
    <w:p w14:paraId="7150102A" w14:textId="715881AF" w:rsidR="00263FA0" w:rsidRPr="00722420" w:rsidRDefault="00263FA0" w:rsidP="00263FA0">
      <w:pPr>
        <w:spacing w:before="584" w:after="0" w:line="240" w:lineRule="auto"/>
        <w:rPr>
          <w:rFonts w:ascii="Arial" w:eastAsiaTheme="minorEastAsia" w:hAnsi="Arial" w:cs="Arial"/>
          <w:b/>
          <w:bCs/>
          <w:color w:val="000000"/>
          <w:kern w:val="0"/>
          <w:lang w:eastAsia="en-GB"/>
          <w14:ligatures w14:val="none"/>
        </w:rPr>
      </w:pPr>
      <w:r w:rsidRPr="00722420">
        <w:rPr>
          <w:rFonts w:ascii="Arial" w:eastAsiaTheme="minorEastAsia" w:hAnsi="Arial" w:cs="Arial"/>
          <w:b/>
          <w:bCs/>
          <w:color w:val="000000"/>
          <w:kern w:val="0"/>
          <w:lang w:eastAsia="en-GB"/>
          <w14:ligatures w14:val="none"/>
        </w:rPr>
        <w:t>5. Staged Implementation Plan and Evaluation</w:t>
      </w:r>
    </w:p>
    <w:p w14:paraId="5E6BC43C" w14:textId="26BFC598" w:rsidR="001A2452" w:rsidRPr="003E1056" w:rsidRDefault="003164FE" w:rsidP="001A2452">
      <w:pPr>
        <w:rPr>
          <w:rFonts w:ascii="Arial" w:hAnsi="Arial" w:cs="Arial"/>
          <w:b/>
        </w:rPr>
      </w:pPr>
      <w:r>
        <w:rPr>
          <w:noProof/>
        </w:rPr>
        <w:drawing>
          <wp:anchor distT="0" distB="0" distL="114300" distR="114300" simplePos="0" relativeHeight="251658243" behindDoc="0" locked="0" layoutInCell="1" allowOverlap="1" wp14:anchorId="07F7B73F" wp14:editId="24B7795D">
            <wp:simplePos x="0" y="0"/>
            <wp:positionH relativeFrom="column">
              <wp:posOffset>237490</wp:posOffset>
            </wp:positionH>
            <wp:positionV relativeFrom="paragraph">
              <wp:posOffset>274955</wp:posOffset>
            </wp:positionV>
            <wp:extent cx="5778500" cy="2907030"/>
            <wp:effectExtent l="0" t="0" r="0" b="1270"/>
            <wp:wrapTopAndBottom/>
            <wp:docPr id="409893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93247" name=""/>
                    <pic:cNvPicPr/>
                  </pic:nvPicPr>
                  <pic:blipFill>
                    <a:blip r:embed="rId18"/>
                    <a:stretch>
                      <a:fillRect/>
                    </a:stretch>
                  </pic:blipFill>
                  <pic:spPr>
                    <a:xfrm>
                      <a:off x="0" y="0"/>
                      <a:ext cx="5778500" cy="2907030"/>
                    </a:xfrm>
                    <a:prstGeom prst="rect">
                      <a:avLst/>
                    </a:prstGeom>
                  </pic:spPr>
                </pic:pic>
              </a:graphicData>
            </a:graphic>
            <wp14:sizeRelH relativeFrom="margin">
              <wp14:pctWidth>0</wp14:pctWidth>
            </wp14:sizeRelH>
            <wp14:sizeRelV relativeFrom="margin">
              <wp14:pctHeight>0</wp14:pctHeight>
            </wp14:sizeRelV>
          </wp:anchor>
        </w:drawing>
      </w:r>
    </w:p>
    <w:p w14:paraId="5620DDF5" w14:textId="77777777" w:rsidR="006E0181" w:rsidRDefault="006E0181" w:rsidP="001A2452"/>
    <w:p w14:paraId="72E94C7A" w14:textId="7FBC32F6" w:rsidR="000034A9" w:rsidRDefault="000C6FD0" w:rsidP="001E4C9A">
      <w:pPr>
        <w:spacing w:line="360" w:lineRule="auto"/>
      </w:pPr>
      <w:r w:rsidRPr="001E4C9A">
        <w:rPr>
          <w:rFonts w:ascii="Arial" w:hAnsi="Arial" w:cs="Arial"/>
          <w:b/>
        </w:rPr>
        <w:t xml:space="preserve">Figure </w:t>
      </w:r>
      <w:r w:rsidR="001E4C9A" w:rsidRPr="001E4C9A">
        <w:rPr>
          <w:rFonts w:ascii="Arial" w:hAnsi="Arial" w:cs="Arial"/>
          <w:b/>
          <w:bCs/>
        </w:rPr>
        <w:t>7:</w:t>
      </w:r>
      <w:r w:rsidRPr="000C6FD0">
        <w:t xml:space="preserve"> </w:t>
      </w:r>
      <w:r w:rsidRPr="001E4C9A">
        <w:rPr>
          <w:rFonts w:ascii="Arial" w:hAnsi="Arial" w:cs="Arial"/>
        </w:rPr>
        <w:t>Twelve-month implementation timeline: foundation, iterative testing</w:t>
      </w:r>
      <w:r w:rsidR="001767B2" w:rsidRPr="001E4C9A">
        <w:rPr>
          <w:rFonts w:ascii="Arial" w:hAnsi="Arial" w:cs="Arial"/>
        </w:rPr>
        <w:t>,</w:t>
      </w:r>
      <w:r w:rsidRPr="001E4C9A">
        <w:rPr>
          <w:rFonts w:ascii="Arial" w:hAnsi="Arial" w:cs="Arial"/>
        </w:rPr>
        <w:t xml:space="preserve"> and independent review.</w:t>
      </w:r>
    </w:p>
    <w:p w14:paraId="10EF154F" w14:textId="77777777" w:rsidR="000034A9" w:rsidRDefault="000034A9" w:rsidP="001A2452"/>
    <w:p w14:paraId="79459A92" w14:textId="77777777" w:rsidR="000034A9" w:rsidRPr="001F4CB6" w:rsidRDefault="000034A9" w:rsidP="001F4CB6">
      <w:pPr>
        <w:spacing w:after="0" w:line="360" w:lineRule="auto"/>
        <w:rPr>
          <w:rFonts w:ascii="Arial" w:eastAsiaTheme="minorEastAsia" w:hAnsi="Arial" w:cs="Arial"/>
          <w:b/>
          <w:bCs/>
          <w:color w:val="000000"/>
          <w:kern w:val="0"/>
          <w:lang w:eastAsia="en-GB"/>
          <w14:ligatures w14:val="none"/>
        </w:rPr>
      </w:pPr>
      <w:r w:rsidRPr="001F4CB6">
        <w:rPr>
          <w:rFonts w:ascii="Arial" w:eastAsiaTheme="minorEastAsia" w:hAnsi="Arial" w:cs="Arial"/>
          <w:b/>
          <w:bCs/>
          <w:color w:val="000000"/>
          <w:kern w:val="0"/>
          <w:lang w:eastAsia="en-GB"/>
          <w14:ligatures w14:val="none"/>
        </w:rPr>
        <w:t xml:space="preserve">Implementation should </w:t>
      </w:r>
      <w:bookmarkStart w:id="119" w:name="_Int_NK4NTab6"/>
      <w:r w:rsidRPr="001F4CB6">
        <w:rPr>
          <w:rFonts w:ascii="Arial" w:eastAsiaTheme="minorEastAsia" w:hAnsi="Arial" w:cs="Arial"/>
          <w:b/>
          <w:bCs/>
          <w:color w:val="000000"/>
          <w:kern w:val="0"/>
          <w:lang w:eastAsia="en-GB"/>
          <w14:ligatures w14:val="none"/>
        </w:rPr>
        <w:t>be phased</w:t>
      </w:r>
      <w:bookmarkEnd w:id="119"/>
      <w:r w:rsidRPr="001F4CB6">
        <w:rPr>
          <w:rFonts w:ascii="Arial" w:eastAsiaTheme="minorEastAsia" w:hAnsi="Arial" w:cs="Arial"/>
          <w:b/>
          <w:bCs/>
          <w:color w:val="000000"/>
          <w:kern w:val="0"/>
          <w:lang w:eastAsia="en-GB"/>
          <w14:ligatures w14:val="none"/>
        </w:rPr>
        <w:t xml:space="preserve"> over twelve months:</w:t>
      </w:r>
    </w:p>
    <w:p w14:paraId="7E47CF44" w14:textId="77777777" w:rsidR="000034A9" w:rsidRPr="001F4CB6" w:rsidRDefault="000034A9" w:rsidP="001F4CB6">
      <w:pPr>
        <w:spacing w:before="200" w:after="0" w:line="360" w:lineRule="auto"/>
        <w:ind w:left="600" w:hanging="600"/>
        <w:rPr>
          <w:rFonts w:ascii="Arial" w:eastAsiaTheme="minorEastAsia" w:hAnsi="Arial" w:cs="Arial"/>
          <w:color w:val="000000"/>
          <w:kern w:val="0"/>
          <w:lang w:eastAsia="en-GB"/>
          <w14:ligatures w14:val="none"/>
        </w:rPr>
      </w:pPr>
      <w:r w:rsidRPr="000034A9">
        <w:rPr>
          <w:rFonts w:ascii=".SFUI-Regular" w:eastAsiaTheme="minorEastAsia" w:hAnsi=".SFUI-Regular" w:cs="Times New Roman"/>
          <w:color w:val="000000"/>
          <w:kern w:val="0"/>
          <w:sz w:val="26"/>
          <w:szCs w:val="26"/>
          <w:lang w:eastAsia="en-GB"/>
          <w14:ligatures w14:val="none"/>
        </w:rPr>
        <w:t> </w:t>
      </w:r>
      <w:r w:rsidRPr="001F4CB6">
        <w:rPr>
          <w:rFonts w:ascii="Arial" w:eastAsiaTheme="minorEastAsia" w:hAnsi="Arial" w:cs="Arial"/>
          <w:b/>
          <w:bCs/>
          <w:color w:val="000000"/>
          <w:kern w:val="0"/>
          <w:lang w:eastAsia="en-GB"/>
          <w14:ligatures w14:val="none"/>
        </w:rPr>
        <w:t>Months 1–3 (Foundation):</w:t>
      </w:r>
      <w:r w:rsidRPr="001F4CB6">
        <w:rPr>
          <w:rFonts w:ascii="Arial" w:eastAsiaTheme="minorEastAsia" w:hAnsi="Arial" w:cs="Arial"/>
          <w:color w:val="000000"/>
          <w:kern w:val="0"/>
          <w:lang w:eastAsia="en-GB"/>
          <w14:ligatures w14:val="none"/>
        </w:rPr>
        <w:t xml:space="preserve"> The board defines baseline safety metrics, maps clear escalation pathways, and assigns accountable risk owners.</w:t>
      </w:r>
    </w:p>
    <w:p w14:paraId="23E76A0D" w14:textId="77777777" w:rsidR="000034A9" w:rsidRPr="001F4CB6" w:rsidRDefault="000034A9" w:rsidP="001F4CB6">
      <w:pPr>
        <w:spacing w:before="140" w:after="0" w:line="360" w:lineRule="auto"/>
        <w:ind w:left="600" w:hanging="600"/>
        <w:rPr>
          <w:rFonts w:ascii="Arial" w:eastAsiaTheme="minorEastAsia" w:hAnsi="Arial" w:cs="Arial"/>
          <w:color w:val="000000"/>
          <w:kern w:val="0"/>
          <w:lang w:eastAsia="en-GB"/>
          <w14:ligatures w14:val="none"/>
        </w:rPr>
      </w:pPr>
      <w:r w:rsidRPr="001F4CB6">
        <w:rPr>
          <w:rFonts w:ascii="Arial" w:eastAsiaTheme="minorEastAsia" w:hAnsi="Arial" w:cs="Arial"/>
          <w:color w:val="000000"/>
          <w:kern w:val="0"/>
          <w:lang w:eastAsia="en-GB"/>
          <w14:ligatures w14:val="none"/>
        </w:rPr>
        <w:t> </w:t>
      </w:r>
      <w:r w:rsidRPr="001F4CB6">
        <w:rPr>
          <w:rFonts w:ascii="Arial" w:eastAsiaTheme="minorEastAsia" w:hAnsi="Arial" w:cs="Arial"/>
          <w:b/>
          <w:bCs/>
          <w:color w:val="000000"/>
          <w:kern w:val="0"/>
          <w:lang w:eastAsia="en-GB"/>
          <w14:ligatures w14:val="none"/>
        </w:rPr>
        <w:t>Months 4–9 (Iterative Testing):</w:t>
      </w:r>
      <w:r w:rsidRPr="001F4CB6">
        <w:rPr>
          <w:rFonts w:ascii="Arial" w:eastAsiaTheme="minorEastAsia" w:hAnsi="Arial" w:cs="Arial"/>
          <w:color w:val="000000"/>
          <w:kern w:val="0"/>
          <w:lang w:eastAsia="en-GB"/>
          <w14:ligatures w14:val="none"/>
        </w:rPr>
        <w:t xml:space="preserve"> Ward teams test redesigned reporting workflows and safety huddles using small-scale PDSA cycles.</w:t>
      </w:r>
    </w:p>
    <w:p w14:paraId="7FDC426B" w14:textId="77777777" w:rsidR="000034A9" w:rsidRPr="001F4CB6" w:rsidRDefault="000034A9" w:rsidP="001F4CB6">
      <w:pPr>
        <w:spacing w:before="140" w:after="0" w:line="360" w:lineRule="auto"/>
        <w:ind w:left="600" w:hanging="600"/>
        <w:rPr>
          <w:rFonts w:ascii="Arial" w:eastAsiaTheme="minorEastAsia" w:hAnsi="Arial" w:cs="Arial"/>
          <w:color w:val="000000"/>
          <w:kern w:val="0"/>
          <w:lang w:eastAsia="en-GB"/>
          <w14:ligatures w14:val="none"/>
        </w:rPr>
      </w:pPr>
      <w:r w:rsidRPr="001F4CB6">
        <w:rPr>
          <w:rFonts w:ascii="Arial" w:eastAsiaTheme="minorEastAsia" w:hAnsi="Arial" w:cs="Arial"/>
          <w:color w:val="000000"/>
          <w:kern w:val="0"/>
          <w:lang w:eastAsia="en-GB"/>
          <w14:ligatures w14:val="none"/>
        </w:rPr>
        <w:t> </w:t>
      </w:r>
      <w:r w:rsidRPr="001F4CB6">
        <w:rPr>
          <w:rFonts w:ascii="Arial" w:eastAsiaTheme="minorEastAsia" w:hAnsi="Arial" w:cs="Arial"/>
          <w:b/>
          <w:bCs/>
          <w:color w:val="000000"/>
          <w:kern w:val="0"/>
          <w:lang w:eastAsia="en-GB"/>
          <w14:ligatures w14:val="none"/>
        </w:rPr>
        <w:t>Months 10–12 (Evaluation):</w:t>
      </w:r>
      <w:r w:rsidRPr="001F4CB6">
        <w:rPr>
          <w:rFonts w:ascii="Arial" w:eastAsiaTheme="minorEastAsia" w:hAnsi="Arial" w:cs="Arial"/>
          <w:color w:val="000000"/>
          <w:kern w:val="0"/>
          <w:lang w:eastAsia="en-GB"/>
          <w14:ligatures w14:val="none"/>
        </w:rPr>
        <w:t xml:space="preserve"> Independent reviewers assess clinical outcomes, unintended consequences, and patient narratives. Executive boards own strategic direction, clinical directors lead operational changes, and patient representatives verify meaningful care improvements.</w:t>
      </w:r>
    </w:p>
    <w:p w14:paraId="5B900247" w14:textId="77777777" w:rsidR="001A2452" w:rsidRPr="001A2452" w:rsidRDefault="001A2452" w:rsidP="001A2452"/>
    <w:p w14:paraId="5D8E9073" w14:textId="77777777" w:rsidR="005A6D1F" w:rsidRDefault="005A6D1F" w:rsidP="00062E2E">
      <w:pPr>
        <w:pStyle w:val="Heading1"/>
        <w:rPr>
          <w:rFonts w:ascii="Arial" w:hAnsi="Arial" w:cs="Arial"/>
        </w:rPr>
      </w:pPr>
      <w:bookmarkStart w:id="120" w:name="_Toc242861713"/>
      <w:bookmarkStart w:id="121" w:name="_Toc242863187"/>
    </w:p>
    <w:p w14:paraId="66F7B99A" w14:textId="77777777" w:rsidR="00B11E77" w:rsidRDefault="00B11E77" w:rsidP="00062E2E">
      <w:pPr>
        <w:pStyle w:val="Heading1"/>
        <w:rPr>
          <w:rFonts w:ascii="Arial" w:hAnsi="Arial" w:cs="Arial"/>
        </w:rPr>
      </w:pPr>
    </w:p>
    <w:p w14:paraId="357CA5B7" w14:textId="77777777" w:rsidR="00407119" w:rsidRDefault="00407119" w:rsidP="00407119"/>
    <w:p w14:paraId="11FE1FC7" w14:textId="77777777" w:rsidR="00407119" w:rsidRDefault="00407119" w:rsidP="00407119"/>
    <w:p w14:paraId="262BD19B" w14:textId="77777777" w:rsidR="00407119" w:rsidRPr="00407119" w:rsidRDefault="00407119" w:rsidP="00407119"/>
    <w:p w14:paraId="0E7E92A9" w14:textId="77777777" w:rsidR="00407119" w:rsidRDefault="00407119" w:rsidP="00062E2E">
      <w:pPr>
        <w:pStyle w:val="Heading1"/>
        <w:rPr>
          <w:rFonts w:ascii="Arial" w:hAnsi="Arial" w:cs="Arial"/>
        </w:rPr>
      </w:pPr>
    </w:p>
    <w:p w14:paraId="6D2316B1" w14:textId="65ED9847" w:rsidR="0020280B" w:rsidRPr="00E706E2" w:rsidRDefault="005A4F61" w:rsidP="00062E2E">
      <w:pPr>
        <w:pStyle w:val="Heading1"/>
        <w:rPr>
          <w:rFonts w:ascii="Arial" w:hAnsi="Arial" w:cs="Arial"/>
        </w:rPr>
      </w:pPr>
      <w:r w:rsidRPr="007C5A2A">
        <w:rPr>
          <w:rFonts w:ascii="Arial" w:hAnsi="Arial" w:cs="Arial"/>
        </w:rPr>
        <w:t>4. Conclusion</w:t>
      </w:r>
      <w:bookmarkEnd w:id="120"/>
      <w:bookmarkEnd w:id="121"/>
    </w:p>
    <w:p w14:paraId="5F87A286" w14:textId="77777777" w:rsidR="005A6D1F" w:rsidRDefault="005A6D1F" w:rsidP="00E706E2">
      <w:pPr>
        <w:pStyle w:val="p1"/>
        <w:spacing w:line="360" w:lineRule="auto"/>
        <w:rPr>
          <w:rStyle w:val="s1"/>
          <w:rFonts w:ascii="Arial" w:hAnsi="Arial" w:cs="Arial"/>
          <w:sz w:val="22"/>
          <w:szCs w:val="22"/>
        </w:rPr>
      </w:pPr>
    </w:p>
    <w:p w14:paraId="2BA3AB25" w14:textId="091525E5" w:rsidR="00EE440F" w:rsidRPr="00E706E2" w:rsidRDefault="00EE440F" w:rsidP="00E706E2">
      <w:pPr>
        <w:pStyle w:val="p1"/>
        <w:spacing w:line="360" w:lineRule="auto"/>
        <w:rPr>
          <w:rFonts w:ascii="Arial" w:hAnsi="Arial" w:cs="Arial"/>
          <w:sz w:val="22"/>
          <w:szCs w:val="22"/>
        </w:rPr>
      </w:pPr>
      <w:r w:rsidRPr="00E706E2">
        <w:rPr>
          <w:rStyle w:val="s1"/>
          <w:rFonts w:ascii="Arial" w:hAnsi="Arial" w:cs="Arial"/>
          <w:sz w:val="22"/>
          <w:szCs w:val="22"/>
        </w:rPr>
        <w:t xml:space="preserve">The Mid Staffordshire NHS Foundation Trust case study illustrates how severe patient harm can persist when formal governance structures </w:t>
      </w:r>
      <w:bookmarkStart w:id="122" w:name="_Int_gfv41sxm"/>
      <w:r w:rsidRPr="00E706E2">
        <w:rPr>
          <w:rStyle w:val="s1"/>
          <w:rFonts w:ascii="Arial" w:hAnsi="Arial" w:cs="Arial"/>
          <w:sz w:val="22"/>
          <w:szCs w:val="22"/>
        </w:rPr>
        <w:t>fail to</w:t>
      </w:r>
      <w:bookmarkEnd w:id="122"/>
      <w:r w:rsidRPr="00E706E2">
        <w:rPr>
          <w:rStyle w:val="s1"/>
          <w:rFonts w:ascii="Arial" w:hAnsi="Arial" w:cs="Arial"/>
          <w:sz w:val="22"/>
          <w:szCs w:val="22"/>
        </w:rPr>
        <w:t xml:space="preserve"> convert frontline clinical intelligence, staff concerns, and patient complaints into </w:t>
      </w:r>
      <w:bookmarkStart w:id="123" w:name="_Int_Spp24sQj"/>
      <w:r w:rsidRPr="00E706E2">
        <w:rPr>
          <w:rStyle w:val="s1"/>
          <w:rFonts w:ascii="Arial" w:hAnsi="Arial" w:cs="Arial"/>
          <w:sz w:val="22"/>
          <w:szCs w:val="22"/>
        </w:rPr>
        <w:t>timely</w:t>
      </w:r>
      <w:bookmarkEnd w:id="123"/>
      <w:r w:rsidRPr="00E706E2">
        <w:rPr>
          <w:rStyle w:val="s1"/>
          <w:rFonts w:ascii="Arial" w:hAnsi="Arial" w:cs="Arial"/>
          <w:sz w:val="22"/>
          <w:szCs w:val="22"/>
        </w:rPr>
        <w:t>, corrective executive action. The Francis Inquiry (2013) documented extensive institutional failures across basic bedside care, management transparency, workplace culture, and external regulatory oversight. Global metrics from the World Health Organi</w:t>
      </w:r>
      <w:r w:rsidR="00CC5C29">
        <w:rPr>
          <w:rStyle w:val="s1"/>
          <w:rFonts w:ascii="Arial" w:hAnsi="Arial" w:cs="Arial"/>
          <w:sz w:val="22"/>
          <w:szCs w:val="22"/>
        </w:rPr>
        <w:t>s</w:t>
      </w:r>
      <w:r w:rsidRPr="00E706E2">
        <w:rPr>
          <w:rStyle w:val="s1"/>
          <w:rFonts w:ascii="Arial" w:hAnsi="Arial" w:cs="Arial"/>
          <w:sz w:val="22"/>
          <w:szCs w:val="22"/>
        </w:rPr>
        <w:t xml:space="preserve">ation (WHO, 2019) highlight the universal relevance of avoidable patient harm, while contemporary national frameworks such as NHS England’s (2022) Patient Safety Incident Response Framework (PSIRF) </w:t>
      </w:r>
      <w:bookmarkStart w:id="124" w:name="_Int_60oBC493"/>
      <w:r w:rsidRPr="00E706E2">
        <w:rPr>
          <w:rStyle w:val="s1"/>
          <w:rFonts w:ascii="Arial" w:hAnsi="Arial" w:cs="Arial"/>
          <w:sz w:val="22"/>
          <w:szCs w:val="22"/>
        </w:rPr>
        <w:t>demonstrate</w:t>
      </w:r>
      <w:bookmarkEnd w:id="124"/>
      <w:r w:rsidRPr="00E706E2">
        <w:rPr>
          <w:rStyle w:val="s1"/>
          <w:rFonts w:ascii="Arial" w:hAnsi="Arial" w:cs="Arial"/>
          <w:sz w:val="22"/>
          <w:szCs w:val="22"/>
        </w:rPr>
        <w:t xml:space="preserve"> </w:t>
      </w:r>
      <w:bookmarkStart w:id="125" w:name="_Int_j21Pmk2D"/>
      <w:r w:rsidRPr="00E706E2">
        <w:rPr>
          <w:rStyle w:val="s1"/>
          <w:rFonts w:ascii="Arial" w:hAnsi="Arial" w:cs="Arial"/>
          <w:sz w:val="22"/>
          <w:szCs w:val="22"/>
        </w:rPr>
        <w:t>subsequent</w:t>
      </w:r>
      <w:bookmarkEnd w:id="125"/>
      <w:r w:rsidRPr="00E706E2">
        <w:rPr>
          <w:rStyle w:val="s1"/>
          <w:rFonts w:ascii="Arial" w:hAnsi="Arial" w:cs="Arial"/>
          <w:sz w:val="22"/>
          <w:szCs w:val="22"/>
        </w:rPr>
        <w:t xml:space="preserve"> systems-based learning models designed to address these systemic vulnerabilities.</w:t>
      </w:r>
    </w:p>
    <w:p w14:paraId="40E97AC4" w14:textId="7F3B4D70" w:rsidR="00EE440F" w:rsidRPr="00E706E2" w:rsidRDefault="00EE440F" w:rsidP="00E706E2">
      <w:pPr>
        <w:pStyle w:val="p2"/>
        <w:spacing w:line="360" w:lineRule="auto"/>
        <w:rPr>
          <w:rFonts w:ascii="Arial" w:hAnsi="Arial" w:cs="Arial"/>
          <w:sz w:val="22"/>
          <w:szCs w:val="22"/>
        </w:rPr>
      </w:pPr>
      <w:r w:rsidRPr="00E706E2">
        <w:rPr>
          <w:rStyle w:val="s1"/>
          <w:rFonts w:ascii="Arial" w:hAnsi="Arial" w:cs="Arial"/>
          <w:sz w:val="22"/>
          <w:szCs w:val="22"/>
        </w:rPr>
        <w:t xml:space="preserve">This detailed analysis </w:t>
      </w:r>
      <w:bookmarkStart w:id="126" w:name="_Int_9GYP2qZj"/>
      <w:r w:rsidRPr="00E706E2">
        <w:rPr>
          <w:rStyle w:val="s1"/>
          <w:rFonts w:ascii="Arial" w:hAnsi="Arial" w:cs="Arial"/>
          <w:sz w:val="22"/>
          <w:szCs w:val="22"/>
        </w:rPr>
        <w:t>establishes</w:t>
      </w:r>
      <w:bookmarkEnd w:id="126"/>
      <w:r w:rsidRPr="00E706E2">
        <w:rPr>
          <w:rStyle w:val="s1"/>
          <w:rFonts w:ascii="Arial" w:hAnsi="Arial" w:cs="Arial"/>
          <w:sz w:val="22"/>
          <w:szCs w:val="22"/>
        </w:rPr>
        <w:t xml:space="preserve"> that centralisation and decentralisation are complementary structural dimensions rather than mutually exclusive choices. Centralised authority is indispensable for setting </w:t>
      </w:r>
      <w:r w:rsidR="00184C5F" w:rsidRPr="00E706E2">
        <w:rPr>
          <w:rStyle w:val="s1"/>
          <w:rFonts w:ascii="Arial" w:hAnsi="Arial" w:cs="Arial"/>
          <w:sz w:val="22"/>
          <w:szCs w:val="22"/>
        </w:rPr>
        <w:t>standardised</w:t>
      </w:r>
      <w:r w:rsidRPr="00E706E2">
        <w:rPr>
          <w:rStyle w:val="s1"/>
          <w:rFonts w:ascii="Arial" w:hAnsi="Arial" w:cs="Arial"/>
          <w:sz w:val="22"/>
          <w:szCs w:val="22"/>
        </w:rPr>
        <w:t xml:space="preserve"> safety thresholds, </w:t>
      </w:r>
      <w:r w:rsidR="00C17EAA" w:rsidRPr="00E706E2">
        <w:rPr>
          <w:rStyle w:val="s1"/>
          <w:rFonts w:ascii="Arial" w:hAnsi="Arial" w:cs="Arial"/>
          <w:sz w:val="22"/>
          <w:szCs w:val="22"/>
        </w:rPr>
        <w:t>distributing</w:t>
      </w:r>
      <w:r w:rsidRPr="00E706E2">
        <w:rPr>
          <w:rStyle w:val="s1"/>
          <w:rFonts w:ascii="Arial" w:hAnsi="Arial" w:cs="Arial"/>
          <w:sz w:val="22"/>
          <w:szCs w:val="22"/>
        </w:rPr>
        <w:t xml:space="preserve"> strategic resources, and </w:t>
      </w:r>
      <w:r w:rsidR="00EC0F8A" w:rsidRPr="00E706E2">
        <w:rPr>
          <w:rStyle w:val="s1"/>
          <w:rFonts w:ascii="Arial" w:hAnsi="Arial" w:cs="Arial"/>
          <w:sz w:val="22"/>
          <w:szCs w:val="22"/>
        </w:rPr>
        <w:t>supporting</w:t>
      </w:r>
      <w:r w:rsidRPr="00E706E2">
        <w:rPr>
          <w:rStyle w:val="s1"/>
          <w:rFonts w:ascii="Arial" w:hAnsi="Arial" w:cs="Arial"/>
          <w:sz w:val="22"/>
          <w:szCs w:val="22"/>
        </w:rPr>
        <w:t xml:space="preserve"> executive accountability. Conversely, decentralised clinical discretion is vital for empowering ward-level teams to detect emerging risks rapidly and deliver responsive care. Integrating McGregor’s Theory X and Y, Ouchi’s Theory Z, Blake and Mouton’s Behavioural Grid, and Fiedler’s Contingency Model reveals that effective healthcare leadership must balance operational task structure with relational compassion and situational adaptability. However, these theoretical models are only effective when embedded within psychologically safe, well-resourced organi</w:t>
      </w:r>
      <w:r w:rsidR="00AA1BD5">
        <w:rPr>
          <w:rStyle w:val="s1"/>
          <w:rFonts w:ascii="Arial" w:hAnsi="Arial" w:cs="Arial"/>
          <w:sz w:val="22"/>
          <w:szCs w:val="22"/>
        </w:rPr>
        <w:t>s</w:t>
      </w:r>
      <w:r w:rsidRPr="00E706E2">
        <w:rPr>
          <w:rStyle w:val="s1"/>
          <w:rFonts w:ascii="Arial" w:hAnsi="Arial" w:cs="Arial"/>
          <w:sz w:val="22"/>
          <w:szCs w:val="22"/>
        </w:rPr>
        <w:t>ational environments.</w:t>
      </w:r>
    </w:p>
    <w:p w14:paraId="4A7587B2" w14:textId="134FC106" w:rsidR="00EC0F8A" w:rsidRDefault="00EE440F" w:rsidP="00E706E2">
      <w:pPr>
        <w:pStyle w:val="p2"/>
        <w:spacing w:line="360" w:lineRule="auto"/>
        <w:rPr>
          <w:rStyle w:val="s1"/>
          <w:rFonts w:ascii="Arial" w:hAnsi="Arial" w:cs="Arial"/>
          <w:sz w:val="22"/>
          <w:szCs w:val="22"/>
        </w:rPr>
      </w:pPr>
      <w:r w:rsidRPr="00E706E2">
        <w:rPr>
          <w:rStyle w:val="s1"/>
          <w:rFonts w:ascii="Arial" w:hAnsi="Arial" w:cs="Arial"/>
          <w:sz w:val="22"/>
          <w:szCs w:val="22"/>
        </w:rPr>
        <w:t>The overall post-Francis organi</w:t>
      </w:r>
      <w:r w:rsidR="00AA1BD5">
        <w:rPr>
          <w:rStyle w:val="s1"/>
          <w:rFonts w:ascii="Arial" w:hAnsi="Arial" w:cs="Arial"/>
          <w:sz w:val="22"/>
          <w:szCs w:val="22"/>
        </w:rPr>
        <w:t>s</w:t>
      </w:r>
      <w:r w:rsidRPr="00E706E2">
        <w:rPr>
          <w:rStyle w:val="s1"/>
          <w:rFonts w:ascii="Arial" w:hAnsi="Arial" w:cs="Arial"/>
          <w:sz w:val="22"/>
          <w:szCs w:val="22"/>
        </w:rPr>
        <w:t xml:space="preserve">ational and policy transformation involved structural dissolution and the transfer of hospital services to successor </w:t>
      </w:r>
      <w:r w:rsidR="00E740B2" w:rsidRPr="00E706E2">
        <w:rPr>
          <w:rStyle w:val="s1"/>
          <w:rFonts w:ascii="Arial" w:hAnsi="Arial" w:cs="Arial"/>
          <w:sz w:val="22"/>
          <w:szCs w:val="22"/>
        </w:rPr>
        <w:t>organisations</w:t>
      </w:r>
      <w:r w:rsidRPr="00E706E2">
        <w:rPr>
          <w:rStyle w:val="s1"/>
          <w:rFonts w:ascii="Arial" w:hAnsi="Arial" w:cs="Arial"/>
          <w:sz w:val="22"/>
          <w:szCs w:val="22"/>
        </w:rPr>
        <w:t xml:space="preserve"> alongside major national policy reforms. While structural </w:t>
      </w:r>
      <w:r w:rsidR="00E740B2" w:rsidRPr="00E706E2">
        <w:rPr>
          <w:rStyle w:val="s1"/>
          <w:rFonts w:ascii="Arial" w:hAnsi="Arial" w:cs="Arial"/>
          <w:sz w:val="22"/>
          <w:szCs w:val="22"/>
        </w:rPr>
        <w:t>reorganisation</w:t>
      </w:r>
      <w:r w:rsidRPr="00E706E2">
        <w:rPr>
          <w:rStyle w:val="s1"/>
          <w:rFonts w:ascii="Arial" w:hAnsi="Arial" w:cs="Arial"/>
          <w:sz w:val="22"/>
          <w:szCs w:val="22"/>
        </w:rPr>
        <w:t xml:space="preserve"> is directly observable, achieving genuine, sustained clinical improvement requires continuous empirical evaluation through risk-adjusted safety data, workforce metrics, and qualitative patient feedback. Sustainable progress depends on co-producing care with patients, </w:t>
      </w:r>
      <w:bookmarkStart w:id="127" w:name="_Int_yUVvKs8R"/>
      <w:r w:rsidRPr="00E706E2">
        <w:rPr>
          <w:rStyle w:val="s1"/>
          <w:rFonts w:ascii="Arial" w:hAnsi="Arial" w:cs="Arial"/>
          <w:sz w:val="22"/>
          <w:szCs w:val="22"/>
        </w:rPr>
        <w:t>establishing</w:t>
      </w:r>
      <w:bookmarkEnd w:id="127"/>
      <w:r w:rsidR="001767B2" w:rsidRPr="00E706E2">
        <w:rPr>
          <w:rStyle w:val="s1"/>
          <w:rFonts w:ascii="Arial" w:hAnsi="Arial" w:cs="Arial"/>
          <w:sz w:val="22"/>
          <w:szCs w:val="22"/>
        </w:rPr>
        <w:t>.</w:t>
      </w:r>
      <w:r w:rsidRPr="00E706E2">
        <w:rPr>
          <w:rStyle w:val="s1"/>
          <w:rFonts w:ascii="Arial" w:hAnsi="Arial" w:cs="Arial"/>
          <w:sz w:val="22"/>
          <w:szCs w:val="22"/>
        </w:rPr>
        <w:t xml:space="preserve"> </w:t>
      </w:r>
    </w:p>
    <w:p w14:paraId="4A299558" w14:textId="77777777" w:rsidR="00EC0F8A" w:rsidRDefault="00EC0F8A" w:rsidP="00E706E2">
      <w:pPr>
        <w:pStyle w:val="p2"/>
        <w:spacing w:line="360" w:lineRule="auto"/>
        <w:rPr>
          <w:rStyle w:val="s1"/>
          <w:rFonts w:ascii="Arial" w:hAnsi="Arial" w:cs="Arial"/>
          <w:sz w:val="22"/>
          <w:szCs w:val="22"/>
        </w:rPr>
      </w:pPr>
    </w:p>
    <w:p w14:paraId="58178040" w14:textId="19E39075" w:rsidR="00EE440F" w:rsidRPr="00E706E2" w:rsidRDefault="00EE440F" w:rsidP="00E706E2">
      <w:pPr>
        <w:pStyle w:val="p2"/>
        <w:spacing w:line="360" w:lineRule="auto"/>
        <w:rPr>
          <w:rFonts w:ascii="Arial" w:hAnsi="Arial" w:cs="Arial"/>
          <w:sz w:val="22"/>
          <w:szCs w:val="22"/>
        </w:rPr>
      </w:pPr>
      <w:r w:rsidRPr="00E706E2">
        <w:rPr>
          <w:rStyle w:val="s1"/>
          <w:rFonts w:ascii="Arial" w:hAnsi="Arial" w:cs="Arial"/>
          <w:sz w:val="22"/>
          <w:szCs w:val="22"/>
        </w:rPr>
        <w:t xml:space="preserve">psychologically safe reporting pathways, enforcing clear risk ownership, and continuously balancing technical and allocative efficiency. Healthcare leadership succeeds when robust governance, professional clinical voice, and systems thinking </w:t>
      </w:r>
      <w:bookmarkStart w:id="128" w:name="_Int_irjd80Lc"/>
      <w:r w:rsidRPr="00E706E2">
        <w:rPr>
          <w:rStyle w:val="s1"/>
          <w:rFonts w:ascii="Arial" w:hAnsi="Arial" w:cs="Arial"/>
          <w:sz w:val="22"/>
          <w:szCs w:val="22"/>
        </w:rPr>
        <w:t>operate</w:t>
      </w:r>
      <w:bookmarkEnd w:id="128"/>
      <w:r w:rsidRPr="00E706E2">
        <w:rPr>
          <w:rStyle w:val="s1"/>
          <w:rFonts w:ascii="Arial" w:hAnsi="Arial" w:cs="Arial"/>
          <w:sz w:val="22"/>
          <w:szCs w:val="22"/>
        </w:rPr>
        <w:t xml:space="preserve"> in dynamic harmony to protect human dignity, patient safety, and </w:t>
      </w:r>
      <w:bookmarkStart w:id="129" w:name="_Int_rqwOh1Y6"/>
      <w:r w:rsidRPr="00E706E2">
        <w:rPr>
          <w:rStyle w:val="s1"/>
          <w:rFonts w:ascii="Arial" w:hAnsi="Arial" w:cs="Arial"/>
          <w:sz w:val="22"/>
          <w:szCs w:val="22"/>
        </w:rPr>
        <w:t>equitable</w:t>
      </w:r>
      <w:bookmarkEnd w:id="129"/>
      <w:r w:rsidRPr="00E706E2">
        <w:rPr>
          <w:rStyle w:val="s1"/>
          <w:rFonts w:ascii="Arial" w:hAnsi="Arial" w:cs="Arial"/>
          <w:sz w:val="22"/>
          <w:szCs w:val="22"/>
        </w:rPr>
        <w:t xml:space="preserve"> resource stewardship.</w:t>
      </w:r>
    </w:p>
    <w:p w14:paraId="50A3644E" w14:textId="77777777" w:rsidR="00717196" w:rsidRDefault="00717196" w:rsidP="00717196"/>
    <w:p w14:paraId="27ADB275" w14:textId="77777777" w:rsidR="00717196" w:rsidRDefault="00717196" w:rsidP="00717196"/>
    <w:p w14:paraId="47058194" w14:textId="77777777" w:rsidR="00717196" w:rsidRDefault="00717196" w:rsidP="005B2700">
      <w:pPr>
        <w:pStyle w:val="Heading1"/>
        <w:rPr>
          <w:rFonts w:ascii="Arial" w:hAnsi="Arial" w:cs="Arial"/>
        </w:rPr>
      </w:pPr>
    </w:p>
    <w:p w14:paraId="080D7504" w14:textId="3DD24749" w:rsidR="00AA324F" w:rsidRPr="005B2700" w:rsidRDefault="005A4F61" w:rsidP="005B2700">
      <w:pPr>
        <w:pStyle w:val="Heading1"/>
        <w:rPr>
          <w:rFonts w:ascii="Arial" w:hAnsi="Arial" w:cs="Arial"/>
        </w:rPr>
      </w:pPr>
      <w:bookmarkStart w:id="130" w:name="_Toc242861714"/>
      <w:bookmarkStart w:id="131" w:name="_Toc242863188"/>
      <w:r w:rsidRPr="00062E2E">
        <w:rPr>
          <w:rFonts w:ascii="Arial" w:hAnsi="Arial" w:cs="Arial"/>
        </w:rPr>
        <w:t>References</w:t>
      </w:r>
      <w:bookmarkEnd w:id="130"/>
      <w:bookmarkEnd w:id="131"/>
    </w:p>
    <w:p w14:paraId="6C25C46F" w14:textId="453350ED" w:rsidR="00477640" w:rsidRDefault="00477640" w:rsidP="0051241B">
      <w:pPr>
        <w:spacing w:line="360" w:lineRule="auto"/>
        <w:rPr>
          <w:rFonts w:ascii="Arial" w:hAnsi="Arial" w:cs="Arial"/>
        </w:rPr>
      </w:pPr>
      <w:r w:rsidRPr="007278A8">
        <w:rPr>
          <w:rFonts w:ascii="Arial" w:eastAsia="Times New Roman" w:hAnsi="Arial" w:cs="Arial"/>
          <w:color w:val="222222"/>
          <w:shd w:val="clear" w:color="auto" w:fill="FFFFFF"/>
        </w:rPr>
        <w:t>Aiken, L.H., Sloane, D.M., Bruyneel, L., Van den Heede, K., Griffiths, P., Busse, R., Diomidous, M., Kinnunen, J., Kózka, M., Lesaffre, E. and McHugh, M.D., 2014. Nurse staffing and education and hospital mortality in nine European countries: a retrospective observational study.</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The lancet</w:t>
      </w:r>
      <w:r w:rsidRPr="007278A8">
        <w:rPr>
          <w:rFonts w:ascii="Arial" w:eastAsia="Times New Roman" w:hAnsi="Arial" w:cs="Arial"/>
          <w:color w:val="222222"/>
          <w:shd w:val="clear" w:color="auto" w:fill="FFFFFF"/>
        </w:rPr>
        <w: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383</w:t>
      </w:r>
      <w:r w:rsidRPr="007278A8">
        <w:rPr>
          <w:rFonts w:ascii="Arial" w:eastAsia="Times New Roman" w:hAnsi="Arial" w:cs="Arial"/>
          <w:color w:val="222222"/>
          <w:shd w:val="clear" w:color="auto" w:fill="FFFFFF"/>
        </w:rPr>
        <w:t>(9931), pp.1824-1830.</w:t>
      </w:r>
    </w:p>
    <w:p w14:paraId="60A25DEE" w14:textId="64C1B13E" w:rsidR="00477640" w:rsidRDefault="00904F07" w:rsidP="0051241B">
      <w:pPr>
        <w:spacing w:line="360" w:lineRule="auto"/>
        <w:rPr>
          <w:rFonts w:ascii="Arial" w:hAnsi="Arial" w:cs="Arial"/>
        </w:rPr>
      </w:pPr>
      <w:r w:rsidRPr="007278A8">
        <w:rPr>
          <w:rFonts w:ascii="Arial" w:eastAsia="Times New Roman" w:hAnsi="Arial" w:cs="Arial"/>
          <w:color w:val="222222"/>
          <w:shd w:val="clear" w:color="auto" w:fill="FFFFFF"/>
        </w:rPr>
        <w:t>Blake, R. and Mouton, J., 1964. The managerial grid: The key to leadership excellence.</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Houston: Gulf Publishing Co</w:t>
      </w:r>
      <w:r w:rsidRPr="007278A8">
        <w:rPr>
          <w:rFonts w:ascii="Arial" w:eastAsia="Times New Roman" w:hAnsi="Arial" w:cs="Arial"/>
          <w:color w:val="222222"/>
          <w:shd w:val="clear" w:color="auto" w:fill="FFFFFF"/>
        </w:rPr>
        <w: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350</w:t>
      </w:r>
      <w:r w:rsidRPr="007278A8">
        <w:rPr>
          <w:rFonts w:ascii="Arial" w:eastAsia="Times New Roman" w:hAnsi="Arial" w:cs="Arial"/>
          <w:color w:val="222222"/>
          <w:shd w:val="clear" w:color="auto" w:fill="FFFFFF"/>
        </w:rPr>
        <w:t>.</w:t>
      </w:r>
    </w:p>
    <w:p w14:paraId="1EEDECCB" w14:textId="3684EDB0" w:rsidR="0002371E" w:rsidRDefault="004920E1" w:rsidP="0051241B">
      <w:pPr>
        <w:spacing w:line="360" w:lineRule="auto"/>
        <w:rPr>
          <w:rFonts w:ascii="Arial" w:hAnsi="Arial" w:cs="Arial"/>
        </w:rPr>
      </w:pPr>
      <w:r w:rsidRPr="007278A8">
        <w:rPr>
          <w:rFonts w:ascii="Arial" w:eastAsia="Times New Roman" w:hAnsi="Arial" w:cs="Arial"/>
          <w:color w:val="222222"/>
          <w:shd w:val="clear" w:color="auto" w:fill="FFFFFF"/>
        </w:rPr>
        <w:t>Check land</w:t>
      </w:r>
      <w:r w:rsidR="00D8571F" w:rsidRPr="007278A8">
        <w:rPr>
          <w:rFonts w:ascii="Arial" w:eastAsia="Times New Roman" w:hAnsi="Arial" w:cs="Arial"/>
          <w:color w:val="222222"/>
          <w:shd w:val="clear" w:color="auto" w:fill="FFFFFF"/>
        </w:rPr>
        <w:t xml:space="preserve">, P.B. and Haynes, M.G., 2019. Varieties of systems thinking: the case of soft systems </w:t>
      </w:r>
      <w:bookmarkStart w:id="132" w:name="_Int_2BVwFRej"/>
      <w:r w:rsidR="00D8571F" w:rsidRPr="007278A8">
        <w:rPr>
          <w:rFonts w:ascii="Arial" w:eastAsia="Times New Roman" w:hAnsi="Arial" w:cs="Arial"/>
          <w:color w:val="222222"/>
          <w:shd w:val="clear" w:color="auto" w:fill="FFFFFF"/>
        </w:rPr>
        <w:t>methodology</w:t>
      </w:r>
      <w:bookmarkEnd w:id="132"/>
      <w:r w:rsidR="00D8571F" w:rsidRPr="007278A8">
        <w:rPr>
          <w:rFonts w:ascii="Arial" w:eastAsia="Times New Roman" w:hAnsi="Arial" w:cs="Arial"/>
          <w:color w:val="222222"/>
          <w:shd w:val="clear" w:color="auto" w:fill="FFFFFF"/>
        </w:rPr>
        <w:t>.</w:t>
      </w:r>
      <w:r w:rsidR="00D8571F" w:rsidRPr="007278A8">
        <w:rPr>
          <w:rStyle w:val="apple-converted-space"/>
          <w:rFonts w:ascii="Arial" w:eastAsia="Times New Roman" w:hAnsi="Arial" w:cs="Arial"/>
          <w:color w:val="222222"/>
          <w:shd w:val="clear" w:color="auto" w:fill="FFFFFF"/>
        </w:rPr>
        <w:t> </w:t>
      </w:r>
      <w:r w:rsidR="00D8571F" w:rsidRPr="007278A8">
        <w:rPr>
          <w:rFonts w:ascii="Arial" w:eastAsia="Times New Roman" w:hAnsi="Arial" w:cs="Arial"/>
          <w:i/>
          <w:color w:val="222222"/>
        </w:rPr>
        <w:t>Management control theory</w:t>
      </w:r>
      <w:r w:rsidR="00D8571F" w:rsidRPr="007278A8">
        <w:rPr>
          <w:rFonts w:ascii="Arial" w:eastAsia="Times New Roman" w:hAnsi="Arial" w:cs="Arial"/>
          <w:color w:val="222222"/>
          <w:shd w:val="clear" w:color="auto" w:fill="FFFFFF"/>
        </w:rPr>
        <w:t>, pp.151-160.</w:t>
      </w:r>
    </w:p>
    <w:p w14:paraId="7936C3CB" w14:textId="3822C608" w:rsidR="00482DDE" w:rsidRDefault="003B2C92" w:rsidP="0051241B">
      <w:pPr>
        <w:spacing w:line="360" w:lineRule="auto"/>
        <w:rPr>
          <w:rFonts w:ascii="Arial" w:hAnsi="Arial" w:cs="Arial"/>
        </w:rPr>
      </w:pPr>
      <w:r w:rsidRPr="007278A8">
        <w:rPr>
          <w:rFonts w:ascii="Arial" w:eastAsia="Times New Roman" w:hAnsi="Arial" w:cs="Arial"/>
          <w:color w:val="222222"/>
          <w:shd w:val="clear" w:color="auto" w:fill="FFFFFF"/>
        </w:rPr>
        <w:t>Department of Health, 2013.</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Hard truths: the journey to putting patients first. Vol 1</w:t>
      </w:r>
      <w:r w:rsidRPr="007278A8">
        <w:rPr>
          <w:rFonts w:ascii="Arial" w:eastAsia="Times New Roman" w:hAnsi="Arial" w:cs="Arial"/>
          <w:color w:val="222222"/>
          <w:shd w:val="clear" w:color="auto" w:fill="FFFFFF"/>
        </w:rPr>
        <w:t>. Stationery Office.</w:t>
      </w:r>
    </w:p>
    <w:p w14:paraId="45024618" w14:textId="706E8CEC" w:rsidR="003B2C92" w:rsidRDefault="00770A8A" w:rsidP="0051241B">
      <w:pPr>
        <w:spacing w:line="360" w:lineRule="auto"/>
        <w:rPr>
          <w:rFonts w:ascii="Arial" w:hAnsi="Arial" w:cs="Arial"/>
        </w:rPr>
      </w:pPr>
      <w:r w:rsidRPr="007278A8">
        <w:rPr>
          <w:rFonts w:ascii="Arial" w:eastAsia="Times New Roman" w:hAnsi="Arial" w:cs="Arial"/>
          <w:color w:val="222222"/>
          <w:shd w:val="clear" w:color="auto" w:fill="FFFFFF"/>
        </w:rPr>
        <w:t>Tosey, P.C. and Langley, D., 2014, June. Organisational Learning and the Double Bind: the case of the Mid Staffordshire NHS Foundation Trust. In</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 xml:space="preserve">International Conference on Human Resource Development Research and Practice across </w:t>
      </w:r>
      <w:r w:rsidR="000A68B7" w:rsidRPr="007278A8">
        <w:rPr>
          <w:rFonts w:ascii="Arial" w:eastAsia="Times New Roman" w:hAnsi="Arial" w:cs="Arial"/>
          <w:i/>
          <w:color w:val="222222"/>
        </w:rPr>
        <w:t>Europe.</w:t>
      </w:r>
    </w:p>
    <w:p w14:paraId="109E5785" w14:textId="355E0681" w:rsidR="00770A8A" w:rsidRDefault="00703A0D" w:rsidP="0051241B">
      <w:pPr>
        <w:spacing w:line="360" w:lineRule="auto"/>
        <w:rPr>
          <w:rFonts w:ascii="Arial" w:hAnsi="Arial" w:cs="Arial"/>
        </w:rPr>
      </w:pPr>
      <w:r w:rsidRPr="007278A8">
        <w:rPr>
          <w:rFonts w:ascii="Arial" w:eastAsia="Times New Roman" w:hAnsi="Arial" w:cs="Arial"/>
          <w:color w:val="222222"/>
          <w:shd w:val="clear" w:color="auto" w:fill="FFFFFF"/>
        </w:rPr>
        <w:t xml:space="preserve">Stirton, R., 2017. The Health and Social Care Act 2008 (regulated activities) regulations 2014: a litany of fundamental </w:t>
      </w:r>
      <w:r w:rsidR="00DC09CA" w:rsidRPr="007278A8">
        <w:rPr>
          <w:rFonts w:ascii="Arial" w:eastAsia="Times New Roman" w:hAnsi="Arial" w:cs="Arial"/>
          <w:color w:val="222222"/>
          <w:shd w:val="clear" w:color="auto" w:fill="FFFFFF"/>
        </w:rPr>
        <w:t>flaws?</w:t>
      </w:r>
    </w:p>
    <w:p w14:paraId="67136DFF" w14:textId="592EC1C2" w:rsidR="00703A0D" w:rsidRDefault="00C0211C" w:rsidP="0051241B">
      <w:pPr>
        <w:spacing w:line="360" w:lineRule="auto"/>
        <w:rPr>
          <w:rFonts w:ascii="Arial" w:hAnsi="Arial" w:cs="Arial"/>
        </w:rPr>
      </w:pPr>
      <w:r w:rsidRPr="007278A8">
        <w:rPr>
          <w:rFonts w:ascii="Arial" w:eastAsia="Times New Roman" w:hAnsi="Arial" w:cs="Arial"/>
          <w:color w:val="222222"/>
          <w:shd w:val="clear" w:color="auto" w:fill="FFFFFF"/>
        </w:rPr>
        <w:t>Dixon-Woods, M., Baker, R., Charles, K., Dawson, J., Jerzembek, G., Martin, G., McCarthy, I., McKee, L., Minion, J., Ozieranski, P. and Willars, J., 2014. Culture and behaviour in the English National Health Service: overview of lessons from a large multimethod study.</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BMJ quality &amp; safety</w:t>
      </w:r>
      <w:r w:rsidRPr="007278A8">
        <w:rPr>
          <w:rFonts w:ascii="Arial" w:eastAsia="Times New Roman" w:hAnsi="Arial" w:cs="Arial"/>
          <w:color w:val="222222"/>
          <w:shd w:val="clear" w:color="auto" w:fill="FFFFFF"/>
        </w:rPr>
        <w: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23</w:t>
      </w:r>
      <w:r w:rsidRPr="007278A8">
        <w:rPr>
          <w:rFonts w:ascii="Arial" w:eastAsia="Times New Roman" w:hAnsi="Arial" w:cs="Arial"/>
          <w:color w:val="222222"/>
          <w:shd w:val="clear" w:color="auto" w:fill="FFFFFF"/>
        </w:rPr>
        <w:t>(2), pp.106-115.</w:t>
      </w:r>
    </w:p>
    <w:p w14:paraId="7E9AF4C0" w14:textId="3A2E3D1E" w:rsidR="00C0211C" w:rsidRDefault="00B82C0E" w:rsidP="0051241B">
      <w:pPr>
        <w:spacing w:line="360" w:lineRule="auto"/>
        <w:rPr>
          <w:rFonts w:ascii="Arial" w:hAnsi="Arial" w:cs="Arial"/>
        </w:rPr>
      </w:pPr>
      <w:r w:rsidRPr="007278A8">
        <w:rPr>
          <w:rFonts w:ascii="Arial" w:eastAsia="Times New Roman" w:hAnsi="Arial" w:cs="Arial"/>
          <w:color w:val="222222"/>
          <w:shd w:val="clear" w:color="auto" w:fill="FFFFFF"/>
        </w:rPr>
        <w:t xml:space="preserve">Donabedian, A., 1988. The quality of care: how can it </w:t>
      </w:r>
      <w:bookmarkStart w:id="133" w:name="_Int_MLmipXKk"/>
      <w:r w:rsidRPr="007278A8">
        <w:rPr>
          <w:rFonts w:ascii="Arial" w:eastAsia="Times New Roman" w:hAnsi="Arial" w:cs="Arial"/>
          <w:color w:val="222222"/>
          <w:shd w:val="clear" w:color="auto" w:fill="FFFFFF"/>
        </w:rPr>
        <w:t xml:space="preserve">be </w:t>
      </w:r>
      <w:r w:rsidR="0014298C" w:rsidRPr="007278A8">
        <w:rPr>
          <w:rFonts w:ascii="Arial" w:eastAsia="Times New Roman" w:hAnsi="Arial" w:cs="Arial"/>
          <w:color w:val="222222"/>
          <w:shd w:val="clear" w:color="auto" w:fill="FFFFFF"/>
        </w:rPr>
        <w:t>assessed</w:t>
      </w:r>
      <w:bookmarkEnd w:id="133"/>
      <w:r w:rsidR="0014298C" w:rsidRPr="007278A8">
        <w:rPr>
          <w:rFonts w:ascii="Arial" w:eastAsia="Times New Roman" w:hAnsi="Arial" w:cs="Arial"/>
          <w:color w:val="222222"/>
          <w:shd w:val="clear" w:color="auto" w:fill="FFFFFF"/>
        </w:rPr>
        <w: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Jama</w:t>
      </w:r>
      <w:r w:rsidRPr="007278A8">
        <w:rPr>
          <w:rFonts w:ascii="Arial" w:eastAsia="Times New Roman" w:hAnsi="Arial" w:cs="Arial"/>
          <w:color w:val="222222"/>
          <w:shd w:val="clear" w:color="auto" w:fill="FFFFFF"/>
        </w:rPr>
        <w: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260</w:t>
      </w:r>
      <w:r w:rsidRPr="007278A8">
        <w:rPr>
          <w:rFonts w:ascii="Arial" w:eastAsia="Times New Roman" w:hAnsi="Arial" w:cs="Arial"/>
          <w:color w:val="222222"/>
          <w:shd w:val="clear" w:color="auto" w:fill="FFFFFF"/>
        </w:rPr>
        <w:t>(12), pp.1743-1748.</w:t>
      </w:r>
    </w:p>
    <w:p w14:paraId="19AC78CA" w14:textId="7A5B5AB1" w:rsidR="00B82C0E" w:rsidRDefault="00793676" w:rsidP="0051241B">
      <w:pPr>
        <w:spacing w:line="360" w:lineRule="auto"/>
        <w:rPr>
          <w:rFonts w:ascii="Arial" w:hAnsi="Arial" w:cs="Arial"/>
        </w:rPr>
      </w:pPr>
      <w:r w:rsidRPr="007278A8">
        <w:rPr>
          <w:rFonts w:ascii="Arial" w:eastAsia="Times New Roman" w:hAnsi="Arial" w:cs="Arial"/>
          <w:color w:val="222222"/>
          <w:shd w:val="clear" w:color="auto" w:fill="FFFFFF"/>
        </w:rPr>
        <w:t>Edmondson, A., 1999. Psychological safety and learning behavior in work teams.</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Administrative science quarterly</w:t>
      </w:r>
      <w:r w:rsidRPr="007278A8">
        <w:rPr>
          <w:rFonts w:ascii="Arial" w:eastAsia="Times New Roman" w:hAnsi="Arial" w:cs="Arial"/>
          <w:color w:val="222222"/>
          <w:shd w:val="clear" w:color="auto" w:fill="FFFFFF"/>
        </w:rPr>
        <w: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44</w:t>
      </w:r>
      <w:r w:rsidRPr="007278A8">
        <w:rPr>
          <w:rFonts w:ascii="Arial" w:eastAsia="Times New Roman" w:hAnsi="Arial" w:cs="Arial"/>
          <w:color w:val="222222"/>
          <w:shd w:val="clear" w:color="auto" w:fill="FFFFFF"/>
        </w:rPr>
        <w:t>(2), pp.350-383.</w:t>
      </w:r>
    </w:p>
    <w:p w14:paraId="08A2ADC9" w14:textId="00EACFB5" w:rsidR="00793676" w:rsidRDefault="006336D3" w:rsidP="0051241B">
      <w:pPr>
        <w:spacing w:line="360" w:lineRule="auto"/>
        <w:rPr>
          <w:rFonts w:ascii="Arial" w:hAnsi="Arial" w:cs="Arial"/>
        </w:rPr>
      </w:pPr>
      <w:r w:rsidRPr="007278A8">
        <w:rPr>
          <w:rFonts w:ascii="Arial" w:eastAsia="Times New Roman" w:hAnsi="Arial" w:cs="Arial"/>
          <w:color w:val="222222"/>
          <w:shd w:val="clear" w:color="auto" w:fill="FFFFFF"/>
        </w:rPr>
        <w:t>Fiedler, F.E., 1967. A THEORY OF LEADERSHIP EFFECTIVENESS. MCGRAW-HILL SERIES IN MANAGEMENT.</w:t>
      </w:r>
    </w:p>
    <w:p w14:paraId="63F1A7AC" w14:textId="2B06A324" w:rsidR="006336D3" w:rsidRDefault="000E3ADC" w:rsidP="0051241B">
      <w:pPr>
        <w:spacing w:line="360" w:lineRule="auto"/>
        <w:rPr>
          <w:rFonts w:ascii="Arial" w:hAnsi="Arial" w:cs="Arial"/>
        </w:rPr>
      </w:pPr>
      <w:r w:rsidRPr="007278A8">
        <w:rPr>
          <w:rFonts w:ascii="Arial" w:eastAsia="Times New Roman" w:hAnsi="Arial" w:cs="Arial"/>
          <w:color w:val="222222"/>
          <w:shd w:val="clear" w:color="auto" w:fill="FFFFFF"/>
        </w:rPr>
        <w:t>Mid Staffordshire, N.H.S., 2013.</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Report of the Mid Staffordshire NHS foundation trust public inquiry</w:t>
      </w:r>
      <w:r w:rsidRPr="007278A8">
        <w:rPr>
          <w:rFonts w:ascii="Arial" w:eastAsia="Times New Roman" w:hAnsi="Arial" w:cs="Arial"/>
          <w:color w:val="222222"/>
          <w:shd w:val="clear" w:color="auto" w:fill="FFFFFF"/>
        </w:rPr>
        <w:t>. Stationery Office.</w:t>
      </w:r>
    </w:p>
    <w:p w14:paraId="6A9C33E5" w14:textId="2127090E" w:rsidR="000E3ADC" w:rsidRDefault="008B4EE4" w:rsidP="0051241B">
      <w:pPr>
        <w:spacing w:line="360" w:lineRule="auto"/>
        <w:rPr>
          <w:rFonts w:ascii="Arial" w:hAnsi="Arial" w:cs="Arial"/>
        </w:rPr>
      </w:pPr>
      <w:r w:rsidRPr="007278A8">
        <w:rPr>
          <w:rFonts w:ascii="Arial" w:eastAsia="Times New Roman" w:hAnsi="Arial" w:cs="Arial"/>
          <w:color w:val="222222"/>
          <w:shd w:val="clear" w:color="auto" w:fill="FFFFFF"/>
        </w:rPr>
        <w:t>Gandhi, T.K., Feeley, D. and Schummers, D., 2020. Zero harm in health care.</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NEJM Catalyst Innovations in Care Delivery</w:t>
      </w:r>
      <w:r w:rsidRPr="007278A8">
        <w:rPr>
          <w:rFonts w:ascii="Arial" w:eastAsia="Times New Roman" w:hAnsi="Arial" w:cs="Arial"/>
          <w:color w:val="222222"/>
          <w:shd w:val="clear" w:color="auto" w:fill="FFFFFF"/>
        </w:rPr>
        <w: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1</w:t>
      </w:r>
      <w:r w:rsidRPr="007278A8">
        <w:rPr>
          <w:rFonts w:ascii="Arial" w:eastAsia="Times New Roman" w:hAnsi="Arial" w:cs="Arial"/>
          <w:color w:val="222222"/>
          <w:shd w:val="clear" w:color="auto" w:fill="FFFFFF"/>
        </w:rPr>
        <w:t>(2).</w:t>
      </w:r>
    </w:p>
    <w:p w14:paraId="23F647B1" w14:textId="4B1C60E2" w:rsidR="008B4EE4" w:rsidRDefault="00241E78" w:rsidP="0051241B">
      <w:pPr>
        <w:spacing w:line="360" w:lineRule="auto"/>
        <w:rPr>
          <w:rFonts w:ascii="Arial" w:hAnsi="Arial" w:cs="Arial"/>
        </w:rPr>
      </w:pPr>
      <w:r w:rsidRPr="007278A8">
        <w:rPr>
          <w:rFonts w:ascii="Arial" w:eastAsia="Times New Roman" w:hAnsi="Arial" w:cs="Arial"/>
          <w:color w:val="222222"/>
          <w:shd w:val="clear" w:color="auto" w:fill="FFFFFF"/>
        </w:rPr>
        <w:t xml:space="preserve">Healthcare Commission, 2009. Investigation into mid </w:t>
      </w:r>
      <w:r w:rsidR="004920E1" w:rsidRPr="007278A8">
        <w:rPr>
          <w:rFonts w:ascii="Arial" w:eastAsia="Times New Roman" w:hAnsi="Arial" w:cs="Arial"/>
          <w:color w:val="222222"/>
          <w:shd w:val="clear" w:color="auto" w:fill="FFFFFF"/>
        </w:rPr>
        <w:t>Staffordshire</w:t>
      </w:r>
      <w:r w:rsidRPr="007278A8">
        <w:rPr>
          <w:rFonts w:ascii="Arial" w:eastAsia="Times New Roman" w:hAnsi="Arial" w:cs="Arial"/>
          <w:color w:val="222222"/>
          <w:shd w:val="clear" w:color="auto" w:fill="FFFFFF"/>
        </w:rPr>
        <w:t xml:space="preserve"> NHS foundation trust.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London: Healthcare Commission</w:t>
      </w:r>
      <w:r w:rsidRPr="007278A8">
        <w:rPr>
          <w:rFonts w:ascii="Arial" w:eastAsia="Times New Roman" w:hAnsi="Arial" w:cs="Arial"/>
          <w:color w:val="222222"/>
          <w:shd w:val="clear" w:color="auto" w:fill="FFFFFF"/>
        </w:rPr>
        <w:t>.</w:t>
      </w:r>
    </w:p>
    <w:p w14:paraId="3D59D2BD" w14:textId="37416A31" w:rsidR="00241E78" w:rsidRDefault="00241E78" w:rsidP="0051241B">
      <w:pPr>
        <w:spacing w:line="360" w:lineRule="auto"/>
        <w:rPr>
          <w:rFonts w:ascii="Arial" w:hAnsi="Arial" w:cs="Arial"/>
        </w:rPr>
      </w:pPr>
    </w:p>
    <w:p w14:paraId="682E5B94" w14:textId="77777777" w:rsidR="0063468A" w:rsidRDefault="0063468A" w:rsidP="007278A8">
      <w:pPr>
        <w:spacing w:line="360" w:lineRule="auto"/>
        <w:rPr>
          <w:rFonts w:ascii="Arial" w:hAnsi="Arial" w:cs="Arial"/>
        </w:rPr>
      </w:pPr>
    </w:p>
    <w:p w14:paraId="17776320" w14:textId="038032ED" w:rsidR="00E35340" w:rsidRDefault="00E35340" w:rsidP="0051241B">
      <w:pPr>
        <w:spacing w:line="360" w:lineRule="auto"/>
        <w:rPr>
          <w:rFonts w:ascii="Arial" w:hAnsi="Arial" w:cs="Arial"/>
        </w:rPr>
      </w:pPr>
      <w:r w:rsidRPr="007278A8">
        <w:rPr>
          <w:rFonts w:ascii="Arial" w:eastAsia="Times New Roman" w:hAnsi="Arial" w:cs="Arial"/>
          <w:color w:val="222222"/>
          <w:shd w:val="clear" w:color="auto" w:fill="FFFFFF"/>
        </w:rPr>
        <w:t>Coleman, C.M., 2019. Quality and improvement science.</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Current trends in oncology nursing</w:t>
      </w:r>
      <w:r w:rsidRPr="007278A8">
        <w:rPr>
          <w:rFonts w:ascii="Arial" w:eastAsia="Times New Roman" w:hAnsi="Arial" w:cs="Arial"/>
          <w:color w:val="222222"/>
          <w:shd w:val="clear" w:color="auto" w:fill="FFFFFF"/>
        </w:rPr>
        <w:t>, pp.71-84.</w:t>
      </w:r>
    </w:p>
    <w:tbl>
      <w:tblPr>
        <w:tblW w:w="5730" w:type="dxa"/>
        <w:tblCellMar>
          <w:left w:w="0" w:type="dxa"/>
          <w:right w:w="0" w:type="dxa"/>
        </w:tblCellMar>
        <w:tblLook w:val="04A0" w:firstRow="1" w:lastRow="0" w:firstColumn="1" w:lastColumn="0" w:noHBand="0" w:noVBand="1"/>
      </w:tblPr>
      <w:tblGrid>
        <w:gridCol w:w="5730"/>
      </w:tblGrid>
      <w:tr w:rsidR="00495C9B" w:rsidRPr="007278A8" w14:paraId="2BD55795" w14:textId="77777777">
        <w:tc>
          <w:tcPr>
            <w:tcW w:w="0" w:type="auto"/>
            <w:vAlign w:val="center"/>
            <w:hideMark/>
          </w:tcPr>
          <w:p w14:paraId="794A20B2" w14:textId="77777777" w:rsidR="00495C9B" w:rsidRPr="007278A8" w:rsidRDefault="00495C9B" w:rsidP="007278A8">
            <w:pPr>
              <w:spacing w:after="0" w:line="360" w:lineRule="auto"/>
              <w:rPr>
                <w:rFonts w:ascii="Arial" w:eastAsiaTheme="minorEastAsia" w:hAnsi="Arial" w:cs="Arial"/>
                <w:kern w:val="0"/>
                <w:lang w:eastAsia="en-GB"/>
                <w14:ligatures w14:val="none"/>
              </w:rPr>
            </w:pPr>
          </w:p>
        </w:tc>
      </w:tr>
      <w:tr w:rsidR="00495C9B" w:rsidRPr="007278A8" w14:paraId="0304F38C" w14:textId="77777777">
        <w:tc>
          <w:tcPr>
            <w:tcW w:w="0" w:type="auto"/>
            <w:tcMar>
              <w:top w:w="120" w:type="dxa"/>
              <w:left w:w="0" w:type="dxa"/>
              <w:bottom w:w="120" w:type="dxa"/>
              <w:right w:w="0" w:type="dxa"/>
            </w:tcMar>
            <w:hideMark/>
          </w:tcPr>
          <w:p w14:paraId="328DBFD4" w14:textId="717A1456" w:rsidR="00495C9B" w:rsidRPr="007278A8" w:rsidRDefault="00495C9B" w:rsidP="007278A8">
            <w:pPr>
              <w:spacing w:after="0" w:line="360" w:lineRule="auto"/>
              <w:rPr>
                <w:rFonts w:ascii="Arial" w:eastAsia="Times New Roman" w:hAnsi="Arial" w:cs="Arial"/>
                <w:color w:val="222222"/>
                <w:kern w:val="0"/>
                <w:lang w:eastAsia="en-GB"/>
                <w14:ligatures w14:val="none"/>
              </w:rPr>
            </w:pPr>
            <w:r w:rsidRPr="007278A8">
              <w:rPr>
                <w:rFonts w:ascii="Arial" w:eastAsia="Times New Roman" w:hAnsi="Arial" w:cs="Arial"/>
                <w:color w:val="222222"/>
                <w:kern w:val="0"/>
                <w:lang w:eastAsia="en-GB"/>
                <w14:ligatures w14:val="none"/>
              </w:rPr>
              <w:t>Langley, G.J., Moen, R.D., Nolan, K.M., Nolan, T.W., Norman,</w:t>
            </w:r>
            <w:r w:rsidR="00811BA8" w:rsidRPr="007278A8">
              <w:rPr>
                <w:rFonts w:ascii="Arial" w:eastAsia="Times New Roman" w:hAnsi="Arial" w:cs="Arial"/>
                <w:color w:val="222222"/>
                <w:kern w:val="0"/>
                <w:lang w:eastAsia="en-GB"/>
                <w14:ligatures w14:val="none"/>
              </w:rPr>
              <w:t xml:space="preserve"> </w:t>
            </w:r>
            <w:r w:rsidRPr="007278A8">
              <w:rPr>
                <w:rFonts w:ascii="Arial" w:eastAsia="Times New Roman" w:hAnsi="Arial" w:cs="Arial"/>
                <w:color w:val="222222"/>
                <w:kern w:val="0"/>
                <w:lang w:eastAsia="en-GB"/>
                <w14:ligatures w14:val="none"/>
              </w:rPr>
              <w:t>C.L. and Provost, L.P., 2009. </w:t>
            </w:r>
            <w:r w:rsidRPr="007278A8">
              <w:rPr>
                <w:rFonts w:ascii="Arial" w:eastAsia="Times New Roman" w:hAnsi="Arial" w:cs="Arial"/>
                <w:i/>
                <w:color w:val="222222"/>
                <w:kern w:val="0"/>
                <w:lang w:eastAsia="en-GB"/>
                <w14:ligatures w14:val="none"/>
              </w:rPr>
              <w:t xml:space="preserve">The improvement guide: a practical approach to enhancing </w:t>
            </w:r>
            <w:r w:rsidRPr="007278A8">
              <w:rPr>
                <w:rFonts w:ascii="Arial" w:eastAsia="Times New Roman" w:hAnsi="Arial" w:cs="Arial"/>
                <w:i/>
                <w:iCs/>
                <w:color w:val="222222"/>
                <w:kern w:val="0"/>
                <w:lang w:eastAsia="en-GB"/>
                <w14:ligatures w14:val="none"/>
              </w:rPr>
              <w:t>organi</w:t>
            </w:r>
            <w:r w:rsidR="007278A8" w:rsidRPr="007278A8">
              <w:rPr>
                <w:rFonts w:ascii="Arial" w:eastAsia="Times New Roman" w:hAnsi="Arial" w:cs="Arial"/>
                <w:i/>
                <w:iCs/>
                <w:color w:val="222222"/>
                <w:kern w:val="0"/>
                <w:lang w:eastAsia="en-GB"/>
                <w14:ligatures w14:val="none"/>
              </w:rPr>
              <w:t>s</w:t>
            </w:r>
            <w:r w:rsidRPr="007278A8">
              <w:rPr>
                <w:rFonts w:ascii="Arial" w:eastAsia="Times New Roman" w:hAnsi="Arial" w:cs="Arial"/>
                <w:i/>
                <w:iCs/>
                <w:color w:val="222222"/>
                <w:kern w:val="0"/>
                <w:lang w:eastAsia="en-GB"/>
                <w14:ligatures w14:val="none"/>
              </w:rPr>
              <w:t>ational</w:t>
            </w:r>
            <w:r w:rsidRPr="007278A8">
              <w:rPr>
                <w:rFonts w:ascii="Arial" w:eastAsia="Times New Roman" w:hAnsi="Arial" w:cs="Arial"/>
                <w:i/>
                <w:color w:val="222222"/>
                <w:kern w:val="0"/>
                <w:lang w:eastAsia="en-GB"/>
                <w14:ligatures w14:val="none"/>
              </w:rPr>
              <w:t xml:space="preserve"> performance</w:t>
            </w:r>
            <w:r w:rsidRPr="007278A8">
              <w:rPr>
                <w:rFonts w:ascii="Arial" w:eastAsia="Times New Roman" w:hAnsi="Arial" w:cs="Arial"/>
                <w:color w:val="222222"/>
                <w:kern w:val="0"/>
                <w:lang w:eastAsia="en-GB"/>
                <w14:ligatures w14:val="none"/>
              </w:rPr>
              <w:t> (Vol. 512). San Francisco, CA: Jossey-bass.</w:t>
            </w:r>
          </w:p>
        </w:tc>
      </w:tr>
      <w:tr w:rsidR="00495C9B" w:rsidRPr="007278A8" w14:paraId="49FDAFB5" w14:textId="77777777">
        <w:tc>
          <w:tcPr>
            <w:tcW w:w="0" w:type="auto"/>
            <w:tcMar>
              <w:top w:w="120" w:type="dxa"/>
              <w:left w:w="0" w:type="dxa"/>
              <w:bottom w:w="120" w:type="dxa"/>
              <w:right w:w="0" w:type="dxa"/>
            </w:tcMar>
            <w:hideMark/>
          </w:tcPr>
          <w:p w14:paraId="6FFFF8EE" w14:textId="77777777" w:rsidR="00495C9B" w:rsidRPr="007278A8" w:rsidRDefault="00495C9B" w:rsidP="007278A8">
            <w:pPr>
              <w:spacing w:after="0" w:line="360" w:lineRule="auto"/>
              <w:rPr>
                <w:rFonts w:ascii="Arial" w:eastAsia="Times New Roman" w:hAnsi="Arial" w:cs="Arial"/>
                <w:color w:val="222222"/>
                <w:kern w:val="0"/>
                <w:lang w:eastAsia="en-GB"/>
                <w14:ligatures w14:val="none"/>
              </w:rPr>
            </w:pPr>
          </w:p>
        </w:tc>
      </w:tr>
    </w:tbl>
    <w:p w14:paraId="13A8324D" w14:textId="38CDA660" w:rsidR="00495C9B" w:rsidRDefault="00E8507C" w:rsidP="0051241B">
      <w:pPr>
        <w:spacing w:line="360" w:lineRule="auto"/>
        <w:rPr>
          <w:rFonts w:ascii="Arial" w:hAnsi="Arial" w:cs="Arial"/>
        </w:rPr>
      </w:pPr>
      <w:r w:rsidRPr="007278A8">
        <w:rPr>
          <w:rFonts w:ascii="Arial" w:eastAsia="Times New Roman" w:hAnsi="Arial" w:cs="Arial"/>
          <w:color w:val="222222"/>
          <w:shd w:val="clear" w:color="auto" w:fill="FFFFFF"/>
        </w:rPr>
        <w:t>Macrae, C., 2014. Early warnings, weak signals, and learning from healthcare disasters.</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BMJ quality &amp; safety</w:t>
      </w:r>
      <w:r w:rsidRPr="007278A8">
        <w:rPr>
          <w:rFonts w:ascii="Arial" w:eastAsia="Times New Roman" w:hAnsi="Arial" w:cs="Arial"/>
          <w:color w:val="222222"/>
          <w:shd w:val="clear" w:color="auto" w:fill="FFFFFF"/>
        </w:rPr>
        <w: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23</w:t>
      </w:r>
      <w:r w:rsidRPr="007278A8">
        <w:rPr>
          <w:rFonts w:ascii="Arial" w:eastAsia="Times New Roman" w:hAnsi="Arial" w:cs="Arial"/>
          <w:color w:val="222222"/>
          <w:shd w:val="clear" w:color="auto" w:fill="FFFFFF"/>
        </w:rPr>
        <w:t>(6), pp.440-445.</w:t>
      </w:r>
    </w:p>
    <w:p w14:paraId="40FBA95A" w14:textId="6292CA01" w:rsidR="00495C9B" w:rsidRDefault="007B5629" w:rsidP="0051241B">
      <w:pPr>
        <w:spacing w:line="360" w:lineRule="auto"/>
        <w:rPr>
          <w:rFonts w:ascii="Arial" w:hAnsi="Arial" w:cs="Arial"/>
        </w:rPr>
      </w:pPr>
      <w:r w:rsidRPr="007278A8">
        <w:rPr>
          <w:rFonts w:ascii="Arial" w:eastAsia="Times New Roman" w:hAnsi="Arial" w:cs="Arial"/>
          <w:color w:val="222222"/>
          <w:shd w:val="clear" w:color="auto" w:fill="FFFFFF"/>
        </w:rPr>
        <w:t>McGregor, D.M., 1971.</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The human side of enterprise</w:t>
      </w:r>
      <w:r w:rsidRPr="007278A8">
        <w:rPr>
          <w:rFonts w:ascii="Arial" w:eastAsia="Times New Roman" w:hAnsi="Arial" w:cs="Arial"/>
          <w:color w:val="222222"/>
          <w:shd w:val="clear" w:color="auto" w:fill="FFFFFF"/>
        </w:rPr>
        <w:t>. Hsin Lu Book Company.</w:t>
      </w:r>
    </w:p>
    <w:p w14:paraId="430FFCBF" w14:textId="016FBEA6" w:rsidR="007B5629" w:rsidRDefault="00902DFE" w:rsidP="0051241B">
      <w:pPr>
        <w:spacing w:line="360" w:lineRule="auto"/>
        <w:rPr>
          <w:rFonts w:ascii="Arial" w:hAnsi="Arial" w:cs="Arial"/>
        </w:rPr>
      </w:pPr>
      <w:r w:rsidRPr="007278A8">
        <w:rPr>
          <w:rFonts w:ascii="Arial" w:eastAsia="Times New Roman" w:hAnsi="Arial" w:cs="Arial"/>
          <w:color w:val="222222"/>
          <w:shd w:val="clear" w:color="auto" w:fill="FFFFFF"/>
        </w:rPr>
        <w:t>Mintzberg, H., 1979. The structuring of organisations. Engle-wood Cliffs.</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J: Prentice-Hall</w:t>
      </w:r>
      <w:r w:rsidRPr="007278A8">
        <w:rPr>
          <w:rFonts w:ascii="Arial" w:eastAsia="Times New Roman" w:hAnsi="Arial" w:cs="Arial"/>
          <w:color w:val="222222"/>
          <w:shd w:val="clear" w:color="auto" w:fill="FFFFFF"/>
        </w:rPr>
        <w:t>, pp.238-265.</w:t>
      </w:r>
    </w:p>
    <w:p w14:paraId="575FFF9B" w14:textId="1E21EE0D" w:rsidR="00902DFE" w:rsidRDefault="009B2A42" w:rsidP="0051241B">
      <w:pPr>
        <w:spacing w:line="360" w:lineRule="auto"/>
        <w:rPr>
          <w:rFonts w:ascii="Arial" w:hAnsi="Arial" w:cs="Arial"/>
        </w:rPr>
      </w:pPr>
      <w:r w:rsidRPr="007278A8">
        <w:rPr>
          <w:rFonts w:ascii="Arial" w:eastAsia="Times New Roman" w:hAnsi="Arial" w:cs="Arial"/>
          <w:color w:val="222222"/>
          <w:shd w:val="clear" w:color="auto" w:fill="FFFFFF"/>
        </w:rPr>
        <w:t xml:space="preserve">Code, E.E., Act, E.S.S., Rights, F.E., Act, P., Code, </w:t>
      </w:r>
      <w:r w:rsidR="00DD05B8" w:rsidRPr="007278A8">
        <w:rPr>
          <w:rFonts w:ascii="Arial" w:eastAsia="Times New Roman" w:hAnsi="Arial" w:cs="Arial"/>
          <w:color w:val="222222"/>
          <w:shd w:val="clear" w:color="auto" w:fill="FFFFFF"/>
        </w:rPr>
        <w:t>P.P.,</w:t>
      </w:r>
      <w:r w:rsidRPr="007278A8">
        <w:rPr>
          <w:rFonts w:ascii="Arial" w:eastAsia="Times New Roman" w:hAnsi="Arial" w:cs="Arial"/>
          <w:color w:val="222222"/>
          <w:shd w:val="clear" w:color="auto" w:fill="FFFFFF"/>
        </w:rPr>
        <w:t xml:space="preserve"> and Welfare, W.I.C., ANNUAL NOTICE TO PARENTS/GUARDIANS 2024-2025.</w:t>
      </w:r>
    </w:p>
    <w:p w14:paraId="18DDBD72" w14:textId="4B634CA7" w:rsidR="009B2A42" w:rsidRPr="007278A8" w:rsidRDefault="009B2A42" w:rsidP="0051241B">
      <w:pPr>
        <w:spacing w:line="360" w:lineRule="auto"/>
        <w:rPr>
          <w:rFonts w:ascii="Arial" w:eastAsia="Times New Roman" w:hAnsi="Arial" w:cs="Arial"/>
          <w:color w:val="222222"/>
          <w:shd w:val="clear" w:color="auto" w:fill="FFFFFF"/>
        </w:rPr>
      </w:pPr>
    </w:p>
    <w:p w14:paraId="040D87AB" w14:textId="53DBDF07" w:rsidR="00FE4107" w:rsidRDefault="00FE4107" w:rsidP="0051241B">
      <w:pPr>
        <w:spacing w:line="360" w:lineRule="auto"/>
        <w:rPr>
          <w:rFonts w:ascii="Arial" w:hAnsi="Arial" w:cs="Arial"/>
        </w:rPr>
      </w:pPr>
      <w:r w:rsidRPr="007278A8">
        <w:rPr>
          <w:rFonts w:ascii="Arial" w:eastAsia="Times New Roman" w:hAnsi="Arial" w:cs="Arial"/>
          <w:color w:val="222222"/>
          <w:shd w:val="clear" w:color="auto" w:fill="FFFFFF"/>
        </w:rPr>
        <w:t>England, N.H.S. and Improvement, N.H.S., 2019. The NHS patient safety strategy.</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Safer culture, safer systems, safer patients</w:t>
      </w:r>
      <w:r w:rsidRPr="007278A8">
        <w:rPr>
          <w:rFonts w:ascii="Arial" w:eastAsia="Times New Roman" w:hAnsi="Arial" w:cs="Arial"/>
          <w:color w:val="222222"/>
          <w:shd w:val="clear" w:color="auto" w:fill="FFFFFF"/>
        </w:rPr>
        <w:t>.</w:t>
      </w:r>
    </w:p>
    <w:p w14:paraId="0C27AB35" w14:textId="77777777" w:rsidR="00FE4107" w:rsidRDefault="00FE4107" w:rsidP="0051241B">
      <w:pPr>
        <w:spacing w:line="360" w:lineRule="auto"/>
        <w:rPr>
          <w:rFonts w:ascii="Arial" w:hAnsi="Arial" w:cs="Arial"/>
        </w:rPr>
      </w:pPr>
    </w:p>
    <w:p w14:paraId="3CCFDA79" w14:textId="3BDEBC65" w:rsidR="00C43952" w:rsidRDefault="00216EAD" w:rsidP="0051241B">
      <w:pPr>
        <w:spacing w:line="360" w:lineRule="auto"/>
        <w:rPr>
          <w:rFonts w:ascii="Arial" w:hAnsi="Arial" w:cs="Arial"/>
        </w:rPr>
      </w:pPr>
      <w:r w:rsidRPr="007278A8">
        <w:rPr>
          <w:rFonts w:ascii="Arial" w:eastAsia="Times New Roman" w:hAnsi="Arial" w:cs="Arial"/>
          <w:color w:val="222222"/>
          <w:shd w:val="clear" w:color="auto" w:fill="FFFFFF"/>
        </w:rPr>
        <w:t>England, N.H.S., 2022. Patient safety incident response framework.</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London, UK NHS England</w:t>
      </w:r>
      <w:r w:rsidRPr="007278A8">
        <w:rPr>
          <w:rFonts w:ascii="Arial" w:eastAsia="Times New Roman" w:hAnsi="Arial" w:cs="Arial"/>
          <w:color w:val="222222"/>
          <w:shd w:val="clear" w:color="auto" w:fill="FFFFFF"/>
        </w:rPr>
        <w:t>.</w:t>
      </w:r>
    </w:p>
    <w:p w14:paraId="65321B0B" w14:textId="4A2B92A0" w:rsidR="00C43952" w:rsidRDefault="00CF64A3" w:rsidP="0051241B">
      <w:pPr>
        <w:spacing w:line="360" w:lineRule="auto"/>
        <w:rPr>
          <w:rFonts w:ascii="Arial" w:hAnsi="Arial" w:cs="Arial"/>
        </w:rPr>
      </w:pPr>
      <w:r w:rsidRPr="007278A8">
        <w:rPr>
          <w:rFonts w:ascii="Arial" w:eastAsia="Times New Roman" w:hAnsi="Arial" w:cs="Arial"/>
          <w:color w:val="222222"/>
          <w:shd w:val="clear" w:color="auto" w:fill="FFFFFF"/>
        </w:rPr>
        <w:t>Improvement, N.H.S., 2018.</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Developing workforce safeguards: supporting providers to deliver high-quality care through safe and effective staffing</w:t>
      </w:r>
      <w:r w:rsidRPr="007278A8">
        <w:rPr>
          <w:rFonts w:ascii="Arial" w:eastAsia="Times New Roman" w:hAnsi="Arial" w:cs="Arial"/>
          <w:color w:val="222222"/>
          <w:shd w:val="clear" w:color="auto" w:fill="FFFFFF"/>
        </w:rPr>
        <w:t>. NHS Improvement.</w:t>
      </w:r>
    </w:p>
    <w:p w14:paraId="5AF3D060" w14:textId="23F0F11A" w:rsidR="00CF64A3" w:rsidRDefault="00CF64A3" w:rsidP="0051241B">
      <w:pPr>
        <w:spacing w:line="360" w:lineRule="auto"/>
        <w:rPr>
          <w:rFonts w:ascii="Arial" w:hAnsi="Arial" w:cs="Arial"/>
        </w:rPr>
      </w:pPr>
    </w:p>
    <w:p w14:paraId="568DC9B7" w14:textId="22A051E6" w:rsidR="005A4F61" w:rsidRPr="0051241B" w:rsidRDefault="005A4F61" w:rsidP="0051241B">
      <w:pPr>
        <w:spacing w:line="360" w:lineRule="auto"/>
        <w:rPr>
          <w:rFonts w:ascii="Arial" w:hAnsi="Arial" w:cs="Arial"/>
        </w:rPr>
      </w:pPr>
      <w:r w:rsidRPr="0051241B">
        <w:rPr>
          <w:rFonts w:ascii="Arial" w:hAnsi="Arial" w:cs="Arial"/>
        </w:rPr>
        <w:t>Northouse, P.G.</w:t>
      </w:r>
      <w:r w:rsidR="0035494E">
        <w:rPr>
          <w:rFonts w:ascii="Arial" w:hAnsi="Arial" w:cs="Arial"/>
        </w:rPr>
        <w:t>,</w:t>
      </w:r>
      <w:r w:rsidRPr="0051241B">
        <w:rPr>
          <w:rFonts w:ascii="Arial" w:hAnsi="Arial" w:cs="Arial"/>
        </w:rPr>
        <w:t>2022</w:t>
      </w:r>
      <w:r w:rsidR="0035494E">
        <w:rPr>
          <w:rFonts w:ascii="Arial" w:hAnsi="Arial" w:cs="Arial"/>
        </w:rPr>
        <w:t xml:space="preserve">. </w:t>
      </w:r>
      <w:r w:rsidRPr="0051241B">
        <w:rPr>
          <w:rFonts w:ascii="Arial" w:hAnsi="Arial" w:cs="Arial"/>
        </w:rPr>
        <w:t>Leadership: Theory and Practice. 9th edn. Thousand Oaks, CA: SAGE.</w:t>
      </w:r>
    </w:p>
    <w:p w14:paraId="30DB2ACD" w14:textId="4175CFC2" w:rsidR="006D579E" w:rsidRDefault="006D579E" w:rsidP="0051241B">
      <w:pPr>
        <w:spacing w:line="360" w:lineRule="auto"/>
        <w:rPr>
          <w:rFonts w:ascii="Arial" w:hAnsi="Arial" w:cs="Arial"/>
        </w:rPr>
      </w:pPr>
      <w:r w:rsidRPr="007278A8">
        <w:rPr>
          <w:rFonts w:ascii="Arial" w:eastAsia="Times New Roman" w:hAnsi="Arial" w:cs="Arial"/>
          <w:color w:val="222222"/>
          <w:shd w:val="clear" w:color="auto" w:fill="FFFFFF"/>
        </w:rPr>
        <w:t>Ouchi, W.G., 1981.</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Theory Z: Now American Business Can Met the Japanese Challenge</w:t>
      </w:r>
      <w:r w:rsidRPr="007278A8">
        <w:rPr>
          <w:rFonts w:ascii="Arial" w:eastAsia="Times New Roman" w:hAnsi="Arial" w:cs="Arial"/>
          <w:color w:val="222222"/>
          <w:shd w:val="clear" w:color="auto" w:fill="FFFFFF"/>
        </w:rPr>
        <w:t>. Avon Books.</w:t>
      </w:r>
    </w:p>
    <w:p w14:paraId="18805F54" w14:textId="708D3EBD" w:rsidR="006D579E" w:rsidRDefault="00594C84" w:rsidP="0051241B">
      <w:pPr>
        <w:spacing w:line="360" w:lineRule="auto"/>
        <w:rPr>
          <w:rFonts w:ascii="Arial" w:hAnsi="Arial" w:cs="Arial"/>
        </w:rPr>
      </w:pPr>
      <w:r w:rsidRPr="007278A8">
        <w:rPr>
          <w:rFonts w:ascii="Arial" w:eastAsia="Times New Roman" w:hAnsi="Arial" w:cs="Arial"/>
          <w:color w:val="222222"/>
          <w:shd w:val="clear" w:color="auto" w:fill="FFFFFF"/>
        </w:rPr>
        <w:t>Palmer, S. and Torgerson, D.J., 1999. Definitions of efficiency.</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Bmj</w:t>
      </w:r>
      <w:r w:rsidRPr="007278A8">
        <w:rPr>
          <w:rFonts w:ascii="Arial" w:eastAsia="Times New Roman" w:hAnsi="Arial" w:cs="Arial"/>
          <w:color w:val="222222"/>
          <w:shd w:val="clear" w:color="auto" w:fill="FFFFFF"/>
        </w:rPr>
        <w: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318</w:t>
      </w:r>
      <w:r w:rsidRPr="007278A8">
        <w:rPr>
          <w:rFonts w:ascii="Arial" w:eastAsia="Times New Roman" w:hAnsi="Arial" w:cs="Arial"/>
          <w:color w:val="222222"/>
          <w:shd w:val="clear" w:color="auto" w:fill="FFFFFF"/>
        </w:rPr>
        <w:t>(7191), p.1136.</w:t>
      </w:r>
    </w:p>
    <w:p w14:paraId="36579E49" w14:textId="6963C4C3" w:rsidR="00594C84" w:rsidRDefault="000D3667" w:rsidP="0051241B">
      <w:pPr>
        <w:spacing w:line="360" w:lineRule="auto"/>
        <w:rPr>
          <w:rFonts w:ascii="Arial" w:hAnsi="Arial" w:cs="Arial"/>
        </w:rPr>
      </w:pPr>
      <w:r w:rsidRPr="007278A8">
        <w:rPr>
          <w:rFonts w:ascii="Arial" w:eastAsia="Times New Roman" w:hAnsi="Arial" w:cs="Arial"/>
          <w:color w:val="222222"/>
          <w:shd w:val="clear" w:color="auto" w:fill="FFFFFF"/>
        </w:rPr>
        <w:t>Reason, J., 2000. Human error: models and management.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Bmj</w:t>
      </w:r>
      <w:r w:rsidRPr="007278A8">
        <w:rPr>
          <w:rFonts w:ascii="Arial" w:eastAsia="Times New Roman" w:hAnsi="Arial" w:cs="Arial"/>
          <w:color w:val="222222"/>
          <w:shd w:val="clear" w:color="auto" w:fill="FFFFFF"/>
        </w:rPr>
        <w: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320</w:t>
      </w:r>
      <w:r w:rsidRPr="007278A8">
        <w:rPr>
          <w:rFonts w:ascii="Arial" w:eastAsia="Times New Roman" w:hAnsi="Arial" w:cs="Arial"/>
          <w:color w:val="222222"/>
          <w:shd w:val="clear" w:color="auto" w:fill="FFFFFF"/>
        </w:rPr>
        <w:t>(7237), pp.768-770.</w:t>
      </w:r>
    </w:p>
    <w:p w14:paraId="19C9AB11" w14:textId="4187BE7B" w:rsidR="000D3667" w:rsidRDefault="00054180" w:rsidP="0051241B">
      <w:pPr>
        <w:spacing w:line="360" w:lineRule="auto"/>
        <w:rPr>
          <w:rFonts w:ascii="Arial" w:hAnsi="Arial" w:cs="Arial"/>
        </w:rPr>
      </w:pPr>
      <w:r w:rsidRPr="007278A8">
        <w:rPr>
          <w:rFonts w:ascii="Arial" w:eastAsia="Times New Roman" w:hAnsi="Arial" w:cs="Arial"/>
          <w:color w:val="222222"/>
          <w:shd w:val="clear" w:color="auto" w:fill="FFFFFF"/>
        </w:rPr>
        <w:t>Senge, P.M., 1990. The fifth discipline: The art and practice of the learning organi</w:t>
      </w:r>
      <w:r w:rsidR="003C151D">
        <w:rPr>
          <w:rFonts w:ascii="Arial" w:eastAsia="Times New Roman" w:hAnsi="Arial" w:cs="Arial"/>
          <w:color w:val="222222"/>
          <w:shd w:val="clear" w:color="auto" w:fill="FFFFFF"/>
        </w:rPr>
        <w:t>s</w:t>
      </w:r>
      <w:r w:rsidRPr="007278A8">
        <w:rPr>
          <w:rFonts w:ascii="Arial" w:eastAsia="Times New Roman" w:hAnsi="Arial" w:cs="Arial"/>
          <w:color w:val="222222"/>
          <w:shd w:val="clear" w:color="auto" w:fill="FFFFFF"/>
        </w:rPr>
        <w:t>ation.</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Currency Doubleday</w:t>
      </w:r>
      <w:r w:rsidRPr="007278A8">
        <w:rPr>
          <w:rFonts w:ascii="Arial" w:eastAsia="Times New Roman" w:hAnsi="Arial" w:cs="Arial"/>
          <w:color w:val="222222"/>
          <w:shd w:val="clear" w:color="auto" w:fill="FFFFFF"/>
        </w:rPr>
        <w:t>,</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371</w:t>
      </w:r>
      <w:r w:rsidRPr="007278A8">
        <w:rPr>
          <w:rFonts w:ascii="Arial" w:eastAsia="Times New Roman" w:hAnsi="Arial" w:cs="Arial"/>
          <w:color w:val="222222"/>
          <w:shd w:val="clear" w:color="auto" w:fill="FFFFFF"/>
        </w:rPr>
        <w:t>.</w:t>
      </w:r>
    </w:p>
    <w:p w14:paraId="68B46A57" w14:textId="16C39380" w:rsidR="00054180" w:rsidRDefault="000139C1" w:rsidP="0051241B">
      <w:pPr>
        <w:spacing w:line="360" w:lineRule="auto"/>
        <w:rPr>
          <w:rFonts w:ascii="Arial" w:hAnsi="Arial" w:cs="Arial"/>
        </w:rPr>
      </w:pPr>
      <w:r w:rsidRPr="007278A8">
        <w:rPr>
          <w:rFonts w:ascii="Arial" w:eastAsia="Times New Roman" w:hAnsi="Arial" w:cs="Arial"/>
          <w:color w:val="222222"/>
          <w:shd w:val="clear" w:color="auto" w:fill="FFFFFF"/>
        </w:rPr>
        <w:t xml:space="preserve">West, M.A., Eckert, R., Steward, </w:t>
      </w:r>
      <w:r w:rsidR="00851895" w:rsidRPr="007278A8">
        <w:rPr>
          <w:rFonts w:ascii="Arial" w:eastAsia="Times New Roman" w:hAnsi="Arial" w:cs="Arial"/>
          <w:color w:val="222222"/>
          <w:shd w:val="clear" w:color="auto" w:fill="FFFFFF"/>
        </w:rPr>
        <w:t>K.,</w:t>
      </w:r>
      <w:r w:rsidRPr="007278A8">
        <w:rPr>
          <w:rFonts w:ascii="Arial" w:eastAsia="Times New Roman" w:hAnsi="Arial" w:cs="Arial"/>
          <w:color w:val="222222"/>
          <w:shd w:val="clear" w:color="auto" w:fill="FFFFFF"/>
        </w:rPr>
        <w:t xml:space="preserve"> and Pasmore, W.A., 2014.</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Developing collective leadership for health care</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color w:val="222222"/>
          <w:shd w:val="clear" w:color="auto" w:fill="FFFFFF"/>
        </w:rPr>
        <w:t>(Vol. 36). London: King's Fund.</w:t>
      </w:r>
    </w:p>
    <w:p w14:paraId="6C606A2A" w14:textId="4BD96F41" w:rsidR="000139C1" w:rsidRDefault="000139C1" w:rsidP="0051241B">
      <w:pPr>
        <w:spacing w:line="360" w:lineRule="auto"/>
        <w:rPr>
          <w:rFonts w:ascii="Arial" w:hAnsi="Arial" w:cs="Arial"/>
        </w:rPr>
      </w:pPr>
    </w:p>
    <w:p w14:paraId="49D5AFF0" w14:textId="56E3BBBD" w:rsidR="005A4F61" w:rsidRPr="0051241B" w:rsidRDefault="005A4F61" w:rsidP="0051241B">
      <w:pPr>
        <w:spacing w:line="360" w:lineRule="auto"/>
        <w:rPr>
          <w:rFonts w:ascii="Arial" w:hAnsi="Arial" w:cs="Arial"/>
        </w:rPr>
      </w:pPr>
      <w:r w:rsidRPr="0051241B">
        <w:rPr>
          <w:rFonts w:ascii="Arial" w:hAnsi="Arial" w:cs="Arial"/>
        </w:rPr>
        <w:t xml:space="preserve">World Health </w:t>
      </w:r>
      <w:r w:rsidR="000D78F9" w:rsidRPr="0051241B">
        <w:rPr>
          <w:rFonts w:ascii="Arial" w:hAnsi="Arial" w:cs="Arial"/>
        </w:rPr>
        <w:t>Organisation.</w:t>
      </w:r>
      <w:r w:rsidR="000D78F9">
        <w:rPr>
          <w:rFonts w:ascii="Arial" w:hAnsi="Arial" w:cs="Arial"/>
        </w:rPr>
        <w:t>,</w:t>
      </w:r>
      <w:r w:rsidRPr="0051241B">
        <w:rPr>
          <w:rFonts w:ascii="Arial" w:hAnsi="Arial" w:cs="Arial"/>
        </w:rPr>
        <w:t>2019</w:t>
      </w:r>
      <w:r w:rsidR="000D78F9">
        <w:rPr>
          <w:rFonts w:ascii="Arial" w:hAnsi="Arial" w:cs="Arial"/>
        </w:rPr>
        <w:t xml:space="preserve">. </w:t>
      </w:r>
      <w:r w:rsidRPr="0051241B">
        <w:rPr>
          <w:rFonts w:ascii="Arial" w:hAnsi="Arial" w:cs="Arial"/>
        </w:rPr>
        <w:t>10 Facts on Patient Safety. Geneva: WHO.</w:t>
      </w:r>
    </w:p>
    <w:p w14:paraId="25CB6C92" w14:textId="4A7A4349" w:rsidR="005A4F61" w:rsidRPr="0051241B" w:rsidRDefault="005A4F61" w:rsidP="0051241B">
      <w:pPr>
        <w:spacing w:line="360" w:lineRule="auto"/>
        <w:rPr>
          <w:rFonts w:ascii="Arial" w:hAnsi="Arial" w:cs="Arial"/>
        </w:rPr>
      </w:pPr>
      <w:r w:rsidRPr="0051241B">
        <w:rPr>
          <w:rFonts w:ascii="Arial" w:hAnsi="Arial" w:cs="Arial"/>
        </w:rPr>
        <w:t xml:space="preserve">World Health </w:t>
      </w:r>
      <w:r w:rsidR="00054537" w:rsidRPr="0051241B">
        <w:rPr>
          <w:rFonts w:ascii="Arial" w:hAnsi="Arial" w:cs="Arial"/>
        </w:rPr>
        <w:t>Organisation.</w:t>
      </w:r>
      <w:r w:rsidR="00EA7516">
        <w:rPr>
          <w:rFonts w:ascii="Arial" w:hAnsi="Arial" w:cs="Arial"/>
        </w:rPr>
        <w:t>,</w:t>
      </w:r>
      <w:r w:rsidRPr="0051241B">
        <w:rPr>
          <w:rFonts w:ascii="Arial" w:hAnsi="Arial" w:cs="Arial"/>
        </w:rPr>
        <w:t>2021</w:t>
      </w:r>
      <w:r w:rsidR="00054537">
        <w:rPr>
          <w:rFonts w:ascii="Arial" w:hAnsi="Arial" w:cs="Arial"/>
        </w:rPr>
        <w:t xml:space="preserve">. </w:t>
      </w:r>
      <w:r w:rsidRPr="0051241B">
        <w:rPr>
          <w:rFonts w:ascii="Arial" w:hAnsi="Arial" w:cs="Arial"/>
        </w:rPr>
        <w:t>Global Patient Safety Action Plan 2021–2030. Geneva: WHO.</w:t>
      </w:r>
    </w:p>
    <w:p w14:paraId="3BB6A8C7" w14:textId="29D6D13D" w:rsidR="008465B8" w:rsidRPr="0051241B" w:rsidRDefault="008465B8" w:rsidP="0051241B">
      <w:pPr>
        <w:spacing w:line="360" w:lineRule="auto"/>
        <w:rPr>
          <w:rFonts w:ascii="Arial" w:hAnsi="Arial" w:cs="Arial"/>
        </w:rPr>
      </w:pPr>
    </w:p>
    <w:p w14:paraId="731C20E3" w14:textId="4629A42F" w:rsidR="00312EBC" w:rsidRPr="007C5A2A" w:rsidRDefault="001A4641" w:rsidP="007C5A2A">
      <w:pPr>
        <w:spacing w:line="360" w:lineRule="auto"/>
        <w:rPr>
          <w:rFonts w:ascii="Arial" w:hAnsi="Arial" w:cs="Arial"/>
        </w:rPr>
      </w:pPr>
      <w:r w:rsidRPr="007278A8">
        <w:rPr>
          <w:rFonts w:ascii="Arial" w:eastAsia="Times New Roman" w:hAnsi="Arial" w:cs="Arial"/>
          <w:color w:val="222222"/>
          <w:shd w:val="clear" w:color="auto" w:fill="FFFFFF"/>
        </w:rPr>
        <w:t>Francis, R., 2013.</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Report of the Mid Staffordshire NHS Foundation Trust public inquiry: executive summary</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color w:val="222222"/>
          <w:shd w:val="clear" w:color="auto" w:fill="FFFFFF"/>
        </w:rPr>
        <w:t>(Vol. 947). The Stationery Office.</w:t>
      </w:r>
    </w:p>
    <w:p w14:paraId="2D2FB90E" w14:textId="77777777" w:rsidR="001A4641" w:rsidRDefault="001A4641" w:rsidP="00544EE0">
      <w:pPr>
        <w:spacing w:line="360" w:lineRule="auto"/>
        <w:rPr>
          <w:rFonts w:ascii="Arial" w:hAnsi="Arial" w:cs="Arial"/>
        </w:rPr>
      </w:pPr>
    </w:p>
    <w:p w14:paraId="3F781223" w14:textId="4A710297" w:rsidR="00F137F1" w:rsidRDefault="00F137F1" w:rsidP="007C5A2A">
      <w:pPr>
        <w:spacing w:line="360" w:lineRule="auto"/>
        <w:rPr>
          <w:rFonts w:ascii="Arial" w:hAnsi="Arial" w:cs="Arial"/>
          <w:color w:val="000000" w:themeColor="text1"/>
          <w:shd w:val="clear" w:color="auto" w:fill="F7F5F2"/>
        </w:rPr>
      </w:pPr>
      <w:r w:rsidRPr="007278A8">
        <w:rPr>
          <w:rFonts w:ascii="Arial" w:eastAsia="Times New Roman" w:hAnsi="Arial" w:cs="Arial"/>
          <w:color w:val="222222"/>
          <w:shd w:val="clear" w:color="auto" w:fill="FFFFFF"/>
        </w:rPr>
        <w:t>Mid Staffordshire, N.H.S., 2013.</w:t>
      </w:r>
      <w:r w:rsidRPr="007278A8">
        <w:rPr>
          <w:rStyle w:val="apple-converted-space"/>
          <w:rFonts w:ascii="Arial" w:eastAsia="Times New Roman" w:hAnsi="Arial" w:cs="Arial"/>
          <w:color w:val="222222"/>
          <w:shd w:val="clear" w:color="auto" w:fill="FFFFFF"/>
        </w:rPr>
        <w:t> </w:t>
      </w:r>
      <w:r w:rsidRPr="007278A8">
        <w:rPr>
          <w:rFonts w:ascii="Arial" w:eastAsia="Times New Roman" w:hAnsi="Arial" w:cs="Arial"/>
          <w:i/>
          <w:color w:val="222222"/>
        </w:rPr>
        <w:t>Report of the Mid Staffordshire NHS foundation trust public inquiry</w:t>
      </w:r>
      <w:r w:rsidRPr="007278A8">
        <w:rPr>
          <w:rFonts w:ascii="Arial" w:eastAsia="Times New Roman" w:hAnsi="Arial" w:cs="Arial"/>
          <w:color w:val="222222"/>
          <w:shd w:val="clear" w:color="auto" w:fill="FFFFFF"/>
        </w:rPr>
        <w:t>. Stationery Office.</w:t>
      </w:r>
    </w:p>
    <w:p w14:paraId="7965B2DA" w14:textId="3769937B" w:rsidR="00F137F1" w:rsidRDefault="00F137F1" w:rsidP="007C5A2A">
      <w:pPr>
        <w:spacing w:line="360" w:lineRule="auto"/>
        <w:rPr>
          <w:rFonts w:ascii="Arial" w:hAnsi="Arial" w:cs="Arial"/>
          <w:color w:val="000000" w:themeColor="text1"/>
          <w:shd w:val="clear" w:color="auto" w:fill="F7F5F2"/>
        </w:rPr>
      </w:pPr>
    </w:p>
    <w:p w14:paraId="74696675" w14:textId="54E65888" w:rsidR="00312EBC" w:rsidRPr="00C43952" w:rsidRDefault="00FA5E30" w:rsidP="007C5A2A">
      <w:pPr>
        <w:spacing w:line="360" w:lineRule="auto"/>
        <w:rPr>
          <w:rFonts w:ascii="Arial" w:hAnsi="Arial" w:cs="Arial"/>
          <w:color w:val="000000" w:themeColor="text1"/>
        </w:rPr>
      </w:pPr>
      <w:r w:rsidRPr="00C43952">
        <w:rPr>
          <w:rFonts w:ascii="Arial" w:hAnsi="Arial" w:cs="Arial"/>
          <w:color w:val="000000" w:themeColor="text1"/>
          <w:shd w:val="clear" w:color="auto" w:fill="F7F5F2"/>
        </w:rPr>
        <w:t>Sridharan, M.A. (2020) 'Fiedler's Contingency Model', Think Insights. Available at: https://thinkinsights.net/leadership/fiedlers-contingency-model (Accessed: [ACCESS_DATE</w:t>
      </w:r>
      <w:r w:rsidR="00883C1C">
        <w:rPr>
          <w:rFonts w:ascii="Arial" w:hAnsi="Arial" w:cs="Arial"/>
          <w:color w:val="000000" w:themeColor="text1"/>
          <w:shd w:val="clear" w:color="auto" w:fill="F7F5F2"/>
        </w:rPr>
        <w:t xml:space="preserve"> 19th </w:t>
      </w:r>
      <w:r w:rsidR="009A0029">
        <w:rPr>
          <w:rFonts w:ascii="Arial" w:hAnsi="Arial" w:cs="Arial"/>
          <w:color w:val="000000" w:themeColor="text1"/>
          <w:shd w:val="clear" w:color="auto" w:fill="F7F5F2"/>
        </w:rPr>
        <w:t>October</w:t>
      </w:r>
      <w:r w:rsidRPr="00C43952">
        <w:rPr>
          <w:rFonts w:ascii="Arial" w:hAnsi="Arial" w:cs="Arial"/>
          <w:color w:val="000000" w:themeColor="text1"/>
          <w:shd w:val="clear" w:color="auto" w:fill="F7F5F2"/>
        </w:rPr>
        <w:t>]</w:t>
      </w:r>
      <w:r w:rsidR="009A0029">
        <w:rPr>
          <w:rFonts w:ascii="Arial" w:hAnsi="Arial" w:cs="Arial"/>
          <w:color w:val="000000" w:themeColor="text1"/>
          <w:shd w:val="clear" w:color="auto" w:fill="F7F5F2"/>
        </w:rPr>
        <w:t>)</w:t>
      </w:r>
      <w:r w:rsidRPr="00C43952">
        <w:rPr>
          <w:rFonts w:ascii="Arial" w:hAnsi="Arial" w:cs="Arial"/>
          <w:color w:val="000000" w:themeColor="text1"/>
          <w:shd w:val="clear" w:color="auto" w:fill="F7F5F2"/>
        </w:rPr>
        <w:t>.</w:t>
      </w:r>
    </w:p>
    <w:p w14:paraId="4DF195C3" w14:textId="77777777" w:rsidR="00312EBC" w:rsidRPr="007C5A2A" w:rsidRDefault="00312EBC" w:rsidP="007C5A2A">
      <w:pPr>
        <w:spacing w:line="360" w:lineRule="auto"/>
        <w:rPr>
          <w:rFonts w:ascii="Arial" w:hAnsi="Arial" w:cs="Arial"/>
        </w:rPr>
      </w:pPr>
    </w:p>
    <w:p w14:paraId="723D3B32" w14:textId="77777777" w:rsidR="00312EBC" w:rsidRPr="007C5A2A" w:rsidRDefault="00312EBC" w:rsidP="007C5A2A">
      <w:pPr>
        <w:spacing w:line="360" w:lineRule="auto"/>
        <w:rPr>
          <w:rFonts w:ascii="Arial" w:hAnsi="Arial" w:cs="Arial"/>
        </w:rPr>
      </w:pPr>
    </w:p>
    <w:p w14:paraId="7557E394" w14:textId="6C6316F8" w:rsidR="004132CE" w:rsidRPr="007C5A2A" w:rsidRDefault="004132CE" w:rsidP="007C5A2A">
      <w:pPr>
        <w:spacing w:line="360" w:lineRule="auto"/>
        <w:rPr>
          <w:rFonts w:ascii="Arial" w:hAnsi="Arial" w:cs="Arial"/>
        </w:rPr>
      </w:pPr>
    </w:p>
    <w:sectPr w:rsidR="004132CE" w:rsidRPr="007C5A2A" w:rsidSect="008124AD">
      <w:footerReference w:type="default" r:id="rId19"/>
      <w:pgSz w:w="11906" w:h="16838" w:code="9"/>
      <w:pgMar w:top="720" w:right="720" w:bottom="720" w:left="720" w:header="709" w:footer="709"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85D0E6" w14:textId="77777777" w:rsidR="002B1E91" w:rsidRDefault="002B1E91" w:rsidP="001906D5">
      <w:pPr>
        <w:spacing w:after="0" w:line="240" w:lineRule="auto"/>
      </w:pPr>
      <w:r>
        <w:separator/>
      </w:r>
    </w:p>
  </w:endnote>
  <w:endnote w:type="continuationSeparator" w:id="0">
    <w:p w14:paraId="290CBBB6" w14:textId="77777777" w:rsidR="002B1E91" w:rsidRDefault="002B1E91" w:rsidP="00190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AppleSystemUIFont">
    <w:altName w:val="Cambria"/>
    <w:charset w:val="00"/>
    <w:family w:val="roman"/>
    <w:notTrueType/>
    <w:pitch w:val="default"/>
  </w:font>
  <w:font w:name=".SFUI-Regular">
    <w:altName w:val="Cambria"/>
    <w:charset w:val="00"/>
    <w:family w:val="roman"/>
    <w:notTrueType/>
    <w:pitch w:val="default"/>
  </w:font>
  <w:font w:name=".SFUI-RegularItalic">
    <w:altName w:val="Cambria"/>
    <w:charset w:val="00"/>
    <w:family w:val="roman"/>
    <w:notTrueType/>
    <w:pitch w:val="default"/>
  </w:font>
  <w:font w:name=".SFUI-Semibold">
    <w:altName w:val="Cambria"/>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0433285"/>
      <w:docPartObj>
        <w:docPartGallery w:val="Page Numbers (Bottom of Page)"/>
        <w:docPartUnique/>
      </w:docPartObj>
    </w:sdtPr>
    <w:sdtContent>
      <w:p w14:paraId="5247548F" w14:textId="7CB7CFD8" w:rsidR="00745510" w:rsidRDefault="00745510">
        <w:pPr>
          <w:pStyle w:val="Footer"/>
          <w:jc w:val="right"/>
        </w:pPr>
        <w:r>
          <w:fldChar w:fldCharType="begin"/>
        </w:r>
        <w:r>
          <w:instrText>PAGE   \* MERGEFORMAT</w:instrText>
        </w:r>
        <w:r>
          <w:fldChar w:fldCharType="separate"/>
        </w:r>
        <w:r>
          <w:t>2</w:t>
        </w:r>
        <w:r>
          <w:fldChar w:fldCharType="end"/>
        </w:r>
      </w:p>
    </w:sdtContent>
  </w:sdt>
  <w:p w14:paraId="66DDB3D4" w14:textId="77777777" w:rsidR="001906D5" w:rsidRDefault="00190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A3CE9" w14:textId="77777777" w:rsidR="002B1E91" w:rsidRDefault="002B1E91" w:rsidP="001906D5">
      <w:pPr>
        <w:spacing w:after="0" w:line="240" w:lineRule="auto"/>
      </w:pPr>
      <w:r>
        <w:separator/>
      </w:r>
    </w:p>
  </w:footnote>
  <w:footnote w:type="continuationSeparator" w:id="0">
    <w:p w14:paraId="0545207B" w14:textId="77777777" w:rsidR="002B1E91" w:rsidRDefault="002B1E91" w:rsidP="001906D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N4NTLfEu" int2:invalidationBookmarkName="" int2:hashCode="TxMfvgI1EkumXt" int2:id="05ES6Kdb">
      <int2:state int2:value="Rejected" int2:type="style"/>
    </int2:bookmark>
    <int2:bookmark int2:bookmarkName="_Int_irjd80Lc" int2:invalidationBookmarkName="" int2:hashCode="3bPvKjIwSOetA5" int2:id="0aCgz5tW">
      <int2:state int2:value="Rejected" int2:type="style"/>
    </int2:bookmark>
    <int2:bookmark int2:bookmarkName="_Int_0noM6qfS" int2:invalidationBookmarkName="" int2:hashCode="0bA2Bh6BgStjgj" int2:id="0dAFeCYA">
      <int2:state int2:value="Rejected" int2:type="style"/>
    </int2:bookmark>
    <int2:bookmark int2:bookmarkName="_Int_CIwbSjvS" int2:invalidationBookmarkName="" int2:hashCode="wbBHxv7+jIfiUc" int2:id="0t4FZ5RM">
      <int2:state int2:value="Rejected" int2:type="style"/>
    </int2:bookmark>
    <int2:bookmark int2:bookmarkName="_Int_brx33ega" int2:invalidationBookmarkName="" int2:hashCode="9/NlqucC755Tt8" int2:id="0xIEXhTq">
      <int2:state int2:value="Rejected" int2:type="style"/>
    </int2:bookmark>
    <int2:bookmark int2:bookmarkName="_Int_11kTvNFf" int2:invalidationBookmarkName="" int2:hashCode="Yj52w2qiqIZUIB" int2:id="1XT2V6vi">
      <int2:state int2:value="Rejected" int2:type="style"/>
    </int2:bookmark>
    <int2:bookmark int2:bookmarkName="_Int_QH4OeXe6" int2:invalidationBookmarkName="" int2:hashCode="SLGLFARhzcGrh6" int2:id="2SWV9IDQ">
      <int2:state int2:value="Rejected" int2:type="style"/>
    </int2:bookmark>
    <int2:bookmark int2:bookmarkName="_Int_J7VJsF7y" int2:invalidationBookmarkName="" int2:hashCode="XzfjCMtpN8eINf" int2:id="2rFwhtYq">
      <int2:state int2:value="Rejected" int2:type="style"/>
    </int2:bookmark>
    <int2:bookmark int2:bookmarkName="_Int_5hoBSNmT" int2:invalidationBookmarkName="" int2:hashCode="xhKzW50/O76H3Z" int2:id="3Jdsv6Ll">
      <int2:state int2:value="Rejected" int2:type="style"/>
    </int2:bookmark>
    <int2:bookmark int2:bookmarkName="_Int_dcqTImC9" int2:invalidationBookmarkName="" int2:hashCode="2RAtkjuAlGes1c" int2:id="44ESaxiW">
      <int2:state int2:value="Rejected" int2:type="style"/>
    </int2:bookmark>
    <int2:bookmark int2:bookmarkName="_Int_2Ztad4pT" int2:invalidationBookmarkName="" int2:hashCode="e3+TZqNgMaC5Vf" int2:id="4WC9bWPd">
      <int2:state int2:value="Rejected" int2:type="style"/>
    </int2:bookmark>
    <int2:bookmark int2:bookmarkName="_Int_sK9DmV4u" int2:invalidationBookmarkName="" int2:hashCode="SLGLFARhzcGrh6" int2:id="5qKMXxo4">
      <int2:state int2:value="Rejected" int2:type="style"/>
    </int2:bookmark>
    <int2:bookmark int2:bookmarkName="_Int_CRPwLCVB" int2:invalidationBookmarkName="" int2:hashCode="SMFwPIHakRGYAb" int2:id="6RkJ2Zgz">
      <int2:state int2:value="Rejected" int2:type="style"/>
    </int2:bookmark>
    <int2:bookmark int2:bookmarkName="_Int_kQmxALoK" int2:invalidationBookmarkName="" int2:hashCode="tY/svy01B1q7yP" int2:id="6bSYmAxY">
      <int2:state int2:value="Rejected" int2:type="style"/>
    </int2:bookmark>
    <int2:bookmark int2:bookmarkName="_Int_tQgbGW44" int2:invalidationBookmarkName="" int2:hashCode="ZanletI6wlweVG" int2:id="7743oVCf">
      <int2:state int2:value="Rejected" int2:type="style"/>
    </int2:bookmark>
    <int2:bookmark int2:bookmarkName="_Int_b3T3d9UA" int2:invalidationBookmarkName="" int2:hashCode="ZanletI6wlweVG" int2:id="7WGoNuIN">
      <int2:state int2:value="Rejected" int2:type="style"/>
    </int2:bookmark>
    <int2:bookmark int2:bookmarkName="_Int_nT6yh2hz" int2:invalidationBookmarkName="" int2:hashCode="5vhjgvWrKVWG5z" int2:id="7tiUhkwK">
      <int2:state int2:value="Rejected" int2:type="style"/>
    </int2:bookmark>
    <int2:bookmark int2:bookmarkName="_Int_dElGh6uZ" int2:invalidationBookmarkName="" int2:hashCode="IEEkdmk2qlIoq+" int2:id="9en03aWL">
      <int2:state int2:value="Rejected" int2:type="style"/>
    </int2:bookmark>
    <int2:bookmark int2:bookmarkName="_Int_QntFPUdX" int2:invalidationBookmarkName="" int2:hashCode="18i7aOq8RcpkSI" int2:id="9nqZyUQY">
      <int2:state int2:value="Rejected" int2:type="style"/>
    </int2:bookmark>
    <int2:bookmark int2:bookmarkName="_Int_c97Dc3Ap" int2:invalidationBookmarkName="" int2:hashCode="Cp9YGq8NOcuqiY" int2:id="9tnhRKHs">
      <int2:state int2:value="Rejected" int2:type="style"/>
    </int2:bookmark>
    <int2:bookmark int2:bookmarkName="_Int_KtXwKiCx" int2:invalidationBookmarkName="" int2:hashCode="NZP4Bjk2ox/sPP" int2:id="AA4MuRug">
      <int2:state int2:value="Rejected" int2:type="style"/>
    </int2:bookmark>
    <int2:bookmark int2:bookmarkName="_Int_rqwOh1Y6" int2:invalidationBookmarkName="" int2:hashCode="xhKzW50/O76H3Z" int2:id="AGYOioC3">
      <int2:state int2:value="Rejected" int2:type="style"/>
    </int2:bookmark>
    <int2:bookmark int2:bookmarkName="_Int_OjTYCVY3" int2:invalidationBookmarkName="" int2:hashCode="sJaIqQ2km3Wj51" int2:id="AVNFnnnH">
      <int2:state int2:value="Rejected" int2:type="style"/>
    </int2:bookmark>
    <int2:bookmark int2:bookmarkName="_Int_Jd5AvEUM" int2:invalidationBookmarkName="" int2:hashCode="VV6vbCZNDfnRV7" int2:id="BJ0TWN2k">
      <int2:state int2:value="Rejected" int2:type="style"/>
    </int2:bookmark>
    <int2:bookmark int2:bookmarkName="_Int_HDXiVNvk" int2:invalidationBookmarkName="" int2:hashCode="SMFwPIHakRGYAb" int2:id="BPFZOuvt">
      <int2:state int2:value="Rejected" int2:type="style"/>
    </int2:bookmark>
    <int2:bookmark int2:bookmarkName="_Int_dnWg7Urb" int2:invalidationBookmarkName="" int2:hashCode="mFNNPEz4cCzMZJ" int2:id="BR8HzxAR">
      <int2:state int2:value="Rejected" int2:type="style"/>
    </int2:bookmark>
    <int2:bookmark int2:bookmarkName="_Int_JlDdPpoe" int2:invalidationBookmarkName="" int2:hashCode="J294ZRnQrZPgNS" int2:id="BVrHnwHW">
      <int2:state int2:value="Rejected" int2:type="style"/>
    </int2:bookmark>
    <int2:bookmark int2:bookmarkName="_Int_j21Pmk2D" int2:invalidationBookmarkName="" int2:hashCode="N7dBRKxbARt7Js" int2:id="BgQOFhXO">
      <int2:state int2:value="Rejected" int2:type="style"/>
    </int2:bookmark>
    <int2:bookmark int2:bookmarkName="_Int_16aZXK1M" int2:invalidationBookmarkName="" int2:hashCode="6Ap9X7ci/NdKAT" int2:id="BsJOmCjh">
      <int2:state int2:value="Rejected" int2:type="style"/>
    </int2:bookmark>
    <int2:bookmark int2:bookmarkName="_Int_E0dmc2ZK" int2:invalidationBookmarkName="" int2:hashCode="zsRdInxHTX4NqW" int2:id="CSwZ7ine">
      <int2:state int2:value="Rejected" int2:type="style"/>
    </int2:bookmark>
    <int2:bookmark int2:bookmarkName="_Int_mwUAwbfP" int2:invalidationBookmarkName="" int2:hashCode="8+x9wAokN1wf5f" int2:id="CXE7SCDO">
      <int2:state int2:value="Rejected" int2:type="style"/>
    </int2:bookmark>
    <int2:bookmark int2:bookmarkName="_Int_aPvu9UI0" int2:invalidationBookmarkName="" int2:hashCode="GtD6aP/lDH5lx7" int2:id="CkrhCzm0">
      <int2:state int2:value="Rejected" int2:type="style"/>
    </int2:bookmark>
    <int2:bookmark int2:bookmarkName="_Int_FBDYKMiA" int2:invalidationBookmarkName="" int2:hashCode="Yj52w2qiqIZUIB" int2:id="DNFCw7uU">
      <int2:state int2:value="Rejected" int2:type="style"/>
    </int2:bookmark>
    <int2:bookmark int2:bookmarkName="_Int_ICyKvzNd" int2:invalidationBookmarkName="" int2:hashCode="20lmumeNxO0dfa" int2:id="DtxXgfKm">
      <int2:state int2:value="Rejected" int2:type="style"/>
    </int2:bookmark>
    <int2:bookmark int2:bookmarkName="_Int_yjggNUXf" int2:invalidationBookmarkName="" int2:hashCode="raneE7B4CbH9nQ" int2:id="FBqrZR4S">
      <int2:state int2:value="Rejected" int2:type="style"/>
    </int2:bookmark>
    <int2:bookmark int2:bookmarkName="_Int_YqegWrD4" int2:invalidationBookmarkName="" int2:hashCode="kmhaPRoCcIko1v" int2:id="GRMMIZ0o">
      <int2:state int2:value="Rejected" int2:type="style"/>
    </int2:bookmark>
    <int2:bookmark int2:bookmarkName="_Int_w6Fwr2B2" int2:invalidationBookmarkName="" int2:hashCode="m/D4/19di8v/ud" int2:id="GWL7lCnl">
      <int2:state int2:value="Rejected" int2:type="style"/>
    </int2:bookmark>
    <int2:bookmark int2:bookmarkName="_Int_MLmipXKk" int2:invalidationBookmarkName="" int2:hashCode="VM8FcnRWvSq83H" int2:id="HF8ol7ys">
      <int2:state int2:value="Rejected" int2:type="style"/>
    </int2:bookmark>
    <int2:bookmark int2:bookmarkName="_Int_aclEJt7p" int2:invalidationBookmarkName="" int2:hashCode="8+x9wAokN1wf5f" int2:id="HKFAGIH8">
      <int2:state int2:value="Rejected" int2:type="style"/>
    </int2:bookmark>
    <int2:bookmark int2:bookmarkName="_Int_Zbcyxfvu" int2:invalidationBookmarkName="" int2:hashCode="wbBHxv7+jIfiUc" int2:id="IsgiDtAO">
      <int2:state int2:value="Rejected" int2:type="style"/>
    </int2:bookmark>
    <int2:bookmark int2:bookmarkName="_Int_kd8gycpO" int2:invalidationBookmarkName="" int2:hashCode="FiQUaDg/rom+rj" int2:id="IuXLnaeL">
      <int2:state int2:value="Rejected" int2:type="style"/>
    </int2:bookmark>
    <int2:bookmark int2:bookmarkName="_Int_sBVyBQLF" int2:invalidationBookmarkName="" int2:hashCode="sJaIqQ2km3Wj51" int2:id="JKLJ65uJ">
      <int2:state int2:value="Rejected" int2:type="style"/>
    </int2:bookmark>
    <int2:bookmark int2:bookmarkName="_Int_y2IcShAL" int2:invalidationBookmarkName="" int2:hashCode="K97nq0XQR+2aav" int2:id="KiWxNaVn">
      <int2:state int2:value="Rejected" int2:type="style"/>
    </int2:bookmark>
    <int2:bookmark int2:bookmarkName="_Int_7BOhx9p2" int2:invalidationBookmarkName="" int2:hashCode="sJaIqQ2km3Wj51" int2:id="L78Tim2Q">
      <int2:state int2:value="Rejected" int2:type="style"/>
    </int2:bookmark>
    <int2:bookmark int2:bookmarkName="_Int_hxFffXXe" int2:invalidationBookmarkName="" int2:hashCode="18i7aOq8RcpkSI" int2:id="L7ekFd6J">
      <int2:state int2:value="Rejected" int2:type="style"/>
    </int2:bookmark>
    <int2:bookmark int2:bookmarkName="_Int_kKnWsjSJ" int2:invalidationBookmarkName="" int2:hashCode="3Q4yC7V24CHo5R" int2:id="LMez7Vye">
      <int2:state int2:value="Rejected" int2:type="style"/>
    </int2:bookmark>
    <int2:bookmark int2:bookmarkName="_Int_aaRmU59V" int2:invalidationBookmarkName="" int2:hashCode="SEiQGznzFfZHRw" int2:id="LPglBHFv">
      <int2:state int2:value="Rejected" int2:type="style"/>
    </int2:bookmark>
    <int2:bookmark int2:bookmarkName="_Int_0jbzdl0g" int2:invalidationBookmarkName="" int2:hashCode="z2BuY+IT6+vFY6" int2:id="MudnhxSy">
      <int2:state int2:value="Rejected" int2:type="style"/>
    </int2:bookmark>
    <int2:bookmark int2:bookmarkName="_Int_L05MAI34" int2:invalidationBookmarkName="" int2:hashCode="5MWIY/WQDJPLSD" int2:id="NVyeuS9I">
      <int2:state int2:value="Rejected" int2:type="style"/>
    </int2:bookmark>
    <int2:bookmark int2:bookmarkName="_Int_2BVwFRej" int2:invalidationBookmarkName="" int2:hashCode="XnBZUbOy6FEQ0N" int2:id="NvKbeT6o">
      <int2:state int2:value="Rejected" int2:type="style"/>
    </int2:bookmark>
    <int2:bookmark int2:bookmarkName="_Int_OuU86GF2" int2:invalidationBookmarkName="" int2:hashCode="TMxK70NcMHk8aa" int2:id="Ogq6avcg">
      <int2:state int2:value="Rejected" int2:type="style"/>
    </int2:bookmark>
    <int2:bookmark int2:bookmarkName="_Int_AobdgFTI" int2:invalidationBookmarkName="" int2:hashCode="3bPvKjIwSOetA5" int2:id="OlgjOIQq">
      <int2:state int2:value="Rejected" int2:type="style"/>
    </int2:bookmark>
    <int2:bookmark int2:bookmarkName="_Int_60oBC493" int2:invalidationBookmarkName="" int2:hashCode="SLGLFARhzcGrh6" int2:id="QfEwFDpY">
      <int2:state int2:value="Rejected" int2:type="style"/>
    </int2:bookmark>
    <int2:bookmark int2:bookmarkName="_Int_4wwuP3pY" int2:invalidationBookmarkName="" int2:hashCode="uGf8FrOvW5kuk/" int2:id="R8FOjaxI">
      <int2:state int2:value="Rejected" int2:type="style"/>
    </int2:bookmark>
    <int2:bookmark int2:bookmarkName="_Int_tCsWIVJI" int2:invalidationBookmarkName="" int2:hashCode="SMFwPIHakRGYAb" int2:id="R8LfUNyk">
      <int2:state int2:value="Rejected" int2:type="style"/>
    </int2:bookmark>
    <int2:bookmark int2:bookmarkName="_Int_yQFcr1qb" int2:invalidationBookmarkName="" int2:hashCode="5NmnYnEbPG7rVG" int2:id="SgsIr0nF">
      <int2:state int2:value="Rejected" int2:type="style"/>
    </int2:bookmark>
    <int2:bookmark int2:bookmarkName="_Int_83y8fZUn" int2:invalidationBookmarkName="" int2:hashCode="H0oGHTjO5Dt6eS" int2:id="Szcr0v20">
      <int2:state int2:value="Rejected" int2:type="style"/>
    </int2:bookmark>
    <int2:bookmark int2:bookmarkName="_Int_hWQ1t4mr" int2:invalidationBookmarkName="" int2:hashCode="GnfUFiJMu+d6Q5" int2:id="UBVBguOQ">
      <int2:state int2:value="Rejected" int2:type="style"/>
    </int2:bookmark>
    <int2:bookmark int2:bookmarkName="_Int_ZOJytSeO" int2:invalidationBookmarkName="" int2:hashCode="Y/tPUgcEHgBjkk" int2:id="V3KhkL9s">
      <int2:state int2:value="Rejected" int2:type="style"/>
    </int2:bookmark>
    <int2:bookmark int2:bookmarkName="_Int_8Hzhwv27" int2:invalidationBookmarkName="" int2:hashCode="dalNooyseA++F1" int2:id="VxfMqXvf">
      <int2:state int2:value="Rejected" int2:type="style"/>
    </int2:bookmark>
    <int2:bookmark int2:bookmarkName="_Int_Y92Y64FM" int2:invalidationBookmarkName="" int2:hashCode="Pj5sexUinm/dRk" int2:id="WDps8IVV">
      <int2:state int2:value="Rejected" int2:type="style"/>
    </int2:bookmark>
    <int2:bookmark int2:bookmarkName="_Int_cRK2wjhM" int2:invalidationBookmarkName="" int2:hashCode="m/D4/19di8v/ud" int2:id="XCxtpYTY">
      <int2:state int2:value="Rejected" int2:type="style"/>
    </int2:bookmark>
    <int2:bookmark int2:bookmarkName="_Int_Spp24sQj" int2:invalidationBookmarkName="" int2:hashCode="00lrrL/M8p7RXo" int2:id="Y2bDsGx4">
      <int2:state int2:value="Rejected" int2:type="style"/>
    </int2:bookmark>
    <int2:bookmark int2:bookmarkName="_Int_wQsfiNRo" int2:invalidationBookmarkName="" int2:hashCode="Sbpw5KpWmHIw84" int2:id="YE9AyYKb">
      <int2:state int2:value="Rejected" int2:type="style"/>
    </int2:bookmark>
    <int2:bookmark int2:bookmarkName="_Int_J8sCalHR" int2:invalidationBookmarkName="" int2:hashCode="RjGcWnjccpTL+g" int2:id="ZF5SjkNn">
      <int2:state int2:value="Rejected" int2:type="style"/>
    </int2:bookmark>
    <int2:bookmark int2:bookmarkName="_Int_20RQlnNl" int2:invalidationBookmarkName="" int2:hashCode="wbBHxv7+jIfiUc" int2:id="ZcLO01zk">
      <int2:state int2:value="Rejected" int2:type="style"/>
    </int2:bookmark>
    <int2:bookmark int2:bookmarkName="_Int_Kao65VuR" int2:invalidationBookmarkName="" int2:hashCode="Sbpw5KpWmHIw84" int2:id="asw0qIHU">
      <int2:state int2:value="Rejected" int2:type="style"/>
    </int2:bookmark>
    <int2:bookmark int2:bookmarkName="_Int_xQpKzZ1J" int2:invalidationBookmarkName="" int2:hashCode="T2uh1uCfFUtYOn" int2:id="b2lSjuhk">
      <int2:state int2:value="Rejected" int2:type="style"/>
    </int2:bookmark>
    <int2:bookmark int2:bookmarkName="_Int_z2cd4dZz" int2:invalidationBookmarkName="" int2:hashCode="AVSN5031E5x4ZS" int2:id="bkV3LPKN">
      <int2:state int2:value="Rejected" int2:type="style"/>
    </int2:bookmark>
    <int2:bookmark int2:bookmarkName="_Int_gfv41sxm" int2:invalidationBookmarkName="" int2:hashCode="801CC1EaWoVJ+P" int2:id="c11hu3k9">
      <int2:state int2:value="Rejected" int2:type="style"/>
    </int2:bookmark>
    <int2:bookmark int2:bookmarkName="_Int_DjJJcX19" int2:invalidationBookmarkName="" int2:hashCode="nooB8ljuYJMKIn" int2:id="cVHiBZFp">
      <int2:state int2:value="Rejected" int2:type="style"/>
    </int2:bookmark>
    <int2:bookmark int2:bookmarkName="_Int_9GYP2qZj" int2:invalidationBookmarkName="" int2:hashCode="XzfjCMtpN8eINf" int2:id="d5uOvNJN">
      <int2:state int2:value="Rejected" int2:type="style"/>
    </int2:bookmark>
    <int2:bookmark int2:bookmarkName="_Int_gngLnUUb" int2:invalidationBookmarkName="" int2:hashCode="43K/JlIt1QZTyM" int2:id="dFOiMW8A">
      <int2:state int2:value="Rejected" int2:type="style"/>
    </int2:bookmark>
    <int2:bookmark int2:bookmarkName="_Int_yUVvKs8R" int2:invalidationBookmarkName="" int2:hashCode="6Ap9X7ci/NdKAT" int2:id="dgN7Slot">
      <int2:state int2:value="Rejected" int2:type="style"/>
    </int2:bookmark>
    <int2:bookmark int2:bookmarkName="_Int_NK4NTab6" int2:invalidationBookmarkName="" int2:hashCode="u4u4hWMps3DYb6" int2:id="doaVJjGl">
      <int2:state int2:value="Rejected" int2:type="style"/>
    </int2:bookmark>
    <int2:bookmark int2:bookmarkName="_Int_rm8y1fCT" int2:invalidationBookmarkName="" int2:hashCode="W3Un6BV8KKcCS1" int2:id="e2fSNrdT">
      <int2:state int2:value="Rejected" int2:type="style"/>
    </int2:bookmark>
    <int2:bookmark int2:bookmarkName="_Int_EW3KCyev" int2:invalidationBookmarkName="" int2:hashCode="2i9M6eDcqD4Mt6" int2:id="g4MsYZq9">
      <int2:state int2:value="Rejected" int2:type="style"/>
    </int2:bookmark>
    <int2:bookmark int2:bookmarkName="_Int_0wmer7DU" int2:invalidationBookmarkName="" int2:hashCode="H6CUWhN+FnAA6m" int2:id="gOPefkps">
      <int2:state int2:value="Rejected" int2:type="style"/>
    </int2:bookmark>
    <int2:bookmark int2:bookmarkName="_Int_tL8VqqQF" int2:invalidationBookmarkName="" int2:hashCode="u1fbQqiZqxVyKA" int2:id="gqRJlz9F">
      <int2:state int2:value="Rejected" int2:type="style"/>
    </int2:bookmark>
    <int2:bookmark int2:bookmarkName="_Int_oYA0F0Ue" int2:invalidationBookmarkName="" int2:hashCode="051uur3qTsy1Ie" int2:id="hYQG7SGu">
      <int2:state int2:value="Rejected" int2:type="style"/>
    </int2:bookmark>
    <int2:bookmark int2:bookmarkName="_Int_S0h7BZX9" int2:invalidationBookmarkName="" int2:hashCode="8+x9wAokN1wf5f" int2:id="hbuSqmHy">
      <int2:state int2:value="Rejected" int2:type="style"/>
    </int2:bookmark>
    <int2:bookmark int2:bookmarkName="_Int_G549XymN" int2:invalidationBookmarkName="" int2:hashCode="43K/JlIt1QZTyM" int2:id="i2HXMiiA">
      <int2:state int2:value="Rejected" int2:type="style"/>
    </int2:bookmark>
    <int2:bookmark int2:bookmarkName="_Int_Q6k2CDrO" int2:invalidationBookmarkName="" int2:hashCode="gRg+Ewpr1g5/o3" int2:id="jh6hGA0Y">
      <int2:state int2:value="Rejected" int2:type="style"/>
    </int2:bookmark>
    <int2:bookmark int2:bookmarkName="_Int_tuuyDVRW" int2:invalidationBookmarkName="" int2:hashCode="6Ap9X7ci/NdKAT" int2:id="kT6Bbl6b">
      <int2:state int2:value="Rejected" int2:type="style"/>
    </int2:bookmark>
    <int2:bookmark int2:bookmarkName="_Int_Uue7f663" int2:invalidationBookmarkName="" int2:hashCode="VV6vbCZNDfnRV7" int2:id="kZPsiRNO">
      <int2:state int2:value="Rejected" int2:type="style"/>
    </int2:bookmark>
    <int2:bookmark int2:bookmarkName="_Int_3cSpGLDG" int2:invalidationBookmarkName="" int2:hashCode="dalNooyseA++F1" int2:id="lZDw7DaA">
      <int2:state int2:value="Rejected" int2:type="style"/>
    </int2:bookmark>
    <int2:bookmark int2:bookmarkName="_Int_yzeVvlLW" int2:invalidationBookmarkName="" int2:hashCode="051uur3qTsy1Ie" int2:id="m1EZrvEv">
      <int2:state int2:value="Rejected" int2:type="style"/>
    </int2:bookmark>
    <int2:bookmark int2:bookmarkName="_Int_5Nkl67xf" int2:invalidationBookmarkName="" int2:hashCode="5NmnYnEbPG7rVG" int2:id="p08pXSfC">
      <int2:state int2:value="Rejected" int2:type="style"/>
    </int2:bookmark>
    <int2:bookmark int2:bookmarkName="_Int_4qWUAfR1" int2:invalidationBookmarkName="" int2:hashCode="lYDxgaT6QVo2Hp" int2:id="qjO2PZsI">
      <int2:state int2:value="Rejected" int2:type="style"/>
    </int2:bookmark>
    <int2:bookmark int2:bookmarkName="_Int_cqUSiAVy" int2:invalidationBookmarkName="" int2:hashCode="NszP8/P3Vqal1e" int2:id="quqtkulN">
      <int2:state int2:value="Rejected" int2:type="style"/>
    </int2:bookmark>
    <int2:bookmark int2:bookmarkName="_Int_Gvpxb0Je" int2:invalidationBookmarkName="" int2:hashCode="dalNooyseA++F1" int2:id="r3fceNwI">
      <int2:state int2:value="Rejected" int2:type="style"/>
    </int2:bookmark>
    <int2:bookmark int2:bookmarkName="_Int_0sH11iYl" int2:invalidationBookmarkName="" int2:hashCode="XzfjCMtpN8eINf" int2:id="rQyiQAQp">
      <int2:state int2:value="Rejected" int2:type="style"/>
    </int2:bookmark>
    <int2:bookmark int2:bookmarkName="_Int_TsjbpCB7" int2:invalidationBookmarkName="" int2:hashCode="s4nYnOhSAw/+QB" int2:id="tbTr3l4L">
      <int2:state int2:value="Rejected" int2:type="style"/>
    </int2:bookmark>
    <int2:bookmark int2:bookmarkName="_Int_5Nb3JFHJ" int2:invalidationBookmarkName="" int2:hashCode="tNMsyySVbuW8nd" int2:id="tcrpFqkq">
      <int2:state int2:value="Rejected" int2:type="style"/>
    </int2:bookmark>
    <int2:bookmark int2:bookmarkName="_Int_NyuCT0vl" int2:invalidationBookmarkName="" int2:hashCode="36Iu5+HCSoDXcp" int2:id="tn5wf9Ca">
      <int2:state int2:value="Rejected" int2:type="style"/>
    </int2:bookmark>
    <int2:bookmark int2:bookmarkName="_Int_IhgH2xAm" int2:invalidationBookmarkName="" int2:hashCode="SMFwPIHakRGYAb" int2:id="toTNBoLM">
      <int2:state int2:value="Rejected" int2:type="style"/>
    </int2:bookmark>
    <int2:bookmark int2:bookmarkName="_Int_VNHZEFt1" int2:invalidationBookmarkName="" int2:hashCode="VV6vbCZNDfnRV7" int2:id="tq4m8n6n">
      <int2:state int2:value="Rejected" int2:type="style"/>
    </int2:bookmark>
    <int2:bookmark int2:bookmarkName="_Int_jWdcZuBh" int2:invalidationBookmarkName="" int2:hashCode="N7dBRKxbARt7Js" int2:id="uABDrdC6">
      <int2:state int2:value="Rejected" int2:type="style"/>
    </int2:bookmark>
    <int2:bookmark int2:bookmarkName="_Int_YIQ6LOME" int2:invalidationBookmarkName="" int2:hashCode="LHEw989IXGg7On" int2:id="upaaEp3e">
      <int2:state int2:value="Rejected" int2:type="style"/>
    </int2:bookmark>
    <int2:bookmark int2:bookmarkName="_Int_wScyzjf8" int2:invalidationBookmarkName="" int2:hashCode="N4t1J0I242uYvv" int2:id="uuCjuYf1">
      <int2:state int2:value="Rejected" int2:type="style"/>
    </int2:bookmark>
    <int2:bookmark int2:bookmarkName="_Int_QVucDTig" int2:invalidationBookmarkName="" int2:hashCode="OZ8yUJ6Un7aQt2" int2:id="uypfGkZA">
      <int2:state int2:value="Rejected" int2:type="style"/>
    </int2:bookmark>
    <int2:bookmark int2:bookmarkName="_Int_SjqGoInu" int2:invalidationBookmarkName="" int2:hashCode="VkTdGKZfZUwmSA" int2:id="vzPAMuFk">
      <int2:state int2:value="Rejected" int2:type="style"/>
    </int2:bookmark>
    <int2:bookmark int2:bookmarkName="_Int_JvERBkL3" int2:invalidationBookmarkName="" int2:hashCode="Hcsq99ps230B9l" int2:id="x5YbhdEV">
      <int2:state int2:value="Rejected" int2:type="style"/>
    </int2:bookmark>
    <int2:bookmark int2:bookmarkName="_Int_nNODL7Z7" int2:invalidationBookmarkName="" int2:hashCode="dGk2nYd4dJBgLU" int2:id="xrM6fUOe">
      <int2:state int2:value="Rejected" int2:type="style"/>
    </int2:bookmark>
    <int2:bookmark int2:bookmarkName="_Int_XmDdlVLR" int2:invalidationBookmarkName="" int2:hashCode="x77W14PIdcCS1J" int2:id="y2YUnGGd">
      <int2:state int2:value="Rejected" int2:type="style"/>
    </int2:bookmark>
    <int2:bookmark int2:bookmarkName="_Int_gqp2PmXo" int2:invalidationBookmarkName="" int2:hashCode="VRyAVr/dM977IK" int2:id="ymdM8Uvk">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85323"/>
    <w:multiLevelType w:val="hybridMultilevel"/>
    <w:tmpl w:val="7AAA3C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43425D"/>
    <w:multiLevelType w:val="hybridMultilevel"/>
    <w:tmpl w:val="FB7C569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65B3988"/>
    <w:multiLevelType w:val="hybridMultilevel"/>
    <w:tmpl w:val="077A353E"/>
    <w:lvl w:ilvl="0" w:tplc="DAEC4DB2">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8E7A80"/>
    <w:multiLevelType w:val="hybridMultilevel"/>
    <w:tmpl w:val="4CF0EEE0"/>
    <w:lvl w:ilvl="0" w:tplc="F20A1C7E">
      <w:start w:val="1"/>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6A2E54"/>
    <w:multiLevelType w:val="hybridMultilevel"/>
    <w:tmpl w:val="2D28E4AE"/>
    <w:lvl w:ilvl="0" w:tplc="4412DCD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624115488">
    <w:abstractNumId w:val="3"/>
  </w:num>
  <w:num w:numId="2" w16cid:durableId="540439002">
    <w:abstractNumId w:val="1"/>
  </w:num>
  <w:num w:numId="3" w16cid:durableId="1964537620">
    <w:abstractNumId w:val="0"/>
  </w:num>
  <w:num w:numId="4" w16cid:durableId="1267543547">
    <w:abstractNumId w:val="4"/>
  </w:num>
  <w:num w:numId="5" w16cid:durableId="15572326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A51"/>
    <w:rsid w:val="00000468"/>
    <w:rsid w:val="00000B8C"/>
    <w:rsid w:val="00002B49"/>
    <w:rsid w:val="00003484"/>
    <w:rsid w:val="000034A9"/>
    <w:rsid w:val="00005E5C"/>
    <w:rsid w:val="0001357A"/>
    <w:rsid w:val="000139C1"/>
    <w:rsid w:val="00013FB4"/>
    <w:rsid w:val="0001568C"/>
    <w:rsid w:val="00020C6F"/>
    <w:rsid w:val="000224C1"/>
    <w:rsid w:val="0002320D"/>
    <w:rsid w:val="0002371E"/>
    <w:rsid w:val="00023B4C"/>
    <w:rsid w:val="00026BD9"/>
    <w:rsid w:val="00030D79"/>
    <w:rsid w:val="00031E16"/>
    <w:rsid w:val="000323BC"/>
    <w:rsid w:val="00033699"/>
    <w:rsid w:val="0003389A"/>
    <w:rsid w:val="000340ED"/>
    <w:rsid w:val="00035673"/>
    <w:rsid w:val="00035D8A"/>
    <w:rsid w:val="0003664E"/>
    <w:rsid w:val="00037336"/>
    <w:rsid w:val="00040285"/>
    <w:rsid w:val="00046BFE"/>
    <w:rsid w:val="00047762"/>
    <w:rsid w:val="000500E5"/>
    <w:rsid w:val="000516A6"/>
    <w:rsid w:val="00051FDA"/>
    <w:rsid w:val="000525AD"/>
    <w:rsid w:val="00052D7B"/>
    <w:rsid w:val="00053B79"/>
    <w:rsid w:val="00054180"/>
    <w:rsid w:val="000542AE"/>
    <w:rsid w:val="00054537"/>
    <w:rsid w:val="00055E99"/>
    <w:rsid w:val="0005692E"/>
    <w:rsid w:val="00056A90"/>
    <w:rsid w:val="00060385"/>
    <w:rsid w:val="00062E2E"/>
    <w:rsid w:val="00064E1D"/>
    <w:rsid w:val="00065B5A"/>
    <w:rsid w:val="00067626"/>
    <w:rsid w:val="00070A48"/>
    <w:rsid w:val="0007121D"/>
    <w:rsid w:val="0007149A"/>
    <w:rsid w:val="000716EC"/>
    <w:rsid w:val="00074598"/>
    <w:rsid w:val="00075092"/>
    <w:rsid w:val="00075A0C"/>
    <w:rsid w:val="000762E4"/>
    <w:rsid w:val="00077924"/>
    <w:rsid w:val="0007795D"/>
    <w:rsid w:val="000816AF"/>
    <w:rsid w:val="00081B9D"/>
    <w:rsid w:val="00084B1F"/>
    <w:rsid w:val="000862A0"/>
    <w:rsid w:val="0008672E"/>
    <w:rsid w:val="00090CE9"/>
    <w:rsid w:val="00091264"/>
    <w:rsid w:val="000926D1"/>
    <w:rsid w:val="00094550"/>
    <w:rsid w:val="000948E9"/>
    <w:rsid w:val="00096230"/>
    <w:rsid w:val="00097229"/>
    <w:rsid w:val="000A1B5B"/>
    <w:rsid w:val="000A4B6E"/>
    <w:rsid w:val="000A68B7"/>
    <w:rsid w:val="000A7560"/>
    <w:rsid w:val="000A7806"/>
    <w:rsid w:val="000B40C2"/>
    <w:rsid w:val="000B416C"/>
    <w:rsid w:val="000B6BE1"/>
    <w:rsid w:val="000C02F2"/>
    <w:rsid w:val="000C1898"/>
    <w:rsid w:val="000C18D1"/>
    <w:rsid w:val="000C244C"/>
    <w:rsid w:val="000C359B"/>
    <w:rsid w:val="000C518D"/>
    <w:rsid w:val="000C696E"/>
    <w:rsid w:val="000C6FD0"/>
    <w:rsid w:val="000C7B6E"/>
    <w:rsid w:val="000D0E07"/>
    <w:rsid w:val="000D3667"/>
    <w:rsid w:val="000D3C20"/>
    <w:rsid w:val="000D4A02"/>
    <w:rsid w:val="000D733F"/>
    <w:rsid w:val="000D78F9"/>
    <w:rsid w:val="000E069D"/>
    <w:rsid w:val="000E2AF1"/>
    <w:rsid w:val="000E3ADC"/>
    <w:rsid w:val="000E3AF2"/>
    <w:rsid w:val="000E4C5C"/>
    <w:rsid w:val="000E5571"/>
    <w:rsid w:val="000E7BEF"/>
    <w:rsid w:val="000F09A1"/>
    <w:rsid w:val="000F2F30"/>
    <w:rsid w:val="000F4779"/>
    <w:rsid w:val="000F4EA3"/>
    <w:rsid w:val="000F5066"/>
    <w:rsid w:val="000F68FC"/>
    <w:rsid w:val="000F6B26"/>
    <w:rsid w:val="000F6DD6"/>
    <w:rsid w:val="000F72F7"/>
    <w:rsid w:val="000F7BB7"/>
    <w:rsid w:val="00100662"/>
    <w:rsid w:val="00100E9D"/>
    <w:rsid w:val="00100F64"/>
    <w:rsid w:val="00101AB9"/>
    <w:rsid w:val="00101BDB"/>
    <w:rsid w:val="0010550A"/>
    <w:rsid w:val="00105969"/>
    <w:rsid w:val="00105CB5"/>
    <w:rsid w:val="001127AA"/>
    <w:rsid w:val="00116351"/>
    <w:rsid w:val="001174D4"/>
    <w:rsid w:val="00117F4F"/>
    <w:rsid w:val="00120D0F"/>
    <w:rsid w:val="00123897"/>
    <w:rsid w:val="00123A99"/>
    <w:rsid w:val="001274F3"/>
    <w:rsid w:val="001321D5"/>
    <w:rsid w:val="001322DC"/>
    <w:rsid w:val="001324A8"/>
    <w:rsid w:val="00133078"/>
    <w:rsid w:val="00137106"/>
    <w:rsid w:val="00137A38"/>
    <w:rsid w:val="00140382"/>
    <w:rsid w:val="00140B23"/>
    <w:rsid w:val="0014298C"/>
    <w:rsid w:val="00146900"/>
    <w:rsid w:val="00146C9E"/>
    <w:rsid w:val="00147F90"/>
    <w:rsid w:val="00150007"/>
    <w:rsid w:val="00150533"/>
    <w:rsid w:val="0015053E"/>
    <w:rsid w:val="0015085E"/>
    <w:rsid w:val="001550A1"/>
    <w:rsid w:val="00156AAF"/>
    <w:rsid w:val="001601CD"/>
    <w:rsid w:val="001602E4"/>
    <w:rsid w:val="00161262"/>
    <w:rsid w:val="00161C83"/>
    <w:rsid w:val="00161F1B"/>
    <w:rsid w:val="00162292"/>
    <w:rsid w:val="00163063"/>
    <w:rsid w:val="001646B3"/>
    <w:rsid w:val="0016473A"/>
    <w:rsid w:val="00164893"/>
    <w:rsid w:val="00166053"/>
    <w:rsid w:val="00174085"/>
    <w:rsid w:val="00174239"/>
    <w:rsid w:val="001744E1"/>
    <w:rsid w:val="001767B2"/>
    <w:rsid w:val="00184C5F"/>
    <w:rsid w:val="00190330"/>
    <w:rsid w:val="001906D5"/>
    <w:rsid w:val="00194530"/>
    <w:rsid w:val="0019535B"/>
    <w:rsid w:val="001977BC"/>
    <w:rsid w:val="001A1680"/>
    <w:rsid w:val="001A1791"/>
    <w:rsid w:val="001A2452"/>
    <w:rsid w:val="001A263F"/>
    <w:rsid w:val="001A34F3"/>
    <w:rsid w:val="001A3914"/>
    <w:rsid w:val="001A4641"/>
    <w:rsid w:val="001A7B51"/>
    <w:rsid w:val="001B011D"/>
    <w:rsid w:val="001B0579"/>
    <w:rsid w:val="001B1AEC"/>
    <w:rsid w:val="001B1B52"/>
    <w:rsid w:val="001B2E53"/>
    <w:rsid w:val="001B2FED"/>
    <w:rsid w:val="001B472D"/>
    <w:rsid w:val="001B4D2A"/>
    <w:rsid w:val="001B560C"/>
    <w:rsid w:val="001B5C9E"/>
    <w:rsid w:val="001B620B"/>
    <w:rsid w:val="001B79BD"/>
    <w:rsid w:val="001C0051"/>
    <w:rsid w:val="001C011B"/>
    <w:rsid w:val="001C02BC"/>
    <w:rsid w:val="001C072A"/>
    <w:rsid w:val="001C0F49"/>
    <w:rsid w:val="001C2159"/>
    <w:rsid w:val="001C26BC"/>
    <w:rsid w:val="001C3076"/>
    <w:rsid w:val="001C35BD"/>
    <w:rsid w:val="001D2168"/>
    <w:rsid w:val="001D27DA"/>
    <w:rsid w:val="001D48ED"/>
    <w:rsid w:val="001D67DF"/>
    <w:rsid w:val="001E087A"/>
    <w:rsid w:val="001E0BF2"/>
    <w:rsid w:val="001E2903"/>
    <w:rsid w:val="001E4C9A"/>
    <w:rsid w:val="001E502C"/>
    <w:rsid w:val="001E61BC"/>
    <w:rsid w:val="001E682B"/>
    <w:rsid w:val="001E7F7F"/>
    <w:rsid w:val="001F0053"/>
    <w:rsid w:val="001F2741"/>
    <w:rsid w:val="001F32E1"/>
    <w:rsid w:val="001F4274"/>
    <w:rsid w:val="001F4CB6"/>
    <w:rsid w:val="001F611A"/>
    <w:rsid w:val="001F6FB3"/>
    <w:rsid w:val="001F7DDC"/>
    <w:rsid w:val="0020110B"/>
    <w:rsid w:val="0020280B"/>
    <w:rsid w:val="00202DA1"/>
    <w:rsid w:val="0020300F"/>
    <w:rsid w:val="002033CA"/>
    <w:rsid w:val="00204DFB"/>
    <w:rsid w:val="00206C05"/>
    <w:rsid w:val="00207C6B"/>
    <w:rsid w:val="0021414F"/>
    <w:rsid w:val="0021594C"/>
    <w:rsid w:val="00215A61"/>
    <w:rsid w:val="00216C97"/>
    <w:rsid w:val="00216EAD"/>
    <w:rsid w:val="00216EC6"/>
    <w:rsid w:val="00217E0D"/>
    <w:rsid w:val="00222774"/>
    <w:rsid w:val="00222C62"/>
    <w:rsid w:val="0022368E"/>
    <w:rsid w:val="002243C0"/>
    <w:rsid w:val="0022517B"/>
    <w:rsid w:val="00226257"/>
    <w:rsid w:val="002267CA"/>
    <w:rsid w:val="00230BAF"/>
    <w:rsid w:val="002330EC"/>
    <w:rsid w:val="002349D8"/>
    <w:rsid w:val="00241D24"/>
    <w:rsid w:val="00241E78"/>
    <w:rsid w:val="00243217"/>
    <w:rsid w:val="00245176"/>
    <w:rsid w:val="00250850"/>
    <w:rsid w:val="00251EFD"/>
    <w:rsid w:val="002521CC"/>
    <w:rsid w:val="002522C2"/>
    <w:rsid w:val="00254AC2"/>
    <w:rsid w:val="0025505D"/>
    <w:rsid w:val="0026077E"/>
    <w:rsid w:val="00261AE3"/>
    <w:rsid w:val="00262B28"/>
    <w:rsid w:val="00263FA0"/>
    <w:rsid w:val="002667F4"/>
    <w:rsid w:val="00271EF3"/>
    <w:rsid w:val="00272641"/>
    <w:rsid w:val="00272AE3"/>
    <w:rsid w:val="00274BDC"/>
    <w:rsid w:val="00274C32"/>
    <w:rsid w:val="002804AB"/>
    <w:rsid w:val="0029029D"/>
    <w:rsid w:val="0029360D"/>
    <w:rsid w:val="00294DC4"/>
    <w:rsid w:val="0029638F"/>
    <w:rsid w:val="00296A74"/>
    <w:rsid w:val="002A2411"/>
    <w:rsid w:val="002A2DBD"/>
    <w:rsid w:val="002A44BB"/>
    <w:rsid w:val="002A4BE1"/>
    <w:rsid w:val="002A4CC8"/>
    <w:rsid w:val="002A4F83"/>
    <w:rsid w:val="002A59E4"/>
    <w:rsid w:val="002A5E06"/>
    <w:rsid w:val="002B0D5F"/>
    <w:rsid w:val="002B0D7A"/>
    <w:rsid w:val="002B11F1"/>
    <w:rsid w:val="002B1E91"/>
    <w:rsid w:val="002B2537"/>
    <w:rsid w:val="002B4BFD"/>
    <w:rsid w:val="002C01B6"/>
    <w:rsid w:val="002C10D8"/>
    <w:rsid w:val="002C4C85"/>
    <w:rsid w:val="002C5533"/>
    <w:rsid w:val="002D07EE"/>
    <w:rsid w:val="002D2108"/>
    <w:rsid w:val="002D4AD2"/>
    <w:rsid w:val="002D5D2E"/>
    <w:rsid w:val="002D6493"/>
    <w:rsid w:val="002D70DB"/>
    <w:rsid w:val="002D7906"/>
    <w:rsid w:val="002E273D"/>
    <w:rsid w:val="002E3506"/>
    <w:rsid w:val="002F30F2"/>
    <w:rsid w:val="002F3420"/>
    <w:rsid w:val="002F5240"/>
    <w:rsid w:val="002F752A"/>
    <w:rsid w:val="0030011F"/>
    <w:rsid w:val="00303537"/>
    <w:rsid w:val="003038C8"/>
    <w:rsid w:val="00306087"/>
    <w:rsid w:val="0030753D"/>
    <w:rsid w:val="00307D03"/>
    <w:rsid w:val="00312EBC"/>
    <w:rsid w:val="00314851"/>
    <w:rsid w:val="00314C9F"/>
    <w:rsid w:val="003164FE"/>
    <w:rsid w:val="00317073"/>
    <w:rsid w:val="003174AA"/>
    <w:rsid w:val="0031785A"/>
    <w:rsid w:val="00320081"/>
    <w:rsid w:val="0032279D"/>
    <w:rsid w:val="00322AC9"/>
    <w:rsid w:val="00324FE9"/>
    <w:rsid w:val="00326600"/>
    <w:rsid w:val="0032676A"/>
    <w:rsid w:val="00327942"/>
    <w:rsid w:val="00330C33"/>
    <w:rsid w:val="00331924"/>
    <w:rsid w:val="00332F10"/>
    <w:rsid w:val="00333AF7"/>
    <w:rsid w:val="00334309"/>
    <w:rsid w:val="00334814"/>
    <w:rsid w:val="003360F5"/>
    <w:rsid w:val="00337E02"/>
    <w:rsid w:val="00340A30"/>
    <w:rsid w:val="00342A3F"/>
    <w:rsid w:val="00345909"/>
    <w:rsid w:val="0035110F"/>
    <w:rsid w:val="00352941"/>
    <w:rsid w:val="00352A74"/>
    <w:rsid w:val="00352C18"/>
    <w:rsid w:val="0035494E"/>
    <w:rsid w:val="00356445"/>
    <w:rsid w:val="00360421"/>
    <w:rsid w:val="0036494A"/>
    <w:rsid w:val="0036765C"/>
    <w:rsid w:val="00371D7D"/>
    <w:rsid w:val="00373D8B"/>
    <w:rsid w:val="003760B1"/>
    <w:rsid w:val="00376167"/>
    <w:rsid w:val="0037656B"/>
    <w:rsid w:val="00377DE2"/>
    <w:rsid w:val="003803D6"/>
    <w:rsid w:val="0038068E"/>
    <w:rsid w:val="003807E9"/>
    <w:rsid w:val="00381E87"/>
    <w:rsid w:val="00383244"/>
    <w:rsid w:val="003846FE"/>
    <w:rsid w:val="003861D4"/>
    <w:rsid w:val="003866DF"/>
    <w:rsid w:val="00386906"/>
    <w:rsid w:val="00390379"/>
    <w:rsid w:val="003925DC"/>
    <w:rsid w:val="003953CF"/>
    <w:rsid w:val="003A0F96"/>
    <w:rsid w:val="003A1430"/>
    <w:rsid w:val="003A5D99"/>
    <w:rsid w:val="003A779E"/>
    <w:rsid w:val="003B06D5"/>
    <w:rsid w:val="003B2C92"/>
    <w:rsid w:val="003B5F3B"/>
    <w:rsid w:val="003C00F3"/>
    <w:rsid w:val="003C151D"/>
    <w:rsid w:val="003C62E8"/>
    <w:rsid w:val="003D3760"/>
    <w:rsid w:val="003D383B"/>
    <w:rsid w:val="003D431C"/>
    <w:rsid w:val="003D455C"/>
    <w:rsid w:val="003D58A5"/>
    <w:rsid w:val="003D748A"/>
    <w:rsid w:val="003D788F"/>
    <w:rsid w:val="003E0855"/>
    <w:rsid w:val="003E1056"/>
    <w:rsid w:val="003E18C0"/>
    <w:rsid w:val="003E494B"/>
    <w:rsid w:val="003E7A20"/>
    <w:rsid w:val="003F06A7"/>
    <w:rsid w:val="003F1F88"/>
    <w:rsid w:val="003F6886"/>
    <w:rsid w:val="003F6902"/>
    <w:rsid w:val="00400D0E"/>
    <w:rsid w:val="004010CE"/>
    <w:rsid w:val="004011ED"/>
    <w:rsid w:val="00402143"/>
    <w:rsid w:val="0040342F"/>
    <w:rsid w:val="004037AE"/>
    <w:rsid w:val="004041FA"/>
    <w:rsid w:val="0040438E"/>
    <w:rsid w:val="00405974"/>
    <w:rsid w:val="00407119"/>
    <w:rsid w:val="004100BD"/>
    <w:rsid w:val="004132CE"/>
    <w:rsid w:val="00413A99"/>
    <w:rsid w:val="00414739"/>
    <w:rsid w:val="00414A91"/>
    <w:rsid w:val="00414D72"/>
    <w:rsid w:val="00420F35"/>
    <w:rsid w:val="00422B20"/>
    <w:rsid w:val="00423EC0"/>
    <w:rsid w:val="00425FEC"/>
    <w:rsid w:val="00426849"/>
    <w:rsid w:val="00430040"/>
    <w:rsid w:val="00430628"/>
    <w:rsid w:val="00430D97"/>
    <w:rsid w:val="004310F4"/>
    <w:rsid w:val="0043154D"/>
    <w:rsid w:val="00431678"/>
    <w:rsid w:val="00431CBE"/>
    <w:rsid w:val="004341E4"/>
    <w:rsid w:val="0043649E"/>
    <w:rsid w:val="00437B88"/>
    <w:rsid w:val="0044013C"/>
    <w:rsid w:val="0044059B"/>
    <w:rsid w:val="00442761"/>
    <w:rsid w:val="00443993"/>
    <w:rsid w:val="00444622"/>
    <w:rsid w:val="00444E1D"/>
    <w:rsid w:val="00445415"/>
    <w:rsid w:val="00450309"/>
    <w:rsid w:val="00450358"/>
    <w:rsid w:val="00453752"/>
    <w:rsid w:val="004543A3"/>
    <w:rsid w:val="004557B3"/>
    <w:rsid w:val="00460B43"/>
    <w:rsid w:val="00460CF1"/>
    <w:rsid w:val="0046203B"/>
    <w:rsid w:val="00462A8E"/>
    <w:rsid w:val="00462E45"/>
    <w:rsid w:val="00463153"/>
    <w:rsid w:val="00465711"/>
    <w:rsid w:val="00467A3D"/>
    <w:rsid w:val="00470D16"/>
    <w:rsid w:val="00477640"/>
    <w:rsid w:val="004804F1"/>
    <w:rsid w:val="00481CDC"/>
    <w:rsid w:val="00482DDE"/>
    <w:rsid w:val="00485D58"/>
    <w:rsid w:val="0048622C"/>
    <w:rsid w:val="00491635"/>
    <w:rsid w:val="004920E1"/>
    <w:rsid w:val="0049310D"/>
    <w:rsid w:val="00493BC9"/>
    <w:rsid w:val="00495C9B"/>
    <w:rsid w:val="004A1155"/>
    <w:rsid w:val="004A3FCD"/>
    <w:rsid w:val="004A4A1A"/>
    <w:rsid w:val="004A7F24"/>
    <w:rsid w:val="004B4B6C"/>
    <w:rsid w:val="004B573E"/>
    <w:rsid w:val="004C1858"/>
    <w:rsid w:val="004C1898"/>
    <w:rsid w:val="004C1A94"/>
    <w:rsid w:val="004C2143"/>
    <w:rsid w:val="004C2871"/>
    <w:rsid w:val="004C3F4A"/>
    <w:rsid w:val="004C533E"/>
    <w:rsid w:val="004C5477"/>
    <w:rsid w:val="004C715F"/>
    <w:rsid w:val="004C735D"/>
    <w:rsid w:val="004C7FBA"/>
    <w:rsid w:val="004D089C"/>
    <w:rsid w:val="004D1240"/>
    <w:rsid w:val="004D26C7"/>
    <w:rsid w:val="004D2E84"/>
    <w:rsid w:val="004D6BBC"/>
    <w:rsid w:val="004E5A74"/>
    <w:rsid w:val="004E6868"/>
    <w:rsid w:val="004E6F46"/>
    <w:rsid w:val="004E7A43"/>
    <w:rsid w:val="004E7A7C"/>
    <w:rsid w:val="004F0CE3"/>
    <w:rsid w:val="004F0FB0"/>
    <w:rsid w:val="004F181D"/>
    <w:rsid w:val="004F70F5"/>
    <w:rsid w:val="0050018E"/>
    <w:rsid w:val="00501E02"/>
    <w:rsid w:val="00501F1E"/>
    <w:rsid w:val="00502F42"/>
    <w:rsid w:val="00502F81"/>
    <w:rsid w:val="005055F9"/>
    <w:rsid w:val="00506143"/>
    <w:rsid w:val="00506277"/>
    <w:rsid w:val="005108B1"/>
    <w:rsid w:val="00510F33"/>
    <w:rsid w:val="0051241B"/>
    <w:rsid w:val="00516917"/>
    <w:rsid w:val="005176D3"/>
    <w:rsid w:val="005203E6"/>
    <w:rsid w:val="00520626"/>
    <w:rsid w:val="0052090E"/>
    <w:rsid w:val="00522575"/>
    <w:rsid w:val="005234D2"/>
    <w:rsid w:val="005237D6"/>
    <w:rsid w:val="00531386"/>
    <w:rsid w:val="00537F51"/>
    <w:rsid w:val="005425AF"/>
    <w:rsid w:val="00544EE0"/>
    <w:rsid w:val="00546EE8"/>
    <w:rsid w:val="00546FCD"/>
    <w:rsid w:val="00547F0C"/>
    <w:rsid w:val="005512CE"/>
    <w:rsid w:val="005552A9"/>
    <w:rsid w:val="00555A31"/>
    <w:rsid w:val="00557196"/>
    <w:rsid w:val="00563672"/>
    <w:rsid w:val="0056723F"/>
    <w:rsid w:val="005721DB"/>
    <w:rsid w:val="00572DD9"/>
    <w:rsid w:val="0057540C"/>
    <w:rsid w:val="00575B12"/>
    <w:rsid w:val="00575E9B"/>
    <w:rsid w:val="005809ED"/>
    <w:rsid w:val="00582364"/>
    <w:rsid w:val="0058407A"/>
    <w:rsid w:val="00584633"/>
    <w:rsid w:val="005846CC"/>
    <w:rsid w:val="00584AE3"/>
    <w:rsid w:val="00591593"/>
    <w:rsid w:val="005924CD"/>
    <w:rsid w:val="00592861"/>
    <w:rsid w:val="00593D24"/>
    <w:rsid w:val="0059467F"/>
    <w:rsid w:val="00594C84"/>
    <w:rsid w:val="00595151"/>
    <w:rsid w:val="005972D9"/>
    <w:rsid w:val="00597D5B"/>
    <w:rsid w:val="005A18AD"/>
    <w:rsid w:val="005A2B0D"/>
    <w:rsid w:val="005A3D35"/>
    <w:rsid w:val="005A4F61"/>
    <w:rsid w:val="005A4FDC"/>
    <w:rsid w:val="005A5DDB"/>
    <w:rsid w:val="005A6D1F"/>
    <w:rsid w:val="005B0F7C"/>
    <w:rsid w:val="005B2374"/>
    <w:rsid w:val="005B2700"/>
    <w:rsid w:val="005B7107"/>
    <w:rsid w:val="005C07FE"/>
    <w:rsid w:val="005C27AB"/>
    <w:rsid w:val="005C40CA"/>
    <w:rsid w:val="005C4A7B"/>
    <w:rsid w:val="005C4B92"/>
    <w:rsid w:val="005C6D13"/>
    <w:rsid w:val="005C7219"/>
    <w:rsid w:val="005C7AB0"/>
    <w:rsid w:val="005D2220"/>
    <w:rsid w:val="005D6525"/>
    <w:rsid w:val="005D71DD"/>
    <w:rsid w:val="005D7990"/>
    <w:rsid w:val="005D7ACA"/>
    <w:rsid w:val="005E1D2C"/>
    <w:rsid w:val="005E2A2F"/>
    <w:rsid w:val="005E333E"/>
    <w:rsid w:val="005E40A5"/>
    <w:rsid w:val="005E42DD"/>
    <w:rsid w:val="005E4E33"/>
    <w:rsid w:val="005F1243"/>
    <w:rsid w:val="005F1496"/>
    <w:rsid w:val="005F203B"/>
    <w:rsid w:val="005F3A2E"/>
    <w:rsid w:val="005F40FA"/>
    <w:rsid w:val="005F61A2"/>
    <w:rsid w:val="00600752"/>
    <w:rsid w:val="00600C92"/>
    <w:rsid w:val="0060245C"/>
    <w:rsid w:val="00606472"/>
    <w:rsid w:val="00611714"/>
    <w:rsid w:val="00612E39"/>
    <w:rsid w:val="00613470"/>
    <w:rsid w:val="00616174"/>
    <w:rsid w:val="006162F5"/>
    <w:rsid w:val="00616B06"/>
    <w:rsid w:val="0062060F"/>
    <w:rsid w:val="00620E2B"/>
    <w:rsid w:val="0062219E"/>
    <w:rsid w:val="00622B0C"/>
    <w:rsid w:val="006231A4"/>
    <w:rsid w:val="00623CEF"/>
    <w:rsid w:val="00625009"/>
    <w:rsid w:val="00632713"/>
    <w:rsid w:val="0063288F"/>
    <w:rsid w:val="00632915"/>
    <w:rsid w:val="00632B0B"/>
    <w:rsid w:val="006336D3"/>
    <w:rsid w:val="0063468A"/>
    <w:rsid w:val="00634DD5"/>
    <w:rsid w:val="006361DD"/>
    <w:rsid w:val="006375DA"/>
    <w:rsid w:val="006377F0"/>
    <w:rsid w:val="00637923"/>
    <w:rsid w:val="006428CC"/>
    <w:rsid w:val="0064297D"/>
    <w:rsid w:val="006461B5"/>
    <w:rsid w:val="006508A5"/>
    <w:rsid w:val="00651123"/>
    <w:rsid w:val="00654AE3"/>
    <w:rsid w:val="006564A7"/>
    <w:rsid w:val="006578D8"/>
    <w:rsid w:val="00661F83"/>
    <w:rsid w:val="00662C82"/>
    <w:rsid w:val="00664001"/>
    <w:rsid w:val="0066568A"/>
    <w:rsid w:val="0066780E"/>
    <w:rsid w:val="006705C9"/>
    <w:rsid w:val="00670929"/>
    <w:rsid w:val="00673294"/>
    <w:rsid w:val="00677694"/>
    <w:rsid w:val="0068109B"/>
    <w:rsid w:val="006827F9"/>
    <w:rsid w:val="00685C50"/>
    <w:rsid w:val="0068789C"/>
    <w:rsid w:val="00690C87"/>
    <w:rsid w:val="0069155D"/>
    <w:rsid w:val="00691D77"/>
    <w:rsid w:val="00691F6A"/>
    <w:rsid w:val="0069250B"/>
    <w:rsid w:val="0069323D"/>
    <w:rsid w:val="0069560F"/>
    <w:rsid w:val="006961AC"/>
    <w:rsid w:val="006967B7"/>
    <w:rsid w:val="006A03AD"/>
    <w:rsid w:val="006A169F"/>
    <w:rsid w:val="006A1DD0"/>
    <w:rsid w:val="006A2262"/>
    <w:rsid w:val="006A3429"/>
    <w:rsid w:val="006A37A9"/>
    <w:rsid w:val="006A71AA"/>
    <w:rsid w:val="006A7D25"/>
    <w:rsid w:val="006B26F1"/>
    <w:rsid w:val="006B4927"/>
    <w:rsid w:val="006C031D"/>
    <w:rsid w:val="006C1C34"/>
    <w:rsid w:val="006C311B"/>
    <w:rsid w:val="006C4E4C"/>
    <w:rsid w:val="006C5E83"/>
    <w:rsid w:val="006D0AFC"/>
    <w:rsid w:val="006D0D76"/>
    <w:rsid w:val="006D0D8A"/>
    <w:rsid w:val="006D1944"/>
    <w:rsid w:val="006D439E"/>
    <w:rsid w:val="006D579E"/>
    <w:rsid w:val="006E0181"/>
    <w:rsid w:val="006E1528"/>
    <w:rsid w:val="006E493B"/>
    <w:rsid w:val="006F14CC"/>
    <w:rsid w:val="006F17E6"/>
    <w:rsid w:val="006F1E0D"/>
    <w:rsid w:val="006F29AD"/>
    <w:rsid w:val="006F4101"/>
    <w:rsid w:val="006F6AB3"/>
    <w:rsid w:val="0070337C"/>
    <w:rsid w:val="00703A0D"/>
    <w:rsid w:val="00704F9F"/>
    <w:rsid w:val="00705281"/>
    <w:rsid w:val="007071F6"/>
    <w:rsid w:val="00710427"/>
    <w:rsid w:val="007111F1"/>
    <w:rsid w:val="00712948"/>
    <w:rsid w:val="00713F97"/>
    <w:rsid w:val="00715318"/>
    <w:rsid w:val="00716812"/>
    <w:rsid w:val="00717196"/>
    <w:rsid w:val="00717617"/>
    <w:rsid w:val="00722420"/>
    <w:rsid w:val="007229CE"/>
    <w:rsid w:val="00723078"/>
    <w:rsid w:val="0072629B"/>
    <w:rsid w:val="007265F6"/>
    <w:rsid w:val="00726610"/>
    <w:rsid w:val="00726CF0"/>
    <w:rsid w:val="007278A8"/>
    <w:rsid w:val="00733217"/>
    <w:rsid w:val="007369E2"/>
    <w:rsid w:val="00737326"/>
    <w:rsid w:val="00740BD0"/>
    <w:rsid w:val="00743407"/>
    <w:rsid w:val="007441FB"/>
    <w:rsid w:val="00745510"/>
    <w:rsid w:val="007515EA"/>
    <w:rsid w:val="00752A93"/>
    <w:rsid w:val="007536AF"/>
    <w:rsid w:val="0075552C"/>
    <w:rsid w:val="00755BE0"/>
    <w:rsid w:val="007562B6"/>
    <w:rsid w:val="007623DA"/>
    <w:rsid w:val="007627CF"/>
    <w:rsid w:val="0076389B"/>
    <w:rsid w:val="00764729"/>
    <w:rsid w:val="00765E64"/>
    <w:rsid w:val="00770A8A"/>
    <w:rsid w:val="00771DAD"/>
    <w:rsid w:val="00772748"/>
    <w:rsid w:val="00774C8C"/>
    <w:rsid w:val="0077704B"/>
    <w:rsid w:val="007771CE"/>
    <w:rsid w:val="007807D3"/>
    <w:rsid w:val="007817B8"/>
    <w:rsid w:val="00782ABF"/>
    <w:rsid w:val="00783963"/>
    <w:rsid w:val="007845E2"/>
    <w:rsid w:val="007859A1"/>
    <w:rsid w:val="00786237"/>
    <w:rsid w:val="007862C5"/>
    <w:rsid w:val="007874F9"/>
    <w:rsid w:val="00787E8A"/>
    <w:rsid w:val="00787FC9"/>
    <w:rsid w:val="00792366"/>
    <w:rsid w:val="00793676"/>
    <w:rsid w:val="007937B0"/>
    <w:rsid w:val="007938D3"/>
    <w:rsid w:val="007939ED"/>
    <w:rsid w:val="00793A8B"/>
    <w:rsid w:val="007966B4"/>
    <w:rsid w:val="007976EA"/>
    <w:rsid w:val="00797795"/>
    <w:rsid w:val="007A23D4"/>
    <w:rsid w:val="007A2E4F"/>
    <w:rsid w:val="007B05D2"/>
    <w:rsid w:val="007B0A42"/>
    <w:rsid w:val="007B5629"/>
    <w:rsid w:val="007B61EC"/>
    <w:rsid w:val="007B7419"/>
    <w:rsid w:val="007C3B8D"/>
    <w:rsid w:val="007C4223"/>
    <w:rsid w:val="007C4754"/>
    <w:rsid w:val="007C5A2A"/>
    <w:rsid w:val="007C66C7"/>
    <w:rsid w:val="007C7D67"/>
    <w:rsid w:val="007D1978"/>
    <w:rsid w:val="007D25C0"/>
    <w:rsid w:val="007D2A51"/>
    <w:rsid w:val="007D3C3A"/>
    <w:rsid w:val="007D4CB5"/>
    <w:rsid w:val="007D79AF"/>
    <w:rsid w:val="007E05E7"/>
    <w:rsid w:val="007E0755"/>
    <w:rsid w:val="007E1951"/>
    <w:rsid w:val="007E29DE"/>
    <w:rsid w:val="007E49D9"/>
    <w:rsid w:val="007E68FD"/>
    <w:rsid w:val="007F19C1"/>
    <w:rsid w:val="007F33A8"/>
    <w:rsid w:val="007F401B"/>
    <w:rsid w:val="0080156D"/>
    <w:rsid w:val="008030B7"/>
    <w:rsid w:val="00811BA8"/>
    <w:rsid w:val="008124AD"/>
    <w:rsid w:val="008142AB"/>
    <w:rsid w:val="008145D8"/>
    <w:rsid w:val="00814FF4"/>
    <w:rsid w:val="008163D2"/>
    <w:rsid w:val="00816624"/>
    <w:rsid w:val="0081740C"/>
    <w:rsid w:val="008174CE"/>
    <w:rsid w:val="00822619"/>
    <w:rsid w:val="008245EC"/>
    <w:rsid w:val="00826F26"/>
    <w:rsid w:val="0083041B"/>
    <w:rsid w:val="00830512"/>
    <w:rsid w:val="00832E35"/>
    <w:rsid w:val="0083406D"/>
    <w:rsid w:val="00834640"/>
    <w:rsid w:val="00835F96"/>
    <w:rsid w:val="00837351"/>
    <w:rsid w:val="00837395"/>
    <w:rsid w:val="0083768F"/>
    <w:rsid w:val="008403D7"/>
    <w:rsid w:val="008424DC"/>
    <w:rsid w:val="00843FA7"/>
    <w:rsid w:val="00846412"/>
    <w:rsid w:val="008465B8"/>
    <w:rsid w:val="00846EEA"/>
    <w:rsid w:val="00851895"/>
    <w:rsid w:val="00853240"/>
    <w:rsid w:val="00854858"/>
    <w:rsid w:val="008554A5"/>
    <w:rsid w:val="008602BF"/>
    <w:rsid w:val="00860360"/>
    <w:rsid w:val="0086098F"/>
    <w:rsid w:val="00862661"/>
    <w:rsid w:val="008628EF"/>
    <w:rsid w:val="00862AE9"/>
    <w:rsid w:val="008630B1"/>
    <w:rsid w:val="00865FA5"/>
    <w:rsid w:val="00872693"/>
    <w:rsid w:val="00873713"/>
    <w:rsid w:val="0087372D"/>
    <w:rsid w:val="00873832"/>
    <w:rsid w:val="0087576E"/>
    <w:rsid w:val="00876100"/>
    <w:rsid w:val="00876637"/>
    <w:rsid w:val="00882321"/>
    <w:rsid w:val="00882898"/>
    <w:rsid w:val="00883C1C"/>
    <w:rsid w:val="008853DC"/>
    <w:rsid w:val="008861DB"/>
    <w:rsid w:val="008865CA"/>
    <w:rsid w:val="00890415"/>
    <w:rsid w:val="00892ADF"/>
    <w:rsid w:val="00892DBE"/>
    <w:rsid w:val="008937D0"/>
    <w:rsid w:val="00893E90"/>
    <w:rsid w:val="0089554B"/>
    <w:rsid w:val="0089568B"/>
    <w:rsid w:val="008965BE"/>
    <w:rsid w:val="00896AC7"/>
    <w:rsid w:val="00897019"/>
    <w:rsid w:val="008A23E6"/>
    <w:rsid w:val="008A40CC"/>
    <w:rsid w:val="008A749E"/>
    <w:rsid w:val="008B162F"/>
    <w:rsid w:val="008B1700"/>
    <w:rsid w:val="008B2293"/>
    <w:rsid w:val="008B2518"/>
    <w:rsid w:val="008B4EE4"/>
    <w:rsid w:val="008B52C3"/>
    <w:rsid w:val="008B716D"/>
    <w:rsid w:val="008B7259"/>
    <w:rsid w:val="008B7648"/>
    <w:rsid w:val="008C1226"/>
    <w:rsid w:val="008C3C69"/>
    <w:rsid w:val="008C41E6"/>
    <w:rsid w:val="008C5725"/>
    <w:rsid w:val="008C6A8C"/>
    <w:rsid w:val="008D0863"/>
    <w:rsid w:val="008D47E2"/>
    <w:rsid w:val="008D5D83"/>
    <w:rsid w:val="008D749B"/>
    <w:rsid w:val="008E1706"/>
    <w:rsid w:val="008E47D3"/>
    <w:rsid w:val="008E69DD"/>
    <w:rsid w:val="008F0254"/>
    <w:rsid w:val="008F094D"/>
    <w:rsid w:val="008F1FE9"/>
    <w:rsid w:val="008F2B21"/>
    <w:rsid w:val="008F308F"/>
    <w:rsid w:val="008F368D"/>
    <w:rsid w:val="008F592B"/>
    <w:rsid w:val="0090047F"/>
    <w:rsid w:val="00900EC6"/>
    <w:rsid w:val="00902DFE"/>
    <w:rsid w:val="0090366B"/>
    <w:rsid w:val="00904F07"/>
    <w:rsid w:val="00911342"/>
    <w:rsid w:val="00912B82"/>
    <w:rsid w:val="00920F9F"/>
    <w:rsid w:val="0092275F"/>
    <w:rsid w:val="00923D10"/>
    <w:rsid w:val="00923F00"/>
    <w:rsid w:val="009252A0"/>
    <w:rsid w:val="00930E49"/>
    <w:rsid w:val="00932BB2"/>
    <w:rsid w:val="009336D4"/>
    <w:rsid w:val="009349F8"/>
    <w:rsid w:val="00941B1C"/>
    <w:rsid w:val="00941E28"/>
    <w:rsid w:val="009435DA"/>
    <w:rsid w:val="009444F3"/>
    <w:rsid w:val="009525C7"/>
    <w:rsid w:val="009550BB"/>
    <w:rsid w:val="00955D5D"/>
    <w:rsid w:val="00956424"/>
    <w:rsid w:val="00956486"/>
    <w:rsid w:val="009574A2"/>
    <w:rsid w:val="00962297"/>
    <w:rsid w:val="00965994"/>
    <w:rsid w:val="009672E8"/>
    <w:rsid w:val="0097067A"/>
    <w:rsid w:val="0097076C"/>
    <w:rsid w:val="009718EF"/>
    <w:rsid w:val="0097381D"/>
    <w:rsid w:val="00974F6B"/>
    <w:rsid w:val="00976B76"/>
    <w:rsid w:val="00983631"/>
    <w:rsid w:val="00984AFD"/>
    <w:rsid w:val="00985027"/>
    <w:rsid w:val="0098546A"/>
    <w:rsid w:val="009854BB"/>
    <w:rsid w:val="00987E25"/>
    <w:rsid w:val="00990021"/>
    <w:rsid w:val="009905E9"/>
    <w:rsid w:val="00990831"/>
    <w:rsid w:val="0099661E"/>
    <w:rsid w:val="009A0029"/>
    <w:rsid w:val="009A0B8F"/>
    <w:rsid w:val="009A42E8"/>
    <w:rsid w:val="009A535E"/>
    <w:rsid w:val="009A665D"/>
    <w:rsid w:val="009B16ED"/>
    <w:rsid w:val="009B2A42"/>
    <w:rsid w:val="009B5092"/>
    <w:rsid w:val="009C4742"/>
    <w:rsid w:val="009C5A5D"/>
    <w:rsid w:val="009C72FE"/>
    <w:rsid w:val="009D0590"/>
    <w:rsid w:val="009D3490"/>
    <w:rsid w:val="009D3715"/>
    <w:rsid w:val="009D7A9A"/>
    <w:rsid w:val="009E1C6A"/>
    <w:rsid w:val="009E2B34"/>
    <w:rsid w:val="009E3FFE"/>
    <w:rsid w:val="009E49AE"/>
    <w:rsid w:val="009E547D"/>
    <w:rsid w:val="009E5630"/>
    <w:rsid w:val="009E6B33"/>
    <w:rsid w:val="009E781F"/>
    <w:rsid w:val="009F0BFE"/>
    <w:rsid w:val="009F16B9"/>
    <w:rsid w:val="009F1E4C"/>
    <w:rsid w:val="009F23FE"/>
    <w:rsid w:val="009F348D"/>
    <w:rsid w:val="009F4581"/>
    <w:rsid w:val="009F6362"/>
    <w:rsid w:val="009F6600"/>
    <w:rsid w:val="00A0309D"/>
    <w:rsid w:val="00A054E3"/>
    <w:rsid w:val="00A06668"/>
    <w:rsid w:val="00A067AF"/>
    <w:rsid w:val="00A07BDB"/>
    <w:rsid w:val="00A115B3"/>
    <w:rsid w:val="00A16860"/>
    <w:rsid w:val="00A175B6"/>
    <w:rsid w:val="00A2135F"/>
    <w:rsid w:val="00A2359C"/>
    <w:rsid w:val="00A24CDE"/>
    <w:rsid w:val="00A25AC5"/>
    <w:rsid w:val="00A25FD5"/>
    <w:rsid w:val="00A27679"/>
    <w:rsid w:val="00A27B05"/>
    <w:rsid w:val="00A30AC1"/>
    <w:rsid w:val="00A328B9"/>
    <w:rsid w:val="00A34D92"/>
    <w:rsid w:val="00A3774A"/>
    <w:rsid w:val="00A37FCD"/>
    <w:rsid w:val="00A408BC"/>
    <w:rsid w:val="00A410FA"/>
    <w:rsid w:val="00A42BB5"/>
    <w:rsid w:val="00A44425"/>
    <w:rsid w:val="00A46CEE"/>
    <w:rsid w:val="00A47931"/>
    <w:rsid w:val="00A50218"/>
    <w:rsid w:val="00A50C93"/>
    <w:rsid w:val="00A51A55"/>
    <w:rsid w:val="00A532BE"/>
    <w:rsid w:val="00A54B9B"/>
    <w:rsid w:val="00A54D0C"/>
    <w:rsid w:val="00A555B4"/>
    <w:rsid w:val="00A574CF"/>
    <w:rsid w:val="00A63B90"/>
    <w:rsid w:val="00A6420E"/>
    <w:rsid w:val="00A64988"/>
    <w:rsid w:val="00A649CE"/>
    <w:rsid w:val="00A64C88"/>
    <w:rsid w:val="00A66385"/>
    <w:rsid w:val="00A66A5B"/>
    <w:rsid w:val="00A66E3D"/>
    <w:rsid w:val="00A704BE"/>
    <w:rsid w:val="00A7271B"/>
    <w:rsid w:val="00A728F3"/>
    <w:rsid w:val="00A738EA"/>
    <w:rsid w:val="00A74F80"/>
    <w:rsid w:val="00A8244E"/>
    <w:rsid w:val="00A82A7B"/>
    <w:rsid w:val="00A84851"/>
    <w:rsid w:val="00A87606"/>
    <w:rsid w:val="00A9200C"/>
    <w:rsid w:val="00A93B3A"/>
    <w:rsid w:val="00A9663A"/>
    <w:rsid w:val="00A9754A"/>
    <w:rsid w:val="00A97CBB"/>
    <w:rsid w:val="00AA07C2"/>
    <w:rsid w:val="00AA1028"/>
    <w:rsid w:val="00AA11C3"/>
    <w:rsid w:val="00AA1A81"/>
    <w:rsid w:val="00AA1BD5"/>
    <w:rsid w:val="00AA2A02"/>
    <w:rsid w:val="00AA324F"/>
    <w:rsid w:val="00AA64FE"/>
    <w:rsid w:val="00AA7679"/>
    <w:rsid w:val="00AB0058"/>
    <w:rsid w:val="00AB203A"/>
    <w:rsid w:val="00AB2439"/>
    <w:rsid w:val="00AB27B4"/>
    <w:rsid w:val="00AB2898"/>
    <w:rsid w:val="00AB54E6"/>
    <w:rsid w:val="00AB6BBA"/>
    <w:rsid w:val="00AC00CE"/>
    <w:rsid w:val="00AC0AF2"/>
    <w:rsid w:val="00AC2D86"/>
    <w:rsid w:val="00AC4F26"/>
    <w:rsid w:val="00AC7BED"/>
    <w:rsid w:val="00AD0BA7"/>
    <w:rsid w:val="00AD1450"/>
    <w:rsid w:val="00AD1E55"/>
    <w:rsid w:val="00AD3770"/>
    <w:rsid w:val="00AD6D75"/>
    <w:rsid w:val="00AD7749"/>
    <w:rsid w:val="00AD77B3"/>
    <w:rsid w:val="00AE0B9A"/>
    <w:rsid w:val="00AE2A23"/>
    <w:rsid w:val="00AE2AA2"/>
    <w:rsid w:val="00AE2E30"/>
    <w:rsid w:val="00AE53FE"/>
    <w:rsid w:val="00AE56DC"/>
    <w:rsid w:val="00AE68E5"/>
    <w:rsid w:val="00AE6FBD"/>
    <w:rsid w:val="00AF06AF"/>
    <w:rsid w:val="00AF0FCE"/>
    <w:rsid w:val="00AF15B1"/>
    <w:rsid w:val="00AF2974"/>
    <w:rsid w:val="00AF3444"/>
    <w:rsid w:val="00AF4A1F"/>
    <w:rsid w:val="00AF649E"/>
    <w:rsid w:val="00AF6623"/>
    <w:rsid w:val="00AF7103"/>
    <w:rsid w:val="00AF7AE0"/>
    <w:rsid w:val="00B007EC"/>
    <w:rsid w:val="00B0089C"/>
    <w:rsid w:val="00B0271E"/>
    <w:rsid w:val="00B02FA5"/>
    <w:rsid w:val="00B03552"/>
    <w:rsid w:val="00B05F5F"/>
    <w:rsid w:val="00B06AE2"/>
    <w:rsid w:val="00B07491"/>
    <w:rsid w:val="00B11E77"/>
    <w:rsid w:val="00B1411B"/>
    <w:rsid w:val="00B16587"/>
    <w:rsid w:val="00B16C7D"/>
    <w:rsid w:val="00B22DA6"/>
    <w:rsid w:val="00B24516"/>
    <w:rsid w:val="00B25797"/>
    <w:rsid w:val="00B25A1E"/>
    <w:rsid w:val="00B25FF6"/>
    <w:rsid w:val="00B30160"/>
    <w:rsid w:val="00B32899"/>
    <w:rsid w:val="00B333DA"/>
    <w:rsid w:val="00B37BB3"/>
    <w:rsid w:val="00B41876"/>
    <w:rsid w:val="00B41FE8"/>
    <w:rsid w:val="00B50329"/>
    <w:rsid w:val="00B5346D"/>
    <w:rsid w:val="00B54EA7"/>
    <w:rsid w:val="00B54F4C"/>
    <w:rsid w:val="00B55CD7"/>
    <w:rsid w:val="00B56369"/>
    <w:rsid w:val="00B56C9E"/>
    <w:rsid w:val="00B5768E"/>
    <w:rsid w:val="00B61441"/>
    <w:rsid w:val="00B61F89"/>
    <w:rsid w:val="00B63B02"/>
    <w:rsid w:val="00B64958"/>
    <w:rsid w:val="00B651F8"/>
    <w:rsid w:val="00B660DB"/>
    <w:rsid w:val="00B669B1"/>
    <w:rsid w:val="00B706B8"/>
    <w:rsid w:val="00B71001"/>
    <w:rsid w:val="00B71294"/>
    <w:rsid w:val="00B72268"/>
    <w:rsid w:val="00B747B0"/>
    <w:rsid w:val="00B7508A"/>
    <w:rsid w:val="00B75487"/>
    <w:rsid w:val="00B77FE5"/>
    <w:rsid w:val="00B81989"/>
    <w:rsid w:val="00B824D2"/>
    <w:rsid w:val="00B82952"/>
    <w:rsid w:val="00B82C0E"/>
    <w:rsid w:val="00B82D22"/>
    <w:rsid w:val="00B83AD8"/>
    <w:rsid w:val="00B8635D"/>
    <w:rsid w:val="00B868BC"/>
    <w:rsid w:val="00B87AC3"/>
    <w:rsid w:val="00B9078B"/>
    <w:rsid w:val="00B934BB"/>
    <w:rsid w:val="00B947CE"/>
    <w:rsid w:val="00BA2043"/>
    <w:rsid w:val="00BA34DF"/>
    <w:rsid w:val="00BA536A"/>
    <w:rsid w:val="00BA59CE"/>
    <w:rsid w:val="00BB0369"/>
    <w:rsid w:val="00BB08C2"/>
    <w:rsid w:val="00BB382E"/>
    <w:rsid w:val="00BB5B70"/>
    <w:rsid w:val="00BB60AC"/>
    <w:rsid w:val="00BC0475"/>
    <w:rsid w:val="00BC0633"/>
    <w:rsid w:val="00BC2F3C"/>
    <w:rsid w:val="00BC3F62"/>
    <w:rsid w:val="00BC4E1F"/>
    <w:rsid w:val="00BC4F62"/>
    <w:rsid w:val="00BC5BAA"/>
    <w:rsid w:val="00BD0E14"/>
    <w:rsid w:val="00BD39C2"/>
    <w:rsid w:val="00BD3AF0"/>
    <w:rsid w:val="00BD3E1B"/>
    <w:rsid w:val="00BD4357"/>
    <w:rsid w:val="00BD5928"/>
    <w:rsid w:val="00BE0648"/>
    <w:rsid w:val="00BE1F53"/>
    <w:rsid w:val="00BE2B42"/>
    <w:rsid w:val="00BE3A2A"/>
    <w:rsid w:val="00BE3CD7"/>
    <w:rsid w:val="00BE442B"/>
    <w:rsid w:val="00BE677D"/>
    <w:rsid w:val="00BF16E2"/>
    <w:rsid w:val="00BF23E1"/>
    <w:rsid w:val="00BF70DF"/>
    <w:rsid w:val="00C0211C"/>
    <w:rsid w:val="00C02398"/>
    <w:rsid w:val="00C04386"/>
    <w:rsid w:val="00C06F24"/>
    <w:rsid w:val="00C1118C"/>
    <w:rsid w:val="00C142DB"/>
    <w:rsid w:val="00C1553F"/>
    <w:rsid w:val="00C170D6"/>
    <w:rsid w:val="00C172AD"/>
    <w:rsid w:val="00C172FE"/>
    <w:rsid w:val="00C17EAA"/>
    <w:rsid w:val="00C218C2"/>
    <w:rsid w:val="00C21E2B"/>
    <w:rsid w:val="00C245D3"/>
    <w:rsid w:val="00C24797"/>
    <w:rsid w:val="00C24F81"/>
    <w:rsid w:val="00C26D13"/>
    <w:rsid w:val="00C33F78"/>
    <w:rsid w:val="00C34850"/>
    <w:rsid w:val="00C37963"/>
    <w:rsid w:val="00C37BA3"/>
    <w:rsid w:val="00C410F6"/>
    <w:rsid w:val="00C43952"/>
    <w:rsid w:val="00C4765C"/>
    <w:rsid w:val="00C508F9"/>
    <w:rsid w:val="00C52218"/>
    <w:rsid w:val="00C54603"/>
    <w:rsid w:val="00C63EDF"/>
    <w:rsid w:val="00C65036"/>
    <w:rsid w:val="00C65505"/>
    <w:rsid w:val="00C70497"/>
    <w:rsid w:val="00C71447"/>
    <w:rsid w:val="00C74584"/>
    <w:rsid w:val="00C7653E"/>
    <w:rsid w:val="00C76E1B"/>
    <w:rsid w:val="00C8105D"/>
    <w:rsid w:val="00C819A8"/>
    <w:rsid w:val="00C82444"/>
    <w:rsid w:val="00C82E28"/>
    <w:rsid w:val="00C82EF3"/>
    <w:rsid w:val="00C83756"/>
    <w:rsid w:val="00C853E3"/>
    <w:rsid w:val="00C8691E"/>
    <w:rsid w:val="00C86D55"/>
    <w:rsid w:val="00C903A4"/>
    <w:rsid w:val="00C9178E"/>
    <w:rsid w:val="00C91DB6"/>
    <w:rsid w:val="00C91F41"/>
    <w:rsid w:val="00C9291C"/>
    <w:rsid w:val="00C939B5"/>
    <w:rsid w:val="00C93C8D"/>
    <w:rsid w:val="00C94DFC"/>
    <w:rsid w:val="00CA096C"/>
    <w:rsid w:val="00CA189E"/>
    <w:rsid w:val="00CA2A02"/>
    <w:rsid w:val="00CA73C6"/>
    <w:rsid w:val="00CA7C1A"/>
    <w:rsid w:val="00CB0B44"/>
    <w:rsid w:val="00CB37B7"/>
    <w:rsid w:val="00CB39FF"/>
    <w:rsid w:val="00CB3C42"/>
    <w:rsid w:val="00CB6FAF"/>
    <w:rsid w:val="00CB7F61"/>
    <w:rsid w:val="00CC04AA"/>
    <w:rsid w:val="00CC0DA8"/>
    <w:rsid w:val="00CC0F2B"/>
    <w:rsid w:val="00CC0F39"/>
    <w:rsid w:val="00CC1289"/>
    <w:rsid w:val="00CC12A1"/>
    <w:rsid w:val="00CC1F75"/>
    <w:rsid w:val="00CC42B8"/>
    <w:rsid w:val="00CC5244"/>
    <w:rsid w:val="00CC555F"/>
    <w:rsid w:val="00CC5728"/>
    <w:rsid w:val="00CC5AA5"/>
    <w:rsid w:val="00CC5C29"/>
    <w:rsid w:val="00CC68ED"/>
    <w:rsid w:val="00CD3325"/>
    <w:rsid w:val="00CD7101"/>
    <w:rsid w:val="00CE41F5"/>
    <w:rsid w:val="00CE7F70"/>
    <w:rsid w:val="00CF0C73"/>
    <w:rsid w:val="00CF64A3"/>
    <w:rsid w:val="00D01F97"/>
    <w:rsid w:val="00D02222"/>
    <w:rsid w:val="00D031AF"/>
    <w:rsid w:val="00D045B6"/>
    <w:rsid w:val="00D048FA"/>
    <w:rsid w:val="00D04B23"/>
    <w:rsid w:val="00D04D66"/>
    <w:rsid w:val="00D05FE5"/>
    <w:rsid w:val="00D07645"/>
    <w:rsid w:val="00D07F99"/>
    <w:rsid w:val="00D11869"/>
    <w:rsid w:val="00D119EC"/>
    <w:rsid w:val="00D1297C"/>
    <w:rsid w:val="00D14AB5"/>
    <w:rsid w:val="00D15D05"/>
    <w:rsid w:val="00D15DFA"/>
    <w:rsid w:val="00D17967"/>
    <w:rsid w:val="00D20F63"/>
    <w:rsid w:val="00D20F90"/>
    <w:rsid w:val="00D242B6"/>
    <w:rsid w:val="00D264FA"/>
    <w:rsid w:val="00D30C87"/>
    <w:rsid w:val="00D3113B"/>
    <w:rsid w:val="00D32518"/>
    <w:rsid w:val="00D344BF"/>
    <w:rsid w:val="00D366E1"/>
    <w:rsid w:val="00D36905"/>
    <w:rsid w:val="00D41763"/>
    <w:rsid w:val="00D418A7"/>
    <w:rsid w:val="00D45EC3"/>
    <w:rsid w:val="00D47CBF"/>
    <w:rsid w:val="00D63AC2"/>
    <w:rsid w:val="00D64ED5"/>
    <w:rsid w:val="00D664F1"/>
    <w:rsid w:val="00D700CC"/>
    <w:rsid w:val="00D7034C"/>
    <w:rsid w:val="00D73803"/>
    <w:rsid w:val="00D74BDC"/>
    <w:rsid w:val="00D764BD"/>
    <w:rsid w:val="00D76C8F"/>
    <w:rsid w:val="00D803B4"/>
    <w:rsid w:val="00D80DA3"/>
    <w:rsid w:val="00D83DE9"/>
    <w:rsid w:val="00D8571F"/>
    <w:rsid w:val="00D86CAC"/>
    <w:rsid w:val="00D9298B"/>
    <w:rsid w:val="00D92C4E"/>
    <w:rsid w:val="00D93F59"/>
    <w:rsid w:val="00D93F69"/>
    <w:rsid w:val="00D9433A"/>
    <w:rsid w:val="00D94F91"/>
    <w:rsid w:val="00D96288"/>
    <w:rsid w:val="00D9655D"/>
    <w:rsid w:val="00D96C27"/>
    <w:rsid w:val="00DA0112"/>
    <w:rsid w:val="00DA187D"/>
    <w:rsid w:val="00DA478F"/>
    <w:rsid w:val="00DA5749"/>
    <w:rsid w:val="00DA5FAA"/>
    <w:rsid w:val="00DB0C77"/>
    <w:rsid w:val="00DB2452"/>
    <w:rsid w:val="00DB261C"/>
    <w:rsid w:val="00DB3A7A"/>
    <w:rsid w:val="00DB3FD6"/>
    <w:rsid w:val="00DB4CBB"/>
    <w:rsid w:val="00DB5A06"/>
    <w:rsid w:val="00DC09CA"/>
    <w:rsid w:val="00DC22CD"/>
    <w:rsid w:val="00DC250E"/>
    <w:rsid w:val="00DC3016"/>
    <w:rsid w:val="00DC30EB"/>
    <w:rsid w:val="00DC3208"/>
    <w:rsid w:val="00DC45AF"/>
    <w:rsid w:val="00DC4D37"/>
    <w:rsid w:val="00DC571F"/>
    <w:rsid w:val="00DC5E49"/>
    <w:rsid w:val="00DC6610"/>
    <w:rsid w:val="00DD05B8"/>
    <w:rsid w:val="00DD0F7A"/>
    <w:rsid w:val="00DD1877"/>
    <w:rsid w:val="00DD3B5B"/>
    <w:rsid w:val="00DD538A"/>
    <w:rsid w:val="00DD6DFC"/>
    <w:rsid w:val="00DD768B"/>
    <w:rsid w:val="00DE1AFA"/>
    <w:rsid w:val="00DE25A5"/>
    <w:rsid w:val="00DE2D25"/>
    <w:rsid w:val="00DE33B0"/>
    <w:rsid w:val="00DE3EA2"/>
    <w:rsid w:val="00DE5572"/>
    <w:rsid w:val="00DE61DA"/>
    <w:rsid w:val="00DE624C"/>
    <w:rsid w:val="00DE6D41"/>
    <w:rsid w:val="00DF06BB"/>
    <w:rsid w:val="00DF13C7"/>
    <w:rsid w:val="00DF2070"/>
    <w:rsid w:val="00DF44CA"/>
    <w:rsid w:val="00DF4861"/>
    <w:rsid w:val="00DF4C55"/>
    <w:rsid w:val="00DF655D"/>
    <w:rsid w:val="00DF722C"/>
    <w:rsid w:val="00E0191B"/>
    <w:rsid w:val="00E032D8"/>
    <w:rsid w:val="00E04335"/>
    <w:rsid w:val="00E054CC"/>
    <w:rsid w:val="00E0665D"/>
    <w:rsid w:val="00E0715C"/>
    <w:rsid w:val="00E15272"/>
    <w:rsid w:val="00E16022"/>
    <w:rsid w:val="00E17808"/>
    <w:rsid w:val="00E208E5"/>
    <w:rsid w:val="00E23C48"/>
    <w:rsid w:val="00E25380"/>
    <w:rsid w:val="00E2674E"/>
    <w:rsid w:val="00E30189"/>
    <w:rsid w:val="00E3117C"/>
    <w:rsid w:val="00E325DA"/>
    <w:rsid w:val="00E332CC"/>
    <w:rsid w:val="00E35340"/>
    <w:rsid w:val="00E40D30"/>
    <w:rsid w:val="00E41619"/>
    <w:rsid w:val="00E4188E"/>
    <w:rsid w:val="00E41F6E"/>
    <w:rsid w:val="00E44C24"/>
    <w:rsid w:val="00E5031D"/>
    <w:rsid w:val="00E52E34"/>
    <w:rsid w:val="00E546CC"/>
    <w:rsid w:val="00E57EDB"/>
    <w:rsid w:val="00E60BD1"/>
    <w:rsid w:val="00E62222"/>
    <w:rsid w:val="00E636E7"/>
    <w:rsid w:val="00E63A7C"/>
    <w:rsid w:val="00E65D09"/>
    <w:rsid w:val="00E706E2"/>
    <w:rsid w:val="00E729BB"/>
    <w:rsid w:val="00E72F0D"/>
    <w:rsid w:val="00E73653"/>
    <w:rsid w:val="00E740B2"/>
    <w:rsid w:val="00E7499B"/>
    <w:rsid w:val="00E77DA7"/>
    <w:rsid w:val="00E8507C"/>
    <w:rsid w:val="00E9374A"/>
    <w:rsid w:val="00E93AD6"/>
    <w:rsid w:val="00E93B85"/>
    <w:rsid w:val="00E96287"/>
    <w:rsid w:val="00E96542"/>
    <w:rsid w:val="00EA18C0"/>
    <w:rsid w:val="00EA1C55"/>
    <w:rsid w:val="00EA3F73"/>
    <w:rsid w:val="00EA4FB3"/>
    <w:rsid w:val="00EA74BA"/>
    <w:rsid w:val="00EA7516"/>
    <w:rsid w:val="00EA75B6"/>
    <w:rsid w:val="00EA785F"/>
    <w:rsid w:val="00EB19D9"/>
    <w:rsid w:val="00EB3037"/>
    <w:rsid w:val="00EB32A9"/>
    <w:rsid w:val="00EB586A"/>
    <w:rsid w:val="00EB6E8D"/>
    <w:rsid w:val="00EB7622"/>
    <w:rsid w:val="00EB79BA"/>
    <w:rsid w:val="00EB7EDE"/>
    <w:rsid w:val="00EC0F8A"/>
    <w:rsid w:val="00EC13E2"/>
    <w:rsid w:val="00EC4D1F"/>
    <w:rsid w:val="00EC550C"/>
    <w:rsid w:val="00EC618E"/>
    <w:rsid w:val="00ED0041"/>
    <w:rsid w:val="00ED1C03"/>
    <w:rsid w:val="00ED1EED"/>
    <w:rsid w:val="00ED348F"/>
    <w:rsid w:val="00ED479A"/>
    <w:rsid w:val="00ED6734"/>
    <w:rsid w:val="00EE440F"/>
    <w:rsid w:val="00EE5258"/>
    <w:rsid w:val="00EE626C"/>
    <w:rsid w:val="00EF00A8"/>
    <w:rsid w:val="00EF08EE"/>
    <w:rsid w:val="00EF10C7"/>
    <w:rsid w:val="00EF3374"/>
    <w:rsid w:val="00EF4D7D"/>
    <w:rsid w:val="00F00EA3"/>
    <w:rsid w:val="00F044BB"/>
    <w:rsid w:val="00F057EC"/>
    <w:rsid w:val="00F0589B"/>
    <w:rsid w:val="00F06132"/>
    <w:rsid w:val="00F06162"/>
    <w:rsid w:val="00F07D48"/>
    <w:rsid w:val="00F13086"/>
    <w:rsid w:val="00F13717"/>
    <w:rsid w:val="00F137F1"/>
    <w:rsid w:val="00F15E00"/>
    <w:rsid w:val="00F16B8D"/>
    <w:rsid w:val="00F16C79"/>
    <w:rsid w:val="00F24AF5"/>
    <w:rsid w:val="00F25055"/>
    <w:rsid w:val="00F2591D"/>
    <w:rsid w:val="00F25D2B"/>
    <w:rsid w:val="00F30276"/>
    <w:rsid w:val="00F33910"/>
    <w:rsid w:val="00F36E93"/>
    <w:rsid w:val="00F40D40"/>
    <w:rsid w:val="00F41992"/>
    <w:rsid w:val="00F430C9"/>
    <w:rsid w:val="00F444B3"/>
    <w:rsid w:val="00F4554B"/>
    <w:rsid w:val="00F45C60"/>
    <w:rsid w:val="00F4699E"/>
    <w:rsid w:val="00F47C16"/>
    <w:rsid w:val="00F47EEC"/>
    <w:rsid w:val="00F51C38"/>
    <w:rsid w:val="00F53952"/>
    <w:rsid w:val="00F5447A"/>
    <w:rsid w:val="00F54848"/>
    <w:rsid w:val="00F5494F"/>
    <w:rsid w:val="00F54F89"/>
    <w:rsid w:val="00F57DC7"/>
    <w:rsid w:val="00F57FF7"/>
    <w:rsid w:val="00F62146"/>
    <w:rsid w:val="00F629CB"/>
    <w:rsid w:val="00F62A17"/>
    <w:rsid w:val="00F6432A"/>
    <w:rsid w:val="00F6667D"/>
    <w:rsid w:val="00F7044E"/>
    <w:rsid w:val="00F74827"/>
    <w:rsid w:val="00F74C42"/>
    <w:rsid w:val="00F75722"/>
    <w:rsid w:val="00F75CB3"/>
    <w:rsid w:val="00F75DF4"/>
    <w:rsid w:val="00F76658"/>
    <w:rsid w:val="00F76D7F"/>
    <w:rsid w:val="00F801DD"/>
    <w:rsid w:val="00F81A29"/>
    <w:rsid w:val="00F84395"/>
    <w:rsid w:val="00F86430"/>
    <w:rsid w:val="00F904CF"/>
    <w:rsid w:val="00F90692"/>
    <w:rsid w:val="00F908B9"/>
    <w:rsid w:val="00F90B58"/>
    <w:rsid w:val="00F92EE4"/>
    <w:rsid w:val="00F943A0"/>
    <w:rsid w:val="00F95C72"/>
    <w:rsid w:val="00F962E9"/>
    <w:rsid w:val="00F969FC"/>
    <w:rsid w:val="00F9714D"/>
    <w:rsid w:val="00FA0859"/>
    <w:rsid w:val="00FA18D6"/>
    <w:rsid w:val="00FA3654"/>
    <w:rsid w:val="00FA5BAD"/>
    <w:rsid w:val="00FA5E30"/>
    <w:rsid w:val="00FA63BC"/>
    <w:rsid w:val="00FA7DBE"/>
    <w:rsid w:val="00FB371C"/>
    <w:rsid w:val="00FB4C6F"/>
    <w:rsid w:val="00FB50FE"/>
    <w:rsid w:val="00FB5C3D"/>
    <w:rsid w:val="00FB6756"/>
    <w:rsid w:val="00FB6BB1"/>
    <w:rsid w:val="00FC004B"/>
    <w:rsid w:val="00FC0A01"/>
    <w:rsid w:val="00FC663C"/>
    <w:rsid w:val="00FC698B"/>
    <w:rsid w:val="00FC78A0"/>
    <w:rsid w:val="00FC7C9F"/>
    <w:rsid w:val="00FC7ED7"/>
    <w:rsid w:val="00FD2E13"/>
    <w:rsid w:val="00FD40DD"/>
    <w:rsid w:val="00FD47B2"/>
    <w:rsid w:val="00FE12EC"/>
    <w:rsid w:val="00FE21A7"/>
    <w:rsid w:val="00FE221B"/>
    <w:rsid w:val="00FE4107"/>
    <w:rsid w:val="00FE48D7"/>
    <w:rsid w:val="00FE5B50"/>
    <w:rsid w:val="00FE745E"/>
    <w:rsid w:val="00FF0D7B"/>
    <w:rsid w:val="00FF0FB6"/>
    <w:rsid w:val="00FF343C"/>
    <w:rsid w:val="00FF4E4A"/>
    <w:rsid w:val="00FF61C7"/>
    <w:rsid w:val="00FF65DB"/>
    <w:rsid w:val="00FF6608"/>
    <w:rsid w:val="00FF6B3D"/>
    <w:rsid w:val="00FF7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93F08"/>
  <w15:chartTrackingRefBased/>
  <w15:docId w15:val="{61217070-9433-428F-A61D-520BF5706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A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2A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2A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2A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2A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2A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2A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A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A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A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2A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2A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A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A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A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A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A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A51"/>
    <w:rPr>
      <w:rFonts w:eastAsiaTheme="majorEastAsia" w:cstheme="majorBidi"/>
      <w:color w:val="272727" w:themeColor="text1" w:themeTint="D8"/>
    </w:rPr>
  </w:style>
  <w:style w:type="paragraph" w:styleId="Title">
    <w:name w:val="Title"/>
    <w:basedOn w:val="Normal"/>
    <w:next w:val="Normal"/>
    <w:link w:val="TitleChar"/>
    <w:uiPriority w:val="10"/>
    <w:qFormat/>
    <w:rsid w:val="007D2A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A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A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2A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A51"/>
    <w:pPr>
      <w:spacing w:before="160"/>
      <w:jc w:val="center"/>
    </w:pPr>
    <w:rPr>
      <w:i/>
      <w:iCs/>
      <w:color w:val="404040" w:themeColor="text1" w:themeTint="BF"/>
    </w:rPr>
  </w:style>
  <w:style w:type="character" w:customStyle="1" w:styleId="QuoteChar">
    <w:name w:val="Quote Char"/>
    <w:basedOn w:val="DefaultParagraphFont"/>
    <w:link w:val="Quote"/>
    <w:uiPriority w:val="29"/>
    <w:rsid w:val="007D2A51"/>
    <w:rPr>
      <w:i/>
      <w:iCs/>
      <w:color w:val="404040" w:themeColor="text1" w:themeTint="BF"/>
    </w:rPr>
  </w:style>
  <w:style w:type="paragraph" w:styleId="ListParagraph">
    <w:name w:val="List Paragraph"/>
    <w:basedOn w:val="Normal"/>
    <w:uiPriority w:val="34"/>
    <w:qFormat/>
    <w:rsid w:val="007D2A51"/>
    <w:pPr>
      <w:ind w:left="720"/>
      <w:contextualSpacing/>
    </w:pPr>
  </w:style>
  <w:style w:type="character" w:styleId="IntenseEmphasis">
    <w:name w:val="Intense Emphasis"/>
    <w:basedOn w:val="DefaultParagraphFont"/>
    <w:uiPriority w:val="21"/>
    <w:qFormat/>
    <w:rsid w:val="007D2A51"/>
    <w:rPr>
      <w:i/>
      <w:iCs/>
      <w:color w:val="0F4761" w:themeColor="accent1" w:themeShade="BF"/>
    </w:rPr>
  </w:style>
  <w:style w:type="paragraph" w:styleId="IntenseQuote">
    <w:name w:val="Intense Quote"/>
    <w:basedOn w:val="Normal"/>
    <w:next w:val="Normal"/>
    <w:link w:val="IntenseQuoteChar"/>
    <w:uiPriority w:val="30"/>
    <w:qFormat/>
    <w:rsid w:val="007D2A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A51"/>
    <w:rPr>
      <w:i/>
      <w:iCs/>
      <w:color w:val="0F4761" w:themeColor="accent1" w:themeShade="BF"/>
    </w:rPr>
  </w:style>
  <w:style w:type="character" w:styleId="IntenseReference">
    <w:name w:val="Intense Reference"/>
    <w:basedOn w:val="DefaultParagraphFont"/>
    <w:uiPriority w:val="32"/>
    <w:qFormat/>
    <w:rsid w:val="007D2A51"/>
    <w:rPr>
      <w:b/>
      <w:bCs/>
      <w:smallCaps/>
      <w:color w:val="0F4761" w:themeColor="accent1" w:themeShade="BF"/>
      <w:spacing w:val="5"/>
    </w:rPr>
  </w:style>
  <w:style w:type="paragraph" w:styleId="Header">
    <w:name w:val="header"/>
    <w:basedOn w:val="Normal"/>
    <w:link w:val="HeaderChar"/>
    <w:uiPriority w:val="99"/>
    <w:unhideWhenUsed/>
    <w:rsid w:val="00190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6D5"/>
  </w:style>
  <w:style w:type="paragraph" w:styleId="Footer">
    <w:name w:val="footer"/>
    <w:basedOn w:val="Normal"/>
    <w:link w:val="FooterChar"/>
    <w:uiPriority w:val="99"/>
    <w:unhideWhenUsed/>
    <w:rsid w:val="00190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6D5"/>
  </w:style>
  <w:style w:type="table" w:styleId="TableGrid">
    <w:name w:val="Table Grid"/>
    <w:basedOn w:val="TableNormal"/>
    <w:uiPriority w:val="39"/>
    <w:rsid w:val="00CC55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65994"/>
  </w:style>
  <w:style w:type="character" w:styleId="Emphasis">
    <w:name w:val="Emphasis"/>
    <w:basedOn w:val="DefaultParagraphFont"/>
    <w:uiPriority w:val="20"/>
    <w:qFormat/>
    <w:rsid w:val="00965994"/>
    <w:rPr>
      <w:i/>
      <w:iCs/>
    </w:rPr>
  </w:style>
  <w:style w:type="paragraph" w:styleId="TOCHeading">
    <w:name w:val="TOC Heading"/>
    <w:basedOn w:val="Heading1"/>
    <w:next w:val="Normal"/>
    <w:uiPriority w:val="39"/>
    <w:unhideWhenUsed/>
    <w:qFormat/>
    <w:rsid w:val="00600C9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00C92"/>
    <w:pPr>
      <w:spacing w:after="100"/>
    </w:pPr>
  </w:style>
  <w:style w:type="character" w:styleId="Hyperlink">
    <w:name w:val="Hyperlink"/>
    <w:basedOn w:val="DefaultParagraphFont"/>
    <w:uiPriority w:val="99"/>
    <w:unhideWhenUsed/>
    <w:rsid w:val="00600C92"/>
    <w:rPr>
      <w:color w:val="467886" w:themeColor="hyperlink"/>
      <w:u w:val="single"/>
    </w:rPr>
  </w:style>
  <w:style w:type="paragraph" w:customStyle="1" w:styleId="p1">
    <w:name w:val="p1"/>
    <w:basedOn w:val="Normal"/>
    <w:rsid w:val="00632915"/>
    <w:pPr>
      <w:spacing w:before="107" w:after="0" w:line="240" w:lineRule="auto"/>
    </w:pPr>
    <w:rPr>
      <w:rFonts w:ascii=".AppleSystemUIFont" w:eastAsiaTheme="minorEastAsia" w:hAnsi=".AppleSystemUIFont" w:cs="Times New Roman"/>
      <w:color w:val="000000"/>
      <w:kern w:val="0"/>
      <w:sz w:val="26"/>
      <w:szCs w:val="26"/>
      <w:lang w:eastAsia="en-GB"/>
      <w14:ligatures w14:val="none"/>
    </w:rPr>
  </w:style>
  <w:style w:type="paragraph" w:customStyle="1" w:styleId="p2">
    <w:name w:val="p2"/>
    <w:basedOn w:val="Normal"/>
    <w:rsid w:val="00632915"/>
    <w:pPr>
      <w:spacing w:before="200" w:after="0" w:line="240" w:lineRule="auto"/>
    </w:pPr>
    <w:rPr>
      <w:rFonts w:ascii=".AppleSystemUIFont" w:eastAsiaTheme="minorEastAsia" w:hAnsi=".AppleSystemUIFont" w:cs="Times New Roman"/>
      <w:color w:val="000000"/>
      <w:kern w:val="0"/>
      <w:sz w:val="26"/>
      <w:szCs w:val="26"/>
      <w:lang w:eastAsia="en-GB"/>
      <w14:ligatures w14:val="none"/>
    </w:rPr>
  </w:style>
  <w:style w:type="paragraph" w:customStyle="1" w:styleId="p3">
    <w:name w:val="p3"/>
    <w:basedOn w:val="Normal"/>
    <w:rsid w:val="00632915"/>
    <w:pPr>
      <w:spacing w:before="200" w:after="0" w:line="240" w:lineRule="auto"/>
      <w:ind w:left="600" w:hanging="540"/>
    </w:pPr>
    <w:rPr>
      <w:rFonts w:ascii=".AppleSystemUIFont" w:eastAsiaTheme="minorEastAsia" w:hAnsi=".AppleSystemUIFont" w:cs="Times New Roman"/>
      <w:color w:val="000000"/>
      <w:kern w:val="0"/>
      <w:sz w:val="26"/>
      <w:szCs w:val="26"/>
      <w:lang w:eastAsia="en-GB"/>
      <w14:ligatures w14:val="none"/>
    </w:rPr>
  </w:style>
  <w:style w:type="paragraph" w:customStyle="1" w:styleId="p4">
    <w:name w:val="p4"/>
    <w:basedOn w:val="Normal"/>
    <w:rsid w:val="00632915"/>
    <w:pPr>
      <w:spacing w:before="140" w:after="0" w:line="240" w:lineRule="auto"/>
      <w:ind w:left="600" w:hanging="540"/>
    </w:pPr>
    <w:rPr>
      <w:rFonts w:ascii=".AppleSystemUIFont" w:eastAsiaTheme="minorEastAsia" w:hAnsi=".AppleSystemUIFont" w:cs="Times New Roman"/>
      <w:color w:val="000000"/>
      <w:kern w:val="0"/>
      <w:sz w:val="26"/>
      <w:szCs w:val="26"/>
      <w:lang w:eastAsia="en-GB"/>
      <w14:ligatures w14:val="none"/>
    </w:rPr>
  </w:style>
  <w:style w:type="character" w:customStyle="1" w:styleId="s1">
    <w:name w:val="s1"/>
    <w:basedOn w:val="DefaultParagraphFont"/>
    <w:rsid w:val="00632915"/>
    <w:rPr>
      <w:rFonts w:ascii=".SFUI-Regular" w:hAnsi=".SFUI-Regular" w:hint="default"/>
      <w:b w:val="0"/>
      <w:bCs w:val="0"/>
      <w:i w:val="0"/>
      <w:iCs w:val="0"/>
      <w:sz w:val="26"/>
      <w:szCs w:val="26"/>
    </w:rPr>
  </w:style>
  <w:style w:type="character" w:customStyle="1" w:styleId="s2">
    <w:name w:val="s2"/>
    <w:basedOn w:val="DefaultParagraphFont"/>
    <w:rsid w:val="00AF7103"/>
    <w:rPr>
      <w:rFonts w:ascii=".SFUI-Regular" w:hAnsi=".SFUI-Regular" w:hint="default"/>
      <w:b w:val="0"/>
      <w:bCs w:val="0"/>
      <w:i w:val="0"/>
      <w:iCs w:val="0"/>
      <w:sz w:val="30"/>
      <w:szCs w:val="30"/>
    </w:rPr>
  </w:style>
  <w:style w:type="paragraph" w:customStyle="1" w:styleId="p5">
    <w:name w:val="p5"/>
    <w:basedOn w:val="Normal"/>
    <w:rsid w:val="00BD3E1B"/>
    <w:pPr>
      <w:spacing w:before="140" w:after="0" w:line="240" w:lineRule="auto"/>
      <w:ind w:left="1200" w:hanging="600"/>
    </w:pPr>
    <w:rPr>
      <w:rFonts w:ascii=".AppleSystemUIFont" w:eastAsiaTheme="minorEastAsia" w:hAnsi=".AppleSystemUIFont" w:cs="Times New Roman"/>
      <w:color w:val="000000"/>
      <w:kern w:val="0"/>
      <w:sz w:val="26"/>
      <w:szCs w:val="26"/>
      <w:lang w:eastAsia="en-GB"/>
      <w14:ligatures w14:val="none"/>
    </w:rPr>
  </w:style>
  <w:style w:type="paragraph" w:customStyle="1" w:styleId="p6">
    <w:name w:val="p6"/>
    <w:basedOn w:val="Normal"/>
    <w:rsid w:val="00BD3E1B"/>
    <w:pPr>
      <w:spacing w:before="140" w:after="0" w:line="240" w:lineRule="auto"/>
      <w:ind w:left="600" w:hanging="600"/>
    </w:pPr>
    <w:rPr>
      <w:rFonts w:ascii=".AppleSystemUIFont" w:eastAsiaTheme="minorEastAsia" w:hAnsi=".AppleSystemUIFont" w:cs="Times New Roman"/>
      <w:color w:val="000000"/>
      <w:kern w:val="0"/>
      <w:sz w:val="26"/>
      <w:szCs w:val="26"/>
      <w:lang w:eastAsia="en-GB"/>
      <w14:ligatures w14:val="none"/>
    </w:rPr>
  </w:style>
  <w:style w:type="paragraph" w:customStyle="1" w:styleId="p7">
    <w:name w:val="p7"/>
    <w:basedOn w:val="Normal"/>
    <w:rsid w:val="00BD3E1B"/>
    <w:pPr>
      <w:spacing w:before="200" w:after="0" w:line="240" w:lineRule="auto"/>
    </w:pPr>
    <w:rPr>
      <w:rFonts w:ascii=".AppleSystemUIFont" w:eastAsiaTheme="minorEastAsia" w:hAnsi=".AppleSystemUIFont" w:cs="Times New Roman"/>
      <w:color w:val="000000"/>
      <w:kern w:val="0"/>
      <w:sz w:val="26"/>
      <w:szCs w:val="26"/>
      <w:lang w:eastAsia="en-GB"/>
      <w14:ligatures w14:val="none"/>
    </w:rPr>
  </w:style>
  <w:style w:type="character" w:customStyle="1" w:styleId="s3">
    <w:name w:val="s3"/>
    <w:basedOn w:val="DefaultParagraphFont"/>
    <w:rsid w:val="00BD3E1B"/>
    <w:rPr>
      <w:rFonts w:ascii=".SFUI-RegularItalic" w:hAnsi=".SFUI-RegularItalic" w:hint="default"/>
      <w:b w:val="0"/>
      <w:bCs w:val="0"/>
      <w:i/>
      <w:iCs/>
      <w:sz w:val="26"/>
      <w:szCs w:val="26"/>
    </w:rPr>
  </w:style>
  <w:style w:type="character" w:customStyle="1" w:styleId="s4">
    <w:name w:val="s4"/>
    <w:basedOn w:val="DefaultParagraphFont"/>
    <w:rsid w:val="00BD3E1B"/>
    <w:rPr>
      <w:rFonts w:ascii=".SFUI-Semibold" w:hAnsi=".SFUI-Semibold"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3076a606cb8a286f1cc1e9a1f529ef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ebc69fb787dbb025fd386319b9b7f10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96C8FA74-CC58-4C9B-90CC-ECF2F8A727B3}">
  <ds:schemaRefs>
    <ds:schemaRef ds:uri="http://schemas.openxmlformats.org/officeDocument/2006/bibliography"/>
  </ds:schemaRefs>
</ds:datastoreItem>
</file>

<file path=customXml/itemProps2.xml><?xml version="1.0" encoding="utf-8"?>
<ds:datastoreItem xmlns:ds="http://schemas.openxmlformats.org/officeDocument/2006/customXml" ds:itemID="{2C4C1FA4-14A8-4796-A917-3477237FE2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913BAD-5C41-43DA-BC1E-94064A258316}">
  <ds:schemaRefs>
    <ds:schemaRef ds:uri="http://schemas.microsoft.com/sharepoint/v3/contenttype/forms"/>
  </ds:schemaRefs>
</ds:datastoreItem>
</file>

<file path=customXml/itemProps4.xml><?xml version="1.0" encoding="utf-8"?>
<ds:datastoreItem xmlns:ds="http://schemas.openxmlformats.org/officeDocument/2006/customXml" ds:itemID="{6A2321C4-273D-484B-A50D-E38A222D2D78}">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Pages>
  <Words>6697</Words>
  <Characters>38179</Characters>
  <Application>Microsoft Office Word</Application>
  <DocSecurity>4</DocSecurity>
  <Lines>318</Lines>
  <Paragraphs>89</Paragraphs>
  <ScaleCrop>false</ScaleCrop>
  <Company/>
  <LinksUpToDate>false</LinksUpToDate>
  <CharactersWithSpaces>44787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Shamaila Sakhawat (2309140)</cp:lastModifiedBy>
  <cp:revision>616</cp:revision>
  <dcterms:created xsi:type="dcterms:W3CDTF">2026-10-10T13:57:00Z</dcterms:created>
  <dcterms:modified xsi:type="dcterms:W3CDTF">2026-10-19T00:06:00Z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